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3E7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rPr>
        <w:t xml:space="preserve">Name of Journal: </w:t>
      </w:r>
      <w:r w:rsidRPr="0057696B">
        <w:rPr>
          <w:rFonts w:ascii="Book Antiqua" w:eastAsia="Book Antiqua" w:hAnsi="Book Antiqua" w:cs="Book Antiqua"/>
          <w:i/>
        </w:rPr>
        <w:t>World Journal of Clinical Oncology</w:t>
      </w:r>
    </w:p>
    <w:p w14:paraId="3CD799EC"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rPr>
        <w:t xml:space="preserve">Manuscript NO: </w:t>
      </w:r>
      <w:r w:rsidRPr="0057696B">
        <w:rPr>
          <w:rFonts w:ascii="Book Antiqua" w:eastAsia="Book Antiqua" w:hAnsi="Book Antiqua" w:cs="Book Antiqua"/>
        </w:rPr>
        <w:t>84016</w:t>
      </w:r>
    </w:p>
    <w:p w14:paraId="3638D72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rPr>
        <w:t xml:space="preserve">Manuscript Type: </w:t>
      </w:r>
      <w:r w:rsidRPr="0057696B">
        <w:rPr>
          <w:rFonts w:ascii="Book Antiqua" w:eastAsia="Book Antiqua" w:hAnsi="Book Antiqua" w:cs="Book Antiqua"/>
        </w:rPr>
        <w:t>ORIGINAL ARTICLE</w:t>
      </w:r>
    </w:p>
    <w:p w14:paraId="3DA242D7" w14:textId="77777777" w:rsidR="00A77B3E" w:rsidRPr="0057696B" w:rsidRDefault="00A77B3E" w:rsidP="0057696B">
      <w:pPr>
        <w:spacing w:line="360" w:lineRule="auto"/>
        <w:jc w:val="both"/>
        <w:rPr>
          <w:rFonts w:ascii="Book Antiqua" w:hAnsi="Book Antiqua"/>
        </w:rPr>
      </w:pPr>
    </w:p>
    <w:p w14:paraId="14EB05E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rPr>
        <w:t>Retrospective Study</w:t>
      </w:r>
    </w:p>
    <w:p w14:paraId="174D3F1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Relationship between anal cancer recurrence and cigarette smoking</w:t>
      </w:r>
    </w:p>
    <w:p w14:paraId="097916BE" w14:textId="77777777" w:rsidR="00A77B3E" w:rsidRPr="0057696B" w:rsidRDefault="00A77B3E" w:rsidP="0057696B">
      <w:pPr>
        <w:spacing w:line="360" w:lineRule="auto"/>
        <w:jc w:val="both"/>
        <w:rPr>
          <w:rFonts w:ascii="Book Antiqua" w:hAnsi="Book Antiqua"/>
        </w:rPr>
      </w:pPr>
    </w:p>
    <w:p w14:paraId="056A26E8" w14:textId="62E3E5E9" w:rsidR="00A77B3E" w:rsidRPr="0057696B" w:rsidRDefault="003B3C62" w:rsidP="0057696B">
      <w:pPr>
        <w:spacing w:line="360" w:lineRule="auto"/>
        <w:jc w:val="both"/>
        <w:rPr>
          <w:rFonts w:ascii="Book Antiqua" w:hAnsi="Book Antiqua"/>
        </w:rPr>
      </w:pPr>
      <w:r w:rsidRPr="0057696B">
        <w:rPr>
          <w:rFonts w:ascii="Book Antiqua" w:eastAsia="Book Antiqua" w:hAnsi="Book Antiqua" w:cs="Book Antiqua"/>
        </w:rPr>
        <w:t>McMahon KR</w:t>
      </w:r>
      <w:r w:rsidRPr="0057696B">
        <w:rPr>
          <w:rFonts w:ascii="Book Antiqua" w:eastAsia="Book Antiqua" w:hAnsi="Book Antiqua" w:cs="Book Antiqua"/>
          <w:color w:val="000000"/>
        </w:rPr>
        <w:t xml:space="preserve"> </w:t>
      </w:r>
      <w:r w:rsidRPr="0057696B">
        <w:rPr>
          <w:rFonts w:ascii="Book Antiqua" w:eastAsia="Book Antiqua" w:hAnsi="Book Antiqua" w:cs="Book Antiqua"/>
          <w:i/>
          <w:iCs/>
          <w:color w:val="000000"/>
        </w:rPr>
        <w:t>et al</w:t>
      </w:r>
      <w:r w:rsidRPr="0057696B">
        <w:rPr>
          <w:rFonts w:ascii="Book Antiqua" w:eastAsia="Book Antiqua" w:hAnsi="Book Antiqua" w:cs="Book Antiqua"/>
          <w:color w:val="000000"/>
        </w:rPr>
        <w:t>. A retrospective database review</w:t>
      </w:r>
    </w:p>
    <w:p w14:paraId="54634861" w14:textId="77777777" w:rsidR="00A77B3E" w:rsidRPr="0057696B" w:rsidRDefault="00A77B3E" w:rsidP="0057696B">
      <w:pPr>
        <w:spacing w:line="360" w:lineRule="auto"/>
        <w:jc w:val="both"/>
        <w:rPr>
          <w:rFonts w:ascii="Book Antiqua" w:hAnsi="Book Antiqua"/>
        </w:rPr>
      </w:pPr>
    </w:p>
    <w:p w14:paraId="7FDC909E"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Kevin R McMahon, Nicholas Gemma, McKenzie Clapp, Patricia Sanchez-Montejo, Joseph Dibello, Erica Laipply</w:t>
      </w:r>
    </w:p>
    <w:p w14:paraId="4BA5065E" w14:textId="77777777" w:rsidR="00A77B3E" w:rsidRPr="0057696B" w:rsidRDefault="00A77B3E" w:rsidP="0057696B">
      <w:pPr>
        <w:spacing w:line="360" w:lineRule="auto"/>
        <w:jc w:val="both"/>
        <w:rPr>
          <w:rFonts w:ascii="Book Antiqua" w:hAnsi="Book Antiqua"/>
        </w:rPr>
      </w:pPr>
    </w:p>
    <w:p w14:paraId="14F21F7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 xml:space="preserve">Kevin R McMahon, Nicholas Gemma, McKenzie Clapp, Patricia Sanchez-Montejo, Joseph Dibello, Erica Laipply, </w:t>
      </w:r>
      <w:r w:rsidRPr="0057696B">
        <w:rPr>
          <w:rFonts w:ascii="Book Antiqua" w:eastAsia="Book Antiqua" w:hAnsi="Book Antiqua" w:cs="Book Antiqua"/>
          <w:color w:val="000000"/>
        </w:rPr>
        <w:t>Department of General Surgery, Summa Health System, Akron, OH 44304, United States</w:t>
      </w:r>
    </w:p>
    <w:p w14:paraId="27AEC1FF" w14:textId="77777777" w:rsidR="00A77B3E" w:rsidRPr="0057696B" w:rsidRDefault="00A77B3E" w:rsidP="0057696B">
      <w:pPr>
        <w:spacing w:line="360" w:lineRule="auto"/>
        <w:jc w:val="both"/>
        <w:rPr>
          <w:rFonts w:ascii="Book Antiqua" w:hAnsi="Book Antiqua"/>
        </w:rPr>
      </w:pPr>
    </w:p>
    <w:p w14:paraId="76552754" w14:textId="1E968FD6"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 xml:space="preserve">Author contributions: </w:t>
      </w:r>
      <w:r w:rsidRPr="0057696B">
        <w:rPr>
          <w:rStyle w:val="dxeBaseOffice2010Blue"/>
          <w:rFonts w:ascii="Book Antiqua" w:eastAsia="Book Antiqua" w:hAnsi="Book Antiqua" w:cs="Book Antiqua"/>
          <w:color w:val="000000"/>
        </w:rPr>
        <w:t>McMahon KR</w:t>
      </w:r>
      <w:r w:rsidRPr="0057696B">
        <w:rPr>
          <w:rFonts w:ascii="Book Antiqua" w:eastAsia="Book Antiqua" w:hAnsi="Book Antiqua" w:cs="Book Antiqua"/>
          <w:color w:val="000000"/>
        </w:rPr>
        <w:t xml:space="preserve"> designed and performed the research and wrote the paper; Gemma N helped write and revise the report; </w:t>
      </w:r>
      <w:r w:rsidRPr="0057696B">
        <w:rPr>
          <w:rStyle w:val="dxeBaseOffice2010Blue"/>
          <w:rFonts w:ascii="Book Antiqua" w:eastAsia="Book Antiqua" w:hAnsi="Book Antiqua" w:cs="Book Antiqua"/>
          <w:color w:val="000000"/>
        </w:rPr>
        <w:t>Dibello J</w:t>
      </w:r>
      <w:r w:rsidRPr="0057696B">
        <w:rPr>
          <w:rFonts w:ascii="Book Antiqua" w:eastAsia="Book Antiqua" w:hAnsi="Book Antiqua" w:cs="Book Antiqua"/>
          <w:color w:val="000000"/>
        </w:rPr>
        <w:t xml:space="preserve"> assisted with data curation and editing of the report; Clapp M assisted with data curation and editing the report; </w:t>
      </w:r>
      <w:r w:rsidRPr="0057696B">
        <w:rPr>
          <w:rStyle w:val="dxeBaseOffice2010Blue"/>
          <w:rFonts w:ascii="Book Antiqua" w:eastAsia="Book Antiqua" w:hAnsi="Book Antiqua" w:cs="Book Antiqua"/>
          <w:color w:val="000000"/>
        </w:rPr>
        <w:t>Sanchez-Montejo P</w:t>
      </w:r>
      <w:r w:rsidRPr="0057696B">
        <w:rPr>
          <w:rFonts w:ascii="Book Antiqua" w:eastAsia="Book Antiqua" w:hAnsi="Book Antiqua" w:cs="Book Antiqua"/>
          <w:color w:val="000000"/>
        </w:rPr>
        <w:t xml:space="preserve"> assisted with data analysis and editing the report; Laipply E designed the research and supervised the report.</w:t>
      </w:r>
    </w:p>
    <w:p w14:paraId="3BD2BD99" w14:textId="77777777" w:rsidR="00A77B3E" w:rsidRPr="0057696B" w:rsidRDefault="00A77B3E" w:rsidP="0057696B">
      <w:pPr>
        <w:spacing w:line="360" w:lineRule="auto"/>
        <w:jc w:val="both"/>
        <w:rPr>
          <w:rFonts w:ascii="Book Antiqua" w:hAnsi="Book Antiqua"/>
        </w:rPr>
      </w:pPr>
    </w:p>
    <w:p w14:paraId="1EC068A2"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color w:val="000000"/>
        </w:rPr>
        <w:t xml:space="preserve">Corresponding author: Kevin R McMahon, MD, Doctor, </w:t>
      </w:r>
      <w:r w:rsidRPr="0057696B">
        <w:rPr>
          <w:rFonts w:ascii="Book Antiqua" w:eastAsia="Book Antiqua" w:hAnsi="Book Antiqua" w:cs="Book Antiqua"/>
          <w:color w:val="000000"/>
        </w:rPr>
        <w:t>Department of General Surgery, Summa Health System, 55 Arch Street, Akron, OH 44304, United States. mcmahonkr@summahealth.org</w:t>
      </w:r>
    </w:p>
    <w:p w14:paraId="567ABE5B" w14:textId="77777777" w:rsidR="00A77B3E" w:rsidRPr="0057696B" w:rsidRDefault="00A77B3E" w:rsidP="0057696B">
      <w:pPr>
        <w:spacing w:line="360" w:lineRule="auto"/>
        <w:jc w:val="both"/>
        <w:rPr>
          <w:rFonts w:ascii="Book Antiqua" w:hAnsi="Book Antiqua"/>
        </w:rPr>
      </w:pPr>
    </w:p>
    <w:p w14:paraId="3DE5890B"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Received: </w:t>
      </w:r>
      <w:r w:rsidRPr="0057696B">
        <w:rPr>
          <w:rFonts w:ascii="Book Antiqua" w:eastAsia="Book Antiqua" w:hAnsi="Book Antiqua" w:cs="Book Antiqua"/>
        </w:rPr>
        <w:t>February 23, 2023</w:t>
      </w:r>
    </w:p>
    <w:p w14:paraId="29C738A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Revised: </w:t>
      </w:r>
      <w:r w:rsidRPr="0057696B">
        <w:rPr>
          <w:rFonts w:ascii="Book Antiqua" w:eastAsia="Book Antiqua" w:hAnsi="Book Antiqua" w:cs="Book Antiqua"/>
        </w:rPr>
        <w:t>May 10, 2023</w:t>
      </w:r>
    </w:p>
    <w:p w14:paraId="5AD40C7E" w14:textId="348A0CEE"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Accepted: </w:t>
      </w:r>
      <w:r w:rsidR="00DB6214" w:rsidRPr="0057696B">
        <w:rPr>
          <w:rFonts w:ascii="Book Antiqua" w:eastAsia="Book Antiqua" w:hAnsi="Book Antiqua" w:cs="Book Antiqua"/>
        </w:rPr>
        <w:t>June 13, 2023</w:t>
      </w:r>
    </w:p>
    <w:p w14:paraId="13F02AB9" w14:textId="55A130DD"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Published online: </w:t>
      </w:r>
    </w:p>
    <w:p w14:paraId="430A9839" w14:textId="77777777" w:rsidR="003B3C62" w:rsidRPr="0057696B" w:rsidRDefault="003B3C62" w:rsidP="0057696B">
      <w:pPr>
        <w:spacing w:line="360" w:lineRule="auto"/>
        <w:jc w:val="both"/>
        <w:rPr>
          <w:rFonts w:ascii="Book Antiqua" w:eastAsia="Book Antiqua" w:hAnsi="Book Antiqua" w:cs="Book Antiqua"/>
          <w:b/>
          <w:color w:val="000000"/>
        </w:rPr>
      </w:pPr>
    </w:p>
    <w:p w14:paraId="460C7A43" w14:textId="4020BD4A"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Abstract</w:t>
      </w:r>
    </w:p>
    <w:p w14:paraId="67BB3D5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BACKGROUND</w:t>
      </w:r>
    </w:p>
    <w:p w14:paraId="152E47F8" w14:textId="21C8ADE4"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The incidence of anal cancer has been increasing in the United States. Smoking is a well-established risk factor; however, the impact of smoking on disease recurrence and outcome has not been well studied. The aim of this study was to assess the association between anal cancer recurrence and cigarette smoking.</w:t>
      </w:r>
    </w:p>
    <w:p w14:paraId="2B8BC27F" w14:textId="77777777" w:rsidR="00A77B3E" w:rsidRPr="0057696B" w:rsidRDefault="00A77B3E" w:rsidP="0057696B">
      <w:pPr>
        <w:spacing w:line="360" w:lineRule="auto"/>
        <w:jc w:val="both"/>
        <w:rPr>
          <w:rFonts w:ascii="Book Antiqua" w:hAnsi="Book Antiqua"/>
        </w:rPr>
      </w:pPr>
    </w:p>
    <w:p w14:paraId="2BB14DF7"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AIM</w:t>
      </w:r>
    </w:p>
    <w:p w14:paraId="4C08CFA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To investigate the relationship between cigarette smoking status and anal cancer treatment outcome.</w:t>
      </w:r>
    </w:p>
    <w:p w14:paraId="0913FC9D" w14:textId="77777777" w:rsidR="00A77B3E" w:rsidRPr="0057696B" w:rsidRDefault="00A77B3E" w:rsidP="0057696B">
      <w:pPr>
        <w:spacing w:line="360" w:lineRule="auto"/>
        <w:jc w:val="both"/>
        <w:rPr>
          <w:rFonts w:ascii="Book Antiqua" w:hAnsi="Book Antiqua"/>
        </w:rPr>
      </w:pPr>
    </w:p>
    <w:p w14:paraId="5ECEC19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METHODS</w:t>
      </w:r>
    </w:p>
    <w:p w14:paraId="3CE4A9CC" w14:textId="7504069F"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The cancer registry from a single, community hospital was screened for patients with anal cancer between 2010 and 2021. The following characteristics were gathered from the database: </w:t>
      </w:r>
      <w:r w:rsidR="005E74E4">
        <w:rPr>
          <w:rFonts w:ascii="Book Antiqua" w:eastAsia="Book Antiqua" w:hAnsi="Book Antiqua" w:cs="Book Antiqua"/>
        </w:rPr>
        <w:t>a</w:t>
      </w:r>
      <w:r w:rsidRPr="0057696B">
        <w:rPr>
          <w:rFonts w:ascii="Book Antiqua" w:eastAsia="Book Antiqua" w:hAnsi="Book Antiqua" w:cs="Book Antiqua"/>
        </w:rPr>
        <w:t>ge</w:t>
      </w:r>
      <w:r w:rsidR="00301203">
        <w:rPr>
          <w:rFonts w:ascii="Book Antiqua" w:eastAsia="Book Antiqua" w:hAnsi="Book Antiqua" w:cs="Book Antiqua"/>
        </w:rPr>
        <w:t>;</w:t>
      </w:r>
      <w:r w:rsidRPr="0057696B">
        <w:rPr>
          <w:rFonts w:ascii="Book Antiqua" w:eastAsia="Book Antiqua" w:hAnsi="Book Antiqua" w:cs="Book Antiqua"/>
        </w:rPr>
        <w:t xml:space="preserve"> sex</w:t>
      </w:r>
      <w:r w:rsidR="00301203">
        <w:rPr>
          <w:rFonts w:ascii="Book Antiqua" w:eastAsia="Book Antiqua" w:hAnsi="Book Antiqua" w:cs="Book Antiqua"/>
        </w:rPr>
        <w:t>;</w:t>
      </w:r>
      <w:r w:rsidRPr="0057696B">
        <w:rPr>
          <w:rFonts w:ascii="Book Antiqua" w:eastAsia="Book Antiqua" w:hAnsi="Book Antiqua" w:cs="Book Antiqua"/>
        </w:rPr>
        <w:t xml:space="preserve"> cigarette smoking history</w:t>
      </w:r>
      <w:r w:rsidR="00301203">
        <w:rPr>
          <w:rFonts w:ascii="Book Antiqua" w:eastAsia="Book Antiqua" w:hAnsi="Book Antiqua" w:cs="Book Antiqua"/>
        </w:rPr>
        <w:t>;</w:t>
      </w:r>
      <w:r w:rsidRPr="0057696B">
        <w:rPr>
          <w:rFonts w:ascii="Book Antiqua" w:eastAsia="Book Antiqua" w:hAnsi="Book Antiqua" w:cs="Book Antiqua"/>
        </w:rPr>
        <w:t xml:space="preserve"> American Joint Committee on Cancer Clinical Stage Group</w:t>
      </w:r>
      <w:r w:rsidR="00301203">
        <w:rPr>
          <w:rFonts w:ascii="Book Antiqua" w:eastAsia="Book Antiqua" w:hAnsi="Book Antiqua" w:cs="Book Antiqua"/>
        </w:rPr>
        <w:t>;</w:t>
      </w:r>
      <w:r w:rsidRPr="0057696B">
        <w:rPr>
          <w:rFonts w:ascii="Book Antiqua" w:eastAsia="Book Antiqua" w:hAnsi="Book Antiqua" w:cs="Book Antiqua"/>
        </w:rPr>
        <w:t xml:space="preserve"> response to therapy</w:t>
      </w:r>
      <w:r w:rsidR="00301203">
        <w:rPr>
          <w:rFonts w:ascii="Book Antiqua" w:eastAsia="Book Antiqua" w:hAnsi="Book Antiqua" w:cs="Book Antiqua"/>
        </w:rPr>
        <w:t>;</w:t>
      </w:r>
      <w:r w:rsidRPr="0057696B">
        <w:rPr>
          <w:rFonts w:ascii="Book Antiqua" w:eastAsia="Book Antiqua" w:hAnsi="Book Antiqua" w:cs="Book Antiqua"/>
        </w:rPr>
        <w:t xml:space="preserve"> recurrence</w:t>
      </w:r>
      <w:r w:rsidR="00301203">
        <w:rPr>
          <w:rFonts w:ascii="Book Antiqua" w:eastAsia="Book Antiqua" w:hAnsi="Book Antiqua" w:cs="Book Antiqua"/>
        </w:rPr>
        <w:t>;</w:t>
      </w:r>
      <w:r w:rsidRPr="0057696B">
        <w:rPr>
          <w:rFonts w:ascii="Book Antiqua" w:eastAsia="Book Antiqua" w:hAnsi="Book Antiqua" w:cs="Book Antiqua"/>
        </w:rPr>
        <w:t xml:space="preserve"> time to recurrence</w:t>
      </w:r>
      <w:r w:rsidR="00301203">
        <w:rPr>
          <w:rFonts w:ascii="Book Antiqua" w:eastAsia="Book Antiqua" w:hAnsi="Book Antiqua" w:cs="Book Antiqua"/>
        </w:rPr>
        <w:t>;</w:t>
      </w:r>
      <w:r w:rsidRPr="0057696B">
        <w:rPr>
          <w:rFonts w:ascii="Book Antiqua" w:eastAsia="Book Antiqua" w:hAnsi="Book Antiqua" w:cs="Book Antiqua"/>
        </w:rPr>
        <w:t xml:space="preserve"> mortality</w:t>
      </w:r>
      <w:r w:rsidR="00301203">
        <w:rPr>
          <w:rFonts w:ascii="Book Antiqua" w:eastAsia="Book Antiqua" w:hAnsi="Book Antiqua" w:cs="Book Antiqua"/>
        </w:rPr>
        <w:t>;</w:t>
      </w:r>
      <w:r w:rsidRPr="0057696B">
        <w:rPr>
          <w:rFonts w:ascii="Book Antiqua" w:eastAsia="Book Antiqua" w:hAnsi="Book Antiqua" w:cs="Book Antiqua"/>
        </w:rPr>
        <w:t xml:space="preserve"> time to death</w:t>
      </w:r>
      <w:r w:rsidR="00301203">
        <w:rPr>
          <w:rFonts w:ascii="Book Antiqua" w:eastAsia="Book Antiqua" w:hAnsi="Book Antiqua" w:cs="Book Antiqua"/>
        </w:rPr>
        <w:t>;</w:t>
      </w:r>
      <w:r w:rsidRPr="0057696B">
        <w:rPr>
          <w:rFonts w:ascii="Book Antiqua" w:eastAsia="Book Antiqua" w:hAnsi="Book Antiqua" w:cs="Book Antiqua"/>
        </w:rPr>
        <w:t xml:space="preserve"> and length of follow</w:t>
      </w:r>
      <w:r w:rsidR="003250A5">
        <w:rPr>
          <w:rFonts w:ascii="Book Antiqua" w:eastAsia="Book Antiqua" w:hAnsi="Book Antiqua" w:cs="Book Antiqua"/>
        </w:rPr>
        <w:t>-</w:t>
      </w:r>
      <w:r w:rsidRPr="0057696B">
        <w:rPr>
          <w:rFonts w:ascii="Book Antiqua" w:eastAsia="Book Antiqua" w:hAnsi="Book Antiqua" w:cs="Book Antiqua"/>
        </w:rPr>
        <w:t xml:space="preserve">up. Patients were divided into the following groups: </w:t>
      </w:r>
      <w:r w:rsidR="00301203">
        <w:rPr>
          <w:rFonts w:ascii="Book Antiqua" w:eastAsia="Book Antiqua" w:hAnsi="Book Antiqua" w:cs="Book Antiqua"/>
        </w:rPr>
        <w:t>c</w:t>
      </w:r>
      <w:r w:rsidRPr="0057696B">
        <w:rPr>
          <w:rFonts w:ascii="Book Antiqua" w:eastAsia="Book Antiqua" w:hAnsi="Book Antiqua" w:cs="Book Antiqua"/>
        </w:rPr>
        <w:t>urrent smokers</w:t>
      </w:r>
      <w:r w:rsidR="00301203">
        <w:rPr>
          <w:rFonts w:ascii="Book Antiqua" w:eastAsia="Book Antiqua" w:hAnsi="Book Antiqua" w:cs="Book Antiqua"/>
        </w:rPr>
        <w:t>;</w:t>
      </w:r>
      <w:r w:rsidRPr="0057696B">
        <w:rPr>
          <w:rFonts w:ascii="Book Antiqua" w:eastAsia="Book Antiqua" w:hAnsi="Book Antiqua" w:cs="Book Antiqua"/>
        </w:rPr>
        <w:t xml:space="preserve"> former smokers</w:t>
      </w:r>
      <w:r w:rsidR="00301203">
        <w:rPr>
          <w:rFonts w:ascii="Book Antiqua" w:eastAsia="Book Antiqua" w:hAnsi="Book Antiqua" w:cs="Book Antiqua"/>
        </w:rPr>
        <w:t>;</w:t>
      </w:r>
      <w:r w:rsidRPr="0057696B">
        <w:rPr>
          <w:rFonts w:ascii="Book Antiqua" w:eastAsia="Book Antiqua" w:hAnsi="Book Antiqua" w:cs="Book Antiqua"/>
        </w:rPr>
        <w:t xml:space="preserve"> and never smokers</w:t>
      </w:r>
      <w:r w:rsidR="009E3846" w:rsidRPr="0057696B">
        <w:rPr>
          <w:rFonts w:ascii="Book Antiqua" w:eastAsia="Book Antiqua" w:hAnsi="Book Antiqua" w:cs="Book Antiqua"/>
        </w:rPr>
        <w:t>.</w:t>
      </w:r>
      <w:r w:rsidRPr="0057696B">
        <w:rPr>
          <w:rFonts w:ascii="Book Antiqua" w:eastAsia="Book Antiqua" w:hAnsi="Book Antiqua" w:cs="Book Antiqua"/>
        </w:rPr>
        <w:t xml:space="preserve"> SPSSv25.0 software (IBM Corp., Armonk, NY, U</w:t>
      </w:r>
      <w:r w:rsidR="009E3846" w:rsidRPr="0057696B">
        <w:rPr>
          <w:rFonts w:ascii="Book Antiqua" w:eastAsia="Book Antiqua" w:hAnsi="Book Antiqua" w:cs="Book Antiqua"/>
        </w:rPr>
        <w:t xml:space="preserve">nited </w:t>
      </w:r>
      <w:r w:rsidRPr="0057696B">
        <w:rPr>
          <w:rFonts w:ascii="Book Antiqua" w:eastAsia="Book Antiqua" w:hAnsi="Book Antiqua" w:cs="Book Antiqua"/>
        </w:rPr>
        <w:t>S</w:t>
      </w:r>
      <w:r w:rsidR="009E3846" w:rsidRPr="0057696B">
        <w:rPr>
          <w:rFonts w:ascii="Book Antiqua" w:eastAsia="Book Antiqua" w:hAnsi="Book Antiqua" w:cs="Book Antiqua"/>
        </w:rPr>
        <w:t>tates</w:t>
      </w:r>
      <w:r w:rsidRPr="0057696B">
        <w:rPr>
          <w:rFonts w:ascii="Book Antiqua" w:eastAsia="Book Antiqua" w:hAnsi="Book Antiqua" w:cs="Book Antiqua"/>
        </w:rPr>
        <w:t>) was used for statistical analysis.</w:t>
      </w:r>
    </w:p>
    <w:p w14:paraId="2B52D3F2" w14:textId="77777777" w:rsidR="00A77B3E" w:rsidRPr="0057696B" w:rsidRDefault="00A77B3E" w:rsidP="0057696B">
      <w:pPr>
        <w:spacing w:line="360" w:lineRule="auto"/>
        <w:jc w:val="both"/>
        <w:rPr>
          <w:rFonts w:ascii="Book Antiqua" w:hAnsi="Book Antiqua"/>
        </w:rPr>
      </w:pPr>
    </w:p>
    <w:p w14:paraId="2399C6C7"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RESULTS</w:t>
      </w:r>
    </w:p>
    <w:p w14:paraId="5D6B8E4B" w14:textId="172831C8" w:rsidR="00A77B3E" w:rsidRPr="0057696B" w:rsidRDefault="003250A5" w:rsidP="0057696B">
      <w:pPr>
        <w:spacing w:line="360" w:lineRule="auto"/>
        <w:jc w:val="both"/>
        <w:rPr>
          <w:rFonts w:ascii="Book Antiqua" w:hAnsi="Book Antiqua"/>
        </w:rPr>
      </w:pPr>
      <w:r>
        <w:rPr>
          <w:rFonts w:ascii="Book Antiqua" w:eastAsia="Book Antiqua" w:hAnsi="Book Antiqua" w:cs="Book Antiqua"/>
        </w:rPr>
        <w:t>A total o</w:t>
      </w:r>
      <w:r w:rsidR="009E3846" w:rsidRPr="0057696B">
        <w:rPr>
          <w:rFonts w:ascii="Book Antiqua" w:eastAsia="Book Antiqua" w:hAnsi="Book Antiqua" w:cs="Book Antiqua"/>
        </w:rPr>
        <w:t xml:space="preserve">f 95 patients from the database met </w:t>
      </w:r>
      <w:r>
        <w:rPr>
          <w:rFonts w:ascii="Book Antiqua" w:eastAsia="Book Antiqua" w:hAnsi="Book Antiqua" w:cs="Book Antiqua"/>
        </w:rPr>
        <w:t xml:space="preserve">the </w:t>
      </w:r>
      <w:r w:rsidR="009E3846" w:rsidRPr="0057696B">
        <w:rPr>
          <w:rFonts w:ascii="Book Antiqua" w:eastAsia="Book Antiqua" w:hAnsi="Book Antiqua" w:cs="Book Antiqua"/>
        </w:rPr>
        <w:t xml:space="preserve">screening criteria. There were 37 never smokers, 22 former smokers, and 36 current smokers. There was no difference between groups </w:t>
      </w:r>
      <w:proofErr w:type="gramStart"/>
      <w:r w:rsidR="009E3846" w:rsidRPr="0057696B">
        <w:rPr>
          <w:rFonts w:ascii="Book Antiqua" w:eastAsia="Book Antiqua" w:hAnsi="Book Antiqua" w:cs="Book Antiqua"/>
        </w:rPr>
        <w:t>in regards to</w:t>
      </w:r>
      <w:proofErr w:type="gramEnd"/>
      <w:r w:rsidR="009E3846" w:rsidRPr="0057696B">
        <w:rPr>
          <w:rFonts w:ascii="Book Antiqua" w:eastAsia="Book Antiqua" w:hAnsi="Book Antiqua" w:cs="Book Antiqua"/>
        </w:rPr>
        <w:t xml:space="preserve"> race or </w:t>
      </w:r>
      <w:r w:rsidR="00D3402E">
        <w:rPr>
          <w:rFonts w:ascii="Book Antiqua" w:eastAsia="Book Antiqua" w:hAnsi="Book Antiqua" w:cs="Book Antiqua"/>
        </w:rPr>
        <w:t>sex</w:t>
      </w:r>
      <w:r w:rsidR="009E3846" w:rsidRPr="0057696B">
        <w:rPr>
          <w:rFonts w:ascii="Book Antiqua" w:eastAsia="Book Antiqua" w:hAnsi="Book Antiqua" w:cs="Book Antiqua"/>
        </w:rPr>
        <w:t xml:space="preserve">. There was no difference in the American Joint Committee on Cancer Clinical Stage Group between groups. The former smokers were significantly older when compared to never smokers and current smokers (66.5 ± 13.17 </w:t>
      </w:r>
      <w:r w:rsidR="009E3846" w:rsidRPr="0057696B">
        <w:rPr>
          <w:rFonts w:ascii="Book Antiqua" w:eastAsia="Book Antiqua" w:hAnsi="Book Antiqua" w:cs="Book Antiqua"/>
          <w:i/>
          <w:iCs/>
        </w:rPr>
        <w:t>vs</w:t>
      </w:r>
      <w:r w:rsidR="009E3846" w:rsidRPr="0057696B">
        <w:rPr>
          <w:rFonts w:ascii="Book Antiqua" w:eastAsia="Book Antiqua" w:hAnsi="Book Antiqua" w:cs="Book Antiqua"/>
        </w:rPr>
        <w:t xml:space="preserve"> 57.4 ± 7.82 </w:t>
      </w:r>
      <w:r w:rsidR="009E3846" w:rsidRPr="0057696B">
        <w:rPr>
          <w:rFonts w:ascii="Book Antiqua" w:eastAsia="Book Antiqua" w:hAnsi="Book Antiqua" w:cs="Book Antiqua"/>
          <w:i/>
          <w:iCs/>
        </w:rPr>
        <w:t>vs</w:t>
      </w:r>
      <w:r w:rsidR="009E3846" w:rsidRPr="0057696B">
        <w:rPr>
          <w:rFonts w:ascii="Book Antiqua" w:eastAsia="Book Antiqua" w:hAnsi="Book Antiqua" w:cs="Book Antiqua"/>
        </w:rPr>
        <w:t xml:space="preserve"> 63.7 ± 13.80, </w:t>
      </w:r>
      <w:r w:rsidR="009E3846" w:rsidRPr="0057696B">
        <w:rPr>
          <w:rFonts w:ascii="Book Antiqua" w:eastAsia="Book Antiqua" w:hAnsi="Book Antiqua" w:cs="Book Antiqua"/>
          <w:i/>
          <w:iCs/>
        </w:rPr>
        <w:t>P</w:t>
      </w:r>
      <w:r w:rsidR="009E3846" w:rsidRPr="0057696B">
        <w:rPr>
          <w:rFonts w:ascii="Book Antiqua" w:eastAsia="Book Antiqua" w:hAnsi="Book Antiqua" w:cs="Book Antiqua"/>
        </w:rPr>
        <w:t xml:space="preserve"> = 0.011). Former</w:t>
      </w:r>
      <w:r>
        <w:rPr>
          <w:rFonts w:ascii="Book Antiqua" w:eastAsia="Book Antiqua" w:hAnsi="Book Antiqua" w:cs="Book Antiqua"/>
        </w:rPr>
        <w:t xml:space="preserve"> smokers</w:t>
      </w:r>
      <w:r w:rsidR="009E3846" w:rsidRPr="0057696B">
        <w:rPr>
          <w:rFonts w:ascii="Book Antiqua" w:eastAsia="Book Antiqua" w:hAnsi="Book Antiqua" w:cs="Book Antiqua"/>
        </w:rPr>
        <w:t xml:space="preserve"> and current smokers had a higher recurrence rate compared to never smokers (30.8% and 20.8% compared to zero, </w:t>
      </w:r>
      <w:r w:rsidR="009E3846" w:rsidRPr="0057696B">
        <w:rPr>
          <w:rFonts w:ascii="Book Antiqua" w:eastAsia="Book Antiqua" w:hAnsi="Book Antiqua" w:cs="Book Antiqua"/>
          <w:i/>
          <w:iCs/>
        </w:rPr>
        <w:t>P</w:t>
      </w:r>
      <w:r w:rsidR="009E3846" w:rsidRPr="0057696B">
        <w:rPr>
          <w:rFonts w:ascii="Book Antiqua" w:eastAsia="Book Antiqua" w:hAnsi="Book Antiqua" w:cs="Book Antiqua"/>
        </w:rPr>
        <w:t xml:space="preserve"> = 0.009). There was not a significant difference in recurrence between former smokers and current </w:t>
      </w:r>
      <w:r w:rsidR="009E3846" w:rsidRPr="0057696B">
        <w:rPr>
          <w:rFonts w:ascii="Book Antiqua" w:eastAsia="Book Antiqua" w:hAnsi="Book Antiqua" w:cs="Book Antiqua"/>
        </w:rPr>
        <w:lastRenderedPageBreak/>
        <w:t>smokers. There was no difference in the mortality, non-response rate, or time to death between the groups.</w:t>
      </w:r>
    </w:p>
    <w:p w14:paraId="023EB076" w14:textId="77777777" w:rsidR="00A77B3E" w:rsidRPr="0057696B" w:rsidRDefault="00A77B3E" w:rsidP="0057696B">
      <w:pPr>
        <w:spacing w:line="360" w:lineRule="auto"/>
        <w:jc w:val="both"/>
        <w:rPr>
          <w:rFonts w:ascii="Book Antiqua" w:hAnsi="Book Antiqua"/>
        </w:rPr>
      </w:pPr>
    </w:p>
    <w:p w14:paraId="3A0450D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CONCLUSION</w:t>
      </w:r>
    </w:p>
    <w:p w14:paraId="529E4E3B" w14:textId="39B11463"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Our data contributes evidence that cigarette smoking status is associated with increased recurrence for patients with anal cancer.</w:t>
      </w:r>
    </w:p>
    <w:p w14:paraId="1E2BFD29" w14:textId="77777777" w:rsidR="00A77B3E" w:rsidRPr="0057696B" w:rsidRDefault="00A77B3E" w:rsidP="0057696B">
      <w:pPr>
        <w:spacing w:line="360" w:lineRule="auto"/>
        <w:jc w:val="both"/>
        <w:rPr>
          <w:rFonts w:ascii="Book Antiqua" w:hAnsi="Book Antiqua"/>
        </w:rPr>
      </w:pPr>
    </w:p>
    <w:p w14:paraId="189BCB9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Key Words: </w:t>
      </w:r>
      <w:r w:rsidRPr="0057696B">
        <w:rPr>
          <w:rFonts w:ascii="Book Antiqua" w:eastAsia="Book Antiqua" w:hAnsi="Book Antiqua" w:cs="Book Antiqua"/>
        </w:rPr>
        <w:t xml:space="preserve">Anal cancer; Smoking; Recurrence; </w:t>
      </w:r>
      <w:r w:rsidRPr="0057696B">
        <w:rPr>
          <w:rFonts w:ascii="Book Antiqua" w:eastAsia="Book Antiqua" w:hAnsi="Book Antiqua" w:cs="Book Antiqua"/>
          <w:color w:val="000000"/>
        </w:rPr>
        <w:t>N</w:t>
      </w:r>
      <w:r w:rsidRPr="0057696B">
        <w:rPr>
          <w:rFonts w:ascii="Book Antiqua" w:eastAsia="Book Antiqua" w:hAnsi="Book Antiqua" w:cs="Book Antiqua"/>
        </w:rPr>
        <w:t>igro protocol; Chemoradiation; Retrospective review</w:t>
      </w:r>
    </w:p>
    <w:p w14:paraId="2BDD1999" w14:textId="77777777" w:rsidR="00A77B3E" w:rsidRPr="0057696B" w:rsidRDefault="00A77B3E" w:rsidP="0057696B">
      <w:pPr>
        <w:spacing w:line="360" w:lineRule="auto"/>
        <w:jc w:val="both"/>
        <w:rPr>
          <w:rFonts w:ascii="Book Antiqua" w:hAnsi="Book Antiqua"/>
        </w:rPr>
      </w:pPr>
    </w:p>
    <w:p w14:paraId="5C2BC49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McMahon KR, Gemma N, Clapp M, Sanchez-Montejo P, Dibello J, Laipply E. Relationship between anal cancer recurrence and cigarette smoking. </w:t>
      </w:r>
      <w:r w:rsidRPr="0057696B">
        <w:rPr>
          <w:rFonts w:ascii="Book Antiqua" w:eastAsia="Book Antiqua" w:hAnsi="Book Antiqua" w:cs="Book Antiqua"/>
          <w:i/>
          <w:iCs/>
        </w:rPr>
        <w:t>World J Clin Oncol</w:t>
      </w:r>
      <w:r w:rsidRPr="0057696B">
        <w:rPr>
          <w:rFonts w:ascii="Book Antiqua" w:eastAsia="Book Antiqua" w:hAnsi="Book Antiqua" w:cs="Book Antiqua"/>
        </w:rPr>
        <w:t xml:space="preserve"> 2023; In press</w:t>
      </w:r>
    </w:p>
    <w:p w14:paraId="1621D609" w14:textId="77777777" w:rsidR="00A77B3E" w:rsidRPr="0057696B" w:rsidRDefault="00A77B3E" w:rsidP="0057696B">
      <w:pPr>
        <w:spacing w:line="360" w:lineRule="auto"/>
        <w:jc w:val="both"/>
        <w:rPr>
          <w:rFonts w:ascii="Book Antiqua" w:hAnsi="Book Antiqua"/>
        </w:rPr>
      </w:pPr>
    </w:p>
    <w:p w14:paraId="2B1CD071" w14:textId="7C0A7EE6"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Core Tip: </w:t>
      </w:r>
      <w:r w:rsidRPr="0057696B">
        <w:rPr>
          <w:rFonts w:ascii="Book Antiqua" w:eastAsia="Book Antiqua" w:hAnsi="Book Antiqua" w:cs="Book Antiqua"/>
        </w:rPr>
        <w:t>This retrospective review examine</w:t>
      </w:r>
      <w:r w:rsidR="003250A5">
        <w:rPr>
          <w:rFonts w:ascii="Book Antiqua" w:eastAsia="Book Antiqua" w:hAnsi="Book Antiqua" w:cs="Book Antiqua"/>
        </w:rPr>
        <w:t>d</w:t>
      </w:r>
      <w:r w:rsidRPr="0057696B">
        <w:rPr>
          <w:rFonts w:ascii="Book Antiqua" w:eastAsia="Book Antiqua" w:hAnsi="Book Antiqua" w:cs="Book Antiqua"/>
        </w:rPr>
        <w:t xml:space="preserve"> the impact of smoking on anal cancer treatment for 95 patients. Smoking status was associated with a significantly higher rate of anal cancer recurrence after standard treatment. There was not a significant association between smoking status and anal cancer treatment non-response or mortality.</w:t>
      </w:r>
      <w:r w:rsidRPr="0057696B">
        <w:rPr>
          <w:rFonts w:ascii="Book Antiqua" w:eastAsia="Book Antiqua" w:hAnsi="Book Antiqua" w:cs="Book Antiqua"/>
          <w:b/>
          <w:bCs/>
        </w:rPr>
        <w:t xml:space="preserve"> </w:t>
      </w:r>
      <w:r w:rsidRPr="0057696B">
        <w:rPr>
          <w:rFonts w:ascii="Book Antiqua" w:eastAsia="Book Antiqua" w:hAnsi="Book Antiqua" w:cs="Book Antiqua"/>
        </w:rPr>
        <w:t>Further study is needed to determine if smoking cessation would alter the course of anal cancer or if adjunct therapy would be beneficial in patients with anal cancer and a smoking history.</w:t>
      </w:r>
    </w:p>
    <w:p w14:paraId="0B75493C" w14:textId="77777777" w:rsidR="00A77B3E" w:rsidRPr="0057696B" w:rsidRDefault="00A77B3E" w:rsidP="0057696B">
      <w:pPr>
        <w:spacing w:line="360" w:lineRule="auto"/>
        <w:jc w:val="both"/>
        <w:rPr>
          <w:rFonts w:ascii="Book Antiqua" w:hAnsi="Book Antiqua"/>
        </w:rPr>
      </w:pPr>
    </w:p>
    <w:p w14:paraId="2D872F8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INTRODUCTION</w:t>
      </w:r>
    </w:p>
    <w:p w14:paraId="363738BE" w14:textId="5E0128BF"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The incidence of anal cancer is increasing</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xml:space="preserve">. Several risk factors have been associated with anal cancer including </w:t>
      </w:r>
      <w:r w:rsidR="009E3846" w:rsidRPr="0057696B">
        <w:rPr>
          <w:rFonts w:ascii="Book Antiqua" w:eastAsia="Book Antiqua" w:hAnsi="Book Antiqua" w:cs="Book Antiqua"/>
          <w:color w:val="000000"/>
        </w:rPr>
        <w:t>human papilloma virus (HPV)</w:t>
      </w:r>
      <w:r w:rsidRPr="0057696B">
        <w:rPr>
          <w:rFonts w:ascii="Book Antiqua" w:eastAsia="Book Antiqua" w:hAnsi="Book Antiqua" w:cs="Book Antiqua"/>
          <w:color w:val="000000"/>
        </w:rPr>
        <w:t xml:space="preserve">, </w:t>
      </w:r>
      <w:r w:rsidR="009E3846" w:rsidRPr="0057696B">
        <w:rPr>
          <w:rFonts w:ascii="Book Antiqua" w:eastAsia="Book Antiqua" w:hAnsi="Book Antiqua" w:cs="Book Antiqua"/>
          <w:color w:val="000000"/>
        </w:rPr>
        <w:t>HIV</w:t>
      </w:r>
      <w:r w:rsidRPr="0057696B">
        <w:rPr>
          <w:rFonts w:ascii="Book Antiqua" w:eastAsia="Book Antiqua" w:hAnsi="Book Antiqua" w:cs="Book Antiqua"/>
          <w:color w:val="000000"/>
        </w:rPr>
        <w:t xml:space="preserve">, age, immunosuppression, and </w:t>
      </w:r>
      <w:proofErr w:type="gramStart"/>
      <w:r w:rsidRPr="0057696B">
        <w:rPr>
          <w:rFonts w:ascii="Book Antiqua" w:eastAsia="Book Antiqua" w:hAnsi="Book Antiqua" w:cs="Book Antiqua"/>
          <w:color w:val="000000"/>
        </w:rPr>
        <w:t>smoking</w:t>
      </w:r>
      <w:r w:rsidR="009E3846" w:rsidRPr="0057696B">
        <w:rPr>
          <w:rFonts w:ascii="Book Antiqua" w:eastAsia="Book Antiqua" w:hAnsi="Book Antiqua" w:cs="Book Antiqua"/>
          <w:color w:val="000000"/>
          <w:vertAlign w:val="superscript"/>
        </w:rPr>
        <w:t>[</w:t>
      </w:r>
      <w:proofErr w:type="gramEnd"/>
      <w:r w:rsidRPr="0057696B">
        <w:rPr>
          <w:rFonts w:ascii="Book Antiqua" w:eastAsia="Book Antiqua" w:hAnsi="Book Antiqua" w:cs="Book Antiqua"/>
          <w:color w:val="000000"/>
          <w:vertAlign w:val="superscript"/>
        </w:rPr>
        <w:t>1-3</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Although the association between anal cancer and smoking has been well-documented, the association between smoking status and recurrence is much less studied. A few prior studies have examined the impact of smoking status on anal cancer treatment, but these studies have been relatively small with the largest including 171 patients</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 while the other two included 64 and 68 patients</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4-6</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xml:space="preserve">. Given smoking is a </w:t>
      </w:r>
      <w:r w:rsidRPr="0057696B">
        <w:rPr>
          <w:rFonts w:ascii="Book Antiqua" w:eastAsia="Book Antiqua" w:hAnsi="Book Antiqua" w:cs="Book Antiqua"/>
          <w:color w:val="000000"/>
        </w:rPr>
        <w:lastRenderedPageBreak/>
        <w:t>modifiable risk factor, studies examining its relationship with treatment success are important. This study aim</w:t>
      </w:r>
      <w:r w:rsidR="00A62F5D">
        <w:rPr>
          <w:rFonts w:ascii="Book Antiqua" w:eastAsia="Book Antiqua" w:hAnsi="Book Antiqua" w:cs="Book Antiqua"/>
          <w:color w:val="000000"/>
        </w:rPr>
        <w:t>ed</w:t>
      </w:r>
      <w:r w:rsidRPr="0057696B">
        <w:rPr>
          <w:rFonts w:ascii="Book Antiqua" w:eastAsia="Book Antiqua" w:hAnsi="Book Antiqua" w:cs="Book Antiqua"/>
          <w:color w:val="000000"/>
        </w:rPr>
        <w:t xml:space="preserve"> to contribute to the body of data examining treatments and outcomes for patients who smoke and have anal cancer.</w:t>
      </w:r>
    </w:p>
    <w:p w14:paraId="7F889DAC" w14:textId="77777777" w:rsidR="00A77B3E" w:rsidRPr="0057696B" w:rsidRDefault="00A77B3E" w:rsidP="0057696B">
      <w:pPr>
        <w:spacing w:line="360" w:lineRule="auto"/>
        <w:jc w:val="both"/>
        <w:rPr>
          <w:rFonts w:ascii="Book Antiqua" w:hAnsi="Book Antiqua"/>
        </w:rPr>
      </w:pPr>
    </w:p>
    <w:p w14:paraId="3715C8B8"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MATERIALS AND METHODS</w:t>
      </w:r>
    </w:p>
    <w:p w14:paraId="59C210C9" w14:textId="101BF953"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 xml:space="preserve">The study was conducted as a retrospective review of the cancer registry from a single health system. The registry was screened for patients with anal cancer between 2010 and 2020. All patients included in the registry were over the age of 18. The following characteristics were gathered from the database: </w:t>
      </w:r>
      <w:r w:rsidR="00A62F5D">
        <w:rPr>
          <w:rFonts w:ascii="Book Antiqua" w:eastAsia="Book Antiqua" w:hAnsi="Book Antiqua" w:cs="Book Antiqua"/>
          <w:color w:val="000000"/>
        </w:rPr>
        <w:t>a</w:t>
      </w:r>
      <w:r w:rsidRPr="0057696B">
        <w:rPr>
          <w:rFonts w:ascii="Book Antiqua" w:eastAsia="Book Antiqua" w:hAnsi="Book Antiqua" w:cs="Book Antiqua"/>
          <w:color w:val="000000"/>
        </w:rPr>
        <w:t>ge</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sex</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cigarette smoking status</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American Joint Committee on Cancer Clinical Stage Group</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treatment pathway</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response to therapy</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recurrence</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time to recurrence</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mortality</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time to death</w:t>
      </w:r>
      <w:r w:rsidR="002847D5">
        <w:rPr>
          <w:rFonts w:ascii="Book Antiqua" w:eastAsia="Book Antiqua" w:hAnsi="Book Antiqua" w:cs="Book Antiqua"/>
          <w:color w:val="000000"/>
        </w:rPr>
        <w:t>;</w:t>
      </w:r>
      <w:r w:rsidRPr="0057696B">
        <w:rPr>
          <w:rFonts w:ascii="Book Antiqua" w:eastAsia="Book Antiqua" w:hAnsi="Book Antiqua" w:cs="Book Antiqua"/>
          <w:color w:val="000000"/>
        </w:rPr>
        <w:t xml:space="preserve"> and length of follow</w:t>
      </w:r>
      <w:r w:rsidR="00A62F5D">
        <w:rPr>
          <w:rFonts w:ascii="Book Antiqua" w:eastAsia="Book Antiqua" w:hAnsi="Book Antiqua" w:cs="Book Antiqua"/>
          <w:color w:val="000000"/>
        </w:rPr>
        <w:t>-</w:t>
      </w:r>
      <w:r w:rsidRPr="0057696B">
        <w:rPr>
          <w:rFonts w:ascii="Book Antiqua" w:eastAsia="Book Antiqua" w:hAnsi="Book Antiqua" w:cs="Book Antiqua"/>
          <w:color w:val="000000"/>
        </w:rPr>
        <w:t>up. Non-response was defined as persistent presence of disease despite completing standard chemoradiation. Recurrence was defined as the presence of disease after documentation that there was not any disease present. Unfortunately, HPV status and HIV status were not included in the database. Within the database, smoking status was divided into current smokers, n</w:t>
      </w:r>
      <w:r w:rsidR="00EF0EE3">
        <w:rPr>
          <w:rFonts w:ascii="Book Antiqua" w:eastAsia="Book Antiqua" w:hAnsi="Book Antiqua" w:cs="Book Antiqua"/>
          <w:color w:val="000000"/>
        </w:rPr>
        <w:t xml:space="preserve">ever </w:t>
      </w:r>
      <w:r w:rsidRPr="0057696B">
        <w:rPr>
          <w:rFonts w:ascii="Book Antiqua" w:eastAsia="Book Antiqua" w:hAnsi="Book Antiqua" w:cs="Book Antiqua"/>
          <w:color w:val="000000"/>
        </w:rPr>
        <w:t>smokers, and former smokers. Smoking status was determined based on cigarette smoking alone. Current smokers were classified as any patient that reported cigarette smoking within 30 d of the time of diagnosis. Former smokers were classified as patients who had stopped smoking at least 30 d prior to diagnosis.</w:t>
      </w:r>
    </w:p>
    <w:p w14:paraId="050AD5FA" w14:textId="61D0B184"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SPSSv25.0 software (IBM Corp., Armonk, NY, U</w:t>
      </w:r>
      <w:r w:rsidR="009E3846" w:rsidRPr="0057696B">
        <w:rPr>
          <w:rFonts w:ascii="Book Antiqua" w:eastAsia="Book Antiqua" w:hAnsi="Book Antiqua" w:cs="Book Antiqua"/>
          <w:color w:val="000000"/>
        </w:rPr>
        <w:t xml:space="preserve">nited </w:t>
      </w:r>
      <w:r w:rsidRPr="0057696B">
        <w:rPr>
          <w:rFonts w:ascii="Book Antiqua" w:eastAsia="Book Antiqua" w:hAnsi="Book Antiqua" w:cs="Book Antiqua"/>
          <w:color w:val="000000"/>
        </w:rPr>
        <w:t>S</w:t>
      </w:r>
      <w:r w:rsidR="009E3846" w:rsidRPr="0057696B">
        <w:rPr>
          <w:rFonts w:ascii="Book Antiqua" w:eastAsia="Book Antiqua" w:hAnsi="Book Antiqua" w:cs="Book Antiqua"/>
          <w:color w:val="000000"/>
        </w:rPr>
        <w:t>tates</w:t>
      </w:r>
      <w:r w:rsidRPr="0057696B">
        <w:rPr>
          <w:rFonts w:ascii="Book Antiqua" w:eastAsia="Book Antiqua" w:hAnsi="Book Antiqua" w:cs="Book Antiqua"/>
          <w:color w:val="000000"/>
        </w:rPr>
        <w:t>) was used for statistical analysis. Age and length of follow</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up were analyzed between groups using single factor </w:t>
      </w:r>
      <w:r w:rsidR="00A62F5D">
        <w:rPr>
          <w:rFonts w:ascii="Book Antiqua" w:eastAsia="Book Antiqua" w:hAnsi="Book Antiqua" w:cs="Book Antiqua"/>
          <w:color w:val="000000"/>
        </w:rPr>
        <w:t>analysis of variance</w:t>
      </w:r>
      <w:r w:rsidR="00A62F5D" w:rsidRPr="0057696B">
        <w:rPr>
          <w:rFonts w:ascii="Book Antiqua" w:eastAsia="Book Antiqua" w:hAnsi="Book Antiqua" w:cs="Book Antiqua"/>
          <w:color w:val="000000"/>
        </w:rPr>
        <w:t xml:space="preserve"> </w:t>
      </w:r>
      <w:r w:rsidRPr="0057696B">
        <w:rPr>
          <w:rFonts w:ascii="Book Antiqua" w:eastAsia="Book Antiqua" w:hAnsi="Book Antiqua" w:cs="Book Antiqua"/>
          <w:color w:val="000000"/>
        </w:rPr>
        <w:t xml:space="preserve">with Tukey </w:t>
      </w:r>
      <w:r w:rsidRPr="002A41B4">
        <w:rPr>
          <w:rFonts w:ascii="Book Antiqua" w:eastAsia="Book Antiqua" w:hAnsi="Book Antiqua" w:cs="Book Antiqua"/>
          <w:color w:val="000000"/>
        </w:rPr>
        <w:t>post-hoc</w:t>
      </w:r>
      <w:r w:rsidRPr="0057696B">
        <w:rPr>
          <w:rFonts w:ascii="Book Antiqua" w:eastAsia="Book Antiqua" w:hAnsi="Book Antiqua" w:cs="Book Antiqua"/>
          <w:color w:val="000000"/>
        </w:rPr>
        <w:t xml:space="preserve"> test. Patient race and sex were analyzed between groups using Fisher’s exact test and Pearson’s </w:t>
      </w:r>
      <w:r w:rsidR="00A62F5D">
        <w:rPr>
          <w:rFonts w:ascii="Book Antiqua" w:eastAsia="Book Antiqua" w:hAnsi="Book Antiqua" w:cs="Book Antiqua"/>
          <w:i/>
          <w:iCs/>
          <w:color w:val="000000"/>
        </w:rPr>
        <w:sym w:font="Symbol" w:char="F063"/>
      </w:r>
      <w:r w:rsidR="00A62F5D">
        <w:rPr>
          <w:rFonts w:ascii="Book Antiqua" w:eastAsia="Book Antiqua" w:hAnsi="Book Antiqua" w:cs="Book Antiqua"/>
          <w:i/>
          <w:iCs/>
          <w:color w:val="000000"/>
          <w:vertAlign w:val="superscript"/>
        </w:rPr>
        <w:t>2</w:t>
      </w:r>
      <w:r w:rsidRPr="0057696B">
        <w:rPr>
          <w:rFonts w:ascii="Book Antiqua" w:eastAsia="Book Antiqua" w:hAnsi="Book Antiqua" w:cs="Book Antiqua"/>
          <w:color w:val="000000"/>
        </w:rPr>
        <w:t xml:space="preserve"> test</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 respectively. </w:t>
      </w:r>
      <w:r w:rsidRPr="0057696B">
        <w:rPr>
          <w:rFonts w:ascii="Book Antiqua" w:eastAsia="Book Antiqua" w:hAnsi="Book Antiqua" w:cs="Book Antiqua"/>
          <w:i/>
          <w:iCs/>
          <w:color w:val="000000"/>
        </w:rPr>
        <w:t>P</w:t>
      </w:r>
      <w:r w:rsidR="00A62F5D">
        <w:rPr>
          <w:rFonts w:ascii="Book Antiqua" w:eastAsia="Book Antiqua" w:hAnsi="Book Antiqua" w:cs="Book Antiqua"/>
          <w:color w:val="000000"/>
        </w:rPr>
        <w:t xml:space="preserve"> </w:t>
      </w:r>
      <w:r w:rsidRPr="0057696B">
        <w:rPr>
          <w:rFonts w:ascii="Book Antiqua" w:eastAsia="Book Antiqua" w:hAnsi="Book Antiqua" w:cs="Book Antiqua"/>
          <w:color w:val="000000"/>
        </w:rPr>
        <w:t xml:space="preserve">values were generated using an exact Mann-Whitney </w:t>
      </w:r>
      <w:r w:rsidRPr="0057696B">
        <w:rPr>
          <w:rFonts w:ascii="Book Antiqua" w:eastAsia="Book Antiqua" w:hAnsi="Book Antiqua" w:cs="Book Antiqua"/>
          <w:i/>
          <w:iCs/>
          <w:color w:val="000000"/>
        </w:rPr>
        <w:t>U</w:t>
      </w:r>
      <w:r w:rsidR="00A62F5D">
        <w:rPr>
          <w:rFonts w:ascii="Book Antiqua" w:eastAsia="Book Antiqua" w:hAnsi="Book Antiqua" w:cs="Book Antiqua"/>
          <w:color w:val="000000"/>
        </w:rPr>
        <w:t>-</w:t>
      </w:r>
      <w:r w:rsidRPr="0057696B">
        <w:rPr>
          <w:rFonts w:ascii="Book Antiqua" w:eastAsia="Book Antiqua" w:hAnsi="Book Antiqua" w:cs="Book Antiqua"/>
          <w:color w:val="000000"/>
        </w:rPr>
        <w:t xml:space="preserve">test to compare the mortality, non-response, recurrence, and time to recurrence between the current, former, and never smoker groups. </w:t>
      </w:r>
      <w:proofErr w:type="gramStart"/>
      <w:r w:rsidRPr="0057696B">
        <w:rPr>
          <w:rFonts w:ascii="Book Antiqua" w:eastAsia="Book Antiqua" w:hAnsi="Book Antiqua" w:cs="Book Antiqua"/>
          <w:color w:val="000000"/>
        </w:rPr>
        <w:t>In order to</w:t>
      </w:r>
      <w:proofErr w:type="gramEnd"/>
      <w:r w:rsidRPr="0057696B">
        <w:rPr>
          <w:rFonts w:ascii="Book Antiqua" w:eastAsia="Book Antiqua" w:hAnsi="Book Antiqua" w:cs="Book Antiqua"/>
          <w:color w:val="000000"/>
        </w:rPr>
        <w:t xml:space="preserve"> minimize </w:t>
      </w:r>
      <w:r w:rsidR="009E3846" w:rsidRPr="0057696B">
        <w:rPr>
          <w:rFonts w:ascii="Book Antiqua" w:eastAsia="Book Antiqua" w:hAnsi="Book Antiqua" w:cs="Book Antiqua"/>
          <w:color w:val="000000"/>
        </w:rPr>
        <w:t>t</w:t>
      </w:r>
      <w:r w:rsidRPr="0057696B">
        <w:rPr>
          <w:rFonts w:ascii="Book Antiqua" w:eastAsia="Book Antiqua" w:hAnsi="Book Antiqua" w:cs="Book Antiqua"/>
          <w:color w:val="000000"/>
        </w:rPr>
        <w:t xml:space="preserve">ype I error and given the small sample size, Bonferroni adjusted </w:t>
      </w:r>
      <w:r w:rsidRPr="0057696B">
        <w:rPr>
          <w:rFonts w:ascii="Book Antiqua" w:eastAsia="Book Antiqua" w:hAnsi="Book Antiqua" w:cs="Book Antiqua"/>
          <w:i/>
          <w:iCs/>
          <w:color w:val="000000"/>
        </w:rPr>
        <w:t>z</w:t>
      </w:r>
      <w:r w:rsidR="00A62F5D">
        <w:rPr>
          <w:rFonts w:ascii="Book Antiqua" w:eastAsia="Book Antiqua" w:hAnsi="Book Antiqua" w:cs="Book Antiqua"/>
          <w:i/>
          <w:iCs/>
          <w:color w:val="000000"/>
        </w:rPr>
        <w:t>-</w:t>
      </w:r>
      <w:r w:rsidRPr="0057696B">
        <w:rPr>
          <w:rFonts w:ascii="Book Antiqua" w:eastAsia="Book Antiqua" w:hAnsi="Book Antiqua" w:cs="Book Antiqua"/>
          <w:color w:val="000000"/>
        </w:rPr>
        <w:t xml:space="preserve">test was completed to compare the recurrence rate between groups. A subgroup analysis was completed to analyze time to death for the patients who did not respond using a single factor </w:t>
      </w:r>
      <w:r w:rsidR="00A62F5D">
        <w:rPr>
          <w:rFonts w:ascii="Book Antiqua" w:eastAsia="Book Antiqua" w:hAnsi="Book Antiqua" w:cs="Book Antiqua"/>
          <w:color w:val="000000"/>
        </w:rPr>
        <w:t>analysis of variance</w:t>
      </w:r>
      <w:r w:rsidRPr="0057696B">
        <w:rPr>
          <w:rFonts w:ascii="Book Antiqua" w:eastAsia="Book Antiqua" w:hAnsi="Book Antiqua" w:cs="Book Antiqua"/>
          <w:color w:val="000000"/>
        </w:rPr>
        <w:t xml:space="preserve"> test.</w:t>
      </w:r>
    </w:p>
    <w:p w14:paraId="0BBF7AF7" w14:textId="77777777" w:rsidR="00A77B3E" w:rsidRPr="0057696B" w:rsidRDefault="00A77B3E" w:rsidP="0057696B">
      <w:pPr>
        <w:spacing w:line="360" w:lineRule="auto"/>
        <w:jc w:val="both"/>
        <w:rPr>
          <w:rFonts w:ascii="Book Antiqua" w:hAnsi="Book Antiqua"/>
        </w:rPr>
      </w:pPr>
    </w:p>
    <w:p w14:paraId="4BDD107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RESULTS</w:t>
      </w:r>
    </w:p>
    <w:p w14:paraId="7ACDDB61" w14:textId="72917D7A" w:rsidR="00A77B3E" w:rsidRPr="0057696B" w:rsidRDefault="00A62F5D" w:rsidP="0057696B">
      <w:pPr>
        <w:spacing w:line="360" w:lineRule="auto"/>
        <w:jc w:val="both"/>
        <w:rPr>
          <w:rFonts w:ascii="Book Antiqua" w:hAnsi="Book Antiqua"/>
        </w:rPr>
      </w:pPr>
      <w:r>
        <w:rPr>
          <w:rFonts w:ascii="Book Antiqua" w:eastAsia="Book Antiqua" w:hAnsi="Book Antiqua" w:cs="Book Antiqua"/>
          <w:color w:val="000000"/>
        </w:rPr>
        <w:t>A total o</w:t>
      </w:r>
      <w:r w:rsidR="00251F22" w:rsidRPr="0057696B">
        <w:rPr>
          <w:rFonts w:ascii="Book Antiqua" w:eastAsia="Book Antiqua" w:hAnsi="Book Antiqua" w:cs="Book Antiqua"/>
          <w:color w:val="000000"/>
        </w:rPr>
        <w:t xml:space="preserve">f </w:t>
      </w:r>
      <w:r w:rsidR="00323A26" w:rsidRPr="0057696B">
        <w:rPr>
          <w:rFonts w:ascii="Book Antiqua" w:eastAsia="Book Antiqua" w:hAnsi="Book Antiqua" w:cs="Book Antiqua"/>
          <w:color w:val="000000"/>
        </w:rPr>
        <w:t xml:space="preserve">95 patients were identified from the database. The patients were divided into three groups: </w:t>
      </w:r>
      <w:r w:rsidR="00301203">
        <w:rPr>
          <w:rFonts w:ascii="Book Antiqua" w:eastAsia="Book Antiqua" w:hAnsi="Book Antiqua" w:cs="Book Antiqua"/>
          <w:color w:val="000000"/>
        </w:rPr>
        <w:t xml:space="preserve">current </w:t>
      </w:r>
      <w:r>
        <w:rPr>
          <w:rFonts w:ascii="Book Antiqua" w:eastAsia="Book Antiqua" w:hAnsi="Book Antiqua" w:cs="Book Antiqua"/>
          <w:color w:val="000000"/>
        </w:rPr>
        <w:t>s</w:t>
      </w:r>
      <w:r w:rsidR="00323A26" w:rsidRPr="0057696B">
        <w:rPr>
          <w:rFonts w:ascii="Book Antiqua" w:eastAsia="Book Antiqua" w:hAnsi="Book Antiqua" w:cs="Book Antiqua"/>
          <w:color w:val="000000"/>
        </w:rPr>
        <w:t>mokers</w:t>
      </w:r>
      <w:r>
        <w:rPr>
          <w:rFonts w:ascii="Book Antiqua" w:eastAsia="Book Antiqua" w:hAnsi="Book Antiqua" w:cs="Book Antiqua"/>
          <w:color w:val="000000"/>
        </w:rPr>
        <w:t>;</w:t>
      </w:r>
      <w:r w:rsidR="00323A26" w:rsidRPr="0057696B">
        <w:rPr>
          <w:rFonts w:ascii="Book Antiqua" w:eastAsia="Book Antiqua" w:hAnsi="Book Antiqua" w:cs="Book Antiqua"/>
          <w:color w:val="000000"/>
        </w:rPr>
        <w:t xml:space="preserve"> former smokers</w:t>
      </w:r>
      <w:r>
        <w:rPr>
          <w:rFonts w:ascii="Book Antiqua" w:eastAsia="Book Antiqua" w:hAnsi="Book Antiqua" w:cs="Book Antiqua"/>
          <w:color w:val="000000"/>
        </w:rPr>
        <w:t>;</w:t>
      </w:r>
      <w:r w:rsidR="00323A26" w:rsidRPr="0057696B">
        <w:rPr>
          <w:rFonts w:ascii="Book Antiqua" w:eastAsia="Book Antiqua" w:hAnsi="Book Antiqua" w:cs="Book Antiqua"/>
          <w:color w:val="000000"/>
        </w:rPr>
        <w:t xml:space="preserve"> and n</w:t>
      </w:r>
      <w:r w:rsidR="00EF0EE3">
        <w:rPr>
          <w:rFonts w:ascii="Book Antiqua" w:eastAsia="Book Antiqua" w:hAnsi="Book Antiqua" w:cs="Book Antiqua"/>
          <w:color w:val="000000"/>
        </w:rPr>
        <w:t xml:space="preserve">ever </w:t>
      </w:r>
      <w:r w:rsidR="00323A26" w:rsidRPr="0057696B">
        <w:rPr>
          <w:rFonts w:ascii="Book Antiqua" w:eastAsia="Book Antiqua" w:hAnsi="Book Antiqua" w:cs="Book Antiqua"/>
          <w:color w:val="000000"/>
        </w:rPr>
        <w:t>smokers. There was no significant difference in age, race, or sex between the groups (Table 1). There was a difference in age between groups, with the former smokers being older than the smoker and never smoker groups (Table 1).</w:t>
      </w:r>
    </w:p>
    <w:p w14:paraId="466607E2" w14:textId="37510DD2"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 xml:space="preserve">There was no significant difference in mortality or non-response between groups (Table 2). Former and current smokers did have a significantly higher recurrence rate compared to never smokers </w:t>
      </w:r>
      <w:r w:rsidR="002D7DEE">
        <w:rPr>
          <w:rFonts w:ascii="Book Antiqua" w:eastAsia="Book Antiqua" w:hAnsi="Book Antiqua" w:cs="Book Antiqua"/>
          <w:color w:val="000000"/>
        </w:rPr>
        <w:t>(</w:t>
      </w:r>
      <w:r w:rsidRPr="0057696B">
        <w:rPr>
          <w:rFonts w:ascii="Book Antiqua" w:eastAsia="Book Antiqua" w:hAnsi="Book Antiqua" w:cs="Book Antiqua"/>
          <w:i/>
          <w:iCs/>
          <w:color w:val="000000"/>
        </w:rPr>
        <w:t>P</w:t>
      </w:r>
      <w:r w:rsidRPr="0057696B">
        <w:rPr>
          <w:rFonts w:ascii="Book Antiqua" w:eastAsia="Book Antiqua" w:hAnsi="Book Antiqua" w:cs="Book Antiqua"/>
          <w:color w:val="000000"/>
        </w:rPr>
        <w:t xml:space="preserve"> = 0.009</w:t>
      </w:r>
      <w:r w:rsidR="002D7DEE">
        <w:rPr>
          <w:rFonts w:ascii="Book Antiqua" w:eastAsia="Book Antiqua" w:hAnsi="Book Antiqua" w:cs="Book Antiqua"/>
          <w:color w:val="000000"/>
        </w:rPr>
        <w:t>)</w:t>
      </w:r>
      <w:r w:rsidRPr="0057696B">
        <w:rPr>
          <w:rFonts w:ascii="Book Antiqua" w:eastAsia="Book Antiqua" w:hAnsi="Book Antiqua" w:cs="Book Antiqua"/>
          <w:color w:val="000000"/>
        </w:rPr>
        <w:t>. There was no difference in recurrence between the former and current smokers (Table 2).</w:t>
      </w:r>
    </w:p>
    <w:p w14:paraId="53493574" w14:textId="05603080"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 xml:space="preserve">Time to death was analyzed between the groups. On average, there was a shorter time to death in the current smoker arm, but this was not statistically significant (Table 3). The mortality rate between groups in the non-responder subset was also examined. Never smokers who did not respond to treatment were approximately twice as likely to die (43% </w:t>
      </w:r>
      <w:r w:rsidRPr="0057696B">
        <w:rPr>
          <w:rFonts w:ascii="Book Antiqua" w:eastAsia="Book Antiqua" w:hAnsi="Book Antiqua" w:cs="Book Antiqua"/>
          <w:i/>
          <w:iCs/>
          <w:color w:val="000000"/>
        </w:rPr>
        <w:t>vs</w:t>
      </w:r>
      <w:r w:rsidRPr="0057696B">
        <w:rPr>
          <w:rFonts w:ascii="Book Antiqua" w:eastAsia="Book Antiqua" w:hAnsi="Book Antiqua" w:cs="Book Antiqua"/>
          <w:color w:val="000000"/>
        </w:rPr>
        <w:t xml:space="preserve"> 22%</w:t>
      </w:r>
      <w:r w:rsidR="009E3846" w:rsidRPr="0057696B">
        <w:rPr>
          <w:rFonts w:ascii="Book Antiqua" w:eastAsia="Book Antiqua" w:hAnsi="Book Antiqua" w:cs="Book Antiqua"/>
          <w:color w:val="000000"/>
        </w:rPr>
        <w:t>)</w:t>
      </w:r>
      <w:r w:rsidRPr="0057696B">
        <w:rPr>
          <w:rFonts w:ascii="Book Antiqua" w:eastAsia="Book Antiqua" w:hAnsi="Book Antiqua" w:cs="Book Antiqua"/>
          <w:color w:val="000000"/>
        </w:rPr>
        <w:t>, but this did not achieve statistical significance (Table 3).</w:t>
      </w:r>
    </w:p>
    <w:p w14:paraId="3A948080" w14:textId="77777777" w:rsidR="00A77B3E" w:rsidRPr="0057696B" w:rsidRDefault="00A77B3E" w:rsidP="0057696B">
      <w:pPr>
        <w:spacing w:line="360" w:lineRule="auto"/>
        <w:ind w:firstLine="240"/>
        <w:jc w:val="both"/>
        <w:rPr>
          <w:rFonts w:ascii="Book Antiqua" w:hAnsi="Book Antiqua"/>
        </w:rPr>
      </w:pPr>
    </w:p>
    <w:p w14:paraId="6E1294C6"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DISCUSSION</w:t>
      </w:r>
    </w:p>
    <w:p w14:paraId="59E26DCF" w14:textId="5631647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While three prior studies have examined the relationship between anal cancer treatment and smoking status, these studies have been small</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4-6</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xml:space="preserve">. Our data contributes further evidence that smoking status is associated with a worse outcome and increased recurrence for patients with anal cancer. Additionally, it raises two interesting questions: </w:t>
      </w:r>
      <w:r w:rsidR="009E3846" w:rsidRPr="0057696B">
        <w:rPr>
          <w:rFonts w:ascii="Book Antiqua" w:eastAsia="Book Antiqua" w:hAnsi="Book Antiqua" w:cs="Book Antiqua"/>
          <w:color w:val="000000"/>
        </w:rPr>
        <w:t>(</w:t>
      </w:r>
      <w:r w:rsidRPr="0057696B">
        <w:rPr>
          <w:rFonts w:ascii="Book Antiqua" w:eastAsia="Book Antiqua" w:hAnsi="Book Antiqua" w:cs="Book Antiqua"/>
          <w:color w:val="000000"/>
        </w:rPr>
        <w:t xml:space="preserve">1) </w:t>
      </w:r>
      <w:r w:rsidR="009E3846" w:rsidRPr="0057696B">
        <w:rPr>
          <w:rFonts w:ascii="Book Antiqua" w:eastAsia="Book Antiqua" w:hAnsi="Book Antiqua" w:cs="Book Antiqua"/>
          <w:color w:val="000000"/>
        </w:rPr>
        <w:t>S</w:t>
      </w:r>
      <w:r w:rsidRPr="0057696B">
        <w:rPr>
          <w:rFonts w:ascii="Book Antiqua" w:eastAsia="Book Antiqua" w:hAnsi="Book Antiqua" w:cs="Book Antiqua"/>
          <w:color w:val="000000"/>
        </w:rPr>
        <w:t xml:space="preserve">hould smokers and former smokers have more aggressive anal cancer treatment to reduce risk of </w:t>
      </w:r>
      <w:proofErr w:type="gramStart"/>
      <w:r w:rsidRPr="0057696B">
        <w:rPr>
          <w:rFonts w:ascii="Book Antiqua" w:eastAsia="Book Antiqua" w:hAnsi="Book Antiqua" w:cs="Book Antiqua"/>
          <w:color w:val="000000"/>
        </w:rPr>
        <w:t>recurrence?</w:t>
      </w:r>
      <w:r w:rsidR="004E0798">
        <w:rPr>
          <w:rFonts w:ascii="Book Antiqua" w:eastAsia="Book Antiqua" w:hAnsi="Book Antiqua" w:cs="Book Antiqua"/>
          <w:color w:val="000000"/>
        </w:rPr>
        <w:t>;</w:t>
      </w:r>
      <w:proofErr w:type="gramEnd"/>
      <w:r w:rsidRPr="0057696B">
        <w:rPr>
          <w:rFonts w:ascii="Book Antiqua" w:eastAsia="Book Antiqua" w:hAnsi="Book Antiqua" w:cs="Book Antiqua"/>
          <w:color w:val="000000"/>
        </w:rPr>
        <w:t xml:space="preserve"> </w:t>
      </w:r>
      <w:r w:rsidR="009E3846" w:rsidRPr="0057696B">
        <w:rPr>
          <w:rFonts w:ascii="Book Antiqua" w:eastAsia="Book Antiqua" w:hAnsi="Book Antiqua" w:cs="Book Antiqua"/>
          <w:color w:val="000000"/>
        </w:rPr>
        <w:t>a</w:t>
      </w:r>
      <w:r w:rsidRPr="0057696B">
        <w:rPr>
          <w:rFonts w:ascii="Book Antiqua" w:eastAsia="Book Antiqua" w:hAnsi="Book Antiqua" w:cs="Book Antiqua"/>
          <w:color w:val="000000"/>
        </w:rPr>
        <w:t xml:space="preserve">nd </w:t>
      </w:r>
      <w:r w:rsidR="009E3846" w:rsidRPr="0057696B">
        <w:rPr>
          <w:rFonts w:ascii="Book Antiqua" w:eastAsia="Book Antiqua" w:hAnsi="Book Antiqua" w:cs="Book Antiqua"/>
          <w:color w:val="000000"/>
        </w:rPr>
        <w:t>(</w:t>
      </w:r>
      <w:r w:rsidRPr="0057696B">
        <w:rPr>
          <w:rFonts w:ascii="Book Antiqua" w:eastAsia="Book Antiqua" w:hAnsi="Book Antiqua" w:cs="Book Antiqua"/>
          <w:color w:val="000000"/>
        </w:rPr>
        <w:t xml:space="preserve">2) </w:t>
      </w:r>
      <w:r w:rsidR="009E3846" w:rsidRPr="0057696B">
        <w:rPr>
          <w:rFonts w:ascii="Book Antiqua" w:eastAsia="Book Antiqua" w:hAnsi="Book Antiqua" w:cs="Book Antiqua"/>
          <w:color w:val="000000"/>
        </w:rPr>
        <w:t>D</w:t>
      </w:r>
      <w:r w:rsidRPr="0057696B">
        <w:rPr>
          <w:rFonts w:ascii="Book Antiqua" w:eastAsia="Book Antiqua" w:hAnsi="Book Antiqua" w:cs="Book Antiqua"/>
          <w:color w:val="000000"/>
        </w:rPr>
        <w:t>oes smoking cessation result in an improvement in anal cancer outcomes</w:t>
      </w:r>
      <w:r w:rsidR="004E0798">
        <w:rPr>
          <w:rFonts w:ascii="Book Antiqua" w:eastAsia="Book Antiqua" w:hAnsi="Book Antiqua" w:cs="Book Antiqua"/>
          <w:color w:val="000000"/>
        </w:rPr>
        <w:t>?</w:t>
      </w:r>
      <w:r w:rsidRPr="0057696B">
        <w:rPr>
          <w:rFonts w:ascii="Book Antiqua" w:eastAsia="Book Antiqua" w:hAnsi="Book Antiqua" w:cs="Book Antiqua"/>
          <w:color w:val="000000"/>
        </w:rPr>
        <w:t xml:space="preserve"> Lerman </w:t>
      </w:r>
      <w:r w:rsidRPr="0057696B">
        <w:rPr>
          <w:rFonts w:ascii="Book Antiqua" w:eastAsia="Book Antiqua" w:hAnsi="Book Antiqua" w:cs="Book Antiqua"/>
          <w:i/>
          <w:iCs/>
          <w:color w:val="000000"/>
        </w:rPr>
        <w:t>et al</w:t>
      </w:r>
      <w:r w:rsidR="009E3846" w:rsidRPr="0057696B">
        <w:rPr>
          <w:rFonts w:ascii="Book Antiqua" w:eastAsia="Book Antiqua" w:hAnsi="Book Antiqua" w:cs="Book Antiqua"/>
          <w:color w:val="000000"/>
          <w:vertAlign w:val="superscript"/>
        </w:rPr>
        <w:t>[4]</w:t>
      </w:r>
      <w:r w:rsidRPr="0057696B">
        <w:rPr>
          <w:rFonts w:ascii="Book Antiqua" w:eastAsia="Book Antiqua" w:hAnsi="Book Antiqua" w:cs="Book Antiqua"/>
          <w:color w:val="000000"/>
        </w:rPr>
        <w:t xml:space="preserve"> raise</w:t>
      </w:r>
      <w:r w:rsidR="004E0798">
        <w:rPr>
          <w:rFonts w:ascii="Book Antiqua" w:eastAsia="Book Antiqua" w:hAnsi="Book Antiqua" w:cs="Book Antiqua"/>
          <w:color w:val="000000"/>
        </w:rPr>
        <w:t>d</w:t>
      </w:r>
      <w:r w:rsidRPr="0057696B">
        <w:rPr>
          <w:rFonts w:ascii="Book Antiqua" w:eastAsia="Book Antiqua" w:hAnsi="Book Antiqua" w:cs="Book Antiqua"/>
          <w:color w:val="000000"/>
        </w:rPr>
        <w:t xml:space="preserve"> the question of whether smokers would benefit from </w:t>
      </w:r>
      <w:r w:rsidR="009E3846" w:rsidRPr="0057696B">
        <w:rPr>
          <w:rFonts w:ascii="Book Antiqua" w:eastAsia="Book Antiqua" w:hAnsi="Book Antiqua" w:cs="Book Antiqua"/>
          <w:color w:val="000000"/>
        </w:rPr>
        <w:t>programmed cell death 1</w:t>
      </w:r>
      <w:r w:rsidRPr="0057696B">
        <w:rPr>
          <w:rFonts w:ascii="Book Antiqua" w:eastAsia="Book Antiqua" w:hAnsi="Book Antiqua" w:cs="Book Antiqua"/>
          <w:color w:val="000000"/>
        </w:rPr>
        <w:t xml:space="preserve"> inhibitors given the seemingly reduced efficacy of chemoradiation in smokers and a similar trend in non-small cell lung cancer. While our paper is limited in its evaluation, it does highlight the need for studies examining varying treatment options for smokers moving forward.</w:t>
      </w:r>
    </w:p>
    <w:p w14:paraId="5E9B7E08" w14:textId="5130152C"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lastRenderedPageBreak/>
        <w:t>Interestingly, 14 of the never smoker patients did not respond to initial treatment. Of these patients, 43% died, with an average of 598 d after diagnosis (Table 3). This mortality rate was twice as high as the mortality rate for former and current smokers who did not respond. Although this did not achieve statistical significance due to the small numbers of this study, it is an interesting trend. One potential hypothesis is that never smokers who do not respond to initial therapy have a more aggressive tumor biology. Our data is not extensive enough to examine this further, but future research should examine this relationship. If confirmed, one could consider examining more aggressive treatment pathways for n</w:t>
      </w:r>
      <w:r w:rsidR="00EF0EE3">
        <w:rPr>
          <w:rFonts w:ascii="Book Antiqua" w:eastAsia="Book Antiqua" w:hAnsi="Book Antiqua" w:cs="Book Antiqua"/>
          <w:color w:val="000000"/>
        </w:rPr>
        <w:t xml:space="preserve">ever </w:t>
      </w:r>
      <w:r w:rsidRPr="0057696B">
        <w:rPr>
          <w:rFonts w:ascii="Book Antiqua" w:eastAsia="Book Antiqua" w:hAnsi="Book Antiqua" w:cs="Book Antiqua"/>
          <w:color w:val="000000"/>
        </w:rPr>
        <w:t>smokers who do not respond to initial chemoradiation.</w:t>
      </w:r>
    </w:p>
    <w:p w14:paraId="0E3EDEF6" w14:textId="3E2CCFD9"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Unfortunately, th</w:t>
      </w:r>
      <w:r w:rsidR="00822BE9">
        <w:rPr>
          <w:rFonts w:ascii="Book Antiqua" w:eastAsia="Book Antiqua" w:hAnsi="Book Antiqua" w:cs="Book Antiqua"/>
          <w:color w:val="000000"/>
        </w:rPr>
        <w:t>e</w:t>
      </w:r>
      <w:r w:rsidRPr="0057696B">
        <w:rPr>
          <w:rFonts w:ascii="Book Antiqua" w:eastAsia="Book Antiqua" w:hAnsi="Book Antiqua" w:cs="Book Antiqua"/>
          <w:color w:val="000000"/>
        </w:rPr>
        <w:t xml:space="preserve"> database </w:t>
      </w:r>
      <w:r w:rsidR="00822BE9">
        <w:rPr>
          <w:rFonts w:ascii="Book Antiqua" w:eastAsia="Book Antiqua" w:hAnsi="Book Antiqua" w:cs="Book Antiqua"/>
          <w:color w:val="000000"/>
        </w:rPr>
        <w:t xml:space="preserve">used for this study </w:t>
      </w:r>
      <w:r w:rsidRPr="0057696B">
        <w:rPr>
          <w:rFonts w:ascii="Book Antiqua" w:eastAsia="Book Antiqua" w:hAnsi="Book Antiqua" w:cs="Book Antiqua"/>
          <w:color w:val="000000"/>
        </w:rPr>
        <w:t>did not include patient HPV status. This could be an important confounder that is not accounted for in this data. In similar cohorts of patients, 74%-88% of patients with anal cancer were HPV positive</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1,3</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Although HPV is certainly linked to anal cancer, these same studies have shown that smoking status is an independent risk factor for anal cancer apart from HPV</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1,3</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 Additionally, the impact of HPV status on anal cancer outcome is not clear at this time as the two other largest studies examining anal cancer outcome and smoking status did not have HPV status collected for their cohorts either</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vertAlign w:val="superscript"/>
        </w:rPr>
        <w:t>4,5</w:t>
      </w:r>
      <w:r w:rsidR="009E3846" w:rsidRPr="0057696B">
        <w:rPr>
          <w:rFonts w:ascii="Book Antiqua" w:eastAsia="Book Antiqua" w:hAnsi="Book Antiqua" w:cs="Book Antiqua"/>
          <w:color w:val="000000"/>
          <w:vertAlign w:val="superscript"/>
        </w:rPr>
        <w:t>]</w:t>
      </w:r>
      <w:r w:rsidRPr="0057696B">
        <w:rPr>
          <w:rFonts w:ascii="Book Antiqua" w:eastAsia="Book Antiqua" w:hAnsi="Book Antiqua" w:cs="Book Antiqua"/>
          <w:color w:val="000000"/>
        </w:rPr>
        <w:t>.</w:t>
      </w:r>
    </w:p>
    <w:p w14:paraId="1CFC45FB" w14:textId="77777777" w:rsidR="00A77B3E" w:rsidRPr="0057696B" w:rsidRDefault="00323A26" w:rsidP="0057696B">
      <w:pPr>
        <w:spacing w:line="360" w:lineRule="auto"/>
        <w:ind w:firstLine="240"/>
        <w:jc w:val="both"/>
        <w:rPr>
          <w:rFonts w:ascii="Book Antiqua" w:hAnsi="Book Antiqua"/>
        </w:rPr>
      </w:pPr>
      <w:r w:rsidRPr="0057696B">
        <w:rPr>
          <w:rFonts w:ascii="Book Antiqua" w:eastAsia="Book Antiqua" w:hAnsi="Book Antiqua" w:cs="Book Antiqua"/>
          <w:color w:val="000000"/>
        </w:rPr>
        <w:t>As noted before, this study is limited in its scope due to the retrospective nature and limitations of the collected data. A prospective study examining the impact of smoking cessation on anal cancer treatment would be valuable. Even without a prospective study, this study adds important data indicating an increased incidence of anal cancer recurrence in patients who smoke.</w:t>
      </w:r>
    </w:p>
    <w:p w14:paraId="15157405" w14:textId="77777777" w:rsidR="00A77B3E" w:rsidRPr="0057696B" w:rsidRDefault="00A77B3E" w:rsidP="002A41B4">
      <w:pPr>
        <w:spacing w:line="360" w:lineRule="auto"/>
        <w:jc w:val="both"/>
        <w:rPr>
          <w:rFonts w:ascii="Book Antiqua" w:hAnsi="Book Antiqua"/>
        </w:rPr>
      </w:pPr>
    </w:p>
    <w:p w14:paraId="7310A26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CONCLUSION</w:t>
      </w:r>
    </w:p>
    <w:p w14:paraId="603256C7" w14:textId="51B3B6D9"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color w:val="000000"/>
        </w:rPr>
        <w:t>This paper highlight</w:t>
      </w:r>
      <w:r w:rsidR="00822BE9">
        <w:rPr>
          <w:rFonts w:ascii="Book Antiqua" w:eastAsia="Book Antiqua" w:hAnsi="Book Antiqua" w:cs="Book Antiqua"/>
          <w:color w:val="000000"/>
        </w:rPr>
        <w:t>ed</w:t>
      </w:r>
      <w:r w:rsidRPr="0057696B">
        <w:rPr>
          <w:rFonts w:ascii="Book Antiqua" w:eastAsia="Book Antiqua" w:hAnsi="Book Antiqua" w:cs="Book Antiqua"/>
          <w:color w:val="000000"/>
        </w:rPr>
        <w:t xml:space="preserve"> the increased risk of anal cancer recurrence in patients who smoke. Although this study </w:t>
      </w:r>
      <w:r w:rsidR="00822BE9">
        <w:rPr>
          <w:rFonts w:ascii="Book Antiqua" w:eastAsia="Book Antiqua" w:hAnsi="Book Antiqua" w:cs="Book Antiqua"/>
          <w:color w:val="000000"/>
        </w:rPr>
        <w:t>wa</w:t>
      </w:r>
      <w:r w:rsidRPr="0057696B">
        <w:rPr>
          <w:rFonts w:ascii="Book Antiqua" w:eastAsia="Book Antiqua" w:hAnsi="Book Antiqua" w:cs="Book Antiqua"/>
          <w:color w:val="000000"/>
        </w:rPr>
        <w:t>s small and limited in its scope, compared to current literature it is the second largest cohort of patients examining anal cancer, smoking, and recurrence. Further research is needed to examine the impact of smoking cessation on anal cancer treatment outcome and if adjuncts to standard therapy would be beneficial in patients who smoke.</w:t>
      </w:r>
    </w:p>
    <w:p w14:paraId="0637EDBB" w14:textId="77777777" w:rsidR="00A77B3E" w:rsidRPr="0057696B" w:rsidRDefault="00A77B3E" w:rsidP="0057696B">
      <w:pPr>
        <w:spacing w:line="360" w:lineRule="auto"/>
        <w:jc w:val="both"/>
        <w:rPr>
          <w:rFonts w:ascii="Book Antiqua" w:hAnsi="Book Antiqua"/>
        </w:rPr>
      </w:pPr>
    </w:p>
    <w:p w14:paraId="2AA7E5D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aps/>
          <w:color w:val="000000"/>
          <w:u w:val="single"/>
        </w:rPr>
        <w:t>ARTICLE HIGHLIGHTS</w:t>
      </w:r>
    </w:p>
    <w:p w14:paraId="06285653"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background</w:t>
      </w:r>
    </w:p>
    <w:p w14:paraId="2D774A8E" w14:textId="54D11B5C"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Despite the occurrence of approximately 50000 new cases of anal cancer per year and the clear link with smoking, very few studies have examined the relationship between smoking status and treatment outcome. It has already been shown that there is a link between anal cancer and smoking. This paper goes further and show</w:t>
      </w:r>
      <w:r w:rsidR="00D73B18">
        <w:rPr>
          <w:rFonts w:ascii="Book Antiqua" w:eastAsia="Book Antiqua" w:hAnsi="Book Antiqua" w:cs="Book Antiqua"/>
          <w:color w:val="000000"/>
        </w:rPr>
        <w:t>ed</w:t>
      </w:r>
      <w:r w:rsidRPr="0057696B">
        <w:rPr>
          <w:rFonts w:ascii="Book Antiqua" w:eastAsia="Book Antiqua" w:hAnsi="Book Antiqua" w:cs="Book Antiqua"/>
          <w:color w:val="000000"/>
        </w:rPr>
        <w:t xml:space="preserve"> that there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 xml:space="preserve">s an increased risk of recurrence in patients who smoke and have a history of smoking. This serves as a foundation for future research to examine modifications to </w:t>
      </w:r>
      <w:r w:rsidR="00D73B18">
        <w:rPr>
          <w:rFonts w:ascii="Book Antiqua" w:eastAsia="Book Antiqua" w:hAnsi="Book Antiqua" w:cs="Book Antiqua"/>
          <w:color w:val="000000"/>
        </w:rPr>
        <w:t xml:space="preserve">the </w:t>
      </w:r>
      <w:r w:rsidRPr="0057696B">
        <w:rPr>
          <w:rFonts w:ascii="Book Antiqua" w:eastAsia="Book Antiqua" w:hAnsi="Book Antiqua" w:cs="Book Antiqua"/>
          <w:color w:val="000000"/>
        </w:rPr>
        <w:t>current treatment approach for patients with anal cancer.</w:t>
      </w:r>
    </w:p>
    <w:p w14:paraId="7696842A" w14:textId="77777777" w:rsidR="00A77B3E" w:rsidRPr="0057696B" w:rsidRDefault="00A77B3E" w:rsidP="0057696B">
      <w:pPr>
        <w:spacing w:line="360" w:lineRule="auto"/>
        <w:jc w:val="both"/>
        <w:rPr>
          <w:rFonts w:ascii="Book Antiqua" w:hAnsi="Book Antiqua"/>
        </w:rPr>
      </w:pPr>
    </w:p>
    <w:p w14:paraId="075939F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motivation</w:t>
      </w:r>
    </w:p>
    <w:p w14:paraId="552EFC14" w14:textId="63DC564A"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rPr>
        <w:t>Investigating the relationship between cigarette smoking status and anal cancer treatment outcome.</w:t>
      </w:r>
    </w:p>
    <w:p w14:paraId="33BD0C3F" w14:textId="77777777" w:rsidR="00A77B3E" w:rsidRPr="0057696B" w:rsidRDefault="00A77B3E" w:rsidP="0057696B">
      <w:pPr>
        <w:spacing w:line="360" w:lineRule="auto"/>
        <w:jc w:val="both"/>
        <w:rPr>
          <w:rFonts w:ascii="Book Antiqua" w:hAnsi="Book Antiqua"/>
        </w:rPr>
      </w:pPr>
    </w:p>
    <w:p w14:paraId="768B9DE2"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objectives</w:t>
      </w:r>
    </w:p>
    <w:p w14:paraId="1A607090" w14:textId="4D435424" w:rsidR="009E3846" w:rsidRPr="0057696B" w:rsidRDefault="009E3846" w:rsidP="0057696B">
      <w:pPr>
        <w:spacing w:line="360" w:lineRule="auto"/>
        <w:jc w:val="both"/>
        <w:rPr>
          <w:rFonts w:ascii="Book Antiqua" w:hAnsi="Book Antiqua"/>
        </w:rPr>
      </w:pPr>
      <w:r w:rsidRPr="0057696B">
        <w:rPr>
          <w:rFonts w:ascii="Book Antiqua" w:eastAsia="Book Antiqua" w:hAnsi="Book Antiqua" w:cs="Book Antiqua"/>
          <w:color w:val="000000"/>
        </w:rPr>
        <w:t xml:space="preserve">The main objective of this study was </w:t>
      </w:r>
      <w:r w:rsidR="00C8615C" w:rsidRPr="0057696B">
        <w:rPr>
          <w:rFonts w:ascii="Book Antiqua" w:eastAsia="Book Antiqua" w:hAnsi="Book Antiqua" w:cs="Book Antiqua"/>
          <w:color w:val="000000"/>
        </w:rPr>
        <w:t>t</w:t>
      </w:r>
      <w:r w:rsidRPr="0057696B">
        <w:rPr>
          <w:rFonts w:ascii="Book Antiqua" w:eastAsia="Book Antiqua" w:hAnsi="Book Antiqua" w:cs="Book Antiqua"/>
          <w:color w:val="000000"/>
        </w:rPr>
        <w:t xml:space="preserve">o examine the relationship </w:t>
      </w:r>
      <w:r w:rsidR="00D73B18">
        <w:rPr>
          <w:rFonts w:ascii="Book Antiqua" w:eastAsia="Book Antiqua" w:hAnsi="Book Antiqua" w:cs="Book Antiqua"/>
          <w:color w:val="000000"/>
        </w:rPr>
        <w:t>between</w:t>
      </w:r>
      <w:r w:rsidRPr="0057696B">
        <w:rPr>
          <w:rFonts w:ascii="Book Antiqua" w:eastAsia="Book Antiqua" w:hAnsi="Book Antiqua" w:cs="Book Antiqua"/>
          <w:color w:val="000000"/>
        </w:rPr>
        <w:t xml:space="preserve"> smoking status and outcome</w:t>
      </w:r>
      <w:r w:rsidR="00D73B18">
        <w:rPr>
          <w:rFonts w:ascii="Book Antiqua" w:eastAsia="Book Antiqua" w:hAnsi="Book Antiqua" w:cs="Book Antiqua"/>
          <w:color w:val="000000"/>
        </w:rPr>
        <w:t>s</w:t>
      </w:r>
      <w:r w:rsidRPr="0057696B">
        <w:rPr>
          <w:rFonts w:ascii="Book Antiqua" w:eastAsia="Book Antiqua" w:hAnsi="Book Antiqua" w:cs="Book Antiqua"/>
          <w:color w:val="000000"/>
        </w:rPr>
        <w:t xml:space="preserve"> for patients with anal cancer.</w:t>
      </w:r>
    </w:p>
    <w:p w14:paraId="35E2F7D1" w14:textId="77777777" w:rsidR="00A77B3E" w:rsidRPr="0057696B" w:rsidRDefault="00A77B3E" w:rsidP="0057696B">
      <w:pPr>
        <w:spacing w:line="360" w:lineRule="auto"/>
        <w:jc w:val="both"/>
        <w:rPr>
          <w:rFonts w:ascii="Book Antiqua" w:hAnsi="Book Antiqua"/>
        </w:rPr>
      </w:pPr>
    </w:p>
    <w:p w14:paraId="5F49D54E"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methods</w:t>
      </w:r>
    </w:p>
    <w:p w14:paraId="3E91368B" w14:textId="0C671A0E" w:rsidR="009E3846" w:rsidRPr="0057696B" w:rsidRDefault="00D73B18" w:rsidP="0057696B">
      <w:pPr>
        <w:spacing w:line="360" w:lineRule="auto"/>
        <w:jc w:val="both"/>
        <w:rPr>
          <w:rFonts w:ascii="Book Antiqua" w:hAnsi="Book Antiqua"/>
        </w:rPr>
      </w:pPr>
      <w:r>
        <w:rPr>
          <w:rFonts w:ascii="Book Antiqua" w:eastAsia="Book Antiqua" w:hAnsi="Book Antiqua" w:cs="Book Antiqua"/>
          <w:color w:val="000000"/>
        </w:rPr>
        <w:t>A total o</w:t>
      </w:r>
      <w:r w:rsidR="009E3846" w:rsidRPr="0057696B">
        <w:rPr>
          <w:rFonts w:ascii="Book Antiqua" w:eastAsia="Book Antiqua" w:hAnsi="Book Antiqua" w:cs="Book Antiqua"/>
          <w:color w:val="000000"/>
        </w:rPr>
        <w:t>f 95 patients were included in this data, making it the second largest study to examine the impact of smoking on anal cancer treatment outcome</w:t>
      </w:r>
      <w:r>
        <w:rPr>
          <w:rFonts w:ascii="Book Antiqua" w:eastAsia="Book Antiqua" w:hAnsi="Book Antiqua" w:cs="Book Antiqua"/>
          <w:color w:val="000000"/>
        </w:rPr>
        <w:t>s</w:t>
      </w:r>
      <w:r w:rsidR="009E3846" w:rsidRPr="0057696B">
        <w:rPr>
          <w:rFonts w:ascii="Book Antiqua" w:eastAsia="Book Antiqua" w:hAnsi="Book Antiqua" w:cs="Book Antiqua"/>
          <w:color w:val="000000"/>
        </w:rPr>
        <w:t xml:space="preserve">. The patients were similar between </w:t>
      </w:r>
      <w:r>
        <w:rPr>
          <w:rFonts w:ascii="Book Antiqua" w:eastAsia="Book Antiqua" w:hAnsi="Book Antiqua" w:cs="Book Antiqua"/>
          <w:color w:val="000000"/>
        </w:rPr>
        <w:t xml:space="preserve">the </w:t>
      </w:r>
      <w:r w:rsidR="009E3846" w:rsidRPr="0057696B">
        <w:rPr>
          <w:rFonts w:ascii="Book Antiqua" w:eastAsia="Book Antiqua" w:hAnsi="Book Antiqua" w:cs="Book Antiqua"/>
          <w:color w:val="000000"/>
        </w:rPr>
        <w:t xml:space="preserve">groups (never smokers, former smokers, and current smokers) </w:t>
      </w:r>
      <w:proofErr w:type="gramStart"/>
      <w:r w:rsidR="009E3846" w:rsidRPr="0057696B">
        <w:rPr>
          <w:rFonts w:ascii="Book Antiqua" w:eastAsia="Book Antiqua" w:hAnsi="Book Antiqua" w:cs="Book Antiqua"/>
          <w:color w:val="000000"/>
        </w:rPr>
        <w:t>in regards to</w:t>
      </w:r>
      <w:proofErr w:type="gramEnd"/>
      <w:r w:rsidR="009E3846" w:rsidRPr="0057696B">
        <w:rPr>
          <w:rFonts w:ascii="Book Antiqua" w:eastAsia="Book Antiqua" w:hAnsi="Book Antiqua" w:cs="Book Antiqua"/>
          <w:color w:val="000000"/>
        </w:rPr>
        <w:t xml:space="preserve"> important factors such as clinical stage group, race, and </w:t>
      </w:r>
      <w:r w:rsidR="00D3402E">
        <w:rPr>
          <w:rFonts w:ascii="Book Antiqua" w:eastAsia="Book Antiqua" w:hAnsi="Book Antiqua" w:cs="Book Antiqua"/>
          <w:color w:val="000000"/>
        </w:rPr>
        <w:t>sex</w:t>
      </w:r>
      <w:r w:rsidR="009E3846" w:rsidRPr="0057696B">
        <w:rPr>
          <w:rFonts w:ascii="Book Antiqua" w:eastAsia="Book Antiqua" w:hAnsi="Book Antiqua" w:cs="Book Antiqua"/>
          <w:color w:val="000000"/>
        </w:rPr>
        <w:t>. Former and current smokers had a higher recurrence rate compared to never smokers. There was no difference in the mortality, non-response rate, or time to death between the groups. Unfortunately, data did not include human papilloma virus status</w:t>
      </w:r>
      <w:r>
        <w:rPr>
          <w:rFonts w:ascii="Book Antiqua" w:eastAsia="Book Antiqua" w:hAnsi="Book Antiqua" w:cs="Book Antiqua"/>
          <w:color w:val="000000"/>
        </w:rPr>
        <w:t>,</w:t>
      </w:r>
      <w:r w:rsidR="009E3846" w:rsidRPr="0057696B">
        <w:rPr>
          <w:rFonts w:ascii="Book Antiqua" w:eastAsia="Book Antiqua" w:hAnsi="Book Antiqua" w:cs="Book Antiqua"/>
          <w:color w:val="000000"/>
        </w:rPr>
        <w:t xml:space="preserve"> which would be an important area to include for future research.</w:t>
      </w:r>
    </w:p>
    <w:p w14:paraId="585F103D" w14:textId="77777777" w:rsidR="00A77B3E" w:rsidRPr="0057696B" w:rsidRDefault="00A77B3E" w:rsidP="0057696B">
      <w:pPr>
        <w:spacing w:line="360" w:lineRule="auto"/>
        <w:jc w:val="both"/>
        <w:rPr>
          <w:rFonts w:ascii="Book Antiqua" w:hAnsi="Book Antiqua"/>
        </w:rPr>
      </w:pPr>
    </w:p>
    <w:p w14:paraId="51FEDE2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results</w:t>
      </w:r>
    </w:p>
    <w:p w14:paraId="36157A8A" w14:textId="6A5F4AD9"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lastRenderedPageBreak/>
        <w:t xml:space="preserve">There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s an increased risk of anal cancer recurrence in patients who currently smoke and have a history of smoking.</w:t>
      </w:r>
    </w:p>
    <w:p w14:paraId="1263A343" w14:textId="77777777" w:rsidR="00A77B3E" w:rsidRPr="0057696B" w:rsidRDefault="00A77B3E" w:rsidP="0057696B">
      <w:pPr>
        <w:spacing w:line="360" w:lineRule="auto"/>
        <w:jc w:val="both"/>
        <w:rPr>
          <w:rFonts w:ascii="Book Antiqua" w:hAnsi="Book Antiqua"/>
        </w:rPr>
      </w:pPr>
    </w:p>
    <w:p w14:paraId="137AED67"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conclusions</w:t>
      </w:r>
    </w:p>
    <w:p w14:paraId="068680F3" w14:textId="407D55AB"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 xml:space="preserve">This study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 xml:space="preserve">s the second largest study examining the relationship between treatment outcome and smoking status in patients with anal cancer. Although this data </w:t>
      </w:r>
      <w:r w:rsidR="00D73B18">
        <w:rPr>
          <w:rFonts w:ascii="Book Antiqua" w:eastAsia="Book Antiqua" w:hAnsi="Book Antiqua" w:cs="Book Antiqua"/>
          <w:color w:val="000000"/>
        </w:rPr>
        <w:t>wa</w:t>
      </w:r>
      <w:r w:rsidRPr="0057696B">
        <w:rPr>
          <w:rFonts w:ascii="Book Antiqua" w:eastAsia="Book Antiqua" w:hAnsi="Book Antiqua" w:cs="Book Antiqua"/>
          <w:color w:val="000000"/>
        </w:rPr>
        <w:t>s limited in its scope, it contribute</w:t>
      </w:r>
      <w:r w:rsidR="00D73B18">
        <w:rPr>
          <w:rFonts w:ascii="Book Antiqua" w:eastAsia="Book Antiqua" w:hAnsi="Book Antiqua" w:cs="Book Antiqua"/>
          <w:color w:val="000000"/>
        </w:rPr>
        <w:t>d</w:t>
      </w:r>
      <w:r w:rsidRPr="0057696B">
        <w:rPr>
          <w:rFonts w:ascii="Book Antiqua" w:eastAsia="Book Antiqua" w:hAnsi="Book Antiqua" w:cs="Book Antiqua"/>
          <w:color w:val="000000"/>
        </w:rPr>
        <w:t xml:space="preserve"> further to the limited body of evidence that smoking increases risk of recurrence of anal cancer.</w:t>
      </w:r>
    </w:p>
    <w:p w14:paraId="7FD11ECB" w14:textId="77777777" w:rsidR="00A77B3E" w:rsidRPr="0057696B" w:rsidRDefault="00A77B3E" w:rsidP="0057696B">
      <w:pPr>
        <w:spacing w:line="360" w:lineRule="auto"/>
        <w:jc w:val="both"/>
        <w:rPr>
          <w:rFonts w:ascii="Book Antiqua" w:hAnsi="Book Antiqua"/>
        </w:rPr>
      </w:pPr>
    </w:p>
    <w:p w14:paraId="149747C3"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i/>
          <w:color w:val="000000"/>
        </w:rPr>
        <w:t>Research perspectives</w:t>
      </w:r>
    </w:p>
    <w:p w14:paraId="5BC14CD7" w14:textId="5C3C1F31" w:rsidR="00C8615C" w:rsidRPr="0057696B" w:rsidRDefault="00C8615C" w:rsidP="0057696B">
      <w:pPr>
        <w:spacing w:line="360" w:lineRule="auto"/>
        <w:jc w:val="both"/>
        <w:rPr>
          <w:rFonts w:ascii="Book Antiqua" w:hAnsi="Book Antiqua"/>
        </w:rPr>
      </w:pPr>
      <w:r w:rsidRPr="0057696B">
        <w:rPr>
          <w:rFonts w:ascii="Book Antiqua" w:eastAsia="Book Antiqua" w:hAnsi="Book Antiqua" w:cs="Book Antiqua"/>
          <w:color w:val="000000"/>
        </w:rPr>
        <w:t xml:space="preserve">Future research should examine </w:t>
      </w:r>
      <w:r w:rsidR="00D73B18">
        <w:rPr>
          <w:rFonts w:ascii="Book Antiqua" w:eastAsia="Book Antiqua" w:hAnsi="Book Antiqua" w:cs="Book Antiqua"/>
          <w:color w:val="000000"/>
        </w:rPr>
        <w:t xml:space="preserve">the </w:t>
      </w:r>
      <w:r w:rsidRPr="0057696B">
        <w:rPr>
          <w:rFonts w:ascii="Book Antiqua" w:eastAsia="Book Antiqua" w:hAnsi="Book Antiqua" w:cs="Book Antiqua"/>
          <w:color w:val="000000"/>
        </w:rPr>
        <w:t>impact of smoking cessation on treatment outcome</w:t>
      </w:r>
      <w:r w:rsidR="00D73B18">
        <w:rPr>
          <w:rFonts w:ascii="Book Antiqua" w:eastAsia="Book Antiqua" w:hAnsi="Book Antiqua" w:cs="Book Antiqua"/>
          <w:color w:val="000000"/>
        </w:rPr>
        <w:t>s</w:t>
      </w:r>
      <w:r w:rsidRPr="0057696B">
        <w:rPr>
          <w:rFonts w:ascii="Book Antiqua" w:eastAsia="Book Antiqua" w:hAnsi="Book Antiqua" w:cs="Book Antiqua"/>
          <w:color w:val="000000"/>
        </w:rPr>
        <w:t xml:space="preserve"> for patients with anal cancer as well as the role of adjuncts to standard chemoradiation in the treatment of anal cancer.</w:t>
      </w:r>
    </w:p>
    <w:p w14:paraId="060BEA69" w14:textId="77777777" w:rsidR="00A77B3E" w:rsidRPr="0057696B" w:rsidRDefault="00A77B3E" w:rsidP="0057696B">
      <w:pPr>
        <w:spacing w:line="360" w:lineRule="auto"/>
        <w:jc w:val="both"/>
        <w:rPr>
          <w:rFonts w:ascii="Book Antiqua" w:hAnsi="Book Antiqua"/>
        </w:rPr>
      </w:pPr>
    </w:p>
    <w:p w14:paraId="122C7BAA"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REFERENCES</w:t>
      </w:r>
    </w:p>
    <w:p w14:paraId="4F90E11A"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1 </w:t>
      </w:r>
      <w:proofErr w:type="spellStart"/>
      <w:r w:rsidRPr="0057696B">
        <w:rPr>
          <w:rFonts w:ascii="Book Antiqua" w:eastAsia="Book Antiqua" w:hAnsi="Book Antiqua" w:cs="Book Antiqua"/>
          <w:b/>
          <w:bCs/>
        </w:rPr>
        <w:t>Daling</w:t>
      </w:r>
      <w:proofErr w:type="spellEnd"/>
      <w:r w:rsidRPr="0057696B">
        <w:rPr>
          <w:rFonts w:ascii="Book Antiqua" w:eastAsia="Book Antiqua" w:hAnsi="Book Antiqua" w:cs="Book Antiqua"/>
          <w:b/>
          <w:bCs/>
        </w:rPr>
        <w:t xml:space="preserve"> JR</w:t>
      </w:r>
      <w:r w:rsidRPr="0057696B">
        <w:rPr>
          <w:rFonts w:ascii="Book Antiqua" w:eastAsia="Book Antiqua" w:hAnsi="Book Antiqua" w:cs="Book Antiqua"/>
        </w:rPr>
        <w:t xml:space="preserve">, Madeleine MM, Johnson LG, Schwartz SM, Shera KA, </w:t>
      </w:r>
      <w:proofErr w:type="spellStart"/>
      <w:r w:rsidRPr="0057696B">
        <w:rPr>
          <w:rFonts w:ascii="Book Antiqua" w:eastAsia="Book Antiqua" w:hAnsi="Book Antiqua" w:cs="Book Antiqua"/>
        </w:rPr>
        <w:t>Wurscher</w:t>
      </w:r>
      <w:proofErr w:type="spellEnd"/>
      <w:r w:rsidRPr="0057696B">
        <w:rPr>
          <w:rFonts w:ascii="Book Antiqua" w:eastAsia="Book Antiqua" w:hAnsi="Book Antiqua" w:cs="Book Antiqua"/>
        </w:rPr>
        <w:t xml:space="preserve"> MA, Carter JJ, Porter PL, Galloway DA, McDougall JK. Human papillomavirus, smoking, and sexual practices in the etiology of anal cancer. </w:t>
      </w:r>
      <w:r w:rsidRPr="0057696B">
        <w:rPr>
          <w:rFonts w:ascii="Book Antiqua" w:eastAsia="Book Antiqua" w:hAnsi="Book Antiqua" w:cs="Book Antiqua"/>
          <w:i/>
          <w:iCs/>
        </w:rPr>
        <w:t>Cancer</w:t>
      </w:r>
      <w:r w:rsidRPr="0057696B">
        <w:rPr>
          <w:rFonts w:ascii="Book Antiqua" w:eastAsia="Book Antiqua" w:hAnsi="Book Antiqua" w:cs="Book Antiqua"/>
        </w:rPr>
        <w:t xml:space="preserve"> 2004; </w:t>
      </w:r>
      <w:r w:rsidRPr="0057696B">
        <w:rPr>
          <w:rFonts w:ascii="Book Antiqua" w:eastAsia="Book Antiqua" w:hAnsi="Book Antiqua" w:cs="Book Antiqua"/>
          <w:b/>
          <w:bCs/>
        </w:rPr>
        <w:t>101</w:t>
      </w:r>
      <w:r w:rsidRPr="0057696B">
        <w:rPr>
          <w:rFonts w:ascii="Book Antiqua" w:eastAsia="Book Antiqua" w:hAnsi="Book Antiqua" w:cs="Book Antiqua"/>
        </w:rPr>
        <w:t>: 270-280 [PMID: 15241823 DOI: 10.1002/cncr.20365]</w:t>
      </w:r>
    </w:p>
    <w:p w14:paraId="0418931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2 </w:t>
      </w:r>
      <w:r w:rsidRPr="0057696B">
        <w:rPr>
          <w:rFonts w:ascii="Book Antiqua" w:eastAsia="Book Antiqua" w:hAnsi="Book Antiqua" w:cs="Book Antiqua"/>
          <w:b/>
          <w:bCs/>
        </w:rPr>
        <w:t>Holmes F</w:t>
      </w:r>
      <w:r w:rsidRPr="0057696B">
        <w:rPr>
          <w:rFonts w:ascii="Book Antiqua" w:eastAsia="Book Antiqua" w:hAnsi="Book Antiqua" w:cs="Book Antiqua"/>
        </w:rPr>
        <w:t>, Borek D, Owen-</w:t>
      </w:r>
      <w:proofErr w:type="spellStart"/>
      <w:r w:rsidRPr="0057696B">
        <w:rPr>
          <w:rFonts w:ascii="Book Antiqua" w:eastAsia="Book Antiqua" w:hAnsi="Book Antiqua" w:cs="Book Antiqua"/>
        </w:rPr>
        <w:t>Kummer</w:t>
      </w:r>
      <w:proofErr w:type="spellEnd"/>
      <w:r w:rsidRPr="0057696B">
        <w:rPr>
          <w:rFonts w:ascii="Book Antiqua" w:eastAsia="Book Antiqua" w:hAnsi="Book Antiqua" w:cs="Book Antiqua"/>
        </w:rPr>
        <w:t xml:space="preserve"> M, </w:t>
      </w:r>
      <w:proofErr w:type="spellStart"/>
      <w:r w:rsidRPr="0057696B">
        <w:rPr>
          <w:rFonts w:ascii="Book Antiqua" w:eastAsia="Book Antiqua" w:hAnsi="Book Antiqua" w:cs="Book Antiqua"/>
        </w:rPr>
        <w:t>Hassanein</w:t>
      </w:r>
      <w:proofErr w:type="spellEnd"/>
      <w:r w:rsidRPr="0057696B">
        <w:rPr>
          <w:rFonts w:ascii="Book Antiqua" w:eastAsia="Book Antiqua" w:hAnsi="Book Antiqua" w:cs="Book Antiqua"/>
        </w:rPr>
        <w:t xml:space="preserve"> R, Fishback J, </w:t>
      </w:r>
      <w:proofErr w:type="spellStart"/>
      <w:r w:rsidRPr="0057696B">
        <w:rPr>
          <w:rFonts w:ascii="Book Antiqua" w:eastAsia="Book Antiqua" w:hAnsi="Book Antiqua" w:cs="Book Antiqua"/>
        </w:rPr>
        <w:t>Behbehani</w:t>
      </w:r>
      <w:proofErr w:type="spellEnd"/>
      <w:r w:rsidRPr="0057696B">
        <w:rPr>
          <w:rFonts w:ascii="Book Antiqua" w:eastAsia="Book Antiqua" w:hAnsi="Book Antiqua" w:cs="Book Antiqua"/>
        </w:rPr>
        <w:t xml:space="preserve"> A, Baker A, Holmes G. Anal cancer in women. </w:t>
      </w:r>
      <w:r w:rsidRPr="0057696B">
        <w:rPr>
          <w:rFonts w:ascii="Book Antiqua" w:eastAsia="Book Antiqua" w:hAnsi="Book Antiqua" w:cs="Book Antiqua"/>
          <w:i/>
          <w:iCs/>
        </w:rPr>
        <w:t>Gastroenterology</w:t>
      </w:r>
      <w:r w:rsidRPr="0057696B">
        <w:rPr>
          <w:rFonts w:ascii="Book Antiqua" w:eastAsia="Book Antiqua" w:hAnsi="Book Antiqua" w:cs="Book Antiqua"/>
        </w:rPr>
        <w:t xml:space="preserve"> 1988; </w:t>
      </w:r>
      <w:r w:rsidRPr="0057696B">
        <w:rPr>
          <w:rFonts w:ascii="Book Antiqua" w:eastAsia="Book Antiqua" w:hAnsi="Book Antiqua" w:cs="Book Antiqua"/>
          <w:b/>
          <w:bCs/>
        </w:rPr>
        <w:t>95</w:t>
      </w:r>
      <w:r w:rsidRPr="0057696B">
        <w:rPr>
          <w:rFonts w:ascii="Book Antiqua" w:eastAsia="Book Antiqua" w:hAnsi="Book Antiqua" w:cs="Book Antiqua"/>
        </w:rPr>
        <w:t>: 107-111 [PMID: 2836255 DOI: 10.1016/0016-5085(88)90297-1]</w:t>
      </w:r>
    </w:p>
    <w:p w14:paraId="3DCEA6E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3 </w:t>
      </w:r>
      <w:r w:rsidRPr="0057696B">
        <w:rPr>
          <w:rFonts w:ascii="Book Antiqua" w:eastAsia="Book Antiqua" w:hAnsi="Book Antiqua" w:cs="Book Antiqua"/>
          <w:b/>
          <w:bCs/>
        </w:rPr>
        <w:t>Keller K</w:t>
      </w:r>
      <w:r w:rsidRPr="0057696B">
        <w:rPr>
          <w:rFonts w:ascii="Book Antiqua" w:eastAsia="Book Antiqua" w:hAnsi="Book Antiqua" w:cs="Book Antiqua"/>
        </w:rPr>
        <w:t xml:space="preserve">, Ramos-Cartagena JM, </w:t>
      </w:r>
      <w:proofErr w:type="spellStart"/>
      <w:r w:rsidRPr="0057696B">
        <w:rPr>
          <w:rFonts w:ascii="Book Antiqua" w:eastAsia="Book Antiqua" w:hAnsi="Book Antiqua" w:cs="Book Antiqua"/>
        </w:rPr>
        <w:t>Guiot</w:t>
      </w:r>
      <w:proofErr w:type="spellEnd"/>
      <w:r w:rsidRPr="0057696B">
        <w:rPr>
          <w:rFonts w:ascii="Book Antiqua" w:eastAsia="Book Antiqua" w:hAnsi="Book Antiqua" w:cs="Book Antiqua"/>
        </w:rPr>
        <w:t xml:space="preserve"> HM, Muñoz C, Rodríguez Y, Colón-López V, Deshmukh AA, Tirado-Gómez M, Ortiz AP. Association of smoking with anal high-risk HPV infection and histologically confirmed anal high-grade squamous intraepithelial lesions among a clinic-based population in Puerto Rico. </w:t>
      </w:r>
      <w:r w:rsidRPr="0057696B">
        <w:rPr>
          <w:rFonts w:ascii="Book Antiqua" w:eastAsia="Book Antiqua" w:hAnsi="Book Antiqua" w:cs="Book Antiqua"/>
          <w:i/>
          <w:iCs/>
        </w:rPr>
        <w:t xml:space="preserve">Cancer Treat Res </w:t>
      </w:r>
      <w:proofErr w:type="spellStart"/>
      <w:r w:rsidRPr="0057696B">
        <w:rPr>
          <w:rFonts w:ascii="Book Antiqua" w:eastAsia="Book Antiqua" w:hAnsi="Book Antiqua" w:cs="Book Antiqua"/>
          <w:i/>
          <w:iCs/>
        </w:rPr>
        <w:t>Commun</w:t>
      </w:r>
      <w:proofErr w:type="spellEnd"/>
      <w:r w:rsidRPr="0057696B">
        <w:rPr>
          <w:rFonts w:ascii="Book Antiqua" w:eastAsia="Book Antiqua" w:hAnsi="Book Antiqua" w:cs="Book Antiqua"/>
        </w:rPr>
        <w:t xml:space="preserve"> 2021; </w:t>
      </w:r>
      <w:r w:rsidRPr="0057696B">
        <w:rPr>
          <w:rFonts w:ascii="Book Antiqua" w:eastAsia="Book Antiqua" w:hAnsi="Book Antiqua" w:cs="Book Antiqua"/>
          <w:b/>
          <w:bCs/>
        </w:rPr>
        <w:t>30</w:t>
      </w:r>
      <w:r w:rsidRPr="0057696B">
        <w:rPr>
          <w:rFonts w:ascii="Book Antiqua" w:eastAsia="Book Antiqua" w:hAnsi="Book Antiqua" w:cs="Book Antiqua"/>
        </w:rPr>
        <w:t>: 100503 [PMID: 34999478 DOI: 10.1016/j.ctarc.2021.100503]</w:t>
      </w:r>
    </w:p>
    <w:p w14:paraId="3BE4C5F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4 </w:t>
      </w:r>
      <w:proofErr w:type="spellStart"/>
      <w:r w:rsidRPr="0057696B">
        <w:rPr>
          <w:rFonts w:ascii="Book Antiqua" w:eastAsia="Book Antiqua" w:hAnsi="Book Antiqua" w:cs="Book Antiqua"/>
          <w:b/>
          <w:bCs/>
        </w:rPr>
        <w:t>Lerman</w:t>
      </w:r>
      <w:proofErr w:type="spellEnd"/>
      <w:r w:rsidRPr="0057696B">
        <w:rPr>
          <w:rFonts w:ascii="Book Antiqua" w:eastAsia="Book Antiqua" w:hAnsi="Book Antiqua" w:cs="Book Antiqua"/>
          <w:b/>
          <w:bCs/>
        </w:rPr>
        <w:t xml:space="preserve"> J</w:t>
      </w:r>
      <w:r w:rsidRPr="0057696B">
        <w:rPr>
          <w:rFonts w:ascii="Book Antiqua" w:eastAsia="Book Antiqua" w:hAnsi="Book Antiqua" w:cs="Book Antiqua"/>
        </w:rPr>
        <w:t xml:space="preserve">, </w:t>
      </w:r>
      <w:proofErr w:type="spellStart"/>
      <w:r w:rsidRPr="0057696B">
        <w:rPr>
          <w:rFonts w:ascii="Book Antiqua" w:eastAsia="Book Antiqua" w:hAnsi="Book Antiqua" w:cs="Book Antiqua"/>
        </w:rPr>
        <w:t>Hennequin</w:t>
      </w:r>
      <w:proofErr w:type="spellEnd"/>
      <w:r w:rsidRPr="0057696B">
        <w:rPr>
          <w:rFonts w:ascii="Book Antiqua" w:eastAsia="Book Antiqua" w:hAnsi="Book Antiqua" w:cs="Book Antiqua"/>
        </w:rPr>
        <w:t xml:space="preserve"> C, </w:t>
      </w:r>
      <w:proofErr w:type="spellStart"/>
      <w:r w:rsidRPr="0057696B">
        <w:rPr>
          <w:rFonts w:ascii="Book Antiqua" w:eastAsia="Book Antiqua" w:hAnsi="Book Antiqua" w:cs="Book Antiqua"/>
        </w:rPr>
        <w:t>Etienney</w:t>
      </w:r>
      <w:proofErr w:type="spellEnd"/>
      <w:r w:rsidRPr="0057696B">
        <w:rPr>
          <w:rFonts w:ascii="Book Antiqua" w:eastAsia="Book Antiqua" w:hAnsi="Book Antiqua" w:cs="Book Antiqua"/>
        </w:rPr>
        <w:t xml:space="preserve"> I, Abramowitz L, Goujon G, </w:t>
      </w:r>
      <w:proofErr w:type="spellStart"/>
      <w:r w:rsidRPr="0057696B">
        <w:rPr>
          <w:rFonts w:ascii="Book Antiqua" w:eastAsia="Book Antiqua" w:hAnsi="Book Antiqua" w:cs="Book Antiqua"/>
        </w:rPr>
        <w:t>Gornet</w:t>
      </w:r>
      <w:proofErr w:type="spellEnd"/>
      <w:r w:rsidRPr="0057696B">
        <w:rPr>
          <w:rFonts w:ascii="Book Antiqua" w:eastAsia="Book Antiqua" w:hAnsi="Book Antiqua" w:cs="Book Antiqua"/>
        </w:rPr>
        <w:t xml:space="preserve"> JM, </w:t>
      </w:r>
      <w:proofErr w:type="spellStart"/>
      <w:r w:rsidRPr="0057696B">
        <w:rPr>
          <w:rFonts w:ascii="Book Antiqua" w:eastAsia="Book Antiqua" w:hAnsi="Book Antiqua" w:cs="Book Antiqua"/>
        </w:rPr>
        <w:t>Guillerm</w:t>
      </w:r>
      <w:proofErr w:type="spellEnd"/>
      <w:r w:rsidRPr="0057696B">
        <w:rPr>
          <w:rFonts w:ascii="Book Antiqua" w:eastAsia="Book Antiqua" w:hAnsi="Book Antiqua" w:cs="Book Antiqua"/>
        </w:rPr>
        <w:t xml:space="preserve"> S, Aparicio T, Valverde A, </w:t>
      </w:r>
      <w:proofErr w:type="spellStart"/>
      <w:r w:rsidRPr="0057696B">
        <w:rPr>
          <w:rFonts w:ascii="Book Antiqua" w:eastAsia="Book Antiqua" w:hAnsi="Book Antiqua" w:cs="Book Antiqua"/>
        </w:rPr>
        <w:t>Cattan</w:t>
      </w:r>
      <w:proofErr w:type="spellEnd"/>
      <w:r w:rsidRPr="0057696B">
        <w:rPr>
          <w:rFonts w:ascii="Book Antiqua" w:eastAsia="Book Antiqua" w:hAnsi="Book Antiqua" w:cs="Book Antiqua"/>
        </w:rPr>
        <w:t xml:space="preserve"> P, </w:t>
      </w:r>
      <w:proofErr w:type="spellStart"/>
      <w:r w:rsidRPr="0057696B">
        <w:rPr>
          <w:rFonts w:ascii="Book Antiqua" w:eastAsia="Book Antiqua" w:hAnsi="Book Antiqua" w:cs="Book Antiqua"/>
        </w:rPr>
        <w:t>Quéro</w:t>
      </w:r>
      <w:proofErr w:type="spellEnd"/>
      <w:r w:rsidRPr="0057696B">
        <w:rPr>
          <w:rFonts w:ascii="Book Antiqua" w:eastAsia="Book Antiqua" w:hAnsi="Book Antiqua" w:cs="Book Antiqua"/>
        </w:rPr>
        <w:t xml:space="preserve"> L. Impact of tobacco smoking on the patient's </w:t>
      </w:r>
      <w:r w:rsidRPr="0057696B">
        <w:rPr>
          <w:rFonts w:ascii="Book Antiqua" w:eastAsia="Book Antiqua" w:hAnsi="Book Antiqua" w:cs="Book Antiqua"/>
        </w:rPr>
        <w:lastRenderedPageBreak/>
        <w:t xml:space="preserve">outcome after (chemo)radiotherapy for anal cancer. </w:t>
      </w:r>
      <w:r w:rsidRPr="0057696B">
        <w:rPr>
          <w:rFonts w:ascii="Book Antiqua" w:eastAsia="Book Antiqua" w:hAnsi="Book Antiqua" w:cs="Book Antiqua"/>
          <w:i/>
          <w:iCs/>
        </w:rPr>
        <w:t>Eur J Cancer</w:t>
      </w:r>
      <w:r w:rsidRPr="0057696B">
        <w:rPr>
          <w:rFonts w:ascii="Book Antiqua" w:eastAsia="Book Antiqua" w:hAnsi="Book Antiqua" w:cs="Book Antiqua"/>
        </w:rPr>
        <w:t xml:space="preserve"> 2020; </w:t>
      </w:r>
      <w:r w:rsidRPr="0057696B">
        <w:rPr>
          <w:rFonts w:ascii="Book Antiqua" w:eastAsia="Book Antiqua" w:hAnsi="Book Antiqua" w:cs="Book Antiqua"/>
          <w:b/>
          <w:bCs/>
        </w:rPr>
        <w:t>141</w:t>
      </w:r>
      <w:r w:rsidRPr="0057696B">
        <w:rPr>
          <w:rFonts w:ascii="Book Antiqua" w:eastAsia="Book Antiqua" w:hAnsi="Book Antiqua" w:cs="Book Antiqua"/>
        </w:rPr>
        <w:t>: 143-151 [PMID: 33137590 DOI: 10.1016/j.ejca.2020.09.039]</w:t>
      </w:r>
    </w:p>
    <w:p w14:paraId="528AEEAB"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5 </w:t>
      </w:r>
      <w:r w:rsidRPr="0057696B">
        <w:rPr>
          <w:rFonts w:ascii="Book Antiqua" w:eastAsia="Book Antiqua" w:hAnsi="Book Antiqua" w:cs="Book Antiqua"/>
          <w:b/>
          <w:bCs/>
        </w:rPr>
        <w:t>Mai SK</w:t>
      </w:r>
      <w:r w:rsidRPr="0057696B">
        <w:rPr>
          <w:rFonts w:ascii="Book Antiqua" w:eastAsia="Book Antiqua" w:hAnsi="Book Antiqua" w:cs="Book Antiqua"/>
        </w:rPr>
        <w:t xml:space="preserve">, </w:t>
      </w:r>
      <w:proofErr w:type="spellStart"/>
      <w:r w:rsidRPr="0057696B">
        <w:rPr>
          <w:rFonts w:ascii="Book Antiqua" w:eastAsia="Book Antiqua" w:hAnsi="Book Antiqua" w:cs="Book Antiqua"/>
        </w:rPr>
        <w:t>Welzel</w:t>
      </w:r>
      <w:proofErr w:type="spellEnd"/>
      <w:r w:rsidRPr="0057696B">
        <w:rPr>
          <w:rFonts w:ascii="Book Antiqua" w:eastAsia="Book Antiqua" w:hAnsi="Book Antiqua" w:cs="Book Antiqua"/>
        </w:rPr>
        <w:t xml:space="preserve"> G, </w:t>
      </w:r>
      <w:proofErr w:type="spellStart"/>
      <w:r w:rsidRPr="0057696B">
        <w:rPr>
          <w:rFonts w:ascii="Book Antiqua" w:eastAsia="Book Antiqua" w:hAnsi="Book Antiqua" w:cs="Book Antiqua"/>
        </w:rPr>
        <w:t>Haegele</w:t>
      </w:r>
      <w:proofErr w:type="spellEnd"/>
      <w:r w:rsidRPr="0057696B">
        <w:rPr>
          <w:rFonts w:ascii="Book Antiqua" w:eastAsia="Book Antiqua" w:hAnsi="Book Antiqua" w:cs="Book Antiqua"/>
        </w:rPr>
        <w:t xml:space="preserve"> V, Wenz F. The influence of smoking and other risk factors on the outcome after </w:t>
      </w:r>
      <w:proofErr w:type="spellStart"/>
      <w:r w:rsidRPr="0057696B">
        <w:rPr>
          <w:rFonts w:ascii="Book Antiqua" w:eastAsia="Book Antiqua" w:hAnsi="Book Antiqua" w:cs="Book Antiqua"/>
        </w:rPr>
        <w:t>radiochemotherapy</w:t>
      </w:r>
      <w:proofErr w:type="spellEnd"/>
      <w:r w:rsidRPr="0057696B">
        <w:rPr>
          <w:rFonts w:ascii="Book Antiqua" w:eastAsia="Book Antiqua" w:hAnsi="Book Antiqua" w:cs="Book Antiqua"/>
        </w:rPr>
        <w:t xml:space="preserve"> for anal cancer. </w:t>
      </w:r>
      <w:proofErr w:type="spellStart"/>
      <w:r w:rsidRPr="0057696B">
        <w:rPr>
          <w:rFonts w:ascii="Book Antiqua" w:eastAsia="Book Antiqua" w:hAnsi="Book Antiqua" w:cs="Book Antiqua"/>
          <w:i/>
          <w:iCs/>
        </w:rPr>
        <w:t>Radiat</w:t>
      </w:r>
      <w:proofErr w:type="spellEnd"/>
      <w:r w:rsidRPr="0057696B">
        <w:rPr>
          <w:rFonts w:ascii="Book Antiqua" w:eastAsia="Book Antiqua" w:hAnsi="Book Antiqua" w:cs="Book Antiqua"/>
          <w:i/>
          <w:iCs/>
        </w:rPr>
        <w:t xml:space="preserve"> Oncol</w:t>
      </w:r>
      <w:r w:rsidRPr="0057696B">
        <w:rPr>
          <w:rFonts w:ascii="Book Antiqua" w:eastAsia="Book Antiqua" w:hAnsi="Book Antiqua" w:cs="Book Antiqua"/>
        </w:rPr>
        <w:t xml:space="preserve"> 2007; </w:t>
      </w:r>
      <w:r w:rsidRPr="0057696B">
        <w:rPr>
          <w:rFonts w:ascii="Book Antiqua" w:eastAsia="Book Antiqua" w:hAnsi="Book Antiqua" w:cs="Book Antiqua"/>
          <w:b/>
          <w:bCs/>
        </w:rPr>
        <w:t>2</w:t>
      </w:r>
      <w:r w:rsidRPr="0057696B">
        <w:rPr>
          <w:rFonts w:ascii="Book Antiqua" w:eastAsia="Book Antiqua" w:hAnsi="Book Antiqua" w:cs="Book Antiqua"/>
        </w:rPr>
        <w:t>: 30 [PMID: 17711570 DOI: 10.1186/1748-717X-2-30]</w:t>
      </w:r>
    </w:p>
    <w:p w14:paraId="36F2E57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 xml:space="preserve">6 </w:t>
      </w:r>
      <w:proofErr w:type="spellStart"/>
      <w:r w:rsidRPr="0057696B">
        <w:rPr>
          <w:rFonts w:ascii="Book Antiqua" w:eastAsia="Book Antiqua" w:hAnsi="Book Antiqua" w:cs="Book Antiqua"/>
          <w:b/>
          <w:bCs/>
        </w:rPr>
        <w:t>Ramamoorthy</w:t>
      </w:r>
      <w:proofErr w:type="spellEnd"/>
      <w:r w:rsidRPr="0057696B">
        <w:rPr>
          <w:rFonts w:ascii="Book Antiqua" w:eastAsia="Book Antiqua" w:hAnsi="Book Antiqua" w:cs="Book Antiqua"/>
          <w:b/>
          <w:bCs/>
        </w:rPr>
        <w:t xml:space="preserve"> S</w:t>
      </w:r>
      <w:r w:rsidRPr="0057696B">
        <w:rPr>
          <w:rFonts w:ascii="Book Antiqua" w:eastAsia="Book Antiqua" w:hAnsi="Book Antiqua" w:cs="Book Antiqua"/>
        </w:rPr>
        <w:t xml:space="preserve">, Luo L, Luo E, </w:t>
      </w:r>
      <w:proofErr w:type="spellStart"/>
      <w:r w:rsidRPr="0057696B">
        <w:rPr>
          <w:rFonts w:ascii="Book Antiqua" w:eastAsia="Book Antiqua" w:hAnsi="Book Antiqua" w:cs="Book Antiqua"/>
        </w:rPr>
        <w:t>Carethers</w:t>
      </w:r>
      <w:proofErr w:type="spellEnd"/>
      <w:r w:rsidRPr="0057696B">
        <w:rPr>
          <w:rFonts w:ascii="Book Antiqua" w:eastAsia="Book Antiqua" w:hAnsi="Book Antiqua" w:cs="Book Antiqua"/>
        </w:rPr>
        <w:t xml:space="preserve"> JM. Tobacco smoking and risk of recurrence for squamous cell cancer of the anus. </w:t>
      </w:r>
      <w:r w:rsidRPr="0057696B">
        <w:rPr>
          <w:rFonts w:ascii="Book Antiqua" w:eastAsia="Book Antiqua" w:hAnsi="Book Antiqua" w:cs="Book Antiqua"/>
          <w:i/>
          <w:iCs/>
        </w:rPr>
        <w:t xml:space="preserve">Cancer Detect </w:t>
      </w:r>
      <w:proofErr w:type="spellStart"/>
      <w:r w:rsidRPr="0057696B">
        <w:rPr>
          <w:rFonts w:ascii="Book Antiqua" w:eastAsia="Book Antiqua" w:hAnsi="Book Antiqua" w:cs="Book Antiqua"/>
          <w:i/>
          <w:iCs/>
        </w:rPr>
        <w:t>Prev</w:t>
      </w:r>
      <w:proofErr w:type="spellEnd"/>
      <w:r w:rsidRPr="0057696B">
        <w:rPr>
          <w:rFonts w:ascii="Book Antiqua" w:eastAsia="Book Antiqua" w:hAnsi="Book Antiqua" w:cs="Book Antiqua"/>
        </w:rPr>
        <w:t xml:space="preserve"> 2008; </w:t>
      </w:r>
      <w:r w:rsidRPr="0057696B">
        <w:rPr>
          <w:rFonts w:ascii="Book Antiqua" w:eastAsia="Book Antiqua" w:hAnsi="Book Antiqua" w:cs="Book Antiqua"/>
          <w:b/>
          <w:bCs/>
        </w:rPr>
        <w:t>32</w:t>
      </w:r>
      <w:r w:rsidRPr="0057696B">
        <w:rPr>
          <w:rFonts w:ascii="Book Antiqua" w:eastAsia="Book Antiqua" w:hAnsi="Book Antiqua" w:cs="Book Antiqua"/>
        </w:rPr>
        <w:t>: 116-120 [PMID: 18639388 DOI: 10.1016/j.cdp.2008.04.004]</w:t>
      </w:r>
    </w:p>
    <w:p w14:paraId="65A4CF00" w14:textId="77777777" w:rsidR="00A77B3E" w:rsidRDefault="00A77B3E" w:rsidP="0057696B">
      <w:pPr>
        <w:spacing w:line="360" w:lineRule="auto"/>
        <w:jc w:val="both"/>
        <w:rPr>
          <w:rFonts w:ascii="Book Antiqua" w:hAnsi="Book Antiqua"/>
        </w:rPr>
      </w:pPr>
    </w:p>
    <w:p w14:paraId="5DC3AA5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Footnotes</w:t>
      </w:r>
    </w:p>
    <w:p w14:paraId="366A3F05"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Institutional review board statement: </w:t>
      </w:r>
      <w:r w:rsidRPr="0057696B">
        <w:rPr>
          <w:rFonts w:ascii="Book Antiqua" w:eastAsia="Book Antiqua" w:hAnsi="Book Antiqua" w:cs="Book Antiqua"/>
          <w:color w:val="000000"/>
          <w:shd w:val="clear" w:color="auto" w:fill="FFFFFF"/>
        </w:rPr>
        <w:t>The study was reviewed and approved by the Summa Health System Institutional Review Board (Approval No. 21176).</w:t>
      </w:r>
    </w:p>
    <w:p w14:paraId="250068E0" w14:textId="77777777" w:rsidR="00A77B3E" w:rsidRPr="0057696B" w:rsidRDefault="00A77B3E" w:rsidP="0057696B">
      <w:pPr>
        <w:spacing w:line="360" w:lineRule="auto"/>
        <w:jc w:val="both"/>
        <w:rPr>
          <w:rFonts w:ascii="Book Antiqua" w:hAnsi="Book Antiqua"/>
        </w:rPr>
      </w:pPr>
    </w:p>
    <w:p w14:paraId="1BC42CD9" w14:textId="432FA9B6"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Informed consent statement: </w:t>
      </w:r>
      <w:r w:rsidR="00C92291" w:rsidRPr="0057696B">
        <w:rPr>
          <w:rFonts w:ascii="Book Antiqua" w:hAnsi="Book Antiqua"/>
          <w:color w:val="333333"/>
          <w:shd w:val="clear" w:color="auto" w:fill="FFFFFF"/>
        </w:rPr>
        <w:t xml:space="preserve">All study participants, or their legal guardian, provided informed written consent prior to inclusion in the cancer registry used in this review. </w:t>
      </w:r>
    </w:p>
    <w:p w14:paraId="4FF941A5" w14:textId="77777777" w:rsidR="00A77B3E" w:rsidRPr="0057696B" w:rsidRDefault="00A77B3E" w:rsidP="0057696B">
      <w:pPr>
        <w:spacing w:line="360" w:lineRule="auto"/>
        <w:jc w:val="both"/>
        <w:rPr>
          <w:rFonts w:ascii="Book Antiqua" w:hAnsi="Book Antiqua"/>
        </w:rPr>
      </w:pPr>
    </w:p>
    <w:p w14:paraId="2858355A" w14:textId="3097A22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Conflict-of-interest statement: </w:t>
      </w:r>
      <w:r w:rsidRPr="0057696B">
        <w:rPr>
          <w:rFonts w:ascii="Book Antiqua" w:eastAsia="Book Antiqua" w:hAnsi="Book Antiqua" w:cs="Book Antiqua"/>
          <w:color w:val="000000"/>
        </w:rPr>
        <w:t xml:space="preserve">All the authors report </w:t>
      </w:r>
      <w:r w:rsidR="00D3402E">
        <w:rPr>
          <w:rFonts w:ascii="Book Antiqua" w:eastAsia="Book Antiqua" w:hAnsi="Book Antiqua" w:cs="Book Antiqua"/>
          <w:color w:val="000000"/>
        </w:rPr>
        <w:t xml:space="preserve">having </w:t>
      </w:r>
      <w:r w:rsidRPr="0057696B">
        <w:rPr>
          <w:rFonts w:ascii="Book Antiqua" w:eastAsia="Book Antiqua" w:hAnsi="Book Antiqua" w:cs="Book Antiqua"/>
          <w:color w:val="000000"/>
        </w:rPr>
        <w:t>no relevant conflicts of interest for this article.</w:t>
      </w:r>
    </w:p>
    <w:p w14:paraId="5B039270" w14:textId="77777777" w:rsidR="00A77B3E" w:rsidRPr="0057696B" w:rsidRDefault="00A77B3E" w:rsidP="0057696B">
      <w:pPr>
        <w:spacing w:line="360" w:lineRule="auto"/>
        <w:jc w:val="both"/>
        <w:rPr>
          <w:rFonts w:ascii="Book Antiqua" w:hAnsi="Book Antiqua"/>
        </w:rPr>
      </w:pPr>
    </w:p>
    <w:p w14:paraId="3315BD3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Data sharing statement: </w:t>
      </w:r>
      <w:r w:rsidRPr="0057696B">
        <w:rPr>
          <w:rFonts w:ascii="Book Antiqua" w:eastAsia="Book Antiqua" w:hAnsi="Book Antiqua" w:cs="Book Antiqua"/>
          <w:color w:val="000000"/>
          <w:shd w:val="clear" w:color="auto" w:fill="FFFFFF"/>
        </w:rPr>
        <w:t>Statistical code and dataset available from the corresponding author at kevin.mcmahon88@outlook.com. Consent was not obtained, but the presented data are anonymized and risk of identification is low. No additional data are available.</w:t>
      </w:r>
    </w:p>
    <w:p w14:paraId="64098BE0" w14:textId="77777777" w:rsidR="00A77B3E" w:rsidRPr="0057696B" w:rsidRDefault="00A77B3E" w:rsidP="0057696B">
      <w:pPr>
        <w:spacing w:line="360" w:lineRule="auto"/>
        <w:jc w:val="both"/>
        <w:rPr>
          <w:rFonts w:ascii="Book Antiqua" w:hAnsi="Book Antiqua"/>
        </w:rPr>
      </w:pPr>
    </w:p>
    <w:p w14:paraId="5D47EB7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bCs/>
        </w:rPr>
        <w:t xml:space="preserve">Open-Access: </w:t>
      </w:r>
      <w:r w:rsidRPr="0057696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21EF75" w14:textId="77777777" w:rsidR="00A77B3E" w:rsidRPr="0057696B" w:rsidRDefault="00A77B3E" w:rsidP="0057696B">
      <w:pPr>
        <w:spacing w:line="360" w:lineRule="auto"/>
        <w:jc w:val="both"/>
        <w:rPr>
          <w:rFonts w:ascii="Book Antiqua" w:hAnsi="Book Antiqua"/>
        </w:rPr>
      </w:pPr>
    </w:p>
    <w:p w14:paraId="4FEC1533"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lastRenderedPageBreak/>
        <w:t xml:space="preserve">Provenance and peer review: </w:t>
      </w:r>
      <w:r w:rsidRPr="0057696B">
        <w:rPr>
          <w:rFonts w:ascii="Book Antiqua" w:eastAsia="Book Antiqua" w:hAnsi="Book Antiqua" w:cs="Book Antiqua"/>
        </w:rPr>
        <w:t>Unsolicited article; Externally peer reviewed.</w:t>
      </w:r>
    </w:p>
    <w:p w14:paraId="2EF61A1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Peer-review model: </w:t>
      </w:r>
      <w:r w:rsidRPr="0057696B">
        <w:rPr>
          <w:rFonts w:ascii="Book Antiqua" w:eastAsia="Book Antiqua" w:hAnsi="Book Antiqua" w:cs="Book Antiqua"/>
        </w:rPr>
        <w:t>Single blind</w:t>
      </w:r>
    </w:p>
    <w:p w14:paraId="3254F3E0" w14:textId="77777777" w:rsidR="00A77B3E" w:rsidRPr="0057696B" w:rsidRDefault="00A77B3E" w:rsidP="0057696B">
      <w:pPr>
        <w:spacing w:line="360" w:lineRule="auto"/>
        <w:jc w:val="both"/>
        <w:rPr>
          <w:rFonts w:ascii="Book Antiqua" w:hAnsi="Book Antiqua"/>
        </w:rPr>
      </w:pPr>
    </w:p>
    <w:p w14:paraId="001C9F56"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Peer-review started: </w:t>
      </w:r>
      <w:r w:rsidRPr="0057696B">
        <w:rPr>
          <w:rFonts w:ascii="Book Antiqua" w:eastAsia="Book Antiqua" w:hAnsi="Book Antiqua" w:cs="Book Antiqua"/>
        </w:rPr>
        <w:t>February 23, 2023</w:t>
      </w:r>
    </w:p>
    <w:p w14:paraId="65195A3E"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First decision: </w:t>
      </w:r>
      <w:r w:rsidRPr="0057696B">
        <w:rPr>
          <w:rFonts w:ascii="Book Antiqua" w:eastAsia="Book Antiqua" w:hAnsi="Book Antiqua" w:cs="Book Antiqua"/>
        </w:rPr>
        <w:t>March 28, 2023</w:t>
      </w:r>
    </w:p>
    <w:p w14:paraId="18A7D89D" w14:textId="23DC649B"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Article in press: </w:t>
      </w:r>
    </w:p>
    <w:p w14:paraId="7A2DC9F6" w14:textId="77777777" w:rsidR="00A77B3E" w:rsidRPr="0057696B" w:rsidRDefault="00A77B3E" w:rsidP="0057696B">
      <w:pPr>
        <w:spacing w:line="360" w:lineRule="auto"/>
        <w:jc w:val="both"/>
        <w:rPr>
          <w:rFonts w:ascii="Book Antiqua" w:hAnsi="Book Antiqua"/>
        </w:rPr>
      </w:pPr>
    </w:p>
    <w:p w14:paraId="49A9D4C8" w14:textId="1D6F1E7A"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Specialty type: </w:t>
      </w:r>
      <w:bookmarkStart w:id="0" w:name="OLE_LINK553"/>
      <w:bookmarkStart w:id="1" w:name="OLE_LINK554"/>
      <w:bookmarkStart w:id="2" w:name="OLE_LINK555"/>
      <w:bookmarkStart w:id="3" w:name="OLE_LINK1659"/>
      <w:bookmarkStart w:id="4" w:name="OLE_LINK1960"/>
      <w:r w:rsidR="003B3C62" w:rsidRPr="0057696B">
        <w:rPr>
          <w:rFonts w:ascii="Book Antiqua" w:eastAsia="Microsoft YaHei" w:hAnsi="Book Antiqua" w:cs="SimSun"/>
        </w:rPr>
        <w:t>Oncology</w:t>
      </w:r>
      <w:bookmarkEnd w:id="0"/>
      <w:bookmarkEnd w:id="1"/>
      <w:bookmarkEnd w:id="2"/>
      <w:bookmarkEnd w:id="3"/>
      <w:bookmarkEnd w:id="4"/>
    </w:p>
    <w:p w14:paraId="1354E496"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 xml:space="preserve">Country/Territory of origin: </w:t>
      </w:r>
      <w:r w:rsidRPr="0057696B">
        <w:rPr>
          <w:rFonts w:ascii="Book Antiqua" w:eastAsia="Book Antiqua" w:hAnsi="Book Antiqua" w:cs="Book Antiqua"/>
        </w:rPr>
        <w:t>United States</w:t>
      </w:r>
    </w:p>
    <w:p w14:paraId="3AD1FF7F"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b/>
          <w:color w:val="000000"/>
        </w:rPr>
        <w:t>Peer-review report’s scientific quality classification</w:t>
      </w:r>
    </w:p>
    <w:p w14:paraId="25437D09"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A (Excellent): 0</w:t>
      </w:r>
    </w:p>
    <w:p w14:paraId="29208A34"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B (Very good): B</w:t>
      </w:r>
    </w:p>
    <w:p w14:paraId="6062AEC0"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C (Good): C</w:t>
      </w:r>
    </w:p>
    <w:p w14:paraId="44D6EEFD"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D (Fair): D</w:t>
      </w:r>
    </w:p>
    <w:p w14:paraId="049B47B1" w14:textId="77777777" w:rsidR="00A77B3E" w:rsidRPr="0057696B" w:rsidRDefault="00323A26" w:rsidP="0057696B">
      <w:pPr>
        <w:spacing w:line="360" w:lineRule="auto"/>
        <w:jc w:val="both"/>
        <w:rPr>
          <w:rFonts w:ascii="Book Antiqua" w:hAnsi="Book Antiqua"/>
        </w:rPr>
      </w:pPr>
      <w:r w:rsidRPr="0057696B">
        <w:rPr>
          <w:rFonts w:ascii="Book Antiqua" w:eastAsia="Book Antiqua" w:hAnsi="Book Antiqua" w:cs="Book Antiqua"/>
        </w:rPr>
        <w:t>Grade E (Poor): 0</w:t>
      </w:r>
    </w:p>
    <w:p w14:paraId="5419F45E" w14:textId="77777777" w:rsidR="00A77B3E" w:rsidRPr="0057696B" w:rsidRDefault="00A77B3E" w:rsidP="0057696B">
      <w:pPr>
        <w:spacing w:line="360" w:lineRule="auto"/>
        <w:jc w:val="both"/>
        <w:rPr>
          <w:rFonts w:ascii="Book Antiqua" w:hAnsi="Book Antiqua"/>
        </w:rPr>
      </w:pPr>
    </w:p>
    <w:p w14:paraId="02C0944B" w14:textId="4B509937" w:rsidR="00A77B3E" w:rsidRPr="0057696B" w:rsidRDefault="00323A26" w:rsidP="0057696B">
      <w:pPr>
        <w:spacing w:line="360" w:lineRule="auto"/>
        <w:jc w:val="both"/>
        <w:rPr>
          <w:rFonts w:ascii="Book Antiqua" w:eastAsia="Book Antiqua" w:hAnsi="Book Antiqua" w:cs="Book Antiqua"/>
          <w:b/>
          <w:color w:val="000000"/>
        </w:rPr>
      </w:pPr>
      <w:r w:rsidRPr="0057696B">
        <w:rPr>
          <w:rFonts w:ascii="Book Antiqua" w:eastAsia="Book Antiqua" w:hAnsi="Book Antiqua" w:cs="Book Antiqua"/>
          <w:b/>
          <w:color w:val="000000"/>
        </w:rPr>
        <w:t xml:space="preserve">P-Reviewer: </w:t>
      </w:r>
      <w:r w:rsidRPr="0057696B">
        <w:rPr>
          <w:rFonts w:ascii="Book Antiqua" w:eastAsia="Book Antiqua" w:hAnsi="Book Antiqua" w:cs="Book Antiqua"/>
        </w:rPr>
        <w:t>Lee PN, United Kingdom; Pietroletti R, Italy</w:t>
      </w:r>
      <w:r w:rsidRPr="0057696B">
        <w:rPr>
          <w:rFonts w:ascii="Book Antiqua" w:eastAsia="Book Antiqua" w:hAnsi="Book Antiqua" w:cs="Book Antiqua"/>
          <w:b/>
          <w:color w:val="000000"/>
        </w:rPr>
        <w:t xml:space="preserve"> S-Editor: </w:t>
      </w:r>
      <w:r w:rsidR="003B3C62" w:rsidRPr="0057696B">
        <w:rPr>
          <w:rFonts w:ascii="Book Antiqua" w:eastAsia="Book Antiqua" w:hAnsi="Book Antiqua" w:cs="Book Antiqua"/>
          <w:bCs/>
          <w:color w:val="000000"/>
        </w:rPr>
        <w:t>Wang JJ</w:t>
      </w:r>
      <w:r w:rsidRPr="0057696B">
        <w:rPr>
          <w:rFonts w:ascii="Book Antiqua" w:eastAsia="Book Antiqua" w:hAnsi="Book Antiqua" w:cs="Book Antiqua"/>
          <w:b/>
          <w:color w:val="000000"/>
        </w:rPr>
        <w:t xml:space="preserve"> L-Editor: </w:t>
      </w:r>
      <w:r w:rsidR="00517606" w:rsidRPr="0057696B">
        <w:rPr>
          <w:rFonts w:ascii="Book Antiqua" w:eastAsia="Book Antiqua" w:hAnsi="Book Antiqua" w:cs="Book Antiqua"/>
          <w:bCs/>
          <w:color w:val="000000"/>
        </w:rPr>
        <w:t xml:space="preserve">Filipodia </w:t>
      </w:r>
      <w:r w:rsidRPr="0057696B">
        <w:rPr>
          <w:rFonts w:ascii="Book Antiqua" w:eastAsia="Book Antiqua" w:hAnsi="Book Antiqua" w:cs="Book Antiqua"/>
          <w:b/>
          <w:color w:val="000000"/>
        </w:rPr>
        <w:t xml:space="preserve">P-Editor: </w:t>
      </w:r>
      <w:r w:rsidR="0085029A" w:rsidRPr="0057696B">
        <w:rPr>
          <w:rFonts w:ascii="Book Antiqua" w:eastAsia="Book Antiqua" w:hAnsi="Book Antiqua" w:cs="Book Antiqua"/>
          <w:bCs/>
          <w:color w:val="000000"/>
        </w:rPr>
        <w:t>Wang JJ</w:t>
      </w:r>
    </w:p>
    <w:p w14:paraId="20FED33B" w14:textId="77777777" w:rsidR="00BA329C" w:rsidRDefault="00BA329C" w:rsidP="0057696B">
      <w:pPr>
        <w:spacing w:line="360" w:lineRule="auto"/>
        <w:jc w:val="both"/>
        <w:rPr>
          <w:rFonts w:ascii="Book Antiqua" w:hAnsi="Book Antiqua"/>
        </w:rPr>
      </w:pPr>
    </w:p>
    <w:p w14:paraId="70102201" w14:textId="6619869B" w:rsidR="00BA329C" w:rsidRPr="0057696B" w:rsidRDefault="00BA329C" w:rsidP="0057696B">
      <w:pPr>
        <w:spacing w:line="360" w:lineRule="auto"/>
        <w:jc w:val="both"/>
        <w:rPr>
          <w:rFonts w:ascii="Book Antiqua" w:hAnsi="Book Antiqua"/>
          <w:b/>
          <w:bCs/>
        </w:rPr>
      </w:pPr>
      <w:r w:rsidRPr="0057696B">
        <w:rPr>
          <w:rFonts w:ascii="Book Antiqua" w:hAnsi="Book Antiqua"/>
          <w:b/>
          <w:bCs/>
        </w:rPr>
        <w:t>Table 1 Demographic data</w:t>
      </w:r>
    </w:p>
    <w:tbl>
      <w:tblPr>
        <w:tblW w:w="10349" w:type="dxa"/>
        <w:tblInd w:w="-743" w:type="dxa"/>
        <w:tblLook w:val="04A0" w:firstRow="1" w:lastRow="0" w:firstColumn="1" w:lastColumn="0" w:noHBand="0" w:noVBand="1"/>
      </w:tblPr>
      <w:tblGrid>
        <w:gridCol w:w="2836"/>
        <w:gridCol w:w="2126"/>
        <w:gridCol w:w="2126"/>
        <w:gridCol w:w="1985"/>
        <w:gridCol w:w="1276"/>
      </w:tblGrid>
      <w:tr w:rsidR="00BA329C" w:rsidRPr="0057696B" w14:paraId="4CAF8A56" w14:textId="77777777" w:rsidTr="00BA329C">
        <w:trPr>
          <w:trHeight w:val="300"/>
        </w:trPr>
        <w:tc>
          <w:tcPr>
            <w:tcW w:w="2836" w:type="dxa"/>
            <w:vMerge w:val="restart"/>
            <w:tcBorders>
              <w:top w:val="single" w:sz="4" w:space="0" w:color="auto"/>
              <w:bottom w:val="single" w:sz="4" w:space="0" w:color="auto"/>
            </w:tcBorders>
            <w:noWrap/>
            <w:hideMark/>
          </w:tcPr>
          <w:p w14:paraId="3C2CB19C" w14:textId="184B6A49" w:rsidR="00BA329C" w:rsidRPr="0057696B" w:rsidRDefault="005B6B07" w:rsidP="0057696B">
            <w:pPr>
              <w:spacing w:line="360" w:lineRule="auto"/>
              <w:contextualSpacing/>
              <w:mirrorIndents/>
              <w:jc w:val="both"/>
              <w:rPr>
                <w:rFonts w:ascii="Book Antiqua" w:eastAsia="Times New Roman" w:hAnsi="Book Antiqua"/>
                <w:b/>
                <w:bCs/>
              </w:rPr>
            </w:pPr>
            <w:r>
              <w:rPr>
                <w:rFonts w:ascii="Book Antiqua" w:eastAsia="Times New Roman" w:hAnsi="Book Antiqua"/>
                <w:b/>
                <w:bCs/>
              </w:rPr>
              <w:t>Variable</w:t>
            </w:r>
          </w:p>
        </w:tc>
        <w:tc>
          <w:tcPr>
            <w:tcW w:w="6237" w:type="dxa"/>
            <w:gridSpan w:val="3"/>
            <w:tcBorders>
              <w:top w:val="single" w:sz="4" w:space="0" w:color="auto"/>
              <w:bottom w:val="single" w:sz="4" w:space="0" w:color="auto"/>
            </w:tcBorders>
            <w:noWrap/>
            <w:hideMark/>
          </w:tcPr>
          <w:p w14:paraId="19A6803F" w14:textId="2ACF03C8"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Cigarette use</w:t>
            </w:r>
          </w:p>
        </w:tc>
        <w:tc>
          <w:tcPr>
            <w:tcW w:w="1276" w:type="dxa"/>
            <w:vMerge w:val="restart"/>
            <w:tcBorders>
              <w:top w:val="single" w:sz="4" w:space="0" w:color="auto"/>
              <w:bottom w:val="single" w:sz="4" w:space="0" w:color="auto"/>
            </w:tcBorders>
            <w:noWrap/>
            <w:hideMark/>
          </w:tcPr>
          <w:p w14:paraId="2392AACF" w14:textId="4B317EAE"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i/>
                <w:iCs/>
                <w:color w:val="000000"/>
              </w:rPr>
              <w:t>P</w:t>
            </w:r>
            <w:r w:rsidRPr="0057696B">
              <w:rPr>
                <w:rFonts w:ascii="Book Antiqua" w:eastAsia="Times New Roman" w:hAnsi="Book Antiqua"/>
                <w:b/>
                <w:bCs/>
                <w:color w:val="000000"/>
              </w:rPr>
              <w:t xml:space="preserve"> value</w:t>
            </w:r>
          </w:p>
        </w:tc>
      </w:tr>
      <w:tr w:rsidR="00BA329C" w:rsidRPr="0057696B" w14:paraId="5074736C" w14:textId="77777777" w:rsidTr="00BA329C">
        <w:trPr>
          <w:trHeight w:val="300"/>
        </w:trPr>
        <w:tc>
          <w:tcPr>
            <w:tcW w:w="2836" w:type="dxa"/>
            <w:vMerge/>
            <w:tcBorders>
              <w:top w:val="single" w:sz="4" w:space="0" w:color="auto"/>
              <w:bottom w:val="single" w:sz="4" w:space="0" w:color="auto"/>
            </w:tcBorders>
            <w:noWrap/>
            <w:hideMark/>
          </w:tcPr>
          <w:p w14:paraId="055AD57F" w14:textId="77777777" w:rsidR="00BA329C" w:rsidRPr="0057696B" w:rsidRDefault="00BA329C" w:rsidP="0057696B">
            <w:pPr>
              <w:spacing w:line="360" w:lineRule="auto"/>
              <w:contextualSpacing/>
              <w:mirrorIndents/>
              <w:jc w:val="both"/>
              <w:rPr>
                <w:rFonts w:ascii="Book Antiqua" w:eastAsia="Times New Roman" w:hAnsi="Book Antiqua"/>
                <w:b/>
                <w:bCs/>
              </w:rPr>
            </w:pPr>
          </w:p>
        </w:tc>
        <w:tc>
          <w:tcPr>
            <w:tcW w:w="2126" w:type="dxa"/>
            <w:tcBorders>
              <w:top w:val="single" w:sz="4" w:space="0" w:color="auto"/>
              <w:bottom w:val="single" w:sz="4" w:space="0" w:color="auto"/>
            </w:tcBorders>
            <w:noWrap/>
            <w:hideMark/>
          </w:tcPr>
          <w:p w14:paraId="08BD0ADC" w14:textId="50C45EF4"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Never</w:t>
            </w:r>
            <w:r w:rsidR="00D3402E">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37</w:t>
            </w:r>
          </w:p>
        </w:tc>
        <w:tc>
          <w:tcPr>
            <w:tcW w:w="2126" w:type="dxa"/>
            <w:tcBorders>
              <w:top w:val="single" w:sz="4" w:space="0" w:color="auto"/>
              <w:bottom w:val="single" w:sz="4" w:space="0" w:color="auto"/>
            </w:tcBorders>
            <w:noWrap/>
            <w:hideMark/>
          </w:tcPr>
          <w:p w14:paraId="5756435B" w14:textId="45807896"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Former</w:t>
            </w:r>
            <w:r w:rsidR="00D3402E">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22</w:t>
            </w:r>
          </w:p>
        </w:tc>
        <w:tc>
          <w:tcPr>
            <w:tcW w:w="1985" w:type="dxa"/>
            <w:tcBorders>
              <w:top w:val="single" w:sz="4" w:space="0" w:color="auto"/>
              <w:bottom w:val="single" w:sz="4" w:space="0" w:color="auto"/>
            </w:tcBorders>
            <w:noWrap/>
            <w:hideMark/>
          </w:tcPr>
          <w:p w14:paraId="2362E50F" w14:textId="274AB126"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Current</w:t>
            </w:r>
            <w:r w:rsidR="00D3402E">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36</w:t>
            </w:r>
          </w:p>
        </w:tc>
        <w:tc>
          <w:tcPr>
            <w:tcW w:w="1276" w:type="dxa"/>
            <w:vMerge/>
            <w:tcBorders>
              <w:top w:val="single" w:sz="4" w:space="0" w:color="auto"/>
              <w:bottom w:val="single" w:sz="4" w:space="0" w:color="auto"/>
            </w:tcBorders>
            <w:noWrap/>
            <w:hideMark/>
          </w:tcPr>
          <w:p w14:paraId="23FA329D" w14:textId="54EAB513"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5A06CE99" w14:textId="77777777" w:rsidTr="002A41B4">
        <w:trPr>
          <w:trHeight w:val="300"/>
        </w:trPr>
        <w:tc>
          <w:tcPr>
            <w:tcW w:w="2836" w:type="dxa"/>
            <w:tcBorders>
              <w:top w:val="single" w:sz="6" w:space="0" w:color="auto"/>
            </w:tcBorders>
            <w:noWrap/>
            <w:hideMark/>
          </w:tcPr>
          <w:p w14:paraId="68C803D1" w14:textId="3BC826CA"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 xml:space="preserve">Age </w:t>
            </w:r>
            <w:r w:rsidR="00D3402E" w:rsidRPr="002A41B4">
              <w:rPr>
                <w:rFonts w:ascii="Book Antiqua" w:eastAsia="Times New Roman" w:hAnsi="Book Antiqua"/>
                <w:color w:val="000000"/>
              </w:rPr>
              <w:t xml:space="preserve">in </w:t>
            </w:r>
            <w:proofErr w:type="spellStart"/>
            <w:r w:rsidRPr="002A41B4">
              <w:rPr>
                <w:rFonts w:ascii="Book Antiqua" w:eastAsia="Times New Roman" w:hAnsi="Book Antiqua"/>
                <w:color w:val="000000"/>
              </w:rPr>
              <w:t>yr</w:t>
            </w:r>
            <w:proofErr w:type="spellEnd"/>
            <w:r w:rsidR="00D3402E" w:rsidRPr="002A41B4">
              <w:rPr>
                <w:rFonts w:ascii="Book Antiqua" w:eastAsia="Times New Roman" w:hAnsi="Book Antiqua"/>
                <w:color w:val="000000"/>
              </w:rPr>
              <w:t xml:space="preserve">, </w:t>
            </w:r>
          </w:p>
        </w:tc>
        <w:tc>
          <w:tcPr>
            <w:tcW w:w="2126" w:type="dxa"/>
            <w:tcBorders>
              <w:top w:val="single" w:sz="6" w:space="0" w:color="auto"/>
            </w:tcBorders>
            <w:noWrap/>
            <w:hideMark/>
          </w:tcPr>
          <w:p w14:paraId="5C475D23" w14:textId="622751C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tcBorders>
              <w:top w:val="single" w:sz="6" w:space="0" w:color="auto"/>
            </w:tcBorders>
            <w:noWrap/>
            <w:hideMark/>
          </w:tcPr>
          <w:p w14:paraId="38CCFD5A" w14:textId="197A6870"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tcBorders>
              <w:top w:val="single" w:sz="6" w:space="0" w:color="auto"/>
            </w:tcBorders>
            <w:noWrap/>
            <w:hideMark/>
          </w:tcPr>
          <w:p w14:paraId="2B204648" w14:textId="08055C4B"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tcBorders>
              <w:top w:val="single" w:sz="6" w:space="0" w:color="auto"/>
            </w:tcBorders>
            <w:noWrap/>
            <w:hideMark/>
          </w:tcPr>
          <w:p w14:paraId="1034F0CE"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0.011</w:t>
            </w:r>
          </w:p>
        </w:tc>
      </w:tr>
      <w:tr w:rsidR="00BA329C" w:rsidRPr="0057696B" w14:paraId="01381B65" w14:textId="77777777" w:rsidTr="00BA329C">
        <w:trPr>
          <w:trHeight w:val="300"/>
        </w:trPr>
        <w:tc>
          <w:tcPr>
            <w:tcW w:w="2836" w:type="dxa"/>
            <w:noWrap/>
            <w:hideMark/>
          </w:tcPr>
          <w:p w14:paraId="5230B386" w14:textId="72EFA730" w:rsidR="00BA329C" w:rsidRPr="00D3402E" w:rsidRDefault="00BA329C" w:rsidP="0057696B">
            <w:pPr>
              <w:spacing w:line="360" w:lineRule="auto"/>
              <w:contextualSpacing/>
              <w:mirrorIndents/>
              <w:jc w:val="both"/>
              <w:rPr>
                <w:rFonts w:ascii="Book Antiqua" w:eastAsia="Times New Roman" w:hAnsi="Book Antiqua"/>
                <w:color w:val="000000"/>
              </w:rPr>
            </w:pPr>
            <w:r w:rsidRPr="00D3402E">
              <w:rPr>
                <w:rFonts w:ascii="Book Antiqua" w:eastAsia="Times New Roman" w:hAnsi="Book Antiqua"/>
                <w:color w:val="000000"/>
              </w:rPr>
              <w:t>mean ± SD</w:t>
            </w:r>
          </w:p>
        </w:tc>
        <w:tc>
          <w:tcPr>
            <w:tcW w:w="2126" w:type="dxa"/>
            <w:noWrap/>
            <w:hideMark/>
          </w:tcPr>
          <w:p w14:paraId="316403C2" w14:textId="3E418579"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63.7</w:t>
            </w:r>
            <w:r w:rsidR="00D53075">
              <w:rPr>
                <w:rFonts w:ascii="Book Antiqua" w:eastAsia="Times New Roman" w:hAnsi="Book Antiqua"/>
                <w:color w:val="000000"/>
              </w:rPr>
              <w:t>0</w:t>
            </w:r>
            <w:r w:rsidRPr="0057696B">
              <w:rPr>
                <w:rFonts w:ascii="Book Antiqua" w:eastAsia="Times New Roman" w:hAnsi="Book Antiqua"/>
                <w:color w:val="000000"/>
              </w:rPr>
              <w:t xml:space="preserve"> ± 13.80</w:t>
            </w:r>
          </w:p>
        </w:tc>
        <w:tc>
          <w:tcPr>
            <w:tcW w:w="2126" w:type="dxa"/>
            <w:noWrap/>
            <w:hideMark/>
          </w:tcPr>
          <w:p w14:paraId="64F0E86A" w14:textId="72AA3BB6" w:rsidR="00BA329C" w:rsidRPr="0057696B" w:rsidRDefault="00BA329C" w:rsidP="0057696B">
            <w:pPr>
              <w:spacing w:line="360" w:lineRule="auto"/>
              <w:contextualSpacing/>
              <w:mirrorIndents/>
              <w:jc w:val="both"/>
              <w:rPr>
                <w:rFonts w:ascii="Book Antiqua" w:eastAsia="Times New Roman" w:hAnsi="Book Antiqua"/>
                <w:bCs/>
                <w:color w:val="000000"/>
              </w:rPr>
            </w:pPr>
            <w:r w:rsidRPr="0057696B">
              <w:rPr>
                <w:rFonts w:ascii="Book Antiqua" w:eastAsia="Times New Roman" w:hAnsi="Book Antiqua"/>
                <w:bCs/>
                <w:color w:val="000000"/>
              </w:rPr>
              <w:t>66.5</w:t>
            </w:r>
            <w:r w:rsidR="00D53075">
              <w:rPr>
                <w:rFonts w:ascii="Book Antiqua" w:eastAsia="Times New Roman" w:hAnsi="Book Antiqua"/>
                <w:bCs/>
                <w:color w:val="000000"/>
              </w:rPr>
              <w:t>0</w:t>
            </w:r>
            <w:r w:rsidRPr="0057696B">
              <w:rPr>
                <w:rFonts w:ascii="Book Antiqua" w:eastAsia="Times New Roman" w:hAnsi="Book Antiqua"/>
                <w:bCs/>
                <w:color w:val="000000"/>
              </w:rPr>
              <w:t xml:space="preserve"> ± 13.17</w:t>
            </w:r>
          </w:p>
        </w:tc>
        <w:tc>
          <w:tcPr>
            <w:tcW w:w="1985" w:type="dxa"/>
            <w:noWrap/>
            <w:hideMark/>
          </w:tcPr>
          <w:p w14:paraId="09111A87" w14:textId="07C19D45"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57.4</w:t>
            </w:r>
            <w:r w:rsidR="00D53075">
              <w:rPr>
                <w:rFonts w:ascii="Book Antiqua" w:eastAsia="Times New Roman" w:hAnsi="Book Antiqua"/>
                <w:color w:val="000000"/>
              </w:rPr>
              <w:t>0</w:t>
            </w:r>
            <w:r w:rsidRPr="0057696B">
              <w:rPr>
                <w:rFonts w:ascii="Book Antiqua" w:eastAsia="Times New Roman" w:hAnsi="Book Antiqua"/>
                <w:color w:val="000000"/>
              </w:rPr>
              <w:t xml:space="preserve"> ± 7.82</w:t>
            </w:r>
          </w:p>
        </w:tc>
        <w:tc>
          <w:tcPr>
            <w:tcW w:w="1276" w:type="dxa"/>
            <w:noWrap/>
            <w:hideMark/>
          </w:tcPr>
          <w:p w14:paraId="703375B9" w14:textId="57061717"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073B666B" w14:textId="77777777" w:rsidTr="00BA329C">
        <w:trPr>
          <w:trHeight w:val="300"/>
        </w:trPr>
        <w:tc>
          <w:tcPr>
            <w:tcW w:w="2836" w:type="dxa"/>
            <w:noWrap/>
            <w:hideMark/>
          </w:tcPr>
          <w:p w14:paraId="4F359A81" w14:textId="6E432253"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Clinical stage group</w:t>
            </w:r>
          </w:p>
        </w:tc>
        <w:tc>
          <w:tcPr>
            <w:tcW w:w="2126" w:type="dxa"/>
            <w:noWrap/>
            <w:hideMark/>
          </w:tcPr>
          <w:p w14:paraId="567531B6" w14:textId="7F51E73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6900EDB4" w14:textId="04215546"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63AC0361" w14:textId="0DD11BCD"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590A9D2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0.066</w:t>
            </w:r>
          </w:p>
        </w:tc>
      </w:tr>
      <w:tr w:rsidR="00BA329C" w:rsidRPr="0057696B" w14:paraId="5A207D0F" w14:textId="77777777" w:rsidTr="00BA329C">
        <w:trPr>
          <w:trHeight w:val="300"/>
        </w:trPr>
        <w:tc>
          <w:tcPr>
            <w:tcW w:w="2836" w:type="dxa"/>
            <w:noWrap/>
            <w:hideMark/>
          </w:tcPr>
          <w:p w14:paraId="0CD4BF69"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1</w:t>
            </w:r>
          </w:p>
        </w:tc>
        <w:tc>
          <w:tcPr>
            <w:tcW w:w="2126" w:type="dxa"/>
            <w:noWrap/>
            <w:hideMark/>
          </w:tcPr>
          <w:p w14:paraId="58BFDCE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 (13.5)</w:t>
            </w:r>
          </w:p>
        </w:tc>
        <w:tc>
          <w:tcPr>
            <w:tcW w:w="2126" w:type="dxa"/>
            <w:noWrap/>
            <w:hideMark/>
          </w:tcPr>
          <w:p w14:paraId="5389BDB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(18.2)</w:t>
            </w:r>
          </w:p>
        </w:tc>
        <w:tc>
          <w:tcPr>
            <w:tcW w:w="1985" w:type="dxa"/>
            <w:noWrap/>
            <w:hideMark/>
          </w:tcPr>
          <w:p w14:paraId="663FF9B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 (22.2)</w:t>
            </w:r>
          </w:p>
        </w:tc>
        <w:tc>
          <w:tcPr>
            <w:tcW w:w="1276" w:type="dxa"/>
            <w:noWrap/>
            <w:hideMark/>
          </w:tcPr>
          <w:p w14:paraId="3F5C7C7C" w14:textId="57C012B0"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0A203CE5" w14:textId="77777777" w:rsidTr="00BA329C">
        <w:trPr>
          <w:trHeight w:val="300"/>
        </w:trPr>
        <w:tc>
          <w:tcPr>
            <w:tcW w:w="2836" w:type="dxa"/>
            <w:noWrap/>
            <w:hideMark/>
          </w:tcPr>
          <w:p w14:paraId="2B6A8463"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2</w:t>
            </w:r>
          </w:p>
        </w:tc>
        <w:tc>
          <w:tcPr>
            <w:tcW w:w="2126" w:type="dxa"/>
            <w:noWrap/>
            <w:hideMark/>
          </w:tcPr>
          <w:p w14:paraId="30659EEF"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126" w:type="dxa"/>
            <w:noWrap/>
            <w:hideMark/>
          </w:tcPr>
          <w:p w14:paraId="458F0FE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9 (40.9)</w:t>
            </w:r>
          </w:p>
        </w:tc>
        <w:tc>
          <w:tcPr>
            <w:tcW w:w="1985" w:type="dxa"/>
            <w:noWrap/>
            <w:hideMark/>
          </w:tcPr>
          <w:p w14:paraId="1C625CB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18 (50.0)</w:t>
            </w:r>
          </w:p>
        </w:tc>
        <w:tc>
          <w:tcPr>
            <w:tcW w:w="1276" w:type="dxa"/>
            <w:noWrap/>
            <w:hideMark/>
          </w:tcPr>
          <w:p w14:paraId="048C0173" w14:textId="7E99CC3D"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2F5CD4D2" w14:textId="77777777" w:rsidTr="00BA329C">
        <w:trPr>
          <w:trHeight w:val="300"/>
        </w:trPr>
        <w:tc>
          <w:tcPr>
            <w:tcW w:w="2836" w:type="dxa"/>
            <w:noWrap/>
            <w:hideMark/>
          </w:tcPr>
          <w:p w14:paraId="11CCE5CD"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3</w:t>
            </w:r>
          </w:p>
        </w:tc>
        <w:tc>
          <w:tcPr>
            <w:tcW w:w="2126" w:type="dxa"/>
            <w:noWrap/>
            <w:hideMark/>
          </w:tcPr>
          <w:p w14:paraId="7C989D5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126" w:type="dxa"/>
            <w:noWrap/>
            <w:hideMark/>
          </w:tcPr>
          <w:p w14:paraId="05D8474E"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9 (40.9)</w:t>
            </w:r>
          </w:p>
        </w:tc>
        <w:tc>
          <w:tcPr>
            <w:tcW w:w="1985" w:type="dxa"/>
            <w:noWrap/>
            <w:hideMark/>
          </w:tcPr>
          <w:p w14:paraId="5534403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 (22.2)</w:t>
            </w:r>
          </w:p>
        </w:tc>
        <w:tc>
          <w:tcPr>
            <w:tcW w:w="1276" w:type="dxa"/>
            <w:noWrap/>
            <w:hideMark/>
          </w:tcPr>
          <w:p w14:paraId="508F953B" w14:textId="6D3D4C59"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7268CA1D" w14:textId="77777777" w:rsidTr="00BA329C">
        <w:trPr>
          <w:trHeight w:val="300"/>
        </w:trPr>
        <w:tc>
          <w:tcPr>
            <w:tcW w:w="2836" w:type="dxa"/>
            <w:noWrap/>
            <w:hideMark/>
          </w:tcPr>
          <w:p w14:paraId="175D54B5"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4</w:t>
            </w:r>
          </w:p>
        </w:tc>
        <w:tc>
          <w:tcPr>
            <w:tcW w:w="2126" w:type="dxa"/>
            <w:noWrap/>
            <w:hideMark/>
          </w:tcPr>
          <w:p w14:paraId="7287641D"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(10.8)</w:t>
            </w:r>
          </w:p>
        </w:tc>
        <w:tc>
          <w:tcPr>
            <w:tcW w:w="2126" w:type="dxa"/>
            <w:noWrap/>
            <w:hideMark/>
          </w:tcPr>
          <w:p w14:paraId="4F18ADD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w:t>
            </w:r>
          </w:p>
        </w:tc>
        <w:tc>
          <w:tcPr>
            <w:tcW w:w="1985" w:type="dxa"/>
            <w:noWrap/>
            <w:hideMark/>
          </w:tcPr>
          <w:p w14:paraId="00D2BE8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 (5.6)</w:t>
            </w:r>
          </w:p>
        </w:tc>
        <w:tc>
          <w:tcPr>
            <w:tcW w:w="1276" w:type="dxa"/>
            <w:noWrap/>
            <w:hideMark/>
          </w:tcPr>
          <w:p w14:paraId="2FE4AA5F" w14:textId="63A6ECD7"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39D63583" w14:textId="77777777" w:rsidTr="00BA329C">
        <w:trPr>
          <w:trHeight w:val="300"/>
        </w:trPr>
        <w:tc>
          <w:tcPr>
            <w:tcW w:w="2836" w:type="dxa"/>
            <w:noWrap/>
            <w:hideMark/>
          </w:tcPr>
          <w:p w14:paraId="391EAA71" w14:textId="2088C231"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lastRenderedPageBreak/>
              <w:t>Race</w:t>
            </w:r>
          </w:p>
        </w:tc>
        <w:tc>
          <w:tcPr>
            <w:tcW w:w="2126" w:type="dxa"/>
            <w:noWrap/>
            <w:hideMark/>
          </w:tcPr>
          <w:p w14:paraId="687D827F" w14:textId="5FE56B4A"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32042CFC" w14:textId="6F09A3F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653E9A22" w14:textId="61C57440"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2DABFB5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0.273</w:t>
            </w:r>
          </w:p>
        </w:tc>
      </w:tr>
      <w:tr w:rsidR="00BA329C" w:rsidRPr="0057696B" w14:paraId="2FE0BDAA" w14:textId="77777777" w:rsidTr="00BA329C">
        <w:trPr>
          <w:trHeight w:val="300"/>
        </w:trPr>
        <w:tc>
          <w:tcPr>
            <w:tcW w:w="2836" w:type="dxa"/>
            <w:noWrap/>
            <w:hideMark/>
          </w:tcPr>
          <w:p w14:paraId="69CFB48F"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Black</w:t>
            </w:r>
          </w:p>
        </w:tc>
        <w:tc>
          <w:tcPr>
            <w:tcW w:w="2126" w:type="dxa"/>
            <w:noWrap/>
            <w:hideMark/>
          </w:tcPr>
          <w:p w14:paraId="604EC736"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 (5.4)</w:t>
            </w:r>
          </w:p>
        </w:tc>
        <w:tc>
          <w:tcPr>
            <w:tcW w:w="2126" w:type="dxa"/>
            <w:noWrap/>
            <w:hideMark/>
          </w:tcPr>
          <w:p w14:paraId="493D46B9"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w:t>
            </w:r>
          </w:p>
        </w:tc>
        <w:tc>
          <w:tcPr>
            <w:tcW w:w="1985" w:type="dxa"/>
            <w:noWrap/>
            <w:hideMark/>
          </w:tcPr>
          <w:p w14:paraId="4ECEF475"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(11.1)</w:t>
            </w:r>
          </w:p>
        </w:tc>
        <w:tc>
          <w:tcPr>
            <w:tcW w:w="1276" w:type="dxa"/>
            <w:noWrap/>
            <w:hideMark/>
          </w:tcPr>
          <w:p w14:paraId="748510C1" w14:textId="15D8CD59"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43B801D8" w14:textId="77777777" w:rsidTr="00BA329C">
        <w:trPr>
          <w:trHeight w:val="300"/>
        </w:trPr>
        <w:tc>
          <w:tcPr>
            <w:tcW w:w="2836" w:type="dxa"/>
            <w:noWrap/>
            <w:hideMark/>
          </w:tcPr>
          <w:p w14:paraId="5BD8FED8"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White</w:t>
            </w:r>
          </w:p>
        </w:tc>
        <w:tc>
          <w:tcPr>
            <w:tcW w:w="2126" w:type="dxa"/>
            <w:noWrap/>
            <w:hideMark/>
          </w:tcPr>
          <w:p w14:paraId="2EB58760"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35 (94.6)</w:t>
            </w:r>
          </w:p>
        </w:tc>
        <w:tc>
          <w:tcPr>
            <w:tcW w:w="2126" w:type="dxa"/>
            <w:noWrap/>
            <w:hideMark/>
          </w:tcPr>
          <w:p w14:paraId="05173EB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22 (100)</w:t>
            </w:r>
          </w:p>
        </w:tc>
        <w:tc>
          <w:tcPr>
            <w:tcW w:w="1985" w:type="dxa"/>
            <w:noWrap/>
            <w:hideMark/>
          </w:tcPr>
          <w:p w14:paraId="67CE18AB"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32 (88.9)</w:t>
            </w:r>
          </w:p>
        </w:tc>
        <w:tc>
          <w:tcPr>
            <w:tcW w:w="1276" w:type="dxa"/>
            <w:noWrap/>
            <w:hideMark/>
          </w:tcPr>
          <w:p w14:paraId="689553AD" w14:textId="394A8F9F"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396F71D2" w14:textId="77777777" w:rsidTr="00BA329C">
        <w:trPr>
          <w:trHeight w:val="70"/>
        </w:trPr>
        <w:tc>
          <w:tcPr>
            <w:tcW w:w="2836" w:type="dxa"/>
            <w:noWrap/>
            <w:hideMark/>
          </w:tcPr>
          <w:p w14:paraId="052B87D3" w14:textId="0884F551" w:rsidR="00BA329C" w:rsidRPr="002A41B4" w:rsidRDefault="00D3402E"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Sex</w:t>
            </w:r>
          </w:p>
        </w:tc>
        <w:tc>
          <w:tcPr>
            <w:tcW w:w="2126" w:type="dxa"/>
            <w:noWrap/>
            <w:hideMark/>
          </w:tcPr>
          <w:p w14:paraId="720660A6" w14:textId="3D662B2F"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79B6A694" w14:textId="139379E0"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6F2179B8" w14:textId="1BB74B03"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72476EB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0.078</w:t>
            </w:r>
          </w:p>
        </w:tc>
      </w:tr>
      <w:tr w:rsidR="00BA329C" w:rsidRPr="0057696B" w14:paraId="6792BD71" w14:textId="77777777" w:rsidTr="00BA329C">
        <w:trPr>
          <w:trHeight w:val="300"/>
        </w:trPr>
        <w:tc>
          <w:tcPr>
            <w:tcW w:w="2836" w:type="dxa"/>
            <w:noWrap/>
            <w:hideMark/>
          </w:tcPr>
          <w:p w14:paraId="036E4B34"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Female</w:t>
            </w:r>
          </w:p>
        </w:tc>
        <w:tc>
          <w:tcPr>
            <w:tcW w:w="2126" w:type="dxa"/>
            <w:noWrap/>
            <w:hideMark/>
          </w:tcPr>
          <w:p w14:paraId="3947A910"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30 (81.1)</w:t>
            </w:r>
          </w:p>
        </w:tc>
        <w:tc>
          <w:tcPr>
            <w:tcW w:w="2126" w:type="dxa"/>
            <w:noWrap/>
            <w:hideMark/>
          </w:tcPr>
          <w:p w14:paraId="0D2D93DF"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17 (77.3)</w:t>
            </w:r>
          </w:p>
        </w:tc>
        <w:tc>
          <w:tcPr>
            <w:tcW w:w="1985" w:type="dxa"/>
            <w:noWrap/>
            <w:hideMark/>
          </w:tcPr>
          <w:p w14:paraId="288E8950"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21 (58.3)</w:t>
            </w:r>
          </w:p>
        </w:tc>
        <w:tc>
          <w:tcPr>
            <w:tcW w:w="1276" w:type="dxa"/>
            <w:noWrap/>
            <w:hideMark/>
          </w:tcPr>
          <w:p w14:paraId="7F36777C" w14:textId="7C749AC1"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1644F7BB" w14:textId="77777777" w:rsidTr="00BA329C">
        <w:trPr>
          <w:trHeight w:val="300"/>
        </w:trPr>
        <w:tc>
          <w:tcPr>
            <w:tcW w:w="2836" w:type="dxa"/>
            <w:noWrap/>
            <w:hideMark/>
          </w:tcPr>
          <w:p w14:paraId="037A7963" w14:textId="77777777" w:rsidR="00BA329C" w:rsidRPr="0057696B" w:rsidRDefault="00BA329C" w:rsidP="002A41B4">
            <w:pPr>
              <w:spacing w:line="360" w:lineRule="auto"/>
              <w:ind w:left="288"/>
              <w:contextualSpacing/>
              <w:mirrorIndents/>
              <w:jc w:val="both"/>
              <w:rPr>
                <w:rFonts w:ascii="Book Antiqua" w:eastAsia="Times New Roman" w:hAnsi="Book Antiqua"/>
                <w:color w:val="000000"/>
              </w:rPr>
            </w:pPr>
            <w:r w:rsidRPr="0057696B">
              <w:rPr>
                <w:rFonts w:ascii="Book Antiqua" w:eastAsia="Times New Roman" w:hAnsi="Book Antiqua"/>
                <w:color w:val="000000"/>
              </w:rPr>
              <w:t>Male</w:t>
            </w:r>
          </w:p>
        </w:tc>
        <w:tc>
          <w:tcPr>
            <w:tcW w:w="2126" w:type="dxa"/>
            <w:noWrap/>
            <w:hideMark/>
          </w:tcPr>
          <w:p w14:paraId="0C8F7C9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7 (18.9)</w:t>
            </w:r>
          </w:p>
        </w:tc>
        <w:tc>
          <w:tcPr>
            <w:tcW w:w="2126" w:type="dxa"/>
            <w:noWrap/>
            <w:hideMark/>
          </w:tcPr>
          <w:p w14:paraId="77AAA9F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 (22.7)</w:t>
            </w:r>
          </w:p>
        </w:tc>
        <w:tc>
          <w:tcPr>
            <w:tcW w:w="1985" w:type="dxa"/>
            <w:noWrap/>
            <w:hideMark/>
          </w:tcPr>
          <w:p w14:paraId="6946E95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15 (41.7)</w:t>
            </w:r>
          </w:p>
        </w:tc>
        <w:tc>
          <w:tcPr>
            <w:tcW w:w="1276" w:type="dxa"/>
            <w:noWrap/>
            <w:hideMark/>
          </w:tcPr>
          <w:p w14:paraId="607226BD" w14:textId="2061CFB5"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BA329C" w:rsidRPr="0057696B" w14:paraId="3E97B908" w14:textId="77777777" w:rsidTr="00BA329C">
        <w:trPr>
          <w:trHeight w:val="300"/>
        </w:trPr>
        <w:tc>
          <w:tcPr>
            <w:tcW w:w="2836" w:type="dxa"/>
            <w:noWrap/>
            <w:hideMark/>
          </w:tcPr>
          <w:p w14:paraId="6EE076F4" w14:textId="49918FD2" w:rsidR="00BA329C" w:rsidRPr="002A41B4" w:rsidRDefault="00BA329C" w:rsidP="0057696B">
            <w:pPr>
              <w:spacing w:line="360" w:lineRule="auto"/>
              <w:contextualSpacing/>
              <w:mirrorIndents/>
              <w:jc w:val="both"/>
              <w:rPr>
                <w:rFonts w:ascii="Book Antiqua" w:eastAsia="Times New Roman" w:hAnsi="Book Antiqua"/>
                <w:color w:val="000000"/>
              </w:rPr>
            </w:pPr>
            <w:r w:rsidRPr="002A41B4">
              <w:rPr>
                <w:rFonts w:ascii="Book Antiqua" w:eastAsia="Times New Roman" w:hAnsi="Book Antiqua"/>
                <w:color w:val="000000"/>
              </w:rPr>
              <w:t xml:space="preserve">Length of follow-up </w:t>
            </w:r>
            <w:r w:rsidR="004516EC" w:rsidRPr="002A41B4">
              <w:rPr>
                <w:rFonts w:ascii="Book Antiqua" w:eastAsia="Times New Roman" w:hAnsi="Book Antiqua"/>
                <w:color w:val="000000"/>
              </w:rPr>
              <w:t xml:space="preserve">in </w:t>
            </w:r>
            <w:r w:rsidRPr="002A41B4">
              <w:rPr>
                <w:rFonts w:ascii="Book Antiqua" w:eastAsia="Times New Roman" w:hAnsi="Book Antiqua"/>
                <w:color w:val="000000"/>
              </w:rPr>
              <w:t>d</w:t>
            </w:r>
          </w:p>
        </w:tc>
        <w:tc>
          <w:tcPr>
            <w:tcW w:w="2126" w:type="dxa"/>
            <w:noWrap/>
            <w:hideMark/>
          </w:tcPr>
          <w:p w14:paraId="34406D6C" w14:textId="6EC958F2"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2126" w:type="dxa"/>
            <w:noWrap/>
            <w:hideMark/>
          </w:tcPr>
          <w:p w14:paraId="26B2889A" w14:textId="7367C3A4"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985" w:type="dxa"/>
            <w:noWrap/>
            <w:hideMark/>
          </w:tcPr>
          <w:p w14:paraId="2A2F308C" w14:textId="779A3ECA" w:rsidR="00BA329C" w:rsidRPr="0057696B" w:rsidRDefault="00BA329C" w:rsidP="0057696B">
            <w:pPr>
              <w:spacing w:line="360" w:lineRule="auto"/>
              <w:contextualSpacing/>
              <w:mirrorIndents/>
              <w:jc w:val="both"/>
              <w:rPr>
                <w:rFonts w:ascii="Book Antiqua" w:eastAsia="Times New Roman" w:hAnsi="Book Antiqua"/>
                <w:color w:val="000000"/>
              </w:rPr>
            </w:pPr>
          </w:p>
        </w:tc>
        <w:tc>
          <w:tcPr>
            <w:tcW w:w="1276" w:type="dxa"/>
            <w:noWrap/>
            <w:hideMark/>
          </w:tcPr>
          <w:p w14:paraId="6F6631F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0.759</w:t>
            </w:r>
          </w:p>
        </w:tc>
      </w:tr>
      <w:tr w:rsidR="00BA329C" w:rsidRPr="0057696B" w14:paraId="43B82E50" w14:textId="77777777" w:rsidTr="00BA329C">
        <w:trPr>
          <w:trHeight w:val="300"/>
        </w:trPr>
        <w:tc>
          <w:tcPr>
            <w:tcW w:w="2836" w:type="dxa"/>
            <w:tcBorders>
              <w:bottom w:val="single" w:sz="4" w:space="0" w:color="auto"/>
            </w:tcBorders>
            <w:noWrap/>
            <w:hideMark/>
          </w:tcPr>
          <w:p w14:paraId="5DA23BC0" w14:textId="5D5915AE"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mean ± SD</w:t>
            </w:r>
          </w:p>
        </w:tc>
        <w:tc>
          <w:tcPr>
            <w:tcW w:w="2126" w:type="dxa"/>
            <w:tcBorders>
              <w:bottom w:val="single" w:sz="4" w:space="0" w:color="auto"/>
            </w:tcBorders>
            <w:noWrap/>
            <w:hideMark/>
          </w:tcPr>
          <w:p w14:paraId="33DB1868" w14:textId="29BB2620"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1195.1</w:t>
            </w:r>
            <w:r w:rsidR="00D53075">
              <w:rPr>
                <w:rFonts w:ascii="Book Antiqua" w:eastAsia="Times New Roman" w:hAnsi="Book Antiqua"/>
                <w:color w:val="000000"/>
              </w:rPr>
              <w:t>0</w:t>
            </w:r>
            <w:r w:rsidRPr="0057696B">
              <w:rPr>
                <w:rFonts w:ascii="Book Antiqua" w:eastAsia="Times New Roman" w:hAnsi="Book Antiqua"/>
                <w:color w:val="000000"/>
              </w:rPr>
              <w:t xml:space="preserve"> ± 1135.96</w:t>
            </w:r>
          </w:p>
        </w:tc>
        <w:tc>
          <w:tcPr>
            <w:tcW w:w="2126" w:type="dxa"/>
            <w:tcBorders>
              <w:bottom w:val="single" w:sz="4" w:space="0" w:color="auto"/>
            </w:tcBorders>
            <w:noWrap/>
            <w:hideMark/>
          </w:tcPr>
          <w:p w14:paraId="77441795" w14:textId="0BB26D19"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1023.2</w:t>
            </w:r>
            <w:r w:rsidR="00D53075">
              <w:rPr>
                <w:rFonts w:ascii="Book Antiqua" w:eastAsia="Times New Roman" w:hAnsi="Book Antiqua"/>
                <w:color w:val="000000"/>
              </w:rPr>
              <w:t>0</w:t>
            </w:r>
            <w:r w:rsidRPr="0057696B">
              <w:rPr>
                <w:rFonts w:ascii="Book Antiqua" w:eastAsia="Times New Roman" w:hAnsi="Book Antiqua"/>
                <w:color w:val="000000"/>
              </w:rPr>
              <w:t xml:space="preserve"> ± 855.35</w:t>
            </w:r>
          </w:p>
        </w:tc>
        <w:tc>
          <w:tcPr>
            <w:tcW w:w="1985" w:type="dxa"/>
            <w:tcBorders>
              <w:bottom w:val="single" w:sz="4" w:space="0" w:color="auto"/>
            </w:tcBorders>
            <w:noWrap/>
            <w:hideMark/>
          </w:tcPr>
          <w:p w14:paraId="0A49AC1D" w14:textId="571018E5"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1218.2</w:t>
            </w:r>
            <w:r w:rsidR="00D53075">
              <w:rPr>
                <w:rFonts w:ascii="Book Antiqua" w:eastAsia="Times New Roman" w:hAnsi="Book Antiqua"/>
                <w:color w:val="000000"/>
              </w:rPr>
              <w:t>0</w:t>
            </w:r>
            <w:r w:rsidRPr="0057696B">
              <w:rPr>
                <w:rFonts w:ascii="Book Antiqua" w:eastAsia="Times New Roman" w:hAnsi="Book Antiqua"/>
                <w:color w:val="000000"/>
              </w:rPr>
              <w:t xml:space="preserve"> ± 986.20</w:t>
            </w:r>
          </w:p>
        </w:tc>
        <w:tc>
          <w:tcPr>
            <w:tcW w:w="1276" w:type="dxa"/>
            <w:tcBorders>
              <w:bottom w:val="single" w:sz="4" w:space="0" w:color="auto"/>
            </w:tcBorders>
            <w:noWrap/>
            <w:hideMark/>
          </w:tcPr>
          <w:p w14:paraId="475C871D" w14:textId="636A1450" w:rsidR="00BA329C" w:rsidRPr="0057696B" w:rsidRDefault="00BA329C" w:rsidP="0057696B">
            <w:pPr>
              <w:spacing w:line="360" w:lineRule="auto"/>
              <w:contextualSpacing/>
              <w:mirrorIndents/>
              <w:jc w:val="both"/>
              <w:rPr>
                <w:rFonts w:ascii="Book Antiqua" w:eastAsia="Times New Roman" w:hAnsi="Book Antiqua"/>
                <w:color w:val="000000"/>
              </w:rPr>
            </w:pPr>
          </w:p>
        </w:tc>
      </w:tr>
    </w:tbl>
    <w:p w14:paraId="63660E78" w14:textId="70473BAF" w:rsidR="00BA329C" w:rsidRPr="0057696B" w:rsidRDefault="00D3402E" w:rsidP="0057696B">
      <w:pPr>
        <w:spacing w:line="360" w:lineRule="auto"/>
        <w:jc w:val="both"/>
        <w:rPr>
          <w:rFonts w:ascii="Book Antiqua" w:hAnsi="Book Antiqua"/>
        </w:rPr>
      </w:pPr>
      <w:r>
        <w:rPr>
          <w:rFonts w:ascii="Book Antiqua" w:hAnsi="Book Antiqua"/>
        </w:rPr>
        <w:t>Data are</w:t>
      </w:r>
      <w:r w:rsidRPr="0057696B">
        <w:rPr>
          <w:rFonts w:ascii="Book Antiqua" w:eastAsia="Times New Roman" w:hAnsi="Book Antiqua"/>
          <w:b/>
          <w:bCs/>
          <w:i/>
          <w:iCs/>
          <w:color w:val="000000"/>
        </w:rPr>
        <w:t xml:space="preserve"> </w:t>
      </w:r>
      <w:r w:rsidRPr="002A41B4">
        <w:rPr>
          <w:rFonts w:ascii="Book Antiqua" w:eastAsia="Times New Roman" w:hAnsi="Book Antiqua"/>
          <w:i/>
          <w:iCs/>
          <w:color w:val="000000"/>
        </w:rPr>
        <w:t>n</w:t>
      </w:r>
      <w:r w:rsidRPr="002A41B4">
        <w:rPr>
          <w:rFonts w:ascii="Book Antiqua" w:eastAsia="Times New Roman" w:hAnsi="Book Antiqua"/>
          <w:color w:val="000000"/>
        </w:rPr>
        <w:t xml:space="preserve"> (%).</w:t>
      </w:r>
      <w:r>
        <w:rPr>
          <w:rFonts w:ascii="Book Antiqua" w:eastAsia="Times New Roman" w:hAnsi="Book Antiqua"/>
          <w:b/>
          <w:bCs/>
          <w:color w:val="000000"/>
        </w:rPr>
        <w:t xml:space="preserve"> </w:t>
      </w:r>
      <w:r w:rsidR="00D53075">
        <w:rPr>
          <w:rFonts w:ascii="Book Antiqua" w:hAnsi="Book Antiqua"/>
        </w:rPr>
        <w:t>SD: Standard deviation</w:t>
      </w:r>
      <w:r w:rsidR="00BA329C" w:rsidRPr="0057696B">
        <w:rPr>
          <w:rFonts w:ascii="Book Antiqua" w:hAnsi="Book Antiqua"/>
        </w:rPr>
        <w:t>.</w:t>
      </w:r>
    </w:p>
    <w:p w14:paraId="607E3761" w14:textId="77777777" w:rsidR="00BA329C" w:rsidRDefault="00BA329C" w:rsidP="0057696B">
      <w:pPr>
        <w:spacing w:line="360" w:lineRule="auto"/>
        <w:jc w:val="both"/>
        <w:rPr>
          <w:rFonts w:ascii="Book Antiqua" w:hAnsi="Book Antiqua"/>
        </w:rPr>
      </w:pPr>
    </w:p>
    <w:p w14:paraId="4E174A4C" w14:textId="1C36E3C6" w:rsidR="00BA329C" w:rsidRPr="0057696B" w:rsidRDefault="00BA329C" w:rsidP="0057696B">
      <w:pPr>
        <w:spacing w:line="360" w:lineRule="auto"/>
        <w:jc w:val="both"/>
        <w:rPr>
          <w:rFonts w:ascii="Book Antiqua" w:hAnsi="Book Antiqua"/>
          <w:b/>
          <w:bCs/>
        </w:rPr>
      </w:pPr>
      <w:r w:rsidRPr="0057696B">
        <w:rPr>
          <w:rFonts w:ascii="Book Antiqua" w:hAnsi="Book Antiqua"/>
          <w:b/>
          <w:bCs/>
        </w:rPr>
        <w:t>Table 2 Outcome data by group</w:t>
      </w:r>
    </w:p>
    <w:tbl>
      <w:tblPr>
        <w:tblW w:w="10413" w:type="dxa"/>
        <w:tblInd w:w="-459" w:type="dxa"/>
        <w:tblLook w:val="04A0" w:firstRow="1" w:lastRow="0" w:firstColumn="1" w:lastColumn="0" w:noHBand="0" w:noVBand="1"/>
      </w:tblPr>
      <w:tblGrid>
        <w:gridCol w:w="3304"/>
        <w:gridCol w:w="1935"/>
        <w:gridCol w:w="2076"/>
        <w:gridCol w:w="2093"/>
        <w:gridCol w:w="1005"/>
      </w:tblGrid>
      <w:tr w:rsidR="00BA329C" w:rsidRPr="0057696B" w14:paraId="793891DF" w14:textId="77777777" w:rsidTr="003B3C62">
        <w:trPr>
          <w:trHeight w:val="326"/>
        </w:trPr>
        <w:tc>
          <w:tcPr>
            <w:tcW w:w="3304" w:type="dxa"/>
            <w:vMerge w:val="restart"/>
            <w:tcBorders>
              <w:top w:val="single" w:sz="4" w:space="0" w:color="auto"/>
              <w:bottom w:val="single" w:sz="4" w:space="0" w:color="auto"/>
            </w:tcBorders>
            <w:noWrap/>
            <w:hideMark/>
          </w:tcPr>
          <w:p w14:paraId="7D349093" w14:textId="09314D85" w:rsidR="00BA329C" w:rsidRPr="0057696B" w:rsidRDefault="005B6B07" w:rsidP="0057696B">
            <w:pPr>
              <w:spacing w:line="360" w:lineRule="auto"/>
              <w:contextualSpacing/>
              <w:mirrorIndents/>
              <w:jc w:val="both"/>
              <w:rPr>
                <w:rFonts w:ascii="Book Antiqua" w:eastAsia="Times New Roman" w:hAnsi="Book Antiqua"/>
                <w:b/>
                <w:bCs/>
              </w:rPr>
            </w:pPr>
            <w:r>
              <w:rPr>
                <w:rFonts w:ascii="Book Antiqua" w:eastAsia="Times New Roman" w:hAnsi="Book Antiqua"/>
                <w:b/>
                <w:bCs/>
              </w:rPr>
              <w:t>Variable</w:t>
            </w:r>
          </w:p>
        </w:tc>
        <w:tc>
          <w:tcPr>
            <w:tcW w:w="6104" w:type="dxa"/>
            <w:gridSpan w:val="3"/>
            <w:tcBorders>
              <w:top w:val="single" w:sz="4" w:space="0" w:color="auto"/>
              <w:bottom w:val="single" w:sz="4" w:space="0" w:color="auto"/>
            </w:tcBorders>
            <w:noWrap/>
            <w:hideMark/>
          </w:tcPr>
          <w:p w14:paraId="649B48EB" w14:textId="70030B0A" w:rsidR="00BA329C" w:rsidRPr="0057696B" w:rsidRDefault="00BA329C" w:rsidP="0057696B">
            <w:pPr>
              <w:spacing w:line="360" w:lineRule="auto"/>
              <w:contextualSpacing/>
              <w:mirrorIndents/>
              <w:jc w:val="both"/>
              <w:rPr>
                <w:rFonts w:ascii="Book Antiqua" w:eastAsia="Times New Roman" w:hAnsi="Book Antiqua" w:cs="Calibri"/>
                <w:b/>
                <w:bCs/>
                <w:color w:val="000000"/>
              </w:rPr>
            </w:pPr>
            <w:r w:rsidRPr="0057696B">
              <w:rPr>
                <w:rFonts w:ascii="Book Antiqua" w:eastAsia="Times New Roman" w:hAnsi="Book Antiqua" w:cs="Calibri"/>
                <w:b/>
                <w:bCs/>
                <w:color w:val="000000"/>
              </w:rPr>
              <w:t xml:space="preserve">Cigarette </w:t>
            </w:r>
            <w:r w:rsidR="003B3C62" w:rsidRPr="0057696B">
              <w:rPr>
                <w:rFonts w:ascii="Book Antiqua" w:eastAsia="Times New Roman" w:hAnsi="Book Antiqua" w:cs="Calibri"/>
                <w:b/>
                <w:bCs/>
                <w:color w:val="000000"/>
              </w:rPr>
              <w:t>u</w:t>
            </w:r>
            <w:r w:rsidRPr="0057696B">
              <w:rPr>
                <w:rFonts w:ascii="Book Antiqua" w:eastAsia="Times New Roman" w:hAnsi="Book Antiqua" w:cs="Calibri"/>
                <w:b/>
                <w:bCs/>
                <w:color w:val="000000"/>
              </w:rPr>
              <w:t>se</w:t>
            </w:r>
          </w:p>
        </w:tc>
        <w:tc>
          <w:tcPr>
            <w:tcW w:w="1005" w:type="dxa"/>
            <w:vMerge w:val="restart"/>
            <w:tcBorders>
              <w:top w:val="single" w:sz="4" w:space="0" w:color="auto"/>
              <w:bottom w:val="single" w:sz="4" w:space="0" w:color="auto"/>
            </w:tcBorders>
            <w:noWrap/>
            <w:hideMark/>
          </w:tcPr>
          <w:p w14:paraId="34494067" w14:textId="58B81BA1" w:rsidR="00BA329C" w:rsidRPr="0057696B" w:rsidRDefault="00BA329C" w:rsidP="0057696B">
            <w:pPr>
              <w:spacing w:line="360" w:lineRule="auto"/>
              <w:contextualSpacing/>
              <w:mirrorIndents/>
              <w:jc w:val="both"/>
              <w:rPr>
                <w:rFonts w:ascii="Book Antiqua" w:eastAsia="Times New Roman" w:hAnsi="Book Antiqua" w:cs="Calibri"/>
                <w:b/>
                <w:bCs/>
                <w:color w:val="000000"/>
              </w:rPr>
            </w:pPr>
            <w:r w:rsidRPr="0057696B">
              <w:rPr>
                <w:rFonts w:ascii="Book Antiqua" w:eastAsia="Times New Roman" w:hAnsi="Book Antiqua"/>
                <w:b/>
                <w:bCs/>
                <w:i/>
                <w:iCs/>
                <w:color w:val="000000"/>
              </w:rPr>
              <w:t>P</w:t>
            </w:r>
            <w:r w:rsidRPr="0057696B">
              <w:rPr>
                <w:rFonts w:ascii="Book Antiqua" w:eastAsia="Times New Roman" w:hAnsi="Book Antiqua"/>
                <w:b/>
                <w:bCs/>
                <w:color w:val="000000"/>
              </w:rPr>
              <w:t xml:space="preserve"> value</w:t>
            </w:r>
          </w:p>
        </w:tc>
      </w:tr>
      <w:tr w:rsidR="00BA329C" w:rsidRPr="0057696B" w14:paraId="2A1B38D3" w14:textId="77777777" w:rsidTr="003B3C62">
        <w:trPr>
          <w:trHeight w:val="326"/>
        </w:trPr>
        <w:tc>
          <w:tcPr>
            <w:tcW w:w="3304" w:type="dxa"/>
            <w:vMerge/>
            <w:tcBorders>
              <w:top w:val="single" w:sz="4" w:space="0" w:color="auto"/>
              <w:bottom w:val="single" w:sz="4" w:space="0" w:color="auto"/>
            </w:tcBorders>
            <w:noWrap/>
            <w:hideMark/>
          </w:tcPr>
          <w:p w14:paraId="0A410BC8" w14:textId="77777777" w:rsidR="00BA329C" w:rsidRPr="0057696B" w:rsidRDefault="00BA329C" w:rsidP="0057696B">
            <w:pPr>
              <w:spacing w:line="360" w:lineRule="auto"/>
              <w:contextualSpacing/>
              <w:mirrorIndents/>
              <w:jc w:val="both"/>
              <w:rPr>
                <w:rFonts w:ascii="Book Antiqua" w:eastAsia="Times New Roman" w:hAnsi="Book Antiqua"/>
              </w:rPr>
            </w:pPr>
          </w:p>
        </w:tc>
        <w:tc>
          <w:tcPr>
            <w:tcW w:w="1935" w:type="dxa"/>
            <w:tcBorders>
              <w:top w:val="single" w:sz="4" w:space="0" w:color="auto"/>
              <w:bottom w:val="single" w:sz="4" w:space="0" w:color="auto"/>
            </w:tcBorders>
            <w:noWrap/>
            <w:hideMark/>
          </w:tcPr>
          <w:p w14:paraId="7C6D9D31" w14:textId="4F7AAC3C"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Never</w:t>
            </w:r>
            <w:r w:rsidR="005B6B07">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37</w:t>
            </w:r>
          </w:p>
        </w:tc>
        <w:tc>
          <w:tcPr>
            <w:tcW w:w="2076" w:type="dxa"/>
            <w:tcBorders>
              <w:top w:val="single" w:sz="4" w:space="0" w:color="auto"/>
              <w:bottom w:val="single" w:sz="4" w:space="0" w:color="auto"/>
            </w:tcBorders>
            <w:noWrap/>
            <w:hideMark/>
          </w:tcPr>
          <w:p w14:paraId="14346115" w14:textId="7C87CEA2"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Former</w:t>
            </w:r>
            <w:r w:rsidR="005B6B07">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22</w:t>
            </w:r>
          </w:p>
        </w:tc>
        <w:tc>
          <w:tcPr>
            <w:tcW w:w="2093" w:type="dxa"/>
            <w:tcBorders>
              <w:top w:val="single" w:sz="4" w:space="0" w:color="auto"/>
              <w:bottom w:val="single" w:sz="4" w:space="0" w:color="auto"/>
            </w:tcBorders>
            <w:noWrap/>
            <w:hideMark/>
          </w:tcPr>
          <w:p w14:paraId="387D14E8" w14:textId="391D1364"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Current</w:t>
            </w:r>
            <w:r w:rsidR="005B6B07">
              <w:rPr>
                <w:rFonts w:ascii="Book Antiqua" w:eastAsia="Times New Roman" w:hAnsi="Book Antiqua"/>
                <w:b/>
                <w:bCs/>
                <w:color w:val="000000"/>
              </w:rPr>
              <w:t>,</w:t>
            </w:r>
            <w:r w:rsidRPr="0057696B">
              <w:rPr>
                <w:rFonts w:ascii="Book Antiqua" w:eastAsia="Times New Roman" w:hAnsi="Book Antiqua"/>
                <w:b/>
                <w:bCs/>
                <w:color w:val="000000"/>
              </w:rPr>
              <w:t xml:space="preserve"> </w:t>
            </w:r>
            <w:r w:rsidRPr="0057696B">
              <w:rPr>
                <w:rFonts w:ascii="Book Antiqua" w:eastAsia="Times New Roman" w:hAnsi="Book Antiqua"/>
                <w:b/>
                <w:bCs/>
                <w:i/>
                <w:iCs/>
                <w:color w:val="000000"/>
              </w:rPr>
              <w:t>n</w:t>
            </w:r>
            <w:r w:rsidRPr="0057696B">
              <w:rPr>
                <w:rFonts w:ascii="Book Antiqua" w:eastAsia="Times New Roman" w:hAnsi="Book Antiqua"/>
                <w:b/>
                <w:bCs/>
                <w:color w:val="000000"/>
              </w:rPr>
              <w:t xml:space="preserve"> = 36</w:t>
            </w:r>
          </w:p>
        </w:tc>
        <w:tc>
          <w:tcPr>
            <w:tcW w:w="1005" w:type="dxa"/>
            <w:vMerge/>
            <w:tcBorders>
              <w:top w:val="single" w:sz="4" w:space="0" w:color="auto"/>
              <w:bottom w:val="single" w:sz="4" w:space="0" w:color="auto"/>
            </w:tcBorders>
            <w:noWrap/>
            <w:hideMark/>
          </w:tcPr>
          <w:p w14:paraId="3197DD8D" w14:textId="3B0F6590" w:rsidR="00BA329C" w:rsidRPr="0057696B" w:rsidRDefault="00BA329C" w:rsidP="0057696B">
            <w:pPr>
              <w:spacing w:line="360" w:lineRule="auto"/>
              <w:contextualSpacing/>
              <w:mirrorIndents/>
              <w:jc w:val="both"/>
              <w:rPr>
                <w:rFonts w:ascii="Book Antiqua" w:eastAsia="Times New Roman" w:hAnsi="Book Antiqua"/>
                <w:color w:val="000000"/>
              </w:rPr>
            </w:pPr>
          </w:p>
        </w:tc>
      </w:tr>
      <w:tr w:rsidR="003B3C62" w:rsidRPr="0057696B" w14:paraId="4AC403A5" w14:textId="77777777" w:rsidTr="002A41B4">
        <w:trPr>
          <w:trHeight w:val="326"/>
        </w:trPr>
        <w:tc>
          <w:tcPr>
            <w:tcW w:w="3304" w:type="dxa"/>
            <w:tcBorders>
              <w:top w:val="single" w:sz="6" w:space="0" w:color="auto"/>
            </w:tcBorders>
            <w:noWrap/>
            <w:hideMark/>
          </w:tcPr>
          <w:p w14:paraId="43B480E5" w14:textId="2C4DA623"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 xml:space="preserve">Death </w:t>
            </w:r>
          </w:p>
        </w:tc>
        <w:tc>
          <w:tcPr>
            <w:tcW w:w="1935" w:type="dxa"/>
            <w:tcBorders>
              <w:top w:val="single" w:sz="6" w:space="0" w:color="auto"/>
            </w:tcBorders>
            <w:noWrap/>
            <w:hideMark/>
          </w:tcPr>
          <w:p w14:paraId="7EC19EBD"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076" w:type="dxa"/>
            <w:tcBorders>
              <w:top w:val="single" w:sz="6" w:space="0" w:color="auto"/>
            </w:tcBorders>
            <w:noWrap/>
            <w:hideMark/>
          </w:tcPr>
          <w:p w14:paraId="64F3B8C9"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6 (27.3)</w:t>
            </w:r>
          </w:p>
        </w:tc>
        <w:tc>
          <w:tcPr>
            <w:tcW w:w="2093" w:type="dxa"/>
            <w:tcBorders>
              <w:top w:val="single" w:sz="6" w:space="0" w:color="auto"/>
            </w:tcBorders>
            <w:noWrap/>
            <w:hideMark/>
          </w:tcPr>
          <w:p w14:paraId="7504E83C"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 (22.2)</w:t>
            </w:r>
          </w:p>
        </w:tc>
        <w:tc>
          <w:tcPr>
            <w:tcW w:w="1005" w:type="dxa"/>
            <w:tcBorders>
              <w:top w:val="single" w:sz="6" w:space="0" w:color="auto"/>
            </w:tcBorders>
            <w:noWrap/>
            <w:hideMark/>
          </w:tcPr>
          <w:p w14:paraId="584E313E"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0.332</w:t>
            </w:r>
          </w:p>
        </w:tc>
      </w:tr>
      <w:tr w:rsidR="003B3C62" w:rsidRPr="0057696B" w14:paraId="7E295003" w14:textId="77777777" w:rsidTr="003B3C62">
        <w:trPr>
          <w:trHeight w:val="326"/>
        </w:trPr>
        <w:tc>
          <w:tcPr>
            <w:tcW w:w="3304" w:type="dxa"/>
            <w:noWrap/>
            <w:hideMark/>
          </w:tcPr>
          <w:p w14:paraId="5CCCAEE6" w14:textId="39EB5519"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Non-response</w:t>
            </w:r>
          </w:p>
        </w:tc>
        <w:tc>
          <w:tcPr>
            <w:tcW w:w="1935" w:type="dxa"/>
            <w:noWrap/>
            <w:hideMark/>
          </w:tcPr>
          <w:p w14:paraId="335EA53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076" w:type="dxa"/>
            <w:noWrap/>
            <w:hideMark/>
          </w:tcPr>
          <w:p w14:paraId="50F50BE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9 (40.9)</w:t>
            </w:r>
          </w:p>
        </w:tc>
        <w:tc>
          <w:tcPr>
            <w:tcW w:w="2093" w:type="dxa"/>
            <w:noWrap/>
            <w:hideMark/>
          </w:tcPr>
          <w:p w14:paraId="63D60CA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(38.9)</w:t>
            </w:r>
          </w:p>
        </w:tc>
        <w:tc>
          <w:tcPr>
            <w:tcW w:w="1005" w:type="dxa"/>
            <w:noWrap/>
            <w:hideMark/>
          </w:tcPr>
          <w:p w14:paraId="25B07947"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0.973</w:t>
            </w:r>
          </w:p>
        </w:tc>
      </w:tr>
      <w:tr w:rsidR="003B3C62" w:rsidRPr="0057696B" w14:paraId="31BA12B5" w14:textId="77777777" w:rsidTr="003B3C62">
        <w:trPr>
          <w:trHeight w:val="326"/>
        </w:trPr>
        <w:tc>
          <w:tcPr>
            <w:tcW w:w="3304" w:type="dxa"/>
            <w:noWrap/>
            <w:hideMark/>
          </w:tcPr>
          <w:p w14:paraId="11EF7E46" w14:textId="142C6565"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Recurrence</w:t>
            </w:r>
          </w:p>
        </w:tc>
        <w:tc>
          <w:tcPr>
            <w:tcW w:w="1935" w:type="dxa"/>
            <w:noWrap/>
            <w:hideMark/>
          </w:tcPr>
          <w:p w14:paraId="2BCC0E96"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w:t>
            </w:r>
          </w:p>
        </w:tc>
        <w:tc>
          <w:tcPr>
            <w:tcW w:w="2076" w:type="dxa"/>
            <w:noWrap/>
            <w:hideMark/>
          </w:tcPr>
          <w:p w14:paraId="4E584B16"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4 (30.8)</w:t>
            </w:r>
          </w:p>
        </w:tc>
        <w:tc>
          <w:tcPr>
            <w:tcW w:w="2093" w:type="dxa"/>
            <w:noWrap/>
            <w:hideMark/>
          </w:tcPr>
          <w:p w14:paraId="2C45667B"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 (20.8)</w:t>
            </w:r>
          </w:p>
        </w:tc>
        <w:tc>
          <w:tcPr>
            <w:tcW w:w="1005" w:type="dxa"/>
            <w:noWrap/>
            <w:hideMark/>
          </w:tcPr>
          <w:p w14:paraId="7D794E34"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rPr>
              <w:t>0.009</w:t>
            </w:r>
          </w:p>
        </w:tc>
      </w:tr>
      <w:tr w:rsidR="003B3C62" w:rsidRPr="0057696B" w14:paraId="0C31E8D8" w14:textId="77777777" w:rsidTr="003B3C62">
        <w:trPr>
          <w:trHeight w:val="326"/>
        </w:trPr>
        <w:tc>
          <w:tcPr>
            <w:tcW w:w="3304" w:type="dxa"/>
            <w:noWrap/>
            <w:hideMark/>
          </w:tcPr>
          <w:p w14:paraId="4A6C804C" w14:textId="2B7DA56B"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Time to recurrence</w:t>
            </w:r>
            <w:r w:rsidR="005B6B07">
              <w:rPr>
                <w:rFonts w:ascii="Book Antiqua" w:eastAsia="Times New Roman" w:hAnsi="Book Antiqua"/>
                <w:color w:val="000000"/>
              </w:rPr>
              <w:t xml:space="preserve"> in</w:t>
            </w:r>
            <w:r w:rsidRPr="0057696B">
              <w:rPr>
                <w:rFonts w:ascii="Book Antiqua" w:eastAsia="Times New Roman" w:hAnsi="Book Antiqua"/>
                <w:color w:val="000000"/>
              </w:rPr>
              <w:t xml:space="preserve"> d (median interquartile range)</w:t>
            </w:r>
          </w:p>
        </w:tc>
        <w:tc>
          <w:tcPr>
            <w:tcW w:w="1935" w:type="dxa"/>
            <w:noWrap/>
            <w:hideMark/>
          </w:tcPr>
          <w:p w14:paraId="3F82B595"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NA</w:t>
            </w:r>
          </w:p>
        </w:tc>
        <w:tc>
          <w:tcPr>
            <w:tcW w:w="2076" w:type="dxa"/>
            <w:noWrap/>
            <w:hideMark/>
          </w:tcPr>
          <w:p w14:paraId="147CE408" w14:textId="0FC00147"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color w:val="000000"/>
              </w:rPr>
              <w:t>195</w:t>
            </w:r>
            <w:r w:rsidR="002D7DEE">
              <w:rPr>
                <w:rFonts w:ascii="Book Antiqua" w:eastAsia="Times New Roman" w:hAnsi="Book Antiqua"/>
                <w:color w:val="000000"/>
              </w:rPr>
              <w:t>.0</w:t>
            </w:r>
            <w:r w:rsidRPr="0057696B">
              <w:rPr>
                <w:rFonts w:ascii="Book Antiqua" w:eastAsia="Times New Roman" w:hAnsi="Book Antiqua"/>
                <w:color w:val="000000"/>
              </w:rPr>
              <w:t xml:space="preserve"> (159</w:t>
            </w:r>
            <w:r w:rsidR="002D7DEE">
              <w:rPr>
                <w:rFonts w:ascii="Book Antiqua" w:eastAsia="Times New Roman" w:hAnsi="Book Antiqua"/>
                <w:color w:val="000000"/>
              </w:rPr>
              <w:t>.0</w:t>
            </w:r>
            <w:r w:rsidR="003B3C62" w:rsidRPr="0057696B">
              <w:rPr>
                <w:rFonts w:ascii="Book Antiqua" w:eastAsia="Times New Roman" w:hAnsi="Book Antiqua"/>
                <w:color w:val="000000"/>
              </w:rPr>
              <w:t>-</w:t>
            </w:r>
            <w:r w:rsidRPr="0057696B">
              <w:rPr>
                <w:rFonts w:ascii="Book Antiqua" w:eastAsia="Times New Roman" w:hAnsi="Book Antiqua"/>
                <w:color w:val="000000"/>
              </w:rPr>
              <w:t>351</w:t>
            </w:r>
            <w:r w:rsidR="002D7DEE">
              <w:rPr>
                <w:rFonts w:ascii="Book Antiqua" w:eastAsia="Times New Roman" w:hAnsi="Book Antiqua"/>
                <w:color w:val="000000"/>
              </w:rPr>
              <w:t>.0</w:t>
            </w:r>
            <w:r w:rsidRPr="0057696B">
              <w:rPr>
                <w:rFonts w:ascii="Book Antiqua" w:eastAsia="Times New Roman" w:hAnsi="Book Antiqua"/>
                <w:color w:val="000000"/>
              </w:rPr>
              <w:t>)</w:t>
            </w:r>
          </w:p>
        </w:tc>
        <w:tc>
          <w:tcPr>
            <w:tcW w:w="2093" w:type="dxa"/>
            <w:noWrap/>
            <w:hideMark/>
          </w:tcPr>
          <w:p w14:paraId="1644C4A6" w14:textId="45501FE1" w:rsidR="00BA329C" w:rsidRPr="0057696B" w:rsidRDefault="00BA329C"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color w:val="000000"/>
              </w:rPr>
              <w:t>362</w:t>
            </w:r>
            <w:r w:rsidR="002D7DEE">
              <w:rPr>
                <w:rFonts w:ascii="Book Antiqua" w:eastAsia="Times New Roman" w:hAnsi="Book Antiqua"/>
                <w:color w:val="000000"/>
              </w:rPr>
              <w:t>.0</w:t>
            </w:r>
            <w:r w:rsidRPr="0057696B">
              <w:rPr>
                <w:rFonts w:ascii="Book Antiqua" w:eastAsia="Times New Roman" w:hAnsi="Book Antiqua"/>
                <w:color w:val="000000"/>
              </w:rPr>
              <w:t xml:space="preserve"> (214.5</w:t>
            </w:r>
            <w:r w:rsidR="003B3C62" w:rsidRPr="0057696B">
              <w:rPr>
                <w:rFonts w:ascii="Book Antiqua" w:eastAsia="Times New Roman" w:hAnsi="Book Antiqua"/>
                <w:color w:val="000000"/>
              </w:rPr>
              <w:t>-</w:t>
            </w:r>
            <w:r w:rsidRPr="0057696B">
              <w:rPr>
                <w:rFonts w:ascii="Book Antiqua" w:eastAsia="Times New Roman" w:hAnsi="Book Antiqua"/>
                <w:color w:val="000000"/>
              </w:rPr>
              <w:t>1019</w:t>
            </w:r>
            <w:r w:rsidR="002D7DEE">
              <w:rPr>
                <w:rFonts w:ascii="Book Antiqua" w:eastAsia="Times New Roman" w:hAnsi="Book Antiqua"/>
                <w:color w:val="000000"/>
              </w:rPr>
              <w:t>.0</w:t>
            </w:r>
            <w:r w:rsidRPr="0057696B">
              <w:rPr>
                <w:rFonts w:ascii="Book Antiqua" w:eastAsia="Times New Roman" w:hAnsi="Book Antiqua"/>
                <w:color w:val="000000"/>
              </w:rPr>
              <w:t>)</w:t>
            </w:r>
          </w:p>
        </w:tc>
        <w:tc>
          <w:tcPr>
            <w:tcW w:w="1005" w:type="dxa"/>
            <w:noWrap/>
            <w:hideMark/>
          </w:tcPr>
          <w:p w14:paraId="6738E18E" w14:textId="77777777" w:rsidR="00BA329C" w:rsidRPr="0057696B" w:rsidRDefault="00BA329C" w:rsidP="0057696B">
            <w:pPr>
              <w:spacing w:line="360" w:lineRule="auto"/>
              <w:contextualSpacing/>
              <w:mirrorIndents/>
              <w:jc w:val="both"/>
              <w:rPr>
                <w:rFonts w:ascii="Book Antiqua" w:eastAsia="Times New Roman" w:hAnsi="Book Antiqua"/>
                <w:b/>
                <w:bCs/>
              </w:rPr>
            </w:pPr>
            <w:r w:rsidRPr="0057696B">
              <w:rPr>
                <w:rFonts w:ascii="Book Antiqua" w:eastAsia="Times New Roman" w:hAnsi="Book Antiqua"/>
                <w:color w:val="000000"/>
              </w:rPr>
              <w:t>0.413</w:t>
            </w:r>
          </w:p>
        </w:tc>
      </w:tr>
      <w:tr w:rsidR="003B3C62" w:rsidRPr="0057696B" w14:paraId="204FA670" w14:textId="77777777" w:rsidTr="003B3C62">
        <w:trPr>
          <w:trHeight w:val="326"/>
        </w:trPr>
        <w:tc>
          <w:tcPr>
            <w:tcW w:w="3304" w:type="dxa"/>
            <w:tcBorders>
              <w:bottom w:val="single" w:sz="4" w:space="0" w:color="auto"/>
            </w:tcBorders>
            <w:noWrap/>
            <w:hideMark/>
          </w:tcPr>
          <w:p w14:paraId="71BE5B4A" w14:textId="79166E48"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 xml:space="preserve">Recurrence and </w:t>
            </w:r>
            <w:r w:rsidR="003B3C62" w:rsidRPr="0057696B">
              <w:rPr>
                <w:rFonts w:ascii="Book Antiqua" w:eastAsia="Times New Roman" w:hAnsi="Book Antiqua"/>
                <w:color w:val="000000"/>
              </w:rPr>
              <w:t>n</w:t>
            </w:r>
            <w:r w:rsidRPr="0057696B">
              <w:rPr>
                <w:rFonts w:ascii="Book Antiqua" w:eastAsia="Times New Roman" w:hAnsi="Book Antiqua"/>
                <w:color w:val="000000"/>
              </w:rPr>
              <w:t>on-response combined</w:t>
            </w:r>
          </w:p>
        </w:tc>
        <w:tc>
          <w:tcPr>
            <w:tcW w:w="1935" w:type="dxa"/>
            <w:tcBorders>
              <w:bottom w:val="single" w:sz="4" w:space="0" w:color="auto"/>
            </w:tcBorders>
            <w:noWrap/>
            <w:hideMark/>
          </w:tcPr>
          <w:p w14:paraId="2EC12842"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14 (37.8)</w:t>
            </w:r>
          </w:p>
        </w:tc>
        <w:tc>
          <w:tcPr>
            <w:tcW w:w="2076" w:type="dxa"/>
            <w:tcBorders>
              <w:bottom w:val="single" w:sz="4" w:space="0" w:color="auto"/>
            </w:tcBorders>
            <w:noWrap/>
            <w:hideMark/>
          </w:tcPr>
          <w:p w14:paraId="433247EA"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13 (59.1)</w:t>
            </w:r>
          </w:p>
        </w:tc>
        <w:tc>
          <w:tcPr>
            <w:tcW w:w="2093" w:type="dxa"/>
            <w:tcBorders>
              <w:bottom w:val="single" w:sz="4" w:space="0" w:color="auto"/>
            </w:tcBorders>
            <w:noWrap/>
            <w:hideMark/>
          </w:tcPr>
          <w:p w14:paraId="7AFDB0F9"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18 (50.0)</w:t>
            </w:r>
          </w:p>
        </w:tc>
        <w:tc>
          <w:tcPr>
            <w:tcW w:w="1005" w:type="dxa"/>
            <w:tcBorders>
              <w:bottom w:val="single" w:sz="4" w:space="0" w:color="auto"/>
            </w:tcBorders>
            <w:noWrap/>
            <w:hideMark/>
          </w:tcPr>
          <w:p w14:paraId="717B3FE8" w14:textId="77777777" w:rsidR="00BA329C" w:rsidRPr="0057696B" w:rsidRDefault="00BA329C"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0.264</w:t>
            </w:r>
          </w:p>
        </w:tc>
      </w:tr>
    </w:tbl>
    <w:p w14:paraId="536983D8" w14:textId="0E3FC0C2" w:rsidR="00BA329C" w:rsidRPr="0057696B" w:rsidRDefault="003B3C62" w:rsidP="0057696B">
      <w:pPr>
        <w:spacing w:line="360" w:lineRule="auto"/>
        <w:jc w:val="both"/>
        <w:rPr>
          <w:rFonts w:ascii="Book Antiqua" w:eastAsia="SimSun" w:hAnsi="Book Antiqua" w:cs="SimSun"/>
        </w:rPr>
      </w:pPr>
      <w:r w:rsidRPr="0057696B">
        <w:rPr>
          <w:rFonts w:ascii="Book Antiqua" w:eastAsia="SimSun" w:hAnsi="Book Antiqua" w:cs="SimSun"/>
        </w:rPr>
        <w:t xml:space="preserve">NA: </w:t>
      </w:r>
      <w:bookmarkStart w:id="5" w:name="_Hlk19631061"/>
      <w:bookmarkStart w:id="6" w:name="OLE_LINK1471"/>
      <w:bookmarkStart w:id="7" w:name="OLE_LINK1527"/>
      <w:bookmarkStart w:id="8" w:name="OLE_LINK1911"/>
      <w:r w:rsidRPr="0057696B">
        <w:rPr>
          <w:rFonts w:ascii="Book Antiqua" w:eastAsia="SimSun" w:hAnsi="Book Antiqua" w:cs="SimSun"/>
        </w:rPr>
        <w:t>Not available</w:t>
      </w:r>
      <w:bookmarkEnd w:id="5"/>
      <w:bookmarkEnd w:id="6"/>
      <w:bookmarkEnd w:id="7"/>
      <w:bookmarkEnd w:id="8"/>
      <w:r w:rsidRPr="0057696B">
        <w:rPr>
          <w:rFonts w:ascii="Book Antiqua" w:eastAsia="SimSun" w:hAnsi="Book Antiqua" w:cs="SimSun"/>
        </w:rPr>
        <w:t>.</w:t>
      </w:r>
    </w:p>
    <w:p w14:paraId="709F0CC9" w14:textId="77777777" w:rsidR="003B3C62" w:rsidRDefault="003B3C62" w:rsidP="0057696B">
      <w:pPr>
        <w:spacing w:line="360" w:lineRule="auto"/>
        <w:jc w:val="both"/>
        <w:rPr>
          <w:rFonts w:ascii="Book Antiqua" w:hAnsi="Book Antiqua"/>
        </w:rPr>
      </w:pPr>
    </w:p>
    <w:p w14:paraId="35A21CC6" w14:textId="1294AA7C" w:rsidR="003B3C62" w:rsidRPr="0057696B" w:rsidRDefault="003B3C62" w:rsidP="0057696B">
      <w:pPr>
        <w:spacing w:line="360" w:lineRule="auto"/>
        <w:jc w:val="both"/>
        <w:rPr>
          <w:rFonts w:ascii="Book Antiqua" w:hAnsi="Book Antiqua"/>
          <w:b/>
          <w:bCs/>
        </w:rPr>
      </w:pPr>
      <w:r w:rsidRPr="0057696B">
        <w:rPr>
          <w:rFonts w:ascii="Book Antiqua" w:hAnsi="Book Antiqua"/>
          <w:b/>
          <w:bCs/>
        </w:rPr>
        <w:t>Table 3 Mortality subgroup analysis</w:t>
      </w:r>
    </w:p>
    <w:tbl>
      <w:tblPr>
        <w:tblW w:w="10739" w:type="dxa"/>
        <w:tblInd w:w="-743" w:type="dxa"/>
        <w:tblLook w:val="04A0" w:firstRow="1" w:lastRow="0" w:firstColumn="1" w:lastColumn="0" w:noHBand="0" w:noVBand="1"/>
      </w:tblPr>
      <w:tblGrid>
        <w:gridCol w:w="3970"/>
        <w:gridCol w:w="1843"/>
        <w:gridCol w:w="1842"/>
        <w:gridCol w:w="1843"/>
        <w:gridCol w:w="1241"/>
      </w:tblGrid>
      <w:tr w:rsidR="003B3C62" w:rsidRPr="0057696B" w14:paraId="3EAA1E5E" w14:textId="77777777" w:rsidTr="003B3C62">
        <w:trPr>
          <w:trHeight w:val="244"/>
        </w:trPr>
        <w:tc>
          <w:tcPr>
            <w:tcW w:w="3970" w:type="dxa"/>
            <w:vMerge w:val="restart"/>
            <w:tcBorders>
              <w:top w:val="single" w:sz="4" w:space="0" w:color="auto"/>
            </w:tcBorders>
            <w:noWrap/>
            <w:hideMark/>
          </w:tcPr>
          <w:p w14:paraId="6562163E" w14:textId="7894A746" w:rsidR="003B3C62" w:rsidRPr="0057696B" w:rsidRDefault="009E4B99" w:rsidP="0057696B">
            <w:pPr>
              <w:spacing w:line="360" w:lineRule="auto"/>
              <w:contextualSpacing/>
              <w:mirrorIndents/>
              <w:jc w:val="both"/>
              <w:rPr>
                <w:rFonts w:ascii="Book Antiqua" w:eastAsia="Times New Roman" w:hAnsi="Book Antiqua"/>
                <w:b/>
                <w:bCs/>
              </w:rPr>
            </w:pPr>
            <w:r>
              <w:rPr>
                <w:rFonts w:ascii="Book Antiqua" w:eastAsia="Times New Roman" w:hAnsi="Book Antiqua"/>
                <w:b/>
                <w:bCs/>
              </w:rPr>
              <w:t>Feature</w:t>
            </w:r>
          </w:p>
        </w:tc>
        <w:tc>
          <w:tcPr>
            <w:tcW w:w="5528" w:type="dxa"/>
            <w:gridSpan w:val="3"/>
            <w:tcBorders>
              <w:top w:val="single" w:sz="4" w:space="0" w:color="auto"/>
              <w:bottom w:val="single" w:sz="4" w:space="0" w:color="auto"/>
            </w:tcBorders>
            <w:noWrap/>
            <w:hideMark/>
          </w:tcPr>
          <w:p w14:paraId="7EFC34A4"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Cigarette use</w:t>
            </w:r>
          </w:p>
        </w:tc>
        <w:tc>
          <w:tcPr>
            <w:tcW w:w="1241" w:type="dxa"/>
            <w:vMerge w:val="restart"/>
            <w:tcBorders>
              <w:top w:val="single" w:sz="4" w:space="0" w:color="auto"/>
              <w:bottom w:val="single" w:sz="4" w:space="0" w:color="auto"/>
            </w:tcBorders>
            <w:noWrap/>
            <w:hideMark/>
          </w:tcPr>
          <w:p w14:paraId="2C7C7BE7"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i/>
                <w:iCs/>
                <w:color w:val="000000"/>
              </w:rPr>
              <w:t>P</w:t>
            </w:r>
            <w:r w:rsidRPr="0057696B">
              <w:rPr>
                <w:rFonts w:ascii="Book Antiqua" w:eastAsia="Times New Roman" w:hAnsi="Book Antiqua"/>
                <w:b/>
                <w:bCs/>
                <w:color w:val="000000"/>
              </w:rPr>
              <w:t xml:space="preserve"> value</w:t>
            </w:r>
          </w:p>
        </w:tc>
      </w:tr>
      <w:tr w:rsidR="003B3C62" w:rsidRPr="0057696B" w14:paraId="6BA45FE4" w14:textId="77777777" w:rsidTr="003B3C62">
        <w:trPr>
          <w:trHeight w:val="244"/>
        </w:trPr>
        <w:tc>
          <w:tcPr>
            <w:tcW w:w="3970" w:type="dxa"/>
            <w:vMerge/>
            <w:tcBorders>
              <w:bottom w:val="single" w:sz="4" w:space="0" w:color="auto"/>
            </w:tcBorders>
            <w:noWrap/>
            <w:hideMark/>
          </w:tcPr>
          <w:p w14:paraId="1F5BC0A3" w14:textId="77777777" w:rsidR="003B3C62" w:rsidRPr="0057696B" w:rsidRDefault="003B3C62" w:rsidP="0057696B">
            <w:pPr>
              <w:spacing w:line="360" w:lineRule="auto"/>
              <w:contextualSpacing/>
              <w:mirrorIndents/>
              <w:jc w:val="both"/>
              <w:rPr>
                <w:rFonts w:ascii="Book Antiqua" w:eastAsia="Times New Roman" w:hAnsi="Book Antiqua"/>
                <w:b/>
                <w:bCs/>
              </w:rPr>
            </w:pPr>
          </w:p>
        </w:tc>
        <w:tc>
          <w:tcPr>
            <w:tcW w:w="1843" w:type="dxa"/>
            <w:tcBorders>
              <w:top w:val="single" w:sz="4" w:space="0" w:color="auto"/>
              <w:bottom w:val="single" w:sz="4" w:space="0" w:color="auto"/>
            </w:tcBorders>
            <w:noWrap/>
            <w:hideMark/>
          </w:tcPr>
          <w:p w14:paraId="1DF9E171"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Never</w:t>
            </w:r>
          </w:p>
        </w:tc>
        <w:tc>
          <w:tcPr>
            <w:tcW w:w="1842" w:type="dxa"/>
            <w:tcBorders>
              <w:top w:val="single" w:sz="4" w:space="0" w:color="auto"/>
              <w:bottom w:val="single" w:sz="4" w:space="0" w:color="auto"/>
            </w:tcBorders>
            <w:noWrap/>
            <w:hideMark/>
          </w:tcPr>
          <w:p w14:paraId="164A76AF"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Former</w:t>
            </w:r>
          </w:p>
        </w:tc>
        <w:tc>
          <w:tcPr>
            <w:tcW w:w="1843" w:type="dxa"/>
            <w:tcBorders>
              <w:top w:val="single" w:sz="4" w:space="0" w:color="auto"/>
              <w:bottom w:val="single" w:sz="4" w:space="0" w:color="auto"/>
            </w:tcBorders>
            <w:noWrap/>
            <w:hideMark/>
          </w:tcPr>
          <w:p w14:paraId="41B7C7C1" w14:textId="77777777" w:rsidR="003B3C62" w:rsidRPr="0057696B" w:rsidRDefault="003B3C62" w:rsidP="0057696B">
            <w:pPr>
              <w:spacing w:line="360" w:lineRule="auto"/>
              <w:contextualSpacing/>
              <w:mirrorIndents/>
              <w:jc w:val="both"/>
              <w:rPr>
                <w:rFonts w:ascii="Book Antiqua" w:eastAsia="Times New Roman" w:hAnsi="Book Antiqua"/>
                <w:b/>
                <w:bCs/>
                <w:color w:val="000000"/>
              </w:rPr>
            </w:pPr>
            <w:r w:rsidRPr="0057696B">
              <w:rPr>
                <w:rFonts w:ascii="Book Antiqua" w:eastAsia="Times New Roman" w:hAnsi="Book Antiqua"/>
                <w:b/>
                <w:bCs/>
                <w:color w:val="000000"/>
              </w:rPr>
              <w:t>Current</w:t>
            </w:r>
          </w:p>
        </w:tc>
        <w:tc>
          <w:tcPr>
            <w:tcW w:w="1241" w:type="dxa"/>
            <w:vMerge/>
            <w:tcBorders>
              <w:top w:val="single" w:sz="4" w:space="0" w:color="auto"/>
              <w:bottom w:val="single" w:sz="4" w:space="0" w:color="auto"/>
            </w:tcBorders>
            <w:noWrap/>
            <w:hideMark/>
          </w:tcPr>
          <w:p w14:paraId="42770916" w14:textId="77777777" w:rsidR="003B3C62" w:rsidRPr="0057696B" w:rsidRDefault="003B3C62" w:rsidP="0057696B">
            <w:pPr>
              <w:spacing w:line="360" w:lineRule="auto"/>
              <w:contextualSpacing/>
              <w:mirrorIndents/>
              <w:jc w:val="both"/>
              <w:rPr>
                <w:rFonts w:ascii="Book Antiqua" w:eastAsia="Times New Roman" w:hAnsi="Book Antiqua"/>
                <w:color w:val="000000"/>
              </w:rPr>
            </w:pPr>
          </w:p>
        </w:tc>
      </w:tr>
      <w:tr w:rsidR="003B3C62" w:rsidRPr="0057696B" w14:paraId="5081F07F" w14:textId="77777777" w:rsidTr="003B3C62">
        <w:trPr>
          <w:trHeight w:val="244"/>
        </w:trPr>
        <w:tc>
          <w:tcPr>
            <w:tcW w:w="3970" w:type="dxa"/>
            <w:tcBorders>
              <w:top w:val="single" w:sz="4" w:space="0" w:color="auto"/>
            </w:tcBorders>
            <w:noWrap/>
            <w:hideMark/>
          </w:tcPr>
          <w:p w14:paraId="1BFF91EF" w14:textId="3ED27F82"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Mortality</w:t>
            </w:r>
            <w:r w:rsidR="009E4B99">
              <w:rPr>
                <w:rFonts w:ascii="Book Antiqua" w:eastAsia="Times New Roman" w:hAnsi="Book Antiqua"/>
                <w:color w:val="000000"/>
              </w:rPr>
              <w:t>*</w:t>
            </w:r>
            <w:r w:rsidRPr="0057696B">
              <w:rPr>
                <w:rFonts w:ascii="Book Antiqua" w:eastAsia="Times New Roman" w:hAnsi="Book Antiqua"/>
                <w:color w:val="000000"/>
              </w:rPr>
              <w:t xml:space="preserve"> subgroup</w:t>
            </w:r>
          </w:p>
        </w:tc>
        <w:tc>
          <w:tcPr>
            <w:tcW w:w="1843" w:type="dxa"/>
            <w:tcBorders>
              <w:top w:val="single" w:sz="4" w:space="0" w:color="auto"/>
            </w:tcBorders>
            <w:noWrap/>
            <w:hideMark/>
          </w:tcPr>
          <w:p w14:paraId="368E4B14"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14</w:t>
            </w:r>
          </w:p>
        </w:tc>
        <w:tc>
          <w:tcPr>
            <w:tcW w:w="1842" w:type="dxa"/>
            <w:tcBorders>
              <w:top w:val="single" w:sz="4" w:space="0" w:color="auto"/>
            </w:tcBorders>
            <w:noWrap/>
            <w:hideMark/>
          </w:tcPr>
          <w:p w14:paraId="0BE2FC29"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6</w:t>
            </w:r>
          </w:p>
        </w:tc>
        <w:tc>
          <w:tcPr>
            <w:tcW w:w="1843" w:type="dxa"/>
            <w:tcBorders>
              <w:top w:val="single" w:sz="4" w:space="0" w:color="auto"/>
            </w:tcBorders>
            <w:noWrap/>
            <w:hideMark/>
          </w:tcPr>
          <w:p w14:paraId="1DF065B9"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8</w:t>
            </w:r>
          </w:p>
        </w:tc>
        <w:tc>
          <w:tcPr>
            <w:tcW w:w="1241" w:type="dxa"/>
            <w:tcBorders>
              <w:top w:val="single" w:sz="4" w:space="0" w:color="auto"/>
            </w:tcBorders>
            <w:noWrap/>
            <w:hideMark/>
          </w:tcPr>
          <w:p w14:paraId="2A7B1FDB" w14:textId="77777777" w:rsidR="003B3C62" w:rsidRPr="0057696B" w:rsidRDefault="003B3C62" w:rsidP="0057696B">
            <w:pPr>
              <w:spacing w:line="360" w:lineRule="auto"/>
              <w:contextualSpacing/>
              <w:mirrorIndents/>
              <w:jc w:val="both"/>
              <w:rPr>
                <w:rFonts w:ascii="Book Antiqua" w:eastAsia="Times New Roman" w:hAnsi="Book Antiqua"/>
                <w:color w:val="000000"/>
              </w:rPr>
            </w:pPr>
          </w:p>
        </w:tc>
      </w:tr>
      <w:tr w:rsidR="003B3C62" w:rsidRPr="0057696B" w14:paraId="33793488" w14:textId="77777777" w:rsidTr="003B3C62">
        <w:trPr>
          <w:trHeight w:val="244"/>
        </w:trPr>
        <w:tc>
          <w:tcPr>
            <w:tcW w:w="3970" w:type="dxa"/>
            <w:noWrap/>
            <w:hideMark/>
          </w:tcPr>
          <w:p w14:paraId="23F40D1C" w14:textId="456987EE"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Time to death in d</w:t>
            </w:r>
            <w:r w:rsidR="009E4B99">
              <w:rPr>
                <w:rFonts w:ascii="Book Antiqua" w:eastAsia="Times New Roman" w:hAnsi="Book Antiqua"/>
                <w:color w:val="000000"/>
              </w:rPr>
              <w:t>,</w:t>
            </w:r>
            <w:r w:rsidRPr="0057696B">
              <w:rPr>
                <w:rFonts w:ascii="Book Antiqua" w:eastAsia="Times New Roman" w:hAnsi="Book Antiqua"/>
                <w:color w:val="000000"/>
              </w:rPr>
              <w:t xml:space="preserve"> mean ± SD</w:t>
            </w:r>
          </w:p>
        </w:tc>
        <w:tc>
          <w:tcPr>
            <w:tcW w:w="1843" w:type="dxa"/>
            <w:noWrap/>
            <w:hideMark/>
          </w:tcPr>
          <w:p w14:paraId="64A79DE5" w14:textId="022BA7DC"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598.3</w:t>
            </w:r>
            <w:r w:rsidR="00301203">
              <w:rPr>
                <w:rFonts w:ascii="Book Antiqua" w:eastAsia="Times New Roman" w:hAnsi="Book Antiqua"/>
                <w:color w:val="000000"/>
              </w:rPr>
              <w:t>0</w:t>
            </w:r>
            <w:r w:rsidRPr="0057696B">
              <w:rPr>
                <w:rFonts w:ascii="Book Antiqua" w:eastAsia="Times New Roman" w:hAnsi="Book Antiqua"/>
                <w:color w:val="000000"/>
              </w:rPr>
              <w:t xml:space="preserve"> ± 734.61</w:t>
            </w:r>
          </w:p>
        </w:tc>
        <w:tc>
          <w:tcPr>
            <w:tcW w:w="1842" w:type="dxa"/>
            <w:noWrap/>
            <w:hideMark/>
          </w:tcPr>
          <w:p w14:paraId="0D615946" w14:textId="5FD36083"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848.4</w:t>
            </w:r>
            <w:r w:rsidR="00301203">
              <w:rPr>
                <w:rFonts w:ascii="Book Antiqua" w:eastAsia="Times New Roman" w:hAnsi="Book Antiqua"/>
                <w:color w:val="000000"/>
              </w:rPr>
              <w:t>0</w:t>
            </w:r>
            <w:r w:rsidRPr="0057696B">
              <w:rPr>
                <w:rFonts w:ascii="Book Antiqua" w:eastAsia="Times New Roman" w:hAnsi="Book Antiqua"/>
                <w:color w:val="000000"/>
              </w:rPr>
              <w:t xml:space="preserve"> ± 756.83</w:t>
            </w:r>
          </w:p>
        </w:tc>
        <w:tc>
          <w:tcPr>
            <w:tcW w:w="1843" w:type="dxa"/>
            <w:noWrap/>
            <w:hideMark/>
          </w:tcPr>
          <w:p w14:paraId="6AAA884D" w14:textId="4B2A6745"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393.8</w:t>
            </w:r>
            <w:r w:rsidR="00301203">
              <w:rPr>
                <w:rFonts w:ascii="Book Antiqua" w:eastAsia="Times New Roman" w:hAnsi="Book Antiqua"/>
                <w:color w:val="000000"/>
              </w:rPr>
              <w:t>0</w:t>
            </w:r>
            <w:r w:rsidRPr="0057696B">
              <w:rPr>
                <w:rFonts w:ascii="Book Antiqua" w:eastAsia="Times New Roman" w:hAnsi="Book Antiqua"/>
                <w:color w:val="000000"/>
              </w:rPr>
              <w:t xml:space="preserve"> ± 325.69</w:t>
            </w:r>
          </w:p>
        </w:tc>
        <w:tc>
          <w:tcPr>
            <w:tcW w:w="1241" w:type="dxa"/>
            <w:noWrap/>
            <w:hideMark/>
          </w:tcPr>
          <w:p w14:paraId="2B3BE2D1"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0.465</w:t>
            </w:r>
          </w:p>
        </w:tc>
      </w:tr>
      <w:tr w:rsidR="003B3C62" w:rsidRPr="0057696B" w14:paraId="158974DD" w14:textId="77777777" w:rsidTr="003B3C62">
        <w:trPr>
          <w:trHeight w:val="244"/>
        </w:trPr>
        <w:tc>
          <w:tcPr>
            <w:tcW w:w="3970" w:type="dxa"/>
            <w:noWrap/>
            <w:hideMark/>
          </w:tcPr>
          <w:p w14:paraId="4BE11F9F"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Non-responder subgroup</w:t>
            </w:r>
          </w:p>
        </w:tc>
        <w:tc>
          <w:tcPr>
            <w:tcW w:w="1843" w:type="dxa"/>
            <w:noWrap/>
            <w:hideMark/>
          </w:tcPr>
          <w:p w14:paraId="1686E4EA"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14</w:t>
            </w:r>
          </w:p>
        </w:tc>
        <w:tc>
          <w:tcPr>
            <w:tcW w:w="1842" w:type="dxa"/>
            <w:noWrap/>
            <w:hideMark/>
          </w:tcPr>
          <w:p w14:paraId="5008A9CB"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9</w:t>
            </w:r>
          </w:p>
        </w:tc>
        <w:tc>
          <w:tcPr>
            <w:tcW w:w="1843" w:type="dxa"/>
            <w:noWrap/>
            <w:hideMark/>
          </w:tcPr>
          <w:p w14:paraId="7766A0D7"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i/>
                <w:iCs/>
                <w:color w:val="000000"/>
              </w:rPr>
              <w:t>n</w:t>
            </w:r>
            <w:r w:rsidRPr="0057696B">
              <w:rPr>
                <w:rFonts w:ascii="Book Antiqua" w:eastAsia="Times New Roman" w:hAnsi="Book Antiqua"/>
                <w:color w:val="000000"/>
              </w:rPr>
              <w:t xml:space="preserve"> = 14</w:t>
            </w:r>
          </w:p>
        </w:tc>
        <w:tc>
          <w:tcPr>
            <w:tcW w:w="1241" w:type="dxa"/>
            <w:noWrap/>
            <w:hideMark/>
          </w:tcPr>
          <w:p w14:paraId="37355EFA" w14:textId="77777777" w:rsidR="003B3C62" w:rsidRPr="0057696B" w:rsidRDefault="003B3C62" w:rsidP="0057696B">
            <w:pPr>
              <w:spacing w:line="360" w:lineRule="auto"/>
              <w:contextualSpacing/>
              <w:mirrorIndents/>
              <w:jc w:val="both"/>
              <w:rPr>
                <w:rFonts w:ascii="Book Antiqua" w:eastAsia="Times New Roman" w:hAnsi="Book Antiqua"/>
                <w:color w:val="000000"/>
              </w:rPr>
            </w:pPr>
          </w:p>
        </w:tc>
      </w:tr>
      <w:tr w:rsidR="003B3C62" w:rsidRPr="0057696B" w14:paraId="3E83EB0B" w14:textId="77777777" w:rsidTr="003B3C62">
        <w:trPr>
          <w:trHeight w:val="244"/>
        </w:trPr>
        <w:tc>
          <w:tcPr>
            <w:tcW w:w="3970" w:type="dxa"/>
            <w:tcBorders>
              <w:bottom w:val="single" w:sz="4" w:space="0" w:color="auto"/>
            </w:tcBorders>
            <w:noWrap/>
            <w:hideMark/>
          </w:tcPr>
          <w:p w14:paraId="5555062B" w14:textId="7C907D2A" w:rsidR="003B3C62" w:rsidRPr="0057696B" w:rsidRDefault="009E4B99" w:rsidP="0057696B">
            <w:pPr>
              <w:spacing w:line="360" w:lineRule="auto"/>
              <w:contextualSpacing/>
              <w:mirrorIndents/>
              <w:jc w:val="both"/>
              <w:rPr>
                <w:rFonts w:ascii="Book Antiqua" w:eastAsia="Times New Roman" w:hAnsi="Book Antiqua"/>
                <w:color w:val="000000"/>
              </w:rPr>
            </w:pPr>
            <w:r>
              <w:rPr>
                <w:rFonts w:ascii="Book Antiqua" w:eastAsia="Times New Roman" w:hAnsi="Book Antiqua"/>
                <w:color w:val="000000"/>
              </w:rPr>
              <w:lastRenderedPageBreak/>
              <w:t>D</w:t>
            </w:r>
            <w:r w:rsidR="003B3C62" w:rsidRPr="0057696B">
              <w:rPr>
                <w:rFonts w:ascii="Book Antiqua" w:eastAsia="Times New Roman" w:hAnsi="Book Antiqua"/>
                <w:color w:val="000000"/>
              </w:rPr>
              <w:t>eaths in non-</w:t>
            </w:r>
            <w:proofErr w:type="gramStart"/>
            <w:r w:rsidR="003B3C62" w:rsidRPr="0057696B">
              <w:rPr>
                <w:rFonts w:ascii="Book Antiqua" w:eastAsia="Times New Roman" w:hAnsi="Book Antiqua"/>
                <w:color w:val="000000"/>
              </w:rPr>
              <w:t>responders</w:t>
            </w:r>
            <w:proofErr w:type="gramEnd"/>
            <w:r w:rsidR="003B3C62" w:rsidRPr="0057696B">
              <w:rPr>
                <w:rFonts w:ascii="Book Antiqua" w:eastAsia="Times New Roman" w:hAnsi="Book Antiqua"/>
                <w:color w:val="000000"/>
              </w:rPr>
              <w:t xml:space="preserve"> subgroup, </w:t>
            </w:r>
            <w:r w:rsidR="003B3C62" w:rsidRPr="0057696B">
              <w:rPr>
                <w:rFonts w:ascii="Book Antiqua" w:eastAsia="Times New Roman" w:hAnsi="Book Antiqua"/>
                <w:i/>
                <w:iCs/>
                <w:color w:val="000000"/>
              </w:rPr>
              <w:t>n</w:t>
            </w:r>
            <w:r w:rsidR="003B3C62" w:rsidRPr="0057696B">
              <w:rPr>
                <w:rFonts w:ascii="Book Antiqua" w:eastAsia="Times New Roman" w:hAnsi="Book Antiqua"/>
                <w:color w:val="000000"/>
              </w:rPr>
              <w:t xml:space="preserve"> (%)</w:t>
            </w:r>
          </w:p>
        </w:tc>
        <w:tc>
          <w:tcPr>
            <w:tcW w:w="1843" w:type="dxa"/>
            <w:tcBorders>
              <w:bottom w:val="single" w:sz="4" w:space="0" w:color="auto"/>
            </w:tcBorders>
            <w:noWrap/>
            <w:hideMark/>
          </w:tcPr>
          <w:p w14:paraId="39DA8F31"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6 (42.9)</w:t>
            </w:r>
          </w:p>
        </w:tc>
        <w:tc>
          <w:tcPr>
            <w:tcW w:w="1842" w:type="dxa"/>
            <w:tcBorders>
              <w:bottom w:val="single" w:sz="4" w:space="0" w:color="auto"/>
            </w:tcBorders>
            <w:noWrap/>
            <w:hideMark/>
          </w:tcPr>
          <w:p w14:paraId="10B4100A"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2 (22.2)</w:t>
            </w:r>
          </w:p>
        </w:tc>
        <w:tc>
          <w:tcPr>
            <w:tcW w:w="1843" w:type="dxa"/>
            <w:tcBorders>
              <w:bottom w:val="single" w:sz="4" w:space="0" w:color="auto"/>
            </w:tcBorders>
            <w:noWrap/>
            <w:hideMark/>
          </w:tcPr>
          <w:p w14:paraId="66D7FCD0"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3 (21.4)</w:t>
            </w:r>
          </w:p>
        </w:tc>
        <w:tc>
          <w:tcPr>
            <w:tcW w:w="1241" w:type="dxa"/>
            <w:tcBorders>
              <w:bottom w:val="single" w:sz="4" w:space="0" w:color="auto"/>
            </w:tcBorders>
            <w:noWrap/>
            <w:hideMark/>
          </w:tcPr>
          <w:p w14:paraId="070AA5B6" w14:textId="77777777" w:rsidR="003B3C62" w:rsidRPr="0057696B" w:rsidRDefault="003B3C62" w:rsidP="0057696B">
            <w:pPr>
              <w:spacing w:line="360" w:lineRule="auto"/>
              <w:contextualSpacing/>
              <w:mirrorIndents/>
              <w:jc w:val="both"/>
              <w:rPr>
                <w:rFonts w:ascii="Book Antiqua" w:eastAsia="Times New Roman" w:hAnsi="Book Antiqua"/>
                <w:color w:val="000000"/>
              </w:rPr>
            </w:pPr>
            <w:r w:rsidRPr="0057696B">
              <w:rPr>
                <w:rFonts w:ascii="Book Antiqua" w:eastAsia="Times New Roman" w:hAnsi="Book Antiqua"/>
                <w:color w:val="000000"/>
              </w:rPr>
              <w:t>0.285</w:t>
            </w:r>
          </w:p>
        </w:tc>
      </w:tr>
    </w:tbl>
    <w:p w14:paraId="761CC3C1" w14:textId="4E1EADF1" w:rsidR="003B3C62" w:rsidRPr="0057696B" w:rsidRDefault="009E4B99" w:rsidP="0057696B">
      <w:pPr>
        <w:spacing w:line="360" w:lineRule="auto"/>
        <w:jc w:val="both"/>
        <w:rPr>
          <w:rFonts w:ascii="Book Antiqua" w:hAnsi="Book Antiqua"/>
        </w:rPr>
      </w:pPr>
      <w:r>
        <w:rPr>
          <w:rFonts w:ascii="Book Antiqua" w:hAnsi="Book Antiqua"/>
        </w:rPr>
        <w:t xml:space="preserve">*Death. </w:t>
      </w:r>
      <w:r w:rsidR="00301203">
        <w:rPr>
          <w:rFonts w:ascii="Book Antiqua" w:hAnsi="Book Antiqua"/>
        </w:rPr>
        <w:t>SD: Standard deviation.</w:t>
      </w:r>
    </w:p>
    <w:sectPr w:rsidR="003B3C62" w:rsidRPr="0057696B" w:rsidSect="0057696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78C7" w14:textId="77777777" w:rsidR="00C234B2" w:rsidRDefault="00C234B2" w:rsidP="003B3C62">
      <w:r>
        <w:separator/>
      </w:r>
    </w:p>
  </w:endnote>
  <w:endnote w:type="continuationSeparator" w:id="0">
    <w:p w14:paraId="118A41B8" w14:textId="77777777" w:rsidR="00C234B2" w:rsidRDefault="00C234B2" w:rsidP="003B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C022" w14:textId="2D7BC6B7" w:rsidR="003B3C62" w:rsidRPr="0057696B" w:rsidRDefault="003B3C62" w:rsidP="0057696B">
    <w:pPr>
      <w:pStyle w:val="Footer"/>
      <w:jc w:val="right"/>
      <w:rPr>
        <w:rFonts w:ascii="Book Antiqua" w:hAnsi="Book Antiqua"/>
        <w:color w:val="000000" w:themeColor="text1"/>
        <w:sz w:val="24"/>
        <w:szCs w:val="24"/>
      </w:rPr>
    </w:pPr>
    <w:r w:rsidRPr="003B3C62">
      <w:rPr>
        <w:rFonts w:ascii="Book Antiqua" w:hAnsi="Book Antiqua"/>
        <w:color w:val="000000" w:themeColor="text1"/>
        <w:sz w:val="24"/>
        <w:szCs w:val="24"/>
      </w:rPr>
      <w:fldChar w:fldCharType="begin"/>
    </w:r>
    <w:r w:rsidRPr="003B3C62">
      <w:rPr>
        <w:rFonts w:ascii="Book Antiqua" w:hAnsi="Book Antiqua"/>
        <w:color w:val="000000" w:themeColor="text1"/>
        <w:sz w:val="24"/>
        <w:szCs w:val="24"/>
      </w:rPr>
      <w:instrText>PAGE  \* Arabic  \* MERGEFORMAT</w:instrText>
    </w:r>
    <w:r w:rsidRPr="003B3C62">
      <w:rPr>
        <w:rFonts w:ascii="Book Antiqua" w:hAnsi="Book Antiqua"/>
        <w:color w:val="000000" w:themeColor="text1"/>
        <w:sz w:val="24"/>
        <w:szCs w:val="24"/>
      </w:rPr>
      <w:fldChar w:fldCharType="separate"/>
    </w:r>
    <w:r w:rsidR="00323A26" w:rsidRPr="00323A26">
      <w:rPr>
        <w:rFonts w:ascii="Book Antiqua" w:hAnsi="Book Antiqua"/>
        <w:noProof/>
        <w:color w:val="000000" w:themeColor="text1"/>
        <w:sz w:val="24"/>
        <w:szCs w:val="24"/>
        <w:lang w:val="zh-CN" w:eastAsia="zh-CN"/>
      </w:rPr>
      <w:t>10</w:t>
    </w:r>
    <w:r w:rsidRPr="003B3C62">
      <w:rPr>
        <w:rFonts w:ascii="Book Antiqua" w:hAnsi="Book Antiqua"/>
        <w:color w:val="000000" w:themeColor="text1"/>
        <w:sz w:val="24"/>
        <w:szCs w:val="24"/>
      </w:rPr>
      <w:fldChar w:fldCharType="end"/>
    </w:r>
    <w:r w:rsidRPr="003B3C62">
      <w:rPr>
        <w:rFonts w:ascii="Book Antiqua" w:hAnsi="Book Antiqua"/>
        <w:color w:val="000000" w:themeColor="text1"/>
        <w:sz w:val="24"/>
        <w:szCs w:val="24"/>
        <w:lang w:val="zh-CN" w:eastAsia="zh-CN"/>
      </w:rPr>
      <w:t xml:space="preserve"> / </w:t>
    </w:r>
    <w:r w:rsidRPr="003B3C62">
      <w:rPr>
        <w:rFonts w:ascii="Book Antiqua" w:hAnsi="Book Antiqua"/>
        <w:color w:val="000000" w:themeColor="text1"/>
        <w:sz w:val="24"/>
        <w:szCs w:val="24"/>
      </w:rPr>
      <w:fldChar w:fldCharType="begin"/>
    </w:r>
    <w:r w:rsidRPr="003B3C62">
      <w:rPr>
        <w:rFonts w:ascii="Book Antiqua" w:hAnsi="Book Antiqua"/>
        <w:color w:val="000000" w:themeColor="text1"/>
        <w:sz w:val="24"/>
        <w:szCs w:val="24"/>
      </w:rPr>
      <w:instrText>NUMPAGES  \* Arabic  \* MERGEFORMAT</w:instrText>
    </w:r>
    <w:r w:rsidRPr="003B3C62">
      <w:rPr>
        <w:rFonts w:ascii="Book Antiqua" w:hAnsi="Book Antiqua"/>
        <w:color w:val="000000" w:themeColor="text1"/>
        <w:sz w:val="24"/>
        <w:szCs w:val="24"/>
      </w:rPr>
      <w:fldChar w:fldCharType="separate"/>
    </w:r>
    <w:r w:rsidR="00323A26" w:rsidRPr="00323A26">
      <w:rPr>
        <w:rFonts w:ascii="Book Antiqua" w:hAnsi="Book Antiqua"/>
        <w:noProof/>
        <w:color w:val="000000" w:themeColor="text1"/>
        <w:sz w:val="24"/>
        <w:szCs w:val="24"/>
        <w:lang w:val="zh-CN" w:eastAsia="zh-CN"/>
      </w:rPr>
      <w:t>14</w:t>
    </w:r>
    <w:r w:rsidRPr="003B3C6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C93D" w14:textId="77777777" w:rsidR="00C234B2" w:rsidRDefault="00C234B2" w:rsidP="003B3C62">
      <w:r>
        <w:separator/>
      </w:r>
    </w:p>
  </w:footnote>
  <w:footnote w:type="continuationSeparator" w:id="0">
    <w:p w14:paraId="166309D7" w14:textId="77777777" w:rsidR="00C234B2" w:rsidRDefault="00C234B2" w:rsidP="003B3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B7D"/>
    <w:rsid w:val="00105D64"/>
    <w:rsid w:val="00251F22"/>
    <w:rsid w:val="002847D5"/>
    <w:rsid w:val="002A41B4"/>
    <w:rsid w:val="002D7DEE"/>
    <w:rsid w:val="00301203"/>
    <w:rsid w:val="00323A26"/>
    <w:rsid w:val="003250A5"/>
    <w:rsid w:val="003B3C62"/>
    <w:rsid w:val="004516EC"/>
    <w:rsid w:val="00496AE9"/>
    <w:rsid w:val="004E0798"/>
    <w:rsid w:val="00517606"/>
    <w:rsid w:val="0057696B"/>
    <w:rsid w:val="005B6B07"/>
    <w:rsid w:val="005D3544"/>
    <w:rsid w:val="005E74E4"/>
    <w:rsid w:val="00754CBA"/>
    <w:rsid w:val="007A34B0"/>
    <w:rsid w:val="00822BE9"/>
    <w:rsid w:val="0085029A"/>
    <w:rsid w:val="009E3846"/>
    <w:rsid w:val="009E4B99"/>
    <w:rsid w:val="00A62F5D"/>
    <w:rsid w:val="00A6495B"/>
    <w:rsid w:val="00A77B3E"/>
    <w:rsid w:val="00A86A27"/>
    <w:rsid w:val="00BA329C"/>
    <w:rsid w:val="00BF4EC7"/>
    <w:rsid w:val="00C234B2"/>
    <w:rsid w:val="00C60211"/>
    <w:rsid w:val="00C8615C"/>
    <w:rsid w:val="00C92291"/>
    <w:rsid w:val="00CA2A55"/>
    <w:rsid w:val="00D26F42"/>
    <w:rsid w:val="00D3402E"/>
    <w:rsid w:val="00D53075"/>
    <w:rsid w:val="00D73B18"/>
    <w:rsid w:val="00DB6214"/>
    <w:rsid w:val="00DD7FC3"/>
    <w:rsid w:val="00EF0EE3"/>
    <w:rsid w:val="00FC4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72F15"/>
  <w15:docId w15:val="{D13FAB9D-3B1B-4690-9108-E150A77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xeBaseOffice2010Blue">
    <w:name w:val="dxeBase_Office2010Blue"/>
    <w:basedOn w:val="DefaultParagraphFont"/>
  </w:style>
  <w:style w:type="paragraph" w:styleId="Header">
    <w:name w:val="header"/>
    <w:basedOn w:val="Normal"/>
    <w:link w:val="HeaderChar"/>
    <w:unhideWhenUsed/>
    <w:rsid w:val="003B3C62"/>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B3C62"/>
    <w:rPr>
      <w:sz w:val="18"/>
      <w:szCs w:val="18"/>
    </w:rPr>
  </w:style>
  <w:style w:type="paragraph" w:styleId="Footer">
    <w:name w:val="footer"/>
    <w:basedOn w:val="Normal"/>
    <w:link w:val="FooterChar"/>
    <w:uiPriority w:val="99"/>
    <w:unhideWhenUsed/>
    <w:rsid w:val="003B3C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B3C62"/>
    <w:rPr>
      <w:sz w:val="18"/>
      <w:szCs w:val="18"/>
    </w:rPr>
  </w:style>
  <w:style w:type="character" w:styleId="CommentReference">
    <w:name w:val="annotation reference"/>
    <w:basedOn w:val="DefaultParagraphFont"/>
    <w:semiHidden/>
    <w:unhideWhenUsed/>
    <w:rsid w:val="003B3C62"/>
    <w:rPr>
      <w:sz w:val="21"/>
      <w:szCs w:val="21"/>
    </w:rPr>
  </w:style>
  <w:style w:type="paragraph" w:styleId="CommentText">
    <w:name w:val="annotation text"/>
    <w:basedOn w:val="Normal"/>
    <w:link w:val="CommentTextChar"/>
    <w:semiHidden/>
    <w:unhideWhenUsed/>
    <w:rsid w:val="003B3C62"/>
  </w:style>
  <w:style w:type="character" w:customStyle="1" w:styleId="CommentTextChar">
    <w:name w:val="Comment Text Char"/>
    <w:basedOn w:val="DefaultParagraphFont"/>
    <w:link w:val="CommentText"/>
    <w:semiHidden/>
    <w:rsid w:val="003B3C62"/>
    <w:rPr>
      <w:sz w:val="24"/>
      <w:szCs w:val="24"/>
    </w:rPr>
  </w:style>
  <w:style w:type="paragraph" w:styleId="CommentSubject">
    <w:name w:val="annotation subject"/>
    <w:basedOn w:val="CommentText"/>
    <w:next w:val="CommentText"/>
    <w:link w:val="CommentSubjectChar"/>
    <w:semiHidden/>
    <w:unhideWhenUsed/>
    <w:rsid w:val="003B3C62"/>
    <w:rPr>
      <w:b/>
      <w:bCs/>
    </w:rPr>
  </w:style>
  <w:style w:type="character" w:customStyle="1" w:styleId="CommentSubjectChar">
    <w:name w:val="Comment Subject Char"/>
    <w:basedOn w:val="CommentTextChar"/>
    <w:link w:val="CommentSubject"/>
    <w:semiHidden/>
    <w:rsid w:val="003B3C62"/>
    <w:rPr>
      <w:b/>
      <w:bCs/>
      <w:sz w:val="24"/>
      <w:szCs w:val="24"/>
    </w:rPr>
  </w:style>
  <w:style w:type="paragraph" w:styleId="Revision">
    <w:name w:val="Revision"/>
    <w:hidden/>
    <w:uiPriority w:val="99"/>
    <w:semiHidden/>
    <w:rsid w:val="00C8615C"/>
    <w:rPr>
      <w:sz w:val="24"/>
      <w:szCs w:val="24"/>
    </w:rPr>
  </w:style>
  <w:style w:type="paragraph" w:styleId="BalloonText">
    <w:name w:val="Balloon Text"/>
    <w:basedOn w:val="Normal"/>
    <w:link w:val="BalloonTextChar"/>
    <w:rsid w:val="00C92291"/>
    <w:rPr>
      <w:rFonts w:ascii="Segoe UI" w:hAnsi="Segoe UI" w:cs="Segoe UI"/>
      <w:sz w:val="18"/>
      <w:szCs w:val="18"/>
    </w:rPr>
  </w:style>
  <w:style w:type="character" w:customStyle="1" w:styleId="BalloonTextChar">
    <w:name w:val="Balloon Text Char"/>
    <w:basedOn w:val="DefaultParagraphFont"/>
    <w:link w:val="BalloonText"/>
    <w:rsid w:val="00C92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 Kevin R.</dc:creator>
  <cp:lastModifiedBy>Donna Fox</cp:lastModifiedBy>
  <cp:revision>2</cp:revision>
  <dcterms:created xsi:type="dcterms:W3CDTF">2023-06-20T23:13:00Z</dcterms:created>
  <dcterms:modified xsi:type="dcterms:W3CDTF">2023-06-20T23:13:00Z</dcterms:modified>
</cp:coreProperties>
</file>