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5F1D"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rPr>
        <w:t xml:space="preserve">Name of Journal: </w:t>
      </w:r>
      <w:r w:rsidRPr="00D41537">
        <w:rPr>
          <w:rFonts w:ascii="Book Antiqua" w:eastAsia="Book Antiqua" w:hAnsi="Book Antiqua" w:cs="Book Antiqua"/>
          <w:i/>
        </w:rPr>
        <w:t>World Journal of Gastrointestinal Oncology</w:t>
      </w:r>
    </w:p>
    <w:p w14:paraId="0D559156"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rPr>
        <w:t xml:space="preserve">Manuscript NO: </w:t>
      </w:r>
      <w:r w:rsidRPr="00D41537">
        <w:rPr>
          <w:rFonts w:ascii="Book Antiqua" w:eastAsia="Book Antiqua" w:hAnsi="Book Antiqua" w:cs="Book Antiqua"/>
        </w:rPr>
        <w:t>84702</w:t>
      </w:r>
    </w:p>
    <w:p w14:paraId="26B553C1"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rPr>
        <w:t xml:space="preserve">Manuscript Type: </w:t>
      </w:r>
      <w:r w:rsidRPr="00D41537">
        <w:rPr>
          <w:rFonts w:ascii="Book Antiqua" w:eastAsia="Book Antiqua" w:hAnsi="Book Antiqua" w:cs="Book Antiqua"/>
        </w:rPr>
        <w:t>ORIGINAL ARTICLE</w:t>
      </w:r>
    </w:p>
    <w:p w14:paraId="155ADFD8" w14:textId="77777777" w:rsidR="00A77B3E" w:rsidRPr="00D41537" w:rsidRDefault="00A77B3E" w:rsidP="00D41537">
      <w:pPr>
        <w:spacing w:line="360" w:lineRule="auto"/>
        <w:jc w:val="both"/>
        <w:rPr>
          <w:rFonts w:ascii="Book Antiqua" w:hAnsi="Book Antiqua"/>
        </w:rPr>
      </w:pPr>
    </w:p>
    <w:p w14:paraId="5A4A14F1"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rPr>
        <w:t>Retrospective Study</w:t>
      </w:r>
    </w:p>
    <w:p w14:paraId="67125995" w14:textId="767832F3"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Epidemiologic characteristics and risk factors associated with overall survival for patients with mucinous colorectal cancer: </w:t>
      </w:r>
      <w:r w:rsidR="007721C8" w:rsidRPr="00D41537">
        <w:rPr>
          <w:rFonts w:ascii="Book Antiqua" w:eastAsia="Book Antiqua" w:hAnsi="Book Antiqua" w:cs="Book Antiqua"/>
          <w:b/>
          <w:bCs/>
          <w:color w:val="000000"/>
        </w:rPr>
        <w:t>A</w:t>
      </w:r>
      <w:r w:rsidRPr="00D41537">
        <w:rPr>
          <w:rFonts w:ascii="Book Antiqua" w:eastAsia="Book Antiqua" w:hAnsi="Book Antiqua" w:cs="Book Antiqua"/>
          <w:b/>
          <w:bCs/>
          <w:color w:val="000000"/>
        </w:rPr>
        <w:t xml:space="preserve"> population-based study</w:t>
      </w:r>
    </w:p>
    <w:p w14:paraId="4603A8E2" w14:textId="77777777" w:rsidR="00A77B3E" w:rsidRPr="00D41537" w:rsidRDefault="00A77B3E" w:rsidP="00D41537">
      <w:pPr>
        <w:spacing w:line="360" w:lineRule="auto"/>
        <w:jc w:val="both"/>
        <w:rPr>
          <w:rFonts w:ascii="Book Antiqua" w:hAnsi="Book Antiqua"/>
        </w:rPr>
      </w:pPr>
    </w:p>
    <w:p w14:paraId="1572B454" w14:textId="415C3F6D" w:rsidR="00A77B3E" w:rsidRPr="00D41537" w:rsidRDefault="004C04C7" w:rsidP="00D41537">
      <w:pPr>
        <w:spacing w:line="360" w:lineRule="auto"/>
        <w:jc w:val="both"/>
        <w:rPr>
          <w:rFonts w:ascii="Book Antiqua" w:hAnsi="Book Antiqua"/>
        </w:rPr>
      </w:pPr>
      <w:r w:rsidRPr="00D41537">
        <w:rPr>
          <w:rFonts w:ascii="Book Antiqua" w:eastAsia="Book Antiqua" w:hAnsi="Book Antiqua" w:cs="Book Antiqua"/>
          <w:color w:val="000000"/>
        </w:rPr>
        <w:t xml:space="preserve">Jiang J </w:t>
      </w:r>
      <w:r w:rsidRPr="00D41537">
        <w:rPr>
          <w:rFonts w:ascii="Book Antiqua" w:eastAsia="Book Antiqua" w:hAnsi="Book Antiqua" w:cs="Book Antiqua"/>
          <w:i/>
          <w:iCs/>
          <w:color w:val="000000"/>
        </w:rPr>
        <w:t>et al</w:t>
      </w:r>
      <w:r w:rsidRPr="00D41537">
        <w:rPr>
          <w:rFonts w:ascii="Book Antiqua" w:eastAsia="Book Antiqua" w:hAnsi="Book Antiqua" w:cs="Book Antiqua"/>
          <w:color w:val="000000"/>
        </w:rPr>
        <w:t>. Epidemiology and survival of mucinous CRC</w:t>
      </w:r>
    </w:p>
    <w:p w14:paraId="6C7CC644" w14:textId="77777777" w:rsidR="00A77B3E" w:rsidRPr="00D41537" w:rsidRDefault="00A77B3E" w:rsidP="00D41537">
      <w:pPr>
        <w:spacing w:line="360" w:lineRule="auto"/>
        <w:jc w:val="both"/>
        <w:rPr>
          <w:rFonts w:ascii="Book Antiqua" w:hAnsi="Book Antiqua"/>
        </w:rPr>
      </w:pPr>
    </w:p>
    <w:p w14:paraId="09CF110C"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Jiao Jiang, Xiao-Wei Tang, Shu Huang, Nan Hu, Yuan Chen, Bei Luo, Wen-Sen Ren, Yan Peng, Wei-Xing Yang, Mu-Han Lü</w:t>
      </w:r>
    </w:p>
    <w:p w14:paraId="67CDB407" w14:textId="77777777" w:rsidR="00A77B3E" w:rsidRPr="00D41537" w:rsidRDefault="00A77B3E" w:rsidP="00D41537">
      <w:pPr>
        <w:spacing w:line="360" w:lineRule="auto"/>
        <w:jc w:val="both"/>
        <w:rPr>
          <w:rFonts w:ascii="Book Antiqua" w:hAnsi="Book Antiqua"/>
        </w:rPr>
      </w:pPr>
    </w:p>
    <w:p w14:paraId="598052FF"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Jiao Jiang, Xiao-Wei Tang, Nan Hu, Yuan Chen, Bei Luo, Wen-Sen Ren, Yan Peng, Wei-Xing Yang, Mu-Han Lü, </w:t>
      </w:r>
      <w:r w:rsidRPr="00D41537">
        <w:rPr>
          <w:rFonts w:ascii="Book Antiqua" w:eastAsia="Book Antiqua" w:hAnsi="Book Antiqua" w:cs="Book Antiqua"/>
          <w:color w:val="000000"/>
        </w:rPr>
        <w:t>Department of Gastroenterology, the Affiliated Hospital of Southwest Medical University, Luzhou 646099, Sichuan Province, China</w:t>
      </w:r>
    </w:p>
    <w:p w14:paraId="2AFCF467" w14:textId="77777777" w:rsidR="00A77B3E" w:rsidRPr="00D41537" w:rsidRDefault="00A77B3E" w:rsidP="00D41537">
      <w:pPr>
        <w:spacing w:line="360" w:lineRule="auto"/>
        <w:jc w:val="both"/>
        <w:rPr>
          <w:rFonts w:ascii="Book Antiqua" w:hAnsi="Book Antiqua"/>
        </w:rPr>
      </w:pPr>
    </w:p>
    <w:p w14:paraId="4538DF3F"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Shu Huang, </w:t>
      </w:r>
      <w:r w:rsidRPr="00D41537">
        <w:rPr>
          <w:rFonts w:ascii="Book Antiqua" w:eastAsia="Book Antiqua" w:hAnsi="Book Antiqua" w:cs="Book Antiqua"/>
          <w:color w:val="000000"/>
        </w:rPr>
        <w:t>Department of Gastroenterology, the People’s Hospital of Lianshui, Huaian 223400, Jiangsu Province, China</w:t>
      </w:r>
    </w:p>
    <w:p w14:paraId="31D946D5" w14:textId="77777777" w:rsidR="00A77B3E" w:rsidRPr="00D41537" w:rsidRDefault="00A77B3E" w:rsidP="00D41537">
      <w:pPr>
        <w:spacing w:line="360" w:lineRule="auto"/>
        <w:jc w:val="both"/>
        <w:rPr>
          <w:rFonts w:ascii="Book Antiqua" w:hAnsi="Book Antiqua"/>
        </w:rPr>
      </w:pPr>
    </w:p>
    <w:p w14:paraId="777F3623" w14:textId="5A3A6013"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Author contributions: </w:t>
      </w:r>
      <w:r w:rsidRPr="00D41537">
        <w:rPr>
          <w:rFonts w:ascii="Book Antiqua" w:eastAsia="Book Antiqua" w:hAnsi="Book Antiqua" w:cs="Book Antiqua"/>
          <w:color w:val="000000"/>
        </w:rPr>
        <w:t>Jiang J, Tang XW</w:t>
      </w:r>
      <w:r w:rsidR="00870DB1">
        <w:rPr>
          <w:rFonts w:ascii="Book Antiqua" w:eastAsia="Book Antiqua" w:hAnsi="Book Antiqua" w:cs="Book Antiqua"/>
          <w:color w:val="000000"/>
        </w:rPr>
        <w:t>,</w:t>
      </w:r>
      <w:r w:rsidRPr="00D41537">
        <w:rPr>
          <w:rFonts w:ascii="Book Antiqua" w:eastAsia="Book Antiqua" w:hAnsi="Book Antiqua" w:cs="Book Antiqua"/>
          <w:color w:val="000000"/>
        </w:rPr>
        <w:t xml:space="preserve"> and Huang S contributed equally to this work; Luo B, Hu N, Tang XW</w:t>
      </w:r>
      <w:r w:rsidR="00870DB1">
        <w:rPr>
          <w:rFonts w:ascii="Book Antiqua" w:eastAsia="Book Antiqua" w:hAnsi="Book Antiqua" w:cs="Book Antiqua"/>
          <w:color w:val="000000"/>
        </w:rPr>
        <w:t>,</w:t>
      </w:r>
      <w:r w:rsidRPr="00D41537">
        <w:rPr>
          <w:rFonts w:ascii="Book Antiqua" w:eastAsia="Book Antiqua" w:hAnsi="Book Antiqua" w:cs="Book Antiqua"/>
          <w:color w:val="000000"/>
        </w:rPr>
        <w:t xml:space="preserve"> and Chen Y designed the research study; Ren WS </w:t>
      </w:r>
      <w:r w:rsidR="00791BF3" w:rsidRPr="00D41537">
        <w:rPr>
          <w:rFonts w:ascii="Book Antiqua" w:eastAsia="Book Antiqua" w:hAnsi="Book Antiqua" w:cs="Book Antiqua"/>
          <w:color w:val="000000"/>
        </w:rPr>
        <w:t xml:space="preserve">and Jiang J </w:t>
      </w:r>
      <w:r w:rsidRPr="00D41537">
        <w:rPr>
          <w:rFonts w:ascii="Book Antiqua" w:eastAsia="Book Antiqua" w:hAnsi="Book Antiqua" w:cs="Book Antiqua"/>
          <w:color w:val="000000"/>
        </w:rPr>
        <w:t>performed the data extraction; Jiang J, Tang XW</w:t>
      </w:r>
      <w:r w:rsidR="00870DB1">
        <w:rPr>
          <w:rFonts w:ascii="Book Antiqua" w:eastAsia="Book Antiqua" w:hAnsi="Book Antiqua" w:cs="Book Antiqua"/>
          <w:color w:val="000000"/>
        </w:rPr>
        <w:t>,</w:t>
      </w:r>
      <w:r w:rsidRPr="00D41537">
        <w:rPr>
          <w:rFonts w:ascii="Book Antiqua" w:eastAsia="Book Antiqua" w:hAnsi="Book Antiqua" w:cs="Book Antiqua"/>
          <w:color w:val="000000"/>
        </w:rPr>
        <w:t xml:space="preserve"> and Huang S analyzed the data and wrote the manuscript; Peng Y, Yang WX</w:t>
      </w:r>
      <w:r w:rsidR="00870DB1">
        <w:rPr>
          <w:rFonts w:ascii="Book Antiqua" w:eastAsia="Book Antiqua" w:hAnsi="Book Antiqua" w:cs="Book Antiqua"/>
          <w:color w:val="000000"/>
        </w:rPr>
        <w:t>,</w:t>
      </w:r>
      <w:r w:rsidRPr="00D41537">
        <w:rPr>
          <w:rFonts w:ascii="Book Antiqua" w:eastAsia="Book Antiqua" w:hAnsi="Book Antiqua" w:cs="Book Antiqua"/>
          <w:color w:val="000000"/>
        </w:rPr>
        <w:t xml:space="preserve"> and Lü MH revised the manuscript; </w:t>
      </w:r>
      <w:r w:rsidR="00440ED3" w:rsidRPr="00D41537">
        <w:rPr>
          <w:rFonts w:ascii="Book Antiqua" w:eastAsia="Book Antiqua" w:hAnsi="Book Antiqua" w:cs="Book Antiqua"/>
          <w:color w:val="000000"/>
        </w:rPr>
        <w:t>A</w:t>
      </w:r>
      <w:r w:rsidRPr="00D41537">
        <w:rPr>
          <w:rFonts w:ascii="Book Antiqua" w:eastAsia="Book Antiqua" w:hAnsi="Book Antiqua" w:cs="Book Antiqua"/>
          <w:color w:val="000000"/>
        </w:rPr>
        <w:t>ll authors read and approved the final manuscript.</w:t>
      </w:r>
    </w:p>
    <w:p w14:paraId="664CD7F8" w14:textId="77777777" w:rsidR="00A77B3E" w:rsidRPr="00D41537" w:rsidRDefault="00A77B3E" w:rsidP="00D41537">
      <w:pPr>
        <w:spacing w:line="360" w:lineRule="auto"/>
        <w:jc w:val="both"/>
        <w:rPr>
          <w:rFonts w:ascii="Book Antiqua" w:hAnsi="Book Antiqua"/>
        </w:rPr>
      </w:pPr>
    </w:p>
    <w:p w14:paraId="2D063DA8"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Supported by </w:t>
      </w:r>
      <w:r w:rsidRPr="00D41537">
        <w:rPr>
          <w:rFonts w:ascii="Book Antiqua" w:eastAsia="Book Antiqua" w:hAnsi="Book Antiqua" w:cs="Book Antiqua"/>
          <w:color w:val="000000"/>
        </w:rPr>
        <w:t>Science &amp; Technology Department of Sichuan Province, No. 2021JDTD0003; and Scientific Research Cooperation Project of Suining First People’s Hospital and the Affiliated Hospital of Southwest Medical University, No. 2021SNXNYD05.</w:t>
      </w:r>
    </w:p>
    <w:p w14:paraId="63781378" w14:textId="77777777" w:rsidR="00A77B3E" w:rsidRPr="00D41537" w:rsidRDefault="00A77B3E" w:rsidP="00D41537">
      <w:pPr>
        <w:spacing w:line="360" w:lineRule="auto"/>
        <w:jc w:val="both"/>
        <w:rPr>
          <w:rFonts w:ascii="Book Antiqua" w:hAnsi="Book Antiqua"/>
        </w:rPr>
      </w:pPr>
    </w:p>
    <w:p w14:paraId="108FE0B4"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color w:val="000000"/>
        </w:rPr>
        <w:t xml:space="preserve">Corresponding author: Mu-Han Lü, MD, PhD, Full Professor, </w:t>
      </w:r>
      <w:r w:rsidRPr="00D41537">
        <w:rPr>
          <w:rFonts w:ascii="Book Antiqua" w:eastAsia="Book Antiqua" w:hAnsi="Book Antiqua" w:cs="Book Antiqua"/>
          <w:color w:val="000000"/>
        </w:rPr>
        <w:t>Department of Gastroenterology, the Affiliated Hospital of Southwest Medical University, No. 25 Taiping Street, Jiangyang District, Luzhou 646099, Sichuan Province, China. lvmuhan@swmu.edu.cn</w:t>
      </w:r>
    </w:p>
    <w:p w14:paraId="7AAC0166" w14:textId="77777777" w:rsidR="00A77B3E" w:rsidRPr="00D41537" w:rsidRDefault="00A77B3E" w:rsidP="00D41537">
      <w:pPr>
        <w:spacing w:line="360" w:lineRule="auto"/>
        <w:jc w:val="both"/>
        <w:rPr>
          <w:rFonts w:ascii="Book Antiqua" w:hAnsi="Book Antiqua"/>
        </w:rPr>
      </w:pPr>
    </w:p>
    <w:p w14:paraId="33BEA61C"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Received: </w:t>
      </w:r>
      <w:r w:rsidRPr="00D41537">
        <w:rPr>
          <w:rFonts w:ascii="Book Antiqua" w:eastAsia="Book Antiqua" w:hAnsi="Book Antiqua" w:cs="Book Antiqua"/>
        </w:rPr>
        <w:t>April 17, 2023</w:t>
      </w:r>
    </w:p>
    <w:p w14:paraId="33F743FC"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Revised: </w:t>
      </w:r>
      <w:r w:rsidRPr="00D41537">
        <w:rPr>
          <w:rFonts w:ascii="Book Antiqua" w:eastAsia="Book Antiqua" w:hAnsi="Book Antiqua" w:cs="Book Antiqua"/>
        </w:rPr>
        <w:t>May 21, 2023</w:t>
      </w:r>
    </w:p>
    <w:p w14:paraId="2FF7DCC9" w14:textId="7E5AA210"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Accepted: </w:t>
      </w:r>
      <w:r w:rsidR="00640662" w:rsidRPr="00D41537">
        <w:rPr>
          <w:rFonts w:ascii="Book Antiqua" w:eastAsia="Book Antiqua" w:hAnsi="Book Antiqua" w:cs="Book Antiqua"/>
        </w:rPr>
        <w:t>June 13, 2023</w:t>
      </w:r>
    </w:p>
    <w:p w14:paraId="52DDD460" w14:textId="7D2516E5"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Published online: </w:t>
      </w:r>
      <w:r w:rsidR="0090185B">
        <w:rPr>
          <w:rFonts w:ascii="Book Antiqua" w:hAnsi="Book Antiqua"/>
          <w:color w:val="000000"/>
          <w:shd w:val="clear" w:color="auto" w:fill="FFFFFF"/>
        </w:rPr>
        <w:t>August 15, 2023</w:t>
      </w:r>
    </w:p>
    <w:p w14:paraId="14CE4E65" w14:textId="77777777" w:rsidR="00893F9D" w:rsidRDefault="00893F9D" w:rsidP="00D41537">
      <w:pPr>
        <w:spacing w:line="360" w:lineRule="auto"/>
        <w:jc w:val="both"/>
        <w:rPr>
          <w:rFonts w:ascii="Book Antiqua" w:eastAsia="Book Antiqua" w:hAnsi="Book Antiqua" w:cs="Book Antiqua"/>
          <w:b/>
          <w:color w:val="000000"/>
        </w:rPr>
      </w:pPr>
    </w:p>
    <w:p w14:paraId="7FA4A9A9" w14:textId="40945003"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Abstract</w:t>
      </w:r>
    </w:p>
    <w:p w14:paraId="6B0DA749"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BACKGROUND</w:t>
      </w:r>
    </w:p>
    <w:p w14:paraId="05D79522"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Mucinous adenocarcinoma (MC) has attracted much attention as a distinct histologic subtype of colorectal cancer in recent years. However, data about its epidemiologic and prognostic characteristics are limited. Therefore, patient data extracted from the National Cancer Institute’s Surveillance, Epidemiology, and End Results Program were collected to analyze the epidemiologic and clinicopathological characteristics of MC.</w:t>
      </w:r>
    </w:p>
    <w:p w14:paraId="3A80E556" w14:textId="77777777" w:rsidR="00A77B3E" w:rsidRPr="00D41537" w:rsidRDefault="00A77B3E" w:rsidP="00D41537">
      <w:pPr>
        <w:spacing w:line="360" w:lineRule="auto"/>
        <w:jc w:val="both"/>
        <w:rPr>
          <w:rFonts w:ascii="Book Antiqua" w:hAnsi="Book Antiqua"/>
        </w:rPr>
      </w:pPr>
    </w:p>
    <w:p w14:paraId="7DEADF9E"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AIM</w:t>
      </w:r>
    </w:p>
    <w:p w14:paraId="3691A643" w14:textId="57743156" w:rsidR="00A77B3E" w:rsidRPr="00D41537" w:rsidRDefault="005A2DA6" w:rsidP="00D41537">
      <w:pPr>
        <w:spacing w:line="360" w:lineRule="auto"/>
        <w:jc w:val="both"/>
        <w:rPr>
          <w:rFonts w:ascii="Book Antiqua" w:hAnsi="Book Antiqua"/>
        </w:rPr>
      </w:pPr>
      <w:r w:rsidRPr="00D41537">
        <w:rPr>
          <w:rFonts w:ascii="Book Antiqua" w:hAnsi="Book Antiqua" w:cs="Book Antiqua"/>
          <w:lang w:eastAsia="zh-CN"/>
        </w:rPr>
        <w:t>T</w:t>
      </w:r>
      <w:r w:rsidRPr="00D41537">
        <w:rPr>
          <w:rFonts w:ascii="Book Antiqua" w:eastAsia="Book Antiqua" w:hAnsi="Book Antiqua" w:cs="Book Antiqua"/>
        </w:rPr>
        <w:t>o determine the epidemiologic and clinicopathological characteristics of MC.</w:t>
      </w:r>
    </w:p>
    <w:p w14:paraId="0CA4278B" w14:textId="77777777" w:rsidR="00A77B3E" w:rsidRPr="00D41537" w:rsidRDefault="00A77B3E" w:rsidP="00D41537">
      <w:pPr>
        <w:spacing w:line="360" w:lineRule="auto"/>
        <w:jc w:val="both"/>
        <w:rPr>
          <w:rFonts w:ascii="Book Antiqua" w:hAnsi="Book Antiqua"/>
        </w:rPr>
      </w:pPr>
    </w:p>
    <w:p w14:paraId="108DB2C0"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METHODS</w:t>
      </w:r>
    </w:p>
    <w:p w14:paraId="270F2C85"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The incidence trend of MC was calculated through the Joinpoint Regression Program. Cox regression analyses were performed to identify prognostic factors associated with overall survival (OS). A nomogram was established to predict the survival probability of individual patients with MC.</w:t>
      </w:r>
    </w:p>
    <w:p w14:paraId="0C2BA9B6" w14:textId="77777777" w:rsidR="00A77B3E" w:rsidRPr="00D41537" w:rsidRDefault="00A77B3E" w:rsidP="00D41537">
      <w:pPr>
        <w:spacing w:line="360" w:lineRule="auto"/>
        <w:jc w:val="both"/>
        <w:rPr>
          <w:rFonts w:ascii="Book Antiqua" w:hAnsi="Book Antiqua"/>
        </w:rPr>
      </w:pPr>
    </w:p>
    <w:p w14:paraId="021A51DC"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RESULTS</w:t>
      </w:r>
    </w:p>
    <w:p w14:paraId="46C314E0" w14:textId="5DD3D010"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lastRenderedPageBreak/>
        <w:t>We found that rates of MC decreased from 4.50/100000 in 2000 to 1.54/100000 in 2018. Rates of MCs in patients aged ≤</w:t>
      </w:r>
      <w:r w:rsidR="003C72EB" w:rsidRPr="00D41537">
        <w:rPr>
          <w:rFonts w:ascii="Book Antiqua" w:eastAsia="Book Antiqua" w:hAnsi="Book Antiqua" w:cs="Book Antiqua"/>
        </w:rPr>
        <w:t xml:space="preserve"> </w:t>
      </w:r>
      <w:r w:rsidRPr="00D41537">
        <w:rPr>
          <w:rFonts w:ascii="Book Antiqua" w:eastAsia="Book Antiqua" w:hAnsi="Book Antiqua" w:cs="Book Antiqua"/>
        </w:rPr>
        <w:t>50 years decreased 2.27%/year during 2000</w:t>
      </w:r>
      <w:r w:rsidR="00870DB1">
        <w:rPr>
          <w:rFonts w:ascii="Book Antiqua" w:eastAsia="Book Antiqua" w:hAnsi="Book Antiqua" w:cs="Book Antiqua"/>
        </w:rPr>
        <w:t>-</w:t>
      </w:r>
      <w:r w:rsidRPr="00D41537">
        <w:rPr>
          <w:rFonts w:ascii="Book Antiqua" w:eastAsia="Book Antiqua" w:hAnsi="Book Antiqua" w:cs="Book Antiqua"/>
        </w:rPr>
        <w:t>2018. The incidence of appendiceal MCs increased from 0.14/100000 in 2000 to 0.24/100000 in 2018, while the incidence in other anatomic subsites continued to decrease. On multivariable Cox analyses, age, race, tumor site, T stage, N stage, M stage, surgery, and chemotherapy were associated with OS. A nomogram was developed based on these factors, and the area under the curve for 1-</w:t>
      </w:r>
      <w:r w:rsidR="00870DB1">
        <w:rPr>
          <w:rFonts w:ascii="Book Antiqua" w:eastAsia="Book Antiqua" w:hAnsi="Book Antiqua" w:cs="Book Antiqua"/>
        </w:rPr>
        <w:t>year</w:t>
      </w:r>
      <w:r w:rsidRPr="00D41537">
        <w:rPr>
          <w:rFonts w:ascii="Book Antiqua" w:eastAsia="Book Antiqua" w:hAnsi="Book Antiqua" w:cs="Book Antiqua"/>
        </w:rPr>
        <w:t>, 3-</w:t>
      </w:r>
      <w:r w:rsidR="00870DB1">
        <w:rPr>
          <w:rFonts w:ascii="Book Antiqua" w:eastAsia="Book Antiqua" w:hAnsi="Book Antiqua" w:cs="Book Antiqua"/>
        </w:rPr>
        <w:t>year</w:t>
      </w:r>
      <w:r w:rsidRPr="00D41537">
        <w:rPr>
          <w:rFonts w:ascii="Book Antiqua" w:eastAsia="Book Antiqua" w:hAnsi="Book Antiqua" w:cs="Book Antiqua"/>
        </w:rPr>
        <w:t>, and 5-year OS in the training cohort was 0.778, 0.778, and 0.768, respectively.</w:t>
      </w:r>
    </w:p>
    <w:p w14:paraId="4504B8CF" w14:textId="77777777" w:rsidR="00A77B3E" w:rsidRPr="00D41537" w:rsidRDefault="00A77B3E" w:rsidP="00D41537">
      <w:pPr>
        <w:spacing w:line="360" w:lineRule="auto"/>
        <w:jc w:val="both"/>
        <w:rPr>
          <w:rFonts w:ascii="Book Antiqua" w:hAnsi="Book Antiqua"/>
        </w:rPr>
      </w:pPr>
    </w:p>
    <w:p w14:paraId="6132A91A"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CONCLUSION</w:t>
      </w:r>
    </w:p>
    <w:p w14:paraId="6F8E245B"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Our results demonstrated that MC incidence decreased in almost all anatomic subgroups except for the appendix. A nomogram predicting the survival probability of patients with MCs showed good performance.</w:t>
      </w:r>
    </w:p>
    <w:p w14:paraId="3B15B610" w14:textId="77777777" w:rsidR="00A77B3E" w:rsidRPr="00D41537" w:rsidRDefault="00A77B3E" w:rsidP="00D41537">
      <w:pPr>
        <w:spacing w:line="360" w:lineRule="auto"/>
        <w:jc w:val="both"/>
        <w:rPr>
          <w:rFonts w:ascii="Book Antiqua" w:hAnsi="Book Antiqua"/>
        </w:rPr>
      </w:pPr>
    </w:p>
    <w:p w14:paraId="4AF65928" w14:textId="7236B1E8"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Key Words: </w:t>
      </w:r>
      <w:r w:rsidRPr="00D41537">
        <w:rPr>
          <w:rFonts w:ascii="Book Antiqua" w:eastAsia="Book Antiqua" w:hAnsi="Book Antiqua" w:cs="Book Antiqua"/>
        </w:rPr>
        <w:t xml:space="preserve">Mucinous adenocarcinoma; Colorectal cancer; Epidemiology; Prognostic factor; Nomogram; </w:t>
      </w:r>
      <w:r w:rsidR="003C72EB" w:rsidRPr="00D41537">
        <w:rPr>
          <w:rFonts w:ascii="Book Antiqua" w:eastAsia="Book Antiqua" w:hAnsi="Book Antiqua" w:cs="Book Antiqua"/>
          <w:color w:val="000000"/>
        </w:rPr>
        <w:t>Surveillance epidemiology and end results</w:t>
      </w:r>
      <w:r w:rsidRPr="00D41537">
        <w:rPr>
          <w:rFonts w:ascii="Book Antiqua" w:eastAsia="Book Antiqua" w:hAnsi="Book Antiqua" w:cs="Book Antiqua"/>
        </w:rPr>
        <w:t xml:space="preserve"> database</w:t>
      </w:r>
    </w:p>
    <w:p w14:paraId="67C72919" w14:textId="77777777" w:rsidR="00A77B3E" w:rsidRDefault="00A77B3E" w:rsidP="00D41537">
      <w:pPr>
        <w:spacing w:line="360" w:lineRule="auto"/>
        <w:jc w:val="both"/>
        <w:rPr>
          <w:rFonts w:ascii="Book Antiqua" w:hAnsi="Book Antiqua"/>
        </w:rPr>
      </w:pPr>
    </w:p>
    <w:p w14:paraId="05BDF597" w14:textId="77777777" w:rsidR="00C64287" w:rsidRDefault="00C64287" w:rsidP="00C6428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51D07B8" w14:textId="77777777" w:rsidR="00C64287" w:rsidRPr="00D41537" w:rsidRDefault="00C64287" w:rsidP="00D41537">
      <w:pPr>
        <w:spacing w:line="360" w:lineRule="auto"/>
        <w:jc w:val="both"/>
        <w:rPr>
          <w:rFonts w:ascii="Book Antiqua" w:hAnsi="Book Antiqua"/>
        </w:rPr>
      </w:pPr>
    </w:p>
    <w:p w14:paraId="773EA316" w14:textId="40439C45" w:rsidR="0090185B" w:rsidRPr="0090185B" w:rsidRDefault="00C64287" w:rsidP="0090185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D41537" w:rsidRPr="00D41537">
        <w:rPr>
          <w:rFonts w:ascii="Book Antiqua" w:eastAsia="Book Antiqua" w:hAnsi="Book Antiqua" w:cs="Book Antiqua"/>
        </w:rPr>
        <w:t xml:space="preserve">Jiang J, Tang XW, Huang S, Hu N, Chen Y, Luo B, Ren WS, Peng Y, Yang WX, Lü MH. Epidemiologic characteristics and risk factors associated with overall survival for patients with mucinous colorectal cancer: </w:t>
      </w:r>
      <w:r w:rsidR="003C72EB" w:rsidRPr="00D41537">
        <w:rPr>
          <w:rFonts w:ascii="Book Antiqua" w:eastAsia="Book Antiqua" w:hAnsi="Book Antiqua" w:cs="Book Antiqua"/>
        </w:rPr>
        <w:t>A</w:t>
      </w:r>
      <w:r w:rsidR="00D41537" w:rsidRPr="00D41537">
        <w:rPr>
          <w:rFonts w:ascii="Book Antiqua" w:eastAsia="Book Antiqua" w:hAnsi="Book Antiqua" w:cs="Book Antiqua"/>
        </w:rPr>
        <w:t xml:space="preserve"> population-based study. </w:t>
      </w:r>
      <w:r w:rsidR="00D41537" w:rsidRPr="00D41537">
        <w:rPr>
          <w:rFonts w:ascii="Book Antiqua" w:eastAsia="Book Antiqua" w:hAnsi="Book Antiqua" w:cs="Book Antiqua"/>
          <w:i/>
          <w:iCs/>
        </w:rPr>
        <w:t>World J Gastrointest Oncol</w:t>
      </w:r>
      <w:r w:rsidR="00D41537" w:rsidRPr="00D41537">
        <w:rPr>
          <w:rFonts w:ascii="Book Antiqua" w:eastAsia="Book Antiqua" w:hAnsi="Book Antiqua" w:cs="Book Antiqua"/>
        </w:rPr>
        <w:t xml:space="preserve"> 2023; </w:t>
      </w:r>
      <w:r w:rsidR="0090185B" w:rsidRPr="0090185B">
        <w:rPr>
          <w:rFonts w:ascii="Book Antiqua" w:eastAsia="Book Antiqua" w:hAnsi="Book Antiqua" w:cs="Book Antiqua"/>
        </w:rPr>
        <w:t xml:space="preserve">15(8): </w:t>
      </w:r>
      <w:r w:rsidRPr="00C64287">
        <w:rPr>
          <w:rFonts w:ascii="Book Antiqua" w:eastAsia="Book Antiqua" w:hAnsi="Book Antiqua" w:cs="Book Antiqua"/>
        </w:rPr>
        <w:t>1461-1474</w:t>
      </w:r>
    </w:p>
    <w:p w14:paraId="39037496" w14:textId="4F406F63" w:rsidR="0090185B" w:rsidRPr="0090185B" w:rsidRDefault="0090185B" w:rsidP="0090185B">
      <w:pPr>
        <w:spacing w:line="360" w:lineRule="auto"/>
        <w:jc w:val="both"/>
        <w:rPr>
          <w:rFonts w:ascii="Book Antiqua" w:eastAsia="Book Antiqua" w:hAnsi="Book Antiqua" w:cs="Book Antiqua"/>
        </w:rPr>
      </w:pPr>
      <w:r w:rsidRPr="0090185B">
        <w:rPr>
          <w:rFonts w:ascii="Book Antiqua" w:eastAsia="Book Antiqua" w:hAnsi="Book Antiqua" w:cs="Book Antiqua"/>
          <w:b/>
          <w:bCs/>
        </w:rPr>
        <w:t>URL</w:t>
      </w:r>
      <w:r w:rsidRPr="0090185B">
        <w:rPr>
          <w:rFonts w:ascii="Book Antiqua" w:eastAsia="Book Antiqua" w:hAnsi="Book Antiqua" w:cs="Book Antiqua"/>
        </w:rPr>
        <w:t>: https://www.wjgnet.com/1948-5204/full/v15/i8/</w:t>
      </w:r>
      <w:r w:rsidR="00C64287" w:rsidRPr="00C64287">
        <w:rPr>
          <w:rFonts w:ascii="Book Antiqua" w:eastAsia="Book Antiqua" w:hAnsi="Book Antiqua" w:cs="Book Antiqua"/>
        </w:rPr>
        <w:t>1461</w:t>
      </w:r>
      <w:r w:rsidRPr="0090185B">
        <w:rPr>
          <w:rFonts w:ascii="Book Antiqua" w:eastAsia="Book Antiqua" w:hAnsi="Book Antiqua" w:cs="Book Antiqua"/>
        </w:rPr>
        <w:t>.htm</w:t>
      </w:r>
    </w:p>
    <w:p w14:paraId="5E808E8E" w14:textId="03F5158B" w:rsidR="00A77B3E" w:rsidRPr="00D41537" w:rsidRDefault="0090185B" w:rsidP="0090185B">
      <w:pPr>
        <w:spacing w:line="360" w:lineRule="auto"/>
        <w:jc w:val="both"/>
        <w:rPr>
          <w:rFonts w:ascii="Book Antiqua" w:hAnsi="Book Antiqua"/>
        </w:rPr>
      </w:pPr>
      <w:r w:rsidRPr="0090185B">
        <w:rPr>
          <w:rFonts w:ascii="Book Antiqua" w:eastAsia="Book Antiqua" w:hAnsi="Book Antiqua" w:cs="Book Antiqua"/>
          <w:b/>
          <w:bCs/>
        </w:rPr>
        <w:t>DOI</w:t>
      </w:r>
      <w:r w:rsidRPr="0090185B">
        <w:rPr>
          <w:rFonts w:ascii="Book Antiqua" w:eastAsia="Book Antiqua" w:hAnsi="Book Antiqua" w:cs="Book Antiqua"/>
        </w:rPr>
        <w:t>: https://dx.doi.org/10.4251/wjgo.v15.i8.</w:t>
      </w:r>
      <w:r w:rsidR="00C64287" w:rsidRPr="00C64287">
        <w:rPr>
          <w:rFonts w:ascii="Book Antiqua" w:eastAsia="Book Antiqua" w:hAnsi="Book Antiqua" w:cs="Book Antiqua"/>
        </w:rPr>
        <w:t>1461</w:t>
      </w:r>
    </w:p>
    <w:p w14:paraId="04E9BBB3" w14:textId="77777777" w:rsidR="00A77B3E" w:rsidRPr="00D41537" w:rsidRDefault="00A77B3E" w:rsidP="00D41537">
      <w:pPr>
        <w:spacing w:line="360" w:lineRule="auto"/>
        <w:jc w:val="both"/>
        <w:rPr>
          <w:rFonts w:ascii="Book Antiqua" w:hAnsi="Book Antiqua"/>
        </w:rPr>
      </w:pPr>
    </w:p>
    <w:p w14:paraId="15D27AE7" w14:textId="1F71B37C"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Core Tip: </w:t>
      </w:r>
      <w:r w:rsidRPr="00D41537">
        <w:rPr>
          <w:rFonts w:ascii="Book Antiqua" w:eastAsia="Book Antiqua" w:hAnsi="Book Antiqua" w:cs="Book Antiqua"/>
        </w:rPr>
        <w:t xml:space="preserve">When stratified by anatomic location, incidence rates declined in almost all anatomic subgroups except for mucinous adenocarcinoma in the appendix. </w:t>
      </w:r>
      <w:r w:rsidR="00B17D87">
        <w:rPr>
          <w:rFonts w:ascii="Book Antiqua" w:eastAsia="Book Antiqua" w:hAnsi="Book Antiqua" w:cs="Book Antiqua"/>
        </w:rPr>
        <w:t>C</w:t>
      </w:r>
      <w:r w:rsidRPr="00D41537">
        <w:rPr>
          <w:rFonts w:ascii="Book Antiqua" w:eastAsia="Book Antiqua" w:hAnsi="Book Antiqua" w:cs="Book Antiqua"/>
        </w:rPr>
        <w:t xml:space="preserve">linicians should also pay attention to the increasing incidence of appendiceal </w:t>
      </w:r>
      <w:r w:rsidR="009C5449" w:rsidRPr="00D41537">
        <w:rPr>
          <w:rFonts w:ascii="Book Antiqua" w:eastAsia="Book Antiqua" w:hAnsi="Book Antiqua" w:cs="Book Antiqua"/>
        </w:rPr>
        <w:t xml:space="preserve">mucinous </w:t>
      </w:r>
      <w:r w:rsidR="009C5449" w:rsidRPr="00D41537">
        <w:rPr>
          <w:rFonts w:ascii="Book Antiqua" w:eastAsia="Book Antiqua" w:hAnsi="Book Antiqua" w:cs="Book Antiqua"/>
        </w:rPr>
        <w:lastRenderedPageBreak/>
        <w:t>adenocarcinoma</w:t>
      </w:r>
      <w:r w:rsidRPr="00D41537">
        <w:rPr>
          <w:rFonts w:ascii="Book Antiqua" w:eastAsia="Book Antiqua" w:hAnsi="Book Antiqua" w:cs="Book Antiqua"/>
        </w:rPr>
        <w:t xml:space="preserve">. During the survival analysis, we found that age, race, tumor site, surgery, and chemotherapy were significantly associated with survival. A nomogram based on those factors as well as the TNM tumor stages showed good predictive performance, which indicated that in addition to the TNM stages, characteristics such as tumor site, age, and race were also important in developing individualized treatment plans for patients with mucinous </w:t>
      </w:r>
      <w:r w:rsidR="00B17D87">
        <w:rPr>
          <w:rFonts w:ascii="Book Antiqua" w:eastAsia="Book Antiqua" w:hAnsi="Book Antiqua" w:cs="Book Antiqua"/>
        </w:rPr>
        <w:t>colorectal cancer</w:t>
      </w:r>
      <w:r w:rsidRPr="00D41537">
        <w:rPr>
          <w:rFonts w:ascii="Book Antiqua" w:eastAsia="Book Antiqua" w:hAnsi="Book Antiqua" w:cs="Book Antiqua"/>
        </w:rPr>
        <w:t>.</w:t>
      </w:r>
    </w:p>
    <w:p w14:paraId="46C19E39" w14:textId="77777777" w:rsidR="00A77B3E" w:rsidRPr="00D41537" w:rsidRDefault="00A77B3E" w:rsidP="00D41537">
      <w:pPr>
        <w:spacing w:line="360" w:lineRule="auto"/>
        <w:jc w:val="both"/>
        <w:rPr>
          <w:rFonts w:ascii="Book Antiqua" w:hAnsi="Book Antiqua"/>
        </w:rPr>
      </w:pPr>
    </w:p>
    <w:p w14:paraId="0CDFD44A"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INTRODUCTION</w:t>
      </w:r>
    </w:p>
    <w:p w14:paraId="1C72DA1F" w14:textId="4C468F10"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Colorectal cancer (CRC) is the third most frequent cancer and ranks second with respect to cancer-related mortality worldwide</w:t>
      </w:r>
      <w:r w:rsidRPr="00D41537">
        <w:rPr>
          <w:rFonts w:ascii="Book Antiqua" w:eastAsia="Book Antiqua" w:hAnsi="Book Antiqua" w:cs="Book Antiqua"/>
          <w:color w:val="000000"/>
          <w:vertAlign w:val="superscript"/>
        </w:rPr>
        <w:t>[1]</w:t>
      </w:r>
      <w:r w:rsidRPr="00D41537">
        <w:rPr>
          <w:rFonts w:ascii="Book Antiqua" w:eastAsia="Book Antiqua" w:hAnsi="Book Antiqua" w:cs="Book Antiqua"/>
          <w:color w:val="000000"/>
        </w:rPr>
        <w:t xml:space="preserve">. Mucinous adenocarcinoma (MC), defined as having more than 50% </w:t>
      </w:r>
      <w:r w:rsidR="000B11E0">
        <w:rPr>
          <w:rFonts w:ascii="Book Antiqua" w:eastAsia="Book Antiqua" w:hAnsi="Book Antiqua" w:cs="Book Antiqua"/>
          <w:color w:val="000000"/>
        </w:rPr>
        <w:t xml:space="preserve">of the </w:t>
      </w:r>
      <w:r w:rsidRPr="00D41537">
        <w:rPr>
          <w:rFonts w:ascii="Book Antiqua" w:eastAsia="Book Antiqua" w:hAnsi="Book Antiqua" w:cs="Book Antiqua"/>
          <w:color w:val="000000"/>
        </w:rPr>
        <w:t xml:space="preserve">tumor component </w:t>
      </w:r>
      <w:r w:rsidR="000B11E0">
        <w:rPr>
          <w:rFonts w:ascii="Book Antiqua" w:eastAsia="Book Antiqua" w:hAnsi="Book Antiqua" w:cs="Book Antiqua"/>
          <w:color w:val="000000"/>
        </w:rPr>
        <w:t>as</w:t>
      </w:r>
      <w:r w:rsidRPr="00D41537">
        <w:rPr>
          <w:rFonts w:ascii="Book Antiqua" w:eastAsia="Book Antiqua" w:hAnsi="Book Antiqua" w:cs="Book Antiqua"/>
          <w:color w:val="000000"/>
        </w:rPr>
        <w:t xml:space="preserve"> extracellular mucin, is a distinct histologic subtype of CRC and accounts for 5%</w:t>
      </w:r>
      <w:r w:rsidR="009A3CD3">
        <w:rPr>
          <w:rFonts w:ascii="Book Antiqua" w:eastAsia="Book Antiqua" w:hAnsi="Book Antiqua" w:cs="Book Antiqua"/>
          <w:color w:val="000000"/>
        </w:rPr>
        <w:t>-</w:t>
      </w:r>
      <w:r w:rsidRPr="00D41537">
        <w:rPr>
          <w:rFonts w:ascii="Book Antiqua" w:eastAsia="Book Antiqua" w:hAnsi="Book Antiqua" w:cs="Book Antiqua"/>
          <w:color w:val="000000"/>
        </w:rPr>
        <w:t>15% of CRC cases</w:t>
      </w:r>
      <w:r w:rsidRPr="00D41537">
        <w:rPr>
          <w:rFonts w:ascii="Book Antiqua" w:eastAsia="Book Antiqua" w:hAnsi="Book Antiqua" w:cs="Book Antiqua"/>
          <w:color w:val="000000"/>
          <w:vertAlign w:val="superscript"/>
        </w:rPr>
        <w:t>[2,3]</w:t>
      </w:r>
      <w:r w:rsidRPr="00D41537">
        <w:rPr>
          <w:rFonts w:ascii="Book Antiqua" w:eastAsia="Book Antiqua" w:hAnsi="Book Antiqua" w:cs="Book Antiqua"/>
          <w:color w:val="000000"/>
        </w:rPr>
        <w:t xml:space="preserve">. </w:t>
      </w:r>
      <w:r w:rsidR="00015CCC" w:rsidRPr="00D41537">
        <w:rPr>
          <w:rFonts w:ascii="Book Antiqua" w:eastAsia="Book Antiqua" w:hAnsi="Book Antiqua" w:cs="Book Antiqua"/>
          <w:color w:val="000000"/>
        </w:rPr>
        <w:t>MC</w:t>
      </w:r>
      <w:r w:rsidRPr="00D41537">
        <w:rPr>
          <w:rFonts w:ascii="Book Antiqua" w:eastAsia="Book Antiqua" w:hAnsi="Book Antiqua" w:cs="Book Antiqua"/>
          <w:color w:val="000000"/>
        </w:rPr>
        <w:t xml:space="preserve"> differs from nonmucinous CRC in terms of clinicopathological characteristics and genetic features. Compared with nonmucinous CRC, mucinous CRC is more often diagnosed at advanced stages and more commonly found in younger and female patients</w:t>
      </w:r>
      <w:r w:rsidRPr="00D41537">
        <w:rPr>
          <w:rFonts w:ascii="Book Antiqua" w:eastAsia="Book Antiqua" w:hAnsi="Book Antiqua" w:cs="Book Antiqua"/>
          <w:color w:val="000000"/>
          <w:vertAlign w:val="superscript"/>
        </w:rPr>
        <w:t>[3,4]</w:t>
      </w:r>
      <w:r w:rsidRPr="00D41537">
        <w:rPr>
          <w:rFonts w:ascii="Book Antiqua" w:eastAsia="Book Antiqua" w:hAnsi="Book Antiqua" w:cs="Book Antiqua"/>
          <w:color w:val="000000"/>
        </w:rPr>
        <w:t>. In view of the increasing incidence of young-onset CRC</w:t>
      </w:r>
      <w:r w:rsidRPr="00D41537">
        <w:rPr>
          <w:rFonts w:ascii="Book Antiqua" w:eastAsia="Book Antiqua" w:hAnsi="Book Antiqua" w:cs="Book Antiqua"/>
          <w:color w:val="000000"/>
          <w:vertAlign w:val="superscript"/>
        </w:rPr>
        <w:t>[5]</w:t>
      </w:r>
      <w:r w:rsidRPr="00D41537">
        <w:rPr>
          <w:rFonts w:ascii="Book Antiqua" w:eastAsia="Book Antiqua" w:hAnsi="Book Antiqua" w:cs="Book Antiqua"/>
          <w:color w:val="000000"/>
        </w:rPr>
        <w:t>, there is an interest in determining whether the incidence of MC continues to increase because MC is more commonly diagnosed in younger patients. However, there are limited and antiquated epidemiologic data for mucinous CRC.</w:t>
      </w:r>
    </w:p>
    <w:p w14:paraId="7D2687D0" w14:textId="5E36EB85"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To date, the prognostic significance of MC remains controversial. Few studies have determined the prognostic risk factors that are associated with the overall survival (OS) of mucinous CRC. Currently, the TNM staging system created and updated by the American Joint Committee on Cancer and the International Union Against Cancer serves as the standard to evaluate cancer status and is the main method to assess the prognosis of cancer patients. However, other elements, such as age, sex, race and ethnicity, and primary tumor site, probably play a role in predicting the prognosis of cancer patients</w:t>
      </w:r>
      <w:r w:rsidRPr="00D41537">
        <w:rPr>
          <w:rFonts w:ascii="Book Antiqua" w:eastAsia="Book Antiqua" w:hAnsi="Book Antiqua" w:cs="Book Antiqua"/>
          <w:color w:val="000000"/>
          <w:vertAlign w:val="superscript"/>
        </w:rPr>
        <w:t>[6,7]</w:t>
      </w:r>
      <w:r w:rsidRPr="00D41537">
        <w:rPr>
          <w:rFonts w:ascii="Book Antiqua" w:eastAsia="Book Antiqua" w:hAnsi="Book Antiqua" w:cs="Book Antiqua"/>
          <w:color w:val="000000"/>
        </w:rPr>
        <w:t>. Considering the limitations of the TNM staging system, nomograms have emerged and have been widely used as a simpler but more sophisticated method, given that nomograms could integrate diverse prognostic variables into the model from biological to clinicopathological characteristics</w:t>
      </w:r>
      <w:r w:rsidRPr="00D41537">
        <w:rPr>
          <w:rFonts w:ascii="Book Antiqua" w:eastAsia="Book Antiqua" w:hAnsi="Book Antiqua" w:cs="Book Antiqua"/>
          <w:color w:val="000000"/>
          <w:vertAlign w:val="superscript"/>
        </w:rPr>
        <w:t>[8]</w:t>
      </w:r>
      <w:r w:rsidRPr="00D41537">
        <w:rPr>
          <w:rFonts w:ascii="Book Antiqua" w:eastAsia="Book Antiqua" w:hAnsi="Book Antiqua" w:cs="Book Antiqua"/>
          <w:color w:val="000000"/>
        </w:rPr>
        <w:t>.</w:t>
      </w:r>
    </w:p>
    <w:p w14:paraId="4A352B60" w14:textId="4574CF20"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lastRenderedPageBreak/>
        <w:t xml:space="preserve">Therefore, in the present study, we conducted a population-based analysis of the epidemiologic and clinicopathological characteristics of mucinous CRC on the basis of data extracted from the National Cancer Institute’s </w:t>
      </w:r>
      <w:r w:rsidR="00234713">
        <w:rPr>
          <w:rFonts w:ascii="Book Antiqua" w:eastAsia="Book Antiqua" w:hAnsi="Book Antiqua" w:cs="Book Antiqua"/>
          <w:color w:val="000000"/>
        </w:rPr>
        <w:t>S</w:t>
      </w:r>
      <w:r w:rsidR="00520066" w:rsidRPr="00D41537">
        <w:rPr>
          <w:rFonts w:ascii="Book Antiqua" w:eastAsia="Book Antiqua" w:hAnsi="Book Antiqua" w:cs="Book Antiqua"/>
          <w:color w:val="000000"/>
        </w:rPr>
        <w:t xml:space="preserve">urveillance, </w:t>
      </w:r>
      <w:r w:rsidR="00234713">
        <w:rPr>
          <w:rFonts w:ascii="Book Antiqua" w:eastAsia="Book Antiqua" w:hAnsi="Book Antiqua" w:cs="Book Antiqua"/>
          <w:color w:val="000000"/>
        </w:rPr>
        <w:t>E</w:t>
      </w:r>
      <w:r w:rsidR="00520066" w:rsidRPr="00D41537">
        <w:rPr>
          <w:rFonts w:ascii="Book Antiqua" w:eastAsia="Book Antiqua" w:hAnsi="Book Antiqua" w:cs="Book Antiqua"/>
          <w:color w:val="000000"/>
        </w:rPr>
        <w:t xml:space="preserve">pidemiology, and </w:t>
      </w:r>
      <w:r w:rsidR="00234713">
        <w:rPr>
          <w:rFonts w:ascii="Book Antiqua" w:eastAsia="Book Antiqua" w:hAnsi="Book Antiqua" w:cs="Book Antiqua"/>
          <w:color w:val="000000"/>
        </w:rPr>
        <w:t>E</w:t>
      </w:r>
      <w:r w:rsidR="00520066" w:rsidRPr="00D41537">
        <w:rPr>
          <w:rFonts w:ascii="Book Antiqua" w:eastAsia="Book Antiqua" w:hAnsi="Book Antiqua" w:cs="Book Antiqua"/>
          <w:color w:val="000000"/>
        </w:rPr>
        <w:t xml:space="preserve">nd </w:t>
      </w:r>
      <w:r w:rsidR="00234713">
        <w:rPr>
          <w:rFonts w:ascii="Book Antiqua" w:eastAsia="Book Antiqua" w:hAnsi="Book Antiqua" w:cs="Book Antiqua"/>
          <w:color w:val="000000"/>
        </w:rPr>
        <w:t>R</w:t>
      </w:r>
      <w:r w:rsidR="00520066" w:rsidRPr="00D41537">
        <w:rPr>
          <w:rFonts w:ascii="Book Antiqua" w:eastAsia="Book Antiqua" w:hAnsi="Book Antiqua" w:cs="Book Antiqua"/>
          <w:color w:val="000000"/>
        </w:rPr>
        <w:t>esults</w:t>
      </w:r>
      <w:r w:rsidRPr="00D41537">
        <w:rPr>
          <w:rFonts w:ascii="Book Antiqua" w:eastAsia="Book Antiqua" w:hAnsi="Book Antiqua" w:cs="Book Antiqua"/>
          <w:color w:val="000000"/>
        </w:rPr>
        <w:t xml:space="preserve"> (SEER) Program and developed a nomogram to predict the 1-</w:t>
      </w:r>
      <w:r w:rsidR="005E66C6">
        <w:rPr>
          <w:rFonts w:ascii="Book Antiqua" w:eastAsia="Book Antiqua" w:hAnsi="Book Antiqua" w:cs="Book Antiqua"/>
          <w:color w:val="000000"/>
        </w:rPr>
        <w:t>year</w:t>
      </w:r>
      <w:r w:rsidRPr="00D41537">
        <w:rPr>
          <w:rFonts w:ascii="Book Antiqua" w:eastAsia="Book Antiqua" w:hAnsi="Book Antiqua" w:cs="Book Antiqua"/>
          <w:color w:val="000000"/>
        </w:rPr>
        <w:t>, 3-</w:t>
      </w:r>
      <w:r w:rsidR="005E66C6">
        <w:rPr>
          <w:rFonts w:ascii="Book Antiqua" w:eastAsia="Book Antiqua" w:hAnsi="Book Antiqua" w:cs="Book Antiqua"/>
          <w:color w:val="000000"/>
        </w:rPr>
        <w:t>year</w:t>
      </w:r>
      <w:r w:rsidRPr="00D41537">
        <w:rPr>
          <w:rFonts w:ascii="Book Antiqua" w:eastAsia="Book Antiqua" w:hAnsi="Book Antiqua" w:cs="Book Antiqua"/>
          <w:color w:val="000000"/>
        </w:rPr>
        <w:t>, and 5-year OS of patients with mucinous CRC.</w:t>
      </w:r>
    </w:p>
    <w:p w14:paraId="74CDE29B" w14:textId="77777777" w:rsidR="00AC427C" w:rsidRPr="00D41537" w:rsidRDefault="00AC427C" w:rsidP="00751CFA">
      <w:pPr>
        <w:spacing w:line="360" w:lineRule="auto"/>
        <w:jc w:val="both"/>
        <w:rPr>
          <w:rFonts w:ascii="Book Antiqua" w:hAnsi="Book Antiqua"/>
        </w:rPr>
      </w:pPr>
    </w:p>
    <w:p w14:paraId="197B4142"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MATERIALS AND METHODS</w:t>
      </w:r>
    </w:p>
    <w:p w14:paraId="288338A6"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Study design and population</w:t>
      </w:r>
    </w:p>
    <w:p w14:paraId="4D211092" w14:textId="2D3AC97B"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 xml:space="preserve">This is a retrospective cohort study based on data collected from 18 cancer registries in the SEER </w:t>
      </w:r>
      <w:r w:rsidR="00234713">
        <w:rPr>
          <w:rFonts w:ascii="Book Antiqua" w:eastAsia="Book Antiqua" w:hAnsi="Book Antiqua" w:cs="Book Antiqua"/>
          <w:color w:val="000000"/>
        </w:rPr>
        <w:t>p</w:t>
      </w:r>
      <w:r w:rsidRPr="00D41537">
        <w:rPr>
          <w:rFonts w:ascii="Book Antiqua" w:eastAsia="Book Antiqua" w:hAnsi="Book Antiqua" w:cs="Book Antiqua"/>
          <w:color w:val="000000"/>
        </w:rPr>
        <w:t>rogram, which covers approximately 27.8% of the United States population. This study is reported in line with the Strengthening the Reporting of Observational Studies in Epidemiology statement. Two researchers conducted the data collection process independently to avoid potential selection bias. The review and informed consent were exempted by the institutional review board for the use of a freely available database.</w:t>
      </w:r>
    </w:p>
    <w:p w14:paraId="088589D5" w14:textId="77777777"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Patients were enrolled with the following criteria: diagnosed with mucinous CRC according to the International Classification of Diseases for Oncology, Third Edition and receiving a diagnosis between 2000 and 2018. Patients with preexisting malignant tumors were excluded. To ensure a follow-up time of at least 3 years, only those patients diagnosed between 2010 and 2015 with complete medical records and sufficient survival data (of complete follow-up and a survival &gt; 1 mo) documented were included in the construction of the nomogram model to predict OS. The study design is presented in Figure 1.</w:t>
      </w:r>
    </w:p>
    <w:p w14:paraId="06056D39" w14:textId="77777777" w:rsidR="00AC427C" w:rsidRPr="00D41537" w:rsidRDefault="00AC427C" w:rsidP="00751CFA">
      <w:pPr>
        <w:spacing w:line="360" w:lineRule="auto"/>
        <w:jc w:val="both"/>
        <w:rPr>
          <w:rFonts w:ascii="Book Antiqua" w:hAnsi="Book Antiqua"/>
        </w:rPr>
      </w:pPr>
    </w:p>
    <w:p w14:paraId="193BEA11"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Variable evaluation and definition</w:t>
      </w:r>
    </w:p>
    <w:p w14:paraId="2A8F5728" w14:textId="7F2EA70C"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 xml:space="preserve">Because of their potential association with OS, the following clinicopathological characteristics were converted into categorical variables and analyzed: </w:t>
      </w:r>
      <w:r w:rsidR="00201B0A">
        <w:rPr>
          <w:rFonts w:ascii="Book Antiqua" w:eastAsia="Book Antiqua" w:hAnsi="Book Antiqua" w:cs="Book Antiqua"/>
          <w:color w:val="000000"/>
        </w:rPr>
        <w:t>a</w:t>
      </w:r>
      <w:r w:rsidRPr="00D41537">
        <w:rPr>
          <w:rFonts w:ascii="Book Antiqua" w:eastAsia="Book Antiqua" w:hAnsi="Book Antiqua" w:cs="Book Antiqua"/>
          <w:color w:val="000000"/>
        </w:rPr>
        <w:t xml:space="preserve">ge, sex, race (White, Black, Asian and Pacific Islander, and American Indian and Alaska Native), tumor site, primary tumor size, grade (well differentiated, moderately differentiated, poorly differentiated, and undifferentiated), disease stage (localized, regional, and distant according to SEER staging system), TNM stage derived from </w:t>
      </w:r>
      <w:r w:rsidR="00201B0A" w:rsidRPr="00D41537">
        <w:rPr>
          <w:rFonts w:ascii="Book Antiqua" w:eastAsia="Book Antiqua" w:hAnsi="Book Antiqua" w:cs="Book Antiqua"/>
          <w:color w:val="000000"/>
        </w:rPr>
        <w:t xml:space="preserve">American Joint </w:t>
      </w:r>
      <w:r w:rsidR="00201B0A" w:rsidRPr="00D41537">
        <w:rPr>
          <w:rFonts w:ascii="Book Antiqua" w:eastAsia="Book Antiqua" w:hAnsi="Book Antiqua" w:cs="Book Antiqua"/>
          <w:color w:val="000000"/>
        </w:rPr>
        <w:lastRenderedPageBreak/>
        <w:t xml:space="preserve">Committee on Cancer </w:t>
      </w:r>
      <w:r w:rsidRPr="00D41537">
        <w:rPr>
          <w:rFonts w:ascii="Book Antiqua" w:eastAsia="Book Antiqua" w:hAnsi="Book Antiqua" w:cs="Book Antiqua"/>
          <w:color w:val="000000"/>
        </w:rPr>
        <w:t>staging system 7</w:t>
      </w:r>
      <w:r w:rsidRPr="00D41537">
        <w:rPr>
          <w:rFonts w:ascii="Book Antiqua" w:eastAsia="Book Antiqua" w:hAnsi="Book Antiqua" w:cs="Book Antiqua"/>
          <w:color w:val="000000"/>
          <w:vertAlign w:val="superscript"/>
        </w:rPr>
        <w:t>th</w:t>
      </w:r>
      <w:r w:rsidRPr="00D41537">
        <w:rPr>
          <w:rFonts w:ascii="Book Antiqua" w:eastAsia="Book Antiqua" w:hAnsi="Book Antiqua" w:cs="Book Antiqua"/>
          <w:color w:val="000000"/>
        </w:rPr>
        <w:t xml:space="preserve"> edition, surgery, radiation, and chemotherapy. Notably, tumors fell into </w:t>
      </w:r>
      <w:r w:rsidR="005C3368">
        <w:rPr>
          <w:rFonts w:ascii="Book Antiqua" w:eastAsia="Book Antiqua" w:hAnsi="Book Antiqua" w:cs="Book Antiqua"/>
          <w:color w:val="000000"/>
        </w:rPr>
        <w:t>four</w:t>
      </w:r>
      <w:r w:rsidRPr="00D41537">
        <w:rPr>
          <w:rFonts w:ascii="Book Antiqua" w:eastAsia="Book Antiqua" w:hAnsi="Book Antiqua" w:cs="Book Antiqua"/>
          <w:color w:val="000000"/>
        </w:rPr>
        <w:t xml:space="preserve"> anatomic categories: </w:t>
      </w:r>
      <w:r w:rsidR="005C3368">
        <w:rPr>
          <w:rFonts w:ascii="Book Antiqua" w:eastAsia="Book Antiqua" w:hAnsi="Book Antiqua" w:cs="Book Antiqua"/>
          <w:color w:val="000000"/>
        </w:rPr>
        <w:t>p</w:t>
      </w:r>
      <w:r w:rsidRPr="00D41537">
        <w:rPr>
          <w:rFonts w:ascii="Book Antiqua" w:eastAsia="Book Antiqua" w:hAnsi="Book Antiqua" w:cs="Book Antiqua"/>
          <w:color w:val="000000"/>
        </w:rPr>
        <w:t>roximal colon (cecum, ascending colon, and hepatic flexure), transverse colon, distal colon (splenic flexure, descending colon, sigmoid colon, and rectosigmoid junction), and rectum.</w:t>
      </w:r>
    </w:p>
    <w:p w14:paraId="580F7039" w14:textId="77777777" w:rsidR="00AC427C" w:rsidRPr="00D41537" w:rsidRDefault="00AC427C" w:rsidP="00751CFA">
      <w:pPr>
        <w:spacing w:line="360" w:lineRule="auto"/>
        <w:jc w:val="both"/>
        <w:rPr>
          <w:rFonts w:ascii="Book Antiqua" w:hAnsi="Book Antiqua"/>
        </w:rPr>
      </w:pPr>
    </w:p>
    <w:p w14:paraId="63511A9D"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Statistical analysis</w:t>
      </w:r>
    </w:p>
    <w:p w14:paraId="3976E60E" w14:textId="7351D958"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Incidence rates were age-adjusted to the 2000 United States population and acquired by using SEER*Stat software (version 8.4.0.1). Joinpoint Regression Program (version 4.9.1.0) was used to identify yearly trends in annual percent change (APC) in rates. The tool calculated the APC with data fitted to the simplest joinpoint regression model and tested the significance using a Monte Carlo permutation method.</w:t>
      </w:r>
    </w:p>
    <w:p w14:paraId="21648BF1" w14:textId="3BCB79E3"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The outcome of interest was OS, defined as the time period that elapsed from diagnosis to death of any cause or the last follow-up. Patients were randomly divided into 7:3 training (</w:t>
      </w:r>
      <w:r w:rsidRPr="00D41537">
        <w:rPr>
          <w:rFonts w:ascii="Book Antiqua" w:eastAsia="Book Antiqua" w:hAnsi="Book Antiqua" w:cs="Book Antiqua"/>
          <w:i/>
          <w:iCs/>
          <w:color w:val="000000"/>
        </w:rPr>
        <w:t>n</w:t>
      </w:r>
      <w:r w:rsidRPr="00D41537">
        <w:rPr>
          <w:rFonts w:ascii="Book Antiqua" w:eastAsia="Book Antiqua" w:hAnsi="Book Antiqua" w:cs="Book Antiqua"/>
          <w:color w:val="000000"/>
        </w:rPr>
        <w:t xml:space="preserve"> = 4379) and validation (</w:t>
      </w:r>
      <w:r w:rsidRPr="00D41537">
        <w:rPr>
          <w:rFonts w:ascii="Book Antiqua" w:eastAsia="Book Antiqua" w:hAnsi="Book Antiqua" w:cs="Book Antiqua"/>
          <w:i/>
          <w:iCs/>
          <w:color w:val="000000"/>
        </w:rPr>
        <w:t>n</w:t>
      </w:r>
      <w:r w:rsidRPr="00D41537">
        <w:rPr>
          <w:rFonts w:ascii="Book Antiqua" w:eastAsia="Book Antiqua" w:hAnsi="Book Antiqua" w:cs="Book Antiqua"/>
          <w:color w:val="000000"/>
        </w:rPr>
        <w:t xml:space="preserve"> = 1877) groups using the R program (version 4.2.1, www.r-project.org). Univariate and multivariate Cox proportional hazards regression analyses were performed to identify prognostic factors associated with OS, with hazard ratios (HRs) and 95%</w:t>
      </w:r>
      <w:r w:rsidR="00AC65CA">
        <w:rPr>
          <w:rFonts w:ascii="Book Antiqua" w:eastAsia="Book Antiqua" w:hAnsi="Book Antiqua" w:cs="Book Antiqua"/>
          <w:color w:val="000000"/>
        </w:rPr>
        <w:t xml:space="preserve"> confidence intervals (</w:t>
      </w:r>
      <w:r w:rsidRPr="00D41537">
        <w:rPr>
          <w:rFonts w:ascii="Book Antiqua" w:eastAsia="Book Antiqua" w:hAnsi="Book Antiqua" w:cs="Book Antiqua"/>
          <w:color w:val="000000"/>
        </w:rPr>
        <w:t>C</w:t>
      </w:r>
      <w:r w:rsidR="00AC65CA">
        <w:rPr>
          <w:rFonts w:ascii="Book Antiqua" w:eastAsia="Book Antiqua" w:hAnsi="Book Antiqua" w:cs="Book Antiqua"/>
          <w:color w:val="000000"/>
        </w:rPr>
        <w:t>I</w:t>
      </w:r>
      <w:r w:rsidRPr="00D41537">
        <w:rPr>
          <w:rFonts w:ascii="Book Antiqua" w:eastAsia="Book Antiqua" w:hAnsi="Book Antiqua" w:cs="Book Antiqua"/>
          <w:color w:val="000000"/>
        </w:rPr>
        <w:t>s</w:t>
      </w:r>
      <w:r w:rsidR="00AC65CA">
        <w:rPr>
          <w:rFonts w:ascii="Book Antiqua" w:eastAsia="Book Antiqua" w:hAnsi="Book Antiqua" w:cs="Book Antiqua"/>
          <w:color w:val="000000"/>
        </w:rPr>
        <w:t>)</w:t>
      </w:r>
      <w:r w:rsidRPr="00D41537">
        <w:rPr>
          <w:rFonts w:ascii="Book Antiqua" w:eastAsia="Book Antiqua" w:hAnsi="Book Antiqua" w:cs="Book Antiqua"/>
          <w:color w:val="000000"/>
        </w:rPr>
        <w:t xml:space="preserve"> being calculated. The analyses were conducted with SPSS, version 27 (IBM Corp). A nomogram was constructed to predict 1-</w:t>
      </w:r>
      <w:r w:rsidR="00F64616">
        <w:rPr>
          <w:rFonts w:ascii="Book Antiqua" w:eastAsia="Book Antiqua" w:hAnsi="Book Antiqua" w:cs="Book Antiqua"/>
          <w:color w:val="000000"/>
        </w:rPr>
        <w:t>year</w:t>
      </w:r>
      <w:r w:rsidRPr="00D41537">
        <w:rPr>
          <w:rFonts w:ascii="Book Antiqua" w:eastAsia="Book Antiqua" w:hAnsi="Book Antiqua" w:cs="Book Antiqua"/>
          <w:color w:val="000000"/>
        </w:rPr>
        <w:t>, 3-</w:t>
      </w:r>
      <w:r w:rsidR="00F64616">
        <w:rPr>
          <w:rFonts w:ascii="Book Antiqua" w:eastAsia="Book Antiqua" w:hAnsi="Book Antiqua" w:cs="Book Antiqua"/>
          <w:color w:val="000000"/>
        </w:rPr>
        <w:t>year</w:t>
      </w:r>
      <w:r w:rsidRPr="00D41537">
        <w:rPr>
          <w:rFonts w:ascii="Book Antiqua" w:eastAsia="Book Antiqua" w:hAnsi="Book Antiqua" w:cs="Book Antiqua"/>
          <w:color w:val="000000"/>
        </w:rPr>
        <w:t>, and 5-year OS probability based on those factors identified by multivariable Cox regression analysis.</w:t>
      </w:r>
    </w:p>
    <w:p w14:paraId="295962C3" w14:textId="4A0B2E28"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The concordance index (</w:t>
      </w:r>
      <w:r w:rsidR="00D27D6D">
        <w:rPr>
          <w:rFonts w:ascii="Book Antiqua" w:eastAsia="Book Antiqua" w:hAnsi="Book Antiqua" w:cs="Book Antiqua"/>
          <w:color w:val="000000"/>
        </w:rPr>
        <w:t>C</w:t>
      </w:r>
      <w:r w:rsidRPr="00D41537">
        <w:rPr>
          <w:rFonts w:ascii="Book Antiqua" w:eastAsia="Book Antiqua" w:hAnsi="Book Antiqua" w:cs="Book Antiqua"/>
          <w:color w:val="000000"/>
        </w:rPr>
        <w:t>-index) and area under the receiver operating characteristic curve (AUC) were calculated to evaluate the predictive accuracy of the nomogram. The calibration curve was plotted to determine how far the predicted survival was from the actual survival. Kaplan–Meier survival curves were used to present OS, and differences were compared using the log-rank test. The “rms</w:t>
      </w:r>
      <w:r w:rsidR="00577950">
        <w:rPr>
          <w:rFonts w:ascii="Book Antiqua" w:eastAsia="Book Antiqua" w:hAnsi="Book Antiqua" w:cs="Book Antiqua"/>
          <w:color w:val="000000"/>
        </w:rPr>
        <w:t>,</w:t>
      </w:r>
      <w:r w:rsidRPr="00D41537">
        <w:rPr>
          <w:rFonts w:ascii="Book Antiqua" w:eastAsia="Book Antiqua" w:hAnsi="Book Antiqua" w:cs="Book Antiqua"/>
          <w:color w:val="000000"/>
        </w:rPr>
        <w:t>” “Survival</w:t>
      </w:r>
      <w:r w:rsidR="00577950">
        <w:rPr>
          <w:rFonts w:ascii="Book Antiqua" w:eastAsia="Book Antiqua" w:hAnsi="Book Antiqua" w:cs="Book Antiqua"/>
          <w:color w:val="000000"/>
        </w:rPr>
        <w:t>,</w:t>
      </w:r>
      <w:r w:rsidRPr="00D41537">
        <w:rPr>
          <w:rFonts w:ascii="Book Antiqua" w:eastAsia="Book Antiqua" w:hAnsi="Book Antiqua" w:cs="Book Antiqua"/>
          <w:color w:val="000000"/>
        </w:rPr>
        <w:t>” “survival ROC</w:t>
      </w:r>
      <w:r w:rsidR="00577950">
        <w:rPr>
          <w:rFonts w:ascii="Book Antiqua" w:eastAsia="Book Antiqua" w:hAnsi="Book Antiqua" w:cs="Book Antiqua"/>
          <w:color w:val="000000"/>
        </w:rPr>
        <w:t>,</w:t>
      </w:r>
      <w:r w:rsidRPr="00D41537">
        <w:rPr>
          <w:rFonts w:ascii="Book Antiqua" w:eastAsia="Book Antiqua" w:hAnsi="Book Antiqua" w:cs="Book Antiqua"/>
          <w:color w:val="000000"/>
        </w:rPr>
        <w:t xml:space="preserve">” and “foreign” packages of R were used in the construction and verification of the nomogram. Statistical significance was defined as a </w:t>
      </w:r>
      <w:r w:rsidR="00577950">
        <w:rPr>
          <w:rFonts w:ascii="Book Antiqua" w:eastAsia="Book Antiqua" w:hAnsi="Book Antiqua" w:cs="Book Antiqua"/>
          <w:color w:val="000000"/>
        </w:rPr>
        <w:t>two</w:t>
      </w:r>
      <w:r w:rsidRPr="00D41537">
        <w:rPr>
          <w:rFonts w:ascii="Book Antiqua" w:eastAsia="Book Antiqua" w:hAnsi="Book Antiqua" w:cs="Book Antiqua"/>
          <w:color w:val="000000"/>
        </w:rPr>
        <w:t xml:space="preserve">-tailed </w:t>
      </w:r>
      <w:r w:rsidRPr="00D41537">
        <w:rPr>
          <w:rFonts w:ascii="Book Antiqua" w:eastAsia="Book Antiqua" w:hAnsi="Book Antiqua" w:cs="Book Antiqua"/>
          <w:i/>
          <w:iCs/>
          <w:color w:val="000000"/>
        </w:rPr>
        <w:t>P</w:t>
      </w:r>
      <w:r w:rsidRPr="00D41537">
        <w:rPr>
          <w:rFonts w:ascii="Book Antiqua" w:eastAsia="Book Antiqua" w:hAnsi="Book Antiqua" w:cs="Book Antiqua"/>
          <w:color w:val="000000"/>
        </w:rPr>
        <w:t xml:space="preserve"> value less than 0.05.</w:t>
      </w:r>
    </w:p>
    <w:p w14:paraId="652E8DE2" w14:textId="77777777" w:rsidR="00AC427C" w:rsidRPr="00D41537" w:rsidRDefault="00AC427C" w:rsidP="00751CFA">
      <w:pPr>
        <w:spacing w:line="360" w:lineRule="auto"/>
        <w:jc w:val="both"/>
        <w:rPr>
          <w:rFonts w:ascii="Book Antiqua" w:hAnsi="Book Antiqua"/>
        </w:rPr>
      </w:pPr>
    </w:p>
    <w:p w14:paraId="4605F609"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RESULTS</w:t>
      </w:r>
    </w:p>
    <w:p w14:paraId="6DBC966D"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lastRenderedPageBreak/>
        <w:t>Patient characteristics</w:t>
      </w:r>
    </w:p>
    <w:p w14:paraId="76E3C7A9" w14:textId="7095DD24"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 xml:space="preserve">From 2000 to 2018, a total of 45481 patients with mucinous CRC were identified, with a median age of 68 years at diagnosis (interquartile range, 57-78). Among them, 81.6% were White patients, 11.2% were Black patients, 6.3% were Asian or Pacific Islander patients, and 0.5% were American Indian and Alaska Native patients (Table 1). </w:t>
      </w:r>
      <w:r w:rsidR="00EB10AD">
        <w:rPr>
          <w:rFonts w:ascii="Book Antiqua" w:eastAsia="Book Antiqua" w:hAnsi="Book Antiqua" w:cs="Book Antiqua"/>
          <w:color w:val="000000"/>
        </w:rPr>
        <w:t>Females</w:t>
      </w:r>
      <w:r w:rsidRPr="00D41537">
        <w:rPr>
          <w:rFonts w:ascii="Book Antiqua" w:eastAsia="Book Antiqua" w:hAnsi="Book Antiqua" w:cs="Book Antiqua"/>
          <w:color w:val="000000"/>
        </w:rPr>
        <w:t xml:space="preserve"> made up a slightly greater proportion of those cancer cases (51.7% compared to 48.3% for m</w:t>
      </w:r>
      <w:r w:rsidR="00EB10AD">
        <w:rPr>
          <w:rFonts w:ascii="Book Antiqua" w:eastAsia="Book Antiqua" w:hAnsi="Book Antiqua" w:cs="Book Antiqua"/>
          <w:color w:val="000000"/>
        </w:rPr>
        <w:t>ales</w:t>
      </w:r>
      <w:r w:rsidRPr="00D41537">
        <w:rPr>
          <w:rFonts w:ascii="Book Antiqua" w:eastAsia="Book Antiqua" w:hAnsi="Book Antiqua" w:cs="Book Antiqua"/>
          <w:color w:val="000000"/>
        </w:rPr>
        <w:t>). For primary tumor sites of these mucinous CRC cases, the proximal colon was most commonly involved (45.5%), followed by the distal colon (24.3%), rectum (11.3%), appendix (7.9%), and transverse colon (7.7%). Of 38970 mucinous CRCs with a known grade, 5051 were well differentiated (11.1%), 25253 were moderately differentiated (55.5%), 7703 were poorly differentiated (16.9%), and 963 were undifferentiated (2.1%). Among 44818 mucinous CRCs with a known stage, 11973 were localized (26.3%), 21436 were regional (47.1%), and 11407 were distant (25.1%).</w:t>
      </w:r>
    </w:p>
    <w:p w14:paraId="1B6F862C" w14:textId="77777777" w:rsidR="00AC427C" w:rsidRPr="00D41537" w:rsidRDefault="00AC427C" w:rsidP="00D41537">
      <w:pPr>
        <w:spacing w:line="360" w:lineRule="auto"/>
        <w:ind w:firstLineChars="200" w:firstLine="480"/>
        <w:jc w:val="both"/>
        <w:rPr>
          <w:rFonts w:ascii="Book Antiqua" w:hAnsi="Book Antiqua"/>
        </w:rPr>
      </w:pPr>
    </w:p>
    <w:p w14:paraId="207B0F7E"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The age-adjusted incidence of colorectal MC</w:t>
      </w:r>
    </w:p>
    <w:p w14:paraId="2C0E0F85" w14:textId="4051A391"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 xml:space="preserve">The overall age-adjusted incidence of CRC decreased from 44.56/100000 in 2000 to 29.65/100000 in 2018, with the steepest decline observed between 2016 and 2018 (APC = -3.1, </w:t>
      </w:r>
      <w:r w:rsidRPr="00D41537">
        <w:rPr>
          <w:rFonts w:ascii="Book Antiqua" w:eastAsia="Book Antiqua" w:hAnsi="Book Antiqua" w:cs="Book Antiqua"/>
          <w:i/>
          <w:iCs/>
          <w:color w:val="000000"/>
        </w:rPr>
        <w:t>P</w:t>
      </w:r>
      <w:r w:rsidRPr="00D41537">
        <w:rPr>
          <w:rFonts w:ascii="Book Antiqua" w:eastAsia="Book Antiqua" w:hAnsi="Book Antiqua" w:cs="Book Antiqua"/>
          <w:color w:val="000000"/>
        </w:rPr>
        <w:t xml:space="preserve"> = 0.06). The rates of mucinous CRC also showed a downward trend over the entire period, decreasing from 4.50/100000 in 2000 to 1.54/100000 in 2018. For CRC patients aged younger than 50 years,</w:t>
      </w:r>
      <w:r w:rsidRPr="00D41537">
        <w:rPr>
          <w:rFonts w:ascii="Book Antiqua" w:eastAsia="Book Antiqua" w:hAnsi="Book Antiqua" w:cs="Book Antiqua"/>
          <w:i/>
          <w:iCs/>
          <w:color w:val="000000"/>
        </w:rPr>
        <w:t xml:space="preserve"> i.e.</w:t>
      </w:r>
      <w:r w:rsidRPr="00D41537">
        <w:rPr>
          <w:rFonts w:ascii="Book Antiqua" w:eastAsia="Book Antiqua" w:hAnsi="Book Antiqua" w:cs="Book Antiqua"/>
          <w:color w:val="000000"/>
        </w:rPr>
        <w:t xml:space="preserve"> early-onset CRCs, the incidence rate increased 1.49% per year during 2000–2013 and 5.57% per year during 2013–2016 before declining insignificantly during 2016–2018. In contrast to that upward trend, rates of mucinous CRCs in patients younger than 50 years decreased 2.27% per year during 2000–2018 (Figure 2). Of all CRC cases, the proportion of MC decreased similarly during the same period, from 10.1% in 2000 to 5.1% in 2018 (Figure 3).</w:t>
      </w:r>
    </w:p>
    <w:p w14:paraId="32762461" w14:textId="794A41C9"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With regard to the sex of patients with mucinous CRC, the incidence rates of male and female patients both decreased significantly over time, with rates decreasing from 4.80/100000 in 2000 to 1.64/100000 in 2018 for m</w:t>
      </w:r>
      <w:r w:rsidR="0072410C">
        <w:rPr>
          <w:rFonts w:ascii="Book Antiqua" w:eastAsia="Book Antiqua" w:hAnsi="Book Antiqua" w:cs="Book Antiqua"/>
          <w:color w:val="000000"/>
        </w:rPr>
        <w:t>ales</w:t>
      </w:r>
      <w:r w:rsidRPr="00D41537">
        <w:rPr>
          <w:rFonts w:ascii="Book Antiqua" w:eastAsia="Book Antiqua" w:hAnsi="Book Antiqua" w:cs="Book Antiqua"/>
          <w:color w:val="000000"/>
        </w:rPr>
        <w:t xml:space="preserve"> and from 4.22/100000 to 1.43/100000 for </w:t>
      </w:r>
      <w:r w:rsidR="0072410C">
        <w:rPr>
          <w:rFonts w:ascii="Book Antiqua" w:eastAsia="Book Antiqua" w:hAnsi="Book Antiqua" w:cs="Book Antiqua"/>
          <w:color w:val="000000"/>
        </w:rPr>
        <w:t>females</w:t>
      </w:r>
      <w:r w:rsidRPr="00D41537">
        <w:rPr>
          <w:rFonts w:ascii="Book Antiqua" w:eastAsia="Book Antiqua" w:hAnsi="Book Antiqua" w:cs="Book Antiqua"/>
          <w:color w:val="000000"/>
        </w:rPr>
        <w:t xml:space="preserve">. With respect to the race and ethnicity of patients, the age-adjusted incidence rates of mucinous CRC decreased from 4.60/100000 in 2000 to </w:t>
      </w:r>
      <w:r w:rsidRPr="00D41537">
        <w:rPr>
          <w:rFonts w:ascii="Book Antiqua" w:eastAsia="Book Antiqua" w:hAnsi="Book Antiqua" w:cs="Book Antiqua"/>
          <w:color w:val="000000"/>
        </w:rPr>
        <w:lastRenderedPageBreak/>
        <w:t xml:space="preserve">1.56/100000 in 2018 among the </w:t>
      </w:r>
      <w:r w:rsidR="00FB7DCC">
        <w:rPr>
          <w:rFonts w:ascii="Book Antiqua" w:eastAsia="Book Antiqua" w:hAnsi="Book Antiqua" w:cs="Book Antiqua"/>
          <w:color w:val="000000"/>
        </w:rPr>
        <w:t>W</w:t>
      </w:r>
      <w:r w:rsidRPr="00D41537">
        <w:rPr>
          <w:rFonts w:ascii="Book Antiqua" w:eastAsia="Book Antiqua" w:hAnsi="Book Antiqua" w:cs="Book Antiqua"/>
          <w:color w:val="000000"/>
        </w:rPr>
        <w:t xml:space="preserve">hite population and from 4.88/100000 to 1.68/100000 during the same period among the </w:t>
      </w:r>
      <w:r w:rsidR="00FB7DCC">
        <w:rPr>
          <w:rFonts w:ascii="Book Antiqua" w:eastAsia="Book Antiqua" w:hAnsi="Book Antiqua" w:cs="Book Antiqua"/>
          <w:color w:val="000000"/>
        </w:rPr>
        <w:t>B</w:t>
      </w:r>
      <w:r w:rsidRPr="00D41537">
        <w:rPr>
          <w:rFonts w:ascii="Book Antiqua" w:eastAsia="Book Antiqua" w:hAnsi="Book Antiqua" w:cs="Book Antiqua"/>
          <w:color w:val="000000"/>
        </w:rPr>
        <w:t>lack population. The rates for the American Indian and Alaska Native population and the Asian or Pacific Islander population also decreased, with APCs of 6.70 and 5.51, respectively (Supplementary Figure 1).</w:t>
      </w:r>
    </w:p>
    <w:p w14:paraId="795E6684" w14:textId="4EB826A5"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When stratified by age, declining incidence rates of mucinous CRC were observed among all age groups. The highest mucinous CRC rate was observed in patients aged ≥</w:t>
      </w:r>
      <w:r w:rsidR="003350F3" w:rsidRPr="00D41537">
        <w:rPr>
          <w:rFonts w:ascii="Book Antiqua" w:eastAsia="Book Antiqua" w:hAnsi="Book Antiqua" w:cs="Book Antiqua"/>
          <w:color w:val="000000"/>
        </w:rPr>
        <w:t xml:space="preserve"> </w:t>
      </w:r>
      <w:r w:rsidRPr="00D41537">
        <w:rPr>
          <w:rFonts w:ascii="Book Antiqua" w:eastAsia="Book Antiqua" w:hAnsi="Book Antiqua" w:cs="Book Antiqua"/>
          <w:color w:val="000000"/>
        </w:rPr>
        <w:t>70 years, which fell from 26.96/100000 in 2000 to 7.36/100000 in 2018, with the steepest drop occurring during 2004</w:t>
      </w:r>
      <w:r w:rsidR="00FB7DCC">
        <w:rPr>
          <w:rFonts w:ascii="Book Antiqua" w:eastAsia="Book Antiqua" w:hAnsi="Book Antiqua" w:cs="Book Antiqua"/>
          <w:color w:val="000000"/>
        </w:rPr>
        <w:t>-</w:t>
      </w:r>
      <w:r w:rsidRPr="00D41537">
        <w:rPr>
          <w:rFonts w:ascii="Book Antiqua" w:eastAsia="Book Antiqua" w:hAnsi="Book Antiqua" w:cs="Book Antiqua"/>
          <w:color w:val="000000"/>
        </w:rPr>
        <w:t>2007. In the 55</w:t>
      </w:r>
      <w:r w:rsidR="00FB7DCC">
        <w:rPr>
          <w:rFonts w:ascii="Book Antiqua" w:eastAsia="Book Antiqua" w:hAnsi="Book Antiqua" w:cs="Book Antiqua"/>
          <w:color w:val="000000"/>
        </w:rPr>
        <w:t>-</w:t>
      </w:r>
      <w:r w:rsidR="00294115">
        <w:rPr>
          <w:rFonts w:ascii="Book Antiqua" w:eastAsia="Book Antiqua" w:hAnsi="Book Antiqua" w:cs="Book Antiqua"/>
          <w:color w:val="000000"/>
        </w:rPr>
        <w:t xml:space="preserve">year-olds to </w:t>
      </w:r>
      <w:r w:rsidRPr="00D41537">
        <w:rPr>
          <w:rFonts w:ascii="Book Antiqua" w:eastAsia="Book Antiqua" w:hAnsi="Book Antiqua" w:cs="Book Antiqua"/>
          <w:color w:val="000000"/>
        </w:rPr>
        <w:t>69-year-olds, mucinous CRC rates decreased from 10.66/100000 to 3.27/100000 during the entire period, with the steepest drop occurring during 2005</w:t>
      </w:r>
      <w:r w:rsidR="005B28EB">
        <w:rPr>
          <w:rFonts w:ascii="Book Antiqua" w:eastAsia="Book Antiqua" w:hAnsi="Book Antiqua" w:cs="Book Antiqua"/>
          <w:color w:val="000000"/>
        </w:rPr>
        <w:t>-</w:t>
      </w:r>
      <w:r w:rsidRPr="00D41537">
        <w:rPr>
          <w:rFonts w:ascii="Book Antiqua" w:eastAsia="Book Antiqua" w:hAnsi="Book Antiqua" w:cs="Book Antiqua"/>
          <w:color w:val="000000"/>
        </w:rPr>
        <w:t>2009. Rates decreased 2.72%/year from 2.73/100000 in 2000 to 1.72/100000 in 2018 in the 40</w:t>
      </w:r>
      <w:r w:rsidR="005B28EB">
        <w:rPr>
          <w:rFonts w:ascii="Book Antiqua" w:eastAsia="Book Antiqua" w:hAnsi="Book Antiqua" w:cs="Book Antiqua"/>
          <w:color w:val="000000"/>
        </w:rPr>
        <w:t>-</w:t>
      </w:r>
      <w:r w:rsidR="00294115">
        <w:rPr>
          <w:rFonts w:ascii="Book Antiqua" w:eastAsia="Book Antiqua" w:hAnsi="Book Antiqua" w:cs="Book Antiqua"/>
          <w:color w:val="000000"/>
        </w:rPr>
        <w:t xml:space="preserve">year-olds to </w:t>
      </w:r>
      <w:r w:rsidRPr="00D41537">
        <w:rPr>
          <w:rFonts w:ascii="Book Antiqua" w:eastAsia="Book Antiqua" w:hAnsi="Book Antiqua" w:cs="Book Antiqua"/>
          <w:color w:val="000000"/>
        </w:rPr>
        <w:t>54-year-olds and decreased 1.83%/year from 0.36/100000 to 0.25/100000 in the 15</w:t>
      </w:r>
      <w:r w:rsidR="005B28EB">
        <w:rPr>
          <w:rFonts w:ascii="Book Antiqua" w:eastAsia="Book Antiqua" w:hAnsi="Book Antiqua" w:cs="Book Antiqua"/>
          <w:color w:val="000000"/>
        </w:rPr>
        <w:t>-</w:t>
      </w:r>
      <w:r w:rsidR="00294115">
        <w:rPr>
          <w:rFonts w:ascii="Book Antiqua" w:eastAsia="Book Antiqua" w:hAnsi="Book Antiqua" w:cs="Book Antiqua"/>
          <w:color w:val="000000"/>
        </w:rPr>
        <w:t xml:space="preserve">year-olds to </w:t>
      </w:r>
      <w:r w:rsidRPr="00D41537">
        <w:rPr>
          <w:rFonts w:ascii="Book Antiqua" w:eastAsia="Book Antiqua" w:hAnsi="Book Antiqua" w:cs="Book Antiqua"/>
          <w:color w:val="000000"/>
        </w:rPr>
        <w:t>39-year-olds. With regard to rates of mucinous CRCs in different anatomic subsites, MC was most commonly observed in the proximal colon, followed by the distal colon and rectum. The rates of mucinous CRCs in the proximal colon decreased 6.5%/year from 2.14/100000 in 2000 to 0.66/100000 in 2018. The rates of mucinous CRCs in the distal colon decreased from 1.20/100000 in 2000 to 0.34/100000 in 2018, with the steepest drop occurring during 2005</w:t>
      </w:r>
      <w:r w:rsidR="005B28EB">
        <w:rPr>
          <w:rFonts w:ascii="Book Antiqua" w:eastAsia="Book Antiqua" w:hAnsi="Book Antiqua" w:cs="Book Antiqua"/>
          <w:color w:val="000000"/>
        </w:rPr>
        <w:t>-</w:t>
      </w:r>
      <w:r w:rsidRPr="00D41537">
        <w:rPr>
          <w:rFonts w:ascii="Book Antiqua" w:eastAsia="Book Antiqua" w:hAnsi="Book Antiqua" w:cs="Book Antiqua"/>
          <w:color w:val="000000"/>
        </w:rPr>
        <w:t>2008. The incidence of mucinous CRCs located in the transverse colon and rectum also showed a downward trend, presenting a sharp contrast to the increasing incidence of appendiceal MC, which increased from 0.14/100000 in 2000 to 0.24/100000 in 2018 (Figure 4).</w:t>
      </w:r>
    </w:p>
    <w:p w14:paraId="358FC885" w14:textId="77777777" w:rsidR="00AC427C" w:rsidRPr="00D41537" w:rsidRDefault="00AC427C" w:rsidP="00D41537">
      <w:pPr>
        <w:spacing w:line="360" w:lineRule="auto"/>
        <w:ind w:firstLineChars="200" w:firstLine="480"/>
        <w:jc w:val="both"/>
        <w:rPr>
          <w:rFonts w:ascii="Book Antiqua" w:hAnsi="Book Antiqua"/>
        </w:rPr>
      </w:pPr>
    </w:p>
    <w:p w14:paraId="680C65D0"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Univariate and multivariate Cox analyses of the risk factors for OS</w:t>
      </w:r>
    </w:p>
    <w:p w14:paraId="3EAAD20D" w14:textId="5E44804F"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A total of 6775 patients were included in this process. Among them, 4742 were randomly allocated to the training cohort, and 2033 were randomly allocated to the validation cohort (Supplementary Table 1). We performed our analysis based on the training cohort. Univariate and multivariate Cox regression models were chosen to explore the independent prognostic risk factors for 1-</w:t>
      </w:r>
      <w:r w:rsidR="00306742">
        <w:rPr>
          <w:rFonts w:ascii="Book Antiqua" w:eastAsia="Book Antiqua" w:hAnsi="Book Antiqua" w:cs="Book Antiqua"/>
          <w:color w:val="000000"/>
        </w:rPr>
        <w:t>year</w:t>
      </w:r>
      <w:r w:rsidRPr="00D41537">
        <w:rPr>
          <w:rFonts w:ascii="Book Antiqua" w:eastAsia="Book Antiqua" w:hAnsi="Book Antiqua" w:cs="Book Antiqua"/>
          <w:color w:val="000000"/>
        </w:rPr>
        <w:t>, 3-</w:t>
      </w:r>
      <w:r w:rsidR="00306742">
        <w:rPr>
          <w:rFonts w:ascii="Book Antiqua" w:eastAsia="Book Antiqua" w:hAnsi="Book Antiqua" w:cs="Book Antiqua"/>
          <w:color w:val="000000"/>
        </w:rPr>
        <w:t>year</w:t>
      </w:r>
      <w:r w:rsidRPr="00D41537">
        <w:rPr>
          <w:rFonts w:ascii="Book Antiqua" w:eastAsia="Book Antiqua" w:hAnsi="Book Antiqua" w:cs="Book Antiqua"/>
          <w:color w:val="000000"/>
        </w:rPr>
        <w:t xml:space="preserve">, and 5-year OS for patients with mucinous CRC during the follow-up. Variables found to be significantly associated with OS were further applied in the multivariate Cox regression analysis. By univariate Cox </w:t>
      </w:r>
      <w:r w:rsidRPr="00D41537">
        <w:rPr>
          <w:rFonts w:ascii="Book Antiqua" w:eastAsia="Book Antiqua" w:hAnsi="Book Antiqua" w:cs="Book Antiqua"/>
          <w:color w:val="000000"/>
        </w:rPr>
        <w:lastRenderedPageBreak/>
        <w:t>regression analysis, age, race, tumor site, tumor size, grade, disease stage, T stage, N stage, M stage, surgery, and chemotherapy were identified to be significantly associated with OS. Statistical significance of age, race, tumor site, T stage, N stage, M stage, surgery, and chemotherapy persisted during the multivariate Cox regression analysis. In particular, elderly patients (</w:t>
      </w:r>
      <w:r w:rsidR="00100801" w:rsidRPr="00D41537">
        <w:rPr>
          <w:rFonts w:ascii="Book Antiqua" w:eastAsia="Book Antiqua" w:hAnsi="Book Antiqua" w:cs="Book Antiqua"/>
          <w:color w:val="000000"/>
        </w:rPr>
        <w:t xml:space="preserve">aged 40 </w:t>
      </w:r>
      <w:r w:rsidR="00294115">
        <w:rPr>
          <w:rFonts w:ascii="Book Antiqua" w:eastAsia="Book Antiqua" w:hAnsi="Book Antiqua" w:cs="Book Antiqua"/>
          <w:color w:val="000000"/>
        </w:rPr>
        <w:t xml:space="preserve">years </w:t>
      </w:r>
      <w:r w:rsidR="00100801" w:rsidRPr="00D41537">
        <w:rPr>
          <w:rFonts w:ascii="Book Antiqua" w:eastAsia="Book Antiqua" w:hAnsi="Book Antiqua" w:cs="Book Antiqua"/>
          <w:color w:val="000000"/>
        </w:rPr>
        <w:t>to 69</w:t>
      </w:r>
      <w:r w:rsidRPr="00D41537">
        <w:rPr>
          <w:rFonts w:ascii="Book Antiqua" w:eastAsia="Book Antiqua" w:hAnsi="Book Antiqua" w:cs="Book Antiqua"/>
          <w:color w:val="000000"/>
        </w:rPr>
        <w:t xml:space="preserve"> years: HR, 1.28; 95%CI, 1.00-1.64; ≥</w:t>
      </w:r>
      <w:r w:rsidR="002D4B99" w:rsidRPr="00D41537">
        <w:rPr>
          <w:rFonts w:ascii="Book Antiqua" w:eastAsia="Book Antiqua" w:hAnsi="Book Antiqua" w:cs="Book Antiqua"/>
          <w:color w:val="000000"/>
        </w:rPr>
        <w:t xml:space="preserve"> </w:t>
      </w:r>
      <w:r w:rsidRPr="00D41537">
        <w:rPr>
          <w:rFonts w:ascii="Book Antiqua" w:eastAsia="Book Antiqua" w:hAnsi="Book Antiqua" w:cs="Book Antiqua"/>
          <w:color w:val="000000"/>
        </w:rPr>
        <w:t>70 years: HR, 2.41; 95%CI, 1.88-3.08), Black patients (HR, 1.26; 95%CI, 1.11-1.43), patients with T3 stage (HR, 1.37; 95%CI, 1.03-1.83) or T4 stage (HR, 2.28; 95%CI, 1.68-3.08), patients with lymph node metastasis (N1 stage: HR, 1.72; 95%CI, 1.51-1.97; N2 stage: HR, 2.58; 95%CI 2.25-2.96), patients with distant metastasis (HR, 2.67; 95%CI, 2.01-3.55), patients without surgery (HR, 4.82; 95%CI, 3.57-6.51), and patients without chemotherapy (HR, 1.58; 95%CI, 1.42-1.76) had poorer OS. Compared with tumors primarily located in the proximal colon, tumors located in the distal colon were associated with poorer OS (HR, 1.15; 95%CI, 1.04-1.28), whereas tumors located in the appendix suggested better survival (HR, 0.58; 95%CI, 0.47-0.72). Details are presented in Table 2.</w:t>
      </w:r>
    </w:p>
    <w:p w14:paraId="3A490F5F" w14:textId="77777777" w:rsidR="00AC427C" w:rsidRPr="00D41537" w:rsidRDefault="00AC427C" w:rsidP="00D41537">
      <w:pPr>
        <w:spacing w:line="360" w:lineRule="auto"/>
        <w:ind w:firstLineChars="200" w:firstLine="480"/>
        <w:jc w:val="both"/>
        <w:rPr>
          <w:rFonts w:ascii="Book Antiqua" w:hAnsi="Book Antiqua"/>
        </w:rPr>
      </w:pPr>
    </w:p>
    <w:p w14:paraId="1FDF7067"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bCs/>
          <w:i/>
          <w:iCs/>
          <w:color w:val="000000"/>
        </w:rPr>
        <w:t>Nomogram construction and validation</w:t>
      </w:r>
    </w:p>
    <w:p w14:paraId="59E7DE6E" w14:textId="338DC434"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A nomogram model was constructed to predict the 1-</w:t>
      </w:r>
      <w:r w:rsidR="00B81008">
        <w:rPr>
          <w:rFonts w:ascii="Book Antiqua" w:eastAsia="Book Antiqua" w:hAnsi="Book Antiqua" w:cs="Book Antiqua"/>
          <w:color w:val="000000"/>
        </w:rPr>
        <w:t>year</w:t>
      </w:r>
      <w:r w:rsidRPr="00D41537">
        <w:rPr>
          <w:rFonts w:ascii="Book Antiqua" w:eastAsia="Book Antiqua" w:hAnsi="Book Antiqua" w:cs="Book Antiqua"/>
          <w:color w:val="000000"/>
        </w:rPr>
        <w:t>, 3-</w:t>
      </w:r>
      <w:r w:rsidR="00B81008">
        <w:rPr>
          <w:rFonts w:ascii="Book Antiqua" w:eastAsia="Book Antiqua" w:hAnsi="Book Antiqua" w:cs="Book Antiqua"/>
          <w:color w:val="000000"/>
        </w:rPr>
        <w:t>year</w:t>
      </w:r>
      <w:r w:rsidRPr="00D41537">
        <w:rPr>
          <w:rFonts w:ascii="Book Antiqua" w:eastAsia="Book Antiqua" w:hAnsi="Book Antiqua" w:cs="Book Antiqua"/>
          <w:color w:val="000000"/>
        </w:rPr>
        <w:t>, and 5-year OS of patients with mucinous CRC according to multivariate Cox regression analysis (Figure 5). Each vector of these variables was assigned a point value, and the cumulative point score of all variables for a particular individual was matched to the probability of survival. Supplementary Table 2 shows the specific value of each variable. The nomogram had a C-index of 0.730, which was internally validated with a C-index of 0.728 using the validation cohort. The AUCs of the nomogram predicting 1-</w:t>
      </w:r>
      <w:r w:rsidR="00D27D6D">
        <w:rPr>
          <w:rFonts w:ascii="Book Antiqua" w:eastAsia="Book Antiqua" w:hAnsi="Book Antiqua" w:cs="Book Antiqua"/>
          <w:color w:val="000000"/>
        </w:rPr>
        <w:t>year</w:t>
      </w:r>
      <w:r w:rsidRPr="00D41537">
        <w:rPr>
          <w:rFonts w:ascii="Book Antiqua" w:eastAsia="Book Antiqua" w:hAnsi="Book Antiqua" w:cs="Book Antiqua"/>
          <w:color w:val="000000"/>
        </w:rPr>
        <w:t>, 3-</w:t>
      </w:r>
      <w:r w:rsidR="00D27D6D">
        <w:rPr>
          <w:rFonts w:ascii="Book Antiqua" w:eastAsia="Book Antiqua" w:hAnsi="Book Antiqua" w:cs="Book Antiqua"/>
          <w:color w:val="000000"/>
        </w:rPr>
        <w:t>year</w:t>
      </w:r>
      <w:r w:rsidRPr="00D41537">
        <w:rPr>
          <w:rFonts w:ascii="Book Antiqua" w:eastAsia="Book Antiqua" w:hAnsi="Book Antiqua" w:cs="Book Antiqua"/>
          <w:color w:val="000000"/>
        </w:rPr>
        <w:t>, and 5-year OS were 0.778, 0.778, and 0.768, respectively. The discrimination performance was validated in the validation cohort with an AUC of 0.805 in predicting the 1-year OS, an AUC of 0.779 in predicting the 3-year OS, and an AUC of 0.760 in predicting the 5-year survival (Figure 6). Additionally, calibration curves were plotted to assess the accuracy of the nomogram model, which presented a good alignment between the nomogram prediction and the actual risk (Supplementary Figure 2).</w:t>
      </w:r>
    </w:p>
    <w:p w14:paraId="2F4D18F3" w14:textId="31BCA4DB"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lastRenderedPageBreak/>
        <w:t>To estimate the survival probability of patients with different levels of those factors, Kaplan</w:t>
      </w:r>
      <w:r w:rsidR="009A5A34" w:rsidRPr="00D41537">
        <w:rPr>
          <w:rFonts w:ascii="Book Antiqua" w:eastAsia="Book Antiqua" w:hAnsi="Book Antiqua" w:cs="Book Antiqua"/>
          <w:color w:val="000000"/>
        </w:rPr>
        <w:t>-</w:t>
      </w:r>
      <w:r w:rsidRPr="00D41537">
        <w:rPr>
          <w:rFonts w:ascii="Book Antiqua" w:eastAsia="Book Antiqua" w:hAnsi="Book Antiqua" w:cs="Book Antiqua"/>
          <w:color w:val="000000"/>
        </w:rPr>
        <w:t>Meier survival curves were plotted. Significant decreases were observed in patients aged ≥</w:t>
      </w:r>
      <w:r w:rsidR="009A5A34" w:rsidRPr="00D41537">
        <w:rPr>
          <w:rFonts w:ascii="Book Antiqua" w:eastAsia="Book Antiqua" w:hAnsi="Book Antiqua" w:cs="Book Antiqua"/>
          <w:color w:val="000000"/>
        </w:rPr>
        <w:t xml:space="preserve"> </w:t>
      </w:r>
      <w:r w:rsidRPr="00D41537">
        <w:rPr>
          <w:rFonts w:ascii="Book Antiqua" w:eastAsia="Book Antiqua" w:hAnsi="Book Antiqua" w:cs="Book Antiqua"/>
          <w:color w:val="000000"/>
        </w:rPr>
        <w:t>70 years (1-</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3-</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and 5-year OS rates: 84.4%, 63.7%, and 50.5%, respectively, Figure 7A), with tumors located in the distal colon (1-</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3-</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and 5-year OS rates: 89.3%, 65.4%, and 50.8%, respectively, Figure 7B), Black race (1-</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3-</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and 5-year OS rates: 87.5%, 66.4%, and 54.8%, respectively, Supplementary Figure 3A), and T4 stage (1-</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3-</w:t>
      </w:r>
      <w:r w:rsidR="003A3A71">
        <w:rPr>
          <w:rFonts w:ascii="Book Antiqua" w:eastAsia="Book Antiqua" w:hAnsi="Book Antiqua" w:cs="Book Antiqua"/>
          <w:color w:val="000000"/>
        </w:rPr>
        <w:t>year</w:t>
      </w:r>
      <w:r w:rsidRPr="00D41537">
        <w:rPr>
          <w:rFonts w:ascii="Book Antiqua" w:eastAsia="Book Antiqua" w:hAnsi="Book Antiqua" w:cs="Book Antiqua"/>
          <w:color w:val="000000"/>
        </w:rPr>
        <w:t>, and 5-year OS rates: 81.8%, 51.7%, and 39.8%, respectively, Supplementary Figure 3B). Patients diagnosed with N2 and M1 stage also had a lower survival probability (Supplementary Figure 3C and D).</w:t>
      </w:r>
    </w:p>
    <w:p w14:paraId="3BC2E6D6" w14:textId="77777777" w:rsidR="00AC427C" w:rsidRPr="00D41537" w:rsidRDefault="00AC427C" w:rsidP="00D41537">
      <w:pPr>
        <w:spacing w:line="360" w:lineRule="auto"/>
        <w:ind w:firstLineChars="200" w:firstLine="480"/>
        <w:jc w:val="both"/>
        <w:rPr>
          <w:rFonts w:ascii="Book Antiqua" w:hAnsi="Book Antiqua"/>
        </w:rPr>
      </w:pPr>
    </w:p>
    <w:p w14:paraId="3F1E814D"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DISCUSSION</w:t>
      </w:r>
    </w:p>
    <w:p w14:paraId="10532D7C" w14:textId="55DCC8E3" w:rsidR="00AC427C" w:rsidRPr="00D41537" w:rsidRDefault="009D67B1" w:rsidP="00D41537">
      <w:pPr>
        <w:spacing w:line="360" w:lineRule="auto"/>
        <w:jc w:val="both"/>
        <w:rPr>
          <w:rFonts w:ascii="Book Antiqua" w:hAnsi="Book Antiqua"/>
        </w:rPr>
      </w:pPr>
      <w:r>
        <w:rPr>
          <w:rFonts w:ascii="Book Antiqua" w:eastAsia="Book Antiqua" w:hAnsi="Book Antiqua" w:cs="Book Antiqua"/>
          <w:color w:val="000000"/>
        </w:rPr>
        <w:t>B</w:t>
      </w:r>
      <w:r w:rsidR="00AC427C" w:rsidRPr="00D41537">
        <w:rPr>
          <w:rFonts w:ascii="Book Antiqua" w:eastAsia="Book Antiqua" w:hAnsi="Book Antiqua" w:cs="Book Antiqua"/>
          <w:color w:val="000000"/>
        </w:rPr>
        <w:t>y using a national and population-based dataset</w:t>
      </w:r>
      <w:r>
        <w:rPr>
          <w:rFonts w:ascii="Book Antiqua" w:eastAsia="Book Antiqua" w:hAnsi="Book Antiqua" w:cs="Book Antiqua"/>
          <w:color w:val="000000"/>
        </w:rPr>
        <w:t xml:space="preserve"> in this study</w:t>
      </w:r>
      <w:r w:rsidR="00AC427C" w:rsidRPr="00D41537">
        <w:rPr>
          <w:rFonts w:ascii="Book Antiqua" w:eastAsia="Book Antiqua" w:hAnsi="Book Antiqua" w:cs="Book Antiqua"/>
          <w:color w:val="000000"/>
        </w:rPr>
        <w:t>, we evaluated the incidence trend of mucinous CRC and then constructed a nomogram to predict OS. We found that the age-adjusted incidence rate of mucinous colorectal adenocarcinoma decreased yearly from 2000 to 2018, both in male and female patients and among all age groups. However, a previous study reported that the incidence of mucinous CRC remained stable in earlier time periods, and others reported almost unchanged mucinous CRC rates in males but a slight increase in female incidence</w:t>
      </w:r>
      <w:r w:rsidR="00AC427C" w:rsidRPr="00D41537">
        <w:rPr>
          <w:rFonts w:ascii="Book Antiqua" w:eastAsia="Book Antiqua" w:hAnsi="Book Antiqua" w:cs="Book Antiqua"/>
          <w:color w:val="000000"/>
          <w:vertAlign w:val="superscript"/>
        </w:rPr>
        <w:t>[3,9]</w:t>
      </w:r>
      <w:r w:rsidR="00AC427C" w:rsidRPr="00D41537">
        <w:rPr>
          <w:rFonts w:ascii="Book Antiqua" w:eastAsia="Book Antiqua" w:hAnsi="Book Antiqua" w:cs="Book Antiqua"/>
          <w:color w:val="000000"/>
        </w:rPr>
        <w:t>. The incidence of overall CRC has declined in recent years, mainly because of the enhanced practices of CRC screening and colonoscopic polypectomy</w:t>
      </w:r>
      <w:r w:rsidR="00AC427C" w:rsidRPr="00D41537">
        <w:rPr>
          <w:rFonts w:ascii="Book Antiqua" w:eastAsia="Book Antiqua" w:hAnsi="Book Antiqua" w:cs="Book Antiqua"/>
          <w:color w:val="000000"/>
          <w:vertAlign w:val="superscript"/>
        </w:rPr>
        <w:t>[10]</w:t>
      </w:r>
      <w:r w:rsidR="00AC427C" w:rsidRPr="00D41537">
        <w:rPr>
          <w:rFonts w:ascii="Book Antiqua" w:eastAsia="Book Antiqua" w:hAnsi="Book Antiqua" w:cs="Book Antiqua"/>
          <w:color w:val="000000"/>
        </w:rPr>
        <w:t>, which could probably explain the recent decrease in mucinous CRC rates. In addition, the proportion of MCs among all CRC cases also decreased over time from approximately 10% in 2000 to 5% in 2018.</w:t>
      </w:r>
    </w:p>
    <w:p w14:paraId="62049E99" w14:textId="77777777"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While previous studies reported that MC was more commonly found in younger patients than nonmucinous CRC</w:t>
      </w:r>
      <w:r w:rsidRPr="00D41537">
        <w:rPr>
          <w:rFonts w:ascii="Book Antiqua" w:eastAsia="Book Antiqua" w:hAnsi="Book Antiqua" w:cs="Book Antiqua"/>
          <w:color w:val="000000"/>
          <w:vertAlign w:val="superscript"/>
        </w:rPr>
        <w:t>[9,11]</w:t>
      </w:r>
      <w:r w:rsidRPr="00D41537">
        <w:rPr>
          <w:rFonts w:ascii="Book Antiqua" w:eastAsia="Book Antiqua" w:hAnsi="Book Antiqua" w:cs="Book Antiqua"/>
          <w:color w:val="000000"/>
        </w:rPr>
        <w:t xml:space="preserve">, our results indicated that in contrast to the upward trend in the incidence of overall early-onset CRC, the incidence of early-onset CRC with a mucinous histology decreased over the study period. However, a previous study stratifying early-onset CRC incidence by histologic subtype reported that the incidence of adenocarcinoma increased in most age subgroups, with the steepest subsite increase observed in rectal adenocarcinoma, and carcinoid rate increases outpaced adenocarcinoma rates in all age groups. Hence, early-onset CRC rate increases seemed to </w:t>
      </w:r>
      <w:r w:rsidRPr="00D41537">
        <w:rPr>
          <w:rFonts w:ascii="Book Antiqua" w:eastAsia="Book Antiqua" w:hAnsi="Book Antiqua" w:cs="Book Antiqua"/>
          <w:color w:val="000000"/>
        </w:rPr>
        <w:lastRenderedPageBreak/>
        <w:t>be driven by other adenocarcinoma subtypes and rectal carcinoid tumors in place of MC</w:t>
      </w:r>
      <w:r w:rsidRPr="00D41537">
        <w:rPr>
          <w:rFonts w:ascii="Book Antiqua" w:eastAsia="Book Antiqua" w:hAnsi="Book Antiqua" w:cs="Book Antiqua"/>
          <w:color w:val="000000"/>
          <w:vertAlign w:val="superscript"/>
        </w:rPr>
        <w:t>[12]</w:t>
      </w:r>
      <w:r w:rsidRPr="00D41537">
        <w:rPr>
          <w:rFonts w:ascii="Book Antiqua" w:eastAsia="Book Antiqua" w:hAnsi="Book Antiqua" w:cs="Book Antiqua"/>
          <w:color w:val="000000"/>
        </w:rPr>
        <w:t>.</w:t>
      </w:r>
    </w:p>
    <w:p w14:paraId="66454865" w14:textId="43EEE30F"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Mucinous CRC rates stratified by anatomic subsites showed a decreasing trend among all subgroups apart from the appendix. In agreement with previous studies, our results demonstrated that the incidence of appendiceal MC in the U</w:t>
      </w:r>
      <w:r w:rsidR="009A5A34" w:rsidRPr="00D41537">
        <w:rPr>
          <w:rFonts w:ascii="Book Antiqua" w:eastAsia="Book Antiqua" w:hAnsi="Book Antiqua" w:cs="Book Antiqua"/>
          <w:color w:val="000000"/>
        </w:rPr>
        <w:t xml:space="preserve">nited </w:t>
      </w:r>
      <w:r w:rsidRPr="00D41537">
        <w:rPr>
          <w:rFonts w:ascii="Book Antiqua" w:eastAsia="Book Antiqua" w:hAnsi="Book Antiqua" w:cs="Book Antiqua"/>
          <w:color w:val="000000"/>
        </w:rPr>
        <w:t>S</w:t>
      </w:r>
      <w:r w:rsidR="009A5A34" w:rsidRPr="00D41537">
        <w:rPr>
          <w:rFonts w:ascii="Book Antiqua" w:eastAsia="Book Antiqua" w:hAnsi="Book Antiqua" w:cs="Book Antiqua"/>
          <w:color w:val="000000"/>
        </w:rPr>
        <w:t>tates</w:t>
      </w:r>
      <w:r w:rsidRPr="00D41537">
        <w:rPr>
          <w:rFonts w:ascii="Book Antiqua" w:eastAsia="Book Antiqua" w:hAnsi="Book Antiqua" w:cs="Book Antiqua"/>
          <w:color w:val="000000"/>
        </w:rPr>
        <w:t xml:space="preserve"> has been increasing over time, partly due to the improved detection and appreciation of the disease entity</w:t>
      </w:r>
      <w:r w:rsidRPr="00D41537">
        <w:rPr>
          <w:rFonts w:ascii="Book Antiqua" w:eastAsia="Book Antiqua" w:hAnsi="Book Antiqua" w:cs="Book Antiqua"/>
          <w:color w:val="000000"/>
          <w:vertAlign w:val="superscript"/>
        </w:rPr>
        <w:t>[13,14]</w:t>
      </w:r>
      <w:r w:rsidRPr="00D41537">
        <w:rPr>
          <w:rFonts w:ascii="Book Antiqua" w:eastAsia="Book Antiqua" w:hAnsi="Book Antiqua" w:cs="Book Antiqua"/>
          <w:color w:val="000000"/>
        </w:rPr>
        <w:t>.</w:t>
      </w:r>
    </w:p>
    <w:p w14:paraId="0AF72B5A" w14:textId="43E27BF7"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In the present study, the results demonstrated that MCs were more commonly found in the proximal colon (45.5%). It was reported that MCs were associated with higher mucin</w:t>
      </w:r>
      <w:r w:rsidR="005E53CE">
        <w:rPr>
          <w:rFonts w:ascii="Book Antiqua" w:eastAsia="Book Antiqua" w:hAnsi="Book Antiqua" w:cs="Book Antiqua"/>
          <w:color w:val="000000"/>
        </w:rPr>
        <w:t xml:space="preserve"> </w:t>
      </w:r>
      <w:r w:rsidRPr="00D41537">
        <w:rPr>
          <w:rFonts w:ascii="Book Antiqua" w:eastAsia="Book Antiqua" w:hAnsi="Book Antiqua" w:cs="Book Antiqua"/>
          <w:color w:val="000000"/>
        </w:rPr>
        <w:t xml:space="preserve">2 expression and high-frequency microsatellite instability, which was partly due to mutations of genes in the RAS/MAPK pathway. Furthermore, </w:t>
      </w:r>
      <w:r w:rsidR="005E53CE" w:rsidRPr="00D41537">
        <w:rPr>
          <w:rFonts w:ascii="Book Antiqua" w:eastAsia="Book Antiqua" w:hAnsi="Book Antiqua" w:cs="Book Antiqua"/>
          <w:color w:val="000000"/>
        </w:rPr>
        <w:t xml:space="preserve">mucin </w:t>
      </w:r>
      <w:r w:rsidRPr="00D41537">
        <w:rPr>
          <w:rFonts w:ascii="Book Antiqua" w:eastAsia="Book Antiqua" w:hAnsi="Book Antiqua" w:cs="Book Antiqua"/>
          <w:color w:val="000000"/>
        </w:rPr>
        <w:t xml:space="preserve">2 and </w:t>
      </w:r>
      <w:r w:rsidR="005E53CE" w:rsidRPr="00D41537">
        <w:rPr>
          <w:rFonts w:ascii="Book Antiqua" w:eastAsia="Book Antiqua" w:hAnsi="Book Antiqua" w:cs="Book Antiqua"/>
          <w:color w:val="000000"/>
        </w:rPr>
        <w:t>microsatellite instability</w:t>
      </w:r>
      <w:r w:rsidRPr="00D41537">
        <w:rPr>
          <w:rFonts w:ascii="Book Antiqua" w:eastAsia="Book Antiqua" w:hAnsi="Book Antiqua" w:cs="Book Antiqua"/>
          <w:color w:val="000000"/>
        </w:rPr>
        <w:t xml:space="preserve"> were associated with proximal location</w:t>
      </w:r>
      <w:r w:rsidRPr="00D41537">
        <w:rPr>
          <w:rFonts w:ascii="Book Antiqua" w:eastAsia="Book Antiqua" w:hAnsi="Book Antiqua" w:cs="Book Antiqua"/>
          <w:color w:val="000000"/>
          <w:vertAlign w:val="superscript"/>
        </w:rPr>
        <w:t>[15,16]</w:t>
      </w:r>
      <w:r w:rsidRPr="00D41537">
        <w:rPr>
          <w:rFonts w:ascii="Book Antiqua" w:eastAsia="Book Antiqua" w:hAnsi="Book Antiqua" w:cs="Book Antiqua"/>
          <w:color w:val="000000"/>
        </w:rPr>
        <w:t>. In terms of tumor differentiation and the extent of disease, the largest proportion of MCs were moderately differentiated (55.5%) and were diagnosed at a regional stage (47.1%), similar to previous findings of MCs in the colon and rectum. Nevertheless, MCs in the appendix were more commonly well differentiated but most often diagnosed at a distant stage</w:t>
      </w:r>
      <w:r w:rsidRPr="00D41537">
        <w:rPr>
          <w:rFonts w:ascii="Book Antiqua" w:eastAsia="Book Antiqua" w:hAnsi="Book Antiqua" w:cs="Book Antiqua"/>
          <w:color w:val="000000"/>
          <w:vertAlign w:val="superscript"/>
        </w:rPr>
        <w:t>[17,18]</w:t>
      </w:r>
      <w:r w:rsidRPr="00D41537">
        <w:rPr>
          <w:rFonts w:ascii="Book Antiqua" w:eastAsia="Book Antiqua" w:hAnsi="Book Antiqua" w:cs="Book Antiqua"/>
          <w:color w:val="000000"/>
        </w:rPr>
        <w:t>.</w:t>
      </w:r>
    </w:p>
    <w:p w14:paraId="6AEAB37C" w14:textId="62BA84A0" w:rsidR="0041778C" w:rsidRDefault="00AC427C" w:rsidP="00D41537">
      <w:pPr>
        <w:spacing w:line="360" w:lineRule="auto"/>
        <w:ind w:firstLineChars="200" w:firstLine="480"/>
        <w:jc w:val="both"/>
        <w:rPr>
          <w:rFonts w:ascii="Book Antiqua" w:eastAsia="Book Antiqua" w:hAnsi="Book Antiqua" w:cs="Book Antiqua"/>
          <w:color w:val="000000"/>
        </w:rPr>
      </w:pPr>
      <w:r w:rsidRPr="00D41537">
        <w:rPr>
          <w:rFonts w:ascii="Book Antiqua" w:eastAsia="Book Antiqua" w:hAnsi="Book Antiqua" w:cs="Book Antiqua"/>
          <w:color w:val="000000"/>
        </w:rPr>
        <w:t>To date, the prognostic significance of MC remains elusive. Studies comparing the survival and prognosis of mucinous CRC and nonmucinous CRC have shown conflicting results. A few studies found that patients with mucinous CRC had a poorer prognosis than their nonmucinous counterparts</w:t>
      </w:r>
      <w:r w:rsidRPr="00D41537">
        <w:rPr>
          <w:rFonts w:ascii="Book Antiqua" w:eastAsia="Book Antiqua" w:hAnsi="Book Antiqua" w:cs="Book Antiqua"/>
          <w:color w:val="000000"/>
          <w:vertAlign w:val="superscript"/>
        </w:rPr>
        <w:t>[19,20]</w:t>
      </w:r>
      <w:r w:rsidRPr="00D41537">
        <w:rPr>
          <w:rFonts w:ascii="Book Antiqua" w:eastAsia="Book Antiqua" w:hAnsi="Book Antiqua" w:cs="Book Antiqua"/>
          <w:color w:val="000000"/>
        </w:rPr>
        <w:t>, while others indicated that MC was not an independent prognostic factor</w:t>
      </w:r>
      <w:r w:rsidRPr="00D41537">
        <w:rPr>
          <w:rFonts w:ascii="Book Antiqua" w:eastAsia="Book Antiqua" w:hAnsi="Book Antiqua" w:cs="Book Antiqua"/>
          <w:color w:val="000000"/>
          <w:vertAlign w:val="superscript"/>
        </w:rPr>
        <w:t>[21]</w:t>
      </w:r>
      <w:r w:rsidRPr="00D41537">
        <w:rPr>
          <w:rFonts w:ascii="Book Antiqua" w:eastAsia="Book Antiqua" w:hAnsi="Book Antiqua" w:cs="Book Antiqua"/>
          <w:color w:val="000000"/>
        </w:rPr>
        <w:t>. Moreover, some research reported that the survival disadvantage of MC was observed only in specific anatomic subsites</w:t>
      </w:r>
      <w:r w:rsidRPr="00D41537">
        <w:rPr>
          <w:rFonts w:ascii="Book Antiqua" w:eastAsia="Book Antiqua" w:hAnsi="Book Antiqua" w:cs="Book Antiqua"/>
          <w:color w:val="000000"/>
          <w:vertAlign w:val="superscript"/>
        </w:rPr>
        <w:t>[22-24]</w:t>
      </w:r>
      <w:r w:rsidRPr="00D41537">
        <w:rPr>
          <w:rFonts w:ascii="Book Antiqua" w:eastAsia="Book Antiqua" w:hAnsi="Book Antiqua" w:cs="Book Antiqua"/>
          <w:color w:val="000000"/>
        </w:rPr>
        <w:t>. Accordingly, it seemed to portend that the prognosis of MC was associated with anatomic location.</w:t>
      </w:r>
    </w:p>
    <w:p w14:paraId="34989155" w14:textId="0802AE12" w:rsidR="00AA5A06" w:rsidRDefault="00AC427C" w:rsidP="00D41537">
      <w:pPr>
        <w:spacing w:line="360" w:lineRule="auto"/>
        <w:ind w:firstLineChars="200" w:firstLine="480"/>
        <w:jc w:val="both"/>
        <w:rPr>
          <w:rFonts w:ascii="Book Antiqua" w:eastAsia="Book Antiqua" w:hAnsi="Book Antiqua" w:cs="Book Antiqua"/>
          <w:color w:val="000000"/>
        </w:rPr>
      </w:pPr>
      <w:r w:rsidRPr="00D41537">
        <w:rPr>
          <w:rFonts w:ascii="Book Antiqua" w:eastAsia="Book Antiqua" w:hAnsi="Book Antiqua" w:cs="Book Antiqua"/>
          <w:color w:val="000000"/>
        </w:rPr>
        <w:t>During the multivariate Cox regression analysis, we found that the primary tumor site was associated with the OS of patients with mucinous CRC. Compared with MCs in the proximal colon, MCs in the appendix indicated improved survival (HR, 0.58). As a previous study reported, the survival rates of gastrointestinal MC varied by anatomic location, and the best OS was observed in the appendix. When stratified by stage and grade, MCs in the appendix had better OS than those in the colon and rectum, except for grade</w:t>
      </w:r>
      <w:r w:rsidR="0041778C">
        <w:rPr>
          <w:rFonts w:ascii="Book Antiqua" w:eastAsia="Book Antiqua" w:hAnsi="Book Antiqua" w:cs="Book Antiqua"/>
          <w:color w:val="000000"/>
        </w:rPr>
        <w:t xml:space="preserve"> III/IV </w:t>
      </w:r>
      <w:r w:rsidRPr="00D41537">
        <w:rPr>
          <w:rFonts w:ascii="Book Antiqua" w:eastAsia="Book Antiqua" w:hAnsi="Book Antiqua" w:cs="Book Antiqua"/>
          <w:color w:val="000000"/>
        </w:rPr>
        <w:t>appendiceal MC</w:t>
      </w:r>
      <w:r w:rsidRPr="00D41537">
        <w:rPr>
          <w:rFonts w:ascii="Book Antiqua" w:eastAsia="Book Antiqua" w:hAnsi="Book Antiqua" w:cs="Book Antiqua"/>
          <w:color w:val="000000"/>
          <w:vertAlign w:val="superscript"/>
        </w:rPr>
        <w:t>[17]</w:t>
      </w:r>
      <w:r w:rsidRPr="00D41537">
        <w:rPr>
          <w:rFonts w:ascii="Book Antiqua" w:eastAsia="Book Antiqua" w:hAnsi="Book Antiqua" w:cs="Book Antiqua"/>
          <w:color w:val="000000"/>
        </w:rPr>
        <w:t xml:space="preserve">. Appendiceal MC is currently recognized as part of </w:t>
      </w:r>
      <w:r w:rsidRPr="00D41537">
        <w:rPr>
          <w:rFonts w:ascii="Book Antiqua" w:eastAsia="Book Antiqua" w:hAnsi="Book Antiqua" w:cs="Book Antiqua"/>
          <w:color w:val="000000"/>
        </w:rPr>
        <w:lastRenderedPageBreak/>
        <w:t xml:space="preserve">appendiceal mucinous neoplasms (AMNs), which are now divided into low-grade AMNs and high-grade </w:t>
      </w:r>
      <w:r w:rsidR="002D7133">
        <w:rPr>
          <w:rFonts w:ascii="Book Antiqua" w:eastAsia="Book Antiqua" w:hAnsi="Book Antiqua" w:cs="Book Antiqua"/>
          <w:color w:val="000000"/>
        </w:rPr>
        <w:t>AMNs</w:t>
      </w:r>
      <w:r w:rsidRPr="00D41537">
        <w:rPr>
          <w:rFonts w:ascii="Book Antiqua" w:eastAsia="Book Antiqua" w:hAnsi="Book Antiqua" w:cs="Book Antiqua"/>
          <w:color w:val="000000"/>
        </w:rPr>
        <w:t>. A</w:t>
      </w:r>
      <w:r w:rsidR="002D7133">
        <w:rPr>
          <w:rFonts w:ascii="Book Antiqua" w:eastAsia="Book Antiqua" w:hAnsi="Book Antiqua" w:cs="Book Antiqua"/>
          <w:color w:val="000000"/>
        </w:rPr>
        <w:t>MN</w:t>
      </w:r>
      <w:r w:rsidRPr="00D41537">
        <w:rPr>
          <w:rFonts w:ascii="Book Antiqua" w:eastAsia="Book Antiqua" w:hAnsi="Book Antiqua" w:cs="Book Antiqua"/>
          <w:color w:val="000000"/>
        </w:rPr>
        <w:t xml:space="preserve">s arise most often from </w:t>
      </w:r>
      <w:r w:rsidR="002D7133" w:rsidRPr="00D41537">
        <w:rPr>
          <w:rFonts w:ascii="Book Antiqua" w:eastAsia="Book Antiqua" w:hAnsi="Book Antiqua" w:cs="Book Antiqua"/>
          <w:color w:val="000000"/>
        </w:rPr>
        <w:t xml:space="preserve">low-grade </w:t>
      </w:r>
      <w:r w:rsidRPr="00D41537">
        <w:rPr>
          <w:rFonts w:ascii="Book Antiqua" w:eastAsia="Book Antiqua" w:hAnsi="Book Antiqua" w:cs="Book Antiqua"/>
          <w:color w:val="000000"/>
        </w:rPr>
        <w:t>AMNs and are relatively indolent in terms of biological behavior compared with CRC</w:t>
      </w:r>
      <w:r w:rsidRPr="00D41537">
        <w:rPr>
          <w:rFonts w:ascii="Book Antiqua" w:eastAsia="Book Antiqua" w:hAnsi="Book Antiqua" w:cs="Book Antiqua"/>
          <w:color w:val="000000"/>
          <w:vertAlign w:val="superscript"/>
        </w:rPr>
        <w:t>[25,26]</w:t>
      </w:r>
      <w:r w:rsidRPr="00D41537">
        <w:rPr>
          <w:rFonts w:ascii="Book Antiqua" w:eastAsia="Book Antiqua" w:hAnsi="Book Antiqua" w:cs="Book Antiqua"/>
          <w:color w:val="000000"/>
        </w:rPr>
        <w:t>. Given that tumor grade is an independent prognostic factor</w:t>
      </w:r>
      <w:r w:rsidRPr="00D41537">
        <w:rPr>
          <w:rFonts w:ascii="Book Antiqua" w:eastAsia="Book Antiqua" w:hAnsi="Book Antiqua" w:cs="Book Antiqua"/>
          <w:color w:val="000000"/>
          <w:vertAlign w:val="superscript"/>
        </w:rPr>
        <w:t>[25]</w:t>
      </w:r>
      <w:r w:rsidRPr="00D41537">
        <w:rPr>
          <w:rFonts w:ascii="Book Antiqua" w:eastAsia="Book Antiqua" w:hAnsi="Book Antiqua" w:cs="Book Antiqua"/>
          <w:color w:val="000000"/>
        </w:rPr>
        <w:t>, the superior survival of AMNs compared with MCs in the colon and rectum was partly attributed to a greater proportion of well or moderately differentiated tumors.</w:t>
      </w:r>
    </w:p>
    <w:p w14:paraId="4746DB4F" w14:textId="69DCAED2"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In addition, our findings demonstrated that compared with MCs in the proximal colon, MCs in the distal colon had poorer prognosis (HR, 1.15), discordant with previous findings that tumor location was not associated with survival differences</w:t>
      </w:r>
      <w:r w:rsidRPr="00D41537">
        <w:rPr>
          <w:rFonts w:ascii="Book Antiqua" w:eastAsia="Book Antiqua" w:hAnsi="Book Antiqua" w:cs="Book Antiqua"/>
          <w:color w:val="000000"/>
          <w:vertAlign w:val="superscript"/>
        </w:rPr>
        <w:t>[20,27]</w:t>
      </w:r>
      <w:r w:rsidRPr="00D41537">
        <w:rPr>
          <w:rFonts w:ascii="Book Antiqua" w:eastAsia="Book Antiqua" w:hAnsi="Book Antiqua" w:cs="Book Antiqua"/>
          <w:color w:val="000000"/>
        </w:rPr>
        <w:t>, whereas a recent study also found that a tumor site in the left-sided colon was associated with poorer prognosis (HR, 1.16)</w:t>
      </w:r>
      <w:r w:rsidRPr="00D41537">
        <w:rPr>
          <w:rFonts w:ascii="Book Antiqua" w:eastAsia="Book Antiqua" w:hAnsi="Book Antiqua" w:cs="Book Antiqua"/>
          <w:color w:val="000000"/>
          <w:vertAlign w:val="superscript"/>
        </w:rPr>
        <w:t>[28]</w:t>
      </w:r>
      <w:r w:rsidRPr="00D41537">
        <w:rPr>
          <w:rFonts w:ascii="Book Antiqua" w:eastAsia="Book Antiqua" w:hAnsi="Book Antiqua" w:cs="Book Antiqua"/>
          <w:color w:val="000000"/>
        </w:rPr>
        <w:t>. CRC is a molecularly and clinically heterogeneous disease, and a large part of its heterogeneity is driven by anatomic location. In particular, molecular and clinical disparities were observed between CRCs in the proximal colon and in the distal colon</w:t>
      </w:r>
      <w:r w:rsidRPr="00D41537">
        <w:rPr>
          <w:rFonts w:ascii="Book Antiqua" w:eastAsia="Book Antiqua" w:hAnsi="Book Antiqua" w:cs="Book Antiqua"/>
          <w:color w:val="000000"/>
          <w:vertAlign w:val="superscript"/>
        </w:rPr>
        <w:t>[29]</w:t>
      </w:r>
      <w:r w:rsidRPr="00D41537">
        <w:rPr>
          <w:rFonts w:ascii="Book Antiqua" w:eastAsia="Book Antiqua" w:hAnsi="Book Antiqua" w:cs="Book Antiqua"/>
          <w:color w:val="000000"/>
        </w:rPr>
        <w:t>. Further evaluation of the prognostic significance of tumor location entails studies that focus on the underlying mechanisms.</w:t>
      </w:r>
    </w:p>
    <w:p w14:paraId="045847B6" w14:textId="522B96AA"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Other demographic characteristics like age and race were also associated with patient survival. Older age at diagnosis portended poor prognosis. During the univariate Cox analysis, advanced tumor grade and disease stage indicated inferior survival but were not significantly associated with OS in multivariate Cox analysis. Surgery as a protective factor for MC patients was the most valuable factor in the nomogram, underscoring the importance of surgical treatment for patients with mucinous CRC.</w:t>
      </w:r>
    </w:p>
    <w:p w14:paraId="49C3B4B5" w14:textId="77777777" w:rsidR="00AC427C" w:rsidRPr="00D41537" w:rsidRDefault="00AC427C" w:rsidP="00D41537">
      <w:pPr>
        <w:spacing w:line="360" w:lineRule="auto"/>
        <w:ind w:firstLineChars="200" w:firstLine="480"/>
        <w:jc w:val="both"/>
        <w:rPr>
          <w:rFonts w:ascii="Book Antiqua" w:hAnsi="Book Antiqua"/>
        </w:rPr>
      </w:pPr>
      <w:r w:rsidRPr="00D41537">
        <w:rPr>
          <w:rFonts w:ascii="Book Antiqua" w:eastAsia="Book Antiqua" w:hAnsi="Book Antiqua" w:cs="Book Antiqua"/>
          <w:color w:val="000000"/>
        </w:rPr>
        <w:t>There were still some limitations in our study. First, this is a retrospective study having inherent selection bias. Second, although the SEER program covers a large population, some potential prognostic factors, such as Ki-67, are not included in the database. Another limitation pertains to the accuracy of data related to appendiceal MC because pathologic classification and grading systems for AMNs have undergone significant changes over time. Finally, the lack of an external validation cohort limits the generalizability and application of this nomogram. Future research studying the underlying mechanisms of those prognostic risk factors is warranted.</w:t>
      </w:r>
    </w:p>
    <w:p w14:paraId="73F8684E" w14:textId="77777777" w:rsidR="00AC427C" w:rsidRPr="00D41537" w:rsidRDefault="00AC427C" w:rsidP="00751CFA">
      <w:pPr>
        <w:spacing w:line="360" w:lineRule="auto"/>
        <w:jc w:val="both"/>
        <w:rPr>
          <w:rFonts w:ascii="Book Antiqua" w:hAnsi="Book Antiqua"/>
        </w:rPr>
      </w:pPr>
    </w:p>
    <w:p w14:paraId="1BC66F66" w14:textId="77777777"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lastRenderedPageBreak/>
        <w:t>CONCLUSION</w:t>
      </w:r>
    </w:p>
    <w:p w14:paraId="26AC67A9" w14:textId="7907662D" w:rsidR="00AC427C" w:rsidRPr="00D41537" w:rsidRDefault="00AC427C" w:rsidP="00D41537">
      <w:pPr>
        <w:spacing w:line="360" w:lineRule="auto"/>
        <w:jc w:val="both"/>
        <w:rPr>
          <w:rFonts w:ascii="Book Antiqua" w:hAnsi="Book Antiqua"/>
        </w:rPr>
      </w:pPr>
      <w:r w:rsidRPr="00D41537">
        <w:rPr>
          <w:rFonts w:ascii="Book Antiqua" w:eastAsia="Book Antiqua" w:hAnsi="Book Antiqua" w:cs="Book Antiqua"/>
          <w:color w:val="000000"/>
        </w:rPr>
        <w:t>In this population-based study, we explored the epidemiologic characteristics of mucinous CRC and found that the incidence of mucinous CRC decreased in both young and older patients. When stratified by anatomic location, incidence rates declined in almost all anatomic subgroups except for MCs in the appendix. In addition, we predicted the 1-</w:t>
      </w:r>
      <w:r w:rsidR="00E64996">
        <w:rPr>
          <w:rFonts w:ascii="Book Antiqua" w:eastAsia="Book Antiqua" w:hAnsi="Book Antiqua" w:cs="Book Antiqua"/>
          <w:color w:val="000000"/>
        </w:rPr>
        <w:t>year</w:t>
      </w:r>
      <w:r w:rsidRPr="00D41537">
        <w:rPr>
          <w:rFonts w:ascii="Book Antiqua" w:eastAsia="Book Antiqua" w:hAnsi="Book Antiqua" w:cs="Book Antiqua"/>
          <w:color w:val="000000"/>
        </w:rPr>
        <w:t>, 3-</w:t>
      </w:r>
      <w:r w:rsidR="00E64996">
        <w:rPr>
          <w:rFonts w:ascii="Book Antiqua" w:eastAsia="Book Antiqua" w:hAnsi="Book Antiqua" w:cs="Book Antiqua"/>
          <w:color w:val="000000"/>
        </w:rPr>
        <w:t>year</w:t>
      </w:r>
      <w:r w:rsidRPr="00D41537">
        <w:rPr>
          <w:rFonts w:ascii="Book Antiqua" w:eastAsia="Book Antiqua" w:hAnsi="Book Antiqua" w:cs="Book Antiqua"/>
          <w:color w:val="000000"/>
        </w:rPr>
        <w:t>, and 5-year OS of patients with MCs by developing a nomogram that could integrate T, N, and M stage with other fundamental characteristics, such as age, race, and primary tumor site. The nomogram model was internally validated and showed good performance.</w:t>
      </w:r>
    </w:p>
    <w:p w14:paraId="3F117C6F" w14:textId="77777777" w:rsidR="00AC427C" w:rsidRPr="00D41537" w:rsidRDefault="00AC427C" w:rsidP="00751CFA">
      <w:pPr>
        <w:spacing w:line="360" w:lineRule="auto"/>
        <w:jc w:val="both"/>
        <w:rPr>
          <w:rFonts w:ascii="Book Antiqua" w:hAnsi="Book Antiqua"/>
        </w:rPr>
      </w:pPr>
    </w:p>
    <w:p w14:paraId="2C1D25A7"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ARTICLE HIGHLIGHTS</w:t>
      </w:r>
    </w:p>
    <w:p w14:paraId="753A2F7D"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background</w:t>
      </w:r>
    </w:p>
    <w:p w14:paraId="543CB49D"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Mucinous adenocarcinoma (MC) is a distinct histologic subtype of colorectal cancer (CRC), which differs from nonmucinous CRC in terms of clinicopathological characteristics and genetic features.</w:t>
      </w:r>
    </w:p>
    <w:p w14:paraId="37E9BB95" w14:textId="77777777" w:rsidR="00A77B3E" w:rsidRPr="00D41537" w:rsidRDefault="00A77B3E" w:rsidP="00D41537">
      <w:pPr>
        <w:spacing w:line="360" w:lineRule="auto"/>
        <w:jc w:val="both"/>
        <w:rPr>
          <w:rFonts w:ascii="Book Antiqua" w:hAnsi="Book Antiqua"/>
        </w:rPr>
      </w:pPr>
    </w:p>
    <w:p w14:paraId="1CCE2716"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motivation</w:t>
      </w:r>
    </w:p>
    <w:p w14:paraId="2BBE364F"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There are limited data about epidemiologic characteristics of MC, and little is known about the risk factors associated with the survival rates.</w:t>
      </w:r>
    </w:p>
    <w:p w14:paraId="3B363AD5" w14:textId="77777777" w:rsidR="00A77B3E" w:rsidRPr="00D41537" w:rsidRDefault="00A77B3E" w:rsidP="00D41537">
      <w:pPr>
        <w:spacing w:line="360" w:lineRule="auto"/>
        <w:jc w:val="both"/>
        <w:rPr>
          <w:rFonts w:ascii="Book Antiqua" w:hAnsi="Book Antiqua"/>
        </w:rPr>
      </w:pPr>
    </w:p>
    <w:p w14:paraId="2A7BD7D2"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objectives</w:t>
      </w:r>
    </w:p>
    <w:p w14:paraId="6C134FFB"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In this study, we aimed to determine the epidemiologic and clinicopathological characteristics of mucinous CRC.</w:t>
      </w:r>
    </w:p>
    <w:p w14:paraId="3BF02EF8" w14:textId="77777777" w:rsidR="00A77B3E" w:rsidRPr="00D41537" w:rsidRDefault="00A77B3E" w:rsidP="00D41537">
      <w:pPr>
        <w:spacing w:line="360" w:lineRule="auto"/>
        <w:jc w:val="both"/>
        <w:rPr>
          <w:rFonts w:ascii="Book Antiqua" w:hAnsi="Book Antiqua"/>
        </w:rPr>
      </w:pPr>
    </w:p>
    <w:p w14:paraId="0846B165"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methods</w:t>
      </w:r>
    </w:p>
    <w:p w14:paraId="1B10263E"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We conducted a population-based analysis of the epidemiologic and clinicopathological characteristics of mucinous CRC on the basis of data extracted from the National Cancer Institute’s Surveillance, Epidemiology, and End Results Program.</w:t>
      </w:r>
    </w:p>
    <w:p w14:paraId="5597D4FD" w14:textId="77777777" w:rsidR="00A77B3E" w:rsidRPr="00D41537" w:rsidRDefault="00A77B3E" w:rsidP="00D41537">
      <w:pPr>
        <w:spacing w:line="360" w:lineRule="auto"/>
        <w:jc w:val="both"/>
        <w:rPr>
          <w:rFonts w:ascii="Book Antiqua" w:hAnsi="Book Antiqua"/>
        </w:rPr>
      </w:pPr>
    </w:p>
    <w:p w14:paraId="3CD2DE27"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results</w:t>
      </w:r>
    </w:p>
    <w:p w14:paraId="00A15BC2" w14:textId="6C29CE18"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lastRenderedPageBreak/>
        <w:t>Rates of mucinous CRC decreased from 4.50/100000 in 2000 to 1.54/100000 in 2018. Rates of mucinous CRCs in patients aged ≤</w:t>
      </w:r>
      <w:r w:rsidR="00AC427C" w:rsidRPr="00D41537">
        <w:rPr>
          <w:rFonts w:ascii="Book Antiqua" w:eastAsia="Book Antiqua" w:hAnsi="Book Antiqua" w:cs="Book Antiqua"/>
          <w:color w:val="000000"/>
        </w:rPr>
        <w:t xml:space="preserve"> </w:t>
      </w:r>
      <w:r w:rsidRPr="00D41537">
        <w:rPr>
          <w:rFonts w:ascii="Book Antiqua" w:eastAsia="Book Antiqua" w:hAnsi="Book Antiqua" w:cs="Book Antiqua"/>
          <w:color w:val="000000"/>
        </w:rPr>
        <w:t>50 years decreased 2.27%/year during 2000</w:t>
      </w:r>
      <w:r w:rsidR="00E64996">
        <w:rPr>
          <w:rFonts w:ascii="Book Antiqua" w:eastAsia="Book Antiqua" w:hAnsi="Book Antiqua" w:cs="Book Antiqua"/>
          <w:color w:val="000000"/>
        </w:rPr>
        <w:t>-</w:t>
      </w:r>
      <w:r w:rsidRPr="00D41537">
        <w:rPr>
          <w:rFonts w:ascii="Book Antiqua" w:eastAsia="Book Antiqua" w:hAnsi="Book Antiqua" w:cs="Book Antiqua"/>
          <w:color w:val="000000"/>
        </w:rPr>
        <w:t xml:space="preserve">2018, in sharp contrast to the upward trend in early-onset CRC. Incidence of appendiceal MCs increased from 0.14/100000 in 2000 to 0.24/100000 in 2018. On multivariable Cox analyses, age, race, tumor site, T stage, N stage, M stage, surgery, and chemotherapy were associated with </w:t>
      </w:r>
      <w:r w:rsidR="00E64996">
        <w:rPr>
          <w:rFonts w:ascii="Book Antiqua" w:eastAsia="Book Antiqua" w:hAnsi="Book Antiqua" w:cs="Book Antiqua"/>
          <w:color w:val="000000"/>
        </w:rPr>
        <w:t>overall survival</w:t>
      </w:r>
      <w:r w:rsidRPr="00D41537">
        <w:rPr>
          <w:rFonts w:ascii="Book Antiqua" w:eastAsia="Book Antiqua" w:hAnsi="Book Antiqua" w:cs="Book Antiqua"/>
          <w:color w:val="000000"/>
        </w:rPr>
        <w:t>. A nomogram was developed based on these factors, and the area under the curve for 1-</w:t>
      </w:r>
      <w:r w:rsidR="00E64996">
        <w:rPr>
          <w:rFonts w:ascii="Book Antiqua" w:eastAsia="Book Antiqua" w:hAnsi="Book Antiqua" w:cs="Book Antiqua"/>
          <w:color w:val="000000"/>
        </w:rPr>
        <w:t>year</w:t>
      </w:r>
      <w:r w:rsidRPr="00D41537">
        <w:rPr>
          <w:rFonts w:ascii="Book Antiqua" w:eastAsia="Book Antiqua" w:hAnsi="Book Antiqua" w:cs="Book Antiqua"/>
          <w:color w:val="000000"/>
        </w:rPr>
        <w:t>, 3-</w:t>
      </w:r>
      <w:r w:rsidR="00E64996">
        <w:rPr>
          <w:rFonts w:ascii="Book Antiqua" w:eastAsia="Book Antiqua" w:hAnsi="Book Antiqua" w:cs="Book Antiqua"/>
          <w:color w:val="000000"/>
        </w:rPr>
        <w:t>year</w:t>
      </w:r>
      <w:r w:rsidRPr="00D41537">
        <w:rPr>
          <w:rFonts w:ascii="Book Antiqua" w:eastAsia="Book Antiqua" w:hAnsi="Book Antiqua" w:cs="Book Antiqua"/>
          <w:color w:val="000000"/>
        </w:rPr>
        <w:t xml:space="preserve">, and </w:t>
      </w:r>
      <w:r w:rsidR="009A5A34" w:rsidRPr="00D41537">
        <w:rPr>
          <w:rFonts w:ascii="Book Antiqua" w:eastAsia="Book Antiqua" w:hAnsi="Book Antiqua" w:cs="Book Antiqua"/>
          <w:color w:val="000000"/>
        </w:rPr>
        <w:t>5-year</w:t>
      </w:r>
      <w:r w:rsidRPr="00D41537">
        <w:rPr>
          <w:rFonts w:ascii="Book Antiqua" w:eastAsia="Book Antiqua" w:hAnsi="Book Antiqua" w:cs="Book Antiqua"/>
          <w:color w:val="000000"/>
        </w:rPr>
        <w:t xml:space="preserve"> </w:t>
      </w:r>
      <w:r w:rsidR="00E64996">
        <w:rPr>
          <w:rFonts w:ascii="Book Antiqua" w:eastAsia="Book Antiqua" w:hAnsi="Book Antiqua" w:cs="Book Antiqua"/>
          <w:color w:val="000000"/>
        </w:rPr>
        <w:t>overall survival</w:t>
      </w:r>
      <w:r w:rsidRPr="00D41537">
        <w:rPr>
          <w:rFonts w:ascii="Book Antiqua" w:eastAsia="Book Antiqua" w:hAnsi="Book Antiqua" w:cs="Book Antiqua"/>
          <w:color w:val="000000"/>
        </w:rPr>
        <w:t xml:space="preserve"> in the training cohort was 0.778, 0.778 and 0.768</w:t>
      </w:r>
      <w:r w:rsidR="002A5243">
        <w:rPr>
          <w:rFonts w:ascii="Book Antiqua" w:eastAsia="Book Antiqua" w:hAnsi="Book Antiqua" w:cs="Book Antiqua"/>
          <w:color w:val="000000"/>
        </w:rPr>
        <w:t>, respectively,</w:t>
      </w:r>
      <w:r w:rsidRPr="00D41537">
        <w:rPr>
          <w:rFonts w:ascii="Book Antiqua" w:eastAsia="Book Antiqua" w:hAnsi="Book Antiqua" w:cs="Book Antiqua"/>
          <w:color w:val="000000"/>
        </w:rPr>
        <w:t xml:space="preserve"> and was 0.805, 0.779 and 0.760 in the validation cohort, respectively.</w:t>
      </w:r>
    </w:p>
    <w:p w14:paraId="4949CFEF" w14:textId="77777777" w:rsidR="00A77B3E" w:rsidRPr="00D41537" w:rsidRDefault="00A77B3E" w:rsidP="00D41537">
      <w:pPr>
        <w:spacing w:line="360" w:lineRule="auto"/>
        <w:jc w:val="both"/>
        <w:rPr>
          <w:rFonts w:ascii="Book Antiqua" w:hAnsi="Book Antiqua"/>
        </w:rPr>
      </w:pPr>
    </w:p>
    <w:p w14:paraId="2FBACEFB"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conclusions</w:t>
      </w:r>
    </w:p>
    <w:p w14:paraId="2CA3393E" w14:textId="4889496F"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 xml:space="preserve">We found that </w:t>
      </w:r>
      <w:r w:rsidR="002A5243">
        <w:rPr>
          <w:rFonts w:ascii="Book Antiqua" w:eastAsia="Book Antiqua" w:hAnsi="Book Antiqua" w:cs="Book Antiqua"/>
          <w:color w:val="000000"/>
        </w:rPr>
        <w:t xml:space="preserve">the </w:t>
      </w:r>
      <w:r w:rsidRPr="00D41537">
        <w:rPr>
          <w:rFonts w:ascii="Book Antiqua" w:eastAsia="Book Antiqua" w:hAnsi="Book Antiqua" w:cs="Book Antiqua"/>
          <w:color w:val="000000"/>
        </w:rPr>
        <w:t>incidence of mucinous CRC decreased both in young and older patients. However, the incidence of appendiceal MCs continued to increase. During the survival analysis, in addition to the TNM tumor stages, we found that age, race, tumor site, surgery, and chemotherapy were also significantly associated with survival. A nomogram based on these factors as well as the T, N, and M stages showed a good predictive performance.</w:t>
      </w:r>
    </w:p>
    <w:p w14:paraId="0CD7D2FF" w14:textId="77777777" w:rsidR="00A77B3E" w:rsidRPr="00D41537" w:rsidRDefault="00A77B3E" w:rsidP="00D41537">
      <w:pPr>
        <w:spacing w:line="360" w:lineRule="auto"/>
        <w:jc w:val="both"/>
        <w:rPr>
          <w:rFonts w:ascii="Book Antiqua" w:hAnsi="Book Antiqua"/>
        </w:rPr>
      </w:pPr>
    </w:p>
    <w:p w14:paraId="4EC64173"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i/>
          <w:color w:val="000000"/>
        </w:rPr>
        <w:t>Research perspectives</w:t>
      </w:r>
    </w:p>
    <w:p w14:paraId="26C9B730" w14:textId="55D30AC1"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We la</w:t>
      </w:r>
      <w:r w:rsidR="002A5243">
        <w:rPr>
          <w:rFonts w:ascii="Book Antiqua" w:eastAsia="Book Antiqua" w:hAnsi="Book Antiqua" w:cs="Book Antiqua"/>
          <w:color w:val="000000"/>
        </w:rPr>
        <w:t>id</w:t>
      </w:r>
      <w:r w:rsidRPr="00D41537">
        <w:rPr>
          <w:rFonts w:ascii="Book Antiqua" w:eastAsia="Book Antiqua" w:hAnsi="Book Antiqua" w:cs="Book Antiqua"/>
          <w:color w:val="000000"/>
        </w:rPr>
        <w:t xml:space="preserve"> a foundation for future research exploring the prognostic implications of mucinous colorectal adenocarcinoma.</w:t>
      </w:r>
    </w:p>
    <w:p w14:paraId="2385812F" w14:textId="77777777" w:rsidR="00A77B3E" w:rsidRPr="00D41537" w:rsidRDefault="00A77B3E" w:rsidP="00D41537">
      <w:pPr>
        <w:spacing w:line="360" w:lineRule="auto"/>
        <w:jc w:val="both"/>
        <w:rPr>
          <w:rFonts w:ascii="Book Antiqua" w:hAnsi="Book Antiqua"/>
        </w:rPr>
      </w:pPr>
    </w:p>
    <w:p w14:paraId="53B9AC42"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aps/>
          <w:color w:val="000000"/>
          <w:u w:val="single"/>
        </w:rPr>
        <w:t>ACKNOWLEDGEMENTS</w:t>
      </w:r>
    </w:p>
    <w:p w14:paraId="1512450F"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color w:val="000000"/>
        </w:rPr>
        <w:t>The authors of this study have no contribution to SEER data collection. We would like to thank the SEER database for its open access.</w:t>
      </w:r>
    </w:p>
    <w:p w14:paraId="78F00532" w14:textId="77777777" w:rsidR="00A77B3E" w:rsidRPr="00D41537" w:rsidRDefault="00A77B3E" w:rsidP="00D41537">
      <w:pPr>
        <w:spacing w:line="360" w:lineRule="auto"/>
        <w:jc w:val="both"/>
        <w:rPr>
          <w:rFonts w:ascii="Book Antiqua" w:hAnsi="Book Antiqua"/>
        </w:rPr>
      </w:pPr>
    </w:p>
    <w:p w14:paraId="2B044A93"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REFERENCES</w:t>
      </w:r>
    </w:p>
    <w:p w14:paraId="154156E7"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 </w:t>
      </w:r>
      <w:r w:rsidRPr="00D41537">
        <w:rPr>
          <w:rFonts w:ascii="Book Antiqua" w:hAnsi="Book Antiqua"/>
          <w:b/>
          <w:bCs/>
        </w:rPr>
        <w:t>Bray F</w:t>
      </w:r>
      <w:r w:rsidRPr="00D41537">
        <w:rPr>
          <w:rFonts w:ascii="Book Antiqua" w:hAnsi="Book Antiqua"/>
        </w:rPr>
        <w:t xml:space="preserve">, Ferlay J, Soerjomataram I, Siegel RL, Torre LA, Jemal A. Global cancer statistics 2018: GLOBOCAN estimates of incidence and mortality worldwide for 36 cancers in 185 countries. </w:t>
      </w:r>
      <w:r w:rsidRPr="00D41537">
        <w:rPr>
          <w:rFonts w:ascii="Book Antiqua" w:hAnsi="Book Antiqua"/>
          <w:i/>
          <w:iCs/>
        </w:rPr>
        <w:t>CA Cancer J Clin</w:t>
      </w:r>
      <w:r w:rsidRPr="00D41537">
        <w:rPr>
          <w:rFonts w:ascii="Book Antiqua" w:hAnsi="Book Antiqua"/>
        </w:rPr>
        <w:t xml:space="preserve"> 2018; </w:t>
      </w:r>
      <w:r w:rsidRPr="00D41537">
        <w:rPr>
          <w:rFonts w:ascii="Book Antiqua" w:hAnsi="Book Antiqua"/>
          <w:b/>
          <w:bCs/>
        </w:rPr>
        <w:t>68</w:t>
      </w:r>
      <w:r w:rsidRPr="00D41537">
        <w:rPr>
          <w:rFonts w:ascii="Book Antiqua" w:hAnsi="Book Antiqua"/>
        </w:rPr>
        <w:t>: 394-424 [PMID: 30207593 DOI: 10.3322/caac.21492]</w:t>
      </w:r>
    </w:p>
    <w:p w14:paraId="06AFA26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lastRenderedPageBreak/>
        <w:t xml:space="preserve">2 </w:t>
      </w:r>
      <w:r w:rsidRPr="00D41537">
        <w:rPr>
          <w:rFonts w:ascii="Book Antiqua" w:hAnsi="Book Antiqua"/>
          <w:b/>
          <w:bCs/>
        </w:rPr>
        <w:t>Bosman FT,</w:t>
      </w:r>
      <w:r w:rsidRPr="00D41537">
        <w:rPr>
          <w:rFonts w:ascii="Book Antiqua" w:hAnsi="Book Antiqua"/>
        </w:rPr>
        <w:t xml:space="preserve"> Carneiro F, Hruban RH and Theise ND. WHO Classification of Tumours of the Digestive System. 4th ed. Lyon: International Agency for Research on Cancer, 2010.</w:t>
      </w:r>
    </w:p>
    <w:p w14:paraId="1AF70684"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3 </w:t>
      </w:r>
      <w:r w:rsidRPr="00D41537">
        <w:rPr>
          <w:rFonts w:ascii="Book Antiqua" w:hAnsi="Book Antiqua"/>
          <w:b/>
          <w:bCs/>
        </w:rPr>
        <w:t>Kang H</w:t>
      </w:r>
      <w:r w:rsidRPr="00D41537">
        <w:rPr>
          <w:rFonts w:ascii="Book Antiqua" w:hAnsi="Book Antiqua"/>
        </w:rPr>
        <w:t xml:space="preserve">, O'Connell JB, Maggard MA, Sack J, Ko CY. A 10-year outcomes evaluation of mucinous and signet-ring cell carcinoma of the colon and rectum. </w:t>
      </w:r>
      <w:r w:rsidRPr="00D41537">
        <w:rPr>
          <w:rFonts w:ascii="Book Antiqua" w:hAnsi="Book Antiqua"/>
          <w:i/>
          <w:iCs/>
        </w:rPr>
        <w:t>Dis Colon Rectum</w:t>
      </w:r>
      <w:r w:rsidRPr="00D41537">
        <w:rPr>
          <w:rFonts w:ascii="Book Antiqua" w:hAnsi="Book Antiqua"/>
        </w:rPr>
        <w:t xml:space="preserve"> 2005; </w:t>
      </w:r>
      <w:r w:rsidRPr="00D41537">
        <w:rPr>
          <w:rFonts w:ascii="Book Antiqua" w:hAnsi="Book Antiqua"/>
          <w:b/>
          <w:bCs/>
        </w:rPr>
        <w:t>48</w:t>
      </w:r>
      <w:r w:rsidRPr="00D41537">
        <w:rPr>
          <w:rFonts w:ascii="Book Antiqua" w:hAnsi="Book Antiqua"/>
        </w:rPr>
        <w:t>: 1161-1168 [PMID: 15868237 DOI: 10.1007/s10350-004-0932-1]</w:t>
      </w:r>
    </w:p>
    <w:p w14:paraId="11C1C468"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4 </w:t>
      </w:r>
      <w:r w:rsidRPr="00D41537">
        <w:rPr>
          <w:rFonts w:ascii="Book Antiqua" w:hAnsi="Book Antiqua"/>
          <w:b/>
          <w:bCs/>
        </w:rPr>
        <w:t>You YN</w:t>
      </w:r>
      <w:r w:rsidRPr="00D41537">
        <w:rPr>
          <w:rFonts w:ascii="Book Antiqua" w:hAnsi="Book Antiqua"/>
        </w:rPr>
        <w:t xml:space="preserve">, Xing Y, Feig BW, Chang GJ, Cormier JN. Young-onset colorectal cancer: is it time to pay attention? </w:t>
      </w:r>
      <w:r w:rsidRPr="00D41537">
        <w:rPr>
          <w:rFonts w:ascii="Book Antiqua" w:hAnsi="Book Antiqua"/>
          <w:i/>
          <w:iCs/>
        </w:rPr>
        <w:t>Arch Intern Med</w:t>
      </w:r>
      <w:r w:rsidRPr="00D41537">
        <w:rPr>
          <w:rFonts w:ascii="Book Antiqua" w:hAnsi="Book Antiqua"/>
        </w:rPr>
        <w:t xml:space="preserve"> 2012; </w:t>
      </w:r>
      <w:r w:rsidRPr="00D41537">
        <w:rPr>
          <w:rFonts w:ascii="Book Antiqua" w:hAnsi="Book Antiqua"/>
          <w:b/>
          <w:bCs/>
        </w:rPr>
        <w:t>172</w:t>
      </w:r>
      <w:r w:rsidRPr="00D41537">
        <w:rPr>
          <w:rFonts w:ascii="Book Antiqua" w:hAnsi="Book Antiqua"/>
        </w:rPr>
        <w:t>: 287-289 [PMID: 22157065 DOI: 10.1001/archinternmed.2011.602]</w:t>
      </w:r>
    </w:p>
    <w:p w14:paraId="51988413"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5 </w:t>
      </w:r>
      <w:r w:rsidRPr="00D41537">
        <w:rPr>
          <w:rFonts w:ascii="Book Antiqua" w:hAnsi="Book Antiqua"/>
          <w:b/>
          <w:bCs/>
        </w:rPr>
        <w:t>Patel SG</w:t>
      </w:r>
      <w:r w:rsidRPr="00D41537">
        <w:rPr>
          <w:rFonts w:ascii="Book Antiqua" w:hAnsi="Book Antiqua"/>
        </w:rPr>
        <w:t xml:space="preserve">, Karlitz JJ, Yen T, Lieu CH, Boland CR. The rising tide of early-onset colorectal cancer: a comprehensive review of epidemiology, clinical features, biology, risk factors, prevention, and early detection. </w:t>
      </w:r>
      <w:r w:rsidRPr="00D41537">
        <w:rPr>
          <w:rFonts w:ascii="Book Antiqua" w:hAnsi="Book Antiqua"/>
          <w:i/>
          <w:iCs/>
        </w:rPr>
        <w:t>Lancet Gastroenterol Hepatol</w:t>
      </w:r>
      <w:r w:rsidRPr="00D41537">
        <w:rPr>
          <w:rFonts w:ascii="Book Antiqua" w:hAnsi="Book Antiqua"/>
        </w:rPr>
        <w:t xml:space="preserve"> 2022; </w:t>
      </w:r>
      <w:r w:rsidRPr="00D41537">
        <w:rPr>
          <w:rFonts w:ascii="Book Antiqua" w:hAnsi="Book Antiqua"/>
          <w:b/>
          <w:bCs/>
        </w:rPr>
        <w:t>7</w:t>
      </w:r>
      <w:r w:rsidRPr="00D41537">
        <w:rPr>
          <w:rFonts w:ascii="Book Antiqua" w:hAnsi="Book Antiqua"/>
        </w:rPr>
        <w:t>: 262-274 [PMID: 35090605 DOI: 10.1016/S2468-1253(21)00426-X]</w:t>
      </w:r>
    </w:p>
    <w:p w14:paraId="630FB2E1"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6 </w:t>
      </w:r>
      <w:r w:rsidRPr="00D41537">
        <w:rPr>
          <w:rFonts w:ascii="Book Antiqua" w:hAnsi="Book Antiqua"/>
          <w:b/>
          <w:bCs/>
        </w:rPr>
        <w:t>Greene FL</w:t>
      </w:r>
      <w:r w:rsidRPr="00D41537">
        <w:rPr>
          <w:rFonts w:ascii="Book Antiqua" w:hAnsi="Book Antiqua"/>
        </w:rPr>
        <w:t xml:space="preserve">, Sobin LH. The staging of cancer: a retrospective and prospective appraisal. </w:t>
      </w:r>
      <w:r w:rsidRPr="00D41537">
        <w:rPr>
          <w:rFonts w:ascii="Book Antiqua" w:hAnsi="Book Antiqua"/>
          <w:i/>
          <w:iCs/>
        </w:rPr>
        <w:t>CA Cancer J Clin</w:t>
      </w:r>
      <w:r w:rsidRPr="00D41537">
        <w:rPr>
          <w:rFonts w:ascii="Book Antiqua" w:hAnsi="Book Antiqua"/>
        </w:rPr>
        <w:t xml:space="preserve"> 2008; </w:t>
      </w:r>
      <w:r w:rsidRPr="00D41537">
        <w:rPr>
          <w:rFonts w:ascii="Book Antiqua" w:hAnsi="Book Antiqua"/>
          <w:b/>
          <w:bCs/>
        </w:rPr>
        <w:t>58</w:t>
      </w:r>
      <w:r w:rsidRPr="00D41537">
        <w:rPr>
          <w:rFonts w:ascii="Book Antiqua" w:hAnsi="Book Antiqua"/>
        </w:rPr>
        <w:t>: 180-190 [PMID: 18460593 DOI: 10.3322/CA.2008.0001]</w:t>
      </w:r>
    </w:p>
    <w:p w14:paraId="6C4E43B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7 </w:t>
      </w:r>
      <w:r w:rsidRPr="00D41537">
        <w:rPr>
          <w:rFonts w:ascii="Book Antiqua" w:hAnsi="Book Antiqua"/>
          <w:b/>
          <w:bCs/>
        </w:rPr>
        <w:t>Xu Z</w:t>
      </w:r>
      <w:r w:rsidRPr="00D41537">
        <w:rPr>
          <w:rFonts w:ascii="Book Antiqua" w:hAnsi="Book Antiqua"/>
        </w:rPr>
        <w:t xml:space="preserve">, Wang L, Dai S, Chen M, Li F, Sun J, Luo F. Epidemiologic Trends of and Factors Associated With Overall Survival for Patients With Gastroenteropancreatic Neuroendocrine Tumors in the United States. </w:t>
      </w:r>
      <w:r w:rsidRPr="00D41537">
        <w:rPr>
          <w:rFonts w:ascii="Book Antiqua" w:hAnsi="Book Antiqua"/>
          <w:i/>
          <w:iCs/>
        </w:rPr>
        <w:t>JAMA Netw Open</w:t>
      </w:r>
      <w:r w:rsidRPr="00D41537">
        <w:rPr>
          <w:rFonts w:ascii="Book Antiqua" w:hAnsi="Book Antiqua"/>
        </w:rPr>
        <w:t xml:space="preserve"> 2021; </w:t>
      </w:r>
      <w:r w:rsidRPr="00D41537">
        <w:rPr>
          <w:rFonts w:ascii="Book Antiqua" w:hAnsi="Book Antiqua"/>
          <w:b/>
          <w:bCs/>
        </w:rPr>
        <w:t>4</w:t>
      </w:r>
      <w:r w:rsidRPr="00D41537">
        <w:rPr>
          <w:rFonts w:ascii="Book Antiqua" w:hAnsi="Book Antiqua"/>
        </w:rPr>
        <w:t>: e2124750 [PMID: 34554237 DOI: 10.1001/jamanetworkopen.2021.24750]</w:t>
      </w:r>
    </w:p>
    <w:p w14:paraId="1189C058"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8 </w:t>
      </w:r>
      <w:r w:rsidRPr="00D41537">
        <w:rPr>
          <w:rFonts w:ascii="Book Antiqua" w:hAnsi="Book Antiqua"/>
          <w:b/>
          <w:bCs/>
        </w:rPr>
        <w:t>Balachandran VP</w:t>
      </w:r>
      <w:r w:rsidRPr="00D41537">
        <w:rPr>
          <w:rFonts w:ascii="Book Antiqua" w:hAnsi="Book Antiqua"/>
        </w:rPr>
        <w:t xml:space="preserve">, Gonen M, Smith JJ, DeMatteo RP. Nomograms in oncology: more than meets the eye. </w:t>
      </w:r>
      <w:r w:rsidRPr="00D41537">
        <w:rPr>
          <w:rFonts w:ascii="Book Antiqua" w:hAnsi="Book Antiqua"/>
          <w:i/>
          <w:iCs/>
        </w:rPr>
        <w:t>Lancet Oncol</w:t>
      </w:r>
      <w:r w:rsidRPr="00D41537">
        <w:rPr>
          <w:rFonts w:ascii="Book Antiqua" w:hAnsi="Book Antiqua"/>
        </w:rPr>
        <w:t xml:space="preserve"> 2015; </w:t>
      </w:r>
      <w:r w:rsidRPr="00D41537">
        <w:rPr>
          <w:rFonts w:ascii="Book Antiqua" w:hAnsi="Book Antiqua"/>
          <w:b/>
          <w:bCs/>
        </w:rPr>
        <w:t>16</w:t>
      </w:r>
      <w:r w:rsidRPr="00D41537">
        <w:rPr>
          <w:rFonts w:ascii="Book Antiqua" w:hAnsi="Book Antiqua"/>
        </w:rPr>
        <w:t>: e173-e180 [PMID: 25846097 DOI: 10.1016/S1470-2045(14)71116-7]</w:t>
      </w:r>
    </w:p>
    <w:p w14:paraId="6CA4AE3B"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9 </w:t>
      </w:r>
      <w:r w:rsidRPr="00D41537">
        <w:rPr>
          <w:rFonts w:ascii="Book Antiqua" w:hAnsi="Book Antiqua"/>
          <w:b/>
          <w:bCs/>
        </w:rPr>
        <w:t>Du W</w:t>
      </w:r>
      <w:r w:rsidRPr="00D41537">
        <w:rPr>
          <w:rFonts w:ascii="Book Antiqua" w:hAnsi="Book Antiqua"/>
        </w:rPr>
        <w:t xml:space="preserve">, Mah JT, Lee J, Sankila R, Sankaranarayanan R, Chia KS. Incidence and survival of mucinous adenocarcinoma of the colorectum: a population-based study from an Asian country. </w:t>
      </w:r>
      <w:r w:rsidRPr="00D41537">
        <w:rPr>
          <w:rFonts w:ascii="Book Antiqua" w:hAnsi="Book Antiqua"/>
          <w:i/>
          <w:iCs/>
        </w:rPr>
        <w:t>Dis Colon Rectum</w:t>
      </w:r>
      <w:r w:rsidRPr="00D41537">
        <w:rPr>
          <w:rFonts w:ascii="Book Antiqua" w:hAnsi="Book Antiqua"/>
        </w:rPr>
        <w:t xml:space="preserve"> 2004; </w:t>
      </w:r>
      <w:r w:rsidRPr="00D41537">
        <w:rPr>
          <w:rFonts w:ascii="Book Antiqua" w:hAnsi="Book Antiqua"/>
          <w:b/>
          <w:bCs/>
        </w:rPr>
        <w:t>47</w:t>
      </w:r>
      <w:r w:rsidRPr="00D41537">
        <w:rPr>
          <w:rFonts w:ascii="Book Antiqua" w:hAnsi="Book Antiqua"/>
        </w:rPr>
        <w:t>: 78-85 [PMID: 14719155 DOI: 10.1007/s10350-003-0014-9]</w:t>
      </w:r>
    </w:p>
    <w:p w14:paraId="04BD0B78"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10 </w:t>
      </w:r>
      <w:r w:rsidRPr="00D41537">
        <w:rPr>
          <w:rFonts w:ascii="Book Antiqua" w:hAnsi="Book Antiqua"/>
          <w:b/>
          <w:bCs/>
        </w:rPr>
        <w:t>Edwards BK</w:t>
      </w:r>
      <w:r w:rsidRPr="00D41537">
        <w:rPr>
          <w:rFonts w:ascii="Book Antiqua" w:hAnsi="Book Antiqua"/>
        </w:rPr>
        <w:t xml:space="preserve">, Noone AM, Mariotto AB, Simard EP, Boscoe FP, Henley SJ, Jemal A, Cho H, Anderson RN, Kohler BA, Eheman CR, Ward EM. Annual Report to the Nation on the status of cancer, 1975-2010, featuring prevalence of comorbidity and impact on survival among persons with lung, colorectal, breast, or prostate cancer. </w:t>
      </w:r>
      <w:r w:rsidRPr="00D41537">
        <w:rPr>
          <w:rFonts w:ascii="Book Antiqua" w:hAnsi="Book Antiqua"/>
          <w:i/>
          <w:iCs/>
        </w:rPr>
        <w:t>Cancer</w:t>
      </w:r>
      <w:r w:rsidRPr="00D41537">
        <w:rPr>
          <w:rFonts w:ascii="Book Antiqua" w:hAnsi="Book Antiqua"/>
        </w:rPr>
        <w:t xml:space="preserve"> 2014; </w:t>
      </w:r>
      <w:r w:rsidRPr="00D41537">
        <w:rPr>
          <w:rFonts w:ascii="Book Antiqua" w:hAnsi="Book Antiqua"/>
          <w:b/>
          <w:bCs/>
        </w:rPr>
        <w:t>120</w:t>
      </w:r>
      <w:r w:rsidRPr="00D41537">
        <w:rPr>
          <w:rFonts w:ascii="Book Antiqua" w:hAnsi="Book Antiqua"/>
        </w:rPr>
        <w:t>: 1290-1314 [PMID: 24343171 DOI: 10.1002/cncr.28509]</w:t>
      </w:r>
    </w:p>
    <w:p w14:paraId="636D9BC9"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lastRenderedPageBreak/>
        <w:t xml:space="preserve">11 </w:t>
      </w:r>
      <w:r w:rsidRPr="00D41537">
        <w:rPr>
          <w:rFonts w:ascii="Book Antiqua" w:hAnsi="Book Antiqua"/>
          <w:b/>
          <w:bCs/>
        </w:rPr>
        <w:t>Li J</w:t>
      </w:r>
      <w:r w:rsidRPr="00D41537">
        <w:rPr>
          <w:rFonts w:ascii="Book Antiqua" w:hAnsi="Book Antiqua"/>
        </w:rPr>
        <w:t xml:space="preserve">, Yang L, Bai F, Cai Y, Zhang J, Wu Z, Fu Y, Deng Y. Clinicopathological, molecular features and prognosis of colorectal cancer with mucinous component. </w:t>
      </w:r>
      <w:r w:rsidRPr="00D41537">
        <w:rPr>
          <w:rFonts w:ascii="Book Antiqua" w:hAnsi="Book Antiqua"/>
          <w:i/>
          <w:iCs/>
        </w:rPr>
        <w:t>Future Oncol</w:t>
      </w:r>
      <w:r w:rsidRPr="00D41537">
        <w:rPr>
          <w:rFonts w:ascii="Book Antiqua" w:hAnsi="Book Antiqua"/>
        </w:rPr>
        <w:t xml:space="preserve"> 2021; </w:t>
      </w:r>
      <w:r w:rsidRPr="00D41537">
        <w:rPr>
          <w:rFonts w:ascii="Book Antiqua" w:hAnsi="Book Antiqua"/>
          <w:b/>
          <w:bCs/>
        </w:rPr>
        <w:t>17</w:t>
      </w:r>
      <w:r w:rsidRPr="00D41537">
        <w:rPr>
          <w:rFonts w:ascii="Book Antiqua" w:hAnsi="Book Antiqua"/>
        </w:rPr>
        <w:t>: 1351-1362 [PMID: 33331169 DOI: 10.2217/fon-2020-1055]</w:t>
      </w:r>
    </w:p>
    <w:p w14:paraId="7EFE59C3"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12 </w:t>
      </w:r>
      <w:r w:rsidRPr="00D41537">
        <w:rPr>
          <w:rFonts w:ascii="Book Antiqua" w:hAnsi="Book Antiqua"/>
          <w:b/>
          <w:bCs/>
        </w:rPr>
        <w:t>Montminy EM</w:t>
      </w:r>
      <w:r w:rsidRPr="00D41537">
        <w:rPr>
          <w:rFonts w:ascii="Book Antiqua" w:hAnsi="Book Antiqua"/>
        </w:rPr>
        <w:t xml:space="preserve">, Zhou M, Maniscalco L, Abualkhair W, Kim MK, Siegel RL, Wu XC, Itzkowitz SH, Karlitz JJ. Contributions of Adenocarcinoma and Carcinoid Tumors to Early-Onset Colorectal Cancer Incidence Rates in the United States. </w:t>
      </w:r>
      <w:r w:rsidRPr="00D41537">
        <w:rPr>
          <w:rFonts w:ascii="Book Antiqua" w:hAnsi="Book Antiqua"/>
          <w:i/>
          <w:iCs/>
        </w:rPr>
        <w:t>Ann Intern Med</w:t>
      </w:r>
      <w:r w:rsidRPr="00D41537">
        <w:rPr>
          <w:rFonts w:ascii="Book Antiqua" w:hAnsi="Book Antiqua"/>
        </w:rPr>
        <w:t xml:space="preserve"> 2021; </w:t>
      </w:r>
      <w:r w:rsidRPr="00D41537">
        <w:rPr>
          <w:rFonts w:ascii="Book Antiqua" w:hAnsi="Book Antiqua"/>
          <w:b/>
          <w:bCs/>
        </w:rPr>
        <w:t>174</w:t>
      </w:r>
      <w:r w:rsidRPr="00D41537">
        <w:rPr>
          <w:rFonts w:ascii="Book Antiqua" w:hAnsi="Book Antiqua"/>
        </w:rPr>
        <w:t>: 157-166 [PMID: 33315473 DOI: 10.7326/M20-0068]</w:t>
      </w:r>
    </w:p>
    <w:p w14:paraId="7EC695A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13 </w:t>
      </w:r>
      <w:r w:rsidRPr="00D41537">
        <w:rPr>
          <w:rFonts w:ascii="Book Antiqua" w:hAnsi="Book Antiqua"/>
          <w:b/>
          <w:bCs/>
        </w:rPr>
        <w:t>Xie GD</w:t>
      </w:r>
      <w:r w:rsidRPr="00D41537">
        <w:rPr>
          <w:rFonts w:ascii="Book Antiqua" w:hAnsi="Book Antiqua"/>
        </w:rPr>
        <w:t xml:space="preserve">, Liu YR, Jiang YZ, Shao ZM. Epidemiology and survival outcomes of mucinous adenocarcinomas: A SEER population-based study. </w:t>
      </w:r>
      <w:r w:rsidRPr="00D41537">
        <w:rPr>
          <w:rFonts w:ascii="Book Antiqua" w:hAnsi="Book Antiqua"/>
          <w:i/>
          <w:iCs/>
        </w:rPr>
        <w:t>Sci Rep</w:t>
      </w:r>
      <w:r w:rsidRPr="00D41537">
        <w:rPr>
          <w:rFonts w:ascii="Book Antiqua" w:hAnsi="Book Antiqua"/>
        </w:rPr>
        <w:t xml:space="preserve"> 2018; </w:t>
      </w:r>
      <w:r w:rsidRPr="00D41537">
        <w:rPr>
          <w:rFonts w:ascii="Book Antiqua" w:hAnsi="Book Antiqua"/>
          <w:b/>
          <w:bCs/>
        </w:rPr>
        <w:t>8</w:t>
      </w:r>
      <w:r w:rsidRPr="00D41537">
        <w:rPr>
          <w:rFonts w:ascii="Book Antiqua" w:hAnsi="Book Antiqua"/>
        </w:rPr>
        <w:t>: 6117 [PMID: 29666453 DOI: 10.1038/s41598-018-24540-7]</w:t>
      </w:r>
    </w:p>
    <w:p w14:paraId="2369408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14 </w:t>
      </w:r>
      <w:r w:rsidRPr="00D41537">
        <w:rPr>
          <w:rFonts w:ascii="Book Antiqua" w:hAnsi="Book Antiqua"/>
          <w:b/>
          <w:bCs/>
        </w:rPr>
        <w:t>Shaib WL</w:t>
      </w:r>
      <w:r w:rsidRPr="00D41537">
        <w:rPr>
          <w:rFonts w:ascii="Book Antiqua" w:hAnsi="Book Antiqua"/>
        </w:rPr>
        <w:t xml:space="preserve">, Goodman M, Chen Z, Kim S, Brutcher E, Bekaii-Saab T, El-Rayes BF. Incidence and Survival of Appendiceal Mucinous Neoplasms: A SEER Analysis. </w:t>
      </w:r>
      <w:r w:rsidRPr="00D41537">
        <w:rPr>
          <w:rFonts w:ascii="Book Antiqua" w:hAnsi="Book Antiqua"/>
          <w:i/>
          <w:iCs/>
        </w:rPr>
        <w:t>Am J Clin Oncol</w:t>
      </w:r>
      <w:r w:rsidRPr="00D41537">
        <w:rPr>
          <w:rFonts w:ascii="Book Antiqua" w:hAnsi="Book Antiqua"/>
        </w:rPr>
        <w:t xml:space="preserve"> 2017; </w:t>
      </w:r>
      <w:r w:rsidRPr="00D41537">
        <w:rPr>
          <w:rFonts w:ascii="Book Antiqua" w:hAnsi="Book Antiqua"/>
          <w:b/>
          <w:bCs/>
        </w:rPr>
        <w:t>40</w:t>
      </w:r>
      <w:r w:rsidRPr="00D41537">
        <w:rPr>
          <w:rFonts w:ascii="Book Antiqua" w:hAnsi="Book Antiqua"/>
        </w:rPr>
        <w:t>: 569-573 [PMID: 26270447 DOI: 10.1097/COC.0000000000000210]</w:t>
      </w:r>
    </w:p>
    <w:p w14:paraId="17DE434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15 </w:t>
      </w:r>
      <w:r w:rsidRPr="00D41537">
        <w:rPr>
          <w:rFonts w:ascii="Book Antiqua" w:hAnsi="Book Antiqua"/>
          <w:b/>
          <w:bCs/>
        </w:rPr>
        <w:t>Reynolds IS</w:t>
      </w:r>
      <w:r w:rsidRPr="00D41537">
        <w:rPr>
          <w:rFonts w:ascii="Book Antiqua" w:hAnsi="Book Antiqua"/>
        </w:rPr>
        <w:t xml:space="preserve">, Furney SJ, Kay EW, McNamara DA, Prehn JHM, Burke JP. Meta-analysis of the molecular associations of mucinous colorectal cancer. </w:t>
      </w:r>
      <w:r w:rsidRPr="00D41537">
        <w:rPr>
          <w:rFonts w:ascii="Book Antiqua" w:hAnsi="Book Antiqua"/>
          <w:i/>
          <w:iCs/>
        </w:rPr>
        <w:t>Br J Surg</w:t>
      </w:r>
      <w:r w:rsidRPr="00D41537">
        <w:rPr>
          <w:rFonts w:ascii="Book Antiqua" w:hAnsi="Book Antiqua"/>
        </w:rPr>
        <w:t xml:space="preserve"> 2019; </w:t>
      </w:r>
      <w:r w:rsidRPr="00D41537">
        <w:rPr>
          <w:rFonts w:ascii="Book Antiqua" w:hAnsi="Book Antiqua"/>
          <w:b/>
          <w:bCs/>
        </w:rPr>
        <w:t>106</w:t>
      </w:r>
      <w:r w:rsidRPr="00D41537">
        <w:rPr>
          <w:rFonts w:ascii="Book Antiqua" w:hAnsi="Book Antiqua"/>
        </w:rPr>
        <w:t>: 682-691 [PMID: 30945755 DOI: 10.1002/bjs.11142]</w:t>
      </w:r>
    </w:p>
    <w:p w14:paraId="44C8D842"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16 </w:t>
      </w:r>
      <w:r w:rsidRPr="00D41537">
        <w:rPr>
          <w:rFonts w:ascii="Book Antiqua" w:hAnsi="Book Antiqua"/>
          <w:b/>
          <w:bCs/>
        </w:rPr>
        <w:t>Luo C</w:t>
      </w:r>
      <w:r w:rsidRPr="00D41537">
        <w:rPr>
          <w:rFonts w:ascii="Book Antiqua" w:hAnsi="Book Antiqua"/>
        </w:rPr>
        <w:t xml:space="preserve">, Cen S, Ding G, Wu W. Mucinous colorectal adenocarcinoma: clinical pathology and treatment options. </w:t>
      </w:r>
      <w:r w:rsidRPr="00D41537">
        <w:rPr>
          <w:rFonts w:ascii="Book Antiqua" w:hAnsi="Book Antiqua"/>
          <w:i/>
          <w:iCs/>
        </w:rPr>
        <w:t>Cancer Commun (Lond)</w:t>
      </w:r>
      <w:r w:rsidRPr="00D41537">
        <w:rPr>
          <w:rFonts w:ascii="Book Antiqua" w:hAnsi="Book Antiqua"/>
        </w:rPr>
        <w:t xml:space="preserve"> 2019; </w:t>
      </w:r>
      <w:r w:rsidRPr="00D41537">
        <w:rPr>
          <w:rFonts w:ascii="Book Antiqua" w:hAnsi="Book Antiqua"/>
          <w:b/>
          <w:bCs/>
        </w:rPr>
        <w:t>39</w:t>
      </w:r>
      <w:r w:rsidRPr="00D41537">
        <w:rPr>
          <w:rFonts w:ascii="Book Antiqua" w:hAnsi="Book Antiqua"/>
        </w:rPr>
        <w:t>: 13 [PMID: 30922401 DOI: 10.1186/s40880-019-0361-0]</w:t>
      </w:r>
    </w:p>
    <w:p w14:paraId="681D3C68"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17 </w:t>
      </w:r>
      <w:r w:rsidRPr="00D41537">
        <w:rPr>
          <w:rFonts w:ascii="Book Antiqua" w:hAnsi="Book Antiqua"/>
          <w:b/>
          <w:bCs/>
        </w:rPr>
        <w:t>Zong Z</w:t>
      </w:r>
      <w:r w:rsidRPr="00D41537">
        <w:rPr>
          <w:rFonts w:ascii="Book Antiqua" w:hAnsi="Book Antiqua"/>
        </w:rPr>
        <w:t xml:space="preserve">, Luo Y, Ying H, Wang A, Li H, Yi C. Trends of incidence and survival in patients with gastrointestinal mucinous adenocarcinoma. </w:t>
      </w:r>
      <w:r w:rsidRPr="00D41537">
        <w:rPr>
          <w:rFonts w:ascii="Book Antiqua" w:hAnsi="Book Antiqua"/>
          <w:i/>
          <w:iCs/>
        </w:rPr>
        <w:t>Oncol Lett</w:t>
      </w:r>
      <w:r w:rsidRPr="00D41537">
        <w:rPr>
          <w:rFonts w:ascii="Book Antiqua" w:hAnsi="Book Antiqua"/>
        </w:rPr>
        <w:t xml:space="preserve"> 2018; </w:t>
      </w:r>
      <w:r w:rsidRPr="00D41537">
        <w:rPr>
          <w:rFonts w:ascii="Book Antiqua" w:hAnsi="Book Antiqua"/>
          <w:b/>
          <w:bCs/>
        </w:rPr>
        <w:t>16</w:t>
      </w:r>
      <w:r w:rsidRPr="00D41537">
        <w:rPr>
          <w:rFonts w:ascii="Book Antiqua" w:hAnsi="Book Antiqua"/>
        </w:rPr>
        <w:t>: 5791-5798 [PMID: 30344730 DOI: 10.3892/ol.2018.9394]</w:t>
      </w:r>
    </w:p>
    <w:p w14:paraId="44A35938"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18 </w:t>
      </w:r>
      <w:r w:rsidRPr="00D41537">
        <w:rPr>
          <w:rFonts w:ascii="Book Antiqua" w:hAnsi="Book Antiqua"/>
          <w:b/>
          <w:bCs/>
        </w:rPr>
        <w:t>Benesch MGK</w:t>
      </w:r>
      <w:r w:rsidRPr="00D41537">
        <w:rPr>
          <w:rFonts w:ascii="Book Antiqua" w:hAnsi="Book Antiqua"/>
        </w:rPr>
        <w:t xml:space="preserve">, Mathieson A. Epidemiology of Mucinous Adenocarcinomas. </w:t>
      </w:r>
      <w:r w:rsidRPr="00D41537">
        <w:rPr>
          <w:rFonts w:ascii="Book Antiqua" w:hAnsi="Book Antiqua"/>
          <w:i/>
          <w:iCs/>
        </w:rPr>
        <w:t>Cancers (Basel)</w:t>
      </w:r>
      <w:r w:rsidRPr="00D41537">
        <w:rPr>
          <w:rFonts w:ascii="Book Antiqua" w:hAnsi="Book Antiqua"/>
        </w:rPr>
        <w:t xml:space="preserve"> 2020; </w:t>
      </w:r>
      <w:r w:rsidRPr="00D41537">
        <w:rPr>
          <w:rFonts w:ascii="Book Antiqua" w:hAnsi="Book Antiqua"/>
          <w:b/>
          <w:bCs/>
        </w:rPr>
        <w:t>12</w:t>
      </w:r>
      <w:r w:rsidRPr="00D41537">
        <w:rPr>
          <w:rFonts w:ascii="Book Antiqua" w:hAnsi="Book Antiqua"/>
        </w:rPr>
        <w:t xml:space="preserve"> [PMID: 33143115 DOI: 10.3390/cancers12113193]</w:t>
      </w:r>
    </w:p>
    <w:p w14:paraId="49A28159"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19 </w:t>
      </w:r>
      <w:r w:rsidRPr="00D41537">
        <w:rPr>
          <w:rFonts w:ascii="Book Antiqua" w:hAnsi="Book Antiqua"/>
          <w:b/>
          <w:bCs/>
        </w:rPr>
        <w:t>Verhulst J</w:t>
      </w:r>
      <w:r w:rsidRPr="00D41537">
        <w:rPr>
          <w:rFonts w:ascii="Book Antiqua" w:hAnsi="Book Antiqua"/>
        </w:rPr>
        <w:t xml:space="preserve">, Ferdinande L, Demetter P, Ceelen W. Mucinous subtype as prognostic factor in colorectal cancer: a systematic review and meta-analysis. </w:t>
      </w:r>
      <w:r w:rsidRPr="00D41537">
        <w:rPr>
          <w:rFonts w:ascii="Book Antiqua" w:hAnsi="Book Antiqua"/>
          <w:i/>
          <w:iCs/>
        </w:rPr>
        <w:t>J Clin Pathol</w:t>
      </w:r>
      <w:r w:rsidRPr="00D41537">
        <w:rPr>
          <w:rFonts w:ascii="Book Antiqua" w:hAnsi="Book Antiqua"/>
        </w:rPr>
        <w:t xml:space="preserve"> 2012; </w:t>
      </w:r>
      <w:r w:rsidRPr="00D41537">
        <w:rPr>
          <w:rFonts w:ascii="Book Antiqua" w:hAnsi="Book Antiqua"/>
          <w:b/>
          <w:bCs/>
        </w:rPr>
        <w:t>65</w:t>
      </w:r>
      <w:r w:rsidRPr="00D41537">
        <w:rPr>
          <w:rFonts w:ascii="Book Antiqua" w:hAnsi="Book Antiqua"/>
        </w:rPr>
        <w:t>: 381-388 [PMID: 22259177 DOI: 10.1136/jclinpath-2011-200340]</w:t>
      </w:r>
    </w:p>
    <w:p w14:paraId="7A492286"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20 </w:t>
      </w:r>
      <w:r w:rsidRPr="00D41537">
        <w:rPr>
          <w:rFonts w:ascii="Book Antiqua" w:hAnsi="Book Antiqua"/>
          <w:b/>
          <w:bCs/>
        </w:rPr>
        <w:t>Li ZP</w:t>
      </w:r>
      <w:r w:rsidRPr="00D41537">
        <w:rPr>
          <w:rFonts w:ascii="Book Antiqua" w:hAnsi="Book Antiqua"/>
        </w:rPr>
        <w:t xml:space="preserve">, Liu XY, Kao XM, Chen YT, Han SQ, Huang MX, Liu C, Tang XY, Chen YY, Xiang D, Huang YD, Lei ZJ, Chu XY. Clinicopathological characteristics and prognosis of colorectal mucinous adenocarcinoma and nonmucinous adenocarcinoma: a surveillance, </w:t>
      </w:r>
      <w:r w:rsidRPr="00D41537">
        <w:rPr>
          <w:rFonts w:ascii="Book Antiqua" w:hAnsi="Book Antiqua"/>
        </w:rPr>
        <w:lastRenderedPageBreak/>
        <w:t xml:space="preserve">epidemiology, and end results (SEER) population-based study. </w:t>
      </w:r>
      <w:r w:rsidRPr="00D41537">
        <w:rPr>
          <w:rFonts w:ascii="Book Antiqua" w:hAnsi="Book Antiqua"/>
          <w:i/>
          <w:iCs/>
        </w:rPr>
        <w:t>Ann Transl Med</w:t>
      </w:r>
      <w:r w:rsidRPr="00D41537">
        <w:rPr>
          <w:rFonts w:ascii="Book Antiqua" w:hAnsi="Book Antiqua"/>
        </w:rPr>
        <w:t xml:space="preserve"> 2020; </w:t>
      </w:r>
      <w:r w:rsidRPr="00D41537">
        <w:rPr>
          <w:rFonts w:ascii="Book Antiqua" w:hAnsi="Book Antiqua"/>
          <w:b/>
          <w:bCs/>
        </w:rPr>
        <w:t>8</w:t>
      </w:r>
      <w:r w:rsidRPr="00D41537">
        <w:rPr>
          <w:rFonts w:ascii="Book Antiqua" w:hAnsi="Book Antiqua"/>
        </w:rPr>
        <w:t>: 205 [PMID: 32309352 DOI: 10.21037/atm.2020.01.52]</w:t>
      </w:r>
    </w:p>
    <w:p w14:paraId="62BE5DCC"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21 </w:t>
      </w:r>
      <w:r w:rsidRPr="00D41537">
        <w:rPr>
          <w:rFonts w:ascii="Book Antiqua" w:hAnsi="Book Antiqua"/>
          <w:b/>
          <w:bCs/>
        </w:rPr>
        <w:t>Warschkow R</w:t>
      </w:r>
      <w:r w:rsidRPr="00D41537">
        <w:rPr>
          <w:rFonts w:ascii="Book Antiqua" w:hAnsi="Book Antiqua"/>
        </w:rPr>
        <w:t xml:space="preserve">, Tarantino I, Huttner FJ, Schmied BM, Guller U, Diener MK, Ulrich A. Predictive value of mucinous histology in colon cancer: a population-based, propensity score matched analysis. </w:t>
      </w:r>
      <w:r w:rsidRPr="00D41537">
        <w:rPr>
          <w:rFonts w:ascii="Book Antiqua" w:hAnsi="Book Antiqua"/>
          <w:i/>
          <w:iCs/>
        </w:rPr>
        <w:t>Br J Cancer</w:t>
      </w:r>
      <w:r w:rsidRPr="00D41537">
        <w:rPr>
          <w:rFonts w:ascii="Book Antiqua" w:hAnsi="Book Antiqua"/>
        </w:rPr>
        <w:t xml:space="preserve"> 2016; </w:t>
      </w:r>
      <w:r w:rsidRPr="00D41537">
        <w:rPr>
          <w:rFonts w:ascii="Book Antiqua" w:hAnsi="Book Antiqua"/>
          <w:b/>
          <w:bCs/>
        </w:rPr>
        <w:t>114</w:t>
      </w:r>
      <w:r w:rsidRPr="00D41537">
        <w:rPr>
          <w:rFonts w:ascii="Book Antiqua" w:hAnsi="Book Antiqua"/>
        </w:rPr>
        <w:t>: 1027-1032 [PMID: 26977857 DOI: 10.1038/bjc.2016.57]</w:t>
      </w:r>
    </w:p>
    <w:p w14:paraId="3C214356"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22 </w:t>
      </w:r>
      <w:r w:rsidRPr="00D41537">
        <w:rPr>
          <w:rFonts w:ascii="Book Antiqua" w:hAnsi="Book Antiqua"/>
          <w:b/>
          <w:bCs/>
        </w:rPr>
        <w:t>Lan YT</w:t>
      </w:r>
      <w:r w:rsidRPr="00D41537">
        <w:rPr>
          <w:rFonts w:ascii="Book Antiqua" w:hAnsi="Book Antiqua"/>
        </w:rPr>
        <w:t xml:space="preserve">, Chang SC, Lin PC, Lin CC, Lin HH, Huang SC, Lin CH, Liang WY, Chen WS, Jiang JK, Lin JK, Yang SH. Clinicopathological and Molecular Features of Colorectal Cancer Patients With Mucinous and Non-Mucinous Adenocarcinoma. </w:t>
      </w:r>
      <w:r w:rsidRPr="00D41537">
        <w:rPr>
          <w:rFonts w:ascii="Book Antiqua" w:hAnsi="Book Antiqua"/>
          <w:i/>
          <w:iCs/>
        </w:rPr>
        <w:t>Front Oncol</w:t>
      </w:r>
      <w:r w:rsidRPr="00D41537">
        <w:rPr>
          <w:rFonts w:ascii="Book Antiqua" w:hAnsi="Book Antiqua"/>
        </w:rPr>
        <w:t xml:space="preserve"> 2021; </w:t>
      </w:r>
      <w:r w:rsidRPr="00D41537">
        <w:rPr>
          <w:rFonts w:ascii="Book Antiqua" w:hAnsi="Book Antiqua"/>
          <w:b/>
          <w:bCs/>
        </w:rPr>
        <w:t>11</w:t>
      </w:r>
      <w:r w:rsidRPr="00D41537">
        <w:rPr>
          <w:rFonts w:ascii="Book Antiqua" w:hAnsi="Book Antiqua"/>
        </w:rPr>
        <w:t>: 620146 [PMID: 33738258 DOI: 10.3389/fonc.2021.620146]</w:t>
      </w:r>
    </w:p>
    <w:p w14:paraId="6321071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23 </w:t>
      </w:r>
      <w:r w:rsidRPr="00D41537">
        <w:rPr>
          <w:rFonts w:ascii="Book Antiqua" w:hAnsi="Book Antiqua"/>
          <w:b/>
          <w:bCs/>
        </w:rPr>
        <w:t>Hugen N</w:t>
      </w:r>
      <w:r w:rsidRPr="00D41537">
        <w:rPr>
          <w:rFonts w:ascii="Book Antiqua" w:hAnsi="Book Antiqua"/>
        </w:rPr>
        <w:t xml:space="preserve">, Verhoeven RH, Radema SA, de Hingh IH, Pruijt JF, Nagtegaal ID, Lemmens VE, de Wilt JH. Prognosis and value of adjuvant chemotherapy in stage III mucinous colorectal carcinoma. </w:t>
      </w:r>
      <w:r w:rsidRPr="00D41537">
        <w:rPr>
          <w:rFonts w:ascii="Book Antiqua" w:hAnsi="Book Antiqua"/>
          <w:i/>
          <w:iCs/>
        </w:rPr>
        <w:t>Ann Oncol</w:t>
      </w:r>
      <w:r w:rsidRPr="00D41537">
        <w:rPr>
          <w:rFonts w:ascii="Book Antiqua" w:hAnsi="Book Antiqua"/>
        </w:rPr>
        <w:t xml:space="preserve"> 2013; </w:t>
      </w:r>
      <w:r w:rsidRPr="00D41537">
        <w:rPr>
          <w:rFonts w:ascii="Book Antiqua" w:hAnsi="Book Antiqua"/>
          <w:b/>
          <w:bCs/>
        </w:rPr>
        <w:t>24</w:t>
      </w:r>
      <w:r w:rsidRPr="00D41537">
        <w:rPr>
          <w:rFonts w:ascii="Book Antiqua" w:hAnsi="Book Antiqua"/>
        </w:rPr>
        <w:t>: 2819-2824 [PMID: 24057984 DOI: 10.1093/annonc/mdt378]</w:t>
      </w:r>
    </w:p>
    <w:p w14:paraId="051AF1A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24 </w:t>
      </w:r>
      <w:r w:rsidRPr="00D41537">
        <w:rPr>
          <w:rFonts w:ascii="Book Antiqua" w:hAnsi="Book Antiqua"/>
          <w:b/>
          <w:bCs/>
        </w:rPr>
        <w:t>Patel C</w:t>
      </w:r>
      <w:r w:rsidRPr="00D41537">
        <w:rPr>
          <w:rFonts w:ascii="Book Antiqua" w:hAnsi="Book Antiqua"/>
        </w:rPr>
        <w:t xml:space="preserve">, Behring M, Al Diffalha S, Dhall D, Lee G, Shanmugam C, Grizzle WE, Manne U. Immunophenotypic profiles and prognosis for colorectal mucinous adenocarcinomas are dependent on anatomic location. </w:t>
      </w:r>
      <w:r w:rsidRPr="00D41537">
        <w:rPr>
          <w:rFonts w:ascii="Book Antiqua" w:hAnsi="Book Antiqua"/>
          <w:i/>
          <w:iCs/>
        </w:rPr>
        <w:t>Cancer Med</w:t>
      </w:r>
      <w:r w:rsidRPr="00D41537">
        <w:rPr>
          <w:rFonts w:ascii="Book Antiqua" w:hAnsi="Book Antiqua"/>
        </w:rPr>
        <w:t xml:space="preserve"> 2023; </w:t>
      </w:r>
      <w:r w:rsidRPr="00D41537">
        <w:rPr>
          <w:rFonts w:ascii="Book Antiqua" w:hAnsi="Book Antiqua"/>
          <w:b/>
          <w:bCs/>
        </w:rPr>
        <w:t>12</w:t>
      </w:r>
      <w:r w:rsidRPr="00D41537">
        <w:rPr>
          <w:rFonts w:ascii="Book Antiqua" w:hAnsi="Book Antiqua"/>
        </w:rPr>
        <w:t>: 9637-9643 [PMID: 36916704 DOI: 10.1002/cam4.5803]</w:t>
      </w:r>
    </w:p>
    <w:p w14:paraId="75B64346"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25 </w:t>
      </w:r>
      <w:r w:rsidRPr="00D41537">
        <w:rPr>
          <w:rFonts w:ascii="Book Antiqua" w:hAnsi="Book Antiqua"/>
          <w:b/>
          <w:bCs/>
        </w:rPr>
        <w:t>Ahadi M</w:t>
      </w:r>
      <w:r w:rsidRPr="00D41537">
        <w:rPr>
          <w:rFonts w:ascii="Book Antiqua" w:hAnsi="Book Antiqua"/>
        </w:rPr>
        <w:t xml:space="preserve">, Sokolova A, Brown I, Chou A, Gill AJ. The 2019 World Health Organization Classification of appendiceal, colorectal and anal canal tumours: an update and critical assessment. </w:t>
      </w:r>
      <w:r w:rsidRPr="00D41537">
        <w:rPr>
          <w:rFonts w:ascii="Book Antiqua" w:hAnsi="Book Antiqua"/>
          <w:i/>
          <w:iCs/>
        </w:rPr>
        <w:t>Pathology</w:t>
      </w:r>
      <w:r w:rsidRPr="00D41537">
        <w:rPr>
          <w:rFonts w:ascii="Book Antiqua" w:hAnsi="Book Antiqua"/>
        </w:rPr>
        <w:t xml:space="preserve"> 2021; </w:t>
      </w:r>
      <w:r w:rsidRPr="00D41537">
        <w:rPr>
          <w:rFonts w:ascii="Book Antiqua" w:hAnsi="Book Antiqua"/>
          <w:b/>
          <w:bCs/>
        </w:rPr>
        <w:t>53</w:t>
      </w:r>
      <w:r w:rsidRPr="00D41537">
        <w:rPr>
          <w:rFonts w:ascii="Book Antiqua" w:hAnsi="Book Antiqua"/>
        </w:rPr>
        <w:t>: 454-461 [PMID: 33461799 DOI: 10.1016/j.pathol.2020.10.010]</w:t>
      </w:r>
    </w:p>
    <w:p w14:paraId="6C3FD4EE"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26 </w:t>
      </w:r>
      <w:r w:rsidRPr="00D41537">
        <w:rPr>
          <w:rFonts w:ascii="Book Antiqua" w:hAnsi="Book Antiqua"/>
          <w:b/>
          <w:bCs/>
        </w:rPr>
        <w:t>Shaib WL</w:t>
      </w:r>
      <w:r w:rsidRPr="00D41537">
        <w:rPr>
          <w:rFonts w:ascii="Book Antiqua" w:hAnsi="Book Antiqua"/>
        </w:rPr>
        <w:t xml:space="preserve">, Assi R, Shamseddine A, Alese OB, Staley C 3rd, Memis B, Adsay V, Bekaii-Saab T, El-Rayes BF. Appendiceal Mucinous Neoplasms: Diagnosis and Management. </w:t>
      </w:r>
      <w:r w:rsidRPr="00D41537">
        <w:rPr>
          <w:rFonts w:ascii="Book Antiqua" w:hAnsi="Book Antiqua"/>
          <w:i/>
          <w:iCs/>
        </w:rPr>
        <w:t>Oncologist</w:t>
      </w:r>
      <w:r w:rsidRPr="00D41537">
        <w:rPr>
          <w:rFonts w:ascii="Book Antiqua" w:hAnsi="Book Antiqua"/>
        </w:rPr>
        <w:t xml:space="preserve"> 2017; </w:t>
      </w:r>
      <w:r w:rsidRPr="00D41537">
        <w:rPr>
          <w:rFonts w:ascii="Book Antiqua" w:hAnsi="Book Antiqua"/>
          <w:b/>
          <w:bCs/>
        </w:rPr>
        <w:t>22</w:t>
      </w:r>
      <w:r w:rsidRPr="00D41537">
        <w:rPr>
          <w:rFonts w:ascii="Book Antiqua" w:hAnsi="Book Antiqua"/>
        </w:rPr>
        <w:t>: 1107-1116 [PMID: 28663356 DOI: 10.1634/theoncologist.2017-0081]</w:t>
      </w:r>
    </w:p>
    <w:p w14:paraId="67D89C14"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27 </w:t>
      </w:r>
      <w:r w:rsidRPr="00D41537">
        <w:rPr>
          <w:rFonts w:ascii="Book Antiqua" w:hAnsi="Book Antiqua"/>
          <w:b/>
          <w:bCs/>
        </w:rPr>
        <w:t>Ott C</w:t>
      </w:r>
      <w:r w:rsidRPr="00D41537">
        <w:rPr>
          <w:rFonts w:ascii="Book Antiqua" w:hAnsi="Book Antiqua"/>
        </w:rPr>
        <w:t xml:space="preserve">, Gerken M, Hirsch D, Fest P, Fichtner-Feigl S, Munker S, Schnoy E, Stroszczynski C, Vogelhuber M, Herr W, Evert M, Reng M, Schlitt HJ, Klinkhammer-Schalke M, Teufel A. Advanced Mucinous Colorectal Cancer: Epidemiology, Prognosis and Efficacy of Chemotherapeutic Treatment. </w:t>
      </w:r>
      <w:r w:rsidRPr="00D41537">
        <w:rPr>
          <w:rFonts w:ascii="Book Antiqua" w:hAnsi="Book Antiqua"/>
          <w:i/>
          <w:iCs/>
        </w:rPr>
        <w:t>Digestion</w:t>
      </w:r>
      <w:r w:rsidRPr="00D41537">
        <w:rPr>
          <w:rFonts w:ascii="Book Antiqua" w:hAnsi="Book Antiqua"/>
        </w:rPr>
        <w:t xml:space="preserve"> 2018; </w:t>
      </w:r>
      <w:r w:rsidRPr="00D41537">
        <w:rPr>
          <w:rFonts w:ascii="Book Antiqua" w:hAnsi="Book Antiqua"/>
          <w:b/>
          <w:bCs/>
        </w:rPr>
        <w:t>98</w:t>
      </w:r>
      <w:r w:rsidRPr="00D41537">
        <w:rPr>
          <w:rFonts w:ascii="Book Antiqua" w:hAnsi="Book Antiqua"/>
        </w:rPr>
        <w:t>: 143-152 [PMID: 29870979 DOI: 10.1159/000487710]</w:t>
      </w:r>
    </w:p>
    <w:p w14:paraId="7BE8A193"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lastRenderedPageBreak/>
        <w:t xml:space="preserve">28 </w:t>
      </w:r>
      <w:r w:rsidRPr="00D41537">
        <w:rPr>
          <w:rFonts w:ascii="Book Antiqua" w:hAnsi="Book Antiqua"/>
          <w:b/>
          <w:bCs/>
        </w:rPr>
        <w:t>Wu Q</w:t>
      </w:r>
      <w:r w:rsidRPr="00D41537">
        <w:rPr>
          <w:rFonts w:ascii="Book Antiqua" w:hAnsi="Book Antiqua"/>
        </w:rPr>
        <w:t xml:space="preserve">, Zhang S, Wang H, Zeng Y, Yang W, Pan W, Hong G, Gao W. A prognostic nomogram for predicting overall survival in colorectal mucinous adenocarcinoma patients based on the SEER database. </w:t>
      </w:r>
      <w:r w:rsidRPr="00D41537">
        <w:rPr>
          <w:rFonts w:ascii="Book Antiqua" w:hAnsi="Book Antiqua"/>
          <w:i/>
          <w:iCs/>
        </w:rPr>
        <w:t>Biomol Biomed</w:t>
      </w:r>
      <w:r w:rsidRPr="00D41537">
        <w:rPr>
          <w:rFonts w:ascii="Book Antiqua" w:hAnsi="Book Antiqua"/>
        </w:rPr>
        <w:t xml:space="preserve"> 2023; </w:t>
      </w:r>
      <w:r w:rsidRPr="00D41537">
        <w:rPr>
          <w:rFonts w:ascii="Book Antiqua" w:hAnsi="Book Antiqua"/>
          <w:b/>
          <w:bCs/>
        </w:rPr>
        <w:t>23</w:t>
      </w:r>
      <w:r w:rsidRPr="00D41537">
        <w:rPr>
          <w:rFonts w:ascii="Book Antiqua" w:hAnsi="Book Antiqua"/>
        </w:rPr>
        <w:t>: 517-526 [PMID: 36373623 DOI: 10.17305/bjbms.2022.8297]</w:t>
      </w:r>
    </w:p>
    <w:p w14:paraId="268B7D57" w14:textId="77777777" w:rsidR="004818C0" w:rsidRPr="00D41537" w:rsidRDefault="004818C0" w:rsidP="00D41537">
      <w:pPr>
        <w:adjustRightInd w:val="0"/>
        <w:snapToGrid w:val="0"/>
        <w:spacing w:line="360" w:lineRule="auto"/>
        <w:jc w:val="both"/>
        <w:rPr>
          <w:rFonts w:ascii="Book Antiqua" w:hAnsi="Book Antiqua"/>
        </w:rPr>
      </w:pPr>
      <w:r w:rsidRPr="00D41537">
        <w:rPr>
          <w:rFonts w:ascii="Book Antiqua" w:hAnsi="Book Antiqua"/>
        </w:rPr>
        <w:t xml:space="preserve">29 </w:t>
      </w:r>
      <w:r w:rsidRPr="00D41537">
        <w:rPr>
          <w:rFonts w:ascii="Book Antiqua" w:hAnsi="Book Antiqua"/>
          <w:b/>
          <w:bCs/>
        </w:rPr>
        <w:t>Missiaglia E</w:t>
      </w:r>
      <w:r w:rsidRPr="00D41537">
        <w:rPr>
          <w:rFonts w:ascii="Book Antiqua" w:hAnsi="Book Antiqua"/>
        </w:rPr>
        <w:t xml:space="preserve">, Jacobs B, D'Ario G, Di Narzo AF, Soneson C, Budinska E, Popovici V, Vecchione L, Gerster S, Yan P, Roth AD, Klingbiel D, Bosman FT, Delorenzi M, Tejpar S. Distal and proximal colon cancers differ in terms of molecular, pathological, and clinical features. </w:t>
      </w:r>
      <w:r w:rsidRPr="00D41537">
        <w:rPr>
          <w:rFonts w:ascii="Book Antiqua" w:hAnsi="Book Antiqua"/>
          <w:i/>
          <w:iCs/>
        </w:rPr>
        <w:t>Ann Oncol</w:t>
      </w:r>
      <w:r w:rsidRPr="00D41537">
        <w:rPr>
          <w:rFonts w:ascii="Book Antiqua" w:hAnsi="Book Antiqua"/>
        </w:rPr>
        <w:t xml:space="preserve"> 2014; </w:t>
      </w:r>
      <w:r w:rsidRPr="00D41537">
        <w:rPr>
          <w:rFonts w:ascii="Book Antiqua" w:hAnsi="Book Antiqua"/>
          <w:b/>
          <w:bCs/>
        </w:rPr>
        <w:t>25</w:t>
      </w:r>
      <w:r w:rsidRPr="00D41537">
        <w:rPr>
          <w:rFonts w:ascii="Book Antiqua" w:hAnsi="Book Antiqua"/>
        </w:rPr>
        <w:t>: 1995-2001 [PMID: 25057166 DOI: 10.1093/annonc/mdu275]</w:t>
      </w:r>
    </w:p>
    <w:p w14:paraId="21A7A237" w14:textId="77777777" w:rsidR="00A77B3E" w:rsidRPr="00D41537" w:rsidRDefault="00A77B3E" w:rsidP="00D41537">
      <w:pPr>
        <w:spacing w:line="360" w:lineRule="auto"/>
        <w:jc w:val="both"/>
        <w:rPr>
          <w:rFonts w:ascii="Book Antiqua" w:hAnsi="Book Antiqua"/>
        </w:rPr>
      </w:pPr>
    </w:p>
    <w:p w14:paraId="37BEB5CF"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Footnotes</w:t>
      </w:r>
    </w:p>
    <w:p w14:paraId="2A518E0F" w14:textId="3E21E8D7" w:rsidR="00A77B3E" w:rsidRPr="00D41537" w:rsidRDefault="00D41537" w:rsidP="00D41537">
      <w:pPr>
        <w:spacing w:line="360" w:lineRule="auto"/>
        <w:jc w:val="both"/>
        <w:rPr>
          <w:rFonts w:ascii="Book Antiqua" w:eastAsia="Book Antiqua" w:hAnsi="Book Antiqua" w:cs="Book Antiqua"/>
          <w:color w:val="000000"/>
        </w:rPr>
      </w:pPr>
      <w:r w:rsidRPr="00D41537">
        <w:rPr>
          <w:rFonts w:ascii="Book Antiqua" w:eastAsia="Book Antiqua" w:hAnsi="Book Antiqua" w:cs="Book Antiqua"/>
          <w:b/>
          <w:bCs/>
        </w:rPr>
        <w:t xml:space="preserve">Institutional review board statement: </w:t>
      </w:r>
      <w:r w:rsidR="00ED34FF" w:rsidRPr="00D41537">
        <w:rPr>
          <w:rFonts w:ascii="Book Antiqua" w:eastAsia="Book Antiqua" w:hAnsi="Book Antiqua" w:cs="Book Antiqua"/>
        </w:rPr>
        <w:t>This research project falls under the category of research conducted using lawfully obtained public data or data generated through observation without interfering with public behavior. Review and informed consent were exempted.</w:t>
      </w:r>
    </w:p>
    <w:p w14:paraId="020D7F06" w14:textId="77777777" w:rsidR="00ED34FF" w:rsidRPr="00D41537" w:rsidRDefault="00ED34FF" w:rsidP="00D41537">
      <w:pPr>
        <w:spacing w:line="360" w:lineRule="auto"/>
        <w:jc w:val="both"/>
        <w:rPr>
          <w:rFonts w:ascii="Book Antiqua" w:eastAsia="Book Antiqua" w:hAnsi="Book Antiqua" w:cs="Book Antiqua"/>
          <w:color w:val="000000"/>
        </w:rPr>
      </w:pPr>
    </w:p>
    <w:p w14:paraId="476A933E" w14:textId="53E76ADB" w:rsidR="00ED34FF" w:rsidRPr="00D41537" w:rsidRDefault="00ED34FF"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t>Informed consent statement:</w:t>
      </w:r>
      <w:r w:rsidRPr="00D41537">
        <w:rPr>
          <w:rFonts w:ascii="Book Antiqua" w:eastAsia="Book Antiqua" w:hAnsi="Book Antiqua" w:cs="Book Antiqua"/>
        </w:rPr>
        <w:t xml:space="preserve"> All data were downloaded from the “SEER Database</w:t>
      </w:r>
      <w:r w:rsidR="00B30D14">
        <w:rPr>
          <w:rFonts w:ascii="Book Antiqua" w:eastAsia="Book Antiqua" w:hAnsi="Book Antiqua" w:cs="Book Antiqua"/>
        </w:rPr>
        <w:t>,</w:t>
      </w:r>
      <w:r w:rsidRPr="00D41537">
        <w:rPr>
          <w:rFonts w:ascii="Book Antiqua" w:eastAsia="Book Antiqua" w:hAnsi="Book Antiqua" w:cs="Book Antiqua"/>
        </w:rPr>
        <w:t>” and informed consent</w:t>
      </w:r>
      <w:r w:rsidR="00B30D14">
        <w:rPr>
          <w:rFonts w:ascii="Book Antiqua" w:eastAsia="Book Antiqua" w:hAnsi="Book Antiqua" w:cs="Book Antiqua"/>
        </w:rPr>
        <w:t>s</w:t>
      </w:r>
      <w:r w:rsidRPr="00D41537">
        <w:rPr>
          <w:rFonts w:ascii="Book Antiqua" w:eastAsia="Book Antiqua" w:hAnsi="Book Antiqua" w:cs="Book Antiqua"/>
        </w:rPr>
        <w:t xml:space="preserve"> were exempted.</w:t>
      </w:r>
    </w:p>
    <w:p w14:paraId="15C39059" w14:textId="77777777" w:rsidR="00A77B3E" w:rsidRPr="00D41537" w:rsidRDefault="00A77B3E" w:rsidP="00D41537">
      <w:pPr>
        <w:spacing w:line="360" w:lineRule="auto"/>
        <w:jc w:val="both"/>
        <w:rPr>
          <w:rFonts w:ascii="Book Antiqua" w:hAnsi="Book Antiqua"/>
        </w:rPr>
      </w:pPr>
    </w:p>
    <w:p w14:paraId="0A8550F8"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Conflict-of-interest statement: </w:t>
      </w:r>
      <w:r w:rsidRPr="00D41537">
        <w:rPr>
          <w:rFonts w:ascii="Book Antiqua" w:eastAsia="Book Antiqua" w:hAnsi="Book Antiqua" w:cs="Book Antiqua"/>
        </w:rPr>
        <w:t>The authors declare that the research was conducted in the absence of any commercial or financial relationships that could be construed as a potential conflict of interest.</w:t>
      </w:r>
    </w:p>
    <w:p w14:paraId="377FFB22" w14:textId="77777777" w:rsidR="00A77B3E" w:rsidRPr="00D41537" w:rsidRDefault="00A77B3E" w:rsidP="00D41537">
      <w:pPr>
        <w:spacing w:line="360" w:lineRule="auto"/>
        <w:jc w:val="both"/>
        <w:rPr>
          <w:rFonts w:ascii="Book Antiqua" w:hAnsi="Book Antiqua"/>
        </w:rPr>
      </w:pPr>
    </w:p>
    <w:p w14:paraId="43D2144E"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Data sharing statement: </w:t>
      </w:r>
      <w:r w:rsidRPr="00D41537">
        <w:rPr>
          <w:rFonts w:ascii="Book Antiqua" w:eastAsia="Book Antiqua" w:hAnsi="Book Antiqua" w:cs="Book Antiqua"/>
        </w:rPr>
        <w:t>No additional data are available.</w:t>
      </w:r>
    </w:p>
    <w:p w14:paraId="6D61BCB7" w14:textId="77777777" w:rsidR="00A77B3E" w:rsidRPr="00D41537" w:rsidRDefault="00A77B3E" w:rsidP="00D41537">
      <w:pPr>
        <w:spacing w:line="360" w:lineRule="auto"/>
        <w:jc w:val="both"/>
        <w:rPr>
          <w:rFonts w:ascii="Book Antiqua" w:hAnsi="Book Antiqua"/>
        </w:rPr>
      </w:pPr>
    </w:p>
    <w:p w14:paraId="5991A427"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 xml:space="preserve">Open-Access: </w:t>
      </w:r>
      <w:r w:rsidRPr="00D4153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5346C2" w14:textId="77777777" w:rsidR="00A77B3E" w:rsidRPr="00D41537" w:rsidRDefault="00A77B3E" w:rsidP="00D41537">
      <w:pPr>
        <w:spacing w:line="360" w:lineRule="auto"/>
        <w:jc w:val="both"/>
        <w:rPr>
          <w:rFonts w:ascii="Book Antiqua" w:hAnsi="Book Antiqua"/>
        </w:rPr>
      </w:pPr>
    </w:p>
    <w:p w14:paraId="19495189" w14:textId="6FFB2B5F" w:rsidR="00C3590B" w:rsidRPr="00D41537" w:rsidRDefault="00D41537" w:rsidP="00D41537">
      <w:pPr>
        <w:spacing w:line="360" w:lineRule="auto"/>
        <w:jc w:val="both"/>
        <w:rPr>
          <w:rFonts w:ascii="Book Antiqua" w:eastAsia="Book Antiqua" w:hAnsi="Book Antiqua" w:cs="Book Antiqua"/>
          <w:b/>
          <w:color w:val="000000"/>
        </w:rPr>
      </w:pPr>
      <w:r w:rsidRPr="00D41537">
        <w:rPr>
          <w:rFonts w:ascii="Book Antiqua" w:eastAsia="Book Antiqua" w:hAnsi="Book Antiqua" w:cs="Book Antiqua"/>
          <w:b/>
          <w:color w:val="000000"/>
        </w:rPr>
        <w:t xml:space="preserve">Provenance and peer review: </w:t>
      </w:r>
      <w:r w:rsidRPr="00D41537">
        <w:rPr>
          <w:rFonts w:ascii="Book Antiqua" w:eastAsia="Book Antiqua" w:hAnsi="Book Antiqua" w:cs="Book Antiqua"/>
        </w:rPr>
        <w:t>Unsolicited article; Externally peer reviewed.</w:t>
      </w:r>
    </w:p>
    <w:p w14:paraId="4124215A" w14:textId="3FB83801"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 xml:space="preserve">Peer-review model: </w:t>
      </w:r>
      <w:r w:rsidRPr="00D41537">
        <w:rPr>
          <w:rFonts w:ascii="Book Antiqua" w:eastAsia="Book Antiqua" w:hAnsi="Book Antiqua" w:cs="Book Antiqua"/>
        </w:rPr>
        <w:t>Single blind</w:t>
      </w:r>
    </w:p>
    <w:p w14:paraId="22204BBE" w14:textId="77777777" w:rsidR="00A77B3E" w:rsidRPr="00D41537" w:rsidRDefault="00A77B3E" w:rsidP="00D41537">
      <w:pPr>
        <w:spacing w:line="360" w:lineRule="auto"/>
        <w:jc w:val="both"/>
        <w:rPr>
          <w:rFonts w:ascii="Book Antiqua" w:hAnsi="Book Antiqua"/>
        </w:rPr>
      </w:pPr>
    </w:p>
    <w:p w14:paraId="4C068DE4"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 xml:space="preserve">Peer-review started: </w:t>
      </w:r>
      <w:r w:rsidRPr="00D41537">
        <w:rPr>
          <w:rFonts w:ascii="Book Antiqua" w:eastAsia="Book Antiqua" w:hAnsi="Book Antiqua" w:cs="Book Antiqua"/>
        </w:rPr>
        <w:t>April 17, 2023</w:t>
      </w:r>
    </w:p>
    <w:p w14:paraId="327E43D0"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 xml:space="preserve">First decision: </w:t>
      </w:r>
      <w:r w:rsidRPr="00D41537">
        <w:rPr>
          <w:rFonts w:ascii="Book Antiqua" w:eastAsia="Book Antiqua" w:hAnsi="Book Antiqua" w:cs="Book Antiqua"/>
        </w:rPr>
        <w:t>May 4, 2023</w:t>
      </w:r>
    </w:p>
    <w:p w14:paraId="30FC5031" w14:textId="007550B3"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 xml:space="preserve">Article in press: </w:t>
      </w:r>
      <w:r w:rsidR="0090185B" w:rsidRPr="00D41537">
        <w:rPr>
          <w:rFonts w:ascii="Book Antiqua" w:eastAsia="Book Antiqua" w:hAnsi="Book Antiqua" w:cs="Book Antiqua"/>
        </w:rPr>
        <w:t>June 13, 2023</w:t>
      </w:r>
    </w:p>
    <w:p w14:paraId="5A9D222B" w14:textId="77777777" w:rsidR="00A77B3E" w:rsidRPr="00D41537" w:rsidRDefault="00A77B3E" w:rsidP="00D41537">
      <w:pPr>
        <w:spacing w:line="360" w:lineRule="auto"/>
        <w:jc w:val="both"/>
        <w:rPr>
          <w:rFonts w:ascii="Book Antiqua" w:hAnsi="Book Antiqua"/>
        </w:rPr>
      </w:pPr>
    </w:p>
    <w:p w14:paraId="2FB0254C" w14:textId="77777777" w:rsidR="00833F3D"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color w:val="000000"/>
        </w:rPr>
        <w:t xml:space="preserve">Specialty type: </w:t>
      </w:r>
      <w:r w:rsidR="00833F3D" w:rsidRPr="00D41537">
        <w:rPr>
          <w:rFonts w:ascii="Book Antiqua" w:eastAsia="Book Antiqua" w:hAnsi="Book Antiqua" w:cs="Book Antiqua"/>
        </w:rPr>
        <w:t>Oncology</w:t>
      </w:r>
    </w:p>
    <w:p w14:paraId="5699708F" w14:textId="1393ADDA"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 xml:space="preserve">Country/Territory of origin: </w:t>
      </w:r>
      <w:r w:rsidRPr="00D41537">
        <w:rPr>
          <w:rFonts w:ascii="Book Antiqua" w:eastAsia="Book Antiqua" w:hAnsi="Book Antiqua" w:cs="Book Antiqua"/>
        </w:rPr>
        <w:t>China</w:t>
      </w:r>
    </w:p>
    <w:p w14:paraId="57800EA4"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Peer-review report’s scientific quality classification</w:t>
      </w:r>
    </w:p>
    <w:p w14:paraId="66BE8A9C"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Grade A (Excellent): 0</w:t>
      </w:r>
    </w:p>
    <w:p w14:paraId="36D86521"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Grade B (Very good): B, B</w:t>
      </w:r>
    </w:p>
    <w:p w14:paraId="26AC7064"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Grade C (Good): 0</w:t>
      </w:r>
    </w:p>
    <w:p w14:paraId="40607828"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Grade D (Fair): 0</w:t>
      </w:r>
    </w:p>
    <w:p w14:paraId="4FEE697A"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rPr>
        <w:t>Grade E (Poor): 0</w:t>
      </w:r>
    </w:p>
    <w:p w14:paraId="08514A16" w14:textId="77777777" w:rsidR="00A77B3E" w:rsidRPr="00D41537" w:rsidRDefault="00A77B3E" w:rsidP="00D41537">
      <w:pPr>
        <w:spacing w:line="360" w:lineRule="auto"/>
        <w:jc w:val="both"/>
        <w:rPr>
          <w:rFonts w:ascii="Book Antiqua" w:hAnsi="Book Antiqua"/>
        </w:rPr>
      </w:pPr>
    </w:p>
    <w:p w14:paraId="0FB25DC6" w14:textId="2657601F" w:rsidR="00A77B3E" w:rsidRPr="0090185B" w:rsidRDefault="00D41537" w:rsidP="00D41537">
      <w:pPr>
        <w:spacing w:line="360" w:lineRule="auto"/>
        <w:jc w:val="both"/>
        <w:rPr>
          <w:rFonts w:ascii="Book Antiqua" w:eastAsia="Book Antiqua" w:hAnsi="Book Antiqua" w:cs="Book Antiqua"/>
          <w:bCs/>
          <w:color w:val="000000"/>
        </w:rPr>
      </w:pPr>
      <w:r w:rsidRPr="00D41537">
        <w:rPr>
          <w:rFonts w:ascii="Book Antiqua" w:eastAsia="Book Antiqua" w:hAnsi="Book Antiqua" w:cs="Book Antiqua"/>
          <w:b/>
          <w:color w:val="000000"/>
        </w:rPr>
        <w:t xml:space="preserve">P-Reviewer: </w:t>
      </w:r>
      <w:r w:rsidRPr="00D41537">
        <w:rPr>
          <w:rFonts w:ascii="Book Antiqua" w:eastAsia="Book Antiqua" w:hAnsi="Book Antiqua" w:cs="Book Antiqua"/>
        </w:rPr>
        <w:t>Jena MK, India; Sahin TT, Turkey</w:t>
      </w:r>
      <w:r w:rsidRPr="00D41537">
        <w:rPr>
          <w:rFonts w:ascii="Book Antiqua" w:eastAsia="Book Antiqua" w:hAnsi="Book Antiqua" w:cs="Book Antiqua"/>
          <w:b/>
          <w:color w:val="000000"/>
        </w:rPr>
        <w:t xml:space="preserve"> S-Editor: </w:t>
      </w:r>
      <w:r w:rsidR="00DD1062" w:rsidRPr="00D41537">
        <w:rPr>
          <w:rFonts w:ascii="Book Antiqua" w:eastAsia="Book Antiqua" w:hAnsi="Book Antiqua" w:cs="Book Antiqua"/>
          <w:bCs/>
          <w:color w:val="000000"/>
        </w:rPr>
        <w:t>Li L</w:t>
      </w:r>
      <w:r w:rsidRPr="00D41537">
        <w:rPr>
          <w:rFonts w:ascii="Book Antiqua" w:eastAsia="Book Antiqua" w:hAnsi="Book Antiqua" w:cs="Book Antiqua"/>
          <w:b/>
          <w:color w:val="000000"/>
        </w:rPr>
        <w:t xml:space="preserve"> L-Editor: </w:t>
      </w:r>
      <w:r w:rsidR="002B3A07" w:rsidRPr="00D41537">
        <w:rPr>
          <w:rFonts w:ascii="Book Antiqua" w:eastAsia="Book Antiqua" w:hAnsi="Book Antiqua" w:cs="Book Antiqua"/>
          <w:bCs/>
          <w:color w:val="000000"/>
        </w:rPr>
        <w:t xml:space="preserve">Filipodia </w:t>
      </w:r>
      <w:r w:rsidRPr="00D41537">
        <w:rPr>
          <w:rFonts w:ascii="Book Antiqua" w:eastAsia="Book Antiqua" w:hAnsi="Book Antiqua" w:cs="Book Antiqua"/>
          <w:b/>
          <w:color w:val="000000"/>
        </w:rPr>
        <w:t xml:space="preserve">P-Editor: </w:t>
      </w:r>
      <w:r w:rsidR="0090185B" w:rsidRPr="0090185B">
        <w:rPr>
          <w:rFonts w:ascii="Book Antiqua" w:eastAsia="Book Antiqua" w:hAnsi="Book Antiqua" w:cs="Book Antiqua" w:hint="eastAsia"/>
          <w:bCs/>
          <w:color w:val="000000"/>
          <w:lang w:eastAsia="zh-CN"/>
        </w:rPr>
        <w:t>Zhang</w:t>
      </w:r>
      <w:r w:rsidR="0090185B" w:rsidRPr="0090185B">
        <w:rPr>
          <w:rFonts w:ascii="Book Antiqua" w:eastAsia="Book Antiqua" w:hAnsi="Book Antiqua" w:cs="Book Antiqua"/>
          <w:bCs/>
          <w:color w:val="000000"/>
          <w:lang w:eastAsia="zh-CN"/>
        </w:rPr>
        <w:t xml:space="preserve"> XD</w:t>
      </w:r>
    </w:p>
    <w:p w14:paraId="1D4DDA55" w14:textId="77777777" w:rsidR="00902381" w:rsidRDefault="00902381" w:rsidP="00D41537">
      <w:pPr>
        <w:spacing w:line="360" w:lineRule="auto"/>
        <w:jc w:val="both"/>
        <w:rPr>
          <w:rFonts w:ascii="Book Antiqua" w:hAnsi="Book Antiqua"/>
        </w:rPr>
      </w:pPr>
    </w:p>
    <w:p w14:paraId="107FD2CE" w14:textId="77777777"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color w:val="000000"/>
        </w:rPr>
        <w:t>Figure Legends</w:t>
      </w:r>
    </w:p>
    <w:p w14:paraId="12C6DF50" w14:textId="0781AB34" w:rsidR="00A77B3E" w:rsidRPr="00D41537" w:rsidRDefault="00ED4E86" w:rsidP="00D41537">
      <w:pPr>
        <w:spacing w:line="360" w:lineRule="auto"/>
        <w:jc w:val="both"/>
        <w:rPr>
          <w:rFonts w:ascii="Book Antiqua" w:hAnsi="Book Antiqua"/>
        </w:rPr>
      </w:pPr>
      <w:r>
        <w:rPr>
          <w:rFonts w:ascii="Book Antiqua" w:hAnsi="Book Antiqua"/>
          <w:noProof/>
        </w:rPr>
        <w:lastRenderedPageBreak/>
        <w:drawing>
          <wp:inline distT="0" distB="0" distL="0" distR="0" wp14:anchorId="1491A2B0" wp14:editId="069AFCD6">
            <wp:extent cx="4343400" cy="3035300"/>
            <wp:effectExtent l="0" t="0" r="0" b="0"/>
            <wp:docPr id="149348786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87860"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3035300"/>
                    </a:xfrm>
                    <a:prstGeom prst="rect">
                      <a:avLst/>
                    </a:prstGeom>
                  </pic:spPr>
                </pic:pic>
              </a:graphicData>
            </a:graphic>
          </wp:inline>
        </w:drawing>
      </w:r>
    </w:p>
    <w:p w14:paraId="7271B58F" w14:textId="09BE1F93" w:rsidR="00A77B3E" w:rsidRPr="00D41537" w:rsidRDefault="00D41537" w:rsidP="00D41537">
      <w:pPr>
        <w:spacing w:line="360" w:lineRule="auto"/>
        <w:jc w:val="both"/>
        <w:rPr>
          <w:rFonts w:ascii="Book Antiqua" w:hAnsi="Book Antiqua"/>
        </w:rPr>
      </w:pPr>
      <w:r w:rsidRPr="00D41537">
        <w:rPr>
          <w:rFonts w:ascii="Book Antiqua" w:eastAsia="Book Antiqua" w:hAnsi="Book Antiqua" w:cs="Book Antiqua"/>
          <w:b/>
          <w:bCs/>
        </w:rPr>
        <w:t>Figure 1</w:t>
      </w:r>
      <w:r w:rsidRPr="00D41537">
        <w:rPr>
          <w:rFonts w:ascii="Book Antiqua" w:eastAsia="Book Antiqua" w:hAnsi="Book Antiqua" w:cs="Book Antiqua"/>
        </w:rPr>
        <w:t xml:space="preserve"> </w:t>
      </w:r>
      <w:r w:rsidR="00E97BB2">
        <w:rPr>
          <w:rFonts w:ascii="Book Antiqua" w:eastAsia="Book Antiqua" w:hAnsi="Book Antiqua" w:cs="Book Antiqua"/>
          <w:b/>
          <w:bCs/>
        </w:rPr>
        <w:t>F</w:t>
      </w:r>
      <w:r w:rsidRPr="00D41537">
        <w:rPr>
          <w:rFonts w:ascii="Book Antiqua" w:eastAsia="Book Antiqua" w:hAnsi="Book Antiqua" w:cs="Book Antiqua"/>
          <w:b/>
          <w:bCs/>
        </w:rPr>
        <w:t>lowchart of the study design and patient selection.</w:t>
      </w:r>
      <w:r w:rsidR="004565F3" w:rsidRPr="00D41537">
        <w:rPr>
          <w:rFonts w:ascii="Book Antiqua" w:eastAsia="Book Antiqua" w:hAnsi="Book Antiqua" w:cs="Book Antiqua"/>
          <w:b/>
          <w:bCs/>
        </w:rPr>
        <w:t xml:space="preserve"> </w:t>
      </w:r>
      <w:r w:rsidR="004565F3" w:rsidRPr="00D41537">
        <w:rPr>
          <w:rFonts w:ascii="Book Antiqua" w:eastAsia="Book Antiqua" w:hAnsi="Book Antiqua" w:cs="Book Antiqua"/>
        </w:rPr>
        <w:t xml:space="preserve">ICD-O-3: </w:t>
      </w:r>
      <w:r w:rsidR="004565F3" w:rsidRPr="00D41537">
        <w:rPr>
          <w:rFonts w:ascii="Book Antiqua" w:eastAsia="Book Antiqua" w:hAnsi="Book Antiqua" w:cs="Book Antiqua"/>
          <w:color w:val="000000"/>
        </w:rPr>
        <w:t>In</w:t>
      </w:r>
      <w:r w:rsidR="007E2D70" w:rsidRPr="00D41537">
        <w:rPr>
          <w:rFonts w:ascii="Book Antiqua" w:eastAsia="Book Antiqua" w:hAnsi="Book Antiqua" w:cs="Book Antiqua"/>
          <w:color w:val="000000"/>
        </w:rPr>
        <w:t xml:space="preserve">ternational </w:t>
      </w:r>
      <w:r w:rsidR="00234713">
        <w:rPr>
          <w:rFonts w:ascii="Book Antiqua" w:eastAsia="Book Antiqua" w:hAnsi="Book Antiqua" w:cs="Book Antiqua"/>
          <w:color w:val="000000"/>
        </w:rPr>
        <w:t>Cl</w:t>
      </w:r>
      <w:r w:rsidR="007E2D70" w:rsidRPr="00D41537">
        <w:rPr>
          <w:rFonts w:ascii="Book Antiqua" w:eastAsia="Book Antiqua" w:hAnsi="Book Antiqua" w:cs="Book Antiqua"/>
          <w:color w:val="000000"/>
        </w:rPr>
        <w:t xml:space="preserve">assification of </w:t>
      </w:r>
      <w:r w:rsidR="00234713">
        <w:rPr>
          <w:rFonts w:ascii="Book Antiqua" w:eastAsia="Book Antiqua" w:hAnsi="Book Antiqua" w:cs="Book Antiqua"/>
          <w:color w:val="000000"/>
        </w:rPr>
        <w:t>D</w:t>
      </w:r>
      <w:r w:rsidR="007E2D70" w:rsidRPr="00D41537">
        <w:rPr>
          <w:rFonts w:ascii="Book Antiqua" w:eastAsia="Book Antiqua" w:hAnsi="Book Antiqua" w:cs="Book Antiqua"/>
          <w:color w:val="000000"/>
        </w:rPr>
        <w:t xml:space="preserve">iseases for </w:t>
      </w:r>
      <w:r w:rsidR="00234713">
        <w:rPr>
          <w:rFonts w:ascii="Book Antiqua" w:eastAsia="Book Antiqua" w:hAnsi="Book Antiqua" w:cs="Book Antiqua"/>
          <w:color w:val="000000"/>
        </w:rPr>
        <w:t>O</w:t>
      </w:r>
      <w:r w:rsidR="007E2D70" w:rsidRPr="00D41537">
        <w:rPr>
          <w:rFonts w:ascii="Book Antiqua" w:eastAsia="Book Antiqua" w:hAnsi="Book Antiqua" w:cs="Book Antiqua"/>
          <w:color w:val="000000"/>
        </w:rPr>
        <w:t xml:space="preserve">ncology, </w:t>
      </w:r>
      <w:r w:rsidR="00234713">
        <w:rPr>
          <w:rFonts w:ascii="Book Antiqua" w:eastAsia="Book Antiqua" w:hAnsi="Book Antiqua" w:cs="Book Antiqua"/>
          <w:color w:val="000000"/>
        </w:rPr>
        <w:t>T</w:t>
      </w:r>
      <w:r w:rsidR="007E2D70" w:rsidRPr="00D41537">
        <w:rPr>
          <w:rFonts w:ascii="Book Antiqua" w:eastAsia="Book Antiqua" w:hAnsi="Book Antiqua" w:cs="Book Antiqua"/>
          <w:color w:val="000000"/>
        </w:rPr>
        <w:t xml:space="preserve">hird </w:t>
      </w:r>
      <w:r w:rsidR="00234713">
        <w:rPr>
          <w:rFonts w:ascii="Book Antiqua" w:eastAsia="Book Antiqua" w:hAnsi="Book Antiqua" w:cs="Book Antiqua"/>
          <w:color w:val="000000"/>
        </w:rPr>
        <w:t>E</w:t>
      </w:r>
      <w:r w:rsidR="007E2D70" w:rsidRPr="00D41537">
        <w:rPr>
          <w:rFonts w:ascii="Book Antiqua" w:eastAsia="Book Antiqua" w:hAnsi="Book Antiqua" w:cs="Book Antiqua"/>
          <w:color w:val="000000"/>
        </w:rPr>
        <w:t>d</w:t>
      </w:r>
      <w:r w:rsidR="004565F3" w:rsidRPr="00D41537">
        <w:rPr>
          <w:rFonts w:ascii="Book Antiqua" w:eastAsia="Book Antiqua" w:hAnsi="Book Antiqua" w:cs="Book Antiqua"/>
          <w:color w:val="000000"/>
        </w:rPr>
        <w:t>ition; SEER: Su</w:t>
      </w:r>
      <w:r w:rsidR="007E2D70" w:rsidRPr="00D41537">
        <w:rPr>
          <w:rFonts w:ascii="Book Antiqua" w:eastAsia="Book Antiqua" w:hAnsi="Book Antiqua" w:cs="Book Antiqua"/>
          <w:color w:val="000000"/>
        </w:rPr>
        <w:t xml:space="preserve">rveillance, </w:t>
      </w:r>
      <w:r w:rsidR="00234713">
        <w:rPr>
          <w:rFonts w:ascii="Book Antiqua" w:eastAsia="Book Antiqua" w:hAnsi="Book Antiqua" w:cs="Book Antiqua"/>
          <w:color w:val="000000"/>
        </w:rPr>
        <w:t>E</w:t>
      </w:r>
      <w:r w:rsidR="007E2D70" w:rsidRPr="00D41537">
        <w:rPr>
          <w:rFonts w:ascii="Book Antiqua" w:eastAsia="Book Antiqua" w:hAnsi="Book Antiqua" w:cs="Book Antiqua"/>
          <w:color w:val="000000"/>
        </w:rPr>
        <w:t xml:space="preserve">pidemiology, and </w:t>
      </w:r>
      <w:r w:rsidR="00234713">
        <w:rPr>
          <w:rFonts w:ascii="Book Antiqua" w:eastAsia="Book Antiqua" w:hAnsi="Book Antiqua" w:cs="Book Antiqua"/>
          <w:color w:val="000000"/>
        </w:rPr>
        <w:t>E</w:t>
      </w:r>
      <w:r w:rsidR="007E2D70" w:rsidRPr="00D41537">
        <w:rPr>
          <w:rFonts w:ascii="Book Antiqua" w:eastAsia="Book Antiqua" w:hAnsi="Book Antiqua" w:cs="Book Antiqua"/>
          <w:color w:val="000000"/>
        </w:rPr>
        <w:t xml:space="preserve">nd </w:t>
      </w:r>
      <w:r w:rsidR="00234713">
        <w:rPr>
          <w:rFonts w:ascii="Book Antiqua" w:eastAsia="Book Antiqua" w:hAnsi="Book Antiqua" w:cs="Book Antiqua"/>
          <w:color w:val="000000"/>
        </w:rPr>
        <w:t>R</w:t>
      </w:r>
      <w:r w:rsidR="007E2D70" w:rsidRPr="00D41537">
        <w:rPr>
          <w:rFonts w:ascii="Book Antiqua" w:eastAsia="Book Antiqua" w:hAnsi="Book Antiqua" w:cs="Book Antiqua"/>
          <w:color w:val="000000"/>
        </w:rPr>
        <w:t>es</w:t>
      </w:r>
      <w:r w:rsidR="004565F3" w:rsidRPr="00D41537">
        <w:rPr>
          <w:rFonts w:ascii="Book Antiqua" w:eastAsia="Book Antiqua" w:hAnsi="Book Antiqua" w:cs="Book Antiqua"/>
          <w:color w:val="000000"/>
        </w:rPr>
        <w:t>ults</w:t>
      </w:r>
      <w:r w:rsidR="004565F3" w:rsidRPr="00D41537">
        <w:rPr>
          <w:rFonts w:ascii="Book Antiqua" w:eastAsia="Book Antiqua" w:hAnsi="Book Antiqua" w:cs="Book Antiqua"/>
        </w:rPr>
        <w:t>.</w:t>
      </w:r>
    </w:p>
    <w:p w14:paraId="0F4F2351" w14:textId="6A3E8E42" w:rsidR="00A77B3E" w:rsidRPr="00D41537" w:rsidRDefault="00A77B3E" w:rsidP="00D41537">
      <w:pPr>
        <w:spacing w:line="360" w:lineRule="auto"/>
        <w:jc w:val="both"/>
        <w:rPr>
          <w:rFonts w:ascii="Book Antiqua" w:hAnsi="Book Antiqua"/>
        </w:rPr>
      </w:pPr>
    </w:p>
    <w:p w14:paraId="33AE44AF" w14:textId="4A7F1165" w:rsidR="00827120" w:rsidRPr="00D41537" w:rsidRDefault="00ED4E86" w:rsidP="00D41537">
      <w:pPr>
        <w:spacing w:line="360" w:lineRule="auto"/>
        <w:jc w:val="both"/>
        <w:rPr>
          <w:rFonts w:ascii="Book Antiqua" w:hAnsi="Book Antiqua"/>
        </w:rPr>
      </w:pPr>
      <w:r>
        <w:rPr>
          <w:rFonts w:ascii="Book Antiqua" w:hAnsi="Book Antiqua"/>
          <w:noProof/>
        </w:rPr>
        <w:lastRenderedPageBreak/>
        <w:drawing>
          <wp:inline distT="0" distB="0" distL="0" distR="0" wp14:anchorId="07CB24AA" wp14:editId="7A4EEE13">
            <wp:extent cx="5588000" cy="7023100"/>
            <wp:effectExtent l="0" t="0" r="0" b="0"/>
            <wp:docPr id="1424253878"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53878" name="图片 2" descr="图表, 折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8000" cy="7023100"/>
                    </a:xfrm>
                    <a:prstGeom prst="rect">
                      <a:avLst/>
                    </a:prstGeom>
                  </pic:spPr>
                </pic:pic>
              </a:graphicData>
            </a:graphic>
          </wp:inline>
        </w:drawing>
      </w:r>
    </w:p>
    <w:p w14:paraId="6A0A9159" w14:textId="39AD99B4" w:rsidR="00A77B3E"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t>Figure 2</w:t>
      </w:r>
      <w:r w:rsidRPr="00D41537">
        <w:rPr>
          <w:rFonts w:ascii="Book Antiqua" w:eastAsia="Book Antiqua" w:hAnsi="Book Antiqua" w:cs="Book Antiqua"/>
        </w:rPr>
        <w:t xml:space="preserve"> </w:t>
      </w:r>
      <w:r w:rsidRPr="00D41537">
        <w:rPr>
          <w:rFonts w:ascii="Book Antiqua" w:eastAsia="Book Antiqua" w:hAnsi="Book Antiqua" w:cs="Book Antiqua"/>
          <w:b/>
          <w:bCs/>
        </w:rPr>
        <w:t>Incidence rate of colorectal cancer and mucinous colorectal cancer and the rate of early-onset colorectal cancer and early-onset colorectal cancer with a mucinous histology.</w:t>
      </w:r>
      <w:r w:rsidRPr="00D41537">
        <w:rPr>
          <w:rFonts w:ascii="Book Antiqua" w:eastAsia="Book Antiqua" w:hAnsi="Book Antiqua" w:cs="Book Antiqua"/>
        </w:rPr>
        <w:t xml:space="preserve"> </w:t>
      </w:r>
      <w:r w:rsidR="0006561E" w:rsidRPr="00D41537">
        <w:rPr>
          <w:rFonts w:ascii="Book Antiqua" w:eastAsia="Book Antiqua" w:hAnsi="Book Antiqua" w:cs="Book Antiqua"/>
          <w:vertAlign w:val="superscript"/>
        </w:rPr>
        <w:t>a</w:t>
      </w:r>
      <w:r w:rsidR="00C438A8" w:rsidRPr="00D41537">
        <w:rPr>
          <w:rFonts w:ascii="Book Antiqua" w:eastAsia="Book Antiqua" w:hAnsi="Book Antiqua" w:cs="Book Antiqua"/>
        </w:rPr>
        <w:t>The annual percent change</w:t>
      </w:r>
      <w:r w:rsidR="00294115">
        <w:rPr>
          <w:rFonts w:ascii="Book Antiqua" w:eastAsia="Book Antiqua" w:hAnsi="Book Antiqua" w:cs="Book Antiqua"/>
        </w:rPr>
        <w:t xml:space="preserve"> (APC)</w:t>
      </w:r>
      <w:r w:rsidR="00C438A8" w:rsidRPr="00D41537">
        <w:rPr>
          <w:rFonts w:ascii="Book Antiqua" w:eastAsia="Book Antiqua" w:hAnsi="Book Antiqua" w:cs="Book Antiqua"/>
        </w:rPr>
        <w:t xml:space="preserve"> is significantly different from zero at alpha </w:t>
      </w:r>
      <w:r w:rsidR="00C438A8" w:rsidRPr="00D41537">
        <w:rPr>
          <w:rFonts w:ascii="Book Antiqua" w:eastAsia="Book Antiqua" w:hAnsi="Book Antiqua" w:cs="Book Antiqua"/>
        </w:rPr>
        <w:lastRenderedPageBreak/>
        <w:t>= 0.05.</w:t>
      </w:r>
      <w:r w:rsidR="0006561E" w:rsidRPr="00D41537">
        <w:rPr>
          <w:rFonts w:ascii="Book Antiqua" w:eastAsia="Book Antiqua" w:hAnsi="Book Antiqua" w:cs="Book Antiqua"/>
        </w:rPr>
        <w:t xml:space="preserve"> </w:t>
      </w:r>
      <w:r w:rsidRPr="00D41537">
        <w:rPr>
          <w:rFonts w:ascii="Book Antiqua" w:eastAsia="Book Antiqua" w:hAnsi="Book Antiqua" w:cs="Book Antiqua"/>
        </w:rPr>
        <w:t>CRC</w:t>
      </w:r>
      <w:r w:rsidR="00F22A48" w:rsidRPr="00D41537">
        <w:rPr>
          <w:rFonts w:ascii="Book Antiqua" w:eastAsia="Book Antiqua" w:hAnsi="Book Antiqua" w:cs="Book Antiqua"/>
        </w:rPr>
        <w:t>: C</w:t>
      </w:r>
      <w:r w:rsidRPr="00D41537">
        <w:rPr>
          <w:rFonts w:ascii="Book Antiqua" w:eastAsia="Book Antiqua" w:hAnsi="Book Antiqua" w:cs="Book Antiqua"/>
        </w:rPr>
        <w:t>olorectal cancer; Early-onset CRC</w:t>
      </w:r>
      <w:r w:rsidR="00F22A48" w:rsidRPr="00D41537">
        <w:rPr>
          <w:rFonts w:ascii="Book Antiqua" w:eastAsia="Book Antiqua" w:hAnsi="Book Antiqua" w:cs="Book Antiqua"/>
        </w:rPr>
        <w:t>: C</w:t>
      </w:r>
      <w:r w:rsidRPr="00D41537">
        <w:rPr>
          <w:rFonts w:ascii="Book Antiqua" w:eastAsia="Book Antiqua" w:hAnsi="Book Antiqua" w:cs="Book Antiqua"/>
        </w:rPr>
        <w:t>RC cases in patients younger than 50 years.</w:t>
      </w:r>
    </w:p>
    <w:p w14:paraId="1EACF8D6" w14:textId="77777777" w:rsidR="00F22A48" w:rsidRPr="00D41537" w:rsidRDefault="00F22A48" w:rsidP="00D41537">
      <w:pPr>
        <w:spacing w:line="360" w:lineRule="auto"/>
        <w:jc w:val="both"/>
        <w:rPr>
          <w:rFonts w:ascii="Book Antiqua" w:hAnsi="Book Antiqua"/>
        </w:rPr>
      </w:pPr>
    </w:p>
    <w:p w14:paraId="3276E2A4" w14:textId="33CBCC7D" w:rsidR="00A77B3E" w:rsidRPr="00D41537" w:rsidRDefault="00ED4E86" w:rsidP="00D41537">
      <w:pPr>
        <w:spacing w:line="360" w:lineRule="auto"/>
        <w:jc w:val="both"/>
        <w:rPr>
          <w:rFonts w:ascii="Book Antiqua" w:hAnsi="Book Antiqua"/>
        </w:rPr>
      </w:pPr>
      <w:r>
        <w:rPr>
          <w:rFonts w:ascii="Book Antiqua" w:hAnsi="Book Antiqua"/>
          <w:noProof/>
        </w:rPr>
        <w:drawing>
          <wp:inline distT="0" distB="0" distL="0" distR="0" wp14:anchorId="2C70A590" wp14:editId="5419D24B">
            <wp:extent cx="4648200" cy="2743200"/>
            <wp:effectExtent l="0" t="0" r="0" b="0"/>
            <wp:docPr id="1513454621"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54621" name="图片 3" descr="图表, 条形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8200" cy="2743200"/>
                    </a:xfrm>
                    <a:prstGeom prst="rect">
                      <a:avLst/>
                    </a:prstGeom>
                  </pic:spPr>
                </pic:pic>
              </a:graphicData>
            </a:graphic>
          </wp:inline>
        </w:drawing>
      </w:r>
    </w:p>
    <w:p w14:paraId="15E18938" w14:textId="53EE6C46" w:rsidR="00A77B3E"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t>Figure 3</w:t>
      </w:r>
      <w:r w:rsidRPr="00D41537">
        <w:rPr>
          <w:rFonts w:ascii="Book Antiqua" w:eastAsia="Book Antiqua" w:hAnsi="Book Antiqua" w:cs="Book Antiqua"/>
        </w:rPr>
        <w:t xml:space="preserve"> </w:t>
      </w:r>
      <w:r w:rsidR="00FF6997">
        <w:rPr>
          <w:rFonts w:ascii="Book Antiqua" w:eastAsia="Book Antiqua" w:hAnsi="Book Antiqua" w:cs="Book Antiqua"/>
          <w:b/>
          <w:bCs/>
        </w:rPr>
        <w:t>P</w:t>
      </w:r>
      <w:r w:rsidRPr="00D41537">
        <w:rPr>
          <w:rFonts w:ascii="Book Antiqua" w:eastAsia="Book Antiqua" w:hAnsi="Book Antiqua" w:cs="Book Antiqua"/>
          <w:b/>
          <w:bCs/>
        </w:rPr>
        <w:t>roportion of mucinous colorectal cancer among all colorectal cancer cases.</w:t>
      </w:r>
      <w:r w:rsidRPr="00D41537">
        <w:rPr>
          <w:rFonts w:ascii="Book Antiqua" w:eastAsia="Book Antiqua" w:hAnsi="Book Antiqua" w:cs="Book Antiqua"/>
        </w:rPr>
        <w:t xml:space="preserve"> CRC</w:t>
      </w:r>
      <w:r w:rsidR="00F22A48" w:rsidRPr="00D41537">
        <w:rPr>
          <w:rFonts w:ascii="Book Antiqua" w:eastAsia="Book Antiqua" w:hAnsi="Book Antiqua" w:cs="Book Antiqua"/>
        </w:rPr>
        <w:t>: C</w:t>
      </w:r>
      <w:r w:rsidRPr="00D41537">
        <w:rPr>
          <w:rFonts w:ascii="Book Antiqua" w:eastAsia="Book Antiqua" w:hAnsi="Book Antiqua" w:cs="Book Antiqua"/>
        </w:rPr>
        <w:t>olorectal cancer.</w:t>
      </w:r>
    </w:p>
    <w:p w14:paraId="1C009492" w14:textId="77777777" w:rsidR="00722364" w:rsidRPr="00D41537" w:rsidRDefault="00722364" w:rsidP="00D41537">
      <w:pPr>
        <w:spacing w:line="360" w:lineRule="auto"/>
        <w:jc w:val="both"/>
        <w:rPr>
          <w:rFonts w:ascii="Book Antiqua" w:eastAsia="Book Antiqua" w:hAnsi="Book Antiqua" w:cs="Book Antiqua"/>
        </w:rPr>
      </w:pPr>
    </w:p>
    <w:p w14:paraId="3BC77AED" w14:textId="2BBF8FAE" w:rsidR="00A25F01" w:rsidRPr="00D41537" w:rsidRDefault="00ED4E86" w:rsidP="00D41537">
      <w:pPr>
        <w:spacing w:line="360" w:lineRule="auto"/>
        <w:jc w:val="both"/>
        <w:rPr>
          <w:rFonts w:ascii="Book Antiqua" w:hAnsi="Book Antiqua"/>
        </w:rPr>
      </w:pPr>
      <w:r>
        <w:rPr>
          <w:rFonts w:ascii="Book Antiqua" w:hAnsi="Book Antiqua"/>
          <w:noProof/>
        </w:rPr>
        <w:lastRenderedPageBreak/>
        <w:drawing>
          <wp:inline distT="0" distB="0" distL="0" distR="0" wp14:anchorId="6EF7CEE4" wp14:editId="7B84E54A">
            <wp:extent cx="5422900" cy="7061200"/>
            <wp:effectExtent l="0" t="0" r="0" b="0"/>
            <wp:docPr id="948486752"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86752" name="图片 4"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2900" cy="7061200"/>
                    </a:xfrm>
                    <a:prstGeom prst="rect">
                      <a:avLst/>
                    </a:prstGeom>
                  </pic:spPr>
                </pic:pic>
              </a:graphicData>
            </a:graphic>
          </wp:inline>
        </w:drawing>
      </w:r>
      <w:r w:rsidR="0030265C" w:rsidRPr="00D41537">
        <w:rPr>
          <w:rFonts w:ascii="Book Antiqua" w:hAnsi="Book Antiqua"/>
        </w:rPr>
        <w:t xml:space="preserve"> </w:t>
      </w:r>
      <w:r w:rsidR="0030265C" w:rsidRPr="00D41537">
        <w:rPr>
          <w:rFonts w:ascii="Book Antiqua" w:hAnsi="Book Antiqua"/>
          <w:noProof/>
        </w:rPr>
        <w:drawing>
          <wp:inline distT="0" distB="0" distL="0" distR="0" wp14:anchorId="465007F9" wp14:editId="074EC389">
            <wp:extent cx="5524979" cy="365792"/>
            <wp:effectExtent l="0" t="0" r="0" b="0"/>
            <wp:docPr id="293085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85774" name=""/>
                    <pic:cNvPicPr/>
                  </pic:nvPicPr>
                  <pic:blipFill>
                    <a:blip r:embed="rId11"/>
                    <a:stretch>
                      <a:fillRect/>
                    </a:stretch>
                  </pic:blipFill>
                  <pic:spPr>
                    <a:xfrm>
                      <a:off x="0" y="0"/>
                      <a:ext cx="5524979" cy="365792"/>
                    </a:xfrm>
                    <a:prstGeom prst="rect">
                      <a:avLst/>
                    </a:prstGeom>
                  </pic:spPr>
                </pic:pic>
              </a:graphicData>
            </a:graphic>
          </wp:inline>
        </w:drawing>
      </w:r>
    </w:p>
    <w:p w14:paraId="7B50CC42" w14:textId="19FD47C8" w:rsidR="00A77B3E"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lastRenderedPageBreak/>
        <w:t>Figure 4</w:t>
      </w:r>
      <w:r w:rsidRPr="00D41537">
        <w:rPr>
          <w:rFonts w:ascii="Book Antiqua" w:eastAsia="Book Antiqua" w:hAnsi="Book Antiqua" w:cs="Book Antiqua"/>
        </w:rPr>
        <w:t xml:space="preserve"> </w:t>
      </w:r>
      <w:r w:rsidRPr="00D41537">
        <w:rPr>
          <w:rFonts w:ascii="Book Antiqua" w:eastAsia="Book Antiqua" w:hAnsi="Book Antiqua" w:cs="Book Antiqua"/>
          <w:b/>
          <w:bCs/>
        </w:rPr>
        <w:t>Age-adjusted incidence rate of mucinous colorectal cancer by age group and primary tumor site.</w:t>
      </w:r>
      <w:r w:rsidRPr="00D41537">
        <w:rPr>
          <w:rFonts w:ascii="Book Antiqua" w:eastAsia="Book Antiqua" w:hAnsi="Book Antiqua" w:cs="Book Antiqua"/>
        </w:rPr>
        <w:t xml:space="preserve"> </w:t>
      </w:r>
      <w:r w:rsidR="00C438A8" w:rsidRPr="00D41537">
        <w:rPr>
          <w:rFonts w:ascii="Book Antiqua" w:eastAsia="Book Antiqua" w:hAnsi="Book Antiqua" w:cs="Book Antiqua"/>
          <w:vertAlign w:val="superscript"/>
        </w:rPr>
        <w:t>a</w:t>
      </w:r>
      <w:r w:rsidR="00C438A8" w:rsidRPr="00D41537">
        <w:rPr>
          <w:rFonts w:ascii="Book Antiqua" w:eastAsia="Book Antiqua" w:hAnsi="Book Antiqua" w:cs="Book Antiqua"/>
        </w:rPr>
        <w:t xml:space="preserve">The annual percent change </w:t>
      </w:r>
      <w:r w:rsidR="001062C7">
        <w:rPr>
          <w:rFonts w:ascii="Book Antiqua" w:eastAsia="Book Antiqua" w:hAnsi="Book Antiqua" w:cs="Book Antiqua"/>
        </w:rPr>
        <w:t xml:space="preserve">(APC) </w:t>
      </w:r>
      <w:r w:rsidR="00C438A8" w:rsidRPr="00D41537">
        <w:rPr>
          <w:rFonts w:ascii="Book Antiqua" w:eastAsia="Book Antiqua" w:hAnsi="Book Antiqua" w:cs="Book Antiqua"/>
        </w:rPr>
        <w:t xml:space="preserve">is significantly different from zero at alpha = 0.05. </w:t>
      </w:r>
      <w:r w:rsidRPr="00D41537">
        <w:rPr>
          <w:rFonts w:ascii="Book Antiqua" w:eastAsia="Book Antiqua" w:hAnsi="Book Antiqua" w:cs="Book Antiqua"/>
        </w:rPr>
        <w:t>CRC</w:t>
      </w:r>
      <w:r w:rsidR="00F22A48" w:rsidRPr="00D41537">
        <w:rPr>
          <w:rFonts w:ascii="Book Antiqua" w:eastAsia="Book Antiqua" w:hAnsi="Book Antiqua" w:cs="Book Antiqua"/>
        </w:rPr>
        <w:t>: C</w:t>
      </w:r>
      <w:r w:rsidRPr="00D41537">
        <w:rPr>
          <w:rFonts w:ascii="Book Antiqua" w:eastAsia="Book Antiqua" w:hAnsi="Book Antiqua" w:cs="Book Antiqua"/>
        </w:rPr>
        <w:t>olorectal cancer.</w:t>
      </w:r>
    </w:p>
    <w:p w14:paraId="76D46F2E" w14:textId="77777777" w:rsidR="00722364" w:rsidRPr="00D41537" w:rsidRDefault="00722364" w:rsidP="00D41537">
      <w:pPr>
        <w:spacing w:line="360" w:lineRule="auto"/>
        <w:jc w:val="both"/>
        <w:rPr>
          <w:rFonts w:ascii="Book Antiqua" w:eastAsia="Book Antiqua" w:hAnsi="Book Antiqua" w:cs="Book Antiqua"/>
        </w:rPr>
      </w:pPr>
    </w:p>
    <w:p w14:paraId="65B8FD8E" w14:textId="17E74D63" w:rsidR="00A77B3E" w:rsidRPr="00D41537" w:rsidRDefault="00ED4E86" w:rsidP="00D41537">
      <w:pPr>
        <w:spacing w:line="360" w:lineRule="auto"/>
        <w:jc w:val="both"/>
        <w:rPr>
          <w:rFonts w:ascii="Book Antiqua" w:hAnsi="Book Antiqua"/>
        </w:rPr>
      </w:pPr>
      <w:r>
        <w:rPr>
          <w:rFonts w:ascii="Book Antiqua" w:hAnsi="Book Antiqua"/>
          <w:noProof/>
        </w:rPr>
        <w:drawing>
          <wp:inline distT="0" distB="0" distL="0" distR="0" wp14:anchorId="1F908EE2" wp14:editId="4C871177">
            <wp:extent cx="5803900" cy="4711700"/>
            <wp:effectExtent l="0" t="0" r="0" b="0"/>
            <wp:docPr id="1774348154"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48154" name="图片 5" descr="图表, 散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3900" cy="4711700"/>
                    </a:xfrm>
                    <a:prstGeom prst="rect">
                      <a:avLst/>
                    </a:prstGeom>
                  </pic:spPr>
                </pic:pic>
              </a:graphicData>
            </a:graphic>
          </wp:inline>
        </w:drawing>
      </w:r>
    </w:p>
    <w:p w14:paraId="04E41AEA" w14:textId="4A88FF85" w:rsidR="00A77B3E" w:rsidRPr="00D41537" w:rsidRDefault="00D41537" w:rsidP="00D41537">
      <w:pPr>
        <w:spacing w:line="360" w:lineRule="auto"/>
        <w:jc w:val="both"/>
        <w:rPr>
          <w:rFonts w:ascii="Book Antiqua" w:eastAsia="Book Antiqua" w:hAnsi="Book Antiqua" w:cs="Book Antiqua"/>
          <w:b/>
          <w:bCs/>
        </w:rPr>
      </w:pPr>
      <w:r w:rsidRPr="00D41537">
        <w:rPr>
          <w:rFonts w:ascii="Book Antiqua" w:eastAsia="Book Antiqua" w:hAnsi="Book Antiqua" w:cs="Book Antiqua"/>
          <w:b/>
          <w:bCs/>
        </w:rPr>
        <w:t>Figure 5</w:t>
      </w:r>
      <w:r w:rsidRPr="00D41537">
        <w:rPr>
          <w:rFonts w:ascii="Book Antiqua" w:eastAsia="Book Antiqua" w:hAnsi="Book Antiqua" w:cs="Book Antiqua"/>
        </w:rPr>
        <w:t xml:space="preserve"> </w:t>
      </w:r>
      <w:r w:rsidRPr="00D41537">
        <w:rPr>
          <w:rFonts w:ascii="Book Antiqua" w:eastAsia="Book Antiqua" w:hAnsi="Book Antiqua" w:cs="Book Antiqua"/>
          <w:b/>
          <w:bCs/>
        </w:rPr>
        <w:t>Nomogram for predicting the 1-</w:t>
      </w:r>
      <w:r w:rsidR="00610569">
        <w:rPr>
          <w:rFonts w:ascii="Book Antiqua" w:eastAsia="Book Antiqua" w:hAnsi="Book Antiqua" w:cs="Book Antiqua"/>
          <w:b/>
          <w:bCs/>
        </w:rPr>
        <w:t>year</w:t>
      </w:r>
      <w:r w:rsidRPr="00D41537">
        <w:rPr>
          <w:rFonts w:ascii="Book Antiqua" w:eastAsia="Book Antiqua" w:hAnsi="Book Antiqua" w:cs="Book Antiqua"/>
          <w:b/>
          <w:bCs/>
        </w:rPr>
        <w:t>, 3-</w:t>
      </w:r>
      <w:r w:rsidR="00610569">
        <w:rPr>
          <w:rFonts w:ascii="Book Antiqua" w:eastAsia="Book Antiqua" w:hAnsi="Book Antiqua" w:cs="Book Antiqua"/>
          <w:b/>
          <w:bCs/>
        </w:rPr>
        <w:t>year</w:t>
      </w:r>
      <w:r w:rsidRPr="00D41537">
        <w:rPr>
          <w:rFonts w:ascii="Book Antiqua" w:eastAsia="Book Antiqua" w:hAnsi="Book Antiqua" w:cs="Book Antiqua"/>
          <w:b/>
          <w:bCs/>
        </w:rPr>
        <w:t>, and 5-year overall survival in mucinous colorectal cancer.</w:t>
      </w:r>
    </w:p>
    <w:p w14:paraId="56CEF4BD" w14:textId="77777777" w:rsidR="00722364" w:rsidRPr="00D41537" w:rsidRDefault="00722364" w:rsidP="00D41537">
      <w:pPr>
        <w:spacing w:line="360" w:lineRule="auto"/>
        <w:jc w:val="both"/>
        <w:rPr>
          <w:rFonts w:ascii="Book Antiqua" w:eastAsia="Book Antiqua" w:hAnsi="Book Antiqua" w:cs="Book Antiqua"/>
          <w:b/>
          <w:bCs/>
        </w:rPr>
      </w:pPr>
    </w:p>
    <w:p w14:paraId="3DE92CD1" w14:textId="4B152EEC" w:rsidR="00A77B3E" w:rsidRPr="00D41537" w:rsidRDefault="00ED4E86" w:rsidP="00D41537">
      <w:pPr>
        <w:spacing w:line="360" w:lineRule="auto"/>
        <w:jc w:val="both"/>
        <w:rPr>
          <w:rFonts w:ascii="Book Antiqua" w:hAnsi="Book Antiqua"/>
        </w:rPr>
      </w:pPr>
      <w:r>
        <w:rPr>
          <w:rFonts w:ascii="Book Antiqua" w:hAnsi="Book Antiqua"/>
          <w:noProof/>
        </w:rPr>
        <w:lastRenderedPageBreak/>
        <w:drawing>
          <wp:inline distT="0" distB="0" distL="0" distR="0" wp14:anchorId="06B5E0EB" wp14:editId="228AF531">
            <wp:extent cx="5943600" cy="5647055"/>
            <wp:effectExtent l="0" t="0" r="0" b="4445"/>
            <wp:docPr id="2096589990"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9990" name="图片 6"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647055"/>
                    </a:xfrm>
                    <a:prstGeom prst="rect">
                      <a:avLst/>
                    </a:prstGeom>
                  </pic:spPr>
                </pic:pic>
              </a:graphicData>
            </a:graphic>
          </wp:inline>
        </w:drawing>
      </w:r>
    </w:p>
    <w:p w14:paraId="35693567" w14:textId="3E6490AA" w:rsidR="00A77B3E"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t>Figure 6</w:t>
      </w:r>
      <w:r w:rsidRPr="00D41537">
        <w:rPr>
          <w:rFonts w:ascii="Book Antiqua" w:eastAsia="Book Antiqua" w:hAnsi="Book Antiqua" w:cs="Book Antiqua"/>
        </w:rPr>
        <w:t xml:space="preserve"> </w:t>
      </w:r>
      <w:r w:rsidR="001062C7">
        <w:rPr>
          <w:rFonts w:ascii="Book Antiqua" w:eastAsia="Book Antiqua" w:hAnsi="Book Antiqua" w:cs="Book Antiqua"/>
          <w:b/>
          <w:bCs/>
        </w:rPr>
        <w:t>R</w:t>
      </w:r>
      <w:r w:rsidRPr="00D41537">
        <w:rPr>
          <w:rFonts w:ascii="Book Antiqua" w:eastAsia="Book Antiqua" w:hAnsi="Book Antiqua" w:cs="Book Antiqua"/>
          <w:b/>
          <w:bCs/>
        </w:rPr>
        <w:t xml:space="preserve">eceiver operating characteristics curve and area under the </w:t>
      </w:r>
      <w:r w:rsidR="00502515" w:rsidRPr="00D41537">
        <w:rPr>
          <w:rFonts w:ascii="Book Antiqua" w:eastAsia="Book Antiqua" w:hAnsi="Book Antiqua" w:cs="Book Antiqua"/>
          <w:b/>
          <w:bCs/>
        </w:rPr>
        <w:t>receiver operating characteristic</w:t>
      </w:r>
      <w:r w:rsidRPr="00D41537">
        <w:rPr>
          <w:rFonts w:ascii="Book Antiqua" w:eastAsia="Book Antiqua" w:hAnsi="Book Antiqua" w:cs="Book Antiqua"/>
          <w:b/>
          <w:bCs/>
        </w:rPr>
        <w:t xml:space="preserve"> curve.</w:t>
      </w:r>
      <w:r w:rsidRPr="00D41537">
        <w:rPr>
          <w:rFonts w:ascii="Book Antiqua" w:eastAsia="Book Antiqua" w:hAnsi="Book Antiqua" w:cs="Book Antiqua"/>
        </w:rPr>
        <w:t xml:space="preserve"> A</w:t>
      </w:r>
      <w:r w:rsidR="00F22A48" w:rsidRPr="00D41537">
        <w:rPr>
          <w:rFonts w:ascii="Book Antiqua" w:eastAsia="Book Antiqua" w:hAnsi="Book Antiqua" w:cs="Book Antiqua"/>
        </w:rPr>
        <w:t>: P</w:t>
      </w:r>
      <w:r w:rsidRPr="00D41537">
        <w:rPr>
          <w:rFonts w:ascii="Book Antiqua" w:eastAsia="Book Antiqua" w:hAnsi="Book Antiqua" w:cs="Book Antiqua"/>
        </w:rPr>
        <w:t>redicting 1-year overall survival (OS) in the training cohort; B</w:t>
      </w:r>
      <w:r w:rsidR="00F22A48" w:rsidRPr="00D41537">
        <w:rPr>
          <w:rFonts w:ascii="Book Antiqua" w:eastAsia="Book Antiqua" w:hAnsi="Book Antiqua" w:cs="Book Antiqua"/>
        </w:rPr>
        <w:t>: P</w:t>
      </w:r>
      <w:r w:rsidRPr="00D41537">
        <w:rPr>
          <w:rFonts w:ascii="Book Antiqua" w:eastAsia="Book Antiqua" w:hAnsi="Book Antiqua" w:cs="Book Antiqua"/>
        </w:rPr>
        <w:t>redicting 3-year OS in the training cohort; C</w:t>
      </w:r>
      <w:r w:rsidR="00F22A48" w:rsidRPr="00D41537">
        <w:rPr>
          <w:rFonts w:ascii="Book Antiqua" w:eastAsia="Book Antiqua" w:hAnsi="Book Antiqua" w:cs="Book Antiqua"/>
        </w:rPr>
        <w:t>: P</w:t>
      </w:r>
      <w:r w:rsidRPr="00D41537">
        <w:rPr>
          <w:rFonts w:ascii="Book Antiqua" w:eastAsia="Book Antiqua" w:hAnsi="Book Antiqua" w:cs="Book Antiqua"/>
        </w:rPr>
        <w:t>redicting 5-year OS in the training cohort; D</w:t>
      </w:r>
      <w:r w:rsidR="00F22A48" w:rsidRPr="00D41537">
        <w:rPr>
          <w:rFonts w:ascii="Book Antiqua" w:eastAsia="Book Antiqua" w:hAnsi="Book Antiqua" w:cs="Book Antiqua"/>
        </w:rPr>
        <w:t>: P</w:t>
      </w:r>
      <w:r w:rsidRPr="00D41537">
        <w:rPr>
          <w:rFonts w:ascii="Book Antiqua" w:eastAsia="Book Antiqua" w:hAnsi="Book Antiqua" w:cs="Book Antiqua"/>
        </w:rPr>
        <w:t>redicting 1-year OS in the validation cohort; E</w:t>
      </w:r>
      <w:r w:rsidR="00F22A48" w:rsidRPr="00D41537">
        <w:rPr>
          <w:rFonts w:ascii="Book Antiqua" w:eastAsia="Book Antiqua" w:hAnsi="Book Antiqua" w:cs="Book Antiqua"/>
        </w:rPr>
        <w:t>: P</w:t>
      </w:r>
      <w:r w:rsidRPr="00D41537">
        <w:rPr>
          <w:rFonts w:ascii="Book Antiqua" w:eastAsia="Book Antiqua" w:hAnsi="Book Antiqua" w:cs="Book Antiqua"/>
        </w:rPr>
        <w:t>redicting 3-year OS in the validation cohort; F</w:t>
      </w:r>
      <w:r w:rsidR="00F22A48" w:rsidRPr="00D41537">
        <w:rPr>
          <w:rFonts w:ascii="Book Antiqua" w:eastAsia="Book Antiqua" w:hAnsi="Book Antiqua" w:cs="Book Antiqua"/>
        </w:rPr>
        <w:t>: P</w:t>
      </w:r>
      <w:r w:rsidRPr="00D41537">
        <w:rPr>
          <w:rFonts w:ascii="Book Antiqua" w:eastAsia="Book Antiqua" w:hAnsi="Book Antiqua" w:cs="Book Antiqua"/>
        </w:rPr>
        <w:t>redicting 5-year OS in the validation cohort. AUC</w:t>
      </w:r>
      <w:r w:rsidR="00F22A48" w:rsidRPr="00D41537">
        <w:rPr>
          <w:rFonts w:ascii="Book Antiqua" w:eastAsia="Book Antiqua" w:hAnsi="Book Antiqua" w:cs="Book Antiqua"/>
        </w:rPr>
        <w:t>: A</w:t>
      </w:r>
      <w:r w:rsidRPr="00D41537">
        <w:rPr>
          <w:rFonts w:ascii="Book Antiqua" w:eastAsia="Book Antiqua" w:hAnsi="Book Antiqua" w:cs="Book Antiqua"/>
        </w:rPr>
        <w:t xml:space="preserve">rea under the receiver operating characteristics curve; </w:t>
      </w:r>
      <w:r w:rsidR="007C1579" w:rsidRPr="00D41537">
        <w:rPr>
          <w:rFonts w:ascii="Book Antiqua" w:eastAsia="Book Antiqua" w:hAnsi="Book Antiqua" w:cs="Book Antiqua"/>
        </w:rPr>
        <w:t>FP: False positive</w:t>
      </w:r>
      <w:r w:rsidR="007C1579">
        <w:rPr>
          <w:rFonts w:ascii="Book Antiqua" w:eastAsia="Book Antiqua" w:hAnsi="Book Antiqua" w:cs="Book Antiqua"/>
        </w:rPr>
        <w:t>;</w:t>
      </w:r>
      <w:r w:rsidR="007C1579" w:rsidRPr="00D41537">
        <w:rPr>
          <w:rFonts w:ascii="Book Antiqua" w:eastAsia="Book Antiqua" w:hAnsi="Book Antiqua" w:cs="Book Antiqua"/>
        </w:rPr>
        <w:t xml:space="preserve"> </w:t>
      </w:r>
      <w:r w:rsidRPr="00D41537">
        <w:rPr>
          <w:rFonts w:ascii="Book Antiqua" w:eastAsia="Book Antiqua" w:hAnsi="Book Antiqua" w:cs="Book Antiqua"/>
        </w:rPr>
        <w:t>TP</w:t>
      </w:r>
      <w:r w:rsidR="00F22A48" w:rsidRPr="00D41537">
        <w:rPr>
          <w:rFonts w:ascii="Book Antiqua" w:eastAsia="Book Antiqua" w:hAnsi="Book Antiqua" w:cs="Book Antiqua"/>
        </w:rPr>
        <w:t>: T</w:t>
      </w:r>
      <w:r w:rsidRPr="00D41537">
        <w:rPr>
          <w:rFonts w:ascii="Book Antiqua" w:eastAsia="Book Antiqua" w:hAnsi="Book Antiqua" w:cs="Book Antiqua"/>
        </w:rPr>
        <w:t>rue positive.</w:t>
      </w:r>
    </w:p>
    <w:p w14:paraId="1A0B5AD0" w14:textId="77777777" w:rsidR="00722364" w:rsidRPr="00D41537" w:rsidRDefault="00722364" w:rsidP="00D41537">
      <w:pPr>
        <w:spacing w:line="360" w:lineRule="auto"/>
        <w:jc w:val="both"/>
        <w:rPr>
          <w:rFonts w:ascii="Book Antiqua" w:eastAsia="Book Antiqua" w:hAnsi="Book Antiqua" w:cs="Book Antiqua"/>
        </w:rPr>
      </w:pPr>
    </w:p>
    <w:p w14:paraId="20328457" w14:textId="7A7CE16E" w:rsidR="00A77B3E" w:rsidRPr="00D41537" w:rsidRDefault="00ED4E86" w:rsidP="00D41537">
      <w:pPr>
        <w:spacing w:line="360" w:lineRule="auto"/>
        <w:jc w:val="both"/>
        <w:rPr>
          <w:rFonts w:ascii="Book Antiqua" w:hAnsi="Book Antiqua"/>
        </w:rPr>
      </w:pPr>
      <w:r>
        <w:rPr>
          <w:rFonts w:ascii="Book Antiqua" w:hAnsi="Book Antiqua"/>
          <w:noProof/>
        </w:rPr>
        <w:lastRenderedPageBreak/>
        <w:drawing>
          <wp:inline distT="0" distB="0" distL="0" distR="0" wp14:anchorId="23E1351F" wp14:editId="5007A85C">
            <wp:extent cx="5524500" cy="2667000"/>
            <wp:effectExtent l="0" t="0" r="0" b="0"/>
            <wp:docPr id="1769384131"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4131" name="图片 7" descr="图表, 折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0" cy="2667000"/>
                    </a:xfrm>
                    <a:prstGeom prst="rect">
                      <a:avLst/>
                    </a:prstGeom>
                  </pic:spPr>
                </pic:pic>
              </a:graphicData>
            </a:graphic>
          </wp:inline>
        </w:drawing>
      </w:r>
    </w:p>
    <w:p w14:paraId="4D0BC1DD" w14:textId="0B0C2965" w:rsidR="00A77B3E" w:rsidRPr="00D41537" w:rsidRDefault="00D41537" w:rsidP="00D41537">
      <w:pPr>
        <w:spacing w:line="360" w:lineRule="auto"/>
        <w:jc w:val="both"/>
        <w:rPr>
          <w:rFonts w:ascii="Book Antiqua" w:eastAsia="Book Antiqua" w:hAnsi="Book Antiqua" w:cs="Book Antiqua"/>
        </w:rPr>
      </w:pPr>
      <w:r w:rsidRPr="00D41537">
        <w:rPr>
          <w:rFonts w:ascii="Book Antiqua" w:eastAsia="Book Antiqua" w:hAnsi="Book Antiqua" w:cs="Book Antiqua"/>
          <w:b/>
          <w:bCs/>
        </w:rPr>
        <w:t>Figure 7</w:t>
      </w:r>
      <w:r w:rsidRPr="00D41537">
        <w:rPr>
          <w:rFonts w:ascii="Book Antiqua" w:eastAsia="Book Antiqua" w:hAnsi="Book Antiqua" w:cs="Book Antiqua"/>
        </w:rPr>
        <w:t xml:space="preserve"> </w:t>
      </w:r>
      <w:r w:rsidRPr="00D41537">
        <w:rPr>
          <w:rFonts w:ascii="Book Antiqua" w:eastAsia="Book Antiqua" w:hAnsi="Book Antiqua" w:cs="Book Antiqua"/>
          <w:b/>
          <w:bCs/>
        </w:rPr>
        <w:t>Kaplan–Meier survival curves for predicting overall survival for patients with mucinous colorectal cancer.</w:t>
      </w:r>
      <w:r w:rsidRPr="00D41537">
        <w:rPr>
          <w:rFonts w:ascii="Book Antiqua" w:eastAsia="Book Antiqua" w:hAnsi="Book Antiqua" w:cs="Book Antiqua"/>
        </w:rPr>
        <w:t xml:space="preserve"> A</w:t>
      </w:r>
      <w:r w:rsidR="00F22A48" w:rsidRPr="00D41537">
        <w:rPr>
          <w:rFonts w:ascii="Book Antiqua" w:eastAsia="Book Antiqua" w:hAnsi="Book Antiqua" w:cs="Book Antiqua"/>
        </w:rPr>
        <w:t>: S</w:t>
      </w:r>
      <w:r w:rsidR="00020242" w:rsidRPr="00D41537">
        <w:rPr>
          <w:rFonts w:ascii="Book Antiqua" w:eastAsia="Book Antiqua" w:hAnsi="Book Antiqua" w:cs="Book Antiqua"/>
        </w:rPr>
        <w:t xml:space="preserve">urvival probability over time by </w:t>
      </w:r>
      <w:r w:rsidRPr="00D41537">
        <w:rPr>
          <w:rFonts w:ascii="Book Antiqua" w:eastAsia="Book Antiqua" w:hAnsi="Book Antiqua" w:cs="Book Antiqua"/>
        </w:rPr>
        <w:t>age group; B</w:t>
      </w:r>
      <w:r w:rsidR="00F22A48" w:rsidRPr="00D41537">
        <w:rPr>
          <w:rFonts w:ascii="Book Antiqua" w:eastAsia="Book Antiqua" w:hAnsi="Book Antiqua" w:cs="Book Antiqua"/>
        </w:rPr>
        <w:t>: S</w:t>
      </w:r>
      <w:r w:rsidR="00020242" w:rsidRPr="00D41537">
        <w:rPr>
          <w:rFonts w:ascii="Book Antiqua" w:eastAsia="Book Antiqua" w:hAnsi="Book Antiqua" w:cs="Book Antiqua"/>
        </w:rPr>
        <w:t>urvival probability over time by</w:t>
      </w:r>
      <w:r w:rsidRPr="00D41537">
        <w:rPr>
          <w:rFonts w:ascii="Book Antiqua" w:eastAsia="Book Antiqua" w:hAnsi="Book Antiqua" w:cs="Book Antiqua"/>
        </w:rPr>
        <w:t xml:space="preserve"> tumor site.</w:t>
      </w:r>
    </w:p>
    <w:p w14:paraId="754CB761" w14:textId="77777777" w:rsidR="00722364" w:rsidRPr="00D41537" w:rsidRDefault="00722364" w:rsidP="00D41537">
      <w:pPr>
        <w:spacing w:line="360" w:lineRule="auto"/>
        <w:jc w:val="both"/>
        <w:rPr>
          <w:rFonts w:ascii="Book Antiqua" w:eastAsia="Book Antiqua" w:hAnsi="Book Antiqua" w:cs="Book Antiqua"/>
        </w:rPr>
      </w:pPr>
    </w:p>
    <w:p w14:paraId="4E85C44D" w14:textId="77777777" w:rsidR="00C84BB4" w:rsidRPr="00D41537" w:rsidRDefault="00C84BB4" w:rsidP="00D41537">
      <w:pPr>
        <w:spacing w:line="360" w:lineRule="auto"/>
        <w:jc w:val="both"/>
        <w:rPr>
          <w:rFonts w:ascii="Book Antiqua" w:hAnsi="Book Antiqua"/>
          <w:b/>
          <w:bCs/>
        </w:rPr>
      </w:pPr>
      <w:r w:rsidRPr="00D41537">
        <w:rPr>
          <w:rFonts w:ascii="Book Antiqua" w:hAnsi="Book Antiqua"/>
          <w:b/>
          <w:bCs/>
        </w:rPr>
        <w:t>Table 1 Baseline clinicopathological characteristics of mucinous colorectal adenocarcinoma</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34"/>
        <w:gridCol w:w="2054"/>
        <w:gridCol w:w="2834"/>
      </w:tblGrid>
      <w:tr w:rsidR="00C84BB4" w:rsidRPr="00D41537" w14:paraId="4A930C65" w14:textId="77777777" w:rsidTr="00D41537">
        <w:trPr>
          <w:trHeight w:val="90"/>
        </w:trPr>
        <w:tc>
          <w:tcPr>
            <w:tcW w:w="3634" w:type="dxa"/>
            <w:tcBorders>
              <w:top w:val="single" w:sz="4" w:space="0" w:color="auto"/>
              <w:left w:val="nil"/>
              <w:bottom w:val="single" w:sz="4" w:space="0" w:color="auto"/>
              <w:right w:val="nil"/>
            </w:tcBorders>
            <w:shd w:val="clear" w:color="auto" w:fill="auto"/>
          </w:tcPr>
          <w:p w14:paraId="7CC8921D" w14:textId="77777777" w:rsidR="00C84BB4" w:rsidRPr="00D41537" w:rsidRDefault="00C84BB4" w:rsidP="00D41537">
            <w:pPr>
              <w:spacing w:line="360" w:lineRule="auto"/>
              <w:jc w:val="both"/>
              <w:rPr>
                <w:rFonts w:ascii="Book Antiqua" w:hAnsi="Book Antiqua"/>
                <w:b/>
                <w:bCs/>
              </w:rPr>
            </w:pPr>
            <w:r w:rsidRPr="00D41537">
              <w:rPr>
                <w:rFonts w:ascii="Book Antiqua" w:hAnsi="Book Antiqua"/>
                <w:b/>
                <w:bCs/>
              </w:rPr>
              <w:t>Variable</w:t>
            </w:r>
          </w:p>
        </w:tc>
        <w:tc>
          <w:tcPr>
            <w:tcW w:w="2054" w:type="dxa"/>
            <w:tcBorders>
              <w:top w:val="single" w:sz="4" w:space="0" w:color="auto"/>
              <w:left w:val="nil"/>
              <w:bottom w:val="single" w:sz="4" w:space="0" w:color="auto"/>
              <w:right w:val="nil"/>
            </w:tcBorders>
            <w:shd w:val="clear" w:color="auto" w:fill="auto"/>
          </w:tcPr>
          <w:p w14:paraId="359A6D87" w14:textId="00A2BF5E" w:rsidR="00C84BB4" w:rsidRPr="00D41537" w:rsidRDefault="00722364" w:rsidP="00D41537">
            <w:pPr>
              <w:spacing w:line="360" w:lineRule="auto"/>
              <w:jc w:val="both"/>
              <w:rPr>
                <w:rFonts w:ascii="Book Antiqua" w:eastAsia="Times New Roman" w:hAnsi="Book Antiqua"/>
                <w:b/>
                <w:bCs/>
              </w:rPr>
            </w:pPr>
            <w:r w:rsidRPr="00D41537">
              <w:rPr>
                <w:rFonts w:ascii="Book Antiqua" w:eastAsia="Times New Roman" w:hAnsi="Book Antiqua"/>
                <w:b/>
                <w:bCs/>
                <w:i/>
                <w:iCs/>
              </w:rPr>
              <w:t>n</w:t>
            </w:r>
          </w:p>
        </w:tc>
        <w:tc>
          <w:tcPr>
            <w:tcW w:w="2834" w:type="dxa"/>
            <w:tcBorders>
              <w:top w:val="single" w:sz="4" w:space="0" w:color="auto"/>
              <w:left w:val="nil"/>
              <w:bottom w:val="single" w:sz="4" w:space="0" w:color="auto"/>
              <w:right w:val="nil"/>
            </w:tcBorders>
            <w:shd w:val="clear" w:color="auto" w:fill="auto"/>
          </w:tcPr>
          <w:p w14:paraId="0068ABCA" w14:textId="525E384F" w:rsidR="00C84BB4" w:rsidRPr="00D41537" w:rsidRDefault="00C84BB4" w:rsidP="00D41537">
            <w:pPr>
              <w:spacing w:line="360" w:lineRule="auto"/>
              <w:jc w:val="both"/>
              <w:rPr>
                <w:rFonts w:ascii="Book Antiqua" w:eastAsia="Times New Roman" w:hAnsi="Book Antiqua"/>
                <w:b/>
                <w:bCs/>
              </w:rPr>
            </w:pPr>
            <w:r w:rsidRPr="00D41537">
              <w:rPr>
                <w:rFonts w:ascii="Book Antiqua" w:eastAsia="Times New Roman" w:hAnsi="Book Antiqua"/>
                <w:b/>
                <w:bCs/>
              </w:rPr>
              <w:t>%</w:t>
            </w:r>
            <w:r w:rsidR="007C1579">
              <w:rPr>
                <w:rFonts w:ascii="Book Antiqua" w:eastAsia="Times New Roman" w:hAnsi="Book Antiqua"/>
                <w:b/>
                <w:bCs/>
              </w:rPr>
              <w:t xml:space="preserve"> among </w:t>
            </w:r>
            <w:r w:rsidR="007C1579" w:rsidRPr="00D41537">
              <w:rPr>
                <w:rFonts w:ascii="Book Antiqua" w:eastAsia="Times New Roman" w:hAnsi="Book Antiqua"/>
                <w:b/>
                <w:bCs/>
              </w:rPr>
              <w:t>45481</w:t>
            </w:r>
            <w:r w:rsidR="007C1579">
              <w:rPr>
                <w:rFonts w:ascii="Book Antiqua" w:eastAsia="Times New Roman" w:hAnsi="Book Antiqua"/>
                <w:b/>
                <w:bCs/>
              </w:rPr>
              <w:t xml:space="preserve"> total</w:t>
            </w:r>
          </w:p>
        </w:tc>
      </w:tr>
      <w:tr w:rsidR="00C84BB4" w:rsidRPr="00D41537" w14:paraId="793300DB" w14:textId="77777777" w:rsidTr="00D41537">
        <w:tc>
          <w:tcPr>
            <w:tcW w:w="3634" w:type="dxa"/>
            <w:tcBorders>
              <w:top w:val="single" w:sz="4" w:space="0" w:color="auto"/>
              <w:left w:val="nil"/>
              <w:bottom w:val="nil"/>
              <w:right w:val="nil"/>
            </w:tcBorders>
            <w:shd w:val="clear" w:color="auto" w:fill="auto"/>
          </w:tcPr>
          <w:p w14:paraId="064F5863" w14:textId="57EAD698"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Age</w:t>
            </w:r>
            <w:r w:rsidR="007C1579">
              <w:rPr>
                <w:rFonts w:ascii="Book Antiqua" w:eastAsia="Times New Roman" w:hAnsi="Book Antiqua"/>
              </w:rPr>
              <w:t xml:space="preserve"> in yr</w:t>
            </w:r>
          </w:p>
        </w:tc>
        <w:tc>
          <w:tcPr>
            <w:tcW w:w="2054" w:type="dxa"/>
            <w:tcBorders>
              <w:top w:val="single" w:sz="4" w:space="0" w:color="auto"/>
              <w:left w:val="nil"/>
              <w:bottom w:val="nil"/>
              <w:right w:val="nil"/>
            </w:tcBorders>
            <w:shd w:val="clear" w:color="auto" w:fill="auto"/>
          </w:tcPr>
          <w:p w14:paraId="2CFE79B9"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single" w:sz="4" w:space="0" w:color="auto"/>
              <w:left w:val="nil"/>
              <w:bottom w:val="nil"/>
              <w:right w:val="nil"/>
            </w:tcBorders>
            <w:shd w:val="clear" w:color="auto" w:fill="auto"/>
          </w:tcPr>
          <w:p w14:paraId="39908B0B"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E7B9644" w14:textId="77777777" w:rsidTr="00D41537">
        <w:tc>
          <w:tcPr>
            <w:tcW w:w="3634" w:type="dxa"/>
            <w:tcBorders>
              <w:top w:val="nil"/>
              <w:left w:val="nil"/>
              <w:bottom w:val="nil"/>
              <w:right w:val="nil"/>
            </w:tcBorders>
            <w:shd w:val="clear" w:color="auto" w:fill="auto"/>
          </w:tcPr>
          <w:p w14:paraId="34B4C5EC"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15-39</w:t>
            </w:r>
          </w:p>
        </w:tc>
        <w:tc>
          <w:tcPr>
            <w:tcW w:w="2054" w:type="dxa"/>
            <w:tcBorders>
              <w:top w:val="nil"/>
              <w:left w:val="nil"/>
              <w:bottom w:val="nil"/>
              <w:right w:val="nil"/>
            </w:tcBorders>
            <w:shd w:val="clear" w:color="auto" w:fill="auto"/>
            <w:vAlign w:val="center"/>
          </w:tcPr>
          <w:p w14:paraId="1619CC06"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1865</w:t>
            </w:r>
          </w:p>
        </w:tc>
        <w:tc>
          <w:tcPr>
            <w:tcW w:w="2834" w:type="dxa"/>
            <w:tcBorders>
              <w:top w:val="nil"/>
              <w:left w:val="nil"/>
              <w:bottom w:val="nil"/>
              <w:right w:val="nil"/>
            </w:tcBorders>
            <w:shd w:val="clear" w:color="auto" w:fill="auto"/>
            <w:vAlign w:val="center"/>
          </w:tcPr>
          <w:p w14:paraId="76B4BB1F"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4.1</w:t>
            </w:r>
          </w:p>
        </w:tc>
      </w:tr>
      <w:tr w:rsidR="00C84BB4" w:rsidRPr="00D41537" w14:paraId="40B4E5E9" w14:textId="77777777" w:rsidTr="00D41537">
        <w:tc>
          <w:tcPr>
            <w:tcW w:w="3634" w:type="dxa"/>
            <w:tcBorders>
              <w:top w:val="nil"/>
              <w:left w:val="nil"/>
              <w:bottom w:val="nil"/>
              <w:right w:val="nil"/>
            </w:tcBorders>
            <w:shd w:val="clear" w:color="auto" w:fill="auto"/>
          </w:tcPr>
          <w:p w14:paraId="364067E0"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40-54</w:t>
            </w:r>
          </w:p>
        </w:tc>
        <w:tc>
          <w:tcPr>
            <w:tcW w:w="2054" w:type="dxa"/>
            <w:tcBorders>
              <w:top w:val="nil"/>
              <w:left w:val="nil"/>
              <w:bottom w:val="nil"/>
              <w:right w:val="nil"/>
            </w:tcBorders>
            <w:shd w:val="clear" w:color="auto" w:fill="auto"/>
            <w:vAlign w:val="center"/>
          </w:tcPr>
          <w:p w14:paraId="5FDDC68D"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7816</w:t>
            </w:r>
          </w:p>
        </w:tc>
        <w:tc>
          <w:tcPr>
            <w:tcW w:w="2834" w:type="dxa"/>
            <w:tcBorders>
              <w:top w:val="nil"/>
              <w:left w:val="nil"/>
              <w:bottom w:val="nil"/>
              <w:right w:val="nil"/>
            </w:tcBorders>
            <w:shd w:val="clear" w:color="auto" w:fill="auto"/>
            <w:vAlign w:val="center"/>
          </w:tcPr>
          <w:p w14:paraId="5A1708AE"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17.2</w:t>
            </w:r>
          </w:p>
        </w:tc>
      </w:tr>
      <w:tr w:rsidR="00C84BB4" w:rsidRPr="00D41537" w14:paraId="69318313" w14:textId="77777777" w:rsidTr="00D41537">
        <w:tc>
          <w:tcPr>
            <w:tcW w:w="3634" w:type="dxa"/>
            <w:tcBorders>
              <w:top w:val="nil"/>
              <w:left w:val="nil"/>
              <w:bottom w:val="nil"/>
              <w:right w:val="nil"/>
            </w:tcBorders>
            <w:shd w:val="clear" w:color="auto" w:fill="auto"/>
          </w:tcPr>
          <w:p w14:paraId="76E4E84B"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55-69</w:t>
            </w:r>
          </w:p>
        </w:tc>
        <w:tc>
          <w:tcPr>
            <w:tcW w:w="2054" w:type="dxa"/>
            <w:tcBorders>
              <w:top w:val="nil"/>
              <w:left w:val="nil"/>
              <w:bottom w:val="nil"/>
              <w:right w:val="nil"/>
            </w:tcBorders>
            <w:shd w:val="clear" w:color="auto" w:fill="auto"/>
            <w:vAlign w:val="center"/>
          </w:tcPr>
          <w:p w14:paraId="46B07E7B"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14499</w:t>
            </w:r>
          </w:p>
        </w:tc>
        <w:tc>
          <w:tcPr>
            <w:tcW w:w="2834" w:type="dxa"/>
            <w:tcBorders>
              <w:top w:val="nil"/>
              <w:left w:val="nil"/>
              <w:bottom w:val="nil"/>
              <w:right w:val="nil"/>
            </w:tcBorders>
            <w:shd w:val="clear" w:color="auto" w:fill="auto"/>
            <w:vAlign w:val="center"/>
          </w:tcPr>
          <w:p w14:paraId="7BF10A9F"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31.9</w:t>
            </w:r>
          </w:p>
        </w:tc>
      </w:tr>
      <w:tr w:rsidR="00C84BB4" w:rsidRPr="00D41537" w14:paraId="5917D854" w14:textId="77777777" w:rsidTr="00D41537">
        <w:tc>
          <w:tcPr>
            <w:tcW w:w="3634" w:type="dxa"/>
            <w:tcBorders>
              <w:top w:val="nil"/>
              <w:left w:val="nil"/>
              <w:bottom w:val="nil"/>
              <w:right w:val="nil"/>
            </w:tcBorders>
            <w:shd w:val="clear" w:color="auto" w:fill="auto"/>
          </w:tcPr>
          <w:p w14:paraId="2B7E5FEC" w14:textId="4C02A9EB"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w:t>
            </w:r>
            <w:r w:rsidR="00107D4E" w:rsidRPr="00D41537">
              <w:rPr>
                <w:rFonts w:ascii="Book Antiqua" w:eastAsia="Times New Roman" w:hAnsi="Book Antiqua"/>
              </w:rPr>
              <w:t xml:space="preserve"> </w:t>
            </w:r>
            <w:r w:rsidRPr="00D41537">
              <w:rPr>
                <w:rFonts w:ascii="Book Antiqua" w:eastAsia="Times New Roman" w:hAnsi="Book Antiqua"/>
              </w:rPr>
              <w:t>70</w:t>
            </w:r>
          </w:p>
        </w:tc>
        <w:tc>
          <w:tcPr>
            <w:tcW w:w="2054" w:type="dxa"/>
            <w:tcBorders>
              <w:top w:val="nil"/>
              <w:left w:val="nil"/>
              <w:bottom w:val="nil"/>
              <w:right w:val="nil"/>
            </w:tcBorders>
            <w:shd w:val="clear" w:color="auto" w:fill="auto"/>
            <w:vAlign w:val="center"/>
          </w:tcPr>
          <w:p w14:paraId="2A32A96B"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21301</w:t>
            </w:r>
          </w:p>
        </w:tc>
        <w:tc>
          <w:tcPr>
            <w:tcW w:w="2834" w:type="dxa"/>
            <w:tcBorders>
              <w:top w:val="nil"/>
              <w:left w:val="nil"/>
              <w:bottom w:val="nil"/>
              <w:right w:val="nil"/>
            </w:tcBorders>
            <w:shd w:val="clear" w:color="auto" w:fill="auto"/>
            <w:vAlign w:val="center"/>
          </w:tcPr>
          <w:p w14:paraId="749A28B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46.8</w:t>
            </w:r>
          </w:p>
        </w:tc>
      </w:tr>
      <w:tr w:rsidR="00C84BB4" w:rsidRPr="00D41537" w14:paraId="7B2DE43B" w14:textId="77777777" w:rsidTr="00D41537">
        <w:trPr>
          <w:trHeight w:val="90"/>
        </w:trPr>
        <w:tc>
          <w:tcPr>
            <w:tcW w:w="3634" w:type="dxa"/>
            <w:tcBorders>
              <w:top w:val="nil"/>
              <w:left w:val="nil"/>
              <w:bottom w:val="nil"/>
              <w:right w:val="nil"/>
            </w:tcBorders>
            <w:shd w:val="clear" w:color="auto" w:fill="auto"/>
          </w:tcPr>
          <w:p w14:paraId="02D2FA0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Sex</w:t>
            </w:r>
          </w:p>
        </w:tc>
        <w:tc>
          <w:tcPr>
            <w:tcW w:w="2054" w:type="dxa"/>
            <w:tcBorders>
              <w:top w:val="nil"/>
              <w:left w:val="nil"/>
              <w:bottom w:val="nil"/>
              <w:right w:val="nil"/>
            </w:tcBorders>
            <w:shd w:val="clear" w:color="auto" w:fill="auto"/>
          </w:tcPr>
          <w:p w14:paraId="72CF1E35"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0EC6C986"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6D53D5C9" w14:textId="77777777" w:rsidTr="00D41537">
        <w:tc>
          <w:tcPr>
            <w:tcW w:w="3634" w:type="dxa"/>
            <w:tcBorders>
              <w:top w:val="nil"/>
              <w:left w:val="nil"/>
              <w:bottom w:val="nil"/>
              <w:right w:val="nil"/>
            </w:tcBorders>
            <w:shd w:val="clear" w:color="auto" w:fill="auto"/>
          </w:tcPr>
          <w:p w14:paraId="2A99A15F"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Male</w:t>
            </w:r>
          </w:p>
        </w:tc>
        <w:tc>
          <w:tcPr>
            <w:tcW w:w="2054" w:type="dxa"/>
            <w:tcBorders>
              <w:top w:val="nil"/>
              <w:left w:val="nil"/>
              <w:bottom w:val="nil"/>
              <w:right w:val="nil"/>
            </w:tcBorders>
            <w:shd w:val="clear" w:color="auto" w:fill="auto"/>
            <w:vAlign w:val="center"/>
          </w:tcPr>
          <w:p w14:paraId="62D08FC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21976</w:t>
            </w:r>
          </w:p>
        </w:tc>
        <w:tc>
          <w:tcPr>
            <w:tcW w:w="2834" w:type="dxa"/>
            <w:tcBorders>
              <w:top w:val="nil"/>
              <w:left w:val="nil"/>
              <w:bottom w:val="nil"/>
              <w:right w:val="nil"/>
            </w:tcBorders>
            <w:shd w:val="clear" w:color="auto" w:fill="auto"/>
            <w:vAlign w:val="center"/>
          </w:tcPr>
          <w:p w14:paraId="7627BB92"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48.3</w:t>
            </w:r>
          </w:p>
        </w:tc>
      </w:tr>
      <w:tr w:rsidR="00C84BB4" w:rsidRPr="00D41537" w14:paraId="6D5B3EB7" w14:textId="77777777" w:rsidTr="00D41537">
        <w:tc>
          <w:tcPr>
            <w:tcW w:w="3634" w:type="dxa"/>
            <w:tcBorders>
              <w:top w:val="nil"/>
              <w:left w:val="nil"/>
              <w:bottom w:val="nil"/>
              <w:right w:val="nil"/>
            </w:tcBorders>
            <w:shd w:val="clear" w:color="auto" w:fill="auto"/>
          </w:tcPr>
          <w:p w14:paraId="443D62B3"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Female</w:t>
            </w:r>
          </w:p>
        </w:tc>
        <w:tc>
          <w:tcPr>
            <w:tcW w:w="2054" w:type="dxa"/>
            <w:tcBorders>
              <w:top w:val="nil"/>
              <w:left w:val="nil"/>
              <w:bottom w:val="nil"/>
              <w:right w:val="nil"/>
            </w:tcBorders>
            <w:shd w:val="clear" w:color="auto" w:fill="auto"/>
            <w:vAlign w:val="center"/>
          </w:tcPr>
          <w:p w14:paraId="02004F6A"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23505</w:t>
            </w:r>
          </w:p>
        </w:tc>
        <w:tc>
          <w:tcPr>
            <w:tcW w:w="2834" w:type="dxa"/>
            <w:tcBorders>
              <w:top w:val="nil"/>
              <w:left w:val="nil"/>
              <w:bottom w:val="nil"/>
              <w:right w:val="nil"/>
            </w:tcBorders>
            <w:shd w:val="clear" w:color="auto" w:fill="auto"/>
            <w:vAlign w:val="center"/>
          </w:tcPr>
          <w:p w14:paraId="60F33593"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51.7</w:t>
            </w:r>
          </w:p>
        </w:tc>
      </w:tr>
      <w:tr w:rsidR="00C84BB4" w:rsidRPr="00D41537" w14:paraId="02CC7DAD" w14:textId="77777777" w:rsidTr="00D41537">
        <w:tc>
          <w:tcPr>
            <w:tcW w:w="3634" w:type="dxa"/>
            <w:tcBorders>
              <w:top w:val="nil"/>
              <w:left w:val="nil"/>
              <w:bottom w:val="nil"/>
              <w:right w:val="nil"/>
            </w:tcBorders>
            <w:shd w:val="clear" w:color="auto" w:fill="auto"/>
          </w:tcPr>
          <w:p w14:paraId="6081DC0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Race</w:t>
            </w:r>
          </w:p>
        </w:tc>
        <w:tc>
          <w:tcPr>
            <w:tcW w:w="2054" w:type="dxa"/>
            <w:tcBorders>
              <w:top w:val="nil"/>
              <w:left w:val="nil"/>
              <w:bottom w:val="nil"/>
              <w:right w:val="nil"/>
            </w:tcBorders>
            <w:shd w:val="clear" w:color="auto" w:fill="auto"/>
          </w:tcPr>
          <w:p w14:paraId="70E3DC60"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708A402A"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32558083" w14:textId="77777777" w:rsidTr="00D41537">
        <w:tc>
          <w:tcPr>
            <w:tcW w:w="3634" w:type="dxa"/>
            <w:tcBorders>
              <w:top w:val="nil"/>
              <w:left w:val="nil"/>
              <w:bottom w:val="nil"/>
              <w:right w:val="nil"/>
            </w:tcBorders>
            <w:shd w:val="clear" w:color="auto" w:fill="auto"/>
          </w:tcPr>
          <w:p w14:paraId="79FE1768"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White</w:t>
            </w:r>
          </w:p>
        </w:tc>
        <w:tc>
          <w:tcPr>
            <w:tcW w:w="2054" w:type="dxa"/>
            <w:tcBorders>
              <w:top w:val="nil"/>
              <w:left w:val="nil"/>
              <w:bottom w:val="nil"/>
              <w:right w:val="nil"/>
            </w:tcBorders>
            <w:shd w:val="clear" w:color="auto" w:fill="auto"/>
            <w:vAlign w:val="center"/>
          </w:tcPr>
          <w:p w14:paraId="23D4EE84"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37134</w:t>
            </w:r>
          </w:p>
        </w:tc>
        <w:tc>
          <w:tcPr>
            <w:tcW w:w="2834" w:type="dxa"/>
            <w:tcBorders>
              <w:top w:val="nil"/>
              <w:left w:val="nil"/>
              <w:bottom w:val="nil"/>
              <w:right w:val="nil"/>
            </w:tcBorders>
            <w:shd w:val="clear" w:color="auto" w:fill="auto"/>
            <w:vAlign w:val="center"/>
          </w:tcPr>
          <w:p w14:paraId="3ACF009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81.6</w:t>
            </w:r>
          </w:p>
        </w:tc>
      </w:tr>
      <w:tr w:rsidR="00C84BB4" w:rsidRPr="00D41537" w14:paraId="6FB30AF0" w14:textId="77777777" w:rsidTr="00D41537">
        <w:tc>
          <w:tcPr>
            <w:tcW w:w="3634" w:type="dxa"/>
            <w:tcBorders>
              <w:top w:val="nil"/>
              <w:left w:val="nil"/>
              <w:bottom w:val="nil"/>
              <w:right w:val="nil"/>
            </w:tcBorders>
            <w:shd w:val="clear" w:color="auto" w:fill="auto"/>
          </w:tcPr>
          <w:p w14:paraId="152FE028"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Black</w:t>
            </w:r>
          </w:p>
        </w:tc>
        <w:tc>
          <w:tcPr>
            <w:tcW w:w="2054" w:type="dxa"/>
            <w:tcBorders>
              <w:top w:val="nil"/>
              <w:left w:val="nil"/>
              <w:bottom w:val="nil"/>
              <w:right w:val="nil"/>
            </w:tcBorders>
            <w:shd w:val="clear" w:color="auto" w:fill="auto"/>
            <w:vAlign w:val="center"/>
          </w:tcPr>
          <w:p w14:paraId="68B72BB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5099</w:t>
            </w:r>
          </w:p>
        </w:tc>
        <w:tc>
          <w:tcPr>
            <w:tcW w:w="2834" w:type="dxa"/>
            <w:tcBorders>
              <w:top w:val="nil"/>
              <w:left w:val="nil"/>
              <w:bottom w:val="nil"/>
              <w:right w:val="nil"/>
            </w:tcBorders>
            <w:shd w:val="clear" w:color="auto" w:fill="auto"/>
            <w:vAlign w:val="center"/>
          </w:tcPr>
          <w:p w14:paraId="56149C0A"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11.2</w:t>
            </w:r>
          </w:p>
        </w:tc>
      </w:tr>
      <w:tr w:rsidR="00C84BB4" w:rsidRPr="00D41537" w14:paraId="6E73494F" w14:textId="77777777" w:rsidTr="00D41537">
        <w:tc>
          <w:tcPr>
            <w:tcW w:w="3634" w:type="dxa"/>
            <w:tcBorders>
              <w:top w:val="nil"/>
              <w:left w:val="nil"/>
              <w:bottom w:val="nil"/>
              <w:right w:val="nil"/>
            </w:tcBorders>
            <w:shd w:val="clear" w:color="auto" w:fill="auto"/>
          </w:tcPr>
          <w:p w14:paraId="42B79B30"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Asian or Pacific Islander</w:t>
            </w:r>
          </w:p>
        </w:tc>
        <w:tc>
          <w:tcPr>
            <w:tcW w:w="2054" w:type="dxa"/>
            <w:tcBorders>
              <w:top w:val="nil"/>
              <w:left w:val="nil"/>
              <w:bottom w:val="nil"/>
              <w:right w:val="nil"/>
            </w:tcBorders>
            <w:shd w:val="clear" w:color="auto" w:fill="auto"/>
            <w:vAlign w:val="center"/>
          </w:tcPr>
          <w:p w14:paraId="18C95FF9"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2865</w:t>
            </w:r>
          </w:p>
        </w:tc>
        <w:tc>
          <w:tcPr>
            <w:tcW w:w="2834" w:type="dxa"/>
            <w:tcBorders>
              <w:top w:val="nil"/>
              <w:left w:val="nil"/>
              <w:bottom w:val="nil"/>
              <w:right w:val="nil"/>
            </w:tcBorders>
            <w:shd w:val="clear" w:color="auto" w:fill="auto"/>
            <w:vAlign w:val="center"/>
          </w:tcPr>
          <w:p w14:paraId="00739DA4"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6.3</w:t>
            </w:r>
          </w:p>
        </w:tc>
      </w:tr>
      <w:tr w:rsidR="00C84BB4" w:rsidRPr="00D41537" w14:paraId="0C3E4815" w14:textId="77777777" w:rsidTr="00D41537">
        <w:tc>
          <w:tcPr>
            <w:tcW w:w="3634" w:type="dxa"/>
            <w:tcBorders>
              <w:top w:val="nil"/>
              <w:left w:val="nil"/>
              <w:bottom w:val="nil"/>
              <w:right w:val="nil"/>
            </w:tcBorders>
            <w:shd w:val="clear" w:color="auto" w:fill="auto"/>
          </w:tcPr>
          <w:p w14:paraId="57D04666"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lastRenderedPageBreak/>
              <w:t>American Indian and Alaska Native</w:t>
            </w:r>
          </w:p>
        </w:tc>
        <w:tc>
          <w:tcPr>
            <w:tcW w:w="2054" w:type="dxa"/>
            <w:tcBorders>
              <w:top w:val="nil"/>
              <w:left w:val="nil"/>
              <w:bottom w:val="nil"/>
              <w:right w:val="nil"/>
            </w:tcBorders>
            <w:shd w:val="clear" w:color="auto" w:fill="auto"/>
            <w:vAlign w:val="center"/>
          </w:tcPr>
          <w:p w14:paraId="6C298F3E"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249</w:t>
            </w:r>
          </w:p>
        </w:tc>
        <w:tc>
          <w:tcPr>
            <w:tcW w:w="2834" w:type="dxa"/>
            <w:tcBorders>
              <w:top w:val="nil"/>
              <w:left w:val="nil"/>
              <w:bottom w:val="nil"/>
              <w:right w:val="nil"/>
            </w:tcBorders>
            <w:shd w:val="clear" w:color="auto" w:fill="auto"/>
            <w:vAlign w:val="center"/>
          </w:tcPr>
          <w:p w14:paraId="116935B6"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0.5</w:t>
            </w:r>
          </w:p>
        </w:tc>
      </w:tr>
      <w:tr w:rsidR="00C84BB4" w:rsidRPr="00D41537" w14:paraId="30CCBB36" w14:textId="77777777" w:rsidTr="00D41537">
        <w:tc>
          <w:tcPr>
            <w:tcW w:w="3634" w:type="dxa"/>
            <w:tcBorders>
              <w:top w:val="nil"/>
              <w:left w:val="nil"/>
              <w:bottom w:val="nil"/>
              <w:right w:val="nil"/>
            </w:tcBorders>
            <w:shd w:val="clear" w:color="auto" w:fill="auto"/>
          </w:tcPr>
          <w:p w14:paraId="4C60139D"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Unknown</w:t>
            </w:r>
          </w:p>
        </w:tc>
        <w:tc>
          <w:tcPr>
            <w:tcW w:w="2054" w:type="dxa"/>
            <w:tcBorders>
              <w:top w:val="nil"/>
              <w:left w:val="nil"/>
              <w:bottom w:val="nil"/>
              <w:right w:val="nil"/>
            </w:tcBorders>
            <w:shd w:val="clear" w:color="auto" w:fill="auto"/>
            <w:vAlign w:val="center"/>
          </w:tcPr>
          <w:p w14:paraId="1CDD3A8A"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134</w:t>
            </w:r>
          </w:p>
        </w:tc>
        <w:tc>
          <w:tcPr>
            <w:tcW w:w="2834" w:type="dxa"/>
            <w:tcBorders>
              <w:top w:val="nil"/>
              <w:left w:val="nil"/>
              <w:bottom w:val="nil"/>
              <w:right w:val="nil"/>
            </w:tcBorders>
            <w:shd w:val="clear" w:color="auto" w:fill="auto"/>
            <w:vAlign w:val="center"/>
          </w:tcPr>
          <w:p w14:paraId="6E1B851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0.3</w:t>
            </w:r>
          </w:p>
        </w:tc>
      </w:tr>
      <w:tr w:rsidR="00C84BB4" w:rsidRPr="00D41537" w14:paraId="0E13C1D5" w14:textId="77777777" w:rsidTr="00D41537">
        <w:tc>
          <w:tcPr>
            <w:tcW w:w="3634" w:type="dxa"/>
            <w:tcBorders>
              <w:top w:val="nil"/>
              <w:left w:val="nil"/>
              <w:bottom w:val="nil"/>
              <w:right w:val="nil"/>
            </w:tcBorders>
            <w:shd w:val="clear" w:color="auto" w:fill="auto"/>
          </w:tcPr>
          <w:p w14:paraId="3936DEF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Marital status</w:t>
            </w:r>
          </w:p>
        </w:tc>
        <w:tc>
          <w:tcPr>
            <w:tcW w:w="2054" w:type="dxa"/>
            <w:tcBorders>
              <w:top w:val="nil"/>
              <w:left w:val="nil"/>
              <w:bottom w:val="nil"/>
              <w:right w:val="nil"/>
            </w:tcBorders>
            <w:shd w:val="clear" w:color="auto" w:fill="auto"/>
          </w:tcPr>
          <w:p w14:paraId="09143CC4"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686BE3EC"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14FB2F8B" w14:textId="77777777" w:rsidTr="00D41537">
        <w:tc>
          <w:tcPr>
            <w:tcW w:w="3634" w:type="dxa"/>
            <w:tcBorders>
              <w:top w:val="nil"/>
              <w:left w:val="nil"/>
              <w:bottom w:val="nil"/>
              <w:right w:val="nil"/>
            </w:tcBorders>
            <w:shd w:val="clear" w:color="auto" w:fill="auto"/>
          </w:tcPr>
          <w:p w14:paraId="26FFCDD7"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Single</w:t>
            </w:r>
          </w:p>
        </w:tc>
        <w:tc>
          <w:tcPr>
            <w:tcW w:w="2054" w:type="dxa"/>
            <w:tcBorders>
              <w:top w:val="nil"/>
              <w:left w:val="nil"/>
              <w:bottom w:val="nil"/>
              <w:right w:val="nil"/>
            </w:tcBorders>
            <w:shd w:val="clear" w:color="auto" w:fill="auto"/>
            <w:vAlign w:val="center"/>
          </w:tcPr>
          <w:p w14:paraId="3E88733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6476</w:t>
            </w:r>
          </w:p>
        </w:tc>
        <w:tc>
          <w:tcPr>
            <w:tcW w:w="2834" w:type="dxa"/>
            <w:tcBorders>
              <w:top w:val="nil"/>
              <w:left w:val="nil"/>
              <w:bottom w:val="nil"/>
              <w:right w:val="nil"/>
            </w:tcBorders>
            <w:shd w:val="clear" w:color="auto" w:fill="auto"/>
            <w:vAlign w:val="center"/>
          </w:tcPr>
          <w:p w14:paraId="13B80096"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14.2</w:t>
            </w:r>
          </w:p>
        </w:tc>
      </w:tr>
      <w:tr w:rsidR="00C84BB4" w:rsidRPr="00D41537" w14:paraId="571548FD" w14:textId="77777777" w:rsidTr="00D41537">
        <w:tc>
          <w:tcPr>
            <w:tcW w:w="3634" w:type="dxa"/>
            <w:tcBorders>
              <w:top w:val="nil"/>
              <w:left w:val="nil"/>
              <w:bottom w:val="nil"/>
              <w:right w:val="nil"/>
            </w:tcBorders>
            <w:shd w:val="clear" w:color="auto" w:fill="auto"/>
          </w:tcPr>
          <w:p w14:paraId="035BB20E"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Married</w:t>
            </w:r>
          </w:p>
        </w:tc>
        <w:tc>
          <w:tcPr>
            <w:tcW w:w="2054" w:type="dxa"/>
            <w:tcBorders>
              <w:top w:val="nil"/>
              <w:left w:val="nil"/>
              <w:bottom w:val="nil"/>
              <w:right w:val="nil"/>
            </w:tcBorders>
            <w:shd w:val="clear" w:color="auto" w:fill="auto"/>
            <w:vAlign w:val="center"/>
          </w:tcPr>
          <w:p w14:paraId="6FCA6C4B"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24100</w:t>
            </w:r>
          </w:p>
        </w:tc>
        <w:tc>
          <w:tcPr>
            <w:tcW w:w="2834" w:type="dxa"/>
            <w:tcBorders>
              <w:top w:val="nil"/>
              <w:left w:val="nil"/>
              <w:bottom w:val="nil"/>
              <w:right w:val="nil"/>
            </w:tcBorders>
            <w:shd w:val="clear" w:color="auto" w:fill="auto"/>
            <w:vAlign w:val="center"/>
          </w:tcPr>
          <w:p w14:paraId="43A975B4"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53.0</w:t>
            </w:r>
          </w:p>
        </w:tc>
      </w:tr>
      <w:tr w:rsidR="00C84BB4" w:rsidRPr="00D41537" w14:paraId="18439E85" w14:textId="77777777" w:rsidTr="00D41537">
        <w:tc>
          <w:tcPr>
            <w:tcW w:w="3634" w:type="dxa"/>
            <w:tcBorders>
              <w:top w:val="nil"/>
              <w:left w:val="nil"/>
              <w:bottom w:val="nil"/>
              <w:right w:val="nil"/>
            </w:tcBorders>
            <w:shd w:val="clear" w:color="auto" w:fill="auto"/>
          </w:tcPr>
          <w:p w14:paraId="669E0081" w14:textId="64C7472E"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Other</w:t>
            </w:r>
            <w:r w:rsidR="00107D4E" w:rsidRPr="00D41537">
              <w:rPr>
                <w:rFonts w:ascii="Book Antiqua" w:eastAsia="Times New Roman" w:hAnsi="Book Antiqua"/>
                <w:vertAlign w:val="superscript"/>
              </w:rPr>
              <w:t>1</w:t>
            </w:r>
          </w:p>
        </w:tc>
        <w:tc>
          <w:tcPr>
            <w:tcW w:w="2054" w:type="dxa"/>
            <w:tcBorders>
              <w:top w:val="nil"/>
              <w:left w:val="nil"/>
              <w:bottom w:val="nil"/>
              <w:right w:val="nil"/>
            </w:tcBorders>
            <w:shd w:val="clear" w:color="auto" w:fill="auto"/>
            <w:vAlign w:val="center"/>
          </w:tcPr>
          <w:p w14:paraId="56863299"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14905</w:t>
            </w:r>
          </w:p>
        </w:tc>
        <w:tc>
          <w:tcPr>
            <w:tcW w:w="2834" w:type="dxa"/>
            <w:tcBorders>
              <w:top w:val="nil"/>
              <w:left w:val="nil"/>
              <w:bottom w:val="nil"/>
              <w:right w:val="nil"/>
            </w:tcBorders>
            <w:shd w:val="clear" w:color="auto" w:fill="auto"/>
            <w:vAlign w:val="center"/>
          </w:tcPr>
          <w:p w14:paraId="754FFA56"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32.8</w:t>
            </w:r>
          </w:p>
        </w:tc>
      </w:tr>
      <w:tr w:rsidR="00C84BB4" w:rsidRPr="00D41537" w14:paraId="5BE7300F" w14:textId="77777777" w:rsidTr="00D41537">
        <w:tc>
          <w:tcPr>
            <w:tcW w:w="3634" w:type="dxa"/>
            <w:tcBorders>
              <w:top w:val="nil"/>
              <w:left w:val="nil"/>
              <w:bottom w:val="nil"/>
              <w:right w:val="nil"/>
            </w:tcBorders>
            <w:shd w:val="clear" w:color="auto" w:fill="auto"/>
          </w:tcPr>
          <w:p w14:paraId="75250FB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Tumor site</w:t>
            </w:r>
          </w:p>
        </w:tc>
        <w:tc>
          <w:tcPr>
            <w:tcW w:w="2054" w:type="dxa"/>
            <w:tcBorders>
              <w:top w:val="nil"/>
              <w:left w:val="nil"/>
              <w:bottom w:val="nil"/>
              <w:right w:val="nil"/>
            </w:tcBorders>
            <w:shd w:val="clear" w:color="auto" w:fill="auto"/>
          </w:tcPr>
          <w:p w14:paraId="29D97AB6"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174562AC"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605F0FE8" w14:textId="77777777" w:rsidTr="00D41537">
        <w:tc>
          <w:tcPr>
            <w:tcW w:w="3634" w:type="dxa"/>
            <w:tcBorders>
              <w:top w:val="nil"/>
              <w:left w:val="nil"/>
              <w:bottom w:val="nil"/>
              <w:right w:val="nil"/>
            </w:tcBorders>
            <w:shd w:val="clear" w:color="auto" w:fill="auto"/>
          </w:tcPr>
          <w:p w14:paraId="4F2B858B"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Proximal colon</w:t>
            </w:r>
          </w:p>
        </w:tc>
        <w:tc>
          <w:tcPr>
            <w:tcW w:w="2054" w:type="dxa"/>
            <w:tcBorders>
              <w:top w:val="nil"/>
              <w:left w:val="nil"/>
              <w:bottom w:val="nil"/>
              <w:right w:val="nil"/>
            </w:tcBorders>
            <w:shd w:val="clear" w:color="auto" w:fill="auto"/>
            <w:vAlign w:val="center"/>
          </w:tcPr>
          <w:p w14:paraId="53AEF40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20714</w:t>
            </w:r>
          </w:p>
        </w:tc>
        <w:tc>
          <w:tcPr>
            <w:tcW w:w="2834" w:type="dxa"/>
            <w:tcBorders>
              <w:top w:val="nil"/>
              <w:left w:val="nil"/>
              <w:bottom w:val="nil"/>
              <w:right w:val="nil"/>
            </w:tcBorders>
            <w:shd w:val="clear" w:color="auto" w:fill="auto"/>
            <w:vAlign w:val="center"/>
          </w:tcPr>
          <w:p w14:paraId="79D44B7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45.5</w:t>
            </w:r>
          </w:p>
        </w:tc>
      </w:tr>
      <w:tr w:rsidR="00C84BB4" w:rsidRPr="00D41537" w14:paraId="246920BB" w14:textId="77777777" w:rsidTr="00D41537">
        <w:tc>
          <w:tcPr>
            <w:tcW w:w="3634" w:type="dxa"/>
            <w:tcBorders>
              <w:top w:val="nil"/>
              <w:left w:val="nil"/>
              <w:bottom w:val="nil"/>
              <w:right w:val="nil"/>
            </w:tcBorders>
            <w:shd w:val="clear" w:color="auto" w:fill="auto"/>
          </w:tcPr>
          <w:p w14:paraId="39F219D0"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Transverse colon</w:t>
            </w:r>
          </w:p>
        </w:tc>
        <w:tc>
          <w:tcPr>
            <w:tcW w:w="2054" w:type="dxa"/>
            <w:tcBorders>
              <w:top w:val="nil"/>
              <w:left w:val="nil"/>
              <w:bottom w:val="nil"/>
              <w:right w:val="nil"/>
            </w:tcBorders>
            <w:shd w:val="clear" w:color="auto" w:fill="auto"/>
            <w:vAlign w:val="center"/>
          </w:tcPr>
          <w:p w14:paraId="17D514EF"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3510</w:t>
            </w:r>
          </w:p>
        </w:tc>
        <w:tc>
          <w:tcPr>
            <w:tcW w:w="2834" w:type="dxa"/>
            <w:tcBorders>
              <w:top w:val="nil"/>
              <w:left w:val="nil"/>
              <w:bottom w:val="nil"/>
              <w:right w:val="nil"/>
            </w:tcBorders>
            <w:shd w:val="clear" w:color="auto" w:fill="auto"/>
            <w:vAlign w:val="center"/>
          </w:tcPr>
          <w:p w14:paraId="6490DC8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7.7</w:t>
            </w:r>
          </w:p>
        </w:tc>
      </w:tr>
      <w:tr w:rsidR="00C84BB4" w:rsidRPr="00D41537" w14:paraId="57B440C5" w14:textId="77777777" w:rsidTr="00D41537">
        <w:tc>
          <w:tcPr>
            <w:tcW w:w="3634" w:type="dxa"/>
            <w:tcBorders>
              <w:top w:val="nil"/>
              <w:left w:val="nil"/>
              <w:bottom w:val="nil"/>
              <w:right w:val="nil"/>
            </w:tcBorders>
            <w:shd w:val="clear" w:color="auto" w:fill="auto"/>
          </w:tcPr>
          <w:p w14:paraId="701958CF"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Distal colon</w:t>
            </w:r>
          </w:p>
        </w:tc>
        <w:tc>
          <w:tcPr>
            <w:tcW w:w="2054" w:type="dxa"/>
            <w:tcBorders>
              <w:top w:val="nil"/>
              <w:left w:val="nil"/>
              <w:bottom w:val="nil"/>
              <w:right w:val="nil"/>
            </w:tcBorders>
            <w:shd w:val="clear" w:color="auto" w:fill="auto"/>
            <w:vAlign w:val="center"/>
          </w:tcPr>
          <w:p w14:paraId="1770E3DB"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11065</w:t>
            </w:r>
          </w:p>
        </w:tc>
        <w:tc>
          <w:tcPr>
            <w:tcW w:w="2834" w:type="dxa"/>
            <w:tcBorders>
              <w:top w:val="nil"/>
              <w:left w:val="nil"/>
              <w:bottom w:val="nil"/>
              <w:right w:val="nil"/>
            </w:tcBorders>
            <w:shd w:val="clear" w:color="auto" w:fill="auto"/>
            <w:vAlign w:val="center"/>
          </w:tcPr>
          <w:p w14:paraId="60E1F65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24.3</w:t>
            </w:r>
          </w:p>
        </w:tc>
      </w:tr>
      <w:tr w:rsidR="00C84BB4" w:rsidRPr="00D41537" w14:paraId="1C6B0886" w14:textId="77777777" w:rsidTr="00D41537">
        <w:tc>
          <w:tcPr>
            <w:tcW w:w="3634" w:type="dxa"/>
            <w:tcBorders>
              <w:top w:val="nil"/>
              <w:left w:val="nil"/>
              <w:bottom w:val="nil"/>
              <w:right w:val="nil"/>
            </w:tcBorders>
            <w:shd w:val="clear" w:color="auto" w:fill="auto"/>
          </w:tcPr>
          <w:p w14:paraId="3925A540"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Rectum</w:t>
            </w:r>
          </w:p>
        </w:tc>
        <w:tc>
          <w:tcPr>
            <w:tcW w:w="2054" w:type="dxa"/>
            <w:tcBorders>
              <w:top w:val="nil"/>
              <w:left w:val="nil"/>
              <w:bottom w:val="nil"/>
              <w:right w:val="nil"/>
            </w:tcBorders>
            <w:shd w:val="clear" w:color="auto" w:fill="auto"/>
            <w:vAlign w:val="center"/>
          </w:tcPr>
          <w:p w14:paraId="7441605D"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5149</w:t>
            </w:r>
          </w:p>
        </w:tc>
        <w:tc>
          <w:tcPr>
            <w:tcW w:w="2834" w:type="dxa"/>
            <w:tcBorders>
              <w:top w:val="nil"/>
              <w:left w:val="nil"/>
              <w:bottom w:val="nil"/>
              <w:right w:val="nil"/>
            </w:tcBorders>
            <w:shd w:val="clear" w:color="auto" w:fill="auto"/>
            <w:vAlign w:val="center"/>
          </w:tcPr>
          <w:p w14:paraId="0B1AC10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11.3</w:t>
            </w:r>
          </w:p>
        </w:tc>
      </w:tr>
      <w:tr w:rsidR="00C84BB4" w:rsidRPr="00D41537" w14:paraId="679EE04E" w14:textId="77777777" w:rsidTr="00D41537">
        <w:tc>
          <w:tcPr>
            <w:tcW w:w="3634" w:type="dxa"/>
            <w:tcBorders>
              <w:top w:val="nil"/>
              <w:left w:val="nil"/>
              <w:bottom w:val="nil"/>
              <w:right w:val="nil"/>
            </w:tcBorders>
            <w:shd w:val="clear" w:color="auto" w:fill="auto"/>
          </w:tcPr>
          <w:p w14:paraId="5132C941"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Appendix</w:t>
            </w:r>
          </w:p>
        </w:tc>
        <w:tc>
          <w:tcPr>
            <w:tcW w:w="2054" w:type="dxa"/>
            <w:tcBorders>
              <w:top w:val="nil"/>
              <w:left w:val="nil"/>
              <w:bottom w:val="nil"/>
              <w:right w:val="nil"/>
            </w:tcBorders>
            <w:shd w:val="clear" w:color="auto" w:fill="auto"/>
            <w:vAlign w:val="center"/>
          </w:tcPr>
          <w:p w14:paraId="245FB4E2"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3572</w:t>
            </w:r>
          </w:p>
        </w:tc>
        <w:tc>
          <w:tcPr>
            <w:tcW w:w="2834" w:type="dxa"/>
            <w:tcBorders>
              <w:top w:val="nil"/>
              <w:left w:val="nil"/>
              <w:bottom w:val="nil"/>
              <w:right w:val="nil"/>
            </w:tcBorders>
            <w:shd w:val="clear" w:color="auto" w:fill="auto"/>
            <w:vAlign w:val="center"/>
          </w:tcPr>
          <w:p w14:paraId="06AAF5A8"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7.9</w:t>
            </w:r>
          </w:p>
        </w:tc>
      </w:tr>
      <w:tr w:rsidR="00C84BB4" w:rsidRPr="00D41537" w14:paraId="5CF841ED" w14:textId="77777777" w:rsidTr="00D41537">
        <w:tc>
          <w:tcPr>
            <w:tcW w:w="3634" w:type="dxa"/>
            <w:tcBorders>
              <w:top w:val="nil"/>
              <w:left w:val="nil"/>
              <w:bottom w:val="nil"/>
              <w:right w:val="nil"/>
            </w:tcBorders>
            <w:shd w:val="clear" w:color="auto" w:fill="auto"/>
          </w:tcPr>
          <w:p w14:paraId="55100BF7"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Large intestine, unspecified</w:t>
            </w:r>
          </w:p>
        </w:tc>
        <w:tc>
          <w:tcPr>
            <w:tcW w:w="2054" w:type="dxa"/>
            <w:tcBorders>
              <w:top w:val="nil"/>
              <w:left w:val="nil"/>
              <w:bottom w:val="nil"/>
              <w:right w:val="nil"/>
            </w:tcBorders>
            <w:shd w:val="clear" w:color="auto" w:fill="auto"/>
            <w:vAlign w:val="center"/>
          </w:tcPr>
          <w:p w14:paraId="63A7F7B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1471</w:t>
            </w:r>
          </w:p>
        </w:tc>
        <w:tc>
          <w:tcPr>
            <w:tcW w:w="2834" w:type="dxa"/>
            <w:tcBorders>
              <w:top w:val="nil"/>
              <w:left w:val="nil"/>
              <w:bottom w:val="nil"/>
              <w:right w:val="nil"/>
            </w:tcBorders>
            <w:shd w:val="clear" w:color="auto" w:fill="auto"/>
            <w:vAlign w:val="center"/>
          </w:tcPr>
          <w:p w14:paraId="3DD62FE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3.2</w:t>
            </w:r>
          </w:p>
        </w:tc>
      </w:tr>
      <w:tr w:rsidR="00C84BB4" w:rsidRPr="00D41537" w14:paraId="459FEA6B" w14:textId="77777777" w:rsidTr="00D41537">
        <w:tc>
          <w:tcPr>
            <w:tcW w:w="3634" w:type="dxa"/>
            <w:tcBorders>
              <w:top w:val="nil"/>
              <w:left w:val="nil"/>
              <w:bottom w:val="nil"/>
              <w:right w:val="nil"/>
            </w:tcBorders>
            <w:shd w:val="clear" w:color="auto" w:fill="auto"/>
          </w:tcPr>
          <w:p w14:paraId="3B0603DB" w14:textId="4EAB54FA"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Grade</w:t>
            </w:r>
            <w:r w:rsidR="00107D4E" w:rsidRPr="00D41537">
              <w:rPr>
                <w:rFonts w:ascii="Book Antiqua" w:eastAsia="Times New Roman" w:hAnsi="Book Antiqua"/>
                <w:vertAlign w:val="superscript"/>
              </w:rPr>
              <w:t>2</w:t>
            </w:r>
          </w:p>
        </w:tc>
        <w:tc>
          <w:tcPr>
            <w:tcW w:w="2054" w:type="dxa"/>
            <w:tcBorders>
              <w:top w:val="nil"/>
              <w:left w:val="nil"/>
              <w:bottom w:val="nil"/>
              <w:right w:val="nil"/>
            </w:tcBorders>
            <w:shd w:val="clear" w:color="auto" w:fill="auto"/>
          </w:tcPr>
          <w:p w14:paraId="70CEAB78"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4394FC4D"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62734F1" w14:textId="77777777" w:rsidTr="00D41537">
        <w:tc>
          <w:tcPr>
            <w:tcW w:w="3634" w:type="dxa"/>
            <w:tcBorders>
              <w:top w:val="nil"/>
              <w:left w:val="nil"/>
              <w:bottom w:val="nil"/>
              <w:right w:val="nil"/>
            </w:tcBorders>
            <w:shd w:val="clear" w:color="auto" w:fill="auto"/>
          </w:tcPr>
          <w:p w14:paraId="22F0D98C"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1</w:t>
            </w:r>
          </w:p>
        </w:tc>
        <w:tc>
          <w:tcPr>
            <w:tcW w:w="2054" w:type="dxa"/>
            <w:tcBorders>
              <w:top w:val="nil"/>
              <w:left w:val="nil"/>
              <w:bottom w:val="nil"/>
              <w:right w:val="nil"/>
            </w:tcBorders>
            <w:shd w:val="clear" w:color="auto" w:fill="auto"/>
            <w:vAlign w:val="center"/>
          </w:tcPr>
          <w:p w14:paraId="0CD69F1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5051</w:t>
            </w:r>
          </w:p>
        </w:tc>
        <w:tc>
          <w:tcPr>
            <w:tcW w:w="2834" w:type="dxa"/>
            <w:tcBorders>
              <w:top w:val="nil"/>
              <w:left w:val="nil"/>
              <w:bottom w:val="nil"/>
              <w:right w:val="nil"/>
            </w:tcBorders>
            <w:shd w:val="clear" w:color="auto" w:fill="auto"/>
            <w:vAlign w:val="center"/>
          </w:tcPr>
          <w:p w14:paraId="20A0DC1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11.1</w:t>
            </w:r>
          </w:p>
        </w:tc>
      </w:tr>
      <w:tr w:rsidR="00C84BB4" w:rsidRPr="00D41537" w14:paraId="5F2774CB" w14:textId="77777777" w:rsidTr="00D41537">
        <w:tc>
          <w:tcPr>
            <w:tcW w:w="3634" w:type="dxa"/>
            <w:tcBorders>
              <w:top w:val="nil"/>
              <w:left w:val="nil"/>
              <w:bottom w:val="nil"/>
              <w:right w:val="nil"/>
            </w:tcBorders>
            <w:shd w:val="clear" w:color="auto" w:fill="auto"/>
          </w:tcPr>
          <w:p w14:paraId="3926E74E"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2</w:t>
            </w:r>
          </w:p>
        </w:tc>
        <w:tc>
          <w:tcPr>
            <w:tcW w:w="2054" w:type="dxa"/>
            <w:tcBorders>
              <w:top w:val="nil"/>
              <w:left w:val="nil"/>
              <w:bottom w:val="nil"/>
              <w:right w:val="nil"/>
            </w:tcBorders>
            <w:shd w:val="clear" w:color="auto" w:fill="auto"/>
            <w:vAlign w:val="center"/>
          </w:tcPr>
          <w:p w14:paraId="2484687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25253</w:t>
            </w:r>
          </w:p>
        </w:tc>
        <w:tc>
          <w:tcPr>
            <w:tcW w:w="2834" w:type="dxa"/>
            <w:tcBorders>
              <w:top w:val="nil"/>
              <w:left w:val="nil"/>
              <w:bottom w:val="nil"/>
              <w:right w:val="nil"/>
            </w:tcBorders>
            <w:shd w:val="clear" w:color="auto" w:fill="auto"/>
            <w:vAlign w:val="center"/>
          </w:tcPr>
          <w:p w14:paraId="06A76702"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55.5</w:t>
            </w:r>
          </w:p>
        </w:tc>
      </w:tr>
      <w:tr w:rsidR="00C84BB4" w:rsidRPr="00D41537" w14:paraId="5C906F62" w14:textId="77777777" w:rsidTr="00D41537">
        <w:tc>
          <w:tcPr>
            <w:tcW w:w="3634" w:type="dxa"/>
            <w:tcBorders>
              <w:top w:val="nil"/>
              <w:left w:val="nil"/>
              <w:bottom w:val="nil"/>
              <w:right w:val="nil"/>
            </w:tcBorders>
            <w:shd w:val="clear" w:color="auto" w:fill="auto"/>
          </w:tcPr>
          <w:p w14:paraId="07B86B03"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3</w:t>
            </w:r>
          </w:p>
        </w:tc>
        <w:tc>
          <w:tcPr>
            <w:tcW w:w="2054" w:type="dxa"/>
            <w:tcBorders>
              <w:top w:val="nil"/>
              <w:left w:val="nil"/>
              <w:bottom w:val="nil"/>
              <w:right w:val="nil"/>
            </w:tcBorders>
            <w:shd w:val="clear" w:color="auto" w:fill="auto"/>
            <w:vAlign w:val="center"/>
          </w:tcPr>
          <w:p w14:paraId="48EE0EB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7703</w:t>
            </w:r>
          </w:p>
        </w:tc>
        <w:tc>
          <w:tcPr>
            <w:tcW w:w="2834" w:type="dxa"/>
            <w:tcBorders>
              <w:top w:val="nil"/>
              <w:left w:val="nil"/>
              <w:bottom w:val="nil"/>
              <w:right w:val="nil"/>
            </w:tcBorders>
            <w:shd w:val="clear" w:color="auto" w:fill="auto"/>
            <w:vAlign w:val="center"/>
          </w:tcPr>
          <w:p w14:paraId="6FB70D9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16.9</w:t>
            </w:r>
          </w:p>
        </w:tc>
      </w:tr>
      <w:tr w:rsidR="00C84BB4" w:rsidRPr="00D41537" w14:paraId="4B1C4674" w14:textId="77777777" w:rsidTr="00D41537">
        <w:tc>
          <w:tcPr>
            <w:tcW w:w="3634" w:type="dxa"/>
            <w:tcBorders>
              <w:top w:val="nil"/>
              <w:left w:val="nil"/>
              <w:bottom w:val="nil"/>
              <w:right w:val="nil"/>
            </w:tcBorders>
            <w:shd w:val="clear" w:color="auto" w:fill="auto"/>
          </w:tcPr>
          <w:p w14:paraId="2C0DD83F"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4</w:t>
            </w:r>
          </w:p>
        </w:tc>
        <w:tc>
          <w:tcPr>
            <w:tcW w:w="2054" w:type="dxa"/>
            <w:tcBorders>
              <w:top w:val="nil"/>
              <w:left w:val="nil"/>
              <w:bottom w:val="nil"/>
              <w:right w:val="nil"/>
            </w:tcBorders>
            <w:shd w:val="clear" w:color="auto" w:fill="auto"/>
            <w:vAlign w:val="center"/>
          </w:tcPr>
          <w:p w14:paraId="2A2DB3F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963</w:t>
            </w:r>
          </w:p>
        </w:tc>
        <w:tc>
          <w:tcPr>
            <w:tcW w:w="2834" w:type="dxa"/>
            <w:tcBorders>
              <w:top w:val="nil"/>
              <w:left w:val="nil"/>
              <w:bottom w:val="nil"/>
              <w:right w:val="nil"/>
            </w:tcBorders>
            <w:shd w:val="clear" w:color="auto" w:fill="auto"/>
            <w:vAlign w:val="center"/>
          </w:tcPr>
          <w:p w14:paraId="365DE4B8"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2.1</w:t>
            </w:r>
          </w:p>
        </w:tc>
      </w:tr>
      <w:tr w:rsidR="00C84BB4" w:rsidRPr="00D41537" w14:paraId="242C4DFC" w14:textId="77777777" w:rsidTr="00D41537">
        <w:tc>
          <w:tcPr>
            <w:tcW w:w="3634" w:type="dxa"/>
            <w:tcBorders>
              <w:top w:val="nil"/>
              <w:left w:val="nil"/>
              <w:bottom w:val="nil"/>
              <w:right w:val="nil"/>
            </w:tcBorders>
            <w:shd w:val="clear" w:color="auto" w:fill="auto"/>
          </w:tcPr>
          <w:p w14:paraId="16C7A14A"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Unknown</w:t>
            </w:r>
          </w:p>
        </w:tc>
        <w:tc>
          <w:tcPr>
            <w:tcW w:w="2054" w:type="dxa"/>
            <w:tcBorders>
              <w:top w:val="nil"/>
              <w:left w:val="nil"/>
              <w:bottom w:val="nil"/>
              <w:right w:val="nil"/>
            </w:tcBorders>
            <w:shd w:val="clear" w:color="auto" w:fill="auto"/>
            <w:vAlign w:val="center"/>
          </w:tcPr>
          <w:p w14:paraId="038362DC"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6511</w:t>
            </w:r>
          </w:p>
        </w:tc>
        <w:tc>
          <w:tcPr>
            <w:tcW w:w="2834" w:type="dxa"/>
            <w:tcBorders>
              <w:top w:val="nil"/>
              <w:left w:val="nil"/>
              <w:bottom w:val="nil"/>
              <w:right w:val="nil"/>
            </w:tcBorders>
            <w:shd w:val="clear" w:color="auto" w:fill="auto"/>
            <w:vAlign w:val="center"/>
          </w:tcPr>
          <w:p w14:paraId="627456A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14.3</w:t>
            </w:r>
          </w:p>
        </w:tc>
      </w:tr>
      <w:tr w:rsidR="00C84BB4" w:rsidRPr="00D41537" w14:paraId="032B38EB" w14:textId="77777777" w:rsidTr="00D41537">
        <w:tc>
          <w:tcPr>
            <w:tcW w:w="3634" w:type="dxa"/>
            <w:tcBorders>
              <w:top w:val="nil"/>
              <w:left w:val="nil"/>
              <w:bottom w:val="nil"/>
              <w:right w:val="nil"/>
            </w:tcBorders>
            <w:shd w:val="clear" w:color="auto" w:fill="auto"/>
          </w:tcPr>
          <w:p w14:paraId="52B87AD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Disease stage</w:t>
            </w:r>
          </w:p>
        </w:tc>
        <w:tc>
          <w:tcPr>
            <w:tcW w:w="2054" w:type="dxa"/>
            <w:tcBorders>
              <w:top w:val="nil"/>
              <w:left w:val="nil"/>
              <w:bottom w:val="nil"/>
              <w:right w:val="nil"/>
            </w:tcBorders>
            <w:shd w:val="clear" w:color="auto" w:fill="auto"/>
          </w:tcPr>
          <w:p w14:paraId="0A4C553B"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2D6E7FD7"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42E6F51F" w14:textId="77777777" w:rsidTr="00D41537">
        <w:tc>
          <w:tcPr>
            <w:tcW w:w="3634" w:type="dxa"/>
            <w:tcBorders>
              <w:top w:val="nil"/>
              <w:left w:val="nil"/>
              <w:bottom w:val="nil"/>
              <w:right w:val="nil"/>
            </w:tcBorders>
            <w:shd w:val="clear" w:color="auto" w:fill="auto"/>
          </w:tcPr>
          <w:p w14:paraId="2C3352BC" w14:textId="77777777" w:rsidR="00C84BB4" w:rsidRPr="00751CFA" w:rsidRDefault="00C84BB4" w:rsidP="00751CFA">
            <w:pPr>
              <w:spacing w:line="360" w:lineRule="auto"/>
              <w:ind w:left="288"/>
              <w:jc w:val="both"/>
              <w:rPr>
                <w:rFonts w:ascii="Book Antiqua" w:eastAsia="Times New Roman" w:hAnsi="Book Antiqua"/>
                <w:i/>
                <w:iCs/>
              </w:rPr>
            </w:pPr>
            <w:r w:rsidRPr="00751CFA">
              <w:rPr>
                <w:rFonts w:ascii="Book Antiqua" w:eastAsia="Times New Roman" w:hAnsi="Book Antiqua"/>
                <w:i/>
                <w:iCs/>
              </w:rPr>
              <w:t>In situ</w:t>
            </w:r>
          </w:p>
        </w:tc>
        <w:tc>
          <w:tcPr>
            <w:tcW w:w="2054" w:type="dxa"/>
            <w:tcBorders>
              <w:top w:val="nil"/>
              <w:left w:val="nil"/>
              <w:bottom w:val="nil"/>
              <w:right w:val="nil"/>
            </w:tcBorders>
            <w:shd w:val="clear" w:color="auto" w:fill="auto"/>
            <w:vAlign w:val="center"/>
          </w:tcPr>
          <w:p w14:paraId="47F9B51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w:t>
            </w:r>
          </w:p>
        </w:tc>
        <w:tc>
          <w:tcPr>
            <w:tcW w:w="2834" w:type="dxa"/>
            <w:tcBorders>
              <w:top w:val="nil"/>
              <w:left w:val="nil"/>
              <w:bottom w:val="nil"/>
              <w:right w:val="nil"/>
            </w:tcBorders>
            <w:shd w:val="clear" w:color="auto" w:fill="auto"/>
            <w:vAlign w:val="center"/>
          </w:tcPr>
          <w:p w14:paraId="51A50613"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0.0</w:t>
            </w:r>
          </w:p>
        </w:tc>
      </w:tr>
      <w:tr w:rsidR="00C84BB4" w:rsidRPr="00D41537" w14:paraId="74E3102E" w14:textId="77777777" w:rsidTr="00D41537">
        <w:tc>
          <w:tcPr>
            <w:tcW w:w="3634" w:type="dxa"/>
            <w:tcBorders>
              <w:top w:val="nil"/>
              <w:left w:val="nil"/>
              <w:bottom w:val="nil"/>
              <w:right w:val="nil"/>
            </w:tcBorders>
            <w:shd w:val="clear" w:color="auto" w:fill="auto"/>
          </w:tcPr>
          <w:p w14:paraId="31568785"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Localized</w:t>
            </w:r>
          </w:p>
        </w:tc>
        <w:tc>
          <w:tcPr>
            <w:tcW w:w="2054" w:type="dxa"/>
            <w:tcBorders>
              <w:top w:val="nil"/>
              <w:left w:val="nil"/>
              <w:bottom w:val="nil"/>
              <w:right w:val="nil"/>
            </w:tcBorders>
            <w:shd w:val="clear" w:color="auto" w:fill="auto"/>
            <w:vAlign w:val="center"/>
          </w:tcPr>
          <w:p w14:paraId="5F99CA50"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11973</w:t>
            </w:r>
          </w:p>
        </w:tc>
        <w:tc>
          <w:tcPr>
            <w:tcW w:w="2834" w:type="dxa"/>
            <w:tcBorders>
              <w:top w:val="nil"/>
              <w:left w:val="nil"/>
              <w:bottom w:val="nil"/>
              <w:right w:val="nil"/>
            </w:tcBorders>
            <w:shd w:val="clear" w:color="auto" w:fill="auto"/>
            <w:vAlign w:val="center"/>
          </w:tcPr>
          <w:p w14:paraId="29F3467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26.3</w:t>
            </w:r>
          </w:p>
        </w:tc>
      </w:tr>
      <w:tr w:rsidR="00C84BB4" w:rsidRPr="00D41537" w14:paraId="322D68B5" w14:textId="77777777" w:rsidTr="00D41537">
        <w:tc>
          <w:tcPr>
            <w:tcW w:w="3634" w:type="dxa"/>
            <w:tcBorders>
              <w:top w:val="nil"/>
              <w:left w:val="nil"/>
              <w:bottom w:val="nil"/>
              <w:right w:val="nil"/>
            </w:tcBorders>
            <w:shd w:val="clear" w:color="auto" w:fill="auto"/>
          </w:tcPr>
          <w:p w14:paraId="45F0A374"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Regional</w:t>
            </w:r>
          </w:p>
        </w:tc>
        <w:tc>
          <w:tcPr>
            <w:tcW w:w="2054" w:type="dxa"/>
            <w:tcBorders>
              <w:top w:val="nil"/>
              <w:left w:val="nil"/>
              <w:bottom w:val="nil"/>
              <w:right w:val="nil"/>
            </w:tcBorders>
            <w:shd w:val="clear" w:color="auto" w:fill="auto"/>
            <w:vAlign w:val="center"/>
          </w:tcPr>
          <w:p w14:paraId="3BBB84F7"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21436</w:t>
            </w:r>
          </w:p>
        </w:tc>
        <w:tc>
          <w:tcPr>
            <w:tcW w:w="2834" w:type="dxa"/>
            <w:tcBorders>
              <w:top w:val="nil"/>
              <w:left w:val="nil"/>
              <w:bottom w:val="nil"/>
              <w:right w:val="nil"/>
            </w:tcBorders>
            <w:shd w:val="clear" w:color="auto" w:fill="auto"/>
            <w:vAlign w:val="center"/>
          </w:tcPr>
          <w:p w14:paraId="23E8B9D2"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47.1</w:t>
            </w:r>
          </w:p>
        </w:tc>
      </w:tr>
      <w:tr w:rsidR="00C84BB4" w:rsidRPr="00D41537" w14:paraId="726857F9" w14:textId="77777777" w:rsidTr="00D41537">
        <w:tc>
          <w:tcPr>
            <w:tcW w:w="3634" w:type="dxa"/>
            <w:tcBorders>
              <w:top w:val="nil"/>
              <w:left w:val="nil"/>
              <w:bottom w:val="nil"/>
              <w:right w:val="nil"/>
            </w:tcBorders>
            <w:shd w:val="clear" w:color="auto" w:fill="auto"/>
          </w:tcPr>
          <w:p w14:paraId="1316C32B"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Distant</w:t>
            </w:r>
          </w:p>
        </w:tc>
        <w:tc>
          <w:tcPr>
            <w:tcW w:w="2054" w:type="dxa"/>
            <w:tcBorders>
              <w:top w:val="nil"/>
              <w:left w:val="nil"/>
              <w:bottom w:val="nil"/>
              <w:right w:val="nil"/>
            </w:tcBorders>
            <w:shd w:val="clear" w:color="auto" w:fill="auto"/>
            <w:vAlign w:val="center"/>
          </w:tcPr>
          <w:p w14:paraId="6B4A132C"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11407</w:t>
            </w:r>
          </w:p>
        </w:tc>
        <w:tc>
          <w:tcPr>
            <w:tcW w:w="2834" w:type="dxa"/>
            <w:tcBorders>
              <w:top w:val="nil"/>
              <w:left w:val="nil"/>
              <w:bottom w:val="nil"/>
              <w:right w:val="nil"/>
            </w:tcBorders>
            <w:shd w:val="clear" w:color="auto" w:fill="auto"/>
            <w:vAlign w:val="center"/>
          </w:tcPr>
          <w:p w14:paraId="13CE74ED"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25.1</w:t>
            </w:r>
          </w:p>
        </w:tc>
      </w:tr>
      <w:tr w:rsidR="00C84BB4" w:rsidRPr="00D41537" w14:paraId="26A3A8C8" w14:textId="77777777" w:rsidTr="00D41537">
        <w:tc>
          <w:tcPr>
            <w:tcW w:w="3634" w:type="dxa"/>
            <w:tcBorders>
              <w:top w:val="nil"/>
              <w:left w:val="nil"/>
              <w:bottom w:val="nil"/>
              <w:right w:val="nil"/>
            </w:tcBorders>
            <w:shd w:val="clear" w:color="auto" w:fill="auto"/>
          </w:tcPr>
          <w:p w14:paraId="2803EE49"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Unknown/unstaged</w:t>
            </w:r>
          </w:p>
        </w:tc>
        <w:tc>
          <w:tcPr>
            <w:tcW w:w="2054" w:type="dxa"/>
            <w:tcBorders>
              <w:top w:val="nil"/>
              <w:left w:val="nil"/>
              <w:bottom w:val="nil"/>
              <w:right w:val="nil"/>
            </w:tcBorders>
            <w:shd w:val="clear" w:color="auto" w:fill="auto"/>
            <w:vAlign w:val="center"/>
          </w:tcPr>
          <w:p w14:paraId="39D91FB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663</w:t>
            </w:r>
          </w:p>
        </w:tc>
        <w:tc>
          <w:tcPr>
            <w:tcW w:w="2834" w:type="dxa"/>
            <w:tcBorders>
              <w:top w:val="nil"/>
              <w:left w:val="nil"/>
              <w:bottom w:val="nil"/>
              <w:right w:val="nil"/>
            </w:tcBorders>
            <w:shd w:val="clear" w:color="auto" w:fill="auto"/>
            <w:vAlign w:val="center"/>
          </w:tcPr>
          <w:p w14:paraId="59A1937B"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1.5</w:t>
            </w:r>
          </w:p>
        </w:tc>
      </w:tr>
      <w:tr w:rsidR="00C84BB4" w:rsidRPr="00D41537" w14:paraId="76CCADC1" w14:textId="77777777" w:rsidTr="00D41537">
        <w:tc>
          <w:tcPr>
            <w:tcW w:w="3634" w:type="dxa"/>
            <w:tcBorders>
              <w:top w:val="nil"/>
              <w:left w:val="nil"/>
              <w:bottom w:val="nil"/>
              <w:right w:val="nil"/>
            </w:tcBorders>
            <w:shd w:val="clear" w:color="auto" w:fill="auto"/>
          </w:tcPr>
          <w:p w14:paraId="6F8EC4F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Surgery</w:t>
            </w:r>
          </w:p>
        </w:tc>
        <w:tc>
          <w:tcPr>
            <w:tcW w:w="2054" w:type="dxa"/>
            <w:tcBorders>
              <w:top w:val="nil"/>
              <w:left w:val="nil"/>
              <w:bottom w:val="nil"/>
              <w:right w:val="nil"/>
            </w:tcBorders>
            <w:shd w:val="clear" w:color="auto" w:fill="auto"/>
          </w:tcPr>
          <w:p w14:paraId="532810ED"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431E270B"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3CAF1AB1" w14:textId="77777777" w:rsidTr="00D41537">
        <w:tc>
          <w:tcPr>
            <w:tcW w:w="3634" w:type="dxa"/>
            <w:tcBorders>
              <w:top w:val="nil"/>
              <w:left w:val="nil"/>
              <w:bottom w:val="nil"/>
              <w:right w:val="nil"/>
            </w:tcBorders>
            <w:shd w:val="clear" w:color="auto" w:fill="auto"/>
          </w:tcPr>
          <w:p w14:paraId="2532C05F"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Yes</w:t>
            </w:r>
          </w:p>
        </w:tc>
        <w:tc>
          <w:tcPr>
            <w:tcW w:w="2054" w:type="dxa"/>
            <w:tcBorders>
              <w:top w:val="nil"/>
              <w:left w:val="nil"/>
              <w:bottom w:val="nil"/>
              <w:right w:val="nil"/>
            </w:tcBorders>
            <w:shd w:val="clear" w:color="auto" w:fill="auto"/>
            <w:vAlign w:val="center"/>
          </w:tcPr>
          <w:p w14:paraId="270ACEB6"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41667</w:t>
            </w:r>
          </w:p>
        </w:tc>
        <w:tc>
          <w:tcPr>
            <w:tcW w:w="2834" w:type="dxa"/>
            <w:tcBorders>
              <w:top w:val="nil"/>
              <w:left w:val="nil"/>
              <w:bottom w:val="nil"/>
              <w:right w:val="nil"/>
            </w:tcBorders>
            <w:shd w:val="clear" w:color="auto" w:fill="auto"/>
            <w:vAlign w:val="center"/>
          </w:tcPr>
          <w:p w14:paraId="64A8D98E"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91.6</w:t>
            </w:r>
          </w:p>
        </w:tc>
      </w:tr>
      <w:tr w:rsidR="00C84BB4" w:rsidRPr="00D41537" w14:paraId="54888747" w14:textId="77777777" w:rsidTr="00D41537">
        <w:tc>
          <w:tcPr>
            <w:tcW w:w="3634" w:type="dxa"/>
            <w:tcBorders>
              <w:top w:val="nil"/>
              <w:left w:val="nil"/>
              <w:bottom w:val="nil"/>
              <w:right w:val="nil"/>
            </w:tcBorders>
            <w:shd w:val="clear" w:color="auto" w:fill="auto"/>
          </w:tcPr>
          <w:p w14:paraId="249FC6AE"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No/Unknown</w:t>
            </w:r>
          </w:p>
        </w:tc>
        <w:tc>
          <w:tcPr>
            <w:tcW w:w="2054" w:type="dxa"/>
            <w:tcBorders>
              <w:top w:val="nil"/>
              <w:left w:val="nil"/>
              <w:bottom w:val="nil"/>
              <w:right w:val="nil"/>
            </w:tcBorders>
            <w:shd w:val="clear" w:color="auto" w:fill="auto"/>
            <w:vAlign w:val="center"/>
          </w:tcPr>
          <w:p w14:paraId="2095B48A"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3814</w:t>
            </w:r>
          </w:p>
        </w:tc>
        <w:tc>
          <w:tcPr>
            <w:tcW w:w="2834" w:type="dxa"/>
            <w:tcBorders>
              <w:top w:val="nil"/>
              <w:left w:val="nil"/>
              <w:bottom w:val="nil"/>
              <w:right w:val="nil"/>
            </w:tcBorders>
            <w:shd w:val="clear" w:color="auto" w:fill="auto"/>
            <w:vAlign w:val="center"/>
          </w:tcPr>
          <w:p w14:paraId="2A3BD5DF"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8.4</w:t>
            </w:r>
          </w:p>
        </w:tc>
      </w:tr>
      <w:tr w:rsidR="00C84BB4" w:rsidRPr="00D41537" w14:paraId="26872D20" w14:textId="77777777" w:rsidTr="00D41537">
        <w:tc>
          <w:tcPr>
            <w:tcW w:w="3634" w:type="dxa"/>
            <w:tcBorders>
              <w:top w:val="nil"/>
              <w:left w:val="nil"/>
              <w:bottom w:val="nil"/>
              <w:right w:val="nil"/>
            </w:tcBorders>
            <w:shd w:val="clear" w:color="auto" w:fill="auto"/>
          </w:tcPr>
          <w:p w14:paraId="14BAA2A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lastRenderedPageBreak/>
              <w:t>Radiation</w:t>
            </w:r>
          </w:p>
        </w:tc>
        <w:tc>
          <w:tcPr>
            <w:tcW w:w="2054" w:type="dxa"/>
            <w:tcBorders>
              <w:top w:val="nil"/>
              <w:left w:val="nil"/>
              <w:bottom w:val="nil"/>
              <w:right w:val="nil"/>
            </w:tcBorders>
            <w:shd w:val="clear" w:color="auto" w:fill="auto"/>
          </w:tcPr>
          <w:p w14:paraId="56FDF3A5"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6778F621"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1EA6C504" w14:textId="77777777" w:rsidTr="00D41537">
        <w:tc>
          <w:tcPr>
            <w:tcW w:w="3634" w:type="dxa"/>
            <w:tcBorders>
              <w:top w:val="nil"/>
              <w:left w:val="nil"/>
              <w:bottom w:val="nil"/>
              <w:right w:val="nil"/>
            </w:tcBorders>
            <w:shd w:val="clear" w:color="auto" w:fill="auto"/>
          </w:tcPr>
          <w:p w14:paraId="2ADAF600"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Yes</w:t>
            </w:r>
          </w:p>
        </w:tc>
        <w:tc>
          <w:tcPr>
            <w:tcW w:w="2054" w:type="dxa"/>
            <w:tcBorders>
              <w:top w:val="nil"/>
              <w:left w:val="nil"/>
              <w:bottom w:val="nil"/>
              <w:right w:val="nil"/>
            </w:tcBorders>
            <w:shd w:val="clear" w:color="auto" w:fill="auto"/>
            <w:vAlign w:val="center"/>
          </w:tcPr>
          <w:p w14:paraId="2D1C1B8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4865</w:t>
            </w:r>
          </w:p>
        </w:tc>
        <w:tc>
          <w:tcPr>
            <w:tcW w:w="2834" w:type="dxa"/>
            <w:tcBorders>
              <w:top w:val="nil"/>
              <w:left w:val="nil"/>
              <w:bottom w:val="nil"/>
              <w:right w:val="nil"/>
            </w:tcBorders>
            <w:shd w:val="clear" w:color="auto" w:fill="auto"/>
            <w:vAlign w:val="center"/>
          </w:tcPr>
          <w:p w14:paraId="2A5875AA"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10.7</w:t>
            </w:r>
          </w:p>
        </w:tc>
      </w:tr>
      <w:tr w:rsidR="00C84BB4" w:rsidRPr="00D41537" w14:paraId="1B0551BB" w14:textId="77777777" w:rsidTr="00D41537">
        <w:tc>
          <w:tcPr>
            <w:tcW w:w="3634" w:type="dxa"/>
            <w:tcBorders>
              <w:top w:val="nil"/>
              <w:left w:val="nil"/>
              <w:bottom w:val="nil"/>
              <w:right w:val="nil"/>
            </w:tcBorders>
            <w:shd w:val="clear" w:color="auto" w:fill="auto"/>
          </w:tcPr>
          <w:p w14:paraId="7EE0DE26"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No/Unknown</w:t>
            </w:r>
          </w:p>
        </w:tc>
        <w:tc>
          <w:tcPr>
            <w:tcW w:w="2054" w:type="dxa"/>
            <w:tcBorders>
              <w:top w:val="nil"/>
              <w:left w:val="nil"/>
              <w:bottom w:val="nil"/>
              <w:right w:val="nil"/>
            </w:tcBorders>
            <w:shd w:val="clear" w:color="auto" w:fill="auto"/>
            <w:vAlign w:val="center"/>
          </w:tcPr>
          <w:p w14:paraId="13B764BF"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40616</w:t>
            </w:r>
          </w:p>
        </w:tc>
        <w:tc>
          <w:tcPr>
            <w:tcW w:w="2834" w:type="dxa"/>
            <w:tcBorders>
              <w:top w:val="nil"/>
              <w:left w:val="nil"/>
              <w:bottom w:val="nil"/>
              <w:right w:val="nil"/>
            </w:tcBorders>
            <w:shd w:val="clear" w:color="auto" w:fill="auto"/>
            <w:vAlign w:val="center"/>
          </w:tcPr>
          <w:p w14:paraId="7DA0C07C"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89.3</w:t>
            </w:r>
          </w:p>
        </w:tc>
      </w:tr>
      <w:tr w:rsidR="00C84BB4" w:rsidRPr="00D41537" w14:paraId="65741D9A" w14:textId="77777777" w:rsidTr="00D41537">
        <w:tc>
          <w:tcPr>
            <w:tcW w:w="3634" w:type="dxa"/>
            <w:tcBorders>
              <w:top w:val="nil"/>
              <w:left w:val="nil"/>
              <w:bottom w:val="nil"/>
              <w:right w:val="nil"/>
            </w:tcBorders>
            <w:shd w:val="clear" w:color="auto" w:fill="auto"/>
          </w:tcPr>
          <w:p w14:paraId="361D300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Chemotherapy</w:t>
            </w:r>
          </w:p>
        </w:tc>
        <w:tc>
          <w:tcPr>
            <w:tcW w:w="2054" w:type="dxa"/>
            <w:tcBorders>
              <w:top w:val="nil"/>
              <w:left w:val="nil"/>
              <w:bottom w:val="nil"/>
              <w:right w:val="nil"/>
            </w:tcBorders>
            <w:shd w:val="clear" w:color="auto" w:fill="auto"/>
          </w:tcPr>
          <w:p w14:paraId="18C74B44" w14:textId="77777777" w:rsidR="00C84BB4" w:rsidRPr="00D41537" w:rsidRDefault="00C84BB4" w:rsidP="00D41537">
            <w:pPr>
              <w:spacing w:line="360" w:lineRule="auto"/>
              <w:jc w:val="both"/>
              <w:rPr>
                <w:rFonts w:ascii="Book Antiqua" w:eastAsia="Times New Roman" w:hAnsi="Book Antiqua"/>
              </w:rPr>
            </w:pPr>
          </w:p>
        </w:tc>
        <w:tc>
          <w:tcPr>
            <w:tcW w:w="2834" w:type="dxa"/>
            <w:tcBorders>
              <w:top w:val="nil"/>
              <w:left w:val="nil"/>
              <w:bottom w:val="nil"/>
              <w:right w:val="nil"/>
            </w:tcBorders>
            <w:shd w:val="clear" w:color="auto" w:fill="auto"/>
          </w:tcPr>
          <w:p w14:paraId="309F2C52"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685312D" w14:textId="77777777" w:rsidTr="00D41537">
        <w:tc>
          <w:tcPr>
            <w:tcW w:w="3634" w:type="dxa"/>
            <w:tcBorders>
              <w:top w:val="nil"/>
              <w:left w:val="nil"/>
              <w:bottom w:val="nil"/>
              <w:right w:val="nil"/>
            </w:tcBorders>
            <w:shd w:val="clear" w:color="auto" w:fill="auto"/>
          </w:tcPr>
          <w:p w14:paraId="32A098A7"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Yes</w:t>
            </w:r>
          </w:p>
        </w:tc>
        <w:tc>
          <w:tcPr>
            <w:tcW w:w="2054" w:type="dxa"/>
            <w:tcBorders>
              <w:top w:val="nil"/>
              <w:left w:val="nil"/>
              <w:bottom w:val="nil"/>
              <w:right w:val="nil"/>
            </w:tcBorders>
            <w:shd w:val="clear" w:color="auto" w:fill="auto"/>
            <w:vAlign w:val="center"/>
          </w:tcPr>
          <w:p w14:paraId="560D143C"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19199</w:t>
            </w:r>
          </w:p>
        </w:tc>
        <w:tc>
          <w:tcPr>
            <w:tcW w:w="2834" w:type="dxa"/>
            <w:tcBorders>
              <w:top w:val="nil"/>
              <w:left w:val="nil"/>
              <w:bottom w:val="nil"/>
              <w:right w:val="nil"/>
            </w:tcBorders>
            <w:shd w:val="clear" w:color="auto" w:fill="auto"/>
            <w:vAlign w:val="center"/>
          </w:tcPr>
          <w:p w14:paraId="4ECE2C45"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42.2</w:t>
            </w:r>
          </w:p>
        </w:tc>
      </w:tr>
      <w:tr w:rsidR="00C84BB4" w:rsidRPr="00D41537" w14:paraId="22EF4424" w14:textId="77777777" w:rsidTr="00D41537">
        <w:tc>
          <w:tcPr>
            <w:tcW w:w="3634" w:type="dxa"/>
            <w:tcBorders>
              <w:top w:val="nil"/>
              <w:left w:val="nil"/>
              <w:bottom w:val="single" w:sz="4" w:space="0" w:color="auto"/>
              <w:right w:val="nil"/>
            </w:tcBorders>
            <w:shd w:val="clear" w:color="auto" w:fill="auto"/>
          </w:tcPr>
          <w:p w14:paraId="4EBC6A95" w14:textId="77777777" w:rsidR="00C84BB4" w:rsidRPr="00D41537" w:rsidRDefault="00C84BB4" w:rsidP="00751CFA">
            <w:pPr>
              <w:spacing w:line="360" w:lineRule="auto"/>
              <w:ind w:left="288"/>
              <w:jc w:val="both"/>
              <w:rPr>
                <w:rFonts w:ascii="Book Antiqua" w:eastAsia="Times New Roman" w:hAnsi="Book Antiqua"/>
              </w:rPr>
            </w:pPr>
            <w:r w:rsidRPr="00D41537">
              <w:rPr>
                <w:rFonts w:ascii="Book Antiqua" w:eastAsia="Times New Roman" w:hAnsi="Book Antiqua"/>
              </w:rPr>
              <w:t>No/Unknown</w:t>
            </w:r>
          </w:p>
        </w:tc>
        <w:tc>
          <w:tcPr>
            <w:tcW w:w="2054" w:type="dxa"/>
            <w:tcBorders>
              <w:top w:val="nil"/>
              <w:left w:val="nil"/>
              <w:bottom w:val="single" w:sz="4" w:space="0" w:color="auto"/>
              <w:right w:val="nil"/>
            </w:tcBorders>
            <w:shd w:val="clear" w:color="auto" w:fill="auto"/>
            <w:vAlign w:val="center"/>
          </w:tcPr>
          <w:p w14:paraId="2D51AACD"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26282</w:t>
            </w:r>
          </w:p>
        </w:tc>
        <w:tc>
          <w:tcPr>
            <w:tcW w:w="2834" w:type="dxa"/>
            <w:tcBorders>
              <w:top w:val="nil"/>
              <w:left w:val="nil"/>
              <w:bottom w:val="single" w:sz="4" w:space="0" w:color="auto"/>
              <w:right w:val="nil"/>
            </w:tcBorders>
            <w:shd w:val="clear" w:color="auto" w:fill="auto"/>
            <w:vAlign w:val="center"/>
          </w:tcPr>
          <w:p w14:paraId="311237B1" w14:textId="77777777" w:rsidR="00C84BB4" w:rsidRPr="00D41537" w:rsidRDefault="00C84BB4" w:rsidP="00D41537">
            <w:pPr>
              <w:spacing w:line="360" w:lineRule="auto"/>
              <w:jc w:val="both"/>
              <w:rPr>
                <w:rFonts w:ascii="Book Antiqua" w:eastAsia="Times New Roman" w:hAnsi="Book Antiqua"/>
              </w:rPr>
            </w:pPr>
            <w:r w:rsidRPr="00D41537">
              <w:rPr>
                <w:rFonts w:ascii="Book Antiqua" w:hAnsi="Book Antiqua"/>
                <w:color w:val="000000"/>
              </w:rPr>
              <w:t>57.8</w:t>
            </w:r>
          </w:p>
        </w:tc>
      </w:tr>
    </w:tbl>
    <w:p w14:paraId="6F77B3B4" w14:textId="7685FB91" w:rsidR="00C84BB4" w:rsidRPr="00D41537" w:rsidRDefault="00107D4E" w:rsidP="00D41537">
      <w:pPr>
        <w:spacing w:line="360" w:lineRule="auto"/>
        <w:jc w:val="both"/>
        <w:rPr>
          <w:rFonts w:ascii="Book Antiqua" w:hAnsi="Book Antiqua"/>
        </w:rPr>
      </w:pPr>
      <w:r w:rsidRPr="00D41537">
        <w:rPr>
          <w:rFonts w:ascii="Book Antiqua" w:hAnsi="Book Antiqua"/>
          <w:vertAlign w:val="superscript"/>
        </w:rPr>
        <w:t>1</w:t>
      </w:r>
      <w:r w:rsidR="00C84BB4" w:rsidRPr="00D41537">
        <w:rPr>
          <w:rFonts w:ascii="Book Antiqua" w:hAnsi="Book Antiqua"/>
        </w:rPr>
        <w:t>Separated, divorced, widowed, or unknown marital status</w:t>
      </w:r>
      <w:r w:rsidR="002757DC">
        <w:rPr>
          <w:rFonts w:ascii="Book Antiqua" w:hAnsi="Book Antiqua"/>
        </w:rPr>
        <w:t>;</w:t>
      </w:r>
      <w:r w:rsidR="00492728">
        <w:rPr>
          <w:rFonts w:ascii="Book Antiqua" w:hAnsi="Book Antiqua"/>
        </w:rPr>
        <w:t xml:space="preserve"> </w:t>
      </w:r>
      <w:r w:rsidRPr="00D41537">
        <w:rPr>
          <w:rFonts w:ascii="Book Antiqua" w:hAnsi="Book Antiqua"/>
          <w:vertAlign w:val="superscript"/>
        </w:rPr>
        <w:t>2</w:t>
      </w:r>
      <w:r w:rsidR="00F22A48" w:rsidRPr="00D41537">
        <w:rPr>
          <w:rFonts w:ascii="Book Antiqua" w:hAnsi="Book Antiqua"/>
        </w:rPr>
        <w:t>I</w:t>
      </w:r>
      <w:r w:rsidR="002757DC">
        <w:rPr>
          <w:rFonts w:ascii="Book Antiqua" w:hAnsi="Book Antiqua"/>
        </w:rPr>
        <w:t>:</w:t>
      </w:r>
      <w:r w:rsidR="00C84BB4" w:rsidRPr="00D41537">
        <w:rPr>
          <w:rFonts w:ascii="Book Antiqua" w:hAnsi="Book Antiqua"/>
        </w:rPr>
        <w:t xml:space="preserve"> </w:t>
      </w:r>
      <w:r w:rsidR="002757DC">
        <w:rPr>
          <w:rFonts w:ascii="Book Antiqua" w:hAnsi="Book Antiqua"/>
        </w:rPr>
        <w:t>W</w:t>
      </w:r>
      <w:r w:rsidR="00C84BB4" w:rsidRPr="00D41537">
        <w:rPr>
          <w:rFonts w:ascii="Book Antiqua" w:hAnsi="Book Antiqua"/>
        </w:rPr>
        <w:t>ell differentiated</w:t>
      </w:r>
      <w:r w:rsidR="002757DC">
        <w:rPr>
          <w:rFonts w:ascii="Book Antiqua" w:hAnsi="Book Antiqua"/>
        </w:rPr>
        <w:t>,</w:t>
      </w:r>
      <w:r w:rsidR="00C84BB4" w:rsidRPr="00D41537">
        <w:rPr>
          <w:rFonts w:ascii="Book Antiqua" w:hAnsi="Book Antiqua"/>
        </w:rPr>
        <w:t xml:space="preserve"> II</w:t>
      </w:r>
      <w:r w:rsidR="002757DC">
        <w:rPr>
          <w:rFonts w:ascii="Book Antiqua" w:hAnsi="Book Antiqua"/>
        </w:rPr>
        <w:t>:</w:t>
      </w:r>
      <w:r w:rsidR="00C84BB4" w:rsidRPr="00D41537">
        <w:rPr>
          <w:rFonts w:ascii="Book Antiqua" w:hAnsi="Book Antiqua"/>
        </w:rPr>
        <w:t xml:space="preserve"> </w:t>
      </w:r>
      <w:r w:rsidR="002757DC">
        <w:rPr>
          <w:rFonts w:ascii="Book Antiqua" w:hAnsi="Book Antiqua"/>
        </w:rPr>
        <w:t>M</w:t>
      </w:r>
      <w:r w:rsidR="00C84BB4" w:rsidRPr="00D41537">
        <w:rPr>
          <w:rFonts w:ascii="Book Antiqua" w:hAnsi="Book Antiqua"/>
        </w:rPr>
        <w:t>oderately differentiated</w:t>
      </w:r>
      <w:r w:rsidR="002757DC">
        <w:rPr>
          <w:rFonts w:ascii="Book Antiqua" w:hAnsi="Book Antiqua"/>
        </w:rPr>
        <w:t>,</w:t>
      </w:r>
      <w:r w:rsidR="00C84BB4" w:rsidRPr="00D41537">
        <w:rPr>
          <w:rFonts w:ascii="Book Antiqua" w:hAnsi="Book Antiqua"/>
        </w:rPr>
        <w:t xml:space="preserve"> III</w:t>
      </w:r>
      <w:r w:rsidR="002757DC">
        <w:rPr>
          <w:rFonts w:ascii="Book Antiqua" w:hAnsi="Book Antiqua"/>
        </w:rPr>
        <w:t>:</w:t>
      </w:r>
      <w:r w:rsidR="00C84BB4" w:rsidRPr="00D41537">
        <w:rPr>
          <w:rFonts w:ascii="Book Antiqua" w:hAnsi="Book Antiqua"/>
        </w:rPr>
        <w:t xml:space="preserve"> </w:t>
      </w:r>
      <w:r w:rsidR="002757DC">
        <w:rPr>
          <w:rFonts w:ascii="Book Antiqua" w:hAnsi="Book Antiqua"/>
        </w:rPr>
        <w:t>P</w:t>
      </w:r>
      <w:r w:rsidR="00C84BB4" w:rsidRPr="00D41537">
        <w:rPr>
          <w:rFonts w:ascii="Book Antiqua" w:hAnsi="Book Antiqua"/>
        </w:rPr>
        <w:t>oorly differentiated</w:t>
      </w:r>
      <w:r w:rsidR="002757DC">
        <w:rPr>
          <w:rFonts w:ascii="Book Antiqua" w:hAnsi="Book Antiqua"/>
        </w:rPr>
        <w:t>, and</w:t>
      </w:r>
      <w:r w:rsidR="00C84BB4" w:rsidRPr="00D41537">
        <w:rPr>
          <w:rFonts w:ascii="Book Antiqua" w:hAnsi="Book Antiqua"/>
        </w:rPr>
        <w:t xml:space="preserve"> IV</w:t>
      </w:r>
      <w:r w:rsidR="002757DC">
        <w:rPr>
          <w:rFonts w:ascii="Book Antiqua" w:hAnsi="Book Antiqua"/>
        </w:rPr>
        <w:t>:</w:t>
      </w:r>
      <w:r w:rsidR="00C84BB4" w:rsidRPr="00D41537">
        <w:rPr>
          <w:rFonts w:ascii="Book Antiqua" w:hAnsi="Book Antiqua"/>
        </w:rPr>
        <w:t xml:space="preserve"> </w:t>
      </w:r>
      <w:r w:rsidR="002757DC">
        <w:rPr>
          <w:rFonts w:ascii="Book Antiqua" w:hAnsi="Book Antiqua"/>
        </w:rPr>
        <w:t>U</w:t>
      </w:r>
      <w:r w:rsidR="00C84BB4" w:rsidRPr="00D41537">
        <w:rPr>
          <w:rFonts w:ascii="Book Antiqua" w:hAnsi="Book Antiqua"/>
        </w:rPr>
        <w:t>ndifferentiated.</w:t>
      </w:r>
    </w:p>
    <w:p w14:paraId="58530F08" w14:textId="77777777" w:rsidR="0009539E" w:rsidRDefault="0009539E" w:rsidP="00D41537">
      <w:pPr>
        <w:spacing w:line="360" w:lineRule="auto"/>
        <w:jc w:val="both"/>
        <w:rPr>
          <w:rFonts w:ascii="Book Antiqua" w:hAnsi="Book Antiqua"/>
        </w:rPr>
      </w:pPr>
    </w:p>
    <w:p w14:paraId="5706ECE1" w14:textId="77777777" w:rsidR="00C84BB4" w:rsidRPr="00D41537" w:rsidRDefault="00C84BB4" w:rsidP="00D41537">
      <w:pPr>
        <w:spacing w:line="360" w:lineRule="auto"/>
        <w:jc w:val="both"/>
        <w:rPr>
          <w:rFonts w:ascii="Book Antiqua" w:hAnsi="Book Antiqua"/>
          <w:b/>
          <w:bCs/>
        </w:rPr>
      </w:pPr>
      <w:r w:rsidRPr="00D41537">
        <w:rPr>
          <w:rFonts w:ascii="Book Antiqua" w:hAnsi="Book Antiqua"/>
          <w:b/>
          <w:bCs/>
        </w:rPr>
        <w:t>Table 2 Univariate and multivariate Cox regression analyses of predictive factors associated with overall survival in mucinous adenocarcinoma</w:t>
      </w:r>
    </w:p>
    <w:tbl>
      <w:tblPr>
        <w:tblW w:w="0" w:type="auto"/>
        <w:tblBorders>
          <w:insideH w:val="single" w:sz="4" w:space="0" w:color="auto"/>
          <w:insideV w:val="single" w:sz="4" w:space="0" w:color="auto"/>
        </w:tblBorders>
        <w:tblLook w:val="04A0" w:firstRow="1" w:lastRow="0" w:firstColumn="1" w:lastColumn="0" w:noHBand="0" w:noVBand="1"/>
      </w:tblPr>
      <w:tblGrid>
        <w:gridCol w:w="1810"/>
        <w:gridCol w:w="1763"/>
        <w:gridCol w:w="1734"/>
        <w:gridCol w:w="1082"/>
        <w:gridCol w:w="1889"/>
        <w:gridCol w:w="1082"/>
      </w:tblGrid>
      <w:tr w:rsidR="00107D4E" w:rsidRPr="00D41537" w14:paraId="051F748F" w14:textId="77777777" w:rsidTr="00107D4E">
        <w:tc>
          <w:tcPr>
            <w:tcW w:w="1810" w:type="dxa"/>
            <w:vMerge w:val="restart"/>
            <w:tcBorders>
              <w:top w:val="single" w:sz="4" w:space="0" w:color="auto"/>
              <w:left w:val="nil"/>
              <w:right w:val="nil"/>
            </w:tcBorders>
            <w:shd w:val="clear" w:color="auto" w:fill="auto"/>
          </w:tcPr>
          <w:p w14:paraId="3FBA68ED" w14:textId="77777777" w:rsidR="00107D4E" w:rsidRPr="00D41537" w:rsidRDefault="00107D4E" w:rsidP="00D41537">
            <w:pPr>
              <w:spacing w:line="360" w:lineRule="auto"/>
              <w:jc w:val="both"/>
              <w:rPr>
                <w:rFonts w:ascii="Book Antiqua" w:hAnsi="Book Antiqua"/>
                <w:b/>
                <w:bCs/>
              </w:rPr>
            </w:pPr>
            <w:r w:rsidRPr="00D41537">
              <w:rPr>
                <w:rFonts w:ascii="Book Antiqua" w:hAnsi="Book Antiqua"/>
                <w:b/>
                <w:bCs/>
              </w:rPr>
              <w:t>Variables</w:t>
            </w:r>
          </w:p>
        </w:tc>
        <w:tc>
          <w:tcPr>
            <w:tcW w:w="1763" w:type="dxa"/>
            <w:vMerge w:val="restart"/>
            <w:tcBorders>
              <w:top w:val="single" w:sz="4" w:space="0" w:color="auto"/>
              <w:left w:val="nil"/>
              <w:right w:val="nil"/>
            </w:tcBorders>
            <w:shd w:val="clear" w:color="auto" w:fill="auto"/>
          </w:tcPr>
          <w:p w14:paraId="6D58293B" w14:textId="77777777"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rPr>
              <w:t>Subgroup</w:t>
            </w:r>
          </w:p>
        </w:tc>
        <w:tc>
          <w:tcPr>
            <w:tcW w:w="2914" w:type="dxa"/>
            <w:gridSpan w:val="2"/>
            <w:tcBorders>
              <w:top w:val="single" w:sz="4" w:space="0" w:color="auto"/>
              <w:left w:val="nil"/>
              <w:bottom w:val="single" w:sz="4" w:space="0" w:color="auto"/>
              <w:right w:val="nil"/>
            </w:tcBorders>
            <w:shd w:val="clear" w:color="auto" w:fill="auto"/>
          </w:tcPr>
          <w:p w14:paraId="3636B9A7" w14:textId="00424BA0"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rPr>
              <w:t>Univariable</w:t>
            </w:r>
          </w:p>
        </w:tc>
        <w:tc>
          <w:tcPr>
            <w:tcW w:w="3089" w:type="dxa"/>
            <w:gridSpan w:val="2"/>
            <w:tcBorders>
              <w:top w:val="single" w:sz="4" w:space="0" w:color="auto"/>
              <w:left w:val="nil"/>
              <w:bottom w:val="single" w:sz="4" w:space="0" w:color="auto"/>
              <w:right w:val="nil"/>
            </w:tcBorders>
            <w:shd w:val="clear" w:color="auto" w:fill="auto"/>
          </w:tcPr>
          <w:p w14:paraId="12C0AFA8" w14:textId="79D43B57"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rPr>
              <w:t>Multivariable</w:t>
            </w:r>
          </w:p>
        </w:tc>
      </w:tr>
      <w:tr w:rsidR="00107D4E" w:rsidRPr="00D41537" w14:paraId="164BA3E3" w14:textId="77777777" w:rsidTr="00107D4E">
        <w:tc>
          <w:tcPr>
            <w:tcW w:w="1810" w:type="dxa"/>
            <w:vMerge/>
            <w:tcBorders>
              <w:left w:val="nil"/>
              <w:bottom w:val="single" w:sz="4" w:space="0" w:color="auto"/>
              <w:right w:val="nil"/>
            </w:tcBorders>
            <w:shd w:val="clear" w:color="auto" w:fill="auto"/>
          </w:tcPr>
          <w:p w14:paraId="22C75217" w14:textId="77777777" w:rsidR="00107D4E" w:rsidRPr="00D41537" w:rsidRDefault="00107D4E" w:rsidP="00D41537">
            <w:pPr>
              <w:spacing w:line="360" w:lineRule="auto"/>
              <w:jc w:val="both"/>
              <w:rPr>
                <w:rFonts w:ascii="Book Antiqua" w:eastAsia="Times New Roman" w:hAnsi="Book Antiqua"/>
                <w:b/>
                <w:bCs/>
              </w:rPr>
            </w:pPr>
          </w:p>
        </w:tc>
        <w:tc>
          <w:tcPr>
            <w:tcW w:w="1763" w:type="dxa"/>
            <w:vMerge/>
            <w:tcBorders>
              <w:left w:val="nil"/>
              <w:bottom w:val="single" w:sz="4" w:space="0" w:color="auto"/>
              <w:right w:val="nil"/>
            </w:tcBorders>
            <w:shd w:val="clear" w:color="auto" w:fill="auto"/>
          </w:tcPr>
          <w:p w14:paraId="53A5026A" w14:textId="77777777" w:rsidR="00107D4E" w:rsidRPr="00D41537" w:rsidRDefault="00107D4E" w:rsidP="00D41537">
            <w:pPr>
              <w:spacing w:line="360" w:lineRule="auto"/>
              <w:jc w:val="both"/>
              <w:rPr>
                <w:rFonts w:ascii="Book Antiqua" w:eastAsia="Times New Roman" w:hAnsi="Book Antiqua"/>
                <w:b/>
                <w:bCs/>
              </w:rPr>
            </w:pPr>
          </w:p>
        </w:tc>
        <w:tc>
          <w:tcPr>
            <w:tcW w:w="1797" w:type="dxa"/>
            <w:tcBorders>
              <w:top w:val="single" w:sz="4" w:space="0" w:color="auto"/>
              <w:left w:val="nil"/>
              <w:bottom w:val="single" w:sz="4" w:space="0" w:color="auto"/>
              <w:right w:val="nil"/>
            </w:tcBorders>
            <w:shd w:val="clear" w:color="auto" w:fill="auto"/>
          </w:tcPr>
          <w:p w14:paraId="7C5A6FF9" w14:textId="77777777"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rPr>
              <w:t>Hazard ratio</w:t>
            </w:r>
          </w:p>
        </w:tc>
        <w:tc>
          <w:tcPr>
            <w:tcW w:w="1117" w:type="dxa"/>
            <w:tcBorders>
              <w:top w:val="single" w:sz="4" w:space="0" w:color="auto"/>
              <w:left w:val="nil"/>
              <w:bottom w:val="single" w:sz="4" w:space="0" w:color="auto"/>
              <w:right w:val="nil"/>
            </w:tcBorders>
            <w:shd w:val="clear" w:color="auto" w:fill="auto"/>
          </w:tcPr>
          <w:p w14:paraId="3486B0FF" w14:textId="0639DD8F"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i/>
                <w:iCs/>
              </w:rPr>
              <w:t xml:space="preserve">P </w:t>
            </w:r>
            <w:r w:rsidRPr="00D41537">
              <w:rPr>
                <w:rFonts w:ascii="Book Antiqua" w:eastAsia="Times New Roman" w:hAnsi="Book Antiqua"/>
                <w:b/>
                <w:bCs/>
              </w:rPr>
              <w:t>value</w:t>
            </w:r>
          </w:p>
        </w:tc>
        <w:tc>
          <w:tcPr>
            <w:tcW w:w="1972" w:type="dxa"/>
            <w:tcBorders>
              <w:top w:val="single" w:sz="4" w:space="0" w:color="auto"/>
              <w:left w:val="nil"/>
              <w:bottom w:val="single" w:sz="4" w:space="0" w:color="auto"/>
              <w:right w:val="nil"/>
            </w:tcBorders>
            <w:shd w:val="clear" w:color="auto" w:fill="auto"/>
          </w:tcPr>
          <w:p w14:paraId="2E41051F" w14:textId="77777777"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rPr>
              <w:t>Hazard ratio</w:t>
            </w:r>
          </w:p>
        </w:tc>
        <w:tc>
          <w:tcPr>
            <w:tcW w:w="1117" w:type="dxa"/>
            <w:tcBorders>
              <w:top w:val="single" w:sz="4" w:space="0" w:color="auto"/>
              <w:left w:val="nil"/>
              <w:bottom w:val="single" w:sz="4" w:space="0" w:color="auto"/>
              <w:right w:val="nil"/>
            </w:tcBorders>
            <w:shd w:val="clear" w:color="auto" w:fill="auto"/>
          </w:tcPr>
          <w:p w14:paraId="0F6E51FA" w14:textId="5EF82B86" w:rsidR="00107D4E" w:rsidRPr="00D41537" w:rsidRDefault="00107D4E" w:rsidP="00D41537">
            <w:pPr>
              <w:spacing w:line="360" w:lineRule="auto"/>
              <w:jc w:val="both"/>
              <w:rPr>
                <w:rFonts w:ascii="Book Antiqua" w:eastAsia="Times New Roman" w:hAnsi="Book Antiqua"/>
                <w:b/>
                <w:bCs/>
              </w:rPr>
            </w:pPr>
            <w:r w:rsidRPr="00D41537">
              <w:rPr>
                <w:rFonts w:ascii="Book Antiqua" w:eastAsia="Times New Roman" w:hAnsi="Book Antiqua"/>
                <w:b/>
                <w:bCs/>
                <w:i/>
                <w:iCs/>
              </w:rPr>
              <w:t xml:space="preserve">P </w:t>
            </w:r>
            <w:r w:rsidRPr="00D41537">
              <w:rPr>
                <w:rFonts w:ascii="Book Antiqua" w:eastAsia="Times New Roman" w:hAnsi="Book Antiqua"/>
                <w:b/>
                <w:bCs/>
              </w:rPr>
              <w:t>value</w:t>
            </w:r>
          </w:p>
        </w:tc>
      </w:tr>
      <w:tr w:rsidR="00C84BB4" w:rsidRPr="00D41537" w14:paraId="1CBE5D18" w14:textId="77777777" w:rsidTr="00107D4E">
        <w:tc>
          <w:tcPr>
            <w:tcW w:w="1810" w:type="dxa"/>
            <w:tcBorders>
              <w:top w:val="single" w:sz="4" w:space="0" w:color="auto"/>
              <w:left w:val="nil"/>
              <w:bottom w:val="nil"/>
              <w:right w:val="nil"/>
            </w:tcBorders>
            <w:shd w:val="clear" w:color="auto" w:fill="auto"/>
          </w:tcPr>
          <w:p w14:paraId="6EDAFA8D" w14:textId="2FF6E2A2"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Age</w:t>
            </w:r>
            <w:r w:rsidR="009D17BA">
              <w:rPr>
                <w:rFonts w:ascii="Book Antiqua" w:eastAsia="Times New Roman" w:hAnsi="Book Antiqua"/>
              </w:rPr>
              <w:t xml:space="preserve"> in yr</w:t>
            </w:r>
          </w:p>
        </w:tc>
        <w:tc>
          <w:tcPr>
            <w:tcW w:w="1763" w:type="dxa"/>
            <w:tcBorders>
              <w:top w:val="single" w:sz="4" w:space="0" w:color="auto"/>
              <w:left w:val="nil"/>
              <w:bottom w:val="nil"/>
              <w:right w:val="nil"/>
            </w:tcBorders>
            <w:shd w:val="clear" w:color="auto" w:fill="auto"/>
          </w:tcPr>
          <w:p w14:paraId="61CAF12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40</w:t>
            </w:r>
          </w:p>
        </w:tc>
        <w:tc>
          <w:tcPr>
            <w:tcW w:w="1797" w:type="dxa"/>
            <w:tcBorders>
              <w:top w:val="single" w:sz="4" w:space="0" w:color="auto"/>
              <w:left w:val="nil"/>
              <w:bottom w:val="nil"/>
              <w:right w:val="nil"/>
            </w:tcBorders>
            <w:shd w:val="clear" w:color="auto" w:fill="auto"/>
          </w:tcPr>
          <w:p w14:paraId="4193323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single" w:sz="4" w:space="0" w:color="auto"/>
              <w:left w:val="nil"/>
              <w:bottom w:val="nil"/>
              <w:right w:val="nil"/>
            </w:tcBorders>
            <w:shd w:val="clear" w:color="auto" w:fill="auto"/>
          </w:tcPr>
          <w:p w14:paraId="46FA9D9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single" w:sz="4" w:space="0" w:color="auto"/>
              <w:left w:val="nil"/>
              <w:bottom w:val="nil"/>
              <w:right w:val="nil"/>
            </w:tcBorders>
            <w:shd w:val="clear" w:color="auto" w:fill="auto"/>
          </w:tcPr>
          <w:p w14:paraId="177D288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single" w:sz="4" w:space="0" w:color="auto"/>
              <w:left w:val="nil"/>
              <w:bottom w:val="nil"/>
              <w:right w:val="nil"/>
            </w:tcBorders>
            <w:shd w:val="clear" w:color="auto" w:fill="auto"/>
          </w:tcPr>
          <w:p w14:paraId="3788F8D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3B6DF262" w14:textId="77777777" w:rsidTr="00107D4E">
        <w:tc>
          <w:tcPr>
            <w:tcW w:w="1810" w:type="dxa"/>
            <w:tcBorders>
              <w:top w:val="nil"/>
              <w:left w:val="nil"/>
              <w:bottom w:val="nil"/>
              <w:right w:val="nil"/>
            </w:tcBorders>
            <w:shd w:val="clear" w:color="auto" w:fill="auto"/>
          </w:tcPr>
          <w:p w14:paraId="4E061C2A"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5B7344C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40-69</w:t>
            </w:r>
          </w:p>
        </w:tc>
        <w:tc>
          <w:tcPr>
            <w:tcW w:w="1797" w:type="dxa"/>
            <w:tcBorders>
              <w:top w:val="nil"/>
              <w:left w:val="nil"/>
              <w:bottom w:val="nil"/>
              <w:right w:val="nil"/>
            </w:tcBorders>
            <w:shd w:val="clear" w:color="auto" w:fill="auto"/>
          </w:tcPr>
          <w:p w14:paraId="702392F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1.15 (0.90-1.46)</w:t>
            </w:r>
          </w:p>
        </w:tc>
        <w:tc>
          <w:tcPr>
            <w:tcW w:w="1117" w:type="dxa"/>
            <w:tcBorders>
              <w:top w:val="nil"/>
              <w:left w:val="nil"/>
              <w:bottom w:val="nil"/>
              <w:right w:val="nil"/>
            </w:tcBorders>
            <w:shd w:val="clear" w:color="auto" w:fill="auto"/>
          </w:tcPr>
          <w:p w14:paraId="1FC9D870"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1D80F7E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1.28 (1.00-1.64)</w:t>
            </w:r>
          </w:p>
        </w:tc>
        <w:tc>
          <w:tcPr>
            <w:tcW w:w="1117" w:type="dxa"/>
            <w:tcBorders>
              <w:top w:val="nil"/>
              <w:left w:val="nil"/>
              <w:bottom w:val="nil"/>
              <w:right w:val="nil"/>
            </w:tcBorders>
            <w:shd w:val="clear" w:color="auto" w:fill="auto"/>
          </w:tcPr>
          <w:p w14:paraId="77B37A76"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1DAB7D50" w14:textId="77777777" w:rsidTr="00107D4E">
        <w:tc>
          <w:tcPr>
            <w:tcW w:w="1810" w:type="dxa"/>
            <w:tcBorders>
              <w:top w:val="nil"/>
              <w:left w:val="nil"/>
              <w:bottom w:val="nil"/>
              <w:right w:val="nil"/>
            </w:tcBorders>
            <w:shd w:val="clear" w:color="auto" w:fill="auto"/>
          </w:tcPr>
          <w:p w14:paraId="03F87AA3"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6E857B4E" w14:textId="77777777" w:rsidR="00C84BB4" w:rsidRPr="00D41537" w:rsidRDefault="00C84BB4" w:rsidP="00D41537">
            <w:pPr>
              <w:spacing w:line="360" w:lineRule="auto"/>
              <w:jc w:val="both"/>
              <w:rPr>
                <w:rFonts w:ascii="Book Antiqua" w:eastAsia="Times New Roman" w:hAnsi="Book Antiqua"/>
              </w:rPr>
            </w:pPr>
            <w:bookmarkStart w:id="0" w:name="OLE_LINK2"/>
            <w:r w:rsidRPr="00D41537">
              <w:rPr>
                <w:rFonts w:ascii="Book Antiqua" w:eastAsia="Times New Roman" w:hAnsi="Book Antiqua"/>
              </w:rPr>
              <w:t>≥ 70</w:t>
            </w:r>
            <w:bookmarkEnd w:id="0"/>
          </w:p>
        </w:tc>
        <w:tc>
          <w:tcPr>
            <w:tcW w:w="1797" w:type="dxa"/>
            <w:tcBorders>
              <w:top w:val="nil"/>
              <w:left w:val="nil"/>
              <w:bottom w:val="nil"/>
              <w:right w:val="nil"/>
            </w:tcBorders>
            <w:shd w:val="clear" w:color="auto" w:fill="auto"/>
          </w:tcPr>
          <w:p w14:paraId="11D8531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1.85 (1.45-2.35)</w:t>
            </w:r>
          </w:p>
        </w:tc>
        <w:tc>
          <w:tcPr>
            <w:tcW w:w="1117" w:type="dxa"/>
            <w:tcBorders>
              <w:top w:val="nil"/>
              <w:left w:val="nil"/>
              <w:bottom w:val="nil"/>
              <w:right w:val="nil"/>
            </w:tcBorders>
            <w:shd w:val="clear" w:color="auto" w:fill="auto"/>
          </w:tcPr>
          <w:p w14:paraId="32F8D859"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0F90A84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2.41 (1.88-3.08)</w:t>
            </w:r>
          </w:p>
        </w:tc>
        <w:tc>
          <w:tcPr>
            <w:tcW w:w="1117" w:type="dxa"/>
            <w:tcBorders>
              <w:top w:val="nil"/>
              <w:left w:val="nil"/>
              <w:bottom w:val="nil"/>
              <w:right w:val="nil"/>
            </w:tcBorders>
            <w:shd w:val="clear" w:color="auto" w:fill="auto"/>
          </w:tcPr>
          <w:p w14:paraId="3B935187"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765A5EA2" w14:textId="77777777" w:rsidTr="00107D4E">
        <w:tc>
          <w:tcPr>
            <w:tcW w:w="1810" w:type="dxa"/>
            <w:tcBorders>
              <w:top w:val="nil"/>
              <w:left w:val="nil"/>
              <w:bottom w:val="nil"/>
              <w:right w:val="nil"/>
            </w:tcBorders>
            <w:shd w:val="clear" w:color="auto" w:fill="auto"/>
          </w:tcPr>
          <w:p w14:paraId="56F334A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Sex</w:t>
            </w:r>
          </w:p>
        </w:tc>
        <w:tc>
          <w:tcPr>
            <w:tcW w:w="1763" w:type="dxa"/>
            <w:tcBorders>
              <w:top w:val="nil"/>
              <w:left w:val="nil"/>
              <w:bottom w:val="nil"/>
              <w:right w:val="nil"/>
            </w:tcBorders>
            <w:shd w:val="clear" w:color="auto" w:fill="auto"/>
          </w:tcPr>
          <w:p w14:paraId="4B3825F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Male</w:t>
            </w:r>
          </w:p>
        </w:tc>
        <w:tc>
          <w:tcPr>
            <w:tcW w:w="1797" w:type="dxa"/>
            <w:tcBorders>
              <w:top w:val="nil"/>
              <w:left w:val="nil"/>
              <w:bottom w:val="nil"/>
              <w:right w:val="nil"/>
            </w:tcBorders>
            <w:shd w:val="clear" w:color="auto" w:fill="auto"/>
          </w:tcPr>
          <w:p w14:paraId="441638A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2387F4B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0.211</w:t>
            </w:r>
          </w:p>
        </w:tc>
        <w:tc>
          <w:tcPr>
            <w:tcW w:w="1972" w:type="dxa"/>
            <w:tcBorders>
              <w:top w:val="nil"/>
              <w:left w:val="nil"/>
              <w:bottom w:val="nil"/>
              <w:right w:val="nil"/>
            </w:tcBorders>
            <w:shd w:val="clear" w:color="auto" w:fill="auto"/>
          </w:tcPr>
          <w:p w14:paraId="31C339F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w:t>
            </w:r>
          </w:p>
        </w:tc>
        <w:tc>
          <w:tcPr>
            <w:tcW w:w="1117" w:type="dxa"/>
            <w:tcBorders>
              <w:top w:val="nil"/>
              <w:left w:val="nil"/>
              <w:bottom w:val="nil"/>
              <w:right w:val="nil"/>
            </w:tcBorders>
            <w:shd w:val="clear" w:color="auto" w:fill="auto"/>
          </w:tcPr>
          <w:p w14:paraId="29928DE5"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349CBD7D" w14:textId="77777777" w:rsidTr="00107D4E">
        <w:tc>
          <w:tcPr>
            <w:tcW w:w="1810" w:type="dxa"/>
            <w:tcBorders>
              <w:top w:val="nil"/>
              <w:left w:val="nil"/>
              <w:bottom w:val="nil"/>
              <w:right w:val="nil"/>
            </w:tcBorders>
            <w:shd w:val="clear" w:color="auto" w:fill="auto"/>
          </w:tcPr>
          <w:p w14:paraId="03ED61E5"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44D1372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Female</w:t>
            </w:r>
          </w:p>
        </w:tc>
        <w:tc>
          <w:tcPr>
            <w:tcW w:w="1797" w:type="dxa"/>
            <w:tcBorders>
              <w:top w:val="nil"/>
              <w:left w:val="nil"/>
              <w:bottom w:val="nil"/>
              <w:right w:val="nil"/>
            </w:tcBorders>
            <w:shd w:val="clear" w:color="auto" w:fill="auto"/>
          </w:tcPr>
          <w:p w14:paraId="293EA0E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1.06 (0.97-1.15)</w:t>
            </w:r>
          </w:p>
        </w:tc>
        <w:tc>
          <w:tcPr>
            <w:tcW w:w="1117" w:type="dxa"/>
            <w:tcBorders>
              <w:top w:val="nil"/>
              <w:left w:val="nil"/>
              <w:bottom w:val="nil"/>
              <w:right w:val="nil"/>
            </w:tcBorders>
            <w:shd w:val="clear" w:color="auto" w:fill="auto"/>
          </w:tcPr>
          <w:p w14:paraId="62AF7271"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7FC63F8D" w14:textId="77777777" w:rsidR="00C84BB4" w:rsidRPr="00D41537" w:rsidRDefault="00C84BB4" w:rsidP="00D41537">
            <w:pPr>
              <w:spacing w:line="360" w:lineRule="auto"/>
              <w:jc w:val="both"/>
              <w:rPr>
                <w:rFonts w:ascii="Book Antiqua" w:eastAsia="Times New Roman" w:hAnsi="Book Antiqua"/>
              </w:rPr>
            </w:pPr>
          </w:p>
        </w:tc>
        <w:tc>
          <w:tcPr>
            <w:tcW w:w="1117" w:type="dxa"/>
            <w:tcBorders>
              <w:top w:val="nil"/>
              <w:left w:val="nil"/>
              <w:bottom w:val="nil"/>
              <w:right w:val="nil"/>
            </w:tcBorders>
            <w:shd w:val="clear" w:color="auto" w:fill="auto"/>
          </w:tcPr>
          <w:p w14:paraId="7380F0A4"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3AF579F2" w14:textId="77777777" w:rsidTr="00107D4E">
        <w:tc>
          <w:tcPr>
            <w:tcW w:w="1810" w:type="dxa"/>
            <w:tcBorders>
              <w:top w:val="nil"/>
              <w:left w:val="nil"/>
              <w:bottom w:val="nil"/>
              <w:right w:val="nil"/>
            </w:tcBorders>
            <w:shd w:val="clear" w:color="auto" w:fill="auto"/>
          </w:tcPr>
          <w:p w14:paraId="7C1E2C4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Race</w:t>
            </w:r>
          </w:p>
        </w:tc>
        <w:tc>
          <w:tcPr>
            <w:tcW w:w="1763" w:type="dxa"/>
            <w:tcBorders>
              <w:top w:val="nil"/>
              <w:left w:val="nil"/>
              <w:bottom w:val="nil"/>
              <w:right w:val="nil"/>
            </w:tcBorders>
            <w:shd w:val="clear" w:color="auto" w:fill="auto"/>
          </w:tcPr>
          <w:p w14:paraId="2C950DF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White</w:t>
            </w:r>
          </w:p>
        </w:tc>
        <w:tc>
          <w:tcPr>
            <w:tcW w:w="1797" w:type="dxa"/>
            <w:tcBorders>
              <w:top w:val="nil"/>
              <w:left w:val="nil"/>
              <w:bottom w:val="nil"/>
              <w:right w:val="nil"/>
            </w:tcBorders>
            <w:shd w:val="clear" w:color="auto" w:fill="auto"/>
          </w:tcPr>
          <w:p w14:paraId="6D45678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1AA101EE" w14:textId="77777777" w:rsidR="00C84BB4" w:rsidRPr="00D41537" w:rsidRDefault="00C84BB4" w:rsidP="00D41537">
            <w:pPr>
              <w:spacing w:line="360" w:lineRule="auto"/>
              <w:jc w:val="both"/>
              <w:rPr>
                <w:rFonts w:ascii="Book Antiqua" w:eastAsia="Times New Roman" w:hAnsi="Book Antiqua"/>
                <w:color w:val="FF0000"/>
              </w:rPr>
            </w:pPr>
            <w:r w:rsidRPr="00D41537">
              <w:rPr>
                <w:rFonts w:ascii="Book Antiqua" w:eastAsia="Times New Roman" w:hAnsi="Book Antiqua"/>
              </w:rPr>
              <w:t>0.035</w:t>
            </w:r>
          </w:p>
        </w:tc>
        <w:tc>
          <w:tcPr>
            <w:tcW w:w="1972" w:type="dxa"/>
            <w:tcBorders>
              <w:top w:val="nil"/>
              <w:left w:val="nil"/>
              <w:bottom w:val="nil"/>
              <w:right w:val="nil"/>
            </w:tcBorders>
            <w:shd w:val="clear" w:color="auto" w:fill="auto"/>
          </w:tcPr>
          <w:p w14:paraId="2DD3CC5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31523CD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77A14186" w14:textId="77777777" w:rsidTr="00107D4E">
        <w:tc>
          <w:tcPr>
            <w:tcW w:w="1810" w:type="dxa"/>
            <w:tcBorders>
              <w:top w:val="nil"/>
              <w:left w:val="nil"/>
              <w:bottom w:val="nil"/>
              <w:right w:val="nil"/>
            </w:tcBorders>
            <w:shd w:val="clear" w:color="auto" w:fill="auto"/>
          </w:tcPr>
          <w:p w14:paraId="76541154"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1229AA3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Black</w:t>
            </w:r>
          </w:p>
        </w:tc>
        <w:tc>
          <w:tcPr>
            <w:tcW w:w="1797" w:type="dxa"/>
            <w:tcBorders>
              <w:top w:val="nil"/>
              <w:left w:val="nil"/>
              <w:bottom w:val="nil"/>
              <w:right w:val="nil"/>
            </w:tcBorders>
            <w:shd w:val="clear" w:color="auto" w:fill="auto"/>
          </w:tcPr>
          <w:p w14:paraId="6374E78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1.15 (1.02-1.30)</w:t>
            </w:r>
          </w:p>
        </w:tc>
        <w:tc>
          <w:tcPr>
            <w:tcW w:w="1117" w:type="dxa"/>
            <w:tcBorders>
              <w:top w:val="nil"/>
              <w:left w:val="nil"/>
              <w:bottom w:val="nil"/>
              <w:right w:val="nil"/>
            </w:tcBorders>
            <w:shd w:val="clear" w:color="auto" w:fill="auto"/>
          </w:tcPr>
          <w:p w14:paraId="16E44D64"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4F79B32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1.26 (1.11-1.43)</w:t>
            </w:r>
          </w:p>
        </w:tc>
        <w:tc>
          <w:tcPr>
            <w:tcW w:w="1117" w:type="dxa"/>
            <w:tcBorders>
              <w:top w:val="nil"/>
              <w:left w:val="nil"/>
              <w:bottom w:val="nil"/>
              <w:right w:val="nil"/>
            </w:tcBorders>
            <w:shd w:val="clear" w:color="auto" w:fill="auto"/>
          </w:tcPr>
          <w:p w14:paraId="0ADA66AA"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09EF79D" w14:textId="77777777" w:rsidTr="00107D4E">
        <w:tc>
          <w:tcPr>
            <w:tcW w:w="1810" w:type="dxa"/>
            <w:tcBorders>
              <w:top w:val="nil"/>
              <w:left w:val="nil"/>
              <w:bottom w:val="nil"/>
              <w:right w:val="nil"/>
            </w:tcBorders>
            <w:shd w:val="clear" w:color="auto" w:fill="auto"/>
          </w:tcPr>
          <w:p w14:paraId="005BB39C"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590619F3" w14:textId="33016DB2"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Other</w:t>
            </w:r>
            <w:r w:rsidR="00C431F6" w:rsidRPr="00D41537">
              <w:rPr>
                <w:rFonts w:ascii="Book Antiqua" w:eastAsia="Times New Roman" w:hAnsi="Book Antiqua"/>
                <w:vertAlign w:val="superscript"/>
              </w:rPr>
              <w:t>1</w:t>
            </w:r>
          </w:p>
        </w:tc>
        <w:tc>
          <w:tcPr>
            <w:tcW w:w="1797" w:type="dxa"/>
            <w:tcBorders>
              <w:top w:val="nil"/>
              <w:left w:val="nil"/>
              <w:bottom w:val="nil"/>
              <w:right w:val="nil"/>
            </w:tcBorders>
            <w:shd w:val="clear" w:color="auto" w:fill="auto"/>
          </w:tcPr>
          <w:p w14:paraId="5A1E548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0.90 (0.75-1.08)</w:t>
            </w:r>
          </w:p>
        </w:tc>
        <w:tc>
          <w:tcPr>
            <w:tcW w:w="1117" w:type="dxa"/>
            <w:tcBorders>
              <w:top w:val="nil"/>
              <w:left w:val="nil"/>
              <w:bottom w:val="nil"/>
              <w:right w:val="nil"/>
            </w:tcBorders>
            <w:shd w:val="clear" w:color="auto" w:fill="auto"/>
          </w:tcPr>
          <w:p w14:paraId="589E5BD8"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4E36574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0.92 (0.77-1.10)</w:t>
            </w:r>
          </w:p>
        </w:tc>
        <w:tc>
          <w:tcPr>
            <w:tcW w:w="1117" w:type="dxa"/>
            <w:tcBorders>
              <w:top w:val="nil"/>
              <w:left w:val="nil"/>
              <w:bottom w:val="nil"/>
              <w:right w:val="nil"/>
            </w:tcBorders>
            <w:shd w:val="clear" w:color="auto" w:fill="auto"/>
          </w:tcPr>
          <w:p w14:paraId="15BEB7D4"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117C2F84" w14:textId="77777777" w:rsidTr="00107D4E">
        <w:tc>
          <w:tcPr>
            <w:tcW w:w="1810" w:type="dxa"/>
            <w:tcBorders>
              <w:top w:val="nil"/>
              <w:left w:val="nil"/>
              <w:bottom w:val="nil"/>
              <w:right w:val="nil"/>
            </w:tcBorders>
            <w:shd w:val="clear" w:color="auto" w:fill="auto"/>
          </w:tcPr>
          <w:p w14:paraId="7D8E135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Tumor site</w:t>
            </w:r>
          </w:p>
        </w:tc>
        <w:tc>
          <w:tcPr>
            <w:tcW w:w="1763" w:type="dxa"/>
            <w:tcBorders>
              <w:top w:val="nil"/>
              <w:left w:val="nil"/>
              <w:bottom w:val="nil"/>
              <w:right w:val="nil"/>
            </w:tcBorders>
            <w:shd w:val="clear" w:color="auto" w:fill="auto"/>
          </w:tcPr>
          <w:p w14:paraId="4E8880C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Proximal colon</w:t>
            </w:r>
          </w:p>
        </w:tc>
        <w:tc>
          <w:tcPr>
            <w:tcW w:w="1797" w:type="dxa"/>
            <w:tcBorders>
              <w:top w:val="nil"/>
              <w:left w:val="nil"/>
              <w:bottom w:val="nil"/>
              <w:right w:val="nil"/>
            </w:tcBorders>
            <w:shd w:val="clear" w:color="auto" w:fill="auto"/>
          </w:tcPr>
          <w:p w14:paraId="65C1A83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515F0FD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46F0488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0B1A780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6CD85F66" w14:textId="77777777" w:rsidTr="00107D4E">
        <w:tc>
          <w:tcPr>
            <w:tcW w:w="1810" w:type="dxa"/>
            <w:tcBorders>
              <w:top w:val="nil"/>
              <w:left w:val="nil"/>
              <w:bottom w:val="nil"/>
              <w:right w:val="nil"/>
            </w:tcBorders>
            <w:shd w:val="clear" w:color="auto" w:fill="auto"/>
          </w:tcPr>
          <w:p w14:paraId="6437958C"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4370F75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Transverse colon</w:t>
            </w:r>
          </w:p>
        </w:tc>
        <w:tc>
          <w:tcPr>
            <w:tcW w:w="1797" w:type="dxa"/>
            <w:tcBorders>
              <w:top w:val="nil"/>
              <w:left w:val="nil"/>
              <w:bottom w:val="nil"/>
              <w:right w:val="nil"/>
            </w:tcBorders>
            <w:shd w:val="clear" w:color="auto" w:fill="auto"/>
          </w:tcPr>
          <w:p w14:paraId="5FCDE2D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0.93 (0.79-1.09)</w:t>
            </w:r>
          </w:p>
        </w:tc>
        <w:tc>
          <w:tcPr>
            <w:tcW w:w="1117" w:type="dxa"/>
            <w:tcBorders>
              <w:top w:val="nil"/>
              <w:left w:val="nil"/>
              <w:bottom w:val="nil"/>
              <w:right w:val="nil"/>
            </w:tcBorders>
            <w:shd w:val="clear" w:color="auto" w:fill="auto"/>
          </w:tcPr>
          <w:p w14:paraId="7884B702"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166DC48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0.88 (0.75-1.04)</w:t>
            </w:r>
          </w:p>
        </w:tc>
        <w:tc>
          <w:tcPr>
            <w:tcW w:w="1117" w:type="dxa"/>
            <w:tcBorders>
              <w:top w:val="nil"/>
              <w:left w:val="nil"/>
              <w:bottom w:val="nil"/>
              <w:right w:val="nil"/>
            </w:tcBorders>
            <w:shd w:val="clear" w:color="auto" w:fill="auto"/>
          </w:tcPr>
          <w:p w14:paraId="0C1A6D1B"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3AB20D1" w14:textId="77777777" w:rsidTr="00107D4E">
        <w:tc>
          <w:tcPr>
            <w:tcW w:w="1810" w:type="dxa"/>
            <w:tcBorders>
              <w:top w:val="nil"/>
              <w:left w:val="nil"/>
              <w:bottom w:val="nil"/>
              <w:right w:val="nil"/>
            </w:tcBorders>
            <w:shd w:val="clear" w:color="auto" w:fill="auto"/>
          </w:tcPr>
          <w:p w14:paraId="43D0CDE8"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3C780EE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Distal colon</w:t>
            </w:r>
          </w:p>
        </w:tc>
        <w:tc>
          <w:tcPr>
            <w:tcW w:w="1797" w:type="dxa"/>
            <w:tcBorders>
              <w:top w:val="nil"/>
              <w:left w:val="nil"/>
              <w:bottom w:val="nil"/>
              <w:right w:val="nil"/>
            </w:tcBorders>
            <w:shd w:val="clear" w:color="auto" w:fill="auto"/>
          </w:tcPr>
          <w:p w14:paraId="64DFA028"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1.17 (1.05-1.29)</w:t>
            </w:r>
          </w:p>
        </w:tc>
        <w:tc>
          <w:tcPr>
            <w:tcW w:w="1117" w:type="dxa"/>
            <w:tcBorders>
              <w:top w:val="nil"/>
              <w:left w:val="nil"/>
              <w:bottom w:val="nil"/>
              <w:right w:val="nil"/>
            </w:tcBorders>
            <w:shd w:val="clear" w:color="auto" w:fill="auto"/>
          </w:tcPr>
          <w:p w14:paraId="7210173D"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6E5870E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1.15 (1.04-1.28)</w:t>
            </w:r>
          </w:p>
        </w:tc>
        <w:tc>
          <w:tcPr>
            <w:tcW w:w="1117" w:type="dxa"/>
            <w:tcBorders>
              <w:top w:val="nil"/>
              <w:left w:val="nil"/>
              <w:bottom w:val="nil"/>
              <w:right w:val="nil"/>
            </w:tcBorders>
            <w:shd w:val="clear" w:color="auto" w:fill="auto"/>
          </w:tcPr>
          <w:p w14:paraId="51F01D91"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41CCCDAB" w14:textId="77777777" w:rsidTr="00107D4E">
        <w:tc>
          <w:tcPr>
            <w:tcW w:w="1810" w:type="dxa"/>
            <w:tcBorders>
              <w:top w:val="nil"/>
              <w:left w:val="nil"/>
              <w:bottom w:val="nil"/>
              <w:right w:val="nil"/>
            </w:tcBorders>
            <w:shd w:val="clear" w:color="auto" w:fill="auto"/>
          </w:tcPr>
          <w:p w14:paraId="57169CEF"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198F60B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Rectum</w:t>
            </w:r>
          </w:p>
        </w:tc>
        <w:tc>
          <w:tcPr>
            <w:tcW w:w="1797" w:type="dxa"/>
            <w:tcBorders>
              <w:top w:val="nil"/>
              <w:left w:val="nil"/>
              <w:bottom w:val="nil"/>
              <w:right w:val="nil"/>
            </w:tcBorders>
            <w:shd w:val="clear" w:color="auto" w:fill="auto"/>
          </w:tcPr>
          <w:p w14:paraId="2C7DB81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0.92 (0.79-1.08)</w:t>
            </w:r>
          </w:p>
        </w:tc>
        <w:tc>
          <w:tcPr>
            <w:tcW w:w="1117" w:type="dxa"/>
            <w:tcBorders>
              <w:top w:val="nil"/>
              <w:left w:val="nil"/>
              <w:bottom w:val="nil"/>
              <w:right w:val="nil"/>
            </w:tcBorders>
            <w:shd w:val="clear" w:color="auto" w:fill="auto"/>
          </w:tcPr>
          <w:p w14:paraId="6E0C87B2"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71BEB81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1.14 (0.97-1.34)</w:t>
            </w:r>
          </w:p>
        </w:tc>
        <w:tc>
          <w:tcPr>
            <w:tcW w:w="1117" w:type="dxa"/>
            <w:tcBorders>
              <w:top w:val="nil"/>
              <w:left w:val="nil"/>
              <w:bottom w:val="nil"/>
              <w:right w:val="nil"/>
            </w:tcBorders>
            <w:shd w:val="clear" w:color="auto" w:fill="auto"/>
          </w:tcPr>
          <w:p w14:paraId="3CA93115"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61733EA" w14:textId="77777777" w:rsidTr="00107D4E">
        <w:tc>
          <w:tcPr>
            <w:tcW w:w="1810" w:type="dxa"/>
            <w:tcBorders>
              <w:top w:val="nil"/>
              <w:left w:val="nil"/>
              <w:bottom w:val="nil"/>
              <w:right w:val="nil"/>
            </w:tcBorders>
            <w:shd w:val="clear" w:color="auto" w:fill="auto"/>
          </w:tcPr>
          <w:p w14:paraId="68FAE732"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7C844D57" w14:textId="77777777" w:rsidR="00C84BB4" w:rsidRPr="00D41537" w:rsidRDefault="00C84BB4" w:rsidP="00D41537">
            <w:pPr>
              <w:spacing w:line="360" w:lineRule="auto"/>
              <w:jc w:val="both"/>
              <w:rPr>
                <w:rFonts w:ascii="Book Antiqua" w:eastAsia="Times New Roman" w:hAnsi="Book Antiqua"/>
              </w:rPr>
            </w:pPr>
            <w:bookmarkStart w:id="1" w:name="OLE_LINK3"/>
            <w:r w:rsidRPr="00D41537">
              <w:rPr>
                <w:rFonts w:ascii="Book Antiqua" w:eastAsia="Times New Roman" w:hAnsi="Book Antiqua"/>
              </w:rPr>
              <w:t>Appendix</w:t>
            </w:r>
            <w:bookmarkEnd w:id="1"/>
          </w:p>
        </w:tc>
        <w:tc>
          <w:tcPr>
            <w:tcW w:w="1797" w:type="dxa"/>
            <w:tcBorders>
              <w:top w:val="nil"/>
              <w:left w:val="nil"/>
              <w:bottom w:val="nil"/>
              <w:right w:val="nil"/>
            </w:tcBorders>
            <w:shd w:val="clear" w:color="auto" w:fill="auto"/>
          </w:tcPr>
          <w:p w14:paraId="7A97FD2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0.74 (0.61-0.88)</w:t>
            </w:r>
          </w:p>
        </w:tc>
        <w:tc>
          <w:tcPr>
            <w:tcW w:w="1117" w:type="dxa"/>
            <w:tcBorders>
              <w:top w:val="nil"/>
              <w:left w:val="nil"/>
              <w:bottom w:val="nil"/>
              <w:right w:val="nil"/>
            </w:tcBorders>
            <w:shd w:val="clear" w:color="auto" w:fill="auto"/>
          </w:tcPr>
          <w:p w14:paraId="33D8FA92"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26118EA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0.58 (0.47-0.72)</w:t>
            </w:r>
          </w:p>
        </w:tc>
        <w:tc>
          <w:tcPr>
            <w:tcW w:w="1117" w:type="dxa"/>
            <w:tcBorders>
              <w:top w:val="nil"/>
              <w:left w:val="nil"/>
              <w:bottom w:val="nil"/>
              <w:right w:val="nil"/>
            </w:tcBorders>
            <w:shd w:val="clear" w:color="auto" w:fill="auto"/>
          </w:tcPr>
          <w:p w14:paraId="0A9B624F"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C5BE1F3" w14:textId="77777777" w:rsidTr="00107D4E">
        <w:tc>
          <w:tcPr>
            <w:tcW w:w="1810" w:type="dxa"/>
            <w:tcBorders>
              <w:top w:val="nil"/>
              <w:left w:val="nil"/>
              <w:bottom w:val="nil"/>
              <w:right w:val="nil"/>
            </w:tcBorders>
            <w:shd w:val="clear" w:color="auto" w:fill="auto"/>
          </w:tcPr>
          <w:p w14:paraId="432F48D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Tumor size</w:t>
            </w:r>
          </w:p>
        </w:tc>
        <w:tc>
          <w:tcPr>
            <w:tcW w:w="1763" w:type="dxa"/>
            <w:tcBorders>
              <w:top w:val="nil"/>
              <w:left w:val="nil"/>
              <w:bottom w:val="nil"/>
              <w:right w:val="nil"/>
            </w:tcBorders>
            <w:shd w:val="clear" w:color="auto" w:fill="auto"/>
          </w:tcPr>
          <w:p w14:paraId="080B0A4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 30</w:t>
            </w:r>
          </w:p>
        </w:tc>
        <w:tc>
          <w:tcPr>
            <w:tcW w:w="1797" w:type="dxa"/>
            <w:tcBorders>
              <w:top w:val="nil"/>
              <w:left w:val="nil"/>
              <w:bottom w:val="nil"/>
              <w:right w:val="nil"/>
            </w:tcBorders>
            <w:shd w:val="clear" w:color="auto" w:fill="auto"/>
          </w:tcPr>
          <w:p w14:paraId="2A94E31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2CD79DE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66D2610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2FE0C11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0.625</w:t>
            </w:r>
          </w:p>
        </w:tc>
      </w:tr>
      <w:tr w:rsidR="00C84BB4" w:rsidRPr="00D41537" w14:paraId="4F74FE4E" w14:textId="77777777" w:rsidTr="00107D4E">
        <w:tc>
          <w:tcPr>
            <w:tcW w:w="1810" w:type="dxa"/>
            <w:tcBorders>
              <w:top w:val="nil"/>
              <w:left w:val="nil"/>
              <w:bottom w:val="nil"/>
              <w:right w:val="nil"/>
            </w:tcBorders>
            <w:shd w:val="clear" w:color="auto" w:fill="auto"/>
          </w:tcPr>
          <w:p w14:paraId="4BF7FE45"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03E2727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31-59</w:t>
            </w:r>
          </w:p>
        </w:tc>
        <w:tc>
          <w:tcPr>
            <w:tcW w:w="1797" w:type="dxa"/>
            <w:tcBorders>
              <w:top w:val="nil"/>
              <w:left w:val="nil"/>
              <w:bottom w:val="nil"/>
              <w:right w:val="nil"/>
            </w:tcBorders>
            <w:shd w:val="clear" w:color="auto" w:fill="auto"/>
          </w:tcPr>
          <w:p w14:paraId="214EDB9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1.41 (1.24-1.61)</w:t>
            </w:r>
          </w:p>
        </w:tc>
        <w:tc>
          <w:tcPr>
            <w:tcW w:w="1117" w:type="dxa"/>
            <w:tcBorders>
              <w:top w:val="nil"/>
              <w:left w:val="nil"/>
              <w:bottom w:val="nil"/>
              <w:right w:val="nil"/>
            </w:tcBorders>
            <w:shd w:val="clear" w:color="auto" w:fill="auto"/>
          </w:tcPr>
          <w:p w14:paraId="694AC97B"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7520522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1.06 (0.92-1.22)</w:t>
            </w:r>
          </w:p>
        </w:tc>
        <w:tc>
          <w:tcPr>
            <w:tcW w:w="1117" w:type="dxa"/>
            <w:tcBorders>
              <w:top w:val="nil"/>
              <w:left w:val="nil"/>
              <w:bottom w:val="nil"/>
              <w:right w:val="nil"/>
            </w:tcBorders>
            <w:shd w:val="clear" w:color="auto" w:fill="auto"/>
          </w:tcPr>
          <w:p w14:paraId="73FD1755"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67E04BD" w14:textId="77777777" w:rsidTr="00107D4E">
        <w:tc>
          <w:tcPr>
            <w:tcW w:w="1810" w:type="dxa"/>
            <w:tcBorders>
              <w:top w:val="nil"/>
              <w:left w:val="nil"/>
              <w:bottom w:val="nil"/>
              <w:right w:val="nil"/>
            </w:tcBorders>
            <w:shd w:val="clear" w:color="auto" w:fill="auto"/>
          </w:tcPr>
          <w:p w14:paraId="564CDBDD"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5D9B8BD8"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 60</w:t>
            </w:r>
          </w:p>
        </w:tc>
        <w:tc>
          <w:tcPr>
            <w:tcW w:w="1797" w:type="dxa"/>
            <w:tcBorders>
              <w:top w:val="nil"/>
              <w:left w:val="nil"/>
              <w:bottom w:val="nil"/>
              <w:right w:val="nil"/>
            </w:tcBorders>
            <w:shd w:val="clear" w:color="auto" w:fill="auto"/>
          </w:tcPr>
          <w:p w14:paraId="3350C02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1.57 (1.38-1.79)</w:t>
            </w:r>
          </w:p>
        </w:tc>
        <w:tc>
          <w:tcPr>
            <w:tcW w:w="1117" w:type="dxa"/>
            <w:tcBorders>
              <w:top w:val="nil"/>
              <w:left w:val="nil"/>
              <w:bottom w:val="nil"/>
              <w:right w:val="nil"/>
            </w:tcBorders>
            <w:shd w:val="clear" w:color="auto" w:fill="auto"/>
          </w:tcPr>
          <w:p w14:paraId="3BE8541C"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5AEF9C0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1.07 (0.93-1.23)</w:t>
            </w:r>
          </w:p>
        </w:tc>
        <w:tc>
          <w:tcPr>
            <w:tcW w:w="1117" w:type="dxa"/>
            <w:tcBorders>
              <w:top w:val="nil"/>
              <w:left w:val="nil"/>
              <w:bottom w:val="nil"/>
              <w:right w:val="nil"/>
            </w:tcBorders>
            <w:shd w:val="clear" w:color="auto" w:fill="auto"/>
          </w:tcPr>
          <w:p w14:paraId="35408012"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195A3A36" w14:textId="77777777" w:rsidTr="00107D4E">
        <w:tc>
          <w:tcPr>
            <w:tcW w:w="1810" w:type="dxa"/>
            <w:tcBorders>
              <w:top w:val="nil"/>
              <w:left w:val="nil"/>
              <w:bottom w:val="nil"/>
              <w:right w:val="nil"/>
            </w:tcBorders>
            <w:shd w:val="clear" w:color="auto" w:fill="auto"/>
          </w:tcPr>
          <w:p w14:paraId="2B88841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Grade</w:t>
            </w:r>
          </w:p>
        </w:tc>
        <w:tc>
          <w:tcPr>
            <w:tcW w:w="1763" w:type="dxa"/>
            <w:tcBorders>
              <w:top w:val="nil"/>
              <w:left w:val="nil"/>
              <w:bottom w:val="nil"/>
              <w:right w:val="nil"/>
            </w:tcBorders>
            <w:shd w:val="clear" w:color="auto" w:fill="auto"/>
          </w:tcPr>
          <w:p w14:paraId="2F40B130" w14:textId="0D10D74D" w:rsidR="00C84BB4" w:rsidRPr="00B50864" w:rsidRDefault="00B50864" w:rsidP="00D41537">
            <w:pPr>
              <w:spacing w:line="360" w:lineRule="auto"/>
              <w:jc w:val="both"/>
              <w:rPr>
                <w:rFonts w:ascii="Book Antiqua" w:eastAsia="Times New Roman" w:hAnsi="Book Antiqua"/>
              </w:rPr>
            </w:pPr>
            <w:r w:rsidRPr="00751CFA">
              <w:rPr>
                <w:rFonts w:ascii="Book Antiqua" w:eastAsia="MS Mincho" w:hAnsi="Book Antiqua" w:cs="MS Mincho"/>
              </w:rPr>
              <w:t>I</w:t>
            </w:r>
          </w:p>
        </w:tc>
        <w:tc>
          <w:tcPr>
            <w:tcW w:w="1797" w:type="dxa"/>
            <w:tcBorders>
              <w:top w:val="nil"/>
              <w:left w:val="nil"/>
              <w:bottom w:val="nil"/>
              <w:right w:val="nil"/>
            </w:tcBorders>
            <w:shd w:val="clear" w:color="auto" w:fill="auto"/>
          </w:tcPr>
          <w:p w14:paraId="5FDA4CD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54C1A140"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2353FE5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68517DF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0.073</w:t>
            </w:r>
          </w:p>
        </w:tc>
      </w:tr>
      <w:tr w:rsidR="00C84BB4" w:rsidRPr="00D41537" w14:paraId="14049113" w14:textId="77777777" w:rsidTr="00107D4E">
        <w:tc>
          <w:tcPr>
            <w:tcW w:w="1810" w:type="dxa"/>
            <w:tcBorders>
              <w:top w:val="nil"/>
              <w:left w:val="nil"/>
              <w:bottom w:val="nil"/>
              <w:right w:val="nil"/>
            </w:tcBorders>
            <w:shd w:val="clear" w:color="auto" w:fill="auto"/>
          </w:tcPr>
          <w:p w14:paraId="3577D60D"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515B7F8C" w14:textId="5A204E8E" w:rsidR="00C84BB4" w:rsidRPr="00B50864" w:rsidRDefault="00B50864" w:rsidP="00D41537">
            <w:pPr>
              <w:spacing w:line="360" w:lineRule="auto"/>
              <w:jc w:val="both"/>
              <w:rPr>
                <w:rFonts w:ascii="Book Antiqua" w:eastAsia="Times New Roman" w:hAnsi="Book Antiqua"/>
              </w:rPr>
            </w:pPr>
            <w:r w:rsidRPr="00751CFA">
              <w:rPr>
                <w:rFonts w:ascii="Book Antiqua" w:eastAsia="MS Mincho" w:hAnsi="Book Antiqua" w:cs="MS Mincho"/>
              </w:rPr>
              <w:t>II</w:t>
            </w:r>
          </w:p>
        </w:tc>
        <w:tc>
          <w:tcPr>
            <w:tcW w:w="1797" w:type="dxa"/>
            <w:tcBorders>
              <w:top w:val="nil"/>
              <w:left w:val="nil"/>
              <w:bottom w:val="nil"/>
              <w:right w:val="nil"/>
            </w:tcBorders>
            <w:shd w:val="clear" w:color="auto" w:fill="auto"/>
          </w:tcPr>
          <w:p w14:paraId="3E38FAF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1.20 (1.04-1.39)</w:t>
            </w:r>
          </w:p>
        </w:tc>
        <w:tc>
          <w:tcPr>
            <w:tcW w:w="1117" w:type="dxa"/>
            <w:tcBorders>
              <w:top w:val="nil"/>
              <w:left w:val="nil"/>
              <w:bottom w:val="nil"/>
              <w:right w:val="nil"/>
            </w:tcBorders>
            <w:shd w:val="clear" w:color="auto" w:fill="auto"/>
          </w:tcPr>
          <w:p w14:paraId="2B01DA03"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0115629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1.11 (0.95-1.30)</w:t>
            </w:r>
          </w:p>
        </w:tc>
        <w:tc>
          <w:tcPr>
            <w:tcW w:w="1117" w:type="dxa"/>
            <w:tcBorders>
              <w:top w:val="nil"/>
              <w:left w:val="nil"/>
              <w:bottom w:val="nil"/>
              <w:right w:val="nil"/>
            </w:tcBorders>
            <w:shd w:val="clear" w:color="auto" w:fill="auto"/>
          </w:tcPr>
          <w:p w14:paraId="2C74B305"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78187AF4" w14:textId="77777777" w:rsidTr="00107D4E">
        <w:tc>
          <w:tcPr>
            <w:tcW w:w="1810" w:type="dxa"/>
            <w:tcBorders>
              <w:top w:val="nil"/>
              <w:left w:val="nil"/>
              <w:bottom w:val="nil"/>
              <w:right w:val="nil"/>
            </w:tcBorders>
            <w:shd w:val="clear" w:color="auto" w:fill="auto"/>
          </w:tcPr>
          <w:p w14:paraId="0E3E451C"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05EDEBAD" w14:textId="24729686" w:rsidR="00C84BB4" w:rsidRPr="00B50864" w:rsidRDefault="00B50864" w:rsidP="00D41537">
            <w:pPr>
              <w:spacing w:line="360" w:lineRule="auto"/>
              <w:jc w:val="both"/>
              <w:rPr>
                <w:rFonts w:ascii="Book Antiqua" w:eastAsia="Times New Roman" w:hAnsi="Book Antiqua"/>
              </w:rPr>
            </w:pPr>
            <w:r w:rsidRPr="00751CFA">
              <w:rPr>
                <w:rFonts w:ascii="Book Antiqua" w:eastAsia="MS Mincho" w:hAnsi="Book Antiqua" w:cs="MS Mincho"/>
              </w:rPr>
              <w:t>III</w:t>
            </w:r>
          </w:p>
        </w:tc>
        <w:tc>
          <w:tcPr>
            <w:tcW w:w="1797" w:type="dxa"/>
            <w:tcBorders>
              <w:top w:val="nil"/>
              <w:left w:val="nil"/>
              <w:bottom w:val="nil"/>
              <w:right w:val="nil"/>
            </w:tcBorders>
            <w:shd w:val="clear" w:color="auto" w:fill="auto"/>
          </w:tcPr>
          <w:p w14:paraId="1376F2E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1.71 (1.45-2.02)</w:t>
            </w:r>
          </w:p>
        </w:tc>
        <w:tc>
          <w:tcPr>
            <w:tcW w:w="1117" w:type="dxa"/>
            <w:tcBorders>
              <w:top w:val="nil"/>
              <w:left w:val="nil"/>
              <w:bottom w:val="nil"/>
              <w:right w:val="nil"/>
            </w:tcBorders>
            <w:shd w:val="clear" w:color="auto" w:fill="auto"/>
          </w:tcPr>
          <w:p w14:paraId="55522A3A"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4C2AD72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1.23 (1.03-1.46)</w:t>
            </w:r>
          </w:p>
        </w:tc>
        <w:tc>
          <w:tcPr>
            <w:tcW w:w="1117" w:type="dxa"/>
            <w:tcBorders>
              <w:top w:val="nil"/>
              <w:left w:val="nil"/>
              <w:bottom w:val="nil"/>
              <w:right w:val="nil"/>
            </w:tcBorders>
            <w:shd w:val="clear" w:color="auto" w:fill="auto"/>
          </w:tcPr>
          <w:p w14:paraId="228C36A1"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9C25442" w14:textId="77777777" w:rsidTr="00107D4E">
        <w:tc>
          <w:tcPr>
            <w:tcW w:w="1810" w:type="dxa"/>
            <w:tcBorders>
              <w:top w:val="nil"/>
              <w:left w:val="nil"/>
              <w:bottom w:val="nil"/>
              <w:right w:val="nil"/>
            </w:tcBorders>
            <w:shd w:val="clear" w:color="auto" w:fill="auto"/>
          </w:tcPr>
          <w:p w14:paraId="5E31D2E2"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387405D6" w14:textId="5B054C99" w:rsidR="00C84BB4" w:rsidRPr="00B50864" w:rsidRDefault="00B50864" w:rsidP="00D41537">
            <w:pPr>
              <w:spacing w:line="360" w:lineRule="auto"/>
              <w:jc w:val="both"/>
              <w:rPr>
                <w:rFonts w:ascii="Book Antiqua" w:eastAsia="Times New Roman" w:hAnsi="Book Antiqua"/>
              </w:rPr>
            </w:pPr>
            <w:r w:rsidRPr="00751CFA">
              <w:rPr>
                <w:rFonts w:ascii="Book Antiqua" w:eastAsia="MS Mincho" w:hAnsi="Book Antiqua" w:cs="MS Mincho"/>
              </w:rPr>
              <w:t>IV</w:t>
            </w:r>
          </w:p>
        </w:tc>
        <w:tc>
          <w:tcPr>
            <w:tcW w:w="1797" w:type="dxa"/>
            <w:tcBorders>
              <w:top w:val="nil"/>
              <w:left w:val="nil"/>
              <w:bottom w:val="nil"/>
              <w:right w:val="nil"/>
            </w:tcBorders>
            <w:shd w:val="clear" w:color="auto" w:fill="auto"/>
          </w:tcPr>
          <w:p w14:paraId="5610C57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2.07 (1.67-2.57)</w:t>
            </w:r>
          </w:p>
        </w:tc>
        <w:tc>
          <w:tcPr>
            <w:tcW w:w="1117" w:type="dxa"/>
            <w:tcBorders>
              <w:top w:val="nil"/>
              <w:left w:val="nil"/>
              <w:bottom w:val="nil"/>
              <w:right w:val="nil"/>
            </w:tcBorders>
            <w:shd w:val="clear" w:color="auto" w:fill="auto"/>
          </w:tcPr>
          <w:p w14:paraId="5C758269"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2318D7D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1.26 (1.01-1.58)</w:t>
            </w:r>
          </w:p>
        </w:tc>
        <w:tc>
          <w:tcPr>
            <w:tcW w:w="1117" w:type="dxa"/>
            <w:tcBorders>
              <w:top w:val="nil"/>
              <w:left w:val="nil"/>
              <w:bottom w:val="nil"/>
              <w:right w:val="nil"/>
            </w:tcBorders>
            <w:shd w:val="clear" w:color="auto" w:fill="auto"/>
          </w:tcPr>
          <w:p w14:paraId="0B1D9AA5"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4AB460A4" w14:textId="77777777" w:rsidTr="00107D4E">
        <w:tc>
          <w:tcPr>
            <w:tcW w:w="1810" w:type="dxa"/>
            <w:tcBorders>
              <w:top w:val="nil"/>
              <w:left w:val="nil"/>
              <w:bottom w:val="nil"/>
              <w:right w:val="nil"/>
            </w:tcBorders>
            <w:shd w:val="clear" w:color="auto" w:fill="auto"/>
          </w:tcPr>
          <w:p w14:paraId="7F2710C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Disease stage</w:t>
            </w:r>
          </w:p>
        </w:tc>
        <w:tc>
          <w:tcPr>
            <w:tcW w:w="1763" w:type="dxa"/>
            <w:tcBorders>
              <w:top w:val="nil"/>
              <w:left w:val="nil"/>
              <w:bottom w:val="nil"/>
              <w:right w:val="nil"/>
            </w:tcBorders>
            <w:shd w:val="clear" w:color="auto" w:fill="auto"/>
          </w:tcPr>
          <w:p w14:paraId="18BCD52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Localized</w:t>
            </w:r>
          </w:p>
        </w:tc>
        <w:tc>
          <w:tcPr>
            <w:tcW w:w="1797" w:type="dxa"/>
            <w:tcBorders>
              <w:top w:val="nil"/>
              <w:left w:val="nil"/>
              <w:bottom w:val="nil"/>
              <w:right w:val="nil"/>
            </w:tcBorders>
            <w:shd w:val="clear" w:color="auto" w:fill="auto"/>
          </w:tcPr>
          <w:p w14:paraId="1F4B027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1BAAE81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0695EE0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40D872A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0.105</w:t>
            </w:r>
          </w:p>
        </w:tc>
      </w:tr>
      <w:tr w:rsidR="00C84BB4" w:rsidRPr="00D41537" w14:paraId="44EECAA1" w14:textId="77777777" w:rsidTr="00107D4E">
        <w:tc>
          <w:tcPr>
            <w:tcW w:w="1810" w:type="dxa"/>
            <w:tcBorders>
              <w:top w:val="nil"/>
              <w:left w:val="nil"/>
              <w:bottom w:val="nil"/>
              <w:right w:val="nil"/>
            </w:tcBorders>
            <w:shd w:val="clear" w:color="auto" w:fill="auto"/>
          </w:tcPr>
          <w:p w14:paraId="04EC4ED8"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7899711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Regional</w:t>
            </w:r>
          </w:p>
        </w:tc>
        <w:tc>
          <w:tcPr>
            <w:tcW w:w="1797" w:type="dxa"/>
            <w:tcBorders>
              <w:top w:val="nil"/>
              <w:left w:val="nil"/>
              <w:bottom w:val="nil"/>
              <w:right w:val="nil"/>
            </w:tcBorders>
            <w:shd w:val="clear" w:color="auto" w:fill="auto"/>
          </w:tcPr>
          <w:p w14:paraId="319430C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1.49 (1.33-1.67)</w:t>
            </w:r>
          </w:p>
        </w:tc>
        <w:tc>
          <w:tcPr>
            <w:tcW w:w="1117" w:type="dxa"/>
            <w:tcBorders>
              <w:top w:val="nil"/>
              <w:left w:val="nil"/>
              <w:bottom w:val="nil"/>
              <w:right w:val="nil"/>
            </w:tcBorders>
            <w:shd w:val="clear" w:color="auto" w:fill="auto"/>
          </w:tcPr>
          <w:p w14:paraId="1D214A8C"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21358C1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0.90 (0.77-1.06)</w:t>
            </w:r>
          </w:p>
        </w:tc>
        <w:tc>
          <w:tcPr>
            <w:tcW w:w="1117" w:type="dxa"/>
            <w:tcBorders>
              <w:top w:val="nil"/>
              <w:left w:val="nil"/>
              <w:bottom w:val="nil"/>
              <w:right w:val="nil"/>
            </w:tcBorders>
            <w:shd w:val="clear" w:color="auto" w:fill="auto"/>
          </w:tcPr>
          <w:p w14:paraId="1E4B2C4A"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13A5792" w14:textId="77777777" w:rsidTr="00107D4E">
        <w:tc>
          <w:tcPr>
            <w:tcW w:w="1810" w:type="dxa"/>
            <w:tcBorders>
              <w:top w:val="nil"/>
              <w:left w:val="nil"/>
              <w:bottom w:val="nil"/>
              <w:right w:val="nil"/>
            </w:tcBorders>
            <w:shd w:val="clear" w:color="auto" w:fill="auto"/>
          </w:tcPr>
          <w:p w14:paraId="17E061BA"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1611CAE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Distant</w:t>
            </w:r>
          </w:p>
        </w:tc>
        <w:tc>
          <w:tcPr>
            <w:tcW w:w="1797" w:type="dxa"/>
            <w:tcBorders>
              <w:top w:val="nil"/>
              <w:left w:val="nil"/>
              <w:bottom w:val="nil"/>
              <w:right w:val="nil"/>
            </w:tcBorders>
            <w:shd w:val="clear" w:color="auto" w:fill="auto"/>
          </w:tcPr>
          <w:p w14:paraId="43A0D6F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4.32 (3.83-4.88)</w:t>
            </w:r>
          </w:p>
        </w:tc>
        <w:tc>
          <w:tcPr>
            <w:tcW w:w="1117" w:type="dxa"/>
            <w:tcBorders>
              <w:top w:val="nil"/>
              <w:left w:val="nil"/>
              <w:bottom w:val="nil"/>
              <w:right w:val="nil"/>
            </w:tcBorders>
            <w:shd w:val="clear" w:color="auto" w:fill="auto"/>
          </w:tcPr>
          <w:p w14:paraId="0C6337D8"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55620DD8"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1.16 (0.85-1.60)</w:t>
            </w:r>
          </w:p>
        </w:tc>
        <w:tc>
          <w:tcPr>
            <w:tcW w:w="1117" w:type="dxa"/>
            <w:tcBorders>
              <w:top w:val="nil"/>
              <w:left w:val="nil"/>
              <w:bottom w:val="nil"/>
              <w:right w:val="nil"/>
            </w:tcBorders>
            <w:shd w:val="clear" w:color="auto" w:fill="auto"/>
          </w:tcPr>
          <w:p w14:paraId="2DB9F009"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6AE1EC8B" w14:textId="77777777" w:rsidTr="00107D4E">
        <w:tc>
          <w:tcPr>
            <w:tcW w:w="1810" w:type="dxa"/>
            <w:tcBorders>
              <w:top w:val="nil"/>
              <w:left w:val="nil"/>
              <w:bottom w:val="nil"/>
              <w:right w:val="nil"/>
            </w:tcBorders>
            <w:shd w:val="clear" w:color="auto" w:fill="auto"/>
          </w:tcPr>
          <w:p w14:paraId="463E4EC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 stage</w:t>
            </w:r>
          </w:p>
        </w:tc>
        <w:tc>
          <w:tcPr>
            <w:tcW w:w="1763" w:type="dxa"/>
            <w:tcBorders>
              <w:top w:val="nil"/>
              <w:left w:val="nil"/>
              <w:bottom w:val="nil"/>
              <w:right w:val="nil"/>
            </w:tcBorders>
            <w:shd w:val="clear" w:color="auto" w:fill="auto"/>
          </w:tcPr>
          <w:p w14:paraId="5F6056B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T1</w:t>
            </w:r>
          </w:p>
        </w:tc>
        <w:tc>
          <w:tcPr>
            <w:tcW w:w="1797" w:type="dxa"/>
            <w:tcBorders>
              <w:top w:val="nil"/>
              <w:left w:val="nil"/>
              <w:bottom w:val="nil"/>
              <w:right w:val="nil"/>
            </w:tcBorders>
            <w:shd w:val="clear" w:color="auto" w:fill="auto"/>
          </w:tcPr>
          <w:p w14:paraId="0DEACBE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039DEDB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5CB60655"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4E1DDE3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031F09AF" w14:textId="77777777" w:rsidTr="00107D4E">
        <w:tc>
          <w:tcPr>
            <w:tcW w:w="1810" w:type="dxa"/>
            <w:tcBorders>
              <w:top w:val="nil"/>
              <w:left w:val="nil"/>
              <w:bottom w:val="nil"/>
              <w:right w:val="nil"/>
            </w:tcBorders>
            <w:shd w:val="clear" w:color="auto" w:fill="auto"/>
          </w:tcPr>
          <w:p w14:paraId="783C7C2A"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4374583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T2</w:t>
            </w:r>
          </w:p>
        </w:tc>
        <w:tc>
          <w:tcPr>
            <w:tcW w:w="1797" w:type="dxa"/>
            <w:tcBorders>
              <w:top w:val="nil"/>
              <w:left w:val="nil"/>
              <w:bottom w:val="nil"/>
              <w:right w:val="nil"/>
            </w:tcBorders>
            <w:shd w:val="clear" w:color="auto" w:fill="auto"/>
          </w:tcPr>
          <w:p w14:paraId="6168DA5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0.86 (0.63-1.16)</w:t>
            </w:r>
          </w:p>
        </w:tc>
        <w:tc>
          <w:tcPr>
            <w:tcW w:w="1117" w:type="dxa"/>
            <w:tcBorders>
              <w:top w:val="nil"/>
              <w:left w:val="nil"/>
              <w:bottom w:val="nil"/>
              <w:right w:val="nil"/>
            </w:tcBorders>
            <w:shd w:val="clear" w:color="auto" w:fill="auto"/>
          </w:tcPr>
          <w:p w14:paraId="0E8C594E"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394AACD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0.99 (0.72-1.35)</w:t>
            </w:r>
          </w:p>
        </w:tc>
        <w:tc>
          <w:tcPr>
            <w:tcW w:w="1117" w:type="dxa"/>
            <w:tcBorders>
              <w:top w:val="nil"/>
              <w:left w:val="nil"/>
              <w:bottom w:val="nil"/>
              <w:right w:val="nil"/>
            </w:tcBorders>
            <w:shd w:val="clear" w:color="auto" w:fill="auto"/>
          </w:tcPr>
          <w:p w14:paraId="00D4E9EE"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4F353D5E" w14:textId="77777777" w:rsidTr="00107D4E">
        <w:tc>
          <w:tcPr>
            <w:tcW w:w="1810" w:type="dxa"/>
            <w:tcBorders>
              <w:top w:val="nil"/>
              <w:left w:val="nil"/>
              <w:bottom w:val="nil"/>
              <w:right w:val="nil"/>
            </w:tcBorders>
            <w:shd w:val="clear" w:color="auto" w:fill="auto"/>
          </w:tcPr>
          <w:p w14:paraId="58C33738"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542A50F8"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T3</w:t>
            </w:r>
          </w:p>
        </w:tc>
        <w:tc>
          <w:tcPr>
            <w:tcW w:w="1797" w:type="dxa"/>
            <w:tcBorders>
              <w:top w:val="nil"/>
              <w:left w:val="nil"/>
              <w:bottom w:val="nil"/>
              <w:right w:val="nil"/>
            </w:tcBorders>
            <w:shd w:val="clear" w:color="auto" w:fill="auto"/>
          </w:tcPr>
          <w:p w14:paraId="767121B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1.41 (1.08-1.85)</w:t>
            </w:r>
          </w:p>
        </w:tc>
        <w:tc>
          <w:tcPr>
            <w:tcW w:w="1117" w:type="dxa"/>
            <w:tcBorders>
              <w:top w:val="nil"/>
              <w:left w:val="nil"/>
              <w:bottom w:val="nil"/>
              <w:right w:val="nil"/>
            </w:tcBorders>
            <w:shd w:val="clear" w:color="auto" w:fill="auto"/>
          </w:tcPr>
          <w:p w14:paraId="6D2771B3"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1D41C28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1.37 (1.03-1.83)</w:t>
            </w:r>
          </w:p>
        </w:tc>
        <w:tc>
          <w:tcPr>
            <w:tcW w:w="1117" w:type="dxa"/>
            <w:tcBorders>
              <w:top w:val="nil"/>
              <w:left w:val="nil"/>
              <w:bottom w:val="nil"/>
              <w:right w:val="nil"/>
            </w:tcBorders>
            <w:shd w:val="clear" w:color="auto" w:fill="auto"/>
          </w:tcPr>
          <w:p w14:paraId="7ED1BC64"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20074389" w14:textId="77777777" w:rsidTr="00107D4E">
        <w:tc>
          <w:tcPr>
            <w:tcW w:w="1810" w:type="dxa"/>
            <w:tcBorders>
              <w:top w:val="nil"/>
              <w:left w:val="nil"/>
              <w:bottom w:val="nil"/>
              <w:right w:val="nil"/>
            </w:tcBorders>
            <w:shd w:val="clear" w:color="auto" w:fill="auto"/>
          </w:tcPr>
          <w:p w14:paraId="48800E7F"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73B905A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T4</w:t>
            </w:r>
          </w:p>
        </w:tc>
        <w:tc>
          <w:tcPr>
            <w:tcW w:w="1797" w:type="dxa"/>
            <w:tcBorders>
              <w:top w:val="nil"/>
              <w:left w:val="nil"/>
              <w:bottom w:val="nil"/>
              <w:right w:val="nil"/>
            </w:tcBorders>
            <w:shd w:val="clear" w:color="auto" w:fill="auto"/>
          </w:tcPr>
          <w:p w14:paraId="1C1C0BD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2.67 (2.03-3.50)</w:t>
            </w:r>
          </w:p>
        </w:tc>
        <w:tc>
          <w:tcPr>
            <w:tcW w:w="1117" w:type="dxa"/>
            <w:tcBorders>
              <w:top w:val="nil"/>
              <w:left w:val="nil"/>
              <w:bottom w:val="nil"/>
              <w:right w:val="nil"/>
            </w:tcBorders>
            <w:shd w:val="clear" w:color="auto" w:fill="auto"/>
          </w:tcPr>
          <w:p w14:paraId="7AFE843A"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1123987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2.28 (1.68-3.08)</w:t>
            </w:r>
          </w:p>
        </w:tc>
        <w:tc>
          <w:tcPr>
            <w:tcW w:w="1117" w:type="dxa"/>
            <w:tcBorders>
              <w:top w:val="nil"/>
              <w:left w:val="nil"/>
              <w:bottom w:val="nil"/>
              <w:right w:val="nil"/>
            </w:tcBorders>
            <w:shd w:val="clear" w:color="auto" w:fill="auto"/>
          </w:tcPr>
          <w:p w14:paraId="1D9CB638"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6758028F" w14:textId="77777777" w:rsidTr="00107D4E">
        <w:tc>
          <w:tcPr>
            <w:tcW w:w="1810" w:type="dxa"/>
            <w:tcBorders>
              <w:top w:val="nil"/>
              <w:left w:val="nil"/>
              <w:bottom w:val="nil"/>
              <w:right w:val="nil"/>
            </w:tcBorders>
            <w:shd w:val="clear" w:color="auto" w:fill="auto"/>
          </w:tcPr>
          <w:p w14:paraId="51B6934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 stage</w:t>
            </w:r>
          </w:p>
        </w:tc>
        <w:tc>
          <w:tcPr>
            <w:tcW w:w="1763" w:type="dxa"/>
            <w:tcBorders>
              <w:top w:val="nil"/>
              <w:left w:val="nil"/>
              <w:bottom w:val="nil"/>
              <w:right w:val="nil"/>
            </w:tcBorders>
            <w:shd w:val="clear" w:color="auto" w:fill="auto"/>
          </w:tcPr>
          <w:p w14:paraId="643D8AB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N0</w:t>
            </w:r>
          </w:p>
        </w:tc>
        <w:tc>
          <w:tcPr>
            <w:tcW w:w="1797" w:type="dxa"/>
            <w:tcBorders>
              <w:top w:val="nil"/>
              <w:left w:val="nil"/>
              <w:bottom w:val="nil"/>
              <w:right w:val="nil"/>
            </w:tcBorders>
            <w:shd w:val="clear" w:color="auto" w:fill="auto"/>
          </w:tcPr>
          <w:p w14:paraId="2800ADC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3D18B1A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7764D44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7231460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45707792" w14:textId="77777777" w:rsidTr="00107D4E">
        <w:tc>
          <w:tcPr>
            <w:tcW w:w="1810" w:type="dxa"/>
            <w:tcBorders>
              <w:top w:val="nil"/>
              <w:left w:val="nil"/>
              <w:bottom w:val="nil"/>
              <w:right w:val="nil"/>
            </w:tcBorders>
            <w:shd w:val="clear" w:color="auto" w:fill="auto"/>
          </w:tcPr>
          <w:p w14:paraId="36671293"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2B40571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N1</w:t>
            </w:r>
          </w:p>
        </w:tc>
        <w:tc>
          <w:tcPr>
            <w:tcW w:w="1797" w:type="dxa"/>
            <w:tcBorders>
              <w:top w:val="nil"/>
              <w:left w:val="nil"/>
              <w:bottom w:val="nil"/>
              <w:right w:val="nil"/>
            </w:tcBorders>
            <w:shd w:val="clear" w:color="auto" w:fill="auto"/>
          </w:tcPr>
          <w:p w14:paraId="5E59BDF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1.63 (1.47-1.81)</w:t>
            </w:r>
          </w:p>
        </w:tc>
        <w:tc>
          <w:tcPr>
            <w:tcW w:w="1117" w:type="dxa"/>
            <w:tcBorders>
              <w:top w:val="nil"/>
              <w:left w:val="nil"/>
              <w:bottom w:val="nil"/>
              <w:right w:val="nil"/>
            </w:tcBorders>
            <w:shd w:val="clear" w:color="auto" w:fill="auto"/>
          </w:tcPr>
          <w:p w14:paraId="33DA41F7"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57217D44"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1.72 (1.51-1.97)</w:t>
            </w:r>
          </w:p>
        </w:tc>
        <w:tc>
          <w:tcPr>
            <w:tcW w:w="1117" w:type="dxa"/>
            <w:tcBorders>
              <w:top w:val="nil"/>
              <w:left w:val="nil"/>
              <w:bottom w:val="nil"/>
              <w:right w:val="nil"/>
            </w:tcBorders>
            <w:shd w:val="clear" w:color="auto" w:fill="auto"/>
          </w:tcPr>
          <w:p w14:paraId="3ACF800E"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5F853F7C" w14:textId="77777777" w:rsidTr="00107D4E">
        <w:tc>
          <w:tcPr>
            <w:tcW w:w="1810" w:type="dxa"/>
            <w:tcBorders>
              <w:top w:val="nil"/>
              <w:left w:val="nil"/>
              <w:bottom w:val="nil"/>
              <w:right w:val="nil"/>
            </w:tcBorders>
            <w:shd w:val="clear" w:color="auto" w:fill="auto"/>
          </w:tcPr>
          <w:p w14:paraId="06A7F7C1"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74D8672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N2</w:t>
            </w:r>
          </w:p>
        </w:tc>
        <w:tc>
          <w:tcPr>
            <w:tcW w:w="1797" w:type="dxa"/>
            <w:tcBorders>
              <w:top w:val="nil"/>
              <w:left w:val="nil"/>
              <w:bottom w:val="nil"/>
              <w:right w:val="nil"/>
            </w:tcBorders>
            <w:shd w:val="clear" w:color="auto" w:fill="auto"/>
          </w:tcPr>
          <w:p w14:paraId="2CFB0EC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2.90 (2.62-3.21)</w:t>
            </w:r>
          </w:p>
        </w:tc>
        <w:tc>
          <w:tcPr>
            <w:tcW w:w="1117" w:type="dxa"/>
            <w:tcBorders>
              <w:top w:val="nil"/>
              <w:left w:val="nil"/>
              <w:bottom w:val="nil"/>
              <w:right w:val="nil"/>
            </w:tcBorders>
            <w:shd w:val="clear" w:color="auto" w:fill="auto"/>
          </w:tcPr>
          <w:p w14:paraId="3673A637"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0DBC5A5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2.58 (2.25-2.96)</w:t>
            </w:r>
          </w:p>
        </w:tc>
        <w:tc>
          <w:tcPr>
            <w:tcW w:w="1117" w:type="dxa"/>
            <w:tcBorders>
              <w:top w:val="nil"/>
              <w:left w:val="nil"/>
              <w:bottom w:val="nil"/>
              <w:right w:val="nil"/>
            </w:tcBorders>
            <w:shd w:val="clear" w:color="auto" w:fill="auto"/>
          </w:tcPr>
          <w:p w14:paraId="0DE32EC0"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6FF375A0" w14:textId="77777777" w:rsidTr="00107D4E">
        <w:tc>
          <w:tcPr>
            <w:tcW w:w="1810" w:type="dxa"/>
            <w:tcBorders>
              <w:top w:val="nil"/>
              <w:left w:val="nil"/>
              <w:bottom w:val="nil"/>
              <w:right w:val="nil"/>
            </w:tcBorders>
            <w:shd w:val="clear" w:color="auto" w:fill="auto"/>
          </w:tcPr>
          <w:p w14:paraId="15E159A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M stage</w:t>
            </w:r>
          </w:p>
        </w:tc>
        <w:tc>
          <w:tcPr>
            <w:tcW w:w="1763" w:type="dxa"/>
            <w:tcBorders>
              <w:top w:val="nil"/>
              <w:left w:val="nil"/>
              <w:bottom w:val="nil"/>
              <w:right w:val="nil"/>
            </w:tcBorders>
            <w:shd w:val="clear" w:color="auto" w:fill="auto"/>
          </w:tcPr>
          <w:p w14:paraId="013A35B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M0</w:t>
            </w:r>
          </w:p>
        </w:tc>
        <w:tc>
          <w:tcPr>
            <w:tcW w:w="1797" w:type="dxa"/>
            <w:tcBorders>
              <w:top w:val="nil"/>
              <w:left w:val="nil"/>
              <w:bottom w:val="nil"/>
              <w:right w:val="nil"/>
            </w:tcBorders>
            <w:shd w:val="clear" w:color="auto" w:fill="auto"/>
          </w:tcPr>
          <w:p w14:paraId="312A73B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44A6C21F"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4C7207E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4DA5E29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758B1929" w14:textId="77777777" w:rsidTr="00107D4E">
        <w:tc>
          <w:tcPr>
            <w:tcW w:w="1810" w:type="dxa"/>
            <w:tcBorders>
              <w:top w:val="nil"/>
              <w:left w:val="nil"/>
              <w:bottom w:val="nil"/>
              <w:right w:val="nil"/>
            </w:tcBorders>
            <w:shd w:val="clear" w:color="auto" w:fill="auto"/>
          </w:tcPr>
          <w:p w14:paraId="69F47E19"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6396726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M1</w:t>
            </w:r>
          </w:p>
        </w:tc>
        <w:tc>
          <w:tcPr>
            <w:tcW w:w="1797" w:type="dxa"/>
            <w:tcBorders>
              <w:top w:val="nil"/>
              <w:left w:val="nil"/>
              <w:bottom w:val="nil"/>
              <w:right w:val="nil"/>
            </w:tcBorders>
            <w:shd w:val="clear" w:color="auto" w:fill="auto"/>
          </w:tcPr>
          <w:p w14:paraId="1DAFB3C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3.75 (3.42-4.11)</w:t>
            </w:r>
          </w:p>
        </w:tc>
        <w:tc>
          <w:tcPr>
            <w:tcW w:w="1117" w:type="dxa"/>
            <w:tcBorders>
              <w:top w:val="nil"/>
              <w:left w:val="nil"/>
              <w:bottom w:val="nil"/>
              <w:right w:val="nil"/>
            </w:tcBorders>
            <w:shd w:val="clear" w:color="auto" w:fill="auto"/>
          </w:tcPr>
          <w:p w14:paraId="7890DBBD"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684AEAE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2.67 (2.01-3.55)</w:t>
            </w:r>
          </w:p>
        </w:tc>
        <w:tc>
          <w:tcPr>
            <w:tcW w:w="1117" w:type="dxa"/>
            <w:tcBorders>
              <w:top w:val="nil"/>
              <w:left w:val="nil"/>
              <w:bottom w:val="nil"/>
              <w:right w:val="nil"/>
            </w:tcBorders>
            <w:shd w:val="clear" w:color="auto" w:fill="auto"/>
          </w:tcPr>
          <w:p w14:paraId="1D237D50"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21F39563" w14:textId="77777777" w:rsidTr="00107D4E">
        <w:tc>
          <w:tcPr>
            <w:tcW w:w="1810" w:type="dxa"/>
            <w:tcBorders>
              <w:top w:val="nil"/>
              <w:left w:val="nil"/>
              <w:bottom w:val="nil"/>
              <w:right w:val="nil"/>
            </w:tcBorders>
            <w:shd w:val="clear" w:color="auto" w:fill="auto"/>
          </w:tcPr>
          <w:p w14:paraId="7451357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Surgery</w:t>
            </w:r>
          </w:p>
        </w:tc>
        <w:tc>
          <w:tcPr>
            <w:tcW w:w="1763" w:type="dxa"/>
            <w:tcBorders>
              <w:top w:val="nil"/>
              <w:left w:val="nil"/>
              <w:bottom w:val="nil"/>
              <w:right w:val="nil"/>
            </w:tcBorders>
            <w:shd w:val="clear" w:color="auto" w:fill="auto"/>
          </w:tcPr>
          <w:p w14:paraId="6A7C6AD8"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Yes</w:t>
            </w:r>
          </w:p>
        </w:tc>
        <w:tc>
          <w:tcPr>
            <w:tcW w:w="1797" w:type="dxa"/>
            <w:tcBorders>
              <w:top w:val="nil"/>
              <w:left w:val="nil"/>
              <w:bottom w:val="nil"/>
              <w:right w:val="nil"/>
            </w:tcBorders>
            <w:shd w:val="clear" w:color="auto" w:fill="auto"/>
          </w:tcPr>
          <w:p w14:paraId="421BDA3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418FC34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43435D5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0A600D8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6E4D7EFF" w14:textId="77777777" w:rsidTr="00107D4E">
        <w:tc>
          <w:tcPr>
            <w:tcW w:w="1810" w:type="dxa"/>
            <w:tcBorders>
              <w:top w:val="nil"/>
              <w:left w:val="nil"/>
              <w:bottom w:val="nil"/>
              <w:right w:val="nil"/>
            </w:tcBorders>
            <w:shd w:val="clear" w:color="auto" w:fill="auto"/>
          </w:tcPr>
          <w:p w14:paraId="18B6CA4A"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377B2BC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No/Unknown</w:t>
            </w:r>
          </w:p>
        </w:tc>
        <w:tc>
          <w:tcPr>
            <w:tcW w:w="1797" w:type="dxa"/>
            <w:tcBorders>
              <w:top w:val="nil"/>
              <w:left w:val="nil"/>
              <w:bottom w:val="nil"/>
              <w:right w:val="nil"/>
            </w:tcBorders>
            <w:shd w:val="clear" w:color="auto" w:fill="auto"/>
          </w:tcPr>
          <w:p w14:paraId="0B4A982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5.08 (3.83-6.73)</w:t>
            </w:r>
          </w:p>
        </w:tc>
        <w:tc>
          <w:tcPr>
            <w:tcW w:w="1117" w:type="dxa"/>
            <w:tcBorders>
              <w:top w:val="nil"/>
              <w:left w:val="nil"/>
              <w:bottom w:val="nil"/>
              <w:right w:val="nil"/>
            </w:tcBorders>
            <w:shd w:val="clear" w:color="auto" w:fill="auto"/>
          </w:tcPr>
          <w:p w14:paraId="47BAFDFC"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6BAE77C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4.82 (3.57-6.51)</w:t>
            </w:r>
          </w:p>
        </w:tc>
        <w:tc>
          <w:tcPr>
            <w:tcW w:w="1117" w:type="dxa"/>
            <w:tcBorders>
              <w:top w:val="nil"/>
              <w:left w:val="nil"/>
              <w:bottom w:val="nil"/>
              <w:right w:val="nil"/>
            </w:tcBorders>
            <w:shd w:val="clear" w:color="auto" w:fill="auto"/>
          </w:tcPr>
          <w:p w14:paraId="1F35CEDC"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09112D0D" w14:textId="77777777" w:rsidTr="00107D4E">
        <w:tc>
          <w:tcPr>
            <w:tcW w:w="1810" w:type="dxa"/>
            <w:tcBorders>
              <w:top w:val="nil"/>
              <w:left w:val="nil"/>
              <w:bottom w:val="nil"/>
              <w:right w:val="nil"/>
            </w:tcBorders>
            <w:shd w:val="clear" w:color="auto" w:fill="auto"/>
          </w:tcPr>
          <w:p w14:paraId="2E0DFBDE"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Radiation</w:t>
            </w:r>
          </w:p>
        </w:tc>
        <w:tc>
          <w:tcPr>
            <w:tcW w:w="1763" w:type="dxa"/>
            <w:tcBorders>
              <w:top w:val="nil"/>
              <w:left w:val="nil"/>
              <w:bottom w:val="nil"/>
              <w:right w:val="nil"/>
            </w:tcBorders>
            <w:shd w:val="clear" w:color="auto" w:fill="auto"/>
          </w:tcPr>
          <w:p w14:paraId="6984379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Yes</w:t>
            </w:r>
          </w:p>
        </w:tc>
        <w:tc>
          <w:tcPr>
            <w:tcW w:w="1797" w:type="dxa"/>
            <w:tcBorders>
              <w:top w:val="nil"/>
              <w:left w:val="nil"/>
              <w:bottom w:val="nil"/>
              <w:right w:val="nil"/>
            </w:tcBorders>
            <w:shd w:val="clear" w:color="auto" w:fill="auto"/>
          </w:tcPr>
          <w:p w14:paraId="10562BD9"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54DCE4F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0.764</w:t>
            </w:r>
          </w:p>
        </w:tc>
        <w:tc>
          <w:tcPr>
            <w:tcW w:w="1972" w:type="dxa"/>
            <w:tcBorders>
              <w:top w:val="nil"/>
              <w:left w:val="nil"/>
              <w:bottom w:val="nil"/>
              <w:right w:val="nil"/>
            </w:tcBorders>
            <w:shd w:val="clear" w:color="auto" w:fill="auto"/>
          </w:tcPr>
          <w:p w14:paraId="3947EBD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w:t>
            </w:r>
          </w:p>
        </w:tc>
        <w:tc>
          <w:tcPr>
            <w:tcW w:w="1117" w:type="dxa"/>
            <w:tcBorders>
              <w:top w:val="nil"/>
              <w:left w:val="nil"/>
              <w:bottom w:val="nil"/>
              <w:right w:val="nil"/>
            </w:tcBorders>
            <w:shd w:val="clear" w:color="auto" w:fill="auto"/>
          </w:tcPr>
          <w:p w14:paraId="172F3501"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7D4D2E8E" w14:textId="77777777" w:rsidTr="00107D4E">
        <w:tc>
          <w:tcPr>
            <w:tcW w:w="1810" w:type="dxa"/>
            <w:tcBorders>
              <w:top w:val="nil"/>
              <w:left w:val="nil"/>
              <w:bottom w:val="nil"/>
              <w:right w:val="nil"/>
            </w:tcBorders>
            <w:shd w:val="clear" w:color="auto" w:fill="auto"/>
          </w:tcPr>
          <w:p w14:paraId="72F9FC59"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nil"/>
              <w:right w:val="nil"/>
            </w:tcBorders>
            <w:shd w:val="clear" w:color="auto" w:fill="auto"/>
          </w:tcPr>
          <w:p w14:paraId="7B52DE1C"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No/Unknown</w:t>
            </w:r>
          </w:p>
        </w:tc>
        <w:tc>
          <w:tcPr>
            <w:tcW w:w="1797" w:type="dxa"/>
            <w:tcBorders>
              <w:top w:val="nil"/>
              <w:left w:val="nil"/>
              <w:bottom w:val="nil"/>
              <w:right w:val="nil"/>
            </w:tcBorders>
            <w:shd w:val="clear" w:color="auto" w:fill="auto"/>
          </w:tcPr>
          <w:p w14:paraId="351FDB1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1.02 (0.89-1.17)</w:t>
            </w:r>
          </w:p>
        </w:tc>
        <w:tc>
          <w:tcPr>
            <w:tcW w:w="1117" w:type="dxa"/>
            <w:tcBorders>
              <w:top w:val="nil"/>
              <w:left w:val="nil"/>
              <w:bottom w:val="nil"/>
              <w:right w:val="nil"/>
            </w:tcBorders>
            <w:shd w:val="clear" w:color="auto" w:fill="auto"/>
          </w:tcPr>
          <w:p w14:paraId="222427F8"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nil"/>
              <w:right w:val="nil"/>
            </w:tcBorders>
            <w:shd w:val="clear" w:color="auto" w:fill="auto"/>
          </w:tcPr>
          <w:p w14:paraId="601E142F" w14:textId="77777777" w:rsidR="00C84BB4" w:rsidRPr="00D41537" w:rsidRDefault="00C84BB4" w:rsidP="00D41537">
            <w:pPr>
              <w:spacing w:line="360" w:lineRule="auto"/>
              <w:jc w:val="both"/>
              <w:rPr>
                <w:rFonts w:ascii="Book Antiqua" w:eastAsia="Times New Roman" w:hAnsi="Book Antiqua"/>
              </w:rPr>
            </w:pPr>
          </w:p>
        </w:tc>
        <w:tc>
          <w:tcPr>
            <w:tcW w:w="1117" w:type="dxa"/>
            <w:tcBorders>
              <w:top w:val="nil"/>
              <w:left w:val="nil"/>
              <w:bottom w:val="nil"/>
              <w:right w:val="nil"/>
            </w:tcBorders>
            <w:shd w:val="clear" w:color="auto" w:fill="auto"/>
          </w:tcPr>
          <w:p w14:paraId="7CF926A9" w14:textId="77777777" w:rsidR="00C84BB4" w:rsidRPr="00D41537" w:rsidRDefault="00C84BB4" w:rsidP="00D41537">
            <w:pPr>
              <w:spacing w:line="360" w:lineRule="auto"/>
              <w:jc w:val="both"/>
              <w:rPr>
                <w:rFonts w:ascii="Book Antiqua" w:eastAsia="Times New Roman" w:hAnsi="Book Antiqua"/>
              </w:rPr>
            </w:pPr>
          </w:p>
        </w:tc>
      </w:tr>
      <w:tr w:rsidR="00C84BB4" w:rsidRPr="00D41537" w14:paraId="3E20448F" w14:textId="77777777" w:rsidTr="00107D4E">
        <w:tc>
          <w:tcPr>
            <w:tcW w:w="1810" w:type="dxa"/>
            <w:tcBorders>
              <w:top w:val="nil"/>
              <w:left w:val="nil"/>
              <w:bottom w:val="nil"/>
              <w:right w:val="nil"/>
            </w:tcBorders>
            <w:shd w:val="clear" w:color="auto" w:fill="auto"/>
          </w:tcPr>
          <w:p w14:paraId="150005E2"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Chemotherapy</w:t>
            </w:r>
          </w:p>
        </w:tc>
        <w:tc>
          <w:tcPr>
            <w:tcW w:w="1763" w:type="dxa"/>
            <w:tcBorders>
              <w:top w:val="nil"/>
              <w:left w:val="nil"/>
              <w:bottom w:val="nil"/>
              <w:right w:val="nil"/>
            </w:tcBorders>
            <w:shd w:val="clear" w:color="auto" w:fill="auto"/>
          </w:tcPr>
          <w:p w14:paraId="3CEE722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Yes</w:t>
            </w:r>
          </w:p>
        </w:tc>
        <w:tc>
          <w:tcPr>
            <w:tcW w:w="1797" w:type="dxa"/>
            <w:tcBorders>
              <w:top w:val="nil"/>
              <w:left w:val="nil"/>
              <w:bottom w:val="nil"/>
              <w:right w:val="nil"/>
            </w:tcBorders>
            <w:shd w:val="clear" w:color="auto" w:fill="auto"/>
          </w:tcPr>
          <w:p w14:paraId="229E7E8A"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35694056"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c>
          <w:tcPr>
            <w:tcW w:w="1972" w:type="dxa"/>
            <w:tcBorders>
              <w:top w:val="nil"/>
              <w:left w:val="nil"/>
              <w:bottom w:val="nil"/>
              <w:right w:val="nil"/>
            </w:tcBorders>
            <w:shd w:val="clear" w:color="auto" w:fill="auto"/>
          </w:tcPr>
          <w:p w14:paraId="21D5F2AB"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Reference</w:t>
            </w:r>
          </w:p>
        </w:tc>
        <w:tc>
          <w:tcPr>
            <w:tcW w:w="1117" w:type="dxa"/>
            <w:tcBorders>
              <w:top w:val="nil"/>
              <w:left w:val="nil"/>
              <w:bottom w:val="nil"/>
              <w:right w:val="nil"/>
            </w:tcBorders>
            <w:shd w:val="clear" w:color="auto" w:fill="auto"/>
          </w:tcPr>
          <w:p w14:paraId="27CB5247"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&lt; 0.001</w:t>
            </w:r>
          </w:p>
        </w:tc>
      </w:tr>
      <w:tr w:rsidR="00C84BB4" w:rsidRPr="00D41537" w14:paraId="262E59D9" w14:textId="77777777" w:rsidTr="00107D4E">
        <w:tc>
          <w:tcPr>
            <w:tcW w:w="1810" w:type="dxa"/>
            <w:tcBorders>
              <w:top w:val="nil"/>
              <w:left w:val="nil"/>
              <w:bottom w:val="single" w:sz="4" w:space="0" w:color="auto"/>
              <w:right w:val="nil"/>
            </w:tcBorders>
            <w:shd w:val="clear" w:color="auto" w:fill="auto"/>
          </w:tcPr>
          <w:p w14:paraId="76F308D3" w14:textId="77777777" w:rsidR="00C84BB4" w:rsidRPr="00D41537" w:rsidRDefault="00C84BB4" w:rsidP="00D41537">
            <w:pPr>
              <w:spacing w:line="360" w:lineRule="auto"/>
              <w:jc w:val="both"/>
              <w:rPr>
                <w:rFonts w:ascii="Book Antiqua" w:eastAsia="Times New Roman" w:hAnsi="Book Antiqua"/>
              </w:rPr>
            </w:pPr>
          </w:p>
        </w:tc>
        <w:tc>
          <w:tcPr>
            <w:tcW w:w="1763" w:type="dxa"/>
            <w:tcBorders>
              <w:top w:val="nil"/>
              <w:left w:val="nil"/>
              <w:bottom w:val="single" w:sz="4" w:space="0" w:color="auto"/>
              <w:right w:val="nil"/>
            </w:tcBorders>
            <w:shd w:val="clear" w:color="auto" w:fill="auto"/>
          </w:tcPr>
          <w:p w14:paraId="64A66F8D"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No/Unknown</w:t>
            </w:r>
          </w:p>
        </w:tc>
        <w:tc>
          <w:tcPr>
            <w:tcW w:w="1797" w:type="dxa"/>
            <w:tcBorders>
              <w:top w:val="nil"/>
              <w:left w:val="nil"/>
              <w:bottom w:val="single" w:sz="4" w:space="0" w:color="auto"/>
              <w:right w:val="nil"/>
            </w:tcBorders>
            <w:shd w:val="clear" w:color="auto" w:fill="auto"/>
          </w:tcPr>
          <w:p w14:paraId="60125973"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0.87 (0.80-0.95)</w:t>
            </w:r>
          </w:p>
        </w:tc>
        <w:tc>
          <w:tcPr>
            <w:tcW w:w="1117" w:type="dxa"/>
            <w:tcBorders>
              <w:top w:val="nil"/>
              <w:left w:val="nil"/>
              <w:bottom w:val="single" w:sz="4" w:space="0" w:color="auto"/>
              <w:right w:val="nil"/>
            </w:tcBorders>
            <w:shd w:val="clear" w:color="auto" w:fill="auto"/>
          </w:tcPr>
          <w:p w14:paraId="3AFE79D4" w14:textId="77777777" w:rsidR="00C84BB4" w:rsidRPr="00D41537" w:rsidRDefault="00C84BB4" w:rsidP="00D41537">
            <w:pPr>
              <w:spacing w:line="360" w:lineRule="auto"/>
              <w:jc w:val="both"/>
              <w:rPr>
                <w:rFonts w:ascii="Book Antiqua" w:eastAsia="Times New Roman" w:hAnsi="Book Antiqua"/>
              </w:rPr>
            </w:pPr>
          </w:p>
        </w:tc>
        <w:tc>
          <w:tcPr>
            <w:tcW w:w="1972" w:type="dxa"/>
            <w:tcBorders>
              <w:top w:val="nil"/>
              <w:left w:val="nil"/>
              <w:bottom w:val="single" w:sz="4" w:space="0" w:color="auto"/>
              <w:right w:val="nil"/>
            </w:tcBorders>
            <w:shd w:val="clear" w:color="auto" w:fill="auto"/>
          </w:tcPr>
          <w:p w14:paraId="4F9486D1" w14:textId="77777777" w:rsidR="00C84BB4" w:rsidRPr="00D41537" w:rsidRDefault="00C84BB4" w:rsidP="00D41537">
            <w:pPr>
              <w:spacing w:line="360" w:lineRule="auto"/>
              <w:jc w:val="both"/>
              <w:rPr>
                <w:rFonts w:ascii="Book Antiqua" w:eastAsia="Times New Roman" w:hAnsi="Book Antiqua"/>
              </w:rPr>
            </w:pPr>
            <w:r w:rsidRPr="00D41537">
              <w:rPr>
                <w:rFonts w:ascii="Book Antiqua" w:eastAsia="Times New Roman" w:hAnsi="Book Antiqua"/>
              </w:rPr>
              <w:t>1.58 (1.42-1.76)</w:t>
            </w:r>
          </w:p>
        </w:tc>
        <w:tc>
          <w:tcPr>
            <w:tcW w:w="1117" w:type="dxa"/>
            <w:tcBorders>
              <w:top w:val="nil"/>
              <w:left w:val="nil"/>
              <w:bottom w:val="single" w:sz="4" w:space="0" w:color="auto"/>
              <w:right w:val="nil"/>
            </w:tcBorders>
            <w:shd w:val="clear" w:color="auto" w:fill="auto"/>
          </w:tcPr>
          <w:p w14:paraId="1004E0BD" w14:textId="77777777" w:rsidR="00C84BB4" w:rsidRPr="00D41537" w:rsidRDefault="00C84BB4" w:rsidP="00D41537">
            <w:pPr>
              <w:spacing w:line="360" w:lineRule="auto"/>
              <w:jc w:val="both"/>
              <w:rPr>
                <w:rFonts w:ascii="Book Antiqua" w:eastAsia="Times New Roman" w:hAnsi="Book Antiqua"/>
              </w:rPr>
            </w:pPr>
          </w:p>
        </w:tc>
      </w:tr>
    </w:tbl>
    <w:p w14:paraId="5B39B398" w14:textId="198873AC" w:rsidR="00C64287" w:rsidRDefault="00C431F6" w:rsidP="00D41537">
      <w:pPr>
        <w:spacing w:line="360" w:lineRule="auto"/>
        <w:jc w:val="both"/>
        <w:rPr>
          <w:rFonts w:ascii="Book Antiqua" w:hAnsi="Book Antiqua"/>
        </w:rPr>
      </w:pPr>
      <w:r w:rsidRPr="00D41537">
        <w:rPr>
          <w:rFonts w:ascii="Book Antiqua" w:eastAsia="Times New Roman" w:hAnsi="Book Antiqua"/>
          <w:vertAlign w:val="superscript"/>
        </w:rPr>
        <w:t>1</w:t>
      </w:r>
      <w:r w:rsidR="00C84BB4" w:rsidRPr="00D41537">
        <w:rPr>
          <w:rFonts w:ascii="Book Antiqua" w:hAnsi="Book Antiqua"/>
        </w:rPr>
        <w:t>Defined as the Asian/Pacific Islander and American Indian/Alaska Native.</w:t>
      </w:r>
    </w:p>
    <w:p w14:paraId="22CA55A4" w14:textId="77777777" w:rsidR="00C64287" w:rsidRDefault="00C64287">
      <w:pPr>
        <w:rPr>
          <w:rFonts w:ascii="Book Antiqua" w:hAnsi="Book Antiqua"/>
        </w:rPr>
      </w:pPr>
      <w:r>
        <w:rPr>
          <w:rFonts w:ascii="Book Antiqua" w:hAnsi="Book Antiqua"/>
        </w:rPr>
        <w:br w:type="page"/>
      </w:r>
    </w:p>
    <w:p w14:paraId="47444B58" w14:textId="77777777" w:rsidR="00C64287" w:rsidRDefault="00C64287" w:rsidP="00C64287">
      <w:pPr>
        <w:snapToGrid w:val="0"/>
        <w:ind w:leftChars="100" w:left="240"/>
        <w:jc w:val="center"/>
        <w:rPr>
          <w:rFonts w:ascii="Book Antiqua" w:hAnsi="Book Antiqua"/>
        </w:rPr>
      </w:pPr>
    </w:p>
    <w:p w14:paraId="220B55D9" w14:textId="77777777" w:rsidR="00C64287" w:rsidRDefault="00C64287" w:rsidP="00C64287">
      <w:pPr>
        <w:snapToGrid w:val="0"/>
        <w:ind w:leftChars="100" w:left="240"/>
        <w:jc w:val="center"/>
        <w:rPr>
          <w:rFonts w:ascii="Book Antiqua" w:hAnsi="Book Antiqua"/>
        </w:rPr>
      </w:pPr>
    </w:p>
    <w:p w14:paraId="27E9285F" w14:textId="77777777" w:rsidR="00C64287" w:rsidRDefault="00C64287" w:rsidP="00C64287">
      <w:pPr>
        <w:snapToGrid w:val="0"/>
        <w:ind w:leftChars="100" w:left="240"/>
        <w:jc w:val="center"/>
        <w:rPr>
          <w:rFonts w:ascii="Book Antiqua" w:hAnsi="Book Antiqua"/>
        </w:rPr>
      </w:pPr>
    </w:p>
    <w:p w14:paraId="36BE8361" w14:textId="77777777" w:rsidR="00C64287" w:rsidRDefault="00C64287" w:rsidP="00C64287">
      <w:pPr>
        <w:snapToGrid w:val="0"/>
        <w:ind w:leftChars="100" w:left="240"/>
        <w:jc w:val="center"/>
        <w:rPr>
          <w:rFonts w:ascii="Book Antiqua" w:hAnsi="Book Antiqua"/>
        </w:rPr>
      </w:pPr>
    </w:p>
    <w:p w14:paraId="45C2E2ED" w14:textId="77777777" w:rsidR="00C64287" w:rsidRDefault="00C64287" w:rsidP="00C64287">
      <w:pPr>
        <w:snapToGrid w:val="0"/>
        <w:ind w:leftChars="100" w:left="240"/>
        <w:jc w:val="center"/>
        <w:rPr>
          <w:rFonts w:ascii="Book Antiqua" w:hAnsi="Book Antiqua"/>
        </w:rPr>
      </w:pPr>
      <w:r>
        <w:rPr>
          <w:rFonts w:ascii="Book Antiqua" w:hAnsi="Book Antiqua"/>
          <w:noProof/>
        </w:rPr>
        <w:drawing>
          <wp:inline distT="0" distB="0" distL="0" distR="0" wp14:anchorId="5BC666BF" wp14:editId="65609B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886AE6" w14:textId="77777777" w:rsidR="00C64287" w:rsidRDefault="00C64287" w:rsidP="00C64287">
      <w:pPr>
        <w:snapToGrid w:val="0"/>
        <w:ind w:leftChars="100" w:left="240"/>
        <w:jc w:val="center"/>
        <w:rPr>
          <w:rFonts w:ascii="Book Antiqua" w:hAnsi="Book Antiqua"/>
        </w:rPr>
      </w:pPr>
    </w:p>
    <w:p w14:paraId="6C79DA5C" w14:textId="77777777" w:rsidR="00C64287" w:rsidRDefault="00C64287" w:rsidP="00C6428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9BAEF57" w14:textId="77777777" w:rsidR="00C64287" w:rsidRDefault="00C64287" w:rsidP="00C642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37C9015" w14:textId="77777777" w:rsidR="00C64287" w:rsidRDefault="00C64287" w:rsidP="00C642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B0474D" w14:textId="77777777" w:rsidR="00C64287" w:rsidRDefault="00C64287" w:rsidP="00C642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AC2E5D" w14:textId="77777777" w:rsidR="00C64287" w:rsidRDefault="00C64287" w:rsidP="00C642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7B7402" w14:textId="77777777" w:rsidR="00C64287" w:rsidRDefault="00C64287" w:rsidP="00C6428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C1E62D8" w14:textId="77777777" w:rsidR="00C64287" w:rsidRDefault="00C64287" w:rsidP="00C64287">
      <w:pPr>
        <w:snapToGrid w:val="0"/>
        <w:ind w:leftChars="100" w:left="240"/>
        <w:jc w:val="center"/>
        <w:rPr>
          <w:rFonts w:ascii="Book Antiqua" w:hAnsi="Book Antiqua"/>
        </w:rPr>
      </w:pPr>
    </w:p>
    <w:p w14:paraId="44C2C472" w14:textId="77777777" w:rsidR="00C64287" w:rsidRDefault="00C64287" w:rsidP="00C64287">
      <w:pPr>
        <w:snapToGrid w:val="0"/>
        <w:ind w:leftChars="100" w:left="240"/>
        <w:jc w:val="center"/>
        <w:rPr>
          <w:rFonts w:ascii="Book Antiqua" w:hAnsi="Book Antiqua"/>
        </w:rPr>
      </w:pPr>
    </w:p>
    <w:p w14:paraId="7EF72A4B" w14:textId="77777777" w:rsidR="00C64287" w:rsidRDefault="00C64287" w:rsidP="00C64287">
      <w:pPr>
        <w:snapToGrid w:val="0"/>
        <w:ind w:leftChars="100" w:left="240"/>
        <w:jc w:val="center"/>
        <w:rPr>
          <w:rFonts w:ascii="Book Antiqua" w:hAnsi="Book Antiqua"/>
        </w:rPr>
      </w:pPr>
    </w:p>
    <w:p w14:paraId="6B1E7A20" w14:textId="77777777" w:rsidR="00C64287" w:rsidRDefault="00C64287" w:rsidP="00C64287">
      <w:pPr>
        <w:snapToGrid w:val="0"/>
        <w:ind w:leftChars="100" w:left="240"/>
        <w:jc w:val="center"/>
        <w:rPr>
          <w:rFonts w:ascii="Book Antiqua" w:hAnsi="Book Antiqua"/>
        </w:rPr>
      </w:pPr>
      <w:r>
        <w:rPr>
          <w:rFonts w:ascii="Book Antiqua" w:hAnsi="Book Antiqua"/>
          <w:noProof/>
        </w:rPr>
        <w:drawing>
          <wp:inline distT="0" distB="0" distL="0" distR="0" wp14:anchorId="46276B9A" wp14:editId="7157BE8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4019A3" w14:textId="77777777" w:rsidR="00C64287" w:rsidRDefault="00C64287" w:rsidP="00C64287">
      <w:pPr>
        <w:snapToGrid w:val="0"/>
        <w:ind w:leftChars="100" w:left="240"/>
        <w:jc w:val="center"/>
        <w:rPr>
          <w:rFonts w:ascii="Book Antiqua" w:hAnsi="Book Antiqua"/>
        </w:rPr>
      </w:pPr>
    </w:p>
    <w:p w14:paraId="35242701" w14:textId="77777777" w:rsidR="00C64287" w:rsidRDefault="00C64287" w:rsidP="00C64287">
      <w:pPr>
        <w:snapToGrid w:val="0"/>
        <w:ind w:leftChars="100" w:left="240"/>
        <w:jc w:val="center"/>
        <w:rPr>
          <w:rFonts w:ascii="Book Antiqua" w:hAnsi="Book Antiqua"/>
        </w:rPr>
      </w:pPr>
    </w:p>
    <w:p w14:paraId="46F93252" w14:textId="77777777" w:rsidR="00C64287" w:rsidRDefault="00C64287" w:rsidP="00C64287">
      <w:pPr>
        <w:snapToGrid w:val="0"/>
        <w:ind w:leftChars="100" w:left="240"/>
        <w:jc w:val="center"/>
        <w:rPr>
          <w:rFonts w:ascii="Book Antiqua" w:hAnsi="Book Antiqua"/>
        </w:rPr>
      </w:pPr>
    </w:p>
    <w:p w14:paraId="610C4F46" w14:textId="77777777" w:rsidR="00C64287" w:rsidRDefault="00C64287" w:rsidP="00C64287">
      <w:pPr>
        <w:snapToGrid w:val="0"/>
        <w:ind w:leftChars="100" w:left="240"/>
        <w:jc w:val="center"/>
        <w:rPr>
          <w:rFonts w:ascii="Book Antiqua" w:hAnsi="Book Antiqua"/>
        </w:rPr>
      </w:pPr>
    </w:p>
    <w:p w14:paraId="304A2851" w14:textId="77777777" w:rsidR="00C64287" w:rsidRDefault="00C64287" w:rsidP="00C64287">
      <w:pPr>
        <w:snapToGrid w:val="0"/>
        <w:ind w:leftChars="100" w:left="240"/>
        <w:jc w:val="center"/>
        <w:rPr>
          <w:rFonts w:ascii="Book Antiqua" w:hAnsi="Book Antiqua"/>
        </w:rPr>
      </w:pPr>
    </w:p>
    <w:p w14:paraId="27F976E1" w14:textId="77777777" w:rsidR="00C64287" w:rsidRDefault="00C64287" w:rsidP="00C64287">
      <w:pPr>
        <w:snapToGrid w:val="0"/>
        <w:ind w:leftChars="100" w:left="240"/>
        <w:jc w:val="center"/>
        <w:rPr>
          <w:rFonts w:ascii="Book Antiqua" w:hAnsi="Book Antiqua"/>
        </w:rPr>
      </w:pPr>
    </w:p>
    <w:p w14:paraId="28526C35" w14:textId="77777777" w:rsidR="00C64287" w:rsidRDefault="00C64287" w:rsidP="00C64287">
      <w:pPr>
        <w:snapToGrid w:val="0"/>
        <w:ind w:leftChars="100" w:left="240"/>
        <w:jc w:val="center"/>
        <w:rPr>
          <w:rFonts w:ascii="Book Antiqua" w:hAnsi="Book Antiqua"/>
        </w:rPr>
      </w:pPr>
    </w:p>
    <w:p w14:paraId="7D0DF841" w14:textId="77777777" w:rsidR="00C64287" w:rsidRDefault="00C64287" w:rsidP="00C64287">
      <w:pPr>
        <w:snapToGrid w:val="0"/>
        <w:ind w:leftChars="100" w:left="240"/>
        <w:jc w:val="center"/>
        <w:rPr>
          <w:rFonts w:ascii="Book Antiqua" w:hAnsi="Book Antiqua"/>
        </w:rPr>
      </w:pPr>
    </w:p>
    <w:p w14:paraId="1BF9CF00" w14:textId="77777777" w:rsidR="00C64287" w:rsidRDefault="00C64287" w:rsidP="00C64287">
      <w:pPr>
        <w:snapToGrid w:val="0"/>
        <w:ind w:leftChars="100" w:left="240"/>
        <w:jc w:val="center"/>
        <w:rPr>
          <w:rFonts w:ascii="Book Antiqua" w:hAnsi="Book Antiqua"/>
        </w:rPr>
      </w:pPr>
    </w:p>
    <w:p w14:paraId="5986F05D" w14:textId="77777777" w:rsidR="00C64287" w:rsidRDefault="00C64287" w:rsidP="00C64287">
      <w:pPr>
        <w:snapToGrid w:val="0"/>
        <w:ind w:leftChars="100" w:left="240"/>
        <w:jc w:val="right"/>
        <w:rPr>
          <w:rFonts w:ascii="Book Antiqua" w:hAnsi="Book Antiqua"/>
          <w:color w:val="000000" w:themeColor="text1"/>
        </w:rPr>
      </w:pPr>
    </w:p>
    <w:p w14:paraId="28C016EC" w14:textId="77777777" w:rsidR="00C64287" w:rsidRDefault="00C64287" w:rsidP="00C6428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C3C2E3A" w14:textId="77777777" w:rsidR="00C64287" w:rsidRDefault="00C64287" w:rsidP="00C64287">
      <w:pPr>
        <w:rPr>
          <w:rFonts w:ascii="Book Antiqua" w:hAnsi="Book Antiqua" w:cs="Book Antiqua"/>
          <w:b/>
          <w:bCs/>
          <w:color w:val="000000"/>
        </w:rPr>
      </w:pPr>
    </w:p>
    <w:p w14:paraId="6E53A25B" w14:textId="77777777" w:rsidR="00C84BB4" w:rsidRPr="00D41537" w:rsidRDefault="00C84BB4" w:rsidP="00D41537">
      <w:pPr>
        <w:spacing w:line="360" w:lineRule="auto"/>
        <w:jc w:val="both"/>
        <w:rPr>
          <w:rFonts w:ascii="Book Antiqua" w:hAnsi="Book Antiqua"/>
        </w:rPr>
      </w:pPr>
    </w:p>
    <w:sectPr w:rsidR="00C84BB4" w:rsidRPr="00D41537" w:rsidSect="00D4153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887D" w14:textId="77777777" w:rsidR="009C6BBB" w:rsidRDefault="009C6BBB" w:rsidP="001C4DE6">
      <w:r>
        <w:separator/>
      </w:r>
    </w:p>
  </w:endnote>
  <w:endnote w:type="continuationSeparator" w:id="0">
    <w:p w14:paraId="1D0C9329" w14:textId="77777777" w:rsidR="009C6BBB" w:rsidRDefault="009C6BBB" w:rsidP="001C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4184104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825DD41" w14:textId="06273C6B" w:rsidR="00D41537" w:rsidRPr="001C4DE6" w:rsidRDefault="00D41537" w:rsidP="00D41537">
            <w:pPr>
              <w:pStyle w:val="a5"/>
              <w:jc w:val="right"/>
              <w:rPr>
                <w:rFonts w:ascii="Book Antiqua" w:hAnsi="Book Antiqua"/>
                <w:sz w:val="24"/>
                <w:szCs w:val="24"/>
              </w:rPr>
            </w:pPr>
            <w:r w:rsidRPr="00D41537">
              <w:rPr>
                <w:rFonts w:ascii="Book Antiqua" w:hAnsi="Book Antiqua"/>
                <w:sz w:val="24"/>
                <w:szCs w:val="24"/>
              </w:rPr>
              <w:fldChar w:fldCharType="begin"/>
            </w:r>
            <w:r w:rsidRPr="00D41537">
              <w:rPr>
                <w:rFonts w:ascii="Book Antiqua" w:hAnsi="Book Antiqua"/>
                <w:sz w:val="24"/>
                <w:szCs w:val="24"/>
              </w:rPr>
              <w:instrText>PAGE</w:instrText>
            </w:r>
            <w:r w:rsidRPr="00D41537">
              <w:rPr>
                <w:rFonts w:ascii="Book Antiqua" w:hAnsi="Book Antiqua"/>
                <w:sz w:val="24"/>
                <w:szCs w:val="24"/>
              </w:rPr>
              <w:fldChar w:fldCharType="separate"/>
            </w:r>
            <w:r w:rsidRPr="00D41537">
              <w:rPr>
                <w:rFonts w:ascii="Book Antiqua" w:hAnsi="Book Antiqua"/>
                <w:sz w:val="24"/>
                <w:szCs w:val="24"/>
                <w:lang w:val="zh-CN" w:eastAsia="zh-CN"/>
              </w:rPr>
              <w:t>2</w:t>
            </w:r>
            <w:r w:rsidRPr="00D41537">
              <w:rPr>
                <w:rFonts w:ascii="Book Antiqua" w:hAnsi="Book Antiqua"/>
                <w:sz w:val="24"/>
                <w:szCs w:val="24"/>
              </w:rPr>
              <w:fldChar w:fldCharType="end"/>
            </w:r>
            <w:r w:rsidRPr="00D41537">
              <w:rPr>
                <w:rFonts w:ascii="Book Antiqua" w:hAnsi="Book Antiqua"/>
                <w:sz w:val="24"/>
                <w:szCs w:val="24"/>
                <w:lang w:val="zh-CN" w:eastAsia="zh-CN"/>
              </w:rPr>
              <w:t xml:space="preserve"> / </w:t>
            </w:r>
            <w:r w:rsidRPr="00D41537">
              <w:rPr>
                <w:rFonts w:ascii="Book Antiqua" w:hAnsi="Book Antiqua"/>
                <w:sz w:val="24"/>
                <w:szCs w:val="24"/>
              </w:rPr>
              <w:fldChar w:fldCharType="begin"/>
            </w:r>
            <w:r w:rsidRPr="00D41537">
              <w:rPr>
                <w:rFonts w:ascii="Book Antiqua" w:hAnsi="Book Antiqua"/>
                <w:sz w:val="24"/>
                <w:szCs w:val="24"/>
              </w:rPr>
              <w:instrText>NUMPAGES</w:instrText>
            </w:r>
            <w:r w:rsidRPr="00D41537">
              <w:rPr>
                <w:rFonts w:ascii="Book Antiqua" w:hAnsi="Book Antiqua"/>
                <w:sz w:val="24"/>
                <w:szCs w:val="24"/>
              </w:rPr>
              <w:fldChar w:fldCharType="separate"/>
            </w:r>
            <w:r w:rsidRPr="00D41537">
              <w:rPr>
                <w:rFonts w:ascii="Book Antiqua" w:hAnsi="Book Antiqua"/>
                <w:sz w:val="24"/>
                <w:szCs w:val="24"/>
                <w:lang w:val="zh-CN" w:eastAsia="zh-CN"/>
              </w:rPr>
              <w:t>2</w:t>
            </w:r>
            <w:r w:rsidRPr="00D41537">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2615D" w14:textId="77777777" w:rsidR="009C6BBB" w:rsidRDefault="009C6BBB" w:rsidP="001C4DE6">
      <w:r>
        <w:separator/>
      </w:r>
    </w:p>
  </w:footnote>
  <w:footnote w:type="continuationSeparator" w:id="0">
    <w:p w14:paraId="7A1B5B29" w14:textId="77777777" w:rsidR="009C6BBB" w:rsidRDefault="009C6BBB" w:rsidP="001C4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CCC"/>
    <w:rsid w:val="00020242"/>
    <w:rsid w:val="0006561E"/>
    <w:rsid w:val="00080E0E"/>
    <w:rsid w:val="0009539E"/>
    <w:rsid w:val="000A6DAE"/>
    <w:rsid w:val="000B11E0"/>
    <w:rsid w:val="000F65A3"/>
    <w:rsid w:val="00100801"/>
    <w:rsid w:val="001062C7"/>
    <w:rsid w:val="00107D4E"/>
    <w:rsid w:val="0011356C"/>
    <w:rsid w:val="00130EBF"/>
    <w:rsid w:val="001C4DE6"/>
    <w:rsid w:val="00201B0A"/>
    <w:rsid w:val="00234713"/>
    <w:rsid w:val="002452DD"/>
    <w:rsid w:val="002757DC"/>
    <w:rsid w:val="00294115"/>
    <w:rsid w:val="002A5243"/>
    <w:rsid w:val="002B3A07"/>
    <w:rsid w:val="002C39AA"/>
    <w:rsid w:val="002D05CE"/>
    <w:rsid w:val="002D22C6"/>
    <w:rsid w:val="002D4B99"/>
    <w:rsid w:val="002D7133"/>
    <w:rsid w:val="002F0052"/>
    <w:rsid w:val="0030265C"/>
    <w:rsid w:val="00306742"/>
    <w:rsid w:val="00332DF3"/>
    <w:rsid w:val="003350F3"/>
    <w:rsid w:val="00360657"/>
    <w:rsid w:val="0036689D"/>
    <w:rsid w:val="003A3A71"/>
    <w:rsid w:val="003C72EB"/>
    <w:rsid w:val="0041778C"/>
    <w:rsid w:val="00440ED3"/>
    <w:rsid w:val="00446149"/>
    <w:rsid w:val="004565F3"/>
    <w:rsid w:val="00472994"/>
    <w:rsid w:val="004807E2"/>
    <w:rsid w:val="004818C0"/>
    <w:rsid w:val="00492728"/>
    <w:rsid w:val="004961AA"/>
    <w:rsid w:val="004C04C7"/>
    <w:rsid w:val="00502515"/>
    <w:rsid w:val="00520066"/>
    <w:rsid w:val="00577950"/>
    <w:rsid w:val="00584DD2"/>
    <w:rsid w:val="00593A72"/>
    <w:rsid w:val="005A280A"/>
    <w:rsid w:val="005A2DA6"/>
    <w:rsid w:val="005B28EB"/>
    <w:rsid w:val="005C3368"/>
    <w:rsid w:val="005E53CE"/>
    <w:rsid w:val="005E66C6"/>
    <w:rsid w:val="00610569"/>
    <w:rsid w:val="00617625"/>
    <w:rsid w:val="00637926"/>
    <w:rsid w:val="00640662"/>
    <w:rsid w:val="006600EE"/>
    <w:rsid w:val="00660DA8"/>
    <w:rsid w:val="006F1449"/>
    <w:rsid w:val="00722364"/>
    <w:rsid w:val="0072410C"/>
    <w:rsid w:val="00751CFA"/>
    <w:rsid w:val="007721C8"/>
    <w:rsid w:val="00780FFF"/>
    <w:rsid w:val="00791BF3"/>
    <w:rsid w:val="007C1579"/>
    <w:rsid w:val="007E2D70"/>
    <w:rsid w:val="00827120"/>
    <w:rsid w:val="008304F5"/>
    <w:rsid w:val="00833F3D"/>
    <w:rsid w:val="008600D2"/>
    <w:rsid w:val="00870DB1"/>
    <w:rsid w:val="008739C3"/>
    <w:rsid w:val="00893F9D"/>
    <w:rsid w:val="008B181A"/>
    <w:rsid w:val="008C4431"/>
    <w:rsid w:val="0090185B"/>
    <w:rsid w:val="00902381"/>
    <w:rsid w:val="009A3CD3"/>
    <w:rsid w:val="009A5A34"/>
    <w:rsid w:val="009C5449"/>
    <w:rsid w:val="009C6BBB"/>
    <w:rsid w:val="009D17BA"/>
    <w:rsid w:val="009D67B1"/>
    <w:rsid w:val="00A25F01"/>
    <w:rsid w:val="00A34757"/>
    <w:rsid w:val="00A70EF8"/>
    <w:rsid w:val="00A77B3E"/>
    <w:rsid w:val="00AA5A06"/>
    <w:rsid w:val="00AC427C"/>
    <w:rsid w:val="00AC65CA"/>
    <w:rsid w:val="00B03A2E"/>
    <w:rsid w:val="00B17D87"/>
    <w:rsid w:val="00B30D14"/>
    <w:rsid w:val="00B50864"/>
    <w:rsid w:val="00B81008"/>
    <w:rsid w:val="00BA0CFD"/>
    <w:rsid w:val="00BB112E"/>
    <w:rsid w:val="00BB2D0D"/>
    <w:rsid w:val="00BF6D75"/>
    <w:rsid w:val="00BF7911"/>
    <w:rsid w:val="00C3590B"/>
    <w:rsid w:val="00C431F6"/>
    <w:rsid w:val="00C438A8"/>
    <w:rsid w:val="00C55AA6"/>
    <w:rsid w:val="00C64287"/>
    <w:rsid w:val="00C76A99"/>
    <w:rsid w:val="00C84BB4"/>
    <w:rsid w:val="00CA2A55"/>
    <w:rsid w:val="00CD4BAB"/>
    <w:rsid w:val="00CE64F6"/>
    <w:rsid w:val="00D15DA5"/>
    <w:rsid w:val="00D273A2"/>
    <w:rsid w:val="00D27D6D"/>
    <w:rsid w:val="00D41537"/>
    <w:rsid w:val="00D64DB8"/>
    <w:rsid w:val="00D8418F"/>
    <w:rsid w:val="00DD1062"/>
    <w:rsid w:val="00DD57C0"/>
    <w:rsid w:val="00DE2CB1"/>
    <w:rsid w:val="00DE5297"/>
    <w:rsid w:val="00DE62F7"/>
    <w:rsid w:val="00E34DAF"/>
    <w:rsid w:val="00E64996"/>
    <w:rsid w:val="00E97BB2"/>
    <w:rsid w:val="00EB10AD"/>
    <w:rsid w:val="00ED34FF"/>
    <w:rsid w:val="00ED4E86"/>
    <w:rsid w:val="00EE0AC5"/>
    <w:rsid w:val="00F17B70"/>
    <w:rsid w:val="00F22A48"/>
    <w:rsid w:val="00F53CF2"/>
    <w:rsid w:val="00F64616"/>
    <w:rsid w:val="00F7763A"/>
    <w:rsid w:val="00FB4ACE"/>
    <w:rsid w:val="00FB7DCC"/>
    <w:rsid w:val="00FD0327"/>
    <w:rsid w:val="00FE4B6F"/>
    <w:rsid w:val="00FF6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5466E"/>
  <w15:docId w15:val="{055078ED-8279-4326-AEA0-FEC776D8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4DE6"/>
    <w:pPr>
      <w:tabs>
        <w:tab w:val="center" w:pos="4153"/>
        <w:tab w:val="right" w:pos="8306"/>
      </w:tabs>
      <w:snapToGrid w:val="0"/>
      <w:jc w:val="center"/>
    </w:pPr>
    <w:rPr>
      <w:sz w:val="18"/>
      <w:szCs w:val="18"/>
    </w:rPr>
  </w:style>
  <w:style w:type="character" w:customStyle="1" w:styleId="a4">
    <w:name w:val="页眉 字符"/>
    <w:basedOn w:val="a0"/>
    <w:link w:val="a3"/>
    <w:rsid w:val="001C4DE6"/>
    <w:rPr>
      <w:sz w:val="18"/>
      <w:szCs w:val="18"/>
    </w:rPr>
  </w:style>
  <w:style w:type="paragraph" w:styleId="a5">
    <w:name w:val="footer"/>
    <w:basedOn w:val="a"/>
    <w:link w:val="a6"/>
    <w:uiPriority w:val="99"/>
    <w:unhideWhenUsed/>
    <w:rsid w:val="001C4DE6"/>
    <w:pPr>
      <w:tabs>
        <w:tab w:val="center" w:pos="4153"/>
        <w:tab w:val="right" w:pos="8306"/>
      </w:tabs>
      <w:snapToGrid w:val="0"/>
    </w:pPr>
    <w:rPr>
      <w:sz w:val="18"/>
      <w:szCs w:val="18"/>
    </w:rPr>
  </w:style>
  <w:style w:type="character" w:customStyle="1" w:styleId="a6">
    <w:name w:val="页脚 字符"/>
    <w:basedOn w:val="a0"/>
    <w:link w:val="a5"/>
    <w:uiPriority w:val="99"/>
    <w:rsid w:val="001C4DE6"/>
    <w:rPr>
      <w:sz w:val="18"/>
      <w:szCs w:val="18"/>
    </w:rPr>
  </w:style>
  <w:style w:type="character" w:styleId="a7">
    <w:name w:val="annotation reference"/>
    <w:basedOn w:val="a0"/>
    <w:semiHidden/>
    <w:unhideWhenUsed/>
    <w:rsid w:val="003C72EB"/>
    <w:rPr>
      <w:sz w:val="21"/>
      <w:szCs w:val="21"/>
    </w:rPr>
  </w:style>
  <w:style w:type="paragraph" w:styleId="a8">
    <w:name w:val="annotation text"/>
    <w:basedOn w:val="a"/>
    <w:link w:val="a9"/>
    <w:unhideWhenUsed/>
    <w:rsid w:val="003C72EB"/>
  </w:style>
  <w:style w:type="character" w:customStyle="1" w:styleId="a9">
    <w:name w:val="批注文字 字符"/>
    <w:basedOn w:val="a0"/>
    <w:link w:val="a8"/>
    <w:rsid w:val="003C72EB"/>
    <w:rPr>
      <w:sz w:val="24"/>
      <w:szCs w:val="24"/>
    </w:rPr>
  </w:style>
  <w:style w:type="paragraph" w:styleId="aa">
    <w:name w:val="annotation subject"/>
    <w:basedOn w:val="a8"/>
    <w:next w:val="a8"/>
    <w:link w:val="ab"/>
    <w:semiHidden/>
    <w:unhideWhenUsed/>
    <w:rsid w:val="003C72EB"/>
    <w:rPr>
      <w:b/>
      <w:bCs/>
    </w:rPr>
  </w:style>
  <w:style w:type="character" w:customStyle="1" w:styleId="ab">
    <w:name w:val="批注主题 字符"/>
    <w:basedOn w:val="a9"/>
    <w:link w:val="aa"/>
    <w:semiHidden/>
    <w:rsid w:val="003C72EB"/>
    <w:rPr>
      <w:b/>
      <w:bCs/>
      <w:sz w:val="24"/>
      <w:szCs w:val="24"/>
    </w:rPr>
  </w:style>
  <w:style w:type="paragraph" w:styleId="ac">
    <w:name w:val="Revision"/>
    <w:hidden/>
    <w:uiPriority w:val="99"/>
    <w:semiHidden/>
    <w:rsid w:val="00080E0E"/>
    <w:rPr>
      <w:sz w:val="24"/>
      <w:szCs w:val="24"/>
    </w:rPr>
  </w:style>
  <w:style w:type="paragraph" w:styleId="ad">
    <w:name w:val="Balloon Text"/>
    <w:basedOn w:val="a"/>
    <w:link w:val="ae"/>
    <w:rsid w:val="00D41537"/>
    <w:rPr>
      <w:sz w:val="18"/>
      <w:szCs w:val="18"/>
    </w:rPr>
  </w:style>
  <w:style w:type="character" w:customStyle="1" w:styleId="ae">
    <w:name w:val="批注框文本 字符"/>
    <w:basedOn w:val="a0"/>
    <w:link w:val="ad"/>
    <w:rsid w:val="00D415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6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6166B-F2FA-447C-94A7-E2ADA9D9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6291</Words>
  <Characters>35859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JiangJiao</dc:creator>
  <cp:lastModifiedBy>M18955</cp:lastModifiedBy>
  <cp:revision>6</cp:revision>
  <dcterms:created xsi:type="dcterms:W3CDTF">2023-06-20T23:07:00Z</dcterms:created>
  <dcterms:modified xsi:type="dcterms:W3CDTF">2023-08-04T09:48:00Z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87bafe36b2a7d6011853e89d6d29d9b99b41d32d69dec12e6c15e58024580812</vt:lpwstr>
  </property>
</Properties>
</file>