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EA58" w14:textId="38B54081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</w:rPr>
        <w:t>Name</w:t>
      </w:r>
      <w:r w:rsidR="009C1FD8" w:rsidRPr="006A7593">
        <w:rPr>
          <w:rFonts w:ascii="Book Antiqua" w:eastAsia="Book Antiqua" w:hAnsi="Book Antiqua" w:cs="Book Antiqua"/>
          <w:b/>
        </w:rPr>
        <w:t xml:space="preserve"> </w:t>
      </w:r>
      <w:r w:rsidRPr="006A7593">
        <w:rPr>
          <w:rFonts w:ascii="Book Antiqua" w:eastAsia="Book Antiqua" w:hAnsi="Book Antiqua" w:cs="Book Antiqua"/>
          <w:b/>
        </w:rPr>
        <w:t>of</w:t>
      </w:r>
      <w:r w:rsidR="009C1FD8" w:rsidRPr="006A7593">
        <w:rPr>
          <w:rFonts w:ascii="Book Antiqua" w:eastAsia="Book Antiqua" w:hAnsi="Book Antiqua" w:cs="Book Antiqua"/>
          <w:b/>
        </w:rPr>
        <w:t xml:space="preserve"> </w:t>
      </w:r>
      <w:r w:rsidRPr="006A7593">
        <w:rPr>
          <w:rFonts w:ascii="Book Antiqua" w:eastAsia="Book Antiqua" w:hAnsi="Book Antiqua" w:cs="Book Antiqua"/>
          <w:b/>
        </w:rPr>
        <w:t>Journal:</w:t>
      </w:r>
      <w:r w:rsidR="009C1FD8" w:rsidRPr="006A7593">
        <w:rPr>
          <w:rFonts w:ascii="Book Antiqua" w:eastAsia="Book Antiqua" w:hAnsi="Book Antiqua" w:cs="Book Antiqua"/>
          <w:b/>
        </w:rPr>
        <w:t xml:space="preserve"> </w:t>
      </w:r>
      <w:r w:rsidRPr="006A7593">
        <w:rPr>
          <w:rFonts w:ascii="Book Antiqua" w:eastAsia="Book Antiqua" w:hAnsi="Book Antiqua" w:cs="Book Antiqua"/>
          <w:i/>
        </w:rPr>
        <w:t>World</w:t>
      </w:r>
      <w:r w:rsidR="009C1FD8" w:rsidRPr="006A7593">
        <w:rPr>
          <w:rFonts w:ascii="Book Antiqua" w:eastAsia="Book Antiqua" w:hAnsi="Book Antiqua" w:cs="Book Antiqua"/>
          <w:i/>
        </w:rPr>
        <w:t xml:space="preserve"> </w:t>
      </w:r>
      <w:r w:rsidRPr="006A7593">
        <w:rPr>
          <w:rFonts w:ascii="Book Antiqua" w:eastAsia="Book Antiqua" w:hAnsi="Book Antiqua" w:cs="Book Antiqua"/>
          <w:i/>
        </w:rPr>
        <w:t>Journal</w:t>
      </w:r>
      <w:r w:rsidR="009C1FD8" w:rsidRPr="006A7593">
        <w:rPr>
          <w:rFonts w:ascii="Book Antiqua" w:eastAsia="Book Antiqua" w:hAnsi="Book Antiqua" w:cs="Book Antiqua"/>
          <w:i/>
        </w:rPr>
        <w:t xml:space="preserve"> </w:t>
      </w:r>
      <w:r w:rsidRPr="006A7593">
        <w:rPr>
          <w:rFonts w:ascii="Book Antiqua" w:eastAsia="Book Antiqua" w:hAnsi="Book Antiqua" w:cs="Book Antiqua"/>
          <w:i/>
        </w:rPr>
        <w:t>of</w:t>
      </w:r>
      <w:r w:rsidR="009C1FD8" w:rsidRPr="006A7593">
        <w:rPr>
          <w:rFonts w:ascii="Book Antiqua" w:eastAsia="Book Antiqua" w:hAnsi="Book Antiqua" w:cs="Book Antiqua"/>
          <w:i/>
        </w:rPr>
        <w:t xml:space="preserve"> </w:t>
      </w:r>
      <w:r w:rsidRPr="006A7593">
        <w:rPr>
          <w:rFonts w:ascii="Book Antiqua" w:eastAsia="Book Antiqua" w:hAnsi="Book Antiqua" w:cs="Book Antiqua"/>
          <w:i/>
        </w:rPr>
        <w:t>Gastroenterology</w:t>
      </w:r>
    </w:p>
    <w:p w14:paraId="4248195F" w14:textId="4E9E2095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</w:rPr>
        <w:t>Manuscript</w:t>
      </w:r>
      <w:r w:rsidR="009C1FD8" w:rsidRPr="006A7593">
        <w:rPr>
          <w:rFonts w:ascii="Book Antiqua" w:eastAsia="Book Antiqua" w:hAnsi="Book Antiqua" w:cs="Book Antiqua"/>
          <w:b/>
        </w:rPr>
        <w:t xml:space="preserve"> </w:t>
      </w:r>
      <w:r w:rsidRPr="006A7593">
        <w:rPr>
          <w:rFonts w:ascii="Book Antiqua" w:eastAsia="Book Antiqua" w:hAnsi="Book Antiqua" w:cs="Book Antiqua"/>
          <w:b/>
        </w:rPr>
        <w:t>NO:</w:t>
      </w:r>
      <w:r w:rsidR="009C1FD8" w:rsidRPr="006A7593">
        <w:rPr>
          <w:rFonts w:ascii="Book Antiqua" w:eastAsia="Book Antiqua" w:hAnsi="Book Antiqua" w:cs="Book Antiqua"/>
          <w:b/>
        </w:rPr>
        <w:t xml:space="preserve"> </w:t>
      </w:r>
      <w:r w:rsidRPr="006A7593">
        <w:rPr>
          <w:rFonts w:ascii="Book Antiqua" w:eastAsia="Book Antiqua" w:hAnsi="Book Antiqua" w:cs="Book Antiqua"/>
        </w:rPr>
        <w:t>84779</w:t>
      </w:r>
    </w:p>
    <w:p w14:paraId="63021E76" w14:textId="6D487E29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</w:rPr>
        <w:t>Manuscript</w:t>
      </w:r>
      <w:r w:rsidR="009C1FD8" w:rsidRPr="006A7593">
        <w:rPr>
          <w:rFonts w:ascii="Book Antiqua" w:eastAsia="Book Antiqua" w:hAnsi="Book Antiqua" w:cs="Book Antiqua"/>
          <w:b/>
        </w:rPr>
        <w:t xml:space="preserve"> </w:t>
      </w:r>
      <w:r w:rsidRPr="006A7593">
        <w:rPr>
          <w:rFonts w:ascii="Book Antiqua" w:eastAsia="Book Antiqua" w:hAnsi="Book Antiqua" w:cs="Book Antiqua"/>
          <w:b/>
        </w:rPr>
        <w:t>Type:</w:t>
      </w:r>
      <w:r w:rsidR="009C1FD8" w:rsidRPr="006A7593">
        <w:rPr>
          <w:rFonts w:ascii="Book Antiqua" w:eastAsia="Book Antiqua" w:hAnsi="Book Antiqua" w:cs="Book Antiqua"/>
          <w:b/>
        </w:rPr>
        <w:t xml:space="preserve"> </w:t>
      </w:r>
      <w:r w:rsidRPr="006A7593">
        <w:rPr>
          <w:rFonts w:ascii="Book Antiqua" w:eastAsia="Book Antiqua" w:hAnsi="Book Antiqua" w:cs="Book Antiqua"/>
        </w:rPr>
        <w:t>REVIEW</w:t>
      </w:r>
    </w:p>
    <w:p w14:paraId="6357839C" w14:textId="77777777" w:rsidR="00A77B3E" w:rsidRPr="006A7593" w:rsidRDefault="00A77B3E">
      <w:pPr>
        <w:spacing w:line="360" w:lineRule="auto"/>
        <w:jc w:val="both"/>
      </w:pPr>
    </w:p>
    <w:p w14:paraId="2F60E358" w14:textId="431C5CA4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olor w:val="000000"/>
        </w:rPr>
        <w:t>Past,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present,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B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virus</w:t>
      </w:r>
    </w:p>
    <w:p w14:paraId="29B2FFE8" w14:textId="77777777" w:rsidR="00AA144C" w:rsidRPr="006A7593" w:rsidRDefault="00AA144C">
      <w:pPr>
        <w:spacing w:line="360" w:lineRule="auto"/>
        <w:jc w:val="both"/>
      </w:pPr>
    </w:p>
    <w:p w14:paraId="68BA35B4" w14:textId="1B8F6E39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Broquetas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Past,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present,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future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</w:p>
    <w:p w14:paraId="4AAB3B6B" w14:textId="77777777" w:rsidR="00A77B3E" w:rsidRPr="006A7593" w:rsidRDefault="00A77B3E">
      <w:pPr>
        <w:spacing w:line="360" w:lineRule="auto"/>
        <w:jc w:val="both"/>
      </w:pPr>
    </w:p>
    <w:p w14:paraId="26134978" w14:textId="58DB915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Teresa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Broquetas,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José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Carrión</w:t>
      </w:r>
    </w:p>
    <w:p w14:paraId="4CF65304" w14:textId="77777777" w:rsidR="00A77B3E" w:rsidRPr="006A7593" w:rsidRDefault="00A77B3E">
      <w:pPr>
        <w:spacing w:line="360" w:lineRule="auto"/>
        <w:jc w:val="both"/>
      </w:pPr>
    </w:p>
    <w:p w14:paraId="20DB92CD" w14:textId="3370B9A1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olor w:val="000000"/>
        </w:rPr>
        <w:t>Teresa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Broquetas,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Carrión,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Section,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Gastroenterology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Department,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Hospital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Barcelona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08003,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Spain</w:t>
      </w:r>
    </w:p>
    <w:p w14:paraId="229B8DDA" w14:textId="77777777" w:rsidR="00A77B3E" w:rsidRPr="006A7593" w:rsidRDefault="00A77B3E">
      <w:pPr>
        <w:spacing w:line="360" w:lineRule="auto"/>
        <w:jc w:val="both"/>
      </w:pPr>
    </w:p>
    <w:p w14:paraId="449DB3B2" w14:textId="07379B26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olor w:val="000000"/>
        </w:rPr>
        <w:t>Teresa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Broquetas,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Carrión,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Institut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Hospital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D’Investigacions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Mèdiques,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PSMAR,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Barcelona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08003,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Spain</w:t>
      </w:r>
    </w:p>
    <w:p w14:paraId="710382C9" w14:textId="77777777" w:rsidR="00A77B3E" w:rsidRPr="006A7593" w:rsidRDefault="00A77B3E">
      <w:pPr>
        <w:spacing w:line="360" w:lineRule="auto"/>
        <w:jc w:val="both"/>
      </w:pPr>
    </w:p>
    <w:p w14:paraId="2EBD5208" w14:textId="627F8755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Carrión,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Universitat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Pompeu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Fabra,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Facultat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Ciències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Salut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Vida,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Barcelona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08003,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Spain</w:t>
      </w:r>
    </w:p>
    <w:p w14:paraId="3000BDDF" w14:textId="77777777" w:rsidR="00A77B3E" w:rsidRPr="006A7593" w:rsidRDefault="00A77B3E">
      <w:pPr>
        <w:spacing w:line="360" w:lineRule="auto"/>
        <w:jc w:val="both"/>
      </w:pPr>
    </w:p>
    <w:p w14:paraId="2780D9FF" w14:textId="7B20D59F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olor w:val="000000"/>
          <w:szCs w:val="20"/>
        </w:rPr>
        <w:t>Author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  <w:szCs w:val="20"/>
        </w:rPr>
        <w:t>contributions: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Broquetas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contributed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D1AD3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acquisition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data,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interpretation,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drafting,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critical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revision,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approval;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Carrión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JA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contributed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conception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design,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acquisition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data,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interpretation,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drafting,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critical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revision,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approval.</w:t>
      </w:r>
    </w:p>
    <w:p w14:paraId="1537D824" w14:textId="77777777" w:rsidR="00A77B3E" w:rsidRPr="006A7593" w:rsidRDefault="00A77B3E">
      <w:pPr>
        <w:spacing w:line="360" w:lineRule="auto"/>
        <w:jc w:val="both"/>
      </w:pPr>
    </w:p>
    <w:p w14:paraId="1A6BA204" w14:textId="43084C40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Carrión,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C1FD8" w:rsidRPr="006A759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Section,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Gastroenterology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Department,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Hospital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25-29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Passeig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Marítim,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Barcelona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08003,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Spain.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jcarrion@psmar.cat</w:t>
      </w:r>
    </w:p>
    <w:p w14:paraId="2E332B20" w14:textId="77777777" w:rsidR="00A77B3E" w:rsidRPr="006A7593" w:rsidRDefault="00A77B3E">
      <w:pPr>
        <w:spacing w:line="360" w:lineRule="auto"/>
        <w:jc w:val="both"/>
      </w:pPr>
    </w:p>
    <w:p w14:paraId="7C0A42E3" w14:textId="417FA573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</w:rPr>
        <w:t>Received: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</w:rPr>
        <w:t>March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</w:t>
      </w:r>
    </w:p>
    <w:p w14:paraId="30B4FD9F" w14:textId="17E416A3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</w:rPr>
        <w:t>Revised: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</w:rPr>
        <w:t>May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22,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</w:t>
      </w:r>
    </w:p>
    <w:p w14:paraId="2A7279AE" w14:textId="0923CFF4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</w:rPr>
        <w:t>Accepted: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="003244BF" w:rsidRPr="006A7593">
        <w:rPr>
          <w:rFonts w:ascii="Book Antiqua" w:eastAsia="Book Antiqua" w:hAnsi="Book Antiqua" w:cs="Book Antiqua"/>
        </w:rPr>
        <w:t>June 6, 2023</w:t>
      </w:r>
    </w:p>
    <w:p w14:paraId="04B2D58A" w14:textId="52936B62" w:rsidR="00A77B3E" w:rsidRPr="006A7593" w:rsidRDefault="001A5A9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6A7593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online: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="00D90A70" w:rsidRPr="006A7593">
        <w:rPr>
          <w:rFonts w:ascii="Book Antiqua" w:hAnsi="Book Antiqua"/>
          <w:color w:val="000000"/>
          <w:shd w:val="clear" w:color="auto" w:fill="FFFFFF"/>
        </w:rPr>
        <w:t>July 7, 2023</w:t>
      </w:r>
    </w:p>
    <w:p w14:paraId="18DECA75" w14:textId="77777777" w:rsidR="006279E5" w:rsidRPr="006A7593" w:rsidRDefault="006279E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5BB5CAA" w14:textId="77777777" w:rsidR="006279E5" w:rsidRPr="006A7593" w:rsidRDefault="006279E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FEF8E58" w14:textId="0593E4C0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Abstract</w:t>
      </w:r>
    </w:p>
    <w:p w14:paraId="74347BFD" w14:textId="4F4AC9B4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estimated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world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prevalence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(HBV)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million.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identified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1963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nowadays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major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cause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cirrhosis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(HCC)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despite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universal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vaccination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programs,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administration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(NA)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choice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decades.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shown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good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profile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high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controlling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replication,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improving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histology,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decreasing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HCC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incidence,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decompensation,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mortality.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However,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probability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necessary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indefinite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knowledge,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years,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about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different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cycle,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insights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immune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yielded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increase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therapeutic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approaches.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Consequently,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ongoing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promising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integrative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literature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review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aims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knowledge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advances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present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withdrawal,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future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perspectives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combined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molecules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achieve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cure.</w:t>
      </w:r>
    </w:p>
    <w:p w14:paraId="1C8597B1" w14:textId="77777777" w:rsidR="00A77B3E" w:rsidRPr="006A7593" w:rsidRDefault="00A77B3E">
      <w:pPr>
        <w:spacing w:line="360" w:lineRule="auto"/>
        <w:jc w:val="both"/>
      </w:pPr>
    </w:p>
    <w:p w14:paraId="4C1921AA" w14:textId="1DC0868B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</w:rPr>
        <w:t>Key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Words: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cure;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agents;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Drug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development</w:t>
      </w:r>
    </w:p>
    <w:p w14:paraId="7B2D51B8" w14:textId="77777777" w:rsidR="00A77B3E" w:rsidRPr="006A7593" w:rsidRDefault="00A77B3E">
      <w:pPr>
        <w:spacing w:line="360" w:lineRule="auto"/>
        <w:jc w:val="both"/>
      </w:pPr>
    </w:p>
    <w:p w14:paraId="72B87D33" w14:textId="77777777" w:rsidR="00596C4C" w:rsidRPr="006A7593" w:rsidRDefault="00596C4C" w:rsidP="00596C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6A7593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6A7593">
        <w:rPr>
          <w:rFonts w:ascii="Book Antiqua" w:eastAsia="Book Antiqua" w:hAnsi="Book Antiqua" w:cs="Book Antiqua"/>
          <w:b/>
          <w:color w:val="000000"/>
        </w:rPr>
        <w:t>The</w:t>
      </w:r>
      <w:r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6A7593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6A7593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2AA7FEBF" w14:textId="77777777" w:rsidR="00596C4C" w:rsidRPr="006A7593" w:rsidRDefault="00596C4C" w:rsidP="00596C4C">
      <w:pPr>
        <w:spacing w:line="360" w:lineRule="auto"/>
        <w:jc w:val="both"/>
        <w:rPr>
          <w:lang w:eastAsia="zh-CN"/>
        </w:rPr>
      </w:pPr>
    </w:p>
    <w:p w14:paraId="641CC360" w14:textId="77777777" w:rsidR="00596C4C" w:rsidRPr="006A7593" w:rsidRDefault="00596C4C" w:rsidP="00596C4C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" w:name="_Hlk88512899"/>
      <w:bookmarkStart w:id="5" w:name="_Hlk88512352"/>
      <w:bookmarkEnd w:id="2"/>
      <w:r w:rsidRPr="006A7593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6A759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1A5A9C" w:rsidRPr="006A7593">
        <w:rPr>
          <w:rFonts w:ascii="Book Antiqua" w:eastAsia="Book Antiqua" w:hAnsi="Book Antiqua" w:cs="Book Antiqua"/>
        </w:rPr>
        <w:t>Broquetas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Carrión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JA.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Past,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present,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future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virus.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  <w:i/>
          <w:iCs/>
        </w:rPr>
        <w:t>World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="001A5A9C"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="001A5A9C"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A5A9C" w:rsidRPr="006A7593">
        <w:rPr>
          <w:rFonts w:ascii="Book Antiqua" w:eastAsia="Book Antiqua" w:hAnsi="Book Antiqua" w:cs="Book Antiqua"/>
        </w:rPr>
        <w:t>2023;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D15FAD" w:rsidRPr="006A7593">
        <w:rPr>
          <w:rFonts w:ascii="Book Antiqua" w:eastAsia="Book Antiqua" w:hAnsi="Book Antiqua" w:cs="Book Antiqua"/>
        </w:rPr>
        <w:t xml:space="preserve">29(25): </w:t>
      </w:r>
      <w:r w:rsidRPr="006A7593">
        <w:rPr>
          <w:rFonts w:ascii="Book Antiqua" w:eastAsia="Book Antiqua" w:hAnsi="Book Antiqua" w:cs="Book Antiqua"/>
        </w:rPr>
        <w:t>3964</w:t>
      </w:r>
      <w:r w:rsidR="00D15FAD" w:rsidRPr="006A7593">
        <w:rPr>
          <w:rFonts w:ascii="Book Antiqua" w:eastAsia="Book Antiqua" w:hAnsi="Book Antiqua" w:cs="Book Antiqua"/>
        </w:rPr>
        <w:t>-</w:t>
      </w:r>
      <w:r w:rsidRPr="006A7593">
        <w:rPr>
          <w:rFonts w:ascii="Book Antiqua" w:eastAsia="Book Antiqua" w:hAnsi="Book Antiqua" w:cs="Book Antiqua"/>
        </w:rPr>
        <w:t>3983</w:t>
      </w:r>
    </w:p>
    <w:p w14:paraId="27331483" w14:textId="633C6415" w:rsidR="00596C4C" w:rsidRPr="006A7593" w:rsidRDefault="00D15FAD" w:rsidP="00596C4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  <w:b/>
          <w:bCs/>
        </w:rPr>
        <w:lastRenderedPageBreak/>
        <w:t xml:space="preserve">URL: </w:t>
      </w:r>
      <w:hyperlink r:id="rId7" w:history="1">
        <w:r w:rsidR="00596C4C" w:rsidRPr="006A7593">
          <w:rPr>
            <w:rStyle w:val="ae"/>
            <w:rFonts w:ascii="Book Antiqua" w:eastAsia="Book Antiqua" w:hAnsi="Book Antiqua" w:cs="Book Antiqua"/>
          </w:rPr>
          <w:t>https://www.wjgnet.com/1007-9327/full/v29/i25/3964.htm</w:t>
        </w:r>
      </w:hyperlink>
    </w:p>
    <w:p w14:paraId="14A4ED51" w14:textId="56697825" w:rsidR="00A77B3E" w:rsidRPr="006A7593" w:rsidRDefault="00D15FAD" w:rsidP="00596C4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</w:rPr>
        <w:t xml:space="preserve">DOI: </w:t>
      </w:r>
      <w:r w:rsidRPr="006A7593">
        <w:rPr>
          <w:rFonts w:ascii="Book Antiqua" w:eastAsia="Book Antiqua" w:hAnsi="Book Antiqua" w:cs="Book Antiqua"/>
        </w:rPr>
        <w:t>https://dx.doi.org/10.3748/wjg.v29.i25.</w:t>
      </w:r>
      <w:r w:rsidR="00596C4C" w:rsidRPr="006A7593">
        <w:rPr>
          <w:rFonts w:ascii="Book Antiqua" w:eastAsia="Book Antiqua" w:hAnsi="Book Antiqua" w:cs="Book Antiqua"/>
        </w:rPr>
        <w:t>3964</w:t>
      </w:r>
    </w:p>
    <w:p w14:paraId="1630FE71" w14:textId="77777777" w:rsidR="00A77B3E" w:rsidRPr="006A7593" w:rsidRDefault="00A77B3E">
      <w:pPr>
        <w:spacing w:line="360" w:lineRule="auto"/>
        <w:jc w:val="both"/>
      </w:pPr>
    </w:p>
    <w:p w14:paraId="709DE97F" w14:textId="18B0048B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</w:rPr>
        <w:t>Core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Tip: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decades,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showing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good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profile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high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virological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decreasing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decompensation,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mortality.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However,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probability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necessary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indefinite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majority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insights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about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immune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knowledge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cycle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years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increased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activity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therapeutic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approaches.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focuses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past,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present,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future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</w:p>
    <w:p w14:paraId="7513B308" w14:textId="77777777" w:rsidR="00A77B3E" w:rsidRPr="006A7593" w:rsidRDefault="00A77B3E">
      <w:pPr>
        <w:spacing w:line="360" w:lineRule="auto"/>
        <w:jc w:val="both"/>
      </w:pPr>
    </w:p>
    <w:p w14:paraId="0FC82A87" w14:textId="7777777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D1430D2" w14:textId="120D7491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(HBV)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identified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1963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modern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research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history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began.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Nobel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Prize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winner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Blumberg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(1925-2011)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discovered,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60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ago,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enigmatic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A7593">
        <w:rPr>
          <w:rFonts w:ascii="Book Antiqua" w:eastAsia="Book Antiqua" w:hAnsi="Book Antiqua" w:cs="Book Antiqua"/>
          <w:color w:val="000000"/>
        </w:rPr>
        <w:t>“</w:t>
      </w:r>
      <w:r w:rsidRPr="006A7593">
        <w:rPr>
          <w:rFonts w:ascii="Book Antiqua" w:eastAsia="Book Antiqua" w:hAnsi="Book Antiqua" w:cs="Book Antiqua"/>
          <w:color w:val="000000"/>
        </w:rPr>
        <w:t>Australia</w:t>
      </w:r>
      <w:r w:rsidR="00CC6028" w:rsidRPr="006A7593">
        <w:rPr>
          <w:rFonts w:ascii="Book Antiqua" w:eastAsia="Book Antiqua" w:hAnsi="Book Antiqua" w:cs="Book Antiqua"/>
          <w:color w:val="000000"/>
        </w:rPr>
        <w:t>”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(AuAg)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later,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recognition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surface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(HBsAg)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allowed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first-time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screening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blood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donors.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marker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assessed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sensitive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analysis,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identified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deoxyribonucleic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(DNA),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antibody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against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(anti-HBc)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anti-μ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capture</w:t>
      </w:r>
      <w:r w:rsidR="009C1FD8" w:rsidRPr="006A7593">
        <w:rPr>
          <w:rFonts w:ascii="Book Antiqua" w:eastAsia="Book Antiqua" w:hAnsi="Book Antiqua" w:cs="Book Antiqua"/>
          <w:strike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technique,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vaccine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technology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5AA1AF78" w14:textId="1B9534B1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acute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(CHB)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defined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detection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least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six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months.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estimated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world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prevalence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316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million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2019,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hepatocellular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carcinoma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(HCC)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BE1642" w:rsidRPr="006A7593">
        <w:rPr>
          <w:rFonts w:ascii="Book Antiqua" w:eastAsia="Book Antiqua" w:hAnsi="Book Antiqua" w:cs="Book Antiqua"/>
          <w:color w:val="000000"/>
        </w:rPr>
        <w:t>T</w:t>
      </w:r>
      <w:r w:rsidRPr="006A7593">
        <w:rPr>
          <w:rFonts w:ascii="Book Antiqua" w:eastAsia="Book Antiqua" w:hAnsi="Book Antiqua" w:cs="Book Antiqua"/>
          <w:color w:val="000000"/>
        </w:rPr>
        <w:t>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choice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decades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administration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nucleos(t)ide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analogues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(NA)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barrier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resistance.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However,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low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probability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2250FF"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seroclearance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made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necessary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E1642" w:rsidRPr="006A7593">
        <w:rPr>
          <w:rFonts w:ascii="Book Antiqua" w:eastAsia="Book Antiqua" w:hAnsi="Book Antiqua" w:cs="Book Antiqua"/>
        </w:rPr>
        <w:t>indefinite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2250FF" w:rsidRPr="006A7593">
        <w:rPr>
          <w:rFonts w:ascii="Book Antiqua" w:eastAsia="Book Antiqua" w:hAnsi="Book Antiqua" w:cs="Book Antiqua"/>
        </w:rPr>
        <w:t>therapy.</w:t>
      </w:r>
    </w:p>
    <w:p w14:paraId="07D57DDE" w14:textId="5DE9217A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integrative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literature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review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aims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review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advances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present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future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perspectives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cure.</w:t>
      </w:r>
    </w:p>
    <w:p w14:paraId="244A5703" w14:textId="77777777" w:rsidR="00A77B3E" w:rsidRPr="006A7593" w:rsidRDefault="00A77B3E">
      <w:pPr>
        <w:spacing w:line="360" w:lineRule="auto"/>
        <w:ind w:firstLine="240"/>
        <w:jc w:val="both"/>
      </w:pPr>
    </w:p>
    <w:p w14:paraId="52F8CBC1" w14:textId="7777777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PAST</w:t>
      </w:r>
    </w:p>
    <w:p w14:paraId="2DAD97C3" w14:textId="58EE0846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Virus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detection: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“Australia”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“Dane”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particle</w:t>
      </w:r>
    </w:p>
    <w:p w14:paraId="77A3D5D9" w14:textId="2405EA74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1960s,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young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science,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techniques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diagnosis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diseases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complicated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suboptimal.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often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method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complement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fixation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reaction,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which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required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four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complex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component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mixtures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four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animal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species.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American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physician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geneticist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Blumberg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approach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1967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Blumberg’s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co-worker,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Harvey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J.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discovered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Australian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aborigines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AuAg.</w:t>
      </w:r>
    </w:p>
    <w:p w14:paraId="634FE702" w14:textId="5EC7CE5C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Dane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</w:t>
      </w:r>
      <w:r w:rsidR="00CC6028" w:rsidRPr="006A7593">
        <w:rPr>
          <w:rFonts w:ascii="Book Antiqua" w:eastAsia="Book Antiqua" w:hAnsi="Book Antiqua" w:cs="Book Antiqua"/>
          <w:color w:val="000000"/>
        </w:rPr>
        <w:t>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inspecting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AuAg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complexes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electron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microscope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identified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virus-like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particles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size.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1971,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Almeida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B37A1"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free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particles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“Dane</w:t>
      </w:r>
      <w:r w:rsidR="00CC6028" w:rsidRPr="006A7593">
        <w:rPr>
          <w:rFonts w:ascii="Book Antiqua" w:eastAsia="Book Antiqua" w:hAnsi="Book Antiqua" w:cs="Book Antiqua"/>
          <w:color w:val="000000"/>
        </w:rPr>
        <w:t>”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particle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formed</w:t>
      </w:r>
      <w:r w:rsidR="00CC6028" w:rsidRPr="006A7593">
        <w:rPr>
          <w:rFonts w:ascii="Book Antiqua" w:eastAsia="Book Antiqua" w:hAnsi="Book Antiqua" w:cs="Book Antiqua"/>
          <w:color w:val="000000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A7593">
        <w:rPr>
          <w:rFonts w:ascii="Book Antiqua" w:eastAsia="Book Antiqua" w:hAnsi="Book Antiqua" w:cs="Book Antiqua"/>
          <w:color w:val="000000"/>
        </w:rPr>
        <w:t>against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A7593">
        <w:rPr>
          <w:rFonts w:ascii="Book Antiqua" w:eastAsia="Book Antiqua" w:hAnsi="Book Antiqua" w:cs="Book Antiqua"/>
          <w:color w:val="000000"/>
        </w:rPr>
        <w:t>core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A7593">
        <w:rPr>
          <w:rFonts w:ascii="Book Antiqua" w:eastAsia="Book Antiqua" w:hAnsi="Book Antiqua" w:cs="Book Antiqua"/>
          <w:color w:val="000000"/>
        </w:rPr>
        <w:t>(HBcAg),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antibodies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(anti-HBc)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3F44C6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particle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AuAg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3F44C6"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surface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envelope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(HBsAg)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0B5E1744" w14:textId="458B1D72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Many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scientists,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Blumberg,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recognized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A7593">
        <w:rPr>
          <w:rFonts w:ascii="Book Antiqua" w:eastAsia="Book Antiqua" w:hAnsi="Book Antiqua" w:cs="Book Antiqua"/>
          <w:color w:val="000000"/>
        </w:rPr>
        <w:t>allow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disease.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Magnius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discovered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additional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marker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looking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subtypes,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(HBeAg),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which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helped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distinguish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carriers.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direct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detection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possible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time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still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cultures,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contained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nanograms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particles/mL.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197</w:t>
      </w:r>
      <w:r w:rsidR="006279E5" w:rsidRPr="006A7593">
        <w:rPr>
          <w:rFonts w:ascii="Book Antiqua" w:eastAsia="Book Antiqua" w:hAnsi="Book Antiqua" w:cs="Book Antiqua"/>
          <w:color w:val="000000"/>
        </w:rPr>
        <w:t>4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Robinson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6279E5"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279E5"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79E5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identified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polymerase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HBV-DNA.</w:t>
      </w:r>
      <w:r w:rsidR="009C1FD8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small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circular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double-stranded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covalently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closed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polyoma-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papillomaviruses</w:t>
      </w:r>
      <w:r w:rsidR="003F44C6"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3F44C6"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ability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3F44C6" w:rsidRPr="006A7593">
        <w:rPr>
          <w:rFonts w:ascii="Book Antiqua" w:eastAsia="Book Antiqua" w:hAnsi="Book Antiqua" w:cs="Book Antiqua"/>
          <w:color w:val="000000"/>
        </w:rPr>
        <w:t>HBV-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polymerase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both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similar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retroviruses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[2,8]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33AF2F85" w14:textId="7314E26C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half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century,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international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guidelines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recommended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three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markers,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characterizing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[9-11]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62BED469" w14:textId="77777777" w:rsidR="00A77B3E" w:rsidRPr="006A7593" w:rsidRDefault="00A77B3E">
      <w:pPr>
        <w:spacing w:line="360" w:lineRule="auto"/>
        <w:ind w:firstLine="240"/>
        <w:jc w:val="both"/>
      </w:pPr>
    </w:p>
    <w:p w14:paraId="4DE7AAD8" w14:textId="32343682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Hepadnaviral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life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cycle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: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journey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Dane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particle</w:t>
      </w:r>
    </w:p>
    <w:p w14:paraId="4B91ED1F" w14:textId="528DEC9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double-stranded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belongs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Hepadnaviridae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family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host’s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hepatocytes.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step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entry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transporter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sodium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taurocholate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cotransporting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polypeptide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(NTCP)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[13,14]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transported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relaxed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circular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(rcDNA)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genome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becomes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covalently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closed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circular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(cccDNA)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host-cell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repair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template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proteins.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integrated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hepatocyte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transformation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carcinogenesis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pre-genomic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(pgRNA)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packaged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reversely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transcribed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begin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also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enveloped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secreted.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HBV-integrated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encodes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three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proteins: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Large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(L),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middle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(M),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small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(S)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which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especially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capsids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enveloped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released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virions,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non-infectious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sub-viral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spherical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filamentous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particles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Pr="006A7593">
        <w:rPr>
          <w:rFonts w:ascii="Book Antiqua" w:eastAsia="Book Antiqua" w:hAnsi="Book Antiqua" w:cs="Book Antiqua"/>
          <w:color w:val="000000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empty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proteins),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virions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subviral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particles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pathogenesis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understood,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blocking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host’s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neutralizing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antibodies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(anti-HBs)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promoting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spread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[20,21]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38429122" w14:textId="77777777" w:rsidR="00A77B3E" w:rsidRPr="006A7593" w:rsidRDefault="00A77B3E">
      <w:pPr>
        <w:spacing w:line="360" w:lineRule="auto"/>
        <w:jc w:val="both"/>
      </w:pPr>
    </w:p>
    <w:p w14:paraId="6CC69B24" w14:textId="2CC5E911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Pathogenesis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phases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1A3AB375" w14:textId="107D957A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step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before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recognition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begins,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weeks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months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delay.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vigorous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suppresses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eliminates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HBV-infected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hepatocytes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resulting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acute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acute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disappears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six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months.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period,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considered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dynamic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interaction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between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host’s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system.</w:t>
      </w:r>
    </w:p>
    <w:p w14:paraId="59036140" w14:textId="18230A8F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newborns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infants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because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ineffective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anergic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defense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emerges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leads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selection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escape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mutants.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against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immunomodulatory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usually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occurs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younger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normal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tests.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characterized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normal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significant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fibrosis.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Generally,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recommended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two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guidelines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advocate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older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30-40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[9-11]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defined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elevation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transaminases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load,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induces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fibrosis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progression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recommended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(Figure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1).</w:t>
      </w:r>
    </w:p>
    <w:p w14:paraId="71B6B49B" w14:textId="77777777" w:rsidR="00A77B3E" w:rsidRPr="006A7593" w:rsidRDefault="00A77B3E">
      <w:pPr>
        <w:spacing w:line="360" w:lineRule="auto"/>
        <w:ind w:firstLine="240"/>
        <w:jc w:val="both"/>
      </w:pPr>
    </w:p>
    <w:p w14:paraId="093B8EC8" w14:textId="29BA691F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treatments: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Interferon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nucleos(t)ide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analogues</w:t>
      </w:r>
    </w:p>
    <w:p w14:paraId="4CE1347F" w14:textId="0DC415AB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1976,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William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Robinson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Thomas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Merigan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reported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interferon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alpha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suppressed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suffering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further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minority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while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breakthrough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relapse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(EoT).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Conventional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interferon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alpha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1992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Wong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demonstrated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33%.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very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limited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15%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25%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sustained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biochemical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2005,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pegylated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interferon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(Peg-IFN)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replaced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standard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pharmacokinetics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prolonged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half-life.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sustained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(HBeAg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6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30%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7%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disadvantages,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variability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unfavorable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safety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profile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significant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number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ineligible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unwilling.</w:t>
      </w:r>
    </w:p>
    <w:p w14:paraId="76A7BB8F" w14:textId="5432632E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1995,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Benhamou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reported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HIV-co-infected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lamivudine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(LAM)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(Figure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Jules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Dienstag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safety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HBV-mono</w:t>
      </w:r>
      <w:r w:rsidR="0063785A">
        <w:rPr>
          <w:rFonts w:ascii="Book Antiqua" w:eastAsia="Book Antiqua" w:hAnsi="Book Antiqua" w:cs="Book Antiqua"/>
          <w:color w:val="000000"/>
        </w:rPr>
        <w:t>-</w:t>
      </w:r>
      <w:r w:rsidRPr="006A7593">
        <w:rPr>
          <w:rFonts w:ascii="Book Antiqua" w:eastAsia="Book Antiqua" w:hAnsi="Book Antiqua" w:cs="Book Antiqua"/>
          <w:color w:val="000000"/>
        </w:rPr>
        <w:t>infected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tolerated,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resistance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75%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LAM-treated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resistant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variants.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acyclic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nucleotide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analog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adefovir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(ADV)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LAM-resistant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Unfortunately,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relatively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rapidly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replaced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tenofovir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(TDF).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very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similar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guanosine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analog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entecavir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(ETV)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originally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against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herpes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simplex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virus.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1997,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strong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against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HepG2.2.15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line.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2001,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LAM-resistant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2005,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LAM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2006,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synthetic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thymidine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nucleoside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analogue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telbivudine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(LdT)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relatively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rapidly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replaced.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2015,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prodrug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tenofovir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alafenamide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(TAF),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older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eGFR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mineral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density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[30,31]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1BD34B79" w14:textId="77777777" w:rsidR="00A77B3E" w:rsidRPr="006A7593" w:rsidRDefault="00A77B3E">
      <w:pPr>
        <w:spacing w:line="360" w:lineRule="auto"/>
        <w:ind w:firstLine="240"/>
        <w:jc w:val="both"/>
      </w:pPr>
    </w:p>
    <w:p w14:paraId="14031170" w14:textId="486FC6B3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</w:t>
      </w:r>
    </w:p>
    <w:p w14:paraId="54C0BD2B" w14:textId="3C32ADAD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safety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profile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very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good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HBV-infected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disease,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transplants,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extrahepatic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manifestations,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acute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exacerbation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[32,33]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inhibits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polymerase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time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administration.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A7593">
        <w:rPr>
          <w:rFonts w:ascii="Book Antiqua" w:eastAsia="Book Antiqua" w:hAnsi="Book Antiqua" w:cs="Book Antiqua"/>
          <w:color w:val="000000"/>
        </w:rPr>
        <w:t>Long-</w:t>
      </w:r>
      <w:r w:rsidR="000E3E74" w:rsidRPr="00290F6C">
        <w:rPr>
          <w:rFonts w:ascii="Book Antiqua" w:eastAsia="Book Antiqua" w:hAnsi="Book Antiqua" w:cs="Book Antiqua"/>
          <w:color w:val="000000"/>
        </w:rPr>
        <w:t>t</w:t>
      </w:r>
      <w:r w:rsidR="000E3E74">
        <w:rPr>
          <w:rFonts w:ascii="Book Antiqua" w:eastAsia="Book Antiqua" w:hAnsi="Book Antiqua" w:cs="Book Antiqua"/>
          <w:color w:val="000000"/>
        </w:rPr>
        <w:t>erm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produce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mineral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density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tubular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dysfunction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0125FF67" w14:textId="6612C7FB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metabolism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adjusted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estimated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glomerular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filtration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(eGFR)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mL/min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1.73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multicenter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retrospective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6189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2482)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3707)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worsening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renal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(adjusted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1.26,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95%CI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1.11-1.43)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systematic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review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meta-analysis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affect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A7593">
        <w:rPr>
          <w:rFonts w:ascii="Book Antiqua" w:eastAsia="Book Antiqua" w:hAnsi="Book Antiqua" w:cs="Book Antiqua"/>
          <w:color w:val="000000"/>
        </w:rPr>
        <w:t>had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8F5C50" w:rsidRPr="006A7593">
        <w:rPr>
          <w:rFonts w:ascii="Book Antiqua" w:eastAsia="Book Antiqua" w:hAnsi="Book Antiqua" w:cs="Book Antiqua"/>
          <w:color w:val="000000"/>
        </w:rPr>
        <w:t>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damage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hypophosphatemia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mineral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density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suspected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tubular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phosphate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metabolism,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implications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reversible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density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previously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switching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TAF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very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eGFR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(below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15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mL/min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1.73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6A7593">
        <w:rPr>
          <w:rFonts w:ascii="Book Antiqua" w:eastAsia="Book Antiqua" w:hAnsi="Book Antiqua" w:cs="Book Antiqua"/>
          <w:color w:val="000000"/>
        </w:rPr>
        <w:t>).</w:t>
      </w:r>
    </w:p>
    <w:p w14:paraId="29C3D1A9" w14:textId="6EA0A72B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Even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scarce,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usually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young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decades.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questions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gaining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interest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years.</w:t>
      </w:r>
    </w:p>
    <w:p w14:paraId="584EFF8F" w14:textId="77777777" w:rsidR="00A77B3E" w:rsidRPr="006A7593" w:rsidRDefault="00A77B3E">
      <w:pPr>
        <w:spacing w:line="360" w:lineRule="auto"/>
        <w:ind w:firstLine="240"/>
        <w:jc w:val="both"/>
      </w:pPr>
    </w:p>
    <w:p w14:paraId="69AEFB02" w14:textId="7777777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</w:t>
      </w:r>
    </w:p>
    <w:p w14:paraId="78E06D04" w14:textId="50F533C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Monitoring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infection: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Quantification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</w:p>
    <w:p w14:paraId="54C324DE" w14:textId="599156D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Classically,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three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markers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characterize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(1)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qualitative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(2)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(3)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normal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alanine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aminotransferase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(ALT).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biomarkers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needed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monitor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A7593">
        <w:rPr>
          <w:rFonts w:ascii="Book Antiqua" w:eastAsia="Book Antiqua" w:hAnsi="Book Antiqua" w:cs="Book Antiqua"/>
          <w:color w:val="000000"/>
        </w:rPr>
        <w:t>activity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quantified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extensively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biomarkers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because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negativization,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spontaneously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good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prognosis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very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(around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[39-41]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take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decades,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long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life</w:t>
      </w:r>
      <w:r w:rsidRPr="006A7593">
        <w:rPr>
          <w:rFonts w:ascii="Book Antiqua" w:eastAsia="Book Antiqua" w:hAnsi="Book Antiqua" w:cs="Book Antiqua"/>
          <w:color w:val="000000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[42,43]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faster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larger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[41,43]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(below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Caucasian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predictors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[44-47]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5D6A4093" w14:textId="77777777" w:rsidR="00A77B3E" w:rsidRPr="006A7593" w:rsidRDefault="00A77B3E">
      <w:pPr>
        <w:spacing w:line="360" w:lineRule="auto"/>
        <w:jc w:val="both"/>
      </w:pPr>
    </w:p>
    <w:p w14:paraId="503C1EC5" w14:textId="4B90CFAB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Efficacy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2D753D77" w14:textId="4451F8C5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classified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(LAM,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LdT)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(ETV,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TAF)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barrier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resistance.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international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guidelines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recommend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barrier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resistance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prevent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progression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disease,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transplantation,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survival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9-11]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05C3C62A" w14:textId="1F10546C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suppression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normally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normalization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transaminases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(biochemical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survival.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presence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[9-11]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Indications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patients’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generally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three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criteria: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severity,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units,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9-11]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4295FB1F" w14:textId="7E81178D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induce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seroconversion,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leading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control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[9-11]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demonstrated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cumulative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probability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99%,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53%,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1.4%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Similarly,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demonstrated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52%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4.9%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0ECFA124" w14:textId="67A73913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5-year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cumulative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probability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96%,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although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4.6%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registry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100%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83%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biochemical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3.4%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succeeded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4E65A37D" w14:textId="2C0975CF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Similar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described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2C3DE234" w14:textId="0722CE15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controlling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histological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elastographic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improvement.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paired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biopsies,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57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ETV</w:t>
      </w:r>
      <w:r w:rsidRPr="006A759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[49]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(decrease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points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Knodell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necroinflammatory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score)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96%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improvement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(decrease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Ishak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score)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88%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TDF</w:t>
      </w:r>
      <w:r w:rsidRPr="006A759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[50]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348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paired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biopsies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(at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240),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87%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51%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(decrease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Ishak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score).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baseline,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74%</w:t>
      </w:r>
      <w:r w:rsidR="009C1FD8" w:rsidRPr="006A7593">
        <w:rPr>
          <w:rFonts w:ascii="Book Antiqua" w:eastAsia="Book Antiqua" w:hAnsi="Book Antiqua" w:cs="Book Antiqua"/>
          <w:strike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regression.</w:t>
      </w:r>
    </w:p>
    <w:p w14:paraId="5D1BBF07" w14:textId="4B1186B2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stiffness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measurement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(LSM)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described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initiation,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faster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necroinflammatory</w:t>
      </w:r>
      <w:r w:rsidR="000E3E74">
        <w:rPr>
          <w:rFonts w:ascii="Book Antiqua" w:eastAsia="Book Antiqua" w:hAnsi="Book Antiqua" w:cs="Book Antiqua"/>
          <w:color w:val="000000"/>
        </w:rPr>
        <w:t xml:space="preserve"> activity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6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following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fibrosis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[52,53]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0C7C5D17" w14:textId="02395764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outcome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survival.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ETV-treated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demonstrated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liver-related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complications,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mortality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54,55]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Similarly,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multicenter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TDF-treated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developing,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transplantation</w:t>
      </w:r>
      <w:r w:rsidR="00404C9F" w:rsidRPr="006A7593">
        <w:rPr>
          <w:rFonts w:ascii="Book Antiqua" w:eastAsia="Book Antiqua" w:hAnsi="Book Antiqua" w:cs="Book Antiqua"/>
          <w:color w:val="000000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death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still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danger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high-risk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stratified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scores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REACH-B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PAGE-B,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continue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surveillance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1A0C0443" w14:textId="6CDA3C6A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debate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about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two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data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significantly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Chinese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29350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differences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factors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between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groups: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TDF-treated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younger,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frequently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females,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diabetes.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Thus,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Similarly,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meta-analysis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individual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data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42939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6979)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35960)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monotherapy,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especially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older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≥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50,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males,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non-diabetic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subgroups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contrast,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failed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demonstrate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[61,62]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large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1935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Caucasian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PAGE-B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cohort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did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find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differences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5-year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cumulative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between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(5.4%)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(6.0%)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median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follow-up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7.5</w:t>
      </w:r>
      <w:r w:rsidR="009C1FD8" w:rsidRPr="006A7593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years</w:t>
      </w:r>
      <w:r w:rsidRPr="006A7593">
        <w:rPr>
          <w:rStyle w:val="identifier"/>
          <w:rFonts w:ascii="Book Antiqua" w:eastAsia="Book Antiqua" w:hAnsi="Book Antiqua" w:cs="Book Antiqua"/>
          <w:color w:val="000000"/>
          <w:szCs w:val="30"/>
          <w:vertAlign w:val="superscript"/>
        </w:rPr>
        <w:t>[62]</w:t>
      </w:r>
      <w:r w:rsidRPr="006A7593">
        <w:rPr>
          <w:rStyle w:val="identifier"/>
          <w:rFonts w:ascii="Book Antiqua" w:eastAsia="Book Antiqua" w:hAnsi="Book Antiqua" w:cs="Book Antiqua"/>
          <w:color w:val="000000"/>
        </w:rPr>
        <w:t>.</w:t>
      </w:r>
    </w:p>
    <w:p w14:paraId="5A0C4E10" w14:textId="77777777" w:rsidR="00A77B3E" w:rsidRPr="006A7593" w:rsidRDefault="00A77B3E">
      <w:pPr>
        <w:spacing w:line="360" w:lineRule="auto"/>
        <w:ind w:firstLine="240"/>
        <w:jc w:val="both"/>
      </w:pPr>
    </w:p>
    <w:p w14:paraId="251B9FD8" w14:textId="6412059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functional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cure</w:t>
      </w:r>
    </w:p>
    <w:p w14:paraId="2FCFE7C1" w14:textId="2E3EDE43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“functional”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defined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seroconversion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antibody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against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(anti-HBs),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considered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optimal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goal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[10,38]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third-generation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barrier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resistance,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biochemical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anecdotic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[63,64]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summarizes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available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loss.</w:t>
      </w:r>
    </w:p>
    <w:p w14:paraId="55FA9920" w14:textId="1CCF641F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advanced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fibrosis,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survival,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minimal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1972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annual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0.38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person-years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(median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follow-up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5.6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differences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between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spontaneously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systematic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review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(1.86%)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(6.56%)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0.001).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≥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50</w:t>
      </w:r>
      <w:r w:rsidR="00404C9F" w:rsidRPr="006A7593">
        <w:rPr>
          <w:rFonts w:ascii="Book Antiqua" w:eastAsia="Book Antiqua" w:hAnsi="Book Antiqua" w:cs="Book Antiqua"/>
          <w:color w:val="000000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10-year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described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large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multicenter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cohort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4769)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2.1%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annual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0.22%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09D13B71" w14:textId="77777777" w:rsidR="00A77B3E" w:rsidRPr="006A7593" w:rsidRDefault="00A77B3E">
      <w:pPr>
        <w:spacing w:line="360" w:lineRule="auto"/>
        <w:ind w:firstLine="240"/>
        <w:jc w:val="both"/>
      </w:pPr>
    </w:p>
    <w:p w14:paraId="3AE21739" w14:textId="2AA75D52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Rules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consider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before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withdrawal</w:t>
      </w:r>
    </w:p>
    <w:p w14:paraId="0EA1AFE4" w14:textId="04D1D6E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International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guidelines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scientific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societies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recommend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non-cirrhotic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seroconversion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consolidation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-11]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non-cirrhotic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matter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debate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[39-43,67]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6BE56A8F" w14:textId="583DA0FA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lastRenderedPageBreak/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APASL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guideline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possibility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least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documented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three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separate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occasions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6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apart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approach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driven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economics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reimbursement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policies.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Despite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A7593">
        <w:rPr>
          <w:rFonts w:ascii="Book Antiqua" w:eastAsia="Book Antiqua" w:hAnsi="Book Antiqua" w:cs="Book Antiqua"/>
          <w:color w:val="000000"/>
        </w:rPr>
        <w:t>this</w:t>
      </w:r>
      <w:r w:rsidRPr="006A7593">
        <w:rPr>
          <w:rFonts w:ascii="Book Antiqua" w:eastAsia="Book Antiqua" w:hAnsi="Book Antiqua" w:cs="Book Antiqua"/>
          <w:color w:val="000000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2012,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240FB" w:rsidRPr="006A7593">
        <w:rPr>
          <w:rFonts w:ascii="Book Antiqua" w:eastAsia="Book Antiqua" w:hAnsi="Book Antiqua" w:cs="Book Antiqua"/>
          <w:color w:val="000000"/>
        </w:rPr>
        <w:t>Hadziyannis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[69]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reported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33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Caucasian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stopping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(39%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5.5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2017,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randomized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controlled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FINITE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confirmed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strategy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stopping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continuing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(19%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0%)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2017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EASL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guideline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introduced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possibility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non-cirrhotic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suppression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strategy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Caucasians.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distribution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HBV-genotypes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(especially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genotype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advanced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disease,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explain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dissimilar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[45,71-73]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5B35DAA5" w14:textId="58E4B65B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points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considered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before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stopping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selection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candidates.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initial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stopping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proposed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suppression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[9,10]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successful,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silenced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[74]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Additionally,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reported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suppression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CD8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+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restore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capacity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control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decreasing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killing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HBV-specific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cytokines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[44,75-77]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restoration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exert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control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large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proportion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inactive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carriers.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Moreover,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recurrence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represent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trigger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[78]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induce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accelerated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beneficial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eradicate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residual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cccDNA-containing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hepatocytes.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Our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group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observed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faster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cessation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on-treatment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3C11DEF5" w14:textId="28C295EE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lastRenderedPageBreak/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core-related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(HBcrAg)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surrogate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markers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select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outcome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cessation.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also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on-treatment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kinetics</w:t>
      </w:r>
      <w:r w:rsidR="009C1FD8" w:rsidRPr="006A7593">
        <w:rPr>
          <w:rFonts w:ascii="Book Antiqua" w:eastAsia="Book Antiqua" w:hAnsi="Book Antiqua" w:cs="Book Antiqua"/>
          <w:strike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good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predictors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[79,80]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performed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our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group</w:t>
      </w:r>
      <w:r w:rsidR="00AE7EBD" w:rsidRPr="006A7593">
        <w:rPr>
          <w:rFonts w:ascii="Book Antiqua" w:eastAsia="Book Antiqua" w:hAnsi="Book Antiqua" w:cs="Book Antiqua"/>
          <w:color w:val="000000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on-treatment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kinetics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accuracy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predict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&gt;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probability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50%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discontinuation.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large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multicenter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multiethnic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1552),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RETRACT-B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cut-offs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Caucasian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Caucasian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4-year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probability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33%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41%,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respectively</w:t>
      </w:r>
      <w:r w:rsidR="0096083D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Regarding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HBcrAg,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6A7593">
        <w:rPr>
          <w:rFonts w:ascii="Book Antiqua" w:eastAsia="Book Antiqua" w:hAnsi="Book Antiqua" w:cs="Book Antiqua"/>
          <w:color w:val="000000"/>
        </w:rPr>
        <w:t>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CREATE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572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ower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EoT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U/mL)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virological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(65%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12%,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respectively).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group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confirmed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1216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non-Asian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ethnicity,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highest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14A32FE1" w14:textId="73725EB5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Another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point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define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standardized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re-treatment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criteria.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authors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recommend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delaying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retreatment,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“beneficial”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flare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[82]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authors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re-treatment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initiated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significant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regardless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parameters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fulminant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reported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[83]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summarizes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3D003D" w:rsidRPr="006A7593">
        <w:rPr>
          <w:rFonts w:ascii="Book Antiqua" w:eastAsia="Book Antiqua" w:hAnsi="Book Antiqua" w:cs="Book Antiqua"/>
          <w:color w:val="000000"/>
          <w:vertAlign w:val="superscript"/>
        </w:rPr>
        <w:t>[84-93]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53707A2B" w14:textId="77777777" w:rsidR="00A77B3E" w:rsidRPr="006A7593" w:rsidRDefault="00A77B3E">
      <w:pPr>
        <w:spacing w:line="360" w:lineRule="auto"/>
        <w:ind w:firstLine="240"/>
        <w:jc w:val="both"/>
      </w:pPr>
    </w:p>
    <w:p w14:paraId="1D0B9CA3" w14:textId="49D95724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Risks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withdrawal</w:t>
      </w:r>
    </w:p>
    <w:p w14:paraId="6184EAF6" w14:textId="5934B040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safety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discussion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because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flare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cessation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induce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early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initiation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inhibit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beneficial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flare-associated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activation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[47,72,94,95]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Taiwan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691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(44.6%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relapse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60.6%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(7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died)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78015F" w:rsidRPr="006A7593">
        <w:rPr>
          <w:rFonts w:ascii="Book Antiqua" w:eastAsia="Book Antiqua" w:hAnsi="Book Antiqua" w:cs="Book Antiqua"/>
          <w:color w:val="000000"/>
        </w:rPr>
        <w:t>Similarly,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RETRACT-B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1.22%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(4.3%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0.8%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0.01)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[47</w:t>
      </w:r>
      <w:r w:rsidRPr="006A7593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7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(0.45%)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(0.25%)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B-associated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flare.</w:t>
      </w:r>
    </w:p>
    <w:p w14:paraId="4336BFBA" w14:textId="7E9344C6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Another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issue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Jeng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[72]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308)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383).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054054"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color w:val="000000"/>
        </w:rPr>
        <w:t>0.15%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</w:t>
      </w:r>
      <w:r w:rsidR="00B95D66" w:rsidRPr="006A7593">
        <w:rPr>
          <w:rFonts w:ascii="Book Antiqua" w:eastAsia="Book Antiqua" w:hAnsi="Book Antiqua" w:cs="Book Antiqua"/>
          <w:color w:val="000000"/>
        </w:rPr>
        <w:t>.00</w:t>
      </w:r>
      <w:r w:rsidRPr="006A7593">
        <w:rPr>
          <w:rFonts w:ascii="Book Antiqua" w:eastAsia="Book Antiqua" w:hAnsi="Book Antiqua" w:cs="Book Antiqua"/>
          <w:color w:val="000000"/>
        </w:rPr>
        <w:t>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non-cirrhotic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054054" w:rsidRPr="006A759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1.3</w:t>
      </w:r>
      <w:r w:rsidR="00357BFB" w:rsidRPr="006A7593">
        <w:rPr>
          <w:rFonts w:ascii="Book Antiqua" w:eastAsia="Book Antiqua" w:hAnsi="Book Antiqua" w:cs="Book Antiqua"/>
          <w:color w:val="000000"/>
        </w:rPr>
        <w:t>0</w:t>
      </w:r>
      <w:r w:rsidRPr="006A7593">
        <w:rPr>
          <w:rFonts w:ascii="Book Antiqua" w:eastAsia="Book Antiqua" w:hAnsi="Book Antiqua" w:cs="Book Antiqua"/>
          <w:color w:val="000000"/>
        </w:rPr>
        <w:t>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</w:t>
      </w:r>
      <w:r w:rsidR="00357BFB" w:rsidRPr="006A7593">
        <w:rPr>
          <w:rFonts w:ascii="Book Antiqua" w:eastAsia="Book Antiqua" w:hAnsi="Book Antiqua" w:cs="Book Antiqua"/>
          <w:color w:val="000000"/>
        </w:rPr>
        <w:t>.00</w:t>
      </w:r>
      <w:r w:rsidRPr="006A7593">
        <w:rPr>
          <w:rFonts w:ascii="Book Antiqua" w:eastAsia="Book Antiqua" w:hAnsi="Book Antiqua" w:cs="Book Antiqua"/>
          <w:color w:val="000000"/>
        </w:rPr>
        <w:t>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054054" w:rsidRPr="006A7593">
        <w:rPr>
          <w:rFonts w:ascii="Book Antiqua" w:eastAsia="Book Antiqua" w:hAnsi="Book Antiqua" w:cs="Book Antiqua"/>
          <w:color w:val="000000"/>
        </w:rPr>
        <w:t>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054054"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627A2B" w:rsidRPr="006A7593">
        <w:rPr>
          <w:rFonts w:ascii="Book Antiqua" w:eastAsia="Book Antiqua" w:hAnsi="Book Antiqua" w:cs="Book Antiqua"/>
          <w:color w:val="000000"/>
        </w:rPr>
        <w:t>similar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054054"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627A2B"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(0.08%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0.3</w:t>
      </w:r>
      <w:r w:rsidR="00173271" w:rsidRPr="006A7593">
        <w:rPr>
          <w:rFonts w:ascii="Book Antiqua" w:eastAsia="Book Antiqua" w:hAnsi="Book Antiqua" w:cs="Book Antiqua"/>
          <w:color w:val="000000"/>
        </w:rPr>
        <w:t>0</w:t>
      </w:r>
      <w:r w:rsidRPr="006A7593">
        <w:rPr>
          <w:rFonts w:ascii="Book Antiqua" w:eastAsia="Book Antiqua" w:hAnsi="Book Antiqua" w:cs="Book Antiqua"/>
          <w:color w:val="000000"/>
        </w:rPr>
        <w:t>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A7593">
        <w:rPr>
          <w:rFonts w:ascii="Book Antiqua" w:eastAsia="Book Antiqua" w:hAnsi="Book Antiqua" w:cs="Book Antiqua"/>
          <w:color w:val="000000"/>
        </w:rPr>
        <w:t>non-cirrhotic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A26B85" w:rsidRPr="006A759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1.5</w:t>
      </w:r>
      <w:r w:rsidR="00173271" w:rsidRPr="006A7593">
        <w:rPr>
          <w:rFonts w:ascii="Book Antiqua" w:eastAsia="Book Antiqua" w:hAnsi="Book Antiqua" w:cs="Book Antiqua"/>
          <w:color w:val="000000"/>
        </w:rPr>
        <w:t>0</w:t>
      </w:r>
      <w:r w:rsidRPr="006A7593">
        <w:rPr>
          <w:rFonts w:ascii="Book Antiqua" w:eastAsia="Book Antiqua" w:hAnsi="Book Antiqua" w:cs="Book Antiqua"/>
          <w:color w:val="000000"/>
        </w:rPr>
        <w:t>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3.4</w:t>
      </w:r>
      <w:r w:rsidR="00173271" w:rsidRPr="006A7593">
        <w:rPr>
          <w:rFonts w:ascii="Book Antiqua" w:eastAsia="Book Antiqua" w:hAnsi="Book Antiqua" w:cs="Book Antiqua"/>
          <w:color w:val="000000"/>
        </w:rPr>
        <w:t>0</w:t>
      </w:r>
      <w:r w:rsidRPr="006A7593">
        <w:rPr>
          <w:rFonts w:ascii="Book Antiqua" w:eastAsia="Book Antiqua" w:hAnsi="Book Antiqua" w:cs="Book Antiqua"/>
          <w:color w:val="000000"/>
        </w:rPr>
        <w:t>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Similarly,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RETRACT-B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2.2%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0.7%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seem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tolerable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circulating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follow-up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post-NA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elucidated.</w:t>
      </w:r>
    </w:p>
    <w:p w14:paraId="26660CAD" w14:textId="0E8FD049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cessation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balanced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safety.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performed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centers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expertise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management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adherent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willing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stricter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control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carefully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discussing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[74,96,97]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340114FA" w14:textId="77777777" w:rsidR="00A77B3E" w:rsidRPr="006A7593" w:rsidRDefault="00A77B3E">
      <w:pPr>
        <w:spacing w:line="360" w:lineRule="auto"/>
        <w:ind w:firstLine="240"/>
        <w:jc w:val="both"/>
      </w:pPr>
    </w:p>
    <w:p w14:paraId="288E8347" w14:textId="7777777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</w:p>
    <w:p w14:paraId="7E4F0711" w14:textId="26CB80A1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need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expanding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8CF13EF" w14:textId="2ACA015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contradictory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meet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strict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criteria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hand,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two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retrospective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0E3E74">
        <w:rPr>
          <w:rFonts w:ascii="Book Antiqua" w:eastAsia="Book Antiqua" w:hAnsi="Book Antiqua" w:cs="Book Antiqua"/>
          <w:color w:val="000000"/>
        </w:rPr>
        <w:t>HBV-</w:t>
      </w:r>
      <w:r w:rsidR="000E3E74" w:rsidRPr="00290F6C">
        <w:rPr>
          <w:rFonts w:ascii="Book Antiqua" w:eastAsia="Book Antiqua" w:hAnsi="Book Antiqua" w:cs="Book Antiqua"/>
          <w:color w:val="000000"/>
        </w:rPr>
        <w:t>infect</w:t>
      </w:r>
      <w:r w:rsidR="000E3E74">
        <w:rPr>
          <w:rFonts w:ascii="Book Antiqua" w:eastAsia="Book Antiqua" w:hAnsi="Book Antiqua" w:cs="Book Antiqua"/>
          <w:color w:val="000000"/>
        </w:rPr>
        <w:t>ed</w:t>
      </w:r>
      <w:r w:rsidR="000E3E74" w:rsidRPr="00290F6C">
        <w:rPr>
          <w:rFonts w:ascii="Book Antiqua" w:eastAsia="Book Antiqua" w:hAnsi="Book Antiqua" w:cs="Book Antiqua"/>
          <w:color w:val="000000"/>
        </w:rPr>
        <w:t xml:space="preserve"> 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Korea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controls,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benefit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starting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earlier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[98,99]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Similarly,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“minimally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active”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carriers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9.9;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95%CI,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1.239-76.923;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0.031)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inactive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carriers</w:t>
      </w:r>
      <w:r w:rsidR="0096083D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&gt;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kPa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7B3C7BEE" w14:textId="1017DC23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hand,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European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demonstrated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significant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benefits.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Italy,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normal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benign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course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follow-up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Caucasian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(15%)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(6.3%)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normal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“grey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zone”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40-80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U/L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2000-20000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U/L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40-80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U/L)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median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follow-up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8.2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[103]</w:t>
      </w:r>
      <w:r w:rsidR="0096083D" w:rsidRPr="006A7593">
        <w:rPr>
          <w:rFonts w:ascii="Book Antiqua" w:eastAsia="Book Antiqua" w:hAnsi="Book Antiqua" w:cs="Book Antiqua"/>
          <w:color w:val="000000"/>
          <w:szCs w:val="3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United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indications,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according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AASLD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guidelines,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twice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risk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and/or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[104]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5A6B5DEF" w14:textId="5D6920F1" w:rsidR="00A77B3E" w:rsidRPr="006A7593" w:rsidRDefault="001A5A9C">
      <w:pPr>
        <w:spacing w:line="360" w:lineRule="auto"/>
        <w:ind w:firstLine="360"/>
        <w:jc w:val="both"/>
      </w:pPr>
      <w:r w:rsidRPr="006A7593">
        <w:rPr>
          <w:rFonts w:ascii="Book Antiqua" w:eastAsia="Book Antiqua" w:hAnsi="Book Antiqua" w:cs="Book Antiqua"/>
          <w:color w:val="000000"/>
        </w:rPr>
        <w:t>Simplifying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indications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initiation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cost-effective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60650C"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60650C"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survival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improvement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[105]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plausible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expanded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coming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Elimination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Goals,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Pr="006A759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[106]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3FF790E" w14:textId="77777777" w:rsidR="00A77B3E" w:rsidRPr="006A7593" w:rsidRDefault="00A77B3E" w:rsidP="009C1FD8">
      <w:pPr>
        <w:spacing w:line="360" w:lineRule="auto"/>
        <w:jc w:val="both"/>
      </w:pPr>
    </w:p>
    <w:p w14:paraId="5AD4091E" w14:textId="38A6C2CC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monitor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136EA77B" w14:textId="30E294A6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hepatocytes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perpetuates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detection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measurement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precise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tool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recognize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eradication.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measured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biopsy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samples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non-standardized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semi-automated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techniques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effort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identify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biomarkers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surrogate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markers.</w:t>
      </w:r>
    </w:p>
    <w:p w14:paraId="171BDC86" w14:textId="2521931F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core-related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(HBcrAg)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interesting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biomarker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composed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60650C"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(HBcAg),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22-KDa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pre-core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(p22cr)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components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reflecting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detected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automated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chemiluminescence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techniques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specific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monoclonal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antibodies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limited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sensitivity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3.0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U/mL.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kinetics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analyzed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cohort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222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(132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[109]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0.244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U/mL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differences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found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between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ETV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[109,110]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hand,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aminotransferase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flares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cessation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limitations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sensitivity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long-treatment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period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great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proportion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ultrasensitive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assay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described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sensitivity,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further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needed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consider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practice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22E7B50F" w14:textId="14B39E71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marker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packaged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nucleocapsids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serves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template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reverse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detected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samples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spliced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variants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marker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intrahepatic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[114]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usually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quantified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in-house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assays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commercial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tests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available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routine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practice.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reverse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blocked,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detected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useful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monitor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NA-treated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[115,116]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initiation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1.46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Logs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week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1.77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Logs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week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96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hand,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wk</w:t>
      </w:r>
      <w:r w:rsidR="007856D5">
        <w:rPr>
          <w:rFonts w:ascii="Book Antiqua" w:eastAsia="Book Antiqua" w:hAnsi="Book Antiqua" w:cs="Book Antiqua"/>
          <w:color w:val="000000"/>
        </w:rPr>
        <w:t xml:space="preserve"> 4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initiation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correlated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(≤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follow-up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hand,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associated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relapse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withdrawal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[119]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2E19B2A7" w14:textId="65647316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recognition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composition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interesting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tool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follow</w:t>
      </w:r>
      <w:r w:rsidR="00DF3DA4">
        <w:rPr>
          <w:rFonts w:ascii="Book Antiqua" w:eastAsia="Book Antiqua" w:hAnsi="Book Antiqua" w:cs="Book Antiqua"/>
          <w:color w:val="000000"/>
        </w:rPr>
        <w:t>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because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changes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across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stages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component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S-HBs.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L-HBs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M-HBs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proportion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inactive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carrier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[120,121]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Interestingly,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L-HBs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M-HBs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proportions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prior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total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[122]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2AE77EF8" w14:textId="09897500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Nowadays,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quantitative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widely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available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biomarker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consequence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standardized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commercial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60650C" w:rsidRPr="006A7593">
        <w:rPr>
          <w:rFonts w:ascii="Book Antiqua" w:eastAsia="Book Antiqua" w:hAnsi="Book Antiqua" w:cs="Book Antiqua"/>
          <w:color w:val="000000"/>
        </w:rPr>
        <w:t>tests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also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integrated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source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representative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Moreover,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quantitative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predictive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capacity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HBrcAg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HBV-RNA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[123]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0DFEC2D1" w14:textId="725A5821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despite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potential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utility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biomarkers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monitoring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usefulness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still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established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monitoring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strategies.</w:t>
      </w:r>
    </w:p>
    <w:p w14:paraId="018493C9" w14:textId="77777777" w:rsidR="00A77B3E" w:rsidRPr="006A7593" w:rsidRDefault="00A77B3E">
      <w:pPr>
        <w:spacing w:line="360" w:lineRule="auto"/>
        <w:ind w:firstLine="240"/>
        <w:jc w:val="both"/>
      </w:pPr>
    </w:p>
    <w:p w14:paraId="562640EA" w14:textId="23B7F4FA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</w:p>
    <w:p w14:paraId="14952202" w14:textId="7B4D165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advances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novel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currently,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multitude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emerging,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individually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future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strategies.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review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summarizes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groups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evolving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sustained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3).</w:t>
      </w:r>
    </w:p>
    <w:p w14:paraId="3846733B" w14:textId="77BBA898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Several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II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classified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two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groups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according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action: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(1)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targeting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steps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life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cycle;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(2)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immunomodulators.</w:t>
      </w:r>
    </w:p>
    <w:p w14:paraId="01BF635F" w14:textId="77777777" w:rsidR="00A77B3E" w:rsidRPr="006A7593" w:rsidRDefault="00A77B3E">
      <w:pPr>
        <w:spacing w:line="360" w:lineRule="auto"/>
        <w:ind w:firstLine="240"/>
        <w:jc w:val="both"/>
      </w:pPr>
    </w:p>
    <w:p w14:paraId="2653EB2F" w14:textId="0A1C6F41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targeting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life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cycle</w:t>
      </w:r>
    </w:p>
    <w:p w14:paraId="7C724257" w14:textId="795A2F4D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lastRenderedPageBreak/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targeting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steps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life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cycle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summarized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according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7A164F" w:rsidRPr="006A7593">
        <w:rPr>
          <w:rFonts w:ascii="Book Antiqua" w:eastAsia="Book Antiqua" w:hAnsi="Book Antiqua" w:cs="Book Antiqua"/>
          <w:color w:val="000000"/>
        </w:rPr>
        <w:t>their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class,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action</w:t>
      </w:r>
      <w:r w:rsidR="007A164F" w:rsidRPr="006A7593">
        <w:rPr>
          <w:rFonts w:ascii="Book Antiqua" w:eastAsia="Book Antiqua" w:hAnsi="Book Antiqua" w:cs="Book Antiqua"/>
          <w:color w:val="000000"/>
        </w:rPr>
        <w:t>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type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</w:t>
      </w:r>
      <w:r w:rsidR="003D003D" w:rsidRPr="006A7593">
        <w:rPr>
          <w:rFonts w:ascii="Book Antiqua" w:eastAsia="Book Antiqua" w:hAnsi="Book Antiqua" w:cs="Book Antiqua"/>
          <w:color w:val="000000"/>
          <w:vertAlign w:val="superscript"/>
        </w:rPr>
        <w:t>[124-143]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4667F366" w14:textId="77777777" w:rsidR="00A77B3E" w:rsidRPr="006A7593" w:rsidRDefault="00A77B3E">
      <w:pPr>
        <w:spacing w:line="360" w:lineRule="auto"/>
        <w:jc w:val="both"/>
      </w:pPr>
    </w:p>
    <w:p w14:paraId="1CF16A32" w14:textId="395A7AD0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entry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7483C758" w14:textId="2C4E95DA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entry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inhibitors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naïve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hepatocytes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directly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target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identification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liver-specific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bile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transporter,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NTCP,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allowed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exploring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therapeutics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block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entry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reduce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spread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[144]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Bulevirtide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consists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preS1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large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surface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protein,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which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inhibits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NTCP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prevents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entry.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7856D5" w:rsidRPr="00290F6C">
        <w:rPr>
          <w:rFonts w:ascii="Book Antiqua" w:eastAsia="Book Antiqua" w:hAnsi="Book Antiqua" w:cs="Book Antiqua"/>
          <w:color w:val="000000"/>
        </w:rPr>
        <w:t>In the phase 2 study, Bulevirtide monotherapy was evaluated in patients</w:t>
      </w:r>
      <w:r w:rsidR="007856D5">
        <w:rPr>
          <w:rFonts w:ascii="Book Antiqua" w:eastAsia="Book Antiqua" w:hAnsi="Book Antiqua" w:cs="Book Antiqua"/>
          <w:color w:val="000000"/>
        </w:rPr>
        <w:t xml:space="preserve"> with </w:t>
      </w:r>
      <w:r w:rsidR="007856D5" w:rsidRPr="00290F6C">
        <w:rPr>
          <w:rFonts w:ascii="Book Antiqua" w:eastAsia="Book Antiqua" w:hAnsi="Book Antiqua" w:cs="Book Antiqua"/>
          <w:color w:val="000000"/>
        </w:rPr>
        <w:t xml:space="preserve">CHB </w:t>
      </w:r>
      <w:r w:rsidR="007856D5" w:rsidRPr="007856D5">
        <w:rPr>
          <w:rFonts w:ascii="Book Antiqua" w:eastAsia="Book Antiqua" w:hAnsi="Book Antiqua" w:cs="Book Antiqua"/>
          <w:color w:val="000000"/>
        </w:rPr>
        <w:t>co</w:t>
      </w:r>
      <w:r w:rsidR="007856D5">
        <w:rPr>
          <w:rFonts w:ascii="Book Antiqua" w:eastAsia="Book Antiqua" w:hAnsi="Book Antiqua" w:cs="Book Antiqua"/>
          <w:color w:val="000000"/>
        </w:rPr>
        <w:t>-</w:t>
      </w:r>
      <w:r w:rsidR="007856D5" w:rsidRPr="007856D5">
        <w:rPr>
          <w:rFonts w:ascii="Book Antiqua" w:eastAsia="Book Antiqua" w:hAnsi="Book Antiqua" w:cs="Book Antiqua"/>
          <w:color w:val="000000"/>
        </w:rPr>
        <w:t xml:space="preserve">infected with </w:t>
      </w:r>
      <w:r w:rsidR="007856D5">
        <w:rPr>
          <w:rFonts w:ascii="Book Antiqua" w:eastAsia="Book Antiqua" w:hAnsi="Book Antiqua" w:cs="Book Antiqua"/>
          <w:color w:val="000000"/>
        </w:rPr>
        <w:t xml:space="preserve">the </w:t>
      </w:r>
      <w:r w:rsidR="007856D5" w:rsidRPr="007856D5">
        <w:rPr>
          <w:rFonts w:ascii="Book Antiqua" w:eastAsia="Book Antiqua" w:hAnsi="Book Antiqua" w:cs="Book Antiqua"/>
          <w:color w:val="000000"/>
        </w:rPr>
        <w:t>hepatitis D virus (HDV)</w:t>
      </w:r>
      <w:r w:rsidR="007856D5" w:rsidRPr="008402C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7856D5" w:rsidRPr="00290F6C">
        <w:rPr>
          <w:rFonts w:ascii="Book Antiqua" w:eastAsia="Book Antiqua" w:hAnsi="Book Antiqua" w:cs="Book Antiqua"/>
          <w:color w:val="000000"/>
          <w:szCs w:val="30"/>
          <w:vertAlign w:val="superscript"/>
        </w:rPr>
        <w:t>124]</w:t>
      </w:r>
      <w:r w:rsidR="007856D5" w:rsidRPr="00290F6C">
        <w:rPr>
          <w:rFonts w:ascii="Book Antiqua" w:eastAsia="Book Antiqua" w:hAnsi="Book Antiqua" w:cs="Book Antiqua"/>
          <w:color w:val="000000"/>
        </w:rPr>
        <w:t xml:space="preserve">. HBV-DNA declined by &gt; 1 Log in 32% of patients, although HBsAg was not affected. Its low effect on HBsAg levels made most studies focus on long-term treatment for </w:t>
      </w:r>
      <w:r w:rsidR="007856D5">
        <w:rPr>
          <w:rFonts w:ascii="Book Antiqua" w:eastAsia="Book Antiqua" w:hAnsi="Book Antiqua" w:cs="Book Antiqua"/>
          <w:color w:val="000000"/>
        </w:rPr>
        <w:t>HBV/HDV</w:t>
      </w:r>
      <w:r w:rsidR="007856D5" w:rsidRPr="00290F6C">
        <w:rPr>
          <w:rFonts w:ascii="Book Antiqua" w:eastAsia="Book Antiqua" w:hAnsi="Book Antiqua" w:cs="Book Antiqua"/>
          <w:color w:val="000000"/>
        </w:rPr>
        <w:t xml:space="preserve"> co-infected patients.</w:t>
      </w:r>
    </w:p>
    <w:p w14:paraId="7E836A3C" w14:textId="77777777" w:rsidR="00A77B3E" w:rsidRPr="006A7593" w:rsidRDefault="00A77B3E">
      <w:pPr>
        <w:spacing w:line="360" w:lineRule="auto"/>
        <w:jc w:val="both"/>
      </w:pPr>
    </w:p>
    <w:p w14:paraId="128F75F6" w14:textId="373B476B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Capsid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assembly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modulators</w:t>
      </w:r>
    </w:p>
    <w:p w14:paraId="24AD2314" w14:textId="5F4299BA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primary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nucleocapsid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assembly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modulators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(CAMs)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nucleocapsid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misassemble.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interfere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capsid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formation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disrupt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encapsidation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pgRNA.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classified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two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families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(Class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Class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II).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although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negligible.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Moreover,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HBcrAg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rebounded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after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[126]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limitations,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date,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future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defined.</w:t>
      </w:r>
    </w:p>
    <w:p w14:paraId="21277F66" w14:textId="77777777" w:rsidR="00A77B3E" w:rsidRPr="006A7593" w:rsidRDefault="00A77B3E">
      <w:pPr>
        <w:spacing w:line="360" w:lineRule="auto"/>
        <w:jc w:val="both"/>
      </w:pPr>
    </w:p>
    <w:p w14:paraId="4772D808" w14:textId="7AD70ACE" w:rsidR="00451104" w:rsidRPr="00290F6C" w:rsidRDefault="00451104" w:rsidP="00451104">
      <w:pPr>
        <w:spacing w:line="360" w:lineRule="auto"/>
        <w:jc w:val="both"/>
      </w:pPr>
      <w:r w:rsidRPr="00290F6C">
        <w:rPr>
          <w:rFonts w:ascii="Book Antiqua" w:eastAsia="Book Antiqua" w:hAnsi="Book Antiqua" w:cs="Book Antiqua"/>
          <w:b/>
          <w:bCs/>
          <w:i/>
          <w:iCs/>
          <w:color w:val="000000"/>
        </w:rPr>
        <w:t>Post-transcriptional control inhibitors 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small interfering </w:t>
      </w:r>
      <w:r w:rsidRPr="00290F6C">
        <w:rPr>
          <w:rFonts w:ascii="Book Antiqua" w:eastAsia="Book Antiqua" w:hAnsi="Book Antiqua" w:cs="Book Antiqua"/>
          <w:b/>
          <w:bCs/>
          <w:i/>
          <w:iCs/>
          <w:color w:val="000000"/>
        </w:rPr>
        <w:t>RNA and antisense oligonucleotides)</w:t>
      </w:r>
    </w:p>
    <w:p w14:paraId="0F176375" w14:textId="12DC5183" w:rsidR="00A77B3E" w:rsidRPr="006A7593" w:rsidRDefault="00451104">
      <w:pPr>
        <w:spacing w:line="360" w:lineRule="auto"/>
        <w:jc w:val="both"/>
      </w:pPr>
      <w:r w:rsidRPr="00290F6C">
        <w:rPr>
          <w:rFonts w:ascii="Book Antiqua" w:eastAsia="Book Antiqua" w:hAnsi="Book Antiqua" w:cs="Book Antiqua"/>
          <w:color w:val="000000"/>
        </w:rPr>
        <w:t xml:space="preserve">RNA molecules, both pgRNA, and mRNAs encoding viral proteins, are essential for HBV replication. </w:t>
      </w:r>
      <w:r>
        <w:rPr>
          <w:rFonts w:ascii="Book Antiqua" w:eastAsia="Book Antiqua" w:hAnsi="Book Antiqua" w:cs="Book Antiqua"/>
          <w:color w:val="000000"/>
        </w:rPr>
        <w:t xml:space="preserve">Small interfering </w:t>
      </w:r>
      <w:r w:rsidRPr="00290F6C">
        <w:rPr>
          <w:rFonts w:ascii="Book Antiqua" w:eastAsia="Book Antiqua" w:hAnsi="Book Antiqua" w:cs="Book Antiqua"/>
          <w:color w:val="000000"/>
        </w:rPr>
        <w:t>RNA</w:t>
      </w:r>
      <w:r>
        <w:rPr>
          <w:rFonts w:ascii="Book Antiqua" w:eastAsia="Book Antiqua" w:hAnsi="Book Antiqua" w:cs="Book Antiqua"/>
          <w:color w:val="000000"/>
        </w:rPr>
        <w:t xml:space="preserve"> (SiRNA)</w:t>
      </w:r>
      <w:r w:rsidRPr="00290F6C">
        <w:rPr>
          <w:rFonts w:ascii="Book Antiqua" w:eastAsia="Book Antiqua" w:hAnsi="Book Antiqua" w:cs="Book Antiqua"/>
          <w:color w:val="000000"/>
        </w:rPr>
        <w:t xml:space="preserve"> is a specific post</w:t>
      </w:r>
      <w:r>
        <w:rPr>
          <w:rFonts w:ascii="Book Antiqua" w:eastAsia="Book Antiqua" w:hAnsi="Book Antiqua" w:cs="Book Antiqua"/>
          <w:color w:val="000000"/>
        </w:rPr>
        <w:t>-</w:t>
      </w:r>
      <w:r w:rsidRPr="00290F6C">
        <w:rPr>
          <w:rFonts w:ascii="Book Antiqua" w:eastAsia="Book Antiqua" w:hAnsi="Book Antiqua" w:cs="Book Antiqua"/>
          <w:color w:val="000000"/>
        </w:rPr>
        <w:t xml:space="preserve">transcriptional gene silencing mechanism that can inhibit the translation of viral proteins needed for </w:t>
      </w:r>
      <w:r w:rsidRPr="00290F6C">
        <w:rPr>
          <w:rFonts w:ascii="Book Antiqua" w:eastAsia="Book Antiqua" w:hAnsi="Book Antiqua" w:cs="Book Antiqua"/>
          <w:color w:val="000000"/>
        </w:rPr>
        <w:lastRenderedPageBreak/>
        <w:t>cccDNA formation. SiRNA is 21-23 nucleotide duplexes processed from large double-stranded RNAs</w:t>
      </w:r>
      <w:r w:rsidR="001A5A9C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[145]</w:t>
      </w:r>
      <w:r w:rsidR="001A5A9C"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Chemically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synthesized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short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duplexes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capable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gene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silencing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without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inducing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interferon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response</w:t>
      </w:r>
      <w:r w:rsidR="001A5A9C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[146]</w:t>
      </w:r>
      <w:r w:rsidR="001A5A9C"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anti-HBV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siRNA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being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tested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trials.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Available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data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promising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show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siRNAs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safe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well-tolerated</w:t>
      </w:r>
      <w:r w:rsidR="001A5A9C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[127]</w:t>
      </w:r>
      <w:r w:rsidR="001A5A9C"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siRNA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targeted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common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3’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ends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transcripts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while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markedly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reduced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HBeAg-positive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had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minimal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effects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1A5A9C" w:rsidRPr="006A7593">
        <w:rPr>
          <w:rFonts w:ascii="Book Antiqua" w:eastAsia="Book Antiqua" w:hAnsi="Book Antiqua" w:cs="Book Antiqua"/>
          <w:color w:val="000000"/>
        </w:rPr>
        <w:t>patients</w:t>
      </w:r>
      <w:r w:rsidR="001A5A9C"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[128]</w:t>
      </w:r>
      <w:r w:rsidR="001A5A9C" w:rsidRPr="006A7593">
        <w:rPr>
          <w:rFonts w:ascii="Book Antiqua" w:eastAsia="Book Antiqua" w:hAnsi="Book Antiqua" w:cs="Book Antiqua"/>
          <w:color w:val="000000"/>
        </w:rPr>
        <w:t>.</w:t>
      </w:r>
    </w:p>
    <w:p w14:paraId="0F4F46EB" w14:textId="14DE682F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Antisense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nucleotides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(ASOs)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single-stranded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(8-10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nucleotides)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target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sequences,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forming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DNA-RNA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hybrid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rapidly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degraded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cytoplasmic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ribonuclease-H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Early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ASOs,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profound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B-Clear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bepirovirsen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300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subcutaneously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weekly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24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wk,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undetectable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bepirovirsen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plus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received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bepirovirsen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alone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6F604D75" w14:textId="77777777" w:rsidR="00A77B3E" w:rsidRPr="006A7593" w:rsidRDefault="00A77B3E">
      <w:pPr>
        <w:spacing w:line="360" w:lineRule="auto"/>
        <w:ind w:firstLine="240"/>
        <w:jc w:val="both"/>
      </w:pPr>
    </w:p>
    <w:p w14:paraId="5C886229" w14:textId="761FF22B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inhibitors: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Nucleic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acid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polymers</w:t>
      </w:r>
    </w:p>
    <w:p w14:paraId="772AA505" w14:textId="3BEF4BA1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plays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abundant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blocking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potentially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prevent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virions,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number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subviral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particles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restore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HBV-specific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polymers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(NAPs)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amphipathic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phosphorothioate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oligonucleotides.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NAPs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against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inhibition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release,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although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exact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unknown,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rapid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monotherapy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accompanied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rapid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seroconversion.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NAP-based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TDF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35%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[133]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Interestingly,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integrated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lost.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90%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experienced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immune-mediated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transaminase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flares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[132]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3A09A0C3" w14:textId="77777777" w:rsidR="00A77B3E" w:rsidRPr="006A7593" w:rsidRDefault="00A77B3E">
      <w:pPr>
        <w:spacing w:line="360" w:lineRule="auto"/>
        <w:jc w:val="both"/>
      </w:pPr>
    </w:p>
    <w:p w14:paraId="1E691AB4" w14:textId="7777777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Immunomodulators</w:t>
      </w:r>
    </w:p>
    <w:p w14:paraId="41323844" w14:textId="2CAEC5F2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Immunomodulator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summarized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according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class,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type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2.</w:t>
      </w:r>
    </w:p>
    <w:p w14:paraId="3EA5707B" w14:textId="77777777" w:rsidR="00A77B3E" w:rsidRPr="006A7593" w:rsidRDefault="00A77B3E">
      <w:pPr>
        <w:spacing w:line="360" w:lineRule="auto"/>
        <w:jc w:val="both"/>
      </w:pPr>
    </w:p>
    <w:p w14:paraId="6BD8E81C" w14:textId="5983F1F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Immunomodulatory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targets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including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vaccines</w:t>
      </w:r>
    </w:p>
    <w:p w14:paraId="7B4D7AAC" w14:textId="53AE911A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impaired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barriers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eliminating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exhaustion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presence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amounts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defective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innate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persistence.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Thus,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strategies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restore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HBV-specific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immunomodulatory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clearance.</w:t>
      </w:r>
    </w:p>
    <w:p w14:paraId="6668061A" w14:textId="77777777" w:rsidR="00A77B3E" w:rsidRPr="006A7593" w:rsidRDefault="00A77B3E">
      <w:pPr>
        <w:spacing w:line="360" w:lineRule="auto"/>
        <w:jc w:val="both"/>
      </w:pPr>
    </w:p>
    <w:p w14:paraId="3FBF09C2" w14:textId="1910699C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Pegylated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nterferon: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“second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life”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old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friend</w:t>
      </w:r>
    </w:p>
    <w:p w14:paraId="1EE62A0D" w14:textId="14EC7DAD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Interferon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Despite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exact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still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unclear.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two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also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immunomodulatory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enhancing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both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innate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adaptive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immunity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[149,150]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hypothetical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immunomodulatory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synergistic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evaluated.</w:t>
      </w:r>
    </w:p>
    <w:p w14:paraId="7EE7EEA4" w14:textId="31D52414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meta-analysis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found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(RR: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4.52,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95%CI: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1.95-10.47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add</w:t>
      </w:r>
      <w:r w:rsidR="00386A40">
        <w:rPr>
          <w:rFonts w:ascii="Book Antiqua" w:eastAsia="Book Antiqua" w:hAnsi="Book Antiqua" w:cs="Book Antiqua"/>
          <w:color w:val="000000"/>
        </w:rPr>
        <w:t>ing</w:t>
      </w:r>
      <w:r w:rsidRPr="006A7593">
        <w:rPr>
          <w:rFonts w:ascii="Book Antiqua" w:eastAsia="Book Antiqua" w:hAnsi="Book Antiqua" w:cs="Book Antiqua"/>
          <w:color w:val="000000"/>
        </w:rPr>
        <w:t>-on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RR: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12.15,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3.99-37.01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9322F1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>-to)</w:t>
      </w:r>
      <w:r w:rsidR="009C1FD8" w:rsidRPr="006A75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monotherapy.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strongest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predictors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start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Our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group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also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addition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faster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larger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compared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monotherapy,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especially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IL28CC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polymorphism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[112]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IL28CC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polymorphism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described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especially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those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genotype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[152,153]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recently,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Chinese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real-world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Pr="006A7593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=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3988),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Everest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Project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(NCT04035837),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reported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addition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alpha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HBeAg-negative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4-year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33%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[89]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22BAF314" w14:textId="15D2A888" w:rsidR="00A77B3E" w:rsidRPr="006A7593" w:rsidRDefault="001A5A9C">
      <w:pPr>
        <w:spacing w:line="360" w:lineRule="auto"/>
        <w:ind w:firstLine="240"/>
        <w:jc w:val="both"/>
      </w:pPr>
      <w:r w:rsidRPr="006A759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concerns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tolerability,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contraindication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cirrhosis.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explain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preference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routine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practice.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selected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good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tolerance,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adding-on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switching-to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strategy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Indeed,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some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included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concomitant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Peg-IFN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outcomes.</w:t>
      </w:r>
    </w:p>
    <w:p w14:paraId="790C1683" w14:textId="77777777" w:rsidR="00A77B3E" w:rsidRPr="006A7593" w:rsidRDefault="00A77B3E">
      <w:pPr>
        <w:spacing w:line="360" w:lineRule="auto"/>
        <w:ind w:firstLine="240"/>
        <w:jc w:val="both"/>
      </w:pPr>
    </w:p>
    <w:p w14:paraId="5FC88E08" w14:textId="2A009F3D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Toll-like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receptor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retinoic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acid-inducible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gene-1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agonists</w:t>
      </w:r>
    </w:p>
    <w:p w14:paraId="2BFDBF38" w14:textId="3B5FE275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recognized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receptors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toll-like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receptors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(TLRs)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[154]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retinoic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acid-inducible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gene-1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(RIG-1)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[155]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TLRs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receptors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initiated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intracellular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pathways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induce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interferons,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cytokines.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reported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TLR-mediated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pathways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suppression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TLR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7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(TLR7)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agonist,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GS9620,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serum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chimpanzees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[134]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IIb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humans,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minimal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despite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cytokines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NK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[135,136]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selgantolimod,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TLR8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agonist,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minimal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reduction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RIG-I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constitutes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intracytoplasmic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receptor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interacts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viruses.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activated,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leads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signal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transduction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through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protein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kinase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complexes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transcription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factors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migrate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nucleus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interferon-stimulable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leading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production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[138]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Inarigivir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activates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RIG-I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pathway.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Although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early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reported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reduction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hepatotoxicity,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multiple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acute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liver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failure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death,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lead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discontinuation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[139]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409D99EA" w14:textId="77777777" w:rsidR="00A77B3E" w:rsidRPr="006A7593" w:rsidRDefault="00A77B3E">
      <w:pPr>
        <w:spacing w:line="360" w:lineRule="auto"/>
        <w:jc w:val="both"/>
      </w:pPr>
    </w:p>
    <w:p w14:paraId="7926864A" w14:textId="62E0BF3A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Checkpoint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55FAAE61" w14:textId="3DEC55D1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system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HBV-infected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programmed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death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receptor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(PD-1)-expressing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CD8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programmed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death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ligand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(PD-L1)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expression.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suggests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PD-L1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blockade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could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suitable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strategy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Furthermore,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anti-PD-L1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blockade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number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IFN-γ-producing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T-cells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amount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IFN-γ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[156]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Checkpoint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inhibitors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against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PD-1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PD-L1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effective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malignancies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reversing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T-cell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exhaustion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restoring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immunity.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disappointing.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CheckMate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040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nivolumab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baseline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10%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HBsAg-positive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PD-1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blockade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limited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activity,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exhibited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seroconversion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[141]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0D00B5DA" w14:textId="77777777" w:rsidR="00A77B3E" w:rsidRPr="006A7593" w:rsidRDefault="00A77B3E">
      <w:pPr>
        <w:spacing w:line="360" w:lineRule="auto"/>
        <w:jc w:val="both"/>
      </w:pPr>
    </w:p>
    <w:p w14:paraId="6F4D3446" w14:textId="0DE4817F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Monoclonal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antibodies</w:t>
      </w:r>
    </w:p>
    <w:p w14:paraId="7FDB5797" w14:textId="54222BE0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entry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interrupted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small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compounds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neutralizing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monoclonal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antibodies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(NMAb).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NMAb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VIR-3434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small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interfering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</w:t>
      </w:r>
      <w:r w:rsidR="00451104">
        <w:rPr>
          <w:rFonts w:ascii="Book Antiqua" w:eastAsia="Book Antiqua" w:hAnsi="Book Antiqua" w:cs="Book Antiqua"/>
          <w:color w:val="000000"/>
        </w:rPr>
        <w:t>S</w:t>
      </w:r>
      <w:r w:rsidRPr="006A7593">
        <w:rPr>
          <w:rFonts w:ascii="Book Antiqua" w:eastAsia="Book Antiqua" w:hAnsi="Book Antiqua" w:cs="Book Antiqua"/>
          <w:color w:val="000000"/>
        </w:rPr>
        <w:t>iRNA)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VIR-2218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up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20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wk.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generally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tolerated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serious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adverse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events.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levels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(&lt;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10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IU/mL)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but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during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study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[125]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1CBC26EE" w14:textId="77777777" w:rsidR="00A77B3E" w:rsidRPr="006A7593" w:rsidRDefault="00A77B3E">
      <w:pPr>
        <w:spacing w:line="360" w:lineRule="auto"/>
        <w:jc w:val="both"/>
      </w:pPr>
    </w:p>
    <w:p w14:paraId="792E41AA" w14:textId="2E57EFFC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vaccines</w:t>
      </w:r>
    </w:p>
    <w:p w14:paraId="7E9A025A" w14:textId="14ABCAAE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These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immunogenic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stimulate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generating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CD4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CD8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HBV-specific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suppress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Early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humans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small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decline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[142]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therapeutic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vaccines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probably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such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451104">
        <w:rPr>
          <w:rFonts w:ascii="Book Antiqua" w:eastAsia="Book Antiqua" w:hAnsi="Book Antiqua" w:cs="Book Antiqua"/>
          <w:color w:val="000000"/>
        </w:rPr>
        <w:t>S</w:t>
      </w:r>
      <w:r w:rsidRPr="006A7593">
        <w:rPr>
          <w:rFonts w:ascii="Book Antiqua" w:eastAsia="Book Antiqua" w:hAnsi="Book Antiqua" w:cs="Book Antiqua"/>
          <w:color w:val="000000"/>
        </w:rPr>
        <w:t>iRNA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[143]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7559309A" w14:textId="77777777" w:rsidR="00A77B3E" w:rsidRPr="006A7593" w:rsidRDefault="00A77B3E">
      <w:pPr>
        <w:spacing w:line="360" w:lineRule="auto"/>
        <w:jc w:val="both"/>
      </w:pPr>
    </w:p>
    <w:p w14:paraId="79AA7229" w14:textId="76F6542C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immunomodulatory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approaches</w:t>
      </w:r>
    </w:p>
    <w:p w14:paraId="1AEA9698" w14:textId="48F7296D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better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understanding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emerged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therapeutic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possibilities.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receptor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(TCR)-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redirected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chimeric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antigen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receptor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(CAR)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involve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genetic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engineering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confer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specificity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front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CAR-T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transduced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antibody-like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receptor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recognize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surface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hepatocytes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whereas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TCR-redirected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cells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respond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peptides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[157]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investigation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field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still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under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development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tested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studies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A7593">
        <w:rPr>
          <w:rFonts w:ascii="Book Antiqua" w:eastAsia="Book Antiqua" w:hAnsi="Book Antiqua" w:cs="Book Antiqua"/>
          <w:color w:val="000000"/>
        </w:rPr>
        <w:t>HBV-infected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[158,159]</w:t>
      </w:r>
      <w:r w:rsidRPr="006A7593">
        <w:rPr>
          <w:rFonts w:ascii="Book Antiqua" w:eastAsia="Book Antiqua" w:hAnsi="Book Antiqua" w:cs="Book Antiqua"/>
          <w:color w:val="000000"/>
        </w:rPr>
        <w:t>.</w:t>
      </w:r>
    </w:p>
    <w:p w14:paraId="349FF6E6" w14:textId="77777777" w:rsidR="00A77B3E" w:rsidRPr="006A7593" w:rsidRDefault="00A77B3E">
      <w:pPr>
        <w:spacing w:line="360" w:lineRule="auto"/>
        <w:jc w:val="both"/>
      </w:pPr>
    </w:p>
    <w:p w14:paraId="77CF9970" w14:textId="4091AF82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</w:p>
    <w:p w14:paraId="723E4D41" w14:textId="068CAC1F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None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previously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described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significant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sustained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alone.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Therefore,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advisable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strategy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seems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molecules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action</w:t>
      </w:r>
      <w:r w:rsidRPr="006A7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[160]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Table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3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summarizes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evolving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combinations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achieve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sustained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loss.</w:t>
      </w:r>
    </w:p>
    <w:p w14:paraId="5B26A249" w14:textId="77777777" w:rsidR="00A77B3E" w:rsidRPr="006A7593" w:rsidRDefault="00A77B3E">
      <w:pPr>
        <w:spacing w:line="360" w:lineRule="auto"/>
        <w:jc w:val="both"/>
      </w:pPr>
    </w:p>
    <w:p w14:paraId="742CA51B" w14:textId="7777777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FC6EDCC" w14:textId="17B7432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color w:val="000000"/>
        </w:rPr>
        <w:t>Long-term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</w:t>
      </w:r>
      <w:r w:rsidR="00451104">
        <w:rPr>
          <w:rFonts w:ascii="Book Antiqua" w:eastAsia="Book Antiqua" w:hAnsi="Book Antiqua" w:cs="Book Antiqua"/>
          <w:color w:val="000000"/>
        </w:rPr>
        <w:t>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used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decades,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showing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good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safety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profile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high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efficacy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controlling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replication,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histology,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decreasing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incidence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HCC,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decompensation,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mortality.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However,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cccDNA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low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probability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HBsAg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seroclearance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made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necessary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indefinite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vast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majority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insights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role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immune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system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HBV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infection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persistence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knowledge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cycle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phases,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increase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therapeutic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approaches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Moreover,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several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clinical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trials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evaluating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new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drugs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different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mechanisms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action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ongoing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with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promising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results.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expected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coming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years,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will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paradigm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shift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CHB,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have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already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seen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chronic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hepatitis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functional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important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number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seems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closer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than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ever.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Meanwhile,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effort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improve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diagnostic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rates,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assure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access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for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all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patients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who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need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it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must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urgently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done.</w:t>
      </w:r>
    </w:p>
    <w:p w14:paraId="732DFEEC" w14:textId="77777777" w:rsidR="00894DF7" w:rsidRPr="006A7593" w:rsidRDefault="00894DF7">
      <w:pPr>
        <w:spacing w:line="360" w:lineRule="auto"/>
        <w:jc w:val="both"/>
      </w:pPr>
    </w:p>
    <w:p w14:paraId="6443737F" w14:textId="7777777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REFERENCES</w:t>
      </w:r>
    </w:p>
    <w:p w14:paraId="0AB2CB5F" w14:textId="7827176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Millman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I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Loeb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Blumberg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Australia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hepatitis-associated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antigen):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purification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physical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properties.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Exp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1970;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131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1190-1199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4246140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10.1084/jem.131.6.1190]</w:t>
      </w:r>
    </w:p>
    <w:p w14:paraId="0830B523" w14:textId="63D1748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Gerlich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WH</w:t>
      </w:r>
      <w:r w:rsidRPr="006A7593">
        <w:rPr>
          <w:rFonts w:ascii="Book Antiqua" w:eastAsia="Book Antiqua" w:hAnsi="Book Antiqua" w:cs="Book Antiqua"/>
        </w:rPr>
        <w:t>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Medical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began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where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now.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23870415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10.1186/1743-422X-10-239]</w:t>
      </w:r>
    </w:p>
    <w:p w14:paraId="4FA1A6FA" w14:textId="65AC6A6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GBD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2019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Hepatitis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Collaborators</w:t>
      </w:r>
      <w:r w:rsidRPr="006A7593">
        <w:rPr>
          <w:rFonts w:ascii="Book Antiqua" w:eastAsia="Book Antiqua" w:hAnsi="Book Antiqua" w:cs="Book Antiqua"/>
        </w:rPr>
        <w:t>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Global,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regional,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burden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1990-2019: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analysis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Global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Burden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Disease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796-829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35738290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10.1016/S2468-1253(22)00124-8]</w:t>
      </w:r>
    </w:p>
    <w:p w14:paraId="078FA58E" w14:textId="16838D1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Dane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Cameron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Briggs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Virus-like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particles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Australia-antigen-associated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1970;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695-698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4190997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10.1016/s0140-6736(70)90926-8]</w:t>
      </w:r>
    </w:p>
    <w:p w14:paraId="2CCEFF2B" w14:textId="3330450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Almeida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JD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Rubenstein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Stott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EJ.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antigen-antibody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Australia-antigen-positive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1971;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1225-1227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4143591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10.1016/s0140-6736(71)90543-5]</w:t>
      </w:r>
    </w:p>
    <w:p w14:paraId="1C1FF282" w14:textId="3BA47E4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Magnius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LO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Espmark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complex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co-occurring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Australia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Acta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Pathol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Microbiol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Scand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B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Microbiol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Immunol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1972;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80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335-337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4624538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10.1111/j.1699-0463.1972.tb00167.x]</w:t>
      </w:r>
    </w:p>
    <w:p w14:paraId="10A72F8F" w14:textId="0BB283A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Robinson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Clayton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Greenman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human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candidate.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1974;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384-391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4847328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10.1128/JVI.14.2.384-391.1974]</w:t>
      </w:r>
    </w:p>
    <w:p w14:paraId="78D83B9D" w14:textId="4DB9801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lumberg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BS</w:t>
      </w:r>
      <w:r w:rsidRPr="006A7593">
        <w:rPr>
          <w:rFonts w:ascii="Book Antiqua" w:eastAsia="Book Antiqua" w:hAnsi="Book Antiqua" w:cs="Book Antiqua"/>
        </w:rPr>
        <w:t>.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Killer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Princeton: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Princeton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University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Press</w:t>
      </w:r>
      <w:r w:rsidRPr="006A7593">
        <w:rPr>
          <w:rFonts w:ascii="Book Antiqua" w:eastAsia="Book Antiqua" w:hAnsi="Book Antiqua" w:cs="Book Antiqua"/>
          <w:b/>
          <w:bCs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</w:t>
      </w:r>
      <w:r w:rsidR="0095603C" w:rsidRPr="006A7593">
        <w:rPr>
          <w:rFonts w:ascii="Book Antiqua" w:eastAsia="Book Antiqua" w:hAnsi="Book Antiqua" w:cs="Book Antiqua"/>
        </w:rPr>
        <w:t>3</w:t>
      </w:r>
    </w:p>
    <w:p w14:paraId="1A73FEDB" w14:textId="133D26F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Sarin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Kumar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Abbas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Dokmeci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Jafri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Locarnini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Mahtab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Mohamed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Omata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Piratvisuth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Sharma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Sollano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Asian-Pacific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practice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guidelines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management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update.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1-98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26563120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10.1007/s12072-015-9675-4]</w:t>
      </w:r>
    </w:p>
    <w:p w14:paraId="6F04E51B" w14:textId="2BDDBC6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European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Association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for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the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Study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the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Liver</w:t>
      </w:r>
      <w:r w:rsidRPr="006A7593">
        <w:rPr>
          <w:rFonts w:ascii="Book Antiqua" w:eastAsia="Book Antiqua" w:hAnsi="Book Antiqua" w:cs="Book Antiqua"/>
        </w:rPr>
        <w:t>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European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EASL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Practice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Guidelines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management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370-398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28427875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10.1016/j.jhep.2017.03.021]</w:t>
      </w:r>
    </w:p>
    <w:p w14:paraId="29D63CF0" w14:textId="53266C2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11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Terrault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NA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McMahon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Jonas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Brown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Bzowej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Update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prevention,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diagnosis,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AASLD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guidance.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1560-1599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29405329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10.1002/hep.29800]</w:t>
      </w:r>
    </w:p>
    <w:p w14:paraId="1AEC8E0B" w14:textId="667C68C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Yuen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Dusheiko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Locarnini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Peters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Nat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Rev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Primers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18035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29877316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10.1038/nrdp.2018.35]</w:t>
      </w:r>
    </w:p>
    <w:p w14:paraId="00120116" w14:textId="4AB147F8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Colpitts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CC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Verrier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Baumert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Targeting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ACS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Infect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2015;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420-427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27617925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10.1021/acsinfecdis.5b00039]</w:t>
      </w:r>
    </w:p>
    <w:p w14:paraId="4DC0483D" w14:textId="6C53A9E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Verrier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ER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Colpitts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Sureau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Baumert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receptors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molecular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drug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targets.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567-573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26979861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10.1007/s12072-016-9718-5]</w:t>
      </w:r>
    </w:p>
    <w:p w14:paraId="64A01C2F" w14:textId="6792520E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Rabe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Vlachou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Panté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Helenius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import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capsids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release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genome.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Proc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Natl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Acad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Sci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U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S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100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9849-9854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12909718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10.1073/pnas.1730940100]</w:t>
      </w:r>
    </w:p>
    <w:p w14:paraId="6D661E3F" w14:textId="0A3A16B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Levrero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Zucman-Rossi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Mechanisms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HBV-induced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S84-S101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27084040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10.1016/j.jhep.2016.02.021]</w:t>
      </w:r>
    </w:p>
    <w:p w14:paraId="01A35BAA" w14:textId="577CE61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Overview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replication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genetic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variability.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S4-S16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27084035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10.1016/j.jhep.2016.01.027]</w:t>
      </w:r>
    </w:p>
    <w:p w14:paraId="73003723" w14:textId="04B3EAE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Seeger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Molecular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biology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2015;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479-480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672-686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25759099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10.1016/j.virol.2015.02.031]</w:t>
      </w:r>
    </w:p>
    <w:p w14:paraId="6A502443" w14:textId="1AB0D46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Complete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Incomplete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Particles: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Formation,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Application.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Viruses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28335554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10.3390/v9030056]</w:t>
      </w:r>
    </w:p>
    <w:p w14:paraId="1F8C0EF6" w14:textId="4BDC999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20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Zoulim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Testoni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Lebossé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Kinetics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intrahepatic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covalently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circular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lessons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from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experimental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studies.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1011-1013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23602824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10.1016/j.cgh.2013.04.010]</w:t>
      </w:r>
    </w:p>
    <w:p w14:paraId="5B26A711" w14:textId="1FD33A3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21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Lebossé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Testoni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Fresquet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Facchetti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Galmozzi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Fournier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Hervieu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Berthillon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Bordes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Durantel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Levrero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Lampertico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Zoulim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Intrahepatic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innate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immune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pathways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downregulated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897-909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28043874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10.1016/j.jhep.2016.12.024]</w:t>
      </w:r>
    </w:p>
    <w:p w14:paraId="74E41DC0" w14:textId="58119F2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22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Greenberg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HB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Pollard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Lutwick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Gregory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Robinson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Merigan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TC.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human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leukocyte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Engl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1976;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295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517-522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950957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10.1056/NEJM197609022951001]</w:t>
      </w:r>
    </w:p>
    <w:p w14:paraId="6E564223" w14:textId="11DB0D9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23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O'Rourke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Naylor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Detsky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Heathcote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alpha-interferon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meta-analysis.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Ann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Intern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1993;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119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312-323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8328741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10.7326/0003-4819-119-4-199308150-00011]</w:t>
      </w:r>
    </w:p>
    <w:p w14:paraId="7E342E6C" w14:textId="1EC24FF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24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Manesis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EK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Hadziyannis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SJ.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alpha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121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101-109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11438498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10.1053/gast.2001.25524]</w:t>
      </w:r>
    </w:p>
    <w:p w14:paraId="32E5F33A" w14:textId="5992DA4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Sonneveld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Piratvisuth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Zeuzem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Liaw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Heathcote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Response-guided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using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872-880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23553752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10.1002/hep.26436]</w:t>
      </w:r>
    </w:p>
    <w:p w14:paraId="3AB0B3A4" w14:textId="310773B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26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Benhamou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Dohin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Lunel-Fabiani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Poynard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Huraux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Katlama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Opolon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Gentilini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lamivudine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replication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HIV-infected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1995;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345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396-397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7845151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10.1016/s0140-6736(95)90388-7]</w:t>
      </w:r>
    </w:p>
    <w:p w14:paraId="27E85D91" w14:textId="0F40065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27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Dienstag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JL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Perrillo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Schiff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Bartholomew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Vicary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Rubin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preliminary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lamivudine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Engl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1995;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333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1657-1661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7477217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10.1056/NEJM199512213332501]</w:t>
      </w:r>
    </w:p>
    <w:p w14:paraId="185A45FD" w14:textId="68BB726E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28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van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Bömmel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Wünsche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Mauss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Reinke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Schürmann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Wiedenmann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Comparison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adefovir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lamivudine-resistant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2004;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1421-1425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15565615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10.1002/hep.20464]</w:t>
      </w:r>
    </w:p>
    <w:p w14:paraId="5A3BCB3B" w14:textId="2BCCBF1D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29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Petersen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Considerations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Expert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Rev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683-93;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quiz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694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23237254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10.1586/egh.12.52]</w:t>
      </w:r>
    </w:p>
    <w:p w14:paraId="42F08BD9" w14:textId="5EEB038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HL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Chowdhury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Mehta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Flaherty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Massetto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Gaggar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Kitrinos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Subramanian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McHutchison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Acharya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Agarwal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GS-US-320-0110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Investigators.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alafenamide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versus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randomised,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double-blind,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non-inferiority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185-195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28404091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10.1016/S2468-1253(16)30024-3]</w:t>
      </w:r>
    </w:p>
    <w:p w14:paraId="2131CF83" w14:textId="4BCC6A0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Buti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Stepanova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Mehta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Acharya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Flaherty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Massetto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Cathcart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Gaggar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Subramanian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McHutchison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Brunetto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Izumi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Marcellin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GS-US-320-0108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Investigators.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alafenamide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versus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randomised,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double-blind,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non-inferiority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196-206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28404092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10.1016/S2468-1253(16)30107-8]</w:t>
      </w:r>
    </w:p>
    <w:p w14:paraId="0EF2999A" w14:textId="2AD1BBC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Ahn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Mannalithara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Trinh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Reddy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effectiveness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cohort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treatment-naïve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-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ENUMERATE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Aliment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Pharmacol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Ther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134-144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26510638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10.1111/apt.13440]</w:t>
      </w:r>
    </w:p>
    <w:p w14:paraId="0BFB6797" w14:textId="7A40AB4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Marcellin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Sievert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Buggisch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Petersen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Flisiak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Kaita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Krastev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Cathcart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Crans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Brouw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Jump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Gaggar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Flaherty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Ten-year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Liver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1868-1875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31136052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613A95"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613A95" w:rsidRPr="006A7593">
        <w:rPr>
          <w:rFonts w:ascii="Book Antiqua" w:eastAsia="Book Antiqua" w:hAnsi="Book Antiqua" w:cs="Book Antiqua"/>
        </w:rPr>
        <w:t>10.1111/liv.14155</w:t>
      </w:r>
      <w:r w:rsidRPr="006A7593">
        <w:rPr>
          <w:rFonts w:ascii="Book Antiqua" w:eastAsia="Book Antiqua" w:hAnsi="Book Antiqua" w:cs="Book Antiqua"/>
        </w:rPr>
        <w:t>]</w:t>
      </w:r>
    </w:p>
    <w:p w14:paraId="46C1B9A3" w14:textId="67F91A0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Casado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JL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Santiuste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Vazquez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Bañón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Rosillo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Gomez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Perez-Elías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Caballero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Moreno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mineral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density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decline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according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tubular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dysfunction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phosphaturia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tenofovir-exposed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HIV-infected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AIDS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1423-1431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26919733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10.1097/QAD.0000000000001067]</w:t>
      </w:r>
    </w:p>
    <w:p w14:paraId="10FB7B62" w14:textId="1741F34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Mak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Jun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Jeong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Trinh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Enomoto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Kozuka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Jeong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Trinh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Tsui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Quek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Khine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HHTW,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Ogawa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Longitudinal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versus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TDF: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REAL-B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48-58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34822056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10.1007/s12072-021-10271-x]</w:t>
      </w:r>
    </w:p>
    <w:p w14:paraId="1AB917ED" w14:textId="6894186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comparison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between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cirrhosis: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Meta-analysis.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Immunopharmacol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168-175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27915131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10.1016/j.intimp.2016.11.022]</w:t>
      </w:r>
    </w:p>
    <w:p w14:paraId="49D790DA" w14:textId="56076408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TL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Tien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Improvement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mineral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density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markers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proximal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tubular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switched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from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alafenamide.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Viral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561-567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30576085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10.1111/jvh.13053]</w:t>
      </w:r>
    </w:p>
    <w:p w14:paraId="6DDCC60C" w14:textId="66CDFEE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Anderson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Lenz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Peters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Mishra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Donaldson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Westman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Buchholz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Miller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Between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Outcomes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Meta-analysis.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463-472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32473348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10.1016/j.cgh.2020.05.041]</w:t>
      </w:r>
    </w:p>
    <w:p w14:paraId="49A6A5CE" w14:textId="290A6DE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39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Boglione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D'Avolio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Cariti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Gregori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Burdino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Baietto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Cusato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Ghisetti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Rosa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Kinetics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affected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genotype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Liver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580-585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23311449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16990"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B16990" w:rsidRPr="006A7593">
        <w:rPr>
          <w:rFonts w:ascii="Book Antiqua" w:eastAsia="Book Antiqua" w:hAnsi="Book Antiqua" w:cs="Book Antiqua"/>
        </w:rPr>
        <w:t>10.1111/liv.12091</w:t>
      </w:r>
      <w:r w:rsidRPr="006A7593">
        <w:rPr>
          <w:rFonts w:ascii="Book Antiqua" w:eastAsia="Book Antiqua" w:hAnsi="Book Antiqua" w:cs="Book Antiqua"/>
        </w:rPr>
        <w:t>]</w:t>
      </w:r>
    </w:p>
    <w:p w14:paraId="1933BBF6" w14:textId="3F47960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Zoulim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Carosi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Greenbloom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Mazur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Jeffers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Brunetto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Llamoso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Quantification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nucleos(t)ide-naïve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without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BE-LOW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2015;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56-63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25176615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10.1016/j.jhep.2014.08.031]</w:t>
      </w:r>
    </w:p>
    <w:p w14:paraId="70BE83F6" w14:textId="622362D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Broquetas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Garcia-Retortillo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Hernandez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Puigvehí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Cañete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Cabrero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Giménez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Solà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Carrión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Quantification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receiving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PLoS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One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e0188303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29190670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10.1371/journal.pone.0188303]</w:t>
      </w:r>
    </w:p>
    <w:p w14:paraId="57D96C07" w14:textId="3E79136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Chevaliez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Hézode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Bahrami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Grare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Pawlotsky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(HBsAg)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kinetics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nucleoside/nucleotide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unlikely.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676-683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23219442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10.1016/j.jhep.2012.11.039]</w:t>
      </w:r>
    </w:p>
    <w:p w14:paraId="4B122587" w14:textId="066FF5E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Seto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Reduction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receiving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years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923-931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23468172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10.1002/hep.26376]</w:t>
      </w:r>
    </w:p>
    <w:p w14:paraId="123695D8" w14:textId="41115D2D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García-López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Pallett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Testoni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Rodríguez-Tajes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Mariño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Bartres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García-Pras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Leonel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Perpiñán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Lozano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Rodríguez-Frías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Koutsoudakis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Zoulim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Pérez-Del-Pulgar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immune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factors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successful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withdrawal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1064-1074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33278456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10.1016/j.jhep.2020.11.043]</w:t>
      </w:r>
    </w:p>
    <w:p w14:paraId="531F453A" w14:textId="2703CC8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6A7593">
        <w:rPr>
          <w:rFonts w:ascii="Book Antiqua" w:eastAsia="Book Antiqua" w:hAnsi="Book Antiqua" w:cs="Book Antiqua"/>
        </w:rPr>
        <w:t>45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Sonneveld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Brakenhoff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Kaewdech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Tanaka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Papatheodoridi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Bömmel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Zoulim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Dalekos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Erler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Höner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Siederdissen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Wedemeyer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Cornberg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Agarwal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Boonstra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Piratvisuth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Papatheodoridis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Maasoumy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CREATE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group.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Probability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nucleo(s)tide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withdrawal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depends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genotype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lang w:val="es-ES"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lang w:val="es-ES"/>
        </w:rPr>
        <w:t>Hepatol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2022;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lang w:val="es-ES"/>
        </w:rPr>
        <w:t>76</w:t>
      </w:r>
      <w:r w:rsidRPr="006A7593">
        <w:rPr>
          <w:rFonts w:ascii="Book Antiqua" w:eastAsia="Book Antiqua" w:hAnsi="Book Antiqua" w:cs="Book Antiqua"/>
          <w:lang w:val="es-ES"/>
        </w:rPr>
        <w:t>: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1042-1050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[PMID: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35092743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DOI: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10.1016/j.jhep.2022.01.007]</w:t>
      </w:r>
    </w:p>
    <w:p w14:paraId="71AFA007" w14:textId="6BB7488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  <w:lang w:val="es-ES"/>
        </w:rPr>
        <w:t>46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lang w:val="es-ES"/>
        </w:rPr>
        <w:t>Broquetas</w:t>
      </w:r>
      <w:r w:rsidR="009C1FD8" w:rsidRPr="006A7593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lang w:val="es-ES"/>
        </w:rPr>
        <w:t>T</w:t>
      </w:r>
      <w:r w:rsidRPr="006A7593">
        <w:rPr>
          <w:rFonts w:ascii="Book Antiqua" w:eastAsia="Book Antiqua" w:hAnsi="Book Antiqua" w:cs="Book Antiqua"/>
          <w:lang w:val="es-ES"/>
        </w:rPr>
        <w:t>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Hernandez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JJ,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Garcia-Retortillo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M,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Canillas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L,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Puigvehí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M,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Cañete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N,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Coll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S,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Viu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A,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Garrido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E,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Mico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M,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Bessa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X,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Carrión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JA.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</w:rPr>
        <w:t>On-therapy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kinetics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interruption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half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half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empty.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Dig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Liver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1044-1051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35063365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10.1016/j.dld.2021.12.017]</w:t>
      </w:r>
    </w:p>
    <w:p w14:paraId="799B2433" w14:textId="4F7B0BF5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Hirode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Papatheodoridi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Brakenhoff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Sonneveld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Papatheodoridis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Vanwolleghem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Cornberg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HLA;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RETRACT-B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Group.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Off-Therapy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Withdrawal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International,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Multicenter,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Multiethnic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Cohort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(RETRACT-B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Study).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162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757-771.e4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34762906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10.1053/j.gastro.2021.11.002]</w:t>
      </w:r>
    </w:p>
    <w:p w14:paraId="4FC8BBE0" w14:textId="43B0D12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Chang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Coelho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Carrilho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Poordad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Halota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Horsmans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Tenney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Tamez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Iloeje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years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422-430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20049753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10.1002/hep.23327]</w:t>
      </w:r>
    </w:p>
    <w:p w14:paraId="62DC6A3F" w14:textId="47431E88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49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Chang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Liaw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Schiff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Safadi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Halota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Goodman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Hindes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Iloeje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Beebe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Kreter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results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reversal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fibrosis/cirrhosis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continued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histological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improvement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886-893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20683932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10.1002/hep.23785]</w:t>
      </w:r>
    </w:p>
    <w:p w14:paraId="3CE4E5FA" w14:textId="3701945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Marcellin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Afdhal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Sievert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Jacobson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Washington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Germanidis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Flaherty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Aguilar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Schall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Bornstein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Kitrinos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Subramanian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McHutchison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Heathcote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EJ.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Regression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cirrhosis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5-year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open-label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follow-up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381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468-475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23234725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10.1016/S0140-6736(12)61425-1]</w:t>
      </w:r>
    </w:p>
    <w:p w14:paraId="345781A9" w14:textId="638D6DB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Facciorusso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Garcia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Perdomo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Muscatiello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Buccino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Singh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meta-analysis: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stiffness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anti-viral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Dig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Liver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787-794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29807871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10.1016/j.dld.2018.05.005]</w:t>
      </w:r>
    </w:p>
    <w:p w14:paraId="1C160212" w14:textId="144D5A7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XQ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HepB-Related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Fibrosis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Assessment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Research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Group.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Declining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stiffness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cannot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indicate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fibrosis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regression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78-week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prospective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755-763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30290019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10.1111/jgh.14498]</w:t>
      </w:r>
    </w:p>
    <w:p w14:paraId="135A1F91" w14:textId="54C9F10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Early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steep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decline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stiffness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histological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reversal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fibrosis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Viral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576-585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30624000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10.1111/jvh.13058]</w:t>
      </w:r>
    </w:p>
    <w:p w14:paraId="0379CBE8" w14:textId="6D5AE82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GL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AO,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VW.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reduces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events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deaths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cirrhosis.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1537-1547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23389810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10.1002/hep.26301]</w:t>
      </w:r>
    </w:p>
    <w:p w14:paraId="729028AB" w14:textId="64231CE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TH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Hsieh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C-TEAM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group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Taiwan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Diseases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Consortium.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Four-year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reduces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cirrhotic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events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mortality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Liver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1755-1764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27634134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C0534"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C0534" w:rsidRPr="006A7593">
        <w:rPr>
          <w:rFonts w:ascii="Book Antiqua" w:eastAsia="Book Antiqua" w:hAnsi="Book Antiqua" w:cs="Book Antiqua"/>
        </w:rPr>
        <w:t>10.1111/liv.13253</w:t>
      </w:r>
      <w:r w:rsidRPr="006A7593">
        <w:rPr>
          <w:rFonts w:ascii="Book Antiqua" w:eastAsia="Book Antiqua" w:hAnsi="Book Antiqua" w:cs="Book Antiqua"/>
        </w:rPr>
        <w:t>]</w:t>
      </w:r>
    </w:p>
    <w:p w14:paraId="1F751A77" w14:textId="3ADBD15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Yip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reduces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decompensation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death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cirrhosis.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Aliment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Pharmacol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Ther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1037-1048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31524304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10.1111/apt.15499]</w:t>
      </w:r>
    </w:p>
    <w:p w14:paraId="6A8501E6" w14:textId="30643FD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Papatheodoridis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Dalekos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Sypsa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Yurdaydin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Goulis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Calleja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Manolakopoulos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Mangia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Gatselis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Keskin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Savvidou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Revilla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Vlachogiannakos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Galanis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Idilman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Colombo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Esteban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Lampertico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PAGE-B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developing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Caucasians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5-year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800-806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26678008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10.1016/j.jhep.2015.11.035]</w:t>
      </w:r>
    </w:p>
    <w:p w14:paraId="0BA6B704" w14:textId="44BBB00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58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Choi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Korean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Nationwide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Cohort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JAMA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Oncol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30-36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30267080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10.1001/jamaoncol.2018.4070]</w:t>
      </w:r>
    </w:p>
    <w:p w14:paraId="15C7BB7E" w14:textId="72441084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59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Yip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TC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Lower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China.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158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215-225.e6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31574268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10.1053/j.gastro.2019.09.025]</w:t>
      </w:r>
    </w:p>
    <w:p w14:paraId="2A709C9A" w14:textId="249F61F8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Choi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Yip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Brooks-Rooney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Curteis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Jun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receiving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tenofovir-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entecavir-based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regimens: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Individual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meta-analysis.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534-542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36572349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10.1016/j.jhep.2022.12.007]</w:t>
      </w:r>
    </w:p>
    <w:p w14:paraId="3D3492E4" w14:textId="2794FAA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Lee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SW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Kwon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JW.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Comparison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mortality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treatment-naïve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Korea: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large-scale,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propensity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score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analysis.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1301-1308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31672838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10.1136/gutjnl-2019-318947]</w:t>
      </w:r>
    </w:p>
    <w:p w14:paraId="24F41197" w14:textId="09498568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Papatheodoridis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GV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Dalekos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Idilman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Sypsa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Boemmel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Calleja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Goulis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Manolakopoulos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Loglio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Papatheodoridi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Gatselis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Veelken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Lopez-Gomez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Savvidou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Kourikou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Vlachogiannakos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Galanis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Yurdaydin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Esteban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Lampertico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Similar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Caucasian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1037-1045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32553667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10.1016/j.jhep.2020.06.011]</w:t>
      </w:r>
    </w:p>
    <w:p w14:paraId="4253A2C0" w14:textId="3297A01E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Grossi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Viganò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Loglio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Lampertico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impact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nucleot(s)ide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(NUCs).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Liver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37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</w:rPr>
        <w:t>Suppl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45-51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28052621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7C2461" w:rsidRPr="006A7593">
        <w:rPr>
          <w:rFonts w:ascii="Book Antiqua" w:eastAsia="Book Antiqua" w:hAnsi="Book Antiqua" w:cs="Book Antiqua"/>
        </w:rPr>
        <w:t>DIO</w:t>
      </w:r>
      <w:r w:rsidR="007C2461" w:rsidRPr="006A7593">
        <w:rPr>
          <w:rFonts w:ascii="宋体" w:eastAsia="宋体" w:hAnsi="宋体" w:cs="宋体" w:hint="eastAsia"/>
          <w:lang w:eastAsia="zh-CN"/>
        </w:rPr>
        <w:t>:</w:t>
      </w:r>
      <w:r w:rsidR="009C1FD8" w:rsidRPr="006A7593">
        <w:rPr>
          <w:rFonts w:ascii="宋体" w:eastAsia="宋体" w:hAnsi="宋体" w:cs="宋体"/>
          <w:lang w:eastAsia="zh-CN"/>
        </w:rPr>
        <w:t xml:space="preserve"> </w:t>
      </w:r>
      <w:r w:rsidR="007C2461" w:rsidRPr="006A7593">
        <w:rPr>
          <w:rFonts w:ascii="Book Antiqua" w:eastAsia="Book Antiqua" w:hAnsi="Book Antiqua" w:cs="Book Antiqua"/>
        </w:rPr>
        <w:t>10.1111/liv.13291</w:t>
      </w:r>
      <w:r w:rsidRPr="006A7593">
        <w:rPr>
          <w:rFonts w:ascii="Book Antiqua" w:eastAsia="Book Antiqua" w:hAnsi="Book Antiqua" w:cs="Book Antiqua"/>
        </w:rPr>
        <w:t>]</w:t>
      </w:r>
    </w:p>
    <w:p w14:paraId="1D9771E0" w14:textId="5DD09B3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64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Hsu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YC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Enomoto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Trinh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Riveiro-Barciela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Kozuka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Istratescu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Accarino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Incidences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Determinants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Infect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224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1890-1899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33999179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10.1093/infdis/jiab241]</w:t>
      </w:r>
    </w:p>
    <w:p w14:paraId="55F854D9" w14:textId="3B932BD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Choi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Comparison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Outcomes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Between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Spontaneous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Therapy-Induced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2155-2166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33131063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10.1002/hep.31610]</w:t>
      </w:r>
    </w:p>
    <w:p w14:paraId="32DBE4B2" w14:textId="59727BF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Kuang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XJ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factors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Viral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1026-1037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29624821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10.1111/jvh.12905]</w:t>
      </w:r>
    </w:p>
    <w:p w14:paraId="38E14EAA" w14:textId="732396A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Reduction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covalently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circular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different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potency.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1004-10.e1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23376799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10.1016/j.cgh.2013.01.026]</w:t>
      </w:r>
    </w:p>
    <w:p w14:paraId="3693ACF8" w14:textId="0F1B1FF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Liaw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Piratvisuth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Locarnini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Guideline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Working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Asian-Pacific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Asian-Pacific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consensus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statement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management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update.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263-283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19669255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10.1007/s12072-008-9080-3]</w:t>
      </w:r>
    </w:p>
    <w:p w14:paraId="5A5F7E6F" w14:textId="6D969E85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69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Hadziyannis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Sevastianos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Rapti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Vassilopoulos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Hadziyannis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Sustained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who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stop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adefovir.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143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629-636.e1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22659218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10.1053/j.gastro.2012.05.039]</w:t>
      </w:r>
    </w:p>
    <w:p w14:paraId="1C824816" w14:textId="730D21F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Berg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Simon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Mauss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Schott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Heyne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Klass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Eisenbach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Welzel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Zachoval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Felten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Schulze-Zur-Wiesch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Cornberg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Brouw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Jump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Reiser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Gallo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Warger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Petersen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investigators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[First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investigation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stopping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TDF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virological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suppression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B].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stopping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non-cirrhotic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-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918-924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28736139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10.1016/j.jhep.2017.07.012]</w:t>
      </w:r>
    </w:p>
    <w:p w14:paraId="4D142CB6" w14:textId="462BD4A4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Papatheodoridis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Vlachogiannakos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Cholongitas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Wursthorn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Thomadakis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Touloumi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Petersen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Discontinuation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1481-1492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27100145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10.1002/hep.28438]</w:t>
      </w:r>
    </w:p>
    <w:p w14:paraId="1A042F37" w14:textId="56FAA31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Jeng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Sheen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Liaw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Incidence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predictors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cessation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425-434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29108132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10.1002/hep.29640]</w:t>
      </w:r>
    </w:p>
    <w:p w14:paraId="2D941671" w14:textId="0641C7A5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Chien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RN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Liaw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Re-treatment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severe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flare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appraisal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combined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HBsAg/ALT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kinetics.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Viral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544-547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31868280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10.1111/jvh.13253]</w:t>
      </w:r>
    </w:p>
    <w:p w14:paraId="252DAF24" w14:textId="39110DCD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Berg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Lampertico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times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a-changing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-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refined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proposal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474-480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33957187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10.1016/j.jhep.2021.04.040]</w:t>
      </w:r>
    </w:p>
    <w:p w14:paraId="64A4B37F" w14:textId="046F984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Boni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Laccabue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Lampertico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Giuberti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Viganò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Schivazappa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Alfieri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Pesci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Gaeta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Brancaccio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Colombo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Missale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Ferrari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Restored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HBV-specific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143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963-73.e9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22796241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10.1053/j.gastro.2012.07.014]</w:t>
      </w:r>
    </w:p>
    <w:p w14:paraId="1D86EA8D" w14:textId="2BA8C39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Höner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Zu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Siederdissen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Rinker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Maasoumy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Wiegand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Filmann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Falk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Deterding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Mix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Herrmann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Wedemeyer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Kraft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Cornberg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Stopping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Infect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214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1492-1497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27609808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10.1093/infdis/jiw412]</w:t>
      </w:r>
    </w:p>
    <w:p w14:paraId="5BE0EDC6" w14:textId="4029A245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77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Rivino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Gill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Kunasegaran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Becht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Hansi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Foster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Kennedy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Bertoletti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virus-specific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control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upon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nucleos(t)ide-analogue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discontinuation.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Invest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128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668-681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29309050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10.1172/JCI92812]</w:t>
      </w:r>
    </w:p>
    <w:p w14:paraId="5F0EBADE" w14:textId="7DE70D7E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Rinker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Zimmer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Höner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Siederdissen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Kraft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Wedemeyer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Björkström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Cornberg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virus-specific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stopping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584-593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29758333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10.1016/j.jhep.2018.05.004]</w:t>
      </w:r>
    </w:p>
    <w:p w14:paraId="5323ACBD" w14:textId="56F662D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79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Changchien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quantification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relapse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discontinuation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lamivudine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2014;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515-522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24798617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10.1016/j.jhep.2014.04.029]</w:t>
      </w:r>
    </w:p>
    <w:p w14:paraId="1AA6C38D" w14:textId="1A448F0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Cessation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Among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1045-1055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30561829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10.1002/hep.30474]</w:t>
      </w:r>
    </w:p>
    <w:p w14:paraId="0AA8B97D" w14:textId="67D1173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Sonneveld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Kaewdech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Tanaka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Papatheodoridi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Bömmel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Zoulim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Dalekos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Erler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Höner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Siederdissen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Wedemeyer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Cornberg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Agarwal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Boonstra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Piratvisuth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Papatheodoridis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Maasoumy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CREATE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Group.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Sustained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Nucleo(s)tide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Cessation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Using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HBcrAg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Multicenter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(CREATE).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e784-e793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33309804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10.1016/j.cgh.2020.12.005]</w:t>
      </w:r>
    </w:p>
    <w:p w14:paraId="05E0ABE8" w14:textId="11E4FBE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van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Bömmel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Benefits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Discontinuation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Concept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Commun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1632-1648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34558833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10.1002/hep4.1708]</w:t>
      </w:r>
    </w:p>
    <w:p w14:paraId="172F9F4D" w14:textId="084ED28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Agarwal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Shivkar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Biermer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Lonjon-Domanec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HBV-induced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failure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REEF-2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Implications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strategies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'cure'.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245-248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35358614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10.1016/j.jhep.2022.03.006]</w:t>
      </w:r>
    </w:p>
    <w:p w14:paraId="18FF1368" w14:textId="7F0ECAE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Lau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Piratvisuth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Marcellin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Thongsawat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Cooksley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Fried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Paik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Flisiak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McCloud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Pluck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Alfa-2a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Group.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Alfa-2a,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lamivudine,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combination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Engl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2005;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352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2682-2695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15987917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10.1056/NEJMoa043470]</w:t>
      </w:r>
    </w:p>
    <w:p w14:paraId="0C984CBC" w14:textId="187D2F6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Marcellin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Bonino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Yurdaydin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Hadziyannis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Moucari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Kapprell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Popescu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Brunetto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5-year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alfa-2a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e-antigen-negative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88-97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23518903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10.1007/s12072-012-9343-x]</w:t>
      </w:r>
    </w:p>
    <w:p w14:paraId="49C47481" w14:textId="06583D6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Marcellin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Caruntu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Elkashab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Tabak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Mehta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Petersen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Foster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Martins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Dinh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Corsa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Charuworn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Subramanian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Reiser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Reesink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Strasser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Trinh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Gaeta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Papatheodoridis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Flisiak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149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Investigators.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Combination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Fumarate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α-2a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Increases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150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134-144.e10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26453773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10.1053/j.gastro.2015.09.043]</w:t>
      </w:r>
    </w:p>
    <w:p w14:paraId="10B65926" w14:textId="2A2124DE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Bourlière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Rabiega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Ganne-Carrie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Serfaty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Marcellin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Barthe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Thabut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Guyader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Hezode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Picon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Causse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Leroy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Bronowicki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Carrieri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Riachi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Rosa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Attali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Molina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Bacq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Grangé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Zoulim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Fontaine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Alric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Bertucci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Bouvier-Alias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Carrat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HB06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Group.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addition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pegylated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alfa-2a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versus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alone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sustained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undetectable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plasma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randomised,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controlled,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open-label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177-188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28404133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10.1016/S2468-1253(16)30189-3]</w:t>
      </w:r>
    </w:p>
    <w:p w14:paraId="3E86C9F1" w14:textId="3B82A80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88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Lim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SG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Phyo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Khine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HHTW,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Switching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Add-on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SWAP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RCT.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e228-e250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33895361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10.1016/j.cgh.2021.04.031]</w:t>
      </w:r>
    </w:p>
    <w:p w14:paraId="53FDF2CC" w14:textId="1E37869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89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64412" w:rsidRPr="006A7593">
        <w:rPr>
          <w:rFonts w:ascii="Book Antiqua" w:eastAsia="Book Antiqua" w:hAnsi="Book Antiqua" w:cs="Book Antiqua"/>
          <w:b/>
          <w:bCs/>
        </w:rPr>
        <w:t>Mo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Z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pegylated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684FD4" w:rsidRPr="006A7593">
        <w:rPr>
          <w:rFonts w:ascii="Book Antiqua" w:eastAsia="宋体" w:hAnsi="Book Antiqua" w:cs="宋体"/>
          <w:lang w:eastAsia="zh-CN"/>
        </w:rPr>
        <w:t>α</w:t>
      </w:r>
      <w:r w:rsidRPr="006A7593">
        <w:rPr>
          <w:rFonts w:ascii="Book Antiqua" w:eastAsia="Book Antiqua" w:hAnsi="Book Antiqua" w:cs="Book Antiqua"/>
        </w:rPr>
        <w:t>-2b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analog-suppressed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multicenter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real-world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(Everest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Project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china)-4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years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update.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S24-25</w:t>
      </w:r>
    </w:p>
    <w:p w14:paraId="50586A8E" w14:textId="0E7817F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incidence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predictors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discontinuing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noncirrhotic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Microbiol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Infect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997-1003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29288020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10.1016/j.cmi.2017.12.013]</w:t>
      </w:r>
    </w:p>
    <w:p w14:paraId="6AFC9962" w14:textId="59866FA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Kwon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SK.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Improving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Relapse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Discontinuation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Infect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e892-e903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33417679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10.1093/cid/ciab007]</w:t>
      </w:r>
    </w:p>
    <w:p w14:paraId="77952F99" w14:textId="7496859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Kuo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relapse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rates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who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discontinue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either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Aliment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Pharmacol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Ther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218-228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30484881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10.1111/apt.15053]</w:t>
      </w:r>
    </w:p>
    <w:p w14:paraId="314FE91C" w14:textId="6A64A2B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Comparison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between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who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discontinued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maintained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317-325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31650509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10.1007/s12072-019-09991-y]</w:t>
      </w:r>
    </w:p>
    <w:p w14:paraId="61AE99A2" w14:textId="5375ED6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Seto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cessation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multicentre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prospective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2015;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667-672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24833635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10.1136/gutjnl-2014-307237]</w:t>
      </w:r>
    </w:p>
    <w:p w14:paraId="0248BA1E" w14:textId="50E534E5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Liaw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Kinetics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Decision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Off-Therapy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Flare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154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2280-2281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29746811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10.1053/j.gastro.2018.03.066]</w:t>
      </w:r>
    </w:p>
    <w:p w14:paraId="3B18B158" w14:textId="1824907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Liaw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YF</w:t>
      </w:r>
      <w:r w:rsidRPr="006A7593">
        <w:rPr>
          <w:rFonts w:ascii="Book Antiqua" w:eastAsia="Book Antiqua" w:hAnsi="Book Antiqua" w:cs="Book Antiqua"/>
        </w:rPr>
        <w:t>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Finite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emerging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paradigm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shift.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665-673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31559604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10.1007/s12072-019-09989-6]</w:t>
      </w:r>
    </w:p>
    <w:p w14:paraId="3D584966" w14:textId="1B48919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Chien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RN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Liaw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Current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Viruses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35216027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10.3390/v14020434]</w:t>
      </w:r>
    </w:p>
    <w:p w14:paraId="7F04A305" w14:textId="7A4255B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Chang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Jun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Kwon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Paik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(HBV)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Genotype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Nationwide,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Multicenter,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Retrospective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Infect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216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1407-1414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29029102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10.1093/infdis/jix506]</w:t>
      </w:r>
    </w:p>
    <w:p w14:paraId="6FEEF644" w14:textId="4709DB1E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99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Kim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GA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High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death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immune-tolerant-phase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945-952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29055908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10.1136/gutjnl-2017-314904]</w:t>
      </w:r>
    </w:p>
    <w:p w14:paraId="3D6A8DDB" w14:textId="14A55CC5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Lee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HW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Baatarkhuu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BK.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Progression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Minimally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Compared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Inactive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2808-2810.e2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30639778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10.1016/j.cgh.2019.01.002]</w:t>
      </w:r>
    </w:p>
    <w:p w14:paraId="3BD0EDD7" w14:textId="19E6923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Bonacci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"Gray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Zone"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Frequent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Condition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Different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Outcomes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Western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Patients?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263-264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31858983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10.1016/j.cgh.2019.05.024]</w:t>
      </w:r>
    </w:p>
    <w:p w14:paraId="59411E6E" w14:textId="38D4F21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Oliveri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Cavallone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Colombatto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Ricco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Salvati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Romagnoli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Gattai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Salvati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Moriconi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Bonino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Brunetto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outcome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inactive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active,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viraemic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HBeAg-negative-hepatitis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infection: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Benign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course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towards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clearance.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Liver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1622-1631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28296013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9523C3"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9523C3" w:rsidRPr="006A7593">
        <w:rPr>
          <w:rFonts w:ascii="Book Antiqua" w:eastAsia="Book Antiqua" w:hAnsi="Book Antiqua" w:cs="Book Antiqua"/>
        </w:rPr>
        <w:t>10.1111/liv.13416</w:t>
      </w:r>
      <w:r w:rsidRPr="006A7593">
        <w:rPr>
          <w:rFonts w:ascii="Book Antiqua" w:eastAsia="Book Antiqua" w:hAnsi="Book Antiqua" w:cs="Book Antiqua"/>
        </w:rPr>
        <w:t>]</w:t>
      </w:r>
    </w:p>
    <w:p w14:paraId="32394D2F" w14:textId="0B150DF8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Bonacci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Mariño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Londoño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Rodríguez-Tajes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García-López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Pérez-Del-Pulgar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Sánchez-Tapias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Anti-viral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delayed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avoided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significant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proportion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Caucasian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Zone.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Aliment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Pharmacol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Ther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1397-1408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29577350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10.1111/apt.14613]</w:t>
      </w:r>
    </w:p>
    <w:p w14:paraId="5B52DB24" w14:textId="4F44E83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Huang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DQ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Trinh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Johnson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Complications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Treatment-Ineligible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versus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Treatment-Eligible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Dig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115-123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36070707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10.1159/000526933]</w:t>
      </w:r>
    </w:p>
    <w:p w14:paraId="14ADD078" w14:textId="5A0049C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Lim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Razavi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Razavi-Shearer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Impact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expanding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guidelines: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modelling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economic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impact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analysis.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Aliment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Pharmacol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Ther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519-528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35614532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10.1111/apt.17052]</w:t>
      </w:r>
    </w:p>
    <w:p w14:paraId="6B233DA5" w14:textId="15125935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Jeng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Should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Indications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Expanded?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2006-2014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32434068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10.1016/j.cgh.2020.04.091]</w:t>
      </w:r>
    </w:p>
    <w:p w14:paraId="4200C9AB" w14:textId="3DFCAAC5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Xia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Stadler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Protzer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Analyses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cccDNA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Quantification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Modification.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Methods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Biol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1540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59-72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27975308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10.1007/978-1-4939-6700-1_6]</w:t>
      </w:r>
    </w:p>
    <w:p w14:paraId="33458029" w14:textId="572315D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Testoni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Lebossé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Scholtes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Miaglia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Loglio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Facchetti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Lampertico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Levrero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Zoulim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core-related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(HBcrAg)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correlates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covalently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circular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transcriptional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activity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615-625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30529504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10.1016/j.jhep.2018.11.030]</w:t>
      </w:r>
    </w:p>
    <w:p w14:paraId="0C5272F9" w14:textId="3B809FD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109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Lam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Seven-Year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Outcome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Real-World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Cohort: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Parameters,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HBcrAg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Transl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e125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29072673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10.1038/ctg.2017.51]</w:t>
      </w:r>
    </w:p>
    <w:p w14:paraId="52117846" w14:textId="392BDB6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Mak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First-line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therapies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showed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similar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efficacies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suppression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HBcrAg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BMC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123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33731023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10.1186/s12876-021-01711-x]</w:t>
      </w:r>
    </w:p>
    <w:p w14:paraId="033FE9A7" w14:textId="210BB44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6A7593">
        <w:rPr>
          <w:rFonts w:ascii="Book Antiqua" w:eastAsia="Book Antiqua" w:hAnsi="Book Antiqua" w:cs="Book Antiqua"/>
        </w:rPr>
        <w:t>111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Carey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I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Gersch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Moigboi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Kuhns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Cloherty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Dusheiko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Agarwal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Pregenomic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Core-Related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Outcomes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Suppressed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  <w:lang w:val="es-ES"/>
        </w:rPr>
        <w:t>Hepatology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2020;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lang w:val="es-ES"/>
        </w:rPr>
        <w:t>72</w:t>
      </w:r>
      <w:r w:rsidRPr="006A7593">
        <w:rPr>
          <w:rFonts w:ascii="Book Antiqua" w:eastAsia="Book Antiqua" w:hAnsi="Book Antiqua" w:cs="Book Antiqua"/>
          <w:lang w:val="es-ES"/>
        </w:rPr>
        <w:t>: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42-57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[PMID: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31701544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DOI: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10.1002/hep.31026]</w:t>
      </w:r>
    </w:p>
    <w:p w14:paraId="45F36570" w14:textId="68DCB35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  <w:lang w:val="es-ES"/>
        </w:rPr>
        <w:t>112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lang w:val="es-ES"/>
        </w:rPr>
        <w:t>Broquetas</w:t>
      </w:r>
      <w:r w:rsidR="009C1FD8" w:rsidRPr="006A7593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lang w:val="es-ES"/>
        </w:rPr>
        <w:t>T</w:t>
      </w:r>
      <w:r w:rsidRPr="006A7593">
        <w:rPr>
          <w:rFonts w:ascii="Book Antiqua" w:eastAsia="Book Antiqua" w:hAnsi="Book Antiqua" w:cs="Book Antiqua"/>
          <w:lang w:val="es-ES"/>
        </w:rPr>
        <w:t>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Garcia-Retortillo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M,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Micó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M,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Canillas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L,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Puigvehí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M,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Cañete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N,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Coll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S,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Viu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A,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Hernandez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JJ,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Bessa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X,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Carrión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  <w:lang w:val="es-ES"/>
        </w:rPr>
        <w:t>JA.</w:t>
      </w:r>
      <w:r w:rsidR="009C1FD8" w:rsidRPr="006A7593">
        <w:rPr>
          <w:rFonts w:ascii="Book Antiqua" w:eastAsia="Book Antiqua" w:hAnsi="Book Antiqua" w:cs="Book Antiqua"/>
          <w:lang w:val="es-ES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core-related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kinetics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adding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pegylated-interferon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World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1076-1088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33312431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10.4254/wjh.v12.i11.1076]</w:t>
      </w:r>
    </w:p>
    <w:p w14:paraId="25875541" w14:textId="4222DE7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113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Inoue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Kusumoto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Iio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Ogawa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Suzuki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Yagi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Kaneko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Matsuura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Aoyagi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Tanaka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novel,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high-sensitivity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HBcrAg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assay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management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reactivation.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302-310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33762167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10.1016/j.jhep.2021.02.017]</w:t>
      </w:r>
    </w:p>
    <w:p w14:paraId="53DE67BE" w14:textId="3B3B495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114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Giersch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Allweiss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Volz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Dandri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Lütgehetmann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pgRNA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marker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cccDNA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activity.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460-462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27826059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10.1016/j.jhep.2016.09.028]</w:t>
      </w:r>
    </w:p>
    <w:p w14:paraId="163EC8A8" w14:textId="2A44769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115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van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Bömmel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Bartens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Mysickova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Hofmann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Krüger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Edelmann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early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envelope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seroconversion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polymerase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inhibitors.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2015;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66-76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25132147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10.1002/hep.27381]</w:t>
      </w:r>
    </w:p>
    <w:p w14:paraId="01A48657" w14:textId="0C6A7D0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116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Butler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EK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Gersch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McNamara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Holzmayer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Medina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Schiff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Kuhns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Cloherty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Analog-Treated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Acute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2106-2117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29734472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10.1002/hep.30082]</w:t>
      </w:r>
    </w:p>
    <w:p w14:paraId="1FC258A7" w14:textId="182901E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117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Mak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Cloherty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Gersch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Profiles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Under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Different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Disease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2167-2179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33159329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10.1002/hep.31616]</w:t>
      </w:r>
    </w:p>
    <w:p w14:paraId="7DCFB61D" w14:textId="0681FC4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118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Mak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LY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Kuchta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Hilfiker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Hamilton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pre-genomic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core-related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reductions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week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favourable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upon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146-162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35989092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10.3350/cmh.2022.0172]</w:t>
      </w:r>
    </w:p>
    <w:p w14:paraId="248A6BC3" w14:textId="586B1DA7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119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Wang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Kumar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Colonno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McCrae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encapsidated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pregenome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persistence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rebound.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700-710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27245431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10.1016/j.jhep.2016.05.029]</w:t>
      </w:r>
    </w:p>
    <w:p w14:paraId="6D54E563" w14:textId="198CC6F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Pfefferkorn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Böhm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Schott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Deichsel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Bremer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Schröder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Gerlich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Glebe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Bömmel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Quantification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large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middle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proteins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(HBsAg)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novel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identification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inactive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carriers.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2045-2053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28951526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10.1136/gutjnl-2017-313811]</w:t>
      </w:r>
    </w:p>
    <w:p w14:paraId="6CF10717" w14:textId="02BEF77D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Peiffer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KH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Kuhnhenn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Mondorf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Vermehren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Knop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Susser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Walter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Dietz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Finkelmeier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Zeuzem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Sarrazin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Hildt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Divergent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Sequences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Virion-Associated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Genomes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Particles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From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Infect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218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114-123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29528436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10.1093/infdis/jiy119]</w:t>
      </w:r>
    </w:p>
    <w:p w14:paraId="75A9EE92" w14:textId="5440D8D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Pfefferkorn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Schott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Böhm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Deichsel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Felkel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Gerlich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Glebe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Pavlovic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Heyne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Bömmel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Composition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283-292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32931877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10.1016/j.jhep.2020.08.039]</w:t>
      </w:r>
    </w:p>
    <w:p w14:paraId="13324290" w14:textId="2480F0B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123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Lim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SG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Phyo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JZJ,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Cloherty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Butler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Kuhns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McNamara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Holzmayer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Gersch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Khine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HTW,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Comparative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biomarkers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shows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dominant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influence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quantitative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(qHBsAg).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Aliment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Pharmacol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Ther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172-182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33159496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10.1111/apt.16149]</w:t>
      </w:r>
    </w:p>
    <w:p w14:paraId="0A305AF8" w14:textId="798961D4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Bogomolov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Alexandrov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Voronkova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Macievich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Kokina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Petrachenkova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Lehr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Lempp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Wedemeyer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Schwab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Haefeli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Blank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Urban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inhibitor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myrcludex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First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results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Ib/IIa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490-498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27132170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10.1016/j.jhep.2016.04.016]</w:t>
      </w:r>
    </w:p>
    <w:p w14:paraId="7C1E8899" w14:textId="46353E5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791F40" w:rsidRPr="006A7593">
        <w:rPr>
          <w:rFonts w:ascii="Book Antiqua" w:eastAsia="Book Antiqua" w:hAnsi="Book Antiqua" w:cs="Book Antiqua"/>
          <w:b/>
          <w:bCs/>
        </w:rPr>
        <w:t>G</w:t>
      </w:r>
      <w:r w:rsidRPr="006A7593">
        <w:rPr>
          <w:rFonts w:ascii="Book Antiqua" w:eastAsia="Book Antiqua" w:hAnsi="Book Antiqua" w:cs="Book Antiqua"/>
          <w:b/>
          <w:bCs/>
        </w:rPr>
        <w:t>ane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E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Jucov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Dobryanska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Arizpe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Cloutier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</w:t>
      </w:r>
      <w:r w:rsidR="009A0811" w:rsidRPr="006A7593">
        <w:rPr>
          <w:rFonts w:ascii="Book Antiqua" w:hAnsi="Book Antiqua" w:cs="Book Antiqua"/>
          <w:lang w:eastAsia="zh-CN"/>
        </w:rPr>
        <w:t>hen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Gupta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tolerability,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activity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VIR-2218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combination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investigational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neutralizing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monoclonal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antibody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VIR-3434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preliminary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results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from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S18</w:t>
      </w:r>
    </w:p>
    <w:p w14:paraId="3A6B51BD" w14:textId="481E65B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Taverniti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V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Ligat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Debing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Baumert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Verrier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Capsid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Assembly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Modulators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against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Molecular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Mechanisms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Clinical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Perspectives.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35268440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10.3390/jcm11051349]</w:t>
      </w:r>
    </w:p>
    <w:p w14:paraId="422B98C0" w14:textId="5EDEFF4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Hui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RW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novel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strategy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408-424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35172540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10.3350/cmh.2022.0012]</w:t>
      </w:r>
    </w:p>
    <w:p w14:paraId="1D8FD678" w14:textId="61C75DA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128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Wooddell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CI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Gish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Locarnini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Chavez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Ferrari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Given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Hamilton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Kanner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Schluep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Lanford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Lewis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RNAi-based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chronically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chimpanzees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reveals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integrated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source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HBsAg.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Sci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Transl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28954926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10.1126/scitranslmed.aan0241]</w:t>
      </w:r>
    </w:p>
    <w:p w14:paraId="32236F78" w14:textId="77A7A4B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129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Ghany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MG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requires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silencing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covalently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closed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circular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integrated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Invest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132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36106633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10.1172/JCI163175]</w:t>
      </w:r>
    </w:p>
    <w:p w14:paraId="14781913" w14:textId="373C8B2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Yuen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Kumada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Suzuki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Suzuki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Karino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Chayama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Imamura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Lao-Tan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Tanaka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Kurosaki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Labio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Kumar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Kweon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Cremer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Elston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Davies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Baptiste-Brown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Campbell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Paff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Theodore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IIa,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randomised,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double-blind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GSK3389404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stable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967-977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35714812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10.1016/j.jhep.2022.05.031]</w:t>
      </w:r>
    </w:p>
    <w:p w14:paraId="5E66B682" w14:textId="01D4E21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Yuen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Plesniak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Tsuji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Pojoga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Gadano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Popescu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Stepanova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Asselah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Diaconescu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Janczewska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Idriz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Imamura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Rizzardini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Takaguchi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Andreone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Arbune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Cremer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Elston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Lukić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Quinn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Maynard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Kendrick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Plein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Campbell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Paff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Theodore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B-Clear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Group.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Bepirovirsen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Engl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387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1957-1968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36346079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10.1056/NEJMoa2210027]</w:t>
      </w:r>
    </w:p>
    <w:p w14:paraId="25747371" w14:textId="67E92AD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Boulon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Blanchet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Lemasson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Vaillant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Labonté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Characterization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2139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lifecycle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vitro.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Antiviral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Res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183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104853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32585322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10.1016/j.antiviral.2020.104853]</w:t>
      </w:r>
    </w:p>
    <w:p w14:paraId="7F7D8433" w14:textId="10834E7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Bazinet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Pântea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Placinta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Moscalu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Cebotarescu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Cojuhari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Jimbei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Iarovoi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Smesnoi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Musteata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Jucov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Dittmer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Krawczyk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Vaillant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Weeks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2139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2165,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Disoproxil,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Pegylated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Alfa-2a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Naïve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158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2180-2194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32147484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10.1053/j.gastro.2020.02.058]</w:t>
      </w:r>
    </w:p>
    <w:p w14:paraId="0D4583AE" w14:textId="342763E3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Lanford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RE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Guerra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Chavez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Giavedoni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Hodara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Brasky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Fosdick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Wolfgang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Halcomb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Tumas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GS-9620,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agonist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Toll-like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receptor-7,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induces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prolonged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suppression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chronically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lastRenderedPageBreak/>
        <w:t>infected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chimpanzees.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144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1508-1517,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1517.e1-1517.10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23415804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10.1053/j.gastro.2013.02.003]</w:t>
      </w:r>
    </w:p>
    <w:p w14:paraId="3ED95419" w14:textId="25BC222D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Janssen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HLA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Brunetto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Ferrari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Massetto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Joshi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Gaggar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Subramanian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Yoshida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NCS,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EJ.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pharmacodynamics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vesatolimod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(GS-9620)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suppressed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431-440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29104121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10.1016/j.jhep.2017.10.027]</w:t>
      </w:r>
    </w:p>
    <w:p w14:paraId="327C0B2A" w14:textId="5D3A5C2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Boni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Vecchi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Rossi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Laccabue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Giuberti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Alfieri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Lampertico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Grossi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Facchetti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Brunetto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Cavallone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Mangia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Santoro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Piazzolla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Gaggar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Subramanian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Ferrari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TLR7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Agonist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Increases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Virus-Specific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Natural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Killer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154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1764-1777.e7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29378197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10.1053/j.gastro.2018.01.030]</w:t>
      </w:r>
    </w:p>
    <w:p w14:paraId="5BC51A0E" w14:textId="415C6B3D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Gane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EJ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Visvanathan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Nguyen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Wallin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McDonald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Arora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Gaggar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Roberts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Safety,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Pharmacokinetics,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Pharmacodynamics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TLR8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Agonist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Selgantolimod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1737-1749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33704806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10.1002/hep.31795]</w:t>
      </w:r>
    </w:p>
    <w:p w14:paraId="33857616" w14:textId="76BBECC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Alexopoulou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Vasilieva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Karayiannis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Approaches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Clin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33019573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10.3390/jcm9103187]</w:t>
      </w:r>
    </w:p>
    <w:p w14:paraId="220FEC28" w14:textId="39475F6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139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Yuen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Elkhashab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Coffin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Greenbloom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Ramji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Macfarlane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Jackson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Locarnini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Afdhal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open-label,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randomized,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multiple-dose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evaluating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Inarigivir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treatment-naïve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Liver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77-89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</w:t>
      </w:r>
      <w:r w:rsidR="00711ADE" w:rsidRPr="006A7593">
        <w:rPr>
          <w:rFonts w:ascii="Book Antiqua" w:eastAsia="Book Antiqua" w:hAnsi="Book Antiqua" w:cs="Book Antiqua"/>
        </w:rPr>
        <w:t>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711ADE" w:rsidRPr="006A7593">
        <w:rPr>
          <w:rFonts w:ascii="Book Antiqua" w:eastAsia="Book Antiqua" w:hAnsi="Book Antiqua" w:cs="Book Antiqua"/>
        </w:rPr>
        <w:t>36300646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711ADE"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711ADE" w:rsidRPr="006A7593">
        <w:rPr>
          <w:rFonts w:ascii="Book Antiqua" w:eastAsia="Book Antiqua" w:hAnsi="Book Antiqua" w:cs="Book Antiqua"/>
        </w:rPr>
        <w:t>10.1111/liv.15465</w:t>
      </w:r>
      <w:r w:rsidRPr="006A7593">
        <w:rPr>
          <w:rFonts w:ascii="Book Antiqua" w:eastAsia="Book Antiqua" w:hAnsi="Book Antiqua" w:cs="Book Antiqua"/>
        </w:rPr>
        <w:t>]</w:t>
      </w:r>
    </w:p>
    <w:p w14:paraId="57E37CEB" w14:textId="25A03661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Yau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Numata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Chopra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Ikeda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Kuromatsu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Moriguchi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Anderson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Cruz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Kudo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Nivolumab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advanced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Sorafenib-experienced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cohort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analysis.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543-552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31176752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10.1016/j.jhep.2019.05.014]</w:t>
      </w:r>
    </w:p>
    <w:p w14:paraId="4D3C1AA9" w14:textId="394FD9C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141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El-Khoueiry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AB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Sangro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Crocenzi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Kudo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Trojan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Welling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Meyer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Yeo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Chopra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Anderson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Dela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Cruz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Neely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Dastani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Melero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Nivolumab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advanced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(CheckMate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040):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open-label,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non-comparative,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1/2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escalation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expansion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Lancet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2017;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389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2492-2502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28434648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10.1016/S0140-6736(17)31046-2]</w:t>
      </w:r>
    </w:p>
    <w:p w14:paraId="15D7B6B0" w14:textId="13A56D5B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Lok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Trinh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Fessel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Rodell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Massetto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Gaggar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Subramanian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McHutchison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Ferrari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Gordon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EJ.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Randomized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study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GS-4774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therapeutic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vaccine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suppressed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65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509-516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27210427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10.1016/j.jhep.2016.05.016]</w:t>
      </w:r>
    </w:p>
    <w:p w14:paraId="0F8849FE" w14:textId="09A33C88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Michler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Kosinska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Festag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Ringelhan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Imhof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Grimm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Steiger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Mogler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Heikenwalder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Michel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Guzman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Milstein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Sepp-Lorenzino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Knolle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Protzer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Knockdown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Expression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Increases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Therapeutic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Vaccine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Efficacy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High-Titer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Carrier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Mice.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158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1762-1775.e9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32001321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10.1053/j.gastro.2020.01.032]</w:t>
      </w:r>
    </w:p>
    <w:p w14:paraId="7A8B56C2" w14:textId="495E6C66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Stieger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</w:t>
      </w:r>
      <w:r w:rsidRPr="006A7593">
        <w:rPr>
          <w:rFonts w:ascii="Book Antiqua" w:eastAsia="Book Antiqua" w:hAnsi="Book Antiqua" w:cs="Book Antiqua"/>
        </w:rPr>
        <w:t>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sodium-taurocholate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cotransporting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polypeptide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(NTCP)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bile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salt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export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pump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(BSEP)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physiology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pathophysiology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bile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formation.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Handb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Exp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Pharmacol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2011: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205-259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21103971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10.1007/978-3-642-14541-4_5]</w:t>
      </w:r>
    </w:p>
    <w:p w14:paraId="4E8C473D" w14:textId="211219AD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van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den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Berg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Limani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Mnyandu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Maepa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Arbuthnot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Advances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RNAi-Based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Viruses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32759756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10.3390/v12080851]</w:t>
      </w:r>
    </w:p>
    <w:p w14:paraId="7695C540" w14:textId="18F913C4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Elbashir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SM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Harborth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Lendeckel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Yalcin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Weber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Tuschl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Duplexes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21-nucleotide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mediate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cultured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mammalian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Nature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2001;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411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494-498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11373684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10.1038/35078107]</w:t>
      </w:r>
    </w:p>
    <w:p w14:paraId="6ABD1D23" w14:textId="3BA7BFD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147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Wong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GLH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achieve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Stopping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adding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drug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development?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76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1249-1262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35589248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10.1016/j.jhep.2021.11.024]</w:t>
      </w:r>
    </w:p>
    <w:p w14:paraId="7413AF56" w14:textId="34B9E2F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Phillips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Jagatia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Chokshi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Novel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therapeutic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strategies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Virulence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2022;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1111-1132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35763282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10.1080/21505594.2022.2093444]</w:t>
      </w:r>
    </w:p>
    <w:p w14:paraId="323A7E77" w14:textId="3433687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149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Lucifora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Reisinger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Stadler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Sprinzl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Koppensteiner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Makowska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Volz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Remouchamps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Thasler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Hüser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Durantel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Münk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Browning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Dejardin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Dandri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Schindler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Heikenwalder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Protzer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Specific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nonhepatotoxic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degradation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cccDNA.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Science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2014;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343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1221-1228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24557838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10.1126/science.1243462]</w:t>
      </w:r>
    </w:p>
    <w:p w14:paraId="09125767" w14:textId="08F34439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Nishio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Bolte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Takeda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Valdez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Ghany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Rehermann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pegylated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Kupffer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limits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activation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response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Sci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Transl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33790025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10.1126/scitranslmed.aba6322]</w:t>
      </w:r>
    </w:p>
    <w:p w14:paraId="1FAFB86D" w14:textId="572E8DD0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J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combination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nucleos(t)ide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analogues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systematic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meta-analysis.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2020;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958-972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33185803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10.1007/s12072-020-10099-x]</w:t>
      </w:r>
    </w:p>
    <w:p w14:paraId="3342F54E" w14:textId="7B05F9B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Lampertico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Viganò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Cheroni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Facchetti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Invernizzi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Valveri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Soffredini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Abrignani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Francesco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Colombo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IL28B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polymorphisms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predict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interferon-related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seroclearance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genotype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57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890-896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22473858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10.1002/hep.25749]</w:t>
      </w:r>
    </w:p>
    <w:p w14:paraId="2AC984A8" w14:textId="58E2499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Boglione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Cusato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Allegra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Esposito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Cariti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Perri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D'Avolio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IL28-B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polymorphisms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peginterferon.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Antiviral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Res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2014;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102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35-43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24316030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10.1016/j.antiviral.2013.11.014]</w:t>
      </w:r>
    </w:p>
    <w:p w14:paraId="0FF2FA46" w14:textId="662E415A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lastRenderedPageBreak/>
        <w:t>154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Du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Broering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Dittmer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advances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discovery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development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TLR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ligands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novel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therapeutics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Expert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Opin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Drug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Discov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2018;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13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661-670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29772941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10.1080/17460441.2018.1473372]</w:t>
      </w:r>
    </w:p>
    <w:p w14:paraId="77780FB7" w14:textId="54F3DC44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Chan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Gack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MU.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evasion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intracellular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sensing.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Nat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Rev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Microbiol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2016;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14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360-373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27174148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10.1038/nrmicro.2016.45]</w:t>
      </w:r>
    </w:p>
    <w:p w14:paraId="53FFD9D6" w14:textId="54A2D0D2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156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Ferrando-Martinez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Bennett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Sterba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Suzich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Janssen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HLA,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Robbins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seroconversion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associated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effective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PD-L1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blockade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during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JHEP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Rep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170-178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32039367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10.1016/j.jhepr.2019.06.001]</w:t>
      </w:r>
    </w:p>
    <w:p w14:paraId="1954D869" w14:textId="5491BD0F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Maini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MK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Burton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Restoring,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releasing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replacing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adaptive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immunity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Nat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Rev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2019;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16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662-675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31548710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10.1038/s41575-019-0196-9]</w:t>
      </w:r>
    </w:p>
    <w:p w14:paraId="66FEFCAC" w14:textId="68323D34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158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Meng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Xie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Zhou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CB,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Lu-En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Bertoletti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Immunotherapy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HBV-related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advanced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short-term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HBV-specific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TCR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expressed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cells: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results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escalation,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2021;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15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1402-1412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34850325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10.1007/s12072-021-10250-2]</w:t>
      </w:r>
    </w:p>
    <w:p w14:paraId="5F304C17" w14:textId="69D2F7CC" w:rsidR="001C1079" w:rsidRPr="006A7593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159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Yang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F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J,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Du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RW,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Zhang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Q,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Messenger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electroporated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(HBV)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antigen-specific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receptor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(TCR)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redirected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cell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well-tolerated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recurrent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HBV-related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post-liver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transplantation: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results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from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trial.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Int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37067675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10.1007/s12072-023-10524-x]</w:t>
      </w:r>
    </w:p>
    <w:p w14:paraId="5AE406FD" w14:textId="3E6DF8B1" w:rsidR="00A77B3E" w:rsidRPr="006A7593" w:rsidRDefault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</w:rPr>
        <w:t>160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Lim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SG</w:t>
      </w:r>
      <w:r w:rsidRPr="006A7593">
        <w:rPr>
          <w:rFonts w:ascii="Book Antiqua" w:eastAsia="Book Antiqua" w:hAnsi="Book Antiqua" w:cs="Book Antiqua"/>
        </w:rPr>
        <w:t>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Baumert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TF,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Boni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Gane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Levrero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Maini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MK,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Terrault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Zoulim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scientific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basis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combination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therapy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cure.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Nat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Rev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Gastroenterol</w:t>
      </w:r>
      <w:r w:rsidR="009C1FD8" w:rsidRPr="006A7593">
        <w:rPr>
          <w:rFonts w:ascii="Book Antiqua" w:eastAsia="Book Antiqua" w:hAnsi="Book Antiqua" w:cs="Book Antiqua"/>
          <w:i/>
          <w:iCs/>
        </w:rPr>
        <w:t xml:space="preserve"> </w:t>
      </w:r>
      <w:r w:rsidRPr="006A7593">
        <w:rPr>
          <w:rFonts w:ascii="Book Antiqua" w:eastAsia="Book Antiqua" w:hAnsi="Book Antiqua" w:cs="Book Antiqua"/>
          <w:i/>
          <w:iCs/>
        </w:rPr>
        <w:t>Hepatol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20</w:t>
      </w:r>
      <w:r w:rsidRPr="006A7593">
        <w:rPr>
          <w:rFonts w:ascii="Book Antiqua" w:eastAsia="Book Antiqua" w:hAnsi="Book Antiqua" w:cs="Book Antiqua"/>
        </w:rPr>
        <w:t>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238-253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[PMID: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36631717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DOI: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10.1038/s41575-022-00724-5]</w:t>
      </w:r>
    </w:p>
    <w:p w14:paraId="78ED02AE" w14:textId="77777777" w:rsidR="00A77B3E" w:rsidRPr="006A7593" w:rsidRDefault="00A77B3E">
      <w:pPr>
        <w:spacing w:line="360" w:lineRule="auto"/>
        <w:jc w:val="both"/>
        <w:sectPr w:rsidR="00A77B3E" w:rsidRPr="006A759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8CC732" w14:textId="77777777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C297EA" w14:textId="76019190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  <w:szCs w:val="20"/>
        </w:rPr>
        <w:t>Conflict-of-interest</w:t>
      </w:r>
      <w:r w:rsidR="009C1FD8" w:rsidRPr="006A7593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  <w:szCs w:val="20"/>
        </w:rPr>
        <w:t>statement:</w:t>
      </w:r>
      <w:r w:rsidR="009C1FD8" w:rsidRPr="006A7593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authors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declare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have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conflict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interest.</w:t>
      </w:r>
    </w:p>
    <w:p w14:paraId="7A4AC22C" w14:textId="77777777" w:rsidR="00A77B3E" w:rsidRPr="006A7593" w:rsidRDefault="00A77B3E">
      <w:pPr>
        <w:spacing w:line="360" w:lineRule="auto"/>
        <w:jc w:val="both"/>
      </w:pPr>
    </w:p>
    <w:p w14:paraId="21080DD8" w14:textId="0F48E230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</w:rPr>
        <w:t>Open-Access: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</w:rPr>
        <w:t>This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article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open-access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article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was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selected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in-house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editor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fully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peer-reviewed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external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reviewers.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distributed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accordance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Creative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Commons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Attribution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NonCommercial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(CC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BY-NC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4.0)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license,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which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permits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others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distribute,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remix,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adapt,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build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upon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non-commercially,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license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derivative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works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different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terms,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provided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original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work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properly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cited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non-commercial.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See: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https://creativecommons.org/Licenses/by-nc/4.0/</w:t>
      </w:r>
    </w:p>
    <w:p w14:paraId="4D07D4AF" w14:textId="77777777" w:rsidR="00A77B3E" w:rsidRPr="006A7593" w:rsidRDefault="00A77B3E">
      <w:pPr>
        <w:spacing w:line="360" w:lineRule="auto"/>
        <w:jc w:val="both"/>
      </w:pPr>
    </w:p>
    <w:p w14:paraId="407726C6" w14:textId="70580F66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Provenance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and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peer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review: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Invited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article;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Externally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reviewed.</w:t>
      </w:r>
    </w:p>
    <w:p w14:paraId="361754AB" w14:textId="63E94D2C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Peer-review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model: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Single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blind</w:t>
      </w:r>
    </w:p>
    <w:p w14:paraId="3817FCB0" w14:textId="77777777" w:rsidR="00A77B3E" w:rsidRPr="006A7593" w:rsidRDefault="00A77B3E">
      <w:pPr>
        <w:spacing w:line="360" w:lineRule="auto"/>
        <w:jc w:val="both"/>
      </w:pPr>
    </w:p>
    <w:p w14:paraId="0B45BA3E" w14:textId="65CE9029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Peer-review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started: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March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27,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</w:t>
      </w:r>
    </w:p>
    <w:p w14:paraId="0D0688E2" w14:textId="3C0159E9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First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decision: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May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12,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2023</w:t>
      </w:r>
    </w:p>
    <w:p w14:paraId="4EBE0DF5" w14:textId="2212BCD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Article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in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press: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0A70" w:rsidRPr="006A7593">
        <w:rPr>
          <w:rFonts w:ascii="Book Antiqua" w:eastAsia="Book Antiqua" w:hAnsi="Book Antiqua" w:cs="Book Antiqua"/>
        </w:rPr>
        <w:t>June 6, 2023</w:t>
      </w:r>
    </w:p>
    <w:p w14:paraId="6C2A5142" w14:textId="77777777" w:rsidR="00A77B3E" w:rsidRPr="006A7593" w:rsidRDefault="00A77B3E">
      <w:pPr>
        <w:spacing w:line="360" w:lineRule="auto"/>
        <w:jc w:val="both"/>
      </w:pPr>
    </w:p>
    <w:p w14:paraId="2E7C4857" w14:textId="1C650D98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Specialty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type: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Gastroenterology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C35CC3" w:rsidRPr="006A7593">
        <w:rPr>
          <w:rFonts w:ascii="Book Antiqua" w:eastAsia="Book Antiqua" w:hAnsi="Book Antiqua" w:cs="Book Antiqua"/>
        </w:rPr>
        <w:t>hep</w:t>
      </w:r>
      <w:r w:rsidRPr="006A7593">
        <w:rPr>
          <w:rFonts w:ascii="Book Antiqua" w:eastAsia="Book Antiqua" w:hAnsi="Book Antiqua" w:cs="Book Antiqua"/>
        </w:rPr>
        <w:t>atology</w:t>
      </w:r>
    </w:p>
    <w:p w14:paraId="70EFF2B7" w14:textId="119FC3AA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Country/Territory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of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origin: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Spain</w:t>
      </w:r>
    </w:p>
    <w:p w14:paraId="403F50C4" w14:textId="056717DF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color w:val="000000"/>
        </w:rPr>
        <w:t>Peer-review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report’s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scientific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quality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80A3376" w14:textId="5A9F6E64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</w:rPr>
        <w:t>Grade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(Excellent):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</w:p>
    <w:p w14:paraId="1A6521EB" w14:textId="0B3DA5A3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</w:rPr>
        <w:t>Grade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(Very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good):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</w:p>
    <w:p w14:paraId="34D2E500" w14:textId="17213B69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</w:rPr>
        <w:t>Grade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(Good):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0</w:t>
      </w:r>
    </w:p>
    <w:p w14:paraId="19A8066C" w14:textId="48872BEC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</w:rPr>
        <w:t>Grade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(Fair):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0</w:t>
      </w:r>
    </w:p>
    <w:p w14:paraId="5E0B1368" w14:textId="7B55103C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</w:rPr>
        <w:t>Grade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(Poor):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0</w:t>
      </w:r>
    </w:p>
    <w:p w14:paraId="69F46322" w14:textId="77777777" w:rsidR="00A77B3E" w:rsidRPr="006A7593" w:rsidRDefault="00A77B3E">
      <w:pPr>
        <w:spacing w:line="360" w:lineRule="auto"/>
        <w:jc w:val="both"/>
      </w:pPr>
    </w:p>
    <w:p w14:paraId="5F8BEDD6" w14:textId="70C940DD" w:rsidR="00A77B3E" w:rsidRPr="006A7593" w:rsidRDefault="001A5A9C" w:rsidP="00D90A70">
      <w:pPr>
        <w:spacing w:line="360" w:lineRule="auto"/>
        <w:sectPr w:rsidR="00A77B3E" w:rsidRPr="006A75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7593">
        <w:rPr>
          <w:rFonts w:ascii="Book Antiqua" w:eastAsia="Book Antiqua" w:hAnsi="Book Antiqua" w:cs="Book Antiqua"/>
          <w:b/>
          <w:color w:val="000000"/>
        </w:rPr>
        <w:t>P-Reviewer: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Gupta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India;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Korkmaz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Turkey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S-Editor: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5CC3" w:rsidRPr="006A7593">
        <w:rPr>
          <w:rFonts w:ascii="Book Antiqua" w:eastAsia="Book Antiqua" w:hAnsi="Book Antiqua" w:cs="Book Antiqua"/>
          <w:bCs/>
          <w:color w:val="000000"/>
        </w:rPr>
        <w:t>C</w:t>
      </w:r>
      <w:r w:rsidR="00C35CC3" w:rsidRPr="006A7593">
        <w:rPr>
          <w:rFonts w:ascii="Book Antiqua" w:hAnsi="Book Antiqua" w:cs="Book Antiqua"/>
          <w:bCs/>
          <w:color w:val="000000"/>
          <w:lang w:eastAsia="zh-CN"/>
        </w:rPr>
        <w:t>hen</w:t>
      </w:r>
      <w:r w:rsidR="009C1FD8" w:rsidRPr="006A759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35CC3" w:rsidRPr="006A7593">
        <w:rPr>
          <w:rFonts w:ascii="Book Antiqua" w:eastAsia="Book Antiqua" w:hAnsi="Book Antiqua" w:cs="Book Antiqua"/>
          <w:bCs/>
          <w:color w:val="000000"/>
        </w:rPr>
        <w:t>YL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L-Editor: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5CC3" w:rsidRPr="006A7593">
        <w:rPr>
          <w:rFonts w:ascii="Book Antiqua" w:eastAsia="Book Antiqua" w:hAnsi="Book Antiqua" w:cs="Book Antiqua"/>
          <w:bCs/>
          <w:color w:val="000000"/>
        </w:rPr>
        <w:t>A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P-Editor: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0A70" w:rsidRPr="006A7593">
        <w:rPr>
          <w:rFonts w:ascii="Book Antiqua" w:eastAsia="Book Antiqua" w:hAnsi="Book Antiqua" w:cs="Book Antiqua"/>
          <w:bCs/>
          <w:color w:val="000000"/>
        </w:rPr>
        <w:t>Yu HG</w:t>
      </w:r>
    </w:p>
    <w:p w14:paraId="16300675" w14:textId="4F60FCFE" w:rsidR="00A77B3E" w:rsidRPr="006A7593" w:rsidRDefault="001A5A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A759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C1FD8" w:rsidRPr="006A759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b/>
          <w:color w:val="000000"/>
        </w:rPr>
        <w:t>Legends</w:t>
      </w:r>
    </w:p>
    <w:p w14:paraId="4B747691" w14:textId="6706E79E" w:rsidR="001C1079" w:rsidRPr="006A7593" w:rsidRDefault="00311F4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090022CF" wp14:editId="672DE714">
            <wp:extent cx="3444875" cy="2328545"/>
            <wp:effectExtent l="0" t="0" r="0" b="0"/>
            <wp:docPr id="12990669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7E21" w14:textId="043DF200" w:rsidR="00A77B3E" w:rsidRPr="006A7593" w:rsidRDefault="001A5A9C">
      <w:pPr>
        <w:spacing w:line="360" w:lineRule="auto"/>
        <w:jc w:val="both"/>
      </w:pPr>
      <w:r w:rsidRPr="006A7593">
        <w:rPr>
          <w:rFonts w:ascii="Book Antiqua" w:eastAsia="Book Antiqua" w:hAnsi="Book Antiqua" w:cs="Book Antiqua"/>
          <w:b/>
          <w:bCs/>
        </w:rPr>
        <w:t>Figure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1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Phases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of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hepatitis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virus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6C1003"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6C1003" w:rsidRPr="006A7593">
        <w:rPr>
          <w:rFonts w:ascii="Book Antiqua" w:eastAsia="Book Antiqua" w:hAnsi="Book Antiqua" w:cs="Book Antiqua"/>
        </w:rPr>
        <w:t>persistence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(HBV)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surface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longer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six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months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considered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marker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4A1E53" w:rsidRPr="004A1E53">
        <w:rPr>
          <w:rFonts w:ascii="Book Antiqua" w:eastAsia="Book Antiqua" w:hAnsi="Book Antiqua" w:cs="Book Antiqua"/>
        </w:rPr>
        <w:t>hepatitis</w:t>
      </w:r>
      <w:r w:rsidR="004A1E53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(CHB)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(HBeAg)-positive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occurs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younger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patients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high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load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normal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tests.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contrast,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HBeAg-negative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infection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characterized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low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levels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virus-DNA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normal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function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without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fibrosis.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Generally,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treatment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not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recommended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these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two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phases.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Chronic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defined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by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presence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transaminases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high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load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that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induce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liver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fibrosis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risk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of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developing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hepatocellular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carcinoma,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being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antiviral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treatment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  <w:color w:val="000000"/>
        </w:rPr>
        <w:t>recommended</w:t>
      </w:r>
      <w:r w:rsidRPr="006A7593">
        <w:rPr>
          <w:rFonts w:ascii="Book Antiqua" w:eastAsia="Book Antiqua" w:hAnsi="Book Antiqua" w:cs="Book Antiqua"/>
          <w:szCs w:val="30"/>
          <w:vertAlign w:val="superscript"/>
        </w:rPr>
        <w:t>[9-11]</w:t>
      </w:r>
      <w:r w:rsidRPr="006A7593">
        <w:rPr>
          <w:rFonts w:ascii="Book Antiqua" w:eastAsia="Book Antiqua" w:hAnsi="Book Antiqua" w:cs="Book Antiqua"/>
          <w:color w:val="000000"/>
        </w:rPr>
        <w:t>.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HBV: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HBeAg: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ALT: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Alanine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aminotransferase.</w:t>
      </w:r>
    </w:p>
    <w:p w14:paraId="5DF48F94" w14:textId="77777777" w:rsidR="00A77B3E" w:rsidRPr="006A7593" w:rsidRDefault="00A77B3E">
      <w:pPr>
        <w:spacing w:line="360" w:lineRule="auto"/>
        <w:jc w:val="both"/>
      </w:pPr>
    </w:p>
    <w:p w14:paraId="0A350792" w14:textId="5CAA27D2" w:rsidR="001C1079" w:rsidRPr="006A7593" w:rsidRDefault="00311F48">
      <w:pPr>
        <w:spacing w:line="360" w:lineRule="auto"/>
        <w:jc w:val="both"/>
      </w:pPr>
      <w:r>
        <w:rPr>
          <w:rFonts w:ascii="Book Antiqua" w:hAnsi="Book Antiqua" w:cs="Book Antiqua"/>
          <w:noProof/>
          <w:lang w:eastAsia="zh-CN"/>
        </w:rPr>
        <w:drawing>
          <wp:inline distT="0" distB="0" distL="0" distR="0" wp14:anchorId="695537A7" wp14:editId="6A3DB734">
            <wp:extent cx="3976370" cy="1318260"/>
            <wp:effectExtent l="0" t="0" r="0" b="0"/>
            <wp:docPr id="212222258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0279C" w14:textId="52CA20B1" w:rsidR="00A77B3E" w:rsidRPr="006A7593" w:rsidRDefault="001A5A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Book Antiqua" w:hAnsi="Book Antiqua" w:cs="Book Antiqua"/>
          <w:b/>
          <w:bCs/>
        </w:rPr>
        <w:t>Figure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2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Hepatitis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B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virus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antiviral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treatment</w:t>
      </w:r>
      <w:r w:rsidR="009C1FD8" w:rsidRPr="006A7593">
        <w:rPr>
          <w:rFonts w:ascii="Book Antiqua" w:eastAsia="Book Antiqua" w:hAnsi="Book Antiqua" w:cs="Book Antiqua"/>
          <w:b/>
          <w:bCs/>
        </w:rPr>
        <w:t xml:space="preserve"> </w:t>
      </w:r>
      <w:r w:rsidRPr="006A7593">
        <w:rPr>
          <w:rFonts w:ascii="Book Antiqua" w:eastAsia="Book Antiqua" w:hAnsi="Book Antiqua" w:cs="Book Antiqua"/>
          <w:b/>
          <w:bCs/>
        </w:rPr>
        <w:t>history.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45561"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45561" w:rsidRPr="006A7593">
        <w:rPr>
          <w:rFonts w:ascii="Book Antiqua" w:eastAsia="Book Antiqua" w:hAnsi="Book Antiqua" w:cs="Book Antiqua"/>
        </w:rPr>
        <w:t>figure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shows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the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United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States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Food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Drug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Administration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approval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dates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for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virus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drugs.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45561" w:rsidRPr="006A7593">
        <w:rPr>
          <w:rFonts w:ascii="Book Antiqua" w:eastAsia="Book Antiqua" w:hAnsi="Book Antiqua" w:cs="Book Antiqua"/>
        </w:rPr>
        <w:t>IFN: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145561" w:rsidRPr="006A7593">
        <w:rPr>
          <w:rFonts w:ascii="Book Antiqua" w:eastAsia="Book Antiqua" w:hAnsi="Book Antiqua" w:cs="Book Antiqua"/>
        </w:rPr>
        <w:lastRenderedPageBreak/>
        <w:t>Interferon;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Peg-IFN: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Pegylated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interferon;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Lamivudine;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ADV: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Adefovir;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TDF: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ETV: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Entecavir;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LdT: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Telbivudine;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TAF: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Tenofovir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alafenamide.</w:t>
      </w:r>
    </w:p>
    <w:p w14:paraId="7CAC4EA8" w14:textId="77777777" w:rsidR="003474CE" w:rsidRPr="006A7593" w:rsidRDefault="003474CE">
      <w:pPr>
        <w:spacing w:line="360" w:lineRule="auto"/>
        <w:jc w:val="both"/>
        <w:sectPr w:rsidR="003474CE" w:rsidRPr="006A75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526BB4" w14:textId="059C7B96" w:rsidR="003474CE" w:rsidRPr="006A7593" w:rsidRDefault="003474CE" w:rsidP="003474C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Times New Roman" w:hAnsi="Book Antiqua" w:cs="Arial"/>
          <w:b/>
          <w:bCs/>
          <w:color w:val="000000"/>
        </w:rPr>
        <w:lastRenderedPageBreak/>
        <w:t>Table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1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Efficacy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of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available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antiviral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treatments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and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="00DE6479" w:rsidRPr="006A7593">
        <w:rPr>
          <w:rFonts w:ascii="Book Antiqua" w:eastAsia="Times New Roman" w:hAnsi="Book Antiqua" w:cs="Arial"/>
          <w:b/>
          <w:bCs/>
          <w:color w:val="000000"/>
        </w:rPr>
        <w:t>nucleos(t)ide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="00DE6479" w:rsidRPr="006A7593">
        <w:rPr>
          <w:rFonts w:ascii="Book Antiqua" w:eastAsia="Times New Roman" w:hAnsi="Book Antiqua" w:cs="Arial"/>
          <w:b/>
          <w:bCs/>
          <w:color w:val="000000"/>
        </w:rPr>
        <w:t>analogues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withdrawal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to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achieve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hepatitis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B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virus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surface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antigen</w:t>
      </w:r>
      <w:r w:rsidR="009C1FD8" w:rsidRPr="006A7593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b/>
          <w:bCs/>
          <w:color w:val="000000"/>
        </w:rPr>
        <w:t>loss</w:t>
      </w:r>
    </w:p>
    <w:tbl>
      <w:tblPr>
        <w:tblStyle w:val="Tablaconcuadrcula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2352"/>
        <w:gridCol w:w="1145"/>
        <w:gridCol w:w="1561"/>
        <w:gridCol w:w="1243"/>
        <w:gridCol w:w="1249"/>
      </w:tblGrid>
      <w:tr w:rsidR="003474CE" w:rsidRPr="006A7593" w14:paraId="30755E9C" w14:textId="77777777" w:rsidTr="00E662F1"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14:paraId="69FACF26" w14:textId="77777777" w:rsidR="003474CE" w:rsidRPr="006A7593" w:rsidRDefault="00B52249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Ref.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55E9E142" w14:textId="6352E7C4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Treatment</w:t>
            </w:r>
            <w:r w:rsidR="009C1FD8" w:rsidRPr="006A7593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(duration)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087395D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HBeAg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14:paraId="554926E9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Ethnicity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72669A80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Follow-up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654202E1" w14:textId="2077A69A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loss</w:t>
            </w:r>
            <w:r w:rsidR="009C1FD8" w:rsidRPr="006A7593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(%)</w:t>
            </w:r>
          </w:p>
        </w:tc>
      </w:tr>
      <w:tr w:rsidR="00B52249" w:rsidRPr="006A7593" w14:paraId="2C02384F" w14:textId="77777777" w:rsidTr="00B52249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21BB5D97" w14:textId="5B2E79D8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</w:rPr>
              <w:t>Current</w:t>
            </w:r>
            <w:r w:rsidR="009C1FD8" w:rsidRPr="006A7593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</w:rPr>
              <w:t>antiviral</w:t>
            </w:r>
            <w:r w:rsidR="009C1FD8" w:rsidRPr="006A7593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</w:rPr>
              <w:t>treatments</w:t>
            </w:r>
          </w:p>
        </w:tc>
      </w:tr>
      <w:tr w:rsidR="003474CE" w:rsidRPr="006A7593" w14:paraId="7955D436" w14:textId="77777777" w:rsidTr="00E662F1">
        <w:tc>
          <w:tcPr>
            <w:tcW w:w="1058" w:type="pct"/>
          </w:tcPr>
          <w:p w14:paraId="6C36E8FE" w14:textId="7511BF40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Lau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A71C21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A71C21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[84]</w:t>
            </w:r>
            <w:r w:rsidR="00A71C21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A71C21" w:rsidRPr="006A7593">
              <w:rPr>
                <w:rFonts w:ascii="Book Antiqua" w:hAnsi="Book Antiqua" w:cs="Arial"/>
                <w:noProof/>
                <w:lang w:val="en-US"/>
              </w:rPr>
              <w:t>2005</w:t>
            </w:r>
          </w:p>
        </w:tc>
        <w:tc>
          <w:tcPr>
            <w:tcW w:w="1228" w:type="pct"/>
          </w:tcPr>
          <w:p w14:paraId="11953E41" w14:textId="33C23D6A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Peg-IFNα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2581FF55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072D30CE" w14:textId="45EC19C8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Mainly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6BB608E7" w14:textId="2E925D20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6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41807D5B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2.9</w:t>
            </w:r>
          </w:p>
        </w:tc>
      </w:tr>
      <w:tr w:rsidR="003474CE" w:rsidRPr="006A7593" w14:paraId="7DE7F699" w14:textId="77777777" w:rsidTr="00E662F1">
        <w:trPr>
          <w:trHeight w:val="337"/>
        </w:trPr>
        <w:tc>
          <w:tcPr>
            <w:tcW w:w="1058" w:type="pct"/>
          </w:tcPr>
          <w:p w14:paraId="6CBB18BF" w14:textId="21F95E48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Marcellin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04194B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04194B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[85]</w:t>
            </w:r>
            <w:r w:rsidR="0004194B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04194B" w:rsidRPr="006A7593">
              <w:rPr>
                <w:rFonts w:ascii="Book Antiqua" w:hAnsi="Book Antiqua" w:cs="Arial"/>
                <w:noProof/>
                <w:lang w:val="en-US"/>
              </w:rPr>
              <w:t>2013</w:t>
            </w:r>
          </w:p>
        </w:tc>
        <w:tc>
          <w:tcPr>
            <w:tcW w:w="1228" w:type="pct"/>
          </w:tcPr>
          <w:p w14:paraId="60B13E69" w14:textId="47C8CDCD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Peg-IFNα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0AB4390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3EFDB20A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25A40F50" w14:textId="00FC895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60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1EC3633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12.0</w:t>
            </w:r>
          </w:p>
        </w:tc>
      </w:tr>
      <w:tr w:rsidR="003474CE" w:rsidRPr="006A7593" w14:paraId="4A8AA1FB" w14:textId="77777777" w:rsidTr="00E662F1">
        <w:tc>
          <w:tcPr>
            <w:tcW w:w="1058" w:type="pct"/>
          </w:tcPr>
          <w:p w14:paraId="46EC5500" w14:textId="49EDC152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Chang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04194B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04194B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[48]</w:t>
            </w:r>
            <w:r w:rsidR="0004194B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04194B" w:rsidRPr="006A7593">
              <w:rPr>
                <w:rFonts w:ascii="Book Antiqua" w:hAnsi="Book Antiqua" w:cs="Arial"/>
                <w:noProof/>
                <w:lang w:val="en-US"/>
              </w:rPr>
              <w:t>2010</w:t>
            </w:r>
          </w:p>
        </w:tc>
        <w:tc>
          <w:tcPr>
            <w:tcW w:w="1228" w:type="pct"/>
          </w:tcPr>
          <w:p w14:paraId="7385BFEE" w14:textId="14223EAD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ETV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(5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6D2112FB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28E21B66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0541E768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4C5741F8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1.4</w:t>
            </w:r>
          </w:p>
        </w:tc>
      </w:tr>
      <w:tr w:rsidR="003474CE" w:rsidRPr="006A7593" w14:paraId="1EED3758" w14:textId="77777777" w:rsidTr="00E662F1">
        <w:tc>
          <w:tcPr>
            <w:tcW w:w="1058" w:type="pct"/>
          </w:tcPr>
          <w:p w14:paraId="437500B0" w14:textId="4043BF74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Ahn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[32]</w:t>
            </w:r>
            <w:r w:rsidR="00BB4717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noProof/>
                <w:lang w:val="en-US"/>
              </w:rPr>
              <w:t>2016</w:t>
            </w:r>
          </w:p>
        </w:tc>
        <w:tc>
          <w:tcPr>
            <w:tcW w:w="1228" w:type="pct"/>
          </w:tcPr>
          <w:p w14:paraId="7AA825FE" w14:textId="5D482E0F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ETV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(5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1FC67B1C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1C6DA223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34F1DEB3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3DF94588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4.6</w:t>
            </w:r>
          </w:p>
        </w:tc>
      </w:tr>
      <w:tr w:rsidR="003474CE" w:rsidRPr="006A7593" w14:paraId="06596A08" w14:textId="77777777" w:rsidTr="00E662F1">
        <w:tc>
          <w:tcPr>
            <w:tcW w:w="1058" w:type="pct"/>
          </w:tcPr>
          <w:p w14:paraId="0D70E2A5" w14:textId="02382BBD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Marcellin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[33]</w:t>
            </w:r>
            <w:r w:rsidR="00BB4717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noProof/>
                <w:lang w:val="en-US"/>
              </w:rPr>
              <w:t>2019</w:t>
            </w:r>
          </w:p>
        </w:tc>
        <w:tc>
          <w:tcPr>
            <w:tcW w:w="1228" w:type="pct"/>
          </w:tcPr>
          <w:p w14:paraId="3EB385D8" w14:textId="26372124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TDF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(10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08228843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2FD22F2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2D68E46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2C103F4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4.9</w:t>
            </w:r>
          </w:p>
        </w:tc>
      </w:tr>
      <w:tr w:rsidR="003474CE" w:rsidRPr="006A7593" w14:paraId="72E4A653" w14:textId="77777777" w:rsidTr="00E662F1">
        <w:tc>
          <w:tcPr>
            <w:tcW w:w="1058" w:type="pct"/>
          </w:tcPr>
          <w:p w14:paraId="2F456E74" w14:textId="256A0F26" w:rsidR="003474CE" w:rsidRPr="006A7593" w:rsidRDefault="00BB4717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Marcellin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[33]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2019</w:t>
            </w:r>
          </w:p>
        </w:tc>
        <w:tc>
          <w:tcPr>
            <w:tcW w:w="1228" w:type="pct"/>
          </w:tcPr>
          <w:p w14:paraId="15AB1ECD" w14:textId="109E51BB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TDF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(10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60C95CF6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280035F1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2B221999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563CBB27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3.4</w:t>
            </w:r>
          </w:p>
        </w:tc>
      </w:tr>
      <w:tr w:rsidR="003474CE" w:rsidRPr="006A7593" w14:paraId="4125F8C2" w14:textId="77777777" w:rsidTr="00E662F1">
        <w:tc>
          <w:tcPr>
            <w:tcW w:w="1058" w:type="pct"/>
          </w:tcPr>
          <w:p w14:paraId="48CDB237" w14:textId="788914EF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Chan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[30]</w:t>
            </w:r>
            <w:r w:rsidR="00BB4717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BB4717" w:rsidRPr="006A7593">
              <w:rPr>
                <w:rFonts w:ascii="Book Antiqua" w:hAnsi="Book Antiqua" w:cs="Arial"/>
                <w:noProof/>
                <w:lang w:val="en-US"/>
              </w:rPr>
              <w:t>2016</w:t>
            </w:r>
          </w:p>
        </w:tc>
        <w:tc>
          <w:tcPr>
            <w:tcW w:w="1228" w:type="pct"/>
          </w:tcPr>
          <w:p w14:paraId="163ACFC2" w14:textId="17AE372F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TAF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(3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69410EE7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7FE5B46B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2A475A6B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0E6483E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4.0</w:t>
            </w:r>
          </w:p>
        </w:tc>
      </w:tr>
      <w:tr w:rsidR="003474CE" w:rsidRPr="006A7593" w14:paraId="44C5A80B" w14:textId="77777777" w:rsidTr="00E662F1">
        <w:tc>
          <w:tcPr>
            <w:tcW w:w="1058" w:type="pct"/>
          </w:tcPr>
          <w:p w14:paraId="68C50643" w14:textId="48AD028D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Buti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95235D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95235D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="0095235D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31]</w:t>
            </w:r>
            <w:r w:rsidR="0095235D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95235D" w:rsidRPr="006A7593">
              <w:rPr>
                <w:rFonts w:ascii="Book Antiqua" w:hAnsi="Book Antiqua" w:cs="Arial"/>
                <w:noProof/>
                <w:lang w:val="en-US"/>
              </w:rPr>
              <w:t>2016</w:t>
            </w:r>
          </w:p>
        </w:tc>
        <w:tc>
          <w:tcPr>
            <w:tcW w:w="1228" w:type="pct"/>
          </w:tcPr>
          <w:p w14:paraId="698E25BC" w14:textId="5251C4F3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TAF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(3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0D4A7EA2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7DE8BE73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64DF4B6B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655D3BA2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3.0</w:t>
            </w:r>
          </w:p>
        </w:tc>
      </w:tr>
      <w:tr w:rsidR="00B52249" w:rsidRPr="006A7593" w14:paraId="597B7A50" w14:textId="77777777" w:rsidTr="00B52249">
        <w:tc>
          <w:tcPr>
            <w:tcW w:w="5000" w:type="pct"/>
            <w:gridSpan w:val="6"/>
          </w:tcPr>
          <w:p w14:paraId="6DCC80F0" w14:textId="08B3A00A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</w:rPr>
              <w:t>Combined</w:t>
            </w:r>
            <w:r w:rsidR="009C1FD8" w:rsidRPr="006A7593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</w:rPr>
              <w:t>treatments</w:t>
            </w:r>
          </w:p>
        </w:tc>
      </w:tr>
      <w:tr w:rsidR="003474CE" w:rsidRPr="006A7593" w14:paraId="50442F70" w14:textId="77777777" w:rsidTr="00E662F1">
        <w:tc>
          <w:tcPr>
            <w:tcW w:w="1058" w:type="pct"/>
          </w:tcPr>
          <w:p w14:paraId="7110241A" w14:textId="6D6F7F32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Marcellin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95235D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95235D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="0095235D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86]</w:t>
            </w:r>
            <w:r w:rsidR="0095235D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95235D" w:rsidRPr="006A7593">
              <w:rPr>
                <w:rFonts w:ascii="Book Antiqua" w:hAnsi="Book Antiqua" w:cs="Arial"/>
                <w:noProof/>
                <w:lang w:val="en-US"/>
              </w:rPr>
              <w:t>2016</w:t>
            </w:r>
          </w:p>
        </w:tc>
        <w:tc>
          <w:tcPr>
            <w:tcW w:w="1228" w:type="pct"/>
          </w:tcPr>
          <w:p w14:paraId="1345FFDF" w14:textId="4B546C3B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Peg-IFN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TDF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7F75BC64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+/-</w:t>
            </w:r>
          </w:p>
        </w:tc>
        <w:tc>
          <w:tcPr>
            <w:tcW w:w="815" w:type="pct"/>
          </w:tcPr>
          <w:p w14:paraId="62C932E0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5BB1A09A" w14:textId="3A87E278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18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486B1CF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9.1</w:t>
            </w:r>
          </w:p>
        </w:tc>
      </w:tr>
      <w:tr w:rsidR="003474CE" w:rsidRPr="006A7593" w14:paraId="408B40CB" w14:textId="77777777" w:rsidTr="00E662F1">
        <w:tc>
          <w:tcPr>
            <w:tcW w:w="1058" w:type="pct"/>
          </w:tcPr>
          <w:p w14:paraId="62DCBC7E" w14:textId="7BDD071E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Bourlière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222CD0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222CD0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="00222CD0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87]</w:t>
            </w:r>
            <w:r w:rsidR="00222CD0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222CD0" w:rsidRPr="006A7593">
              <w:rPr>
                <w:rFonts w:ascii="Book Antiqua" w:hAnsi="Book Antiqua" w:cs="Arial"/>
                <w:noProof/>
                <w:lang w:val="en-US"/>
              </w:rPr>
              <w:t>2017</w:t>
            </w:r>
          </w:p>
        </w:tc>
        <w:tc>
          <w:tcPr>
            <w:tcW w:w="1228" w:type="pct"/>
          </w:tcPr>
          <w:p w14:paraId="493821B0" w14:textId="5B4B7F5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ETV,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TDF,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ADV,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and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LAM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097136B5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A7593">
              <w:rPr>
                <w:rFonts w:ascii="Book Antiqua" w:eastAsiaTheme="minorEastAsia" w:hAnsi="Book Antiqua" w:cs="Arial" w:hint="eastAsia"/>
                <w:lang w:eastAsia="zh-CN"/>
              </w:rPr>
              <w:t>-</w:t>
            </w:r>
          </w:p>
        </w:tc>
        <w:tc>
          <w:tcPr>
            <w:tcW w:w="815" w:type="pct"/>
          </w:tcPr>
          <w:p w14:paraId="574C6218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Caucasian</w:t>
            </w:r>
          </w:p>
        </w:tc>
        <w:tc>
          <w:tcPr>
            <w:tcW w:w="649" w:type="pct"/>
          </w:tcPr>
          <w:p w14:paraId="285C103B" w14:textId="781B8B41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A7593">
              <w:rPr>
                <w:rFonts w:ascii="Book Antiqua" w:hAnsi="Book Antiqua" w:cs="Arial"/>
                <w:lang w:val="en-US"/>
              </w:rPr>
              <w:t>12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6EE77548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7.8</w:t>
            </w:r>
          </w:p>
        </w:tc>
      </w:tr>
      <w:tr w:rsidR="003474CE" w:rsidRPr="006A7593" w14:paraId="2A28E1FA" w14:textId="77777777" w:rsidTr="00E662F1">
        <w:tc>
          <w:tcPr>
            <w:tcW w:w="1058" w:type="pct"/>
          </w:tcPr>
          <w:p w14:paraId="39418C7B" w14:textId="2FF79619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Lim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EB6757" w:rsidRPr="006A7593">
              <w:rPr>
                <w:rFonts w:ascii="Book Antiqua" w:hAnsi="Book Antiqua" w:cs="Arial"/>
                <w:i/>
                <w:iCs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lang w:val="en-US"/>
              </w:rPr>
              <w:t xml:space="preserve"> </w:t>
            </w:r>
            <w:r w:rsidR="00EB6757" w:rsidRPr="006A7593">
              <w:rPr>
                <w:rFonts w:ascii="Book Antiqua" w:hAnsi="Book Antiqua" w:cs="Arial"/>
                <w:i/>
                <w:iCs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[88]</w:t>
            </w:r>
            <w:r w:rsidR="00EB6757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EB6757" w:rsidRPr="006A7593">
              <w:rPr>
                <w:rFonts w:ascii="Book Antiqua" w:hAnsi="Book Antiqua" w:cs="Arial"/>
                <w:noProof/>
                <w:lang w:val="en-US"/>
              </w:rPr>
              <w:t>2022</w:t>
            </w:r>
          </w:p>
        </w:tc>
        <w:tc>
          <w:tcPr>
            <w:tcW w:w="1228" w:type="pct"/>
          </w:tcPr>
          <w:p w14:paraId="22B71145" w14:textId="623367BD" w:rsidR="003474CE" w:rsidRPr="006A7593" w:rsidRDefault="00451104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90F6C">
              <w:rPr>
                <w:rFonts w:ascii="Book Antiqua" w:hAnsi="Book Antiqua" w:cs="Arial"/>
                <w:lang w:val="en-US"/>
              </w:rPr>
              <w:t>NA</w:t>
            </w:r>
            <w:r>
              <w:rPr>
                <w:rFonts w:ascii="Book Antiqua" w:hAnsi="Book Antiqua" w:cs="Arial"/>
                <w:lang w:val="en-US"/>
              </w:rPr>
              <w:t xml:space="preserve"> add-on Peg-IFN</w:t>
            </w:r>
            <w:r w:rsidRPr="00290F6C">
              <w:rPr>
                <w:rFonts w:ascii="Book Antiqua" w:hAnsi="Book Antiqua" w:cs="Arial"/>
                <w:lang w:val="en-US"/>
              </w:rPr>
              <w:t xml:space="preserve"> </w:t>
            </w:r>
            <w:r w:rsidRPr="00290F6C">
              <w:rPr>
                <w:rFonts w:ascii="Book Antiqua" w:eastAsiaTheme="minorEastAsia" w:hAnsi="Book Antiqua" w:cs="Arial" w:hint="eastAsia"/>
                <w:lang w:val="en-US" w:eastAsia="zh-CN"/>
              </w:rPr>
              <w:t>(</w:t>
            </w:r>
            <w:r w:rsidRPr="00290F6C">
              <w:rPr>
                <w:rFonts w:ascii="Book Antiqua" w:hAnsi="Book Antiqua" w:cs="Arial"/>
                <w:lang w:val="en-US"/>
              </w:rPr>
              <w:t>1 yr)</w:t>
            </w:r>
          </w:p>
        </w:tc>
        <w:tc>
          <w:tcPr>
            <w:tcW w:w="598" w:type="pct"/>
          </w:tcPr>
          <w:p w14:paraId="641E3B96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+/-</w:t>
            </w:r>
          </w:p>
        </w:tc>
        <w:tc>
          <w:tcPr>
            <w:tcW w:w="815" w:type="pct"/>
          </w:tcPr>
          <w:p w14:paraId="76E0DA2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2B1F1E1C" w14:textId="127775A6" w:rsidR="003474CE" w:rsidRPr="006A7593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A7593">
              <w:rPr>
                <w:rFonts w:ascii="Book Antiqua" w:eastAsiaTheme="minorEastAsia" w:hAnsi="Book Antiqua" w:cs="Arial" w:hint="eastAsia"/>
                <w:lang w:eastAsia="zh-CN"/>
              </w:rPr>
              <w:t>6</w:t>
            </w:r>
            <w:r w:rsidR="009C1FD8" w:rsidRPr="006A7593">
              <w:rPr>
                <w:rFonts w:ascii="Book Antiqua" w:eastAsiaTheme="minorEastAsia" w:hAnsi="Book Antiqua" w:cs="Arial"/>
                <w:lang w:eastAsia="zh-CN"/>
              </w:rPr>
              <w:t xml:space="preserve"> </w:t>
            </w:r>
            <w:r w:rsidRPr="006A7593">
              <w:rPr>
                <w:rFonts w:ascii="Book Antiqua" w:eastAsiaTheme="minorEastAsia" w:hAnsi="Book Antiqua" w:cs="Arial"/>
                <w:lang w:eastAsia="zh-CN"/>
              </w:rPr>
              <w:t>mo</w:t>
            </w:r>
          </w:p>
        </w:tc>
        <w:tc>
          <w:tcPr>
            <w:tcW w:w="652" w:type="pct"/>
          </w:tcPr>
          <w:p w14:paraId="63D2D456" w14:textId="1D9B83FA" w:rsidR="003474CE" w:rsidRPr="006A7593" w:rsidRDefault="00451104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>
              <w:rPr>
                <w:rFonts w:ascii="Book Antiqua" w:eastAsiaTheme="minorEastAsia" w:hAnsi="Book Antiqua" w:cs="Arial"/>
                <w:lang w:eastAsia="zh-CN"/>
              </w:rPr>
              <w:t>12</w:t>
            </w:r>
            <w:r w:rsidR="003474CE" w:rsidRPr="006A7593">
              <w:rPr>
                <w:rFonts w:ascii="Book Antiqua" w:eastAsiaTheme="minorEastAsia" w:hAnsi="Book Antiqua" w:cs="Arial"/>
                <w:lang w:eastAsia="zh-CN"/>
              </w:rPr>
              <w:t>.1</w:t>
            </w:r>
          </w:p>
        </w:tc>
      </w:tr>
      <w:tr w:rsidR="003474CE" w:rsidRPr="006A7593" w14:paraId="0241E83F" w14:textId="77777777" w:rsidTr="00E662F1">
        <w:tc>
          <w:tcPr>
            <w:tcW w:w="1058" w:type="pct"/>
          </w:tcPr>
          <w:p w14:paraId="7D71FB86" w14:textId="6FC2E0CF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6A7593">
              <w:rPr>
                <w:rFonts w:ascii="Book Antiqua" w:hAnsi="Book Antiqua" w:cs="Arial"/>
                <w:lang w:val="en-US"/>
              </w:rPr>
              <w:t>Mo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2C25EE" w:rsidRPr="006A7593">
              <w:rPr>
                <w:rFonts w:ascii="Book Antiqua" w:hAnsi="Book Antiqua" w:cs="Arial"/>
                <w:i/>
                <w:iCs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lang w:val="en-US"/>
              </w:rPr>
              <w:t xml:space="preserve"> </w:t>
            </w:r>
            <w:r w:rsidR="002C25EE" w:rsidRPr="006A7593">
              <w:rPr>
                <w:rFonts w:ascii="Book Antiqua" w:hAnsi="Book Antiqua" w:cs="Arial"/>
                <w:i/>
                <w:iCs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[89]</w:t>
            </w:r>
            <w:r w:rsidR="002C25EE" w:rsidRPr="006A7593">
              <w:rPr>
                <w:rFonts w:ascii="Book Antiqua" w:eastAsia="宋体" w:hAnsi="Book Antiqua" w:cs="宋体"/>
                <w:noProof/>
                <w:lang w:val="en-US" w:eastAsia="zh-CN"/>
              </w:rPr>
              <w:t>,</w:t>
            </w:r>
            <w:r w:rsidR="009C1FD8" w:rsidRPr="006A7593">
              <w:rPr>
                <w:rFonts w:ascii="Book Antiqua" w:eastAsia="宋体" w:hAnsi="Book Antiqua" w:cs="宋体"/>
                <w:noProof/>
                <w:lang w:val="en-US" w:eastAsia="zh-CN"/>
              </w:rPr>
              <w:t xml:space="preserve"> </w:t>
            </w:r>
            <w:r w:rsidR="002C25EE" w:rsidRPr="006A7593">
              <w:rPr>
                <w:rFonts w:ascii="Book Antiqua" w:eastAsia="宋体" w:hAnsi="Book Antiqua" w:cs="宋体"/>
                <w:noProof/>
                <w:lang w:val="en-US" w:eastAsia="zh-CN"/>
              </w:rPr>
              <w:t>2022</w:t>
            </w:r>
          </w:p>
        </w:tc>
        <w:tc>
          <w:tcPr>
            <w:tcW w:w="1228" w:type="pct"/>
          </w:tcPr>
          <w:p w14:paraId="18CB3D5E" w14:textId="26E0EB32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A7593">
              <w:rPr>
                <w:rFonts w:ascii="Book Antiqua" w:hAnsi="Book Antiqua" w:cs="Arial"/>
              </w:rPr>
              <w:t>NAs</w:t>
            </w:r>
            <w:r w:rsidR="009C1FD8" w:rsidRPr="006A7593">
              <w:rPr>
                <w:rFonts w:ascii="Book Antiqua" w:hAnsi="Book Antiqua" w:cs="Arial"/>
                <w:lang w:eastAsia="zh-CN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(HBsAg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&lt;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1500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IU/mL,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1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yr)</w:t>
            </w:r>
          </w:p>
        </w:tc>
        <w:tc>
          <w:tcPr>
            <w:tcW w:w="598" w:type="pct"/>
          </w:tcPr>
          <w:p w14:paraId="47FDF206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A7593">
              <w:rPr>
                <w:rFonts w:ascii="Book Antiqua" w:eastAsiaTheme="minorEastAsia" w:hAnsi="Book Antiqua" w:cs="Arial" w:hint="eastAsia"/>
                <w:lang w:eastAsia="zh-CN"/>
              </w:rPr>
              <w:t>-</w:t>
            </w:r>
          </w:p>
        </w:tc>
        <w:tc>
          <w:tcPr>
            <w:tcW w:w="815" w:type="pct"/>
          </w:tcPr>
          <w:p w14:paraId="743AB6D4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0B84DD61" w14:textId="5CAFF487" w:rsidR="003474CE" w:rsidRPr="006A7593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A7593">
              <w:rPr>
                <w:rFonts w:ascii="Book Antiqua" w:eastAsiaTheme="minorEastAsia" w:hAnsi="Book Antiqua" w:cs="Arial" w:hint="eastAsia"/>
                <w:lang w:eastAsia="zh-CN"/>
              </w:rPr>
              <w:t>4</w:t>
            </w:r>
            <w:r w:rsidRPr="006A7593">
              <w:rPr>
                <w:rFonts w:ascii="Book Antiqua" w:eastAsiaTheme="minorEastAsia" w:hAnsi="Book Antiqua" w:cs="Arial"/>
                <w:lang w:eastAsia="zh-CN"/>
              </w:rPr>
              <w:t>8</w:t>
            </w:r>
            <w:r w:rsidR="009C1FD8" w:rsidRPr="006A7593">
              <w:rPr>
                <w:rFonts w:ascii="Book Antiqua" w:eastAsiaTheme="minorEastAsia" w:hAnsi="Book Antiqua" w:cs="Arial"/>
                <w:lang w:eastAsia="zh-CN"/>
              </w:rPr>
              <w:t xml:space="preserve"> </w:t>
            </w:r>
            <w:r w:rsidRPr="006A7593">
              <w:rPr>
                <w:rFonts w:ascii="Book Antiqua" w:eastAsiaTheme="minorEastAsia" w:hAnsi="Book Antiqua" w:cs="Arial"/>
                <w:lang w:eastAsia="zh-CN"/>
              </w:rPr>
              <w:t>mo</w:t>
            </w:r>
          </w:p>
        </w:tc>
        <w:tc>
          <w:tcPr>
            <w:tcW w:w="652" w:type="pct"/>
          </w:tcPr>
          <w:p w14:paraId="032D772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A7593">
              <w:rPr>
                <w:rFonts w:ascii="Book Antiqua" w:eastAsiaTheme="minorEastAsia" w:hAnsi="Book Antiqua" w:cs="Arial" w:hint="eastAsia"/>
                <w:lang w:eastAsia="zh-CN"/>
              </w:rPr>
              <w:t>3</w:t>
            </w:r>
            <w:r w:rsidRPr="006A7593">
              <w:rPr>
                <w:rFonts w:ascii="Book Antiqua" w:eastAsiaTheme="minorEastAsia" w:hAnsi="Book Antiqua" w:cs="Arial"/>
                <w:lang w:eastAsia="zh-CN"/>
              </w:rPr>
              <w:t>3.2</w:t>
            </w:r>
          </w:p>
        </w:tc>
      </w:tr>
      <w:tr w:rsidR="003474CE" w:rsidRPr="006A7593" w14:paraId="022CB1E7" w14:textId="77777777" w:rsidTr="00E662F1">
        <w:tc>
          <w:tcPr>
            <w:tcW w:w="1058" w:type="pct"/>
          </w:tcPr>
          <w:p w14:paraId="51EA299C" w14:textId="7F238C67" w:rsidR="003474CE" w:rsidRPr="006A7593" w:rsidRDefault="00EB6757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Lim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[88]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2022</w:t>
            </w:r>
          </w:p>
        </w:tc>
        <w:tc>
          <w:tcPr>
            <w:tcW w:w="1228" w:type="pct"/>
          </w:tcPr>
          <w:p w14:paraId="1F4B2F19" w14:textId="070BB45F" w:rsidR="003474CE" w:rsidRPr="006A7593" w:rsidRDefault="00451104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90F6C">
              <w:rPr>
                <w:rFonts w:ascii="Book Antiqua" w:hAnsi="Book Antiqua" w:cs="Arial"/>
                <w:lang w:val="en-US"/>
              </w:rPr>
              <w:t>NA</w:t>
            </w:r>
            <w:r>
              <w:rPr>
                <w:rFonts w:ascii="Book Antiqua" w:hAnsi="Book Antiqua" w:cs="Arial"/>
                <w:lang w:val="en-US"/>
              </w:rPr>
              <w:t xml:space="preserve"> switch to Peg-</w:t>
            </w:r>
            <w:r>
              <w:rPr>
                <w:rFonts w:ascii="Book Antiqua" w:hAnsi="Book Antiqua" w:cs="Arial"/>
                <w:lang w:val="en-US"/>
              </w:rPr>
              <w:lastRenderedPageBreak/>
              <w:t>IFN</w:t>
            </w:r>
            <w:r w:rsidRPr="00290F6C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290F6C">
              <w:rPr>
                <w:rFonts w:ascii="Book Antiqua" w:eastAsiaTheme="minorEastAsia" w:hAnsi="Book Antiqua" w:cs="Arial"/>
                <w:lang w:val="en-US" w:eastAsia="zh-CN"/>
              </w:rPr>
              <w:t>(</w:t>
            </w:r>
            <w:r w:rsidRPr="00290F6C">
              <w:rPr>
                <w:rFonts w:ascii="Book Antiqua" w:hAnsi="Book Antiqua" w:cs="Arial"/>
                <w:lang w:val="en-US"/>
              </w:rPr>
              <w:t>1 yr)</w:t>
            </w:r>
          </w:p>
        </w:tc>
        <w:tc>
          <w:tcPr>
            <w:tcW w:w="598" w:type="pct"/>
          </w:tcPr>
          <w:p w14:paraId="225A9B5D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lastRenderedPageBreak/>
              <w:t>+/-</w:t>
            </w:r>
          </w:p>
        </w:tc>
        <w:tc>
          <w:tcPr>
            <w:tcW w:w="815" w:type="pct"/>
          </w:tcPr>
          <w:p w14:paraId="09070AF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6E3D5B55" w14:textId="63EDDF1B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6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42E5BA66" w14:textId="25578FC9" w:rsidR="003474CE" w:rsidRPr="006A7593" w:rsidRDefault="00451104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9.7</w:t>
            </w:r>
          </w:p>
        </w:tc>
      </w:tr>
      <w:tr w:rsidR="00B52249" w:rsidRPr="006A7593" w14:paraId="41561A0D" w14:textId="77777777" w:rsidTr="00B52249">
        <w:tc>
          <w:tcPr>
            <w:tcW w:w="5000" w:type="pct"/>
            <w:gridSpan w:val="6"/>
          </w:tcPr>
          <w:p w14:paraId="07B18C0A" w14:textId="680F8A11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</w:rPr>
              <w:t>NA</w:t>
            </w:r>
            <w:r w:rsidR="009C1FD8" w:rsidRPr="006A7593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</w:rPr>
              <w:t>discontinuation</w:t>
            </w:r>
          </w:p>
        </w:tc>
      </w:tr>
      <w:tr w:rsidR="003474CE" w:rsidRPr="006A7593" w14:paraId="6CF60BA7" w14:textId="77777777" w:rsidTr="00E662F1">
        <w:tc>
          <w:tcPr>
            <w:tcW w:w="1058" w:type="pct"/>
          </w:tcPr>
          <w:p w14:paraId="1F323AF5" w14:textId="567A9290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Chen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B7080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B7080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[90]</w:t>
            </w:r>
            <w:r w:rsidR="00B70808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B70808" w:rsidRPr="006A7593">
              <w:rPr>
                <w:rFonts w:ascii="Book Antiqua" w:hAnsi="Book Antiqua" w:cs="Arial"/>
                <w:noProof/>
                <w:lang w:val="en-US"/>
              </w:rPr>
              <w:t>2018</w:t>
            </w:r>
          </w:p>
        </w:tc>
        <w:tc>
          <w:tcPr>
            <w:tcW w:w="1228" w:type="pct"/>
          </w:tcPr>
          <w:p w14:paraId="650C962E" w14:textId="6833BC34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2.7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2EEA3FF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6BA5F8F1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594C378D" w14:textId="4C9B375E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96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5BFBFBC1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19.6</w:t>
            </w:r>
          </w:p>
        </w:tc>
      </w:tr>
      <w:tr w:rsidR="003474CE" w:rsidRPr="006A7593" w14:paraId="5EA88007" w14:textId="77777777" w:rsidTr="00E662F1">
        <w:tc>
          <w:tcPr>
            <w:tcW w:w="1058" w:type="pct"/>
          </w:tcPr>
          <w:p w14:paraId="3629FF21" w14:textId="2E43E644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Song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D9626F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D9626F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[91]</w:t>
            </w:r>
            <w:r w:rsidR="00D9626F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D9626F" w:rsidRPr="006A7593">
              <w:rPr>
                <w:rFonts w:ascii="Book Antiqua" w:hAnsi="Book Antiqua" w:cs="Arial"/>
                <w:noProof/>
                <w:lang w:val="en-US"/>
              </w:rPr>
              <w:t>2021</w:t>
            </w:r>
          </w:p>
        </w:tc>
        <w:tc>
          <w:tcPr>
            <w:tcW w:w="1228" w:type="pct"/>
          </w:tcPr>
          <w:p w14:paraId="042D5967" w14:textId="6CA3D7F5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2.9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5ACB71AC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49D4C899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03206BC1" w14:textId="07BB97DE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73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0DD27A3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9.5</w:t>
            </w:r>
          </w:p>
        </w:tc>
      </w:tr>
      <w:tr w:rsidR="003474CE" w:rsidRPr="006A7593" w14:paraId="132D178F" w14:textId="77777777" w:rsidTr="00E662F1">
        <w:tc>
          <w:tcPr>
            <w:tcW w:w="1058" w:type="pct"/>
          </w:tcPr>
          <w:p w14:paraId="014485C8" w14:textId="2D6FC95E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Kuo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5D7654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5D7654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[92]</w:t>
            </w:r>
            <w:r w:rsidR="005D7654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5D7654" w:rsidRPr="006A7593">
              <w:rPr>
                <w:rFonts w:ascii="Book Antiqua" w:hAnsi="Book Antiqua" w:cs="Arial"/>
                <w:noProof/>
                <w:lang w:val="en-US"/>
              </w:rPr>
              <w:t>2019</w:t>
            </w:r>
          </w:p>
        </w:tc>
        <w:tc>
          <w:tcPr>
            <w:tcW w:w="1228" w:type="pct"/>
          </w:tcPr>
          <w:p w14:paraId="3CCCF916" w14:textId="1EB949EC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3.1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1E7C9A03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2D2D1BF0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36959E87" w14:textId="01C1FC96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24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4EF80CE" w14:textId="1F68846D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4.7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(ETV)</w:t>
            </w:r>
            <w:r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>;</w:t>
            </w:r>
            <w:r w:rsidR="009C1FD8" w:rsidRPr="006A7593">
              <w:rPr>
                <w:rFonts w:ascii="Book Antiqua" w:eastAsiaTheme="minorEastAsia" w:hAnsi="Book Antiqua" w:cs="Arial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(TDF)</w:t>
            </w:r>
          </w:p>
        </w:tc>
      </w:tr>
      <w:tr w:rsidR="003474CE" w:rsidRPr="006A7593" w14:paraId="5392A696" w14:textId="77777777" w:rsidTr="00E662F1">
        <w:tc>
          <w:tcPr>
            <w:tcW w:w="1058" w:type="pct"/>
          </w:tcPr>
          <w:p w14:paraId="43ED8FAE" w14:textId="327CA139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Jeng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8D1E7A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8D1E7A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[72]</w:t>
            </w:r>
            <w:r w:rsidR="008D1E7A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8D1E7A" w:rsidRPr="006A7593">
              <w:rPr>
                <w:rFonts w:ascii="Book Antiqua" w:hAnsi="Book Antiqua" w:cs="Arial"/>
                <w:noProof/>
                <w:lang w:val="en-US"/>
              </w:rPr>
              <w:t>2018</w:t>
            </w:r>
          </w:p>
        </w:tc>
        <w:tc>
          <w:tcPr>
            <w:tcW w:w="1228" w:type="pct"/>
          </w:tcPr>
          <w:p w14:paraId="0BADF209" w14:textId="64E9845B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2.9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2B2B055C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2C7955D7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45DEF485" w14:textId="04024B31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36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15575CD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13</w:t>
            </w:r>
          </w:p>
        </w:tc>
      </w:tr>
      <w:tr w:rsidR="003474CE" w:rsidRPr="006A7593" w14:paraId="2874BB07" w14:textId="77777777" w:rsidTr="00E662F1">
        <w:tc>
          <w:tcPr>
            <w:tcW w:w="1058" w:type="pct"/>
          </w:tcPr>
          <w:p w14:paraId="3C0D9E96" w14:textId="5D7C68B6" w:rsidR="003474CE" w:rsidRPr="006A7593" w:rsidRDefault="009F51E6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Chen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[90]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2018</w:t>
            </w:r>
          </w:p>
        </w:tc>
        <w:tc>
          <w:tcPr>
            <w:tcW w:w="1228" w:type="pct"/>
          </w:tcPr>
          <w:p w14:paraId="7189AF04" w14:textId="4472B813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2.9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4A0C1414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4C6B2532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457ED883" w14:textId="7A22847D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96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E450244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33.1</w:t>
            </w:r>
          </w:p>
        </w:tc>
      </w:tr>
      <w:tr w:rsidR="003474CE" w:rsidRPr="006A7593" w14:paraId="0330B8C8" w14:textId="77777777" w:rsidTr="00E662F1">
        <w:tc>
          <w:tcPr>
            <w:tcW w:w="1058" w:type="pct"/>
          </w:tcPr>
          <w:p w14:paraId="2137CA98" w14:textId="5080BB9D" w:rsidR="003474CE" w:rsidRPr="006A7593" w:rsidRDefault="005D7654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Kuo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[92]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2019</w:t>
            </w:r>
          </w:p>
        </w:tc>
        <w:tc>
          <w:tcPr>
            <w:tcW w:w="1228" w:type="pct"/>
          </w:tcPr>
          <w:p w14:paraId="7463F4E5" w14:textId="20B60256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3.1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39B6E090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37D1D964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088DAC72" w14:textId="4D38E795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36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3E1D4018" w14:textId="6AF3D844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(ETV)</w:t>
            </w:r>
            <w:r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>;</w:t>
            </w:r>
            <w:r w:rsidR="009C1FD8" w:rsidRPr="006A7593">
              <w:rPr>
                <w:rFonts w:ascii="Book Antiqua" w:eastAsiaTheme="minorEastAsia" w:hAnsi="Book Antiqua" w:cs="Arial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15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(TDF)</w:t>
            </w:r>
          </w:p>
        </w:tc>
      </w:tr>
      <w:tr w:rsidR="003474CE" w:rsidRPr="006A7593" w14:paraId="22240247" w14:textId="77777777" w:rsidTr="00E662F1">
        <w:tc>
          <w:tcPr>
            <w:tcW w:w="1058" w:type="pct"/>
          </w:tcPr>
          <w:p w14:paraId="7F2D7EE2" w14:textId="539B2989" w:rsidR="003474CE" w:rsidRPr="006A7593" w:rsidRDefault="009F51E6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Chen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[93]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2020</w:t>
            </w:r>
          </w:p>
        </w:tc>
        <w:tc>
          <w:tcPr>
            <w:tcW w:w="1228" w:type="pct"/>
          </w:tcPr>
          <w:p w14:paraId="0F69A715" w14:textId="33D6BF71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3.2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633B884C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7DE8CA3C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66A35EF3" w14:textId="1BEBC512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58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47E738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20.8</w:t>
            </w:r>
          </w:p>
        </w:tc>
      </w:tr>
      <w:tr w:rsidR="003474CE" w:rsidRPr="006A7593" w14:paraId="0F3BEBD2" w14:textId="77777777" w:rsidTr="00E662F1">
        <w:tc>
          <w:tcPr>
            <w:tcW w:w="1058" w:type="pct"/>
          </w:tcPr>
          <w:p w14:paraId="5A7822A7" w14:textId="618775AB" w:rsidR="003474CE" w:rsidRPr="006A7593" w:rsidRDefault="00157F96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Song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[91]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noProof/>
                <w:lang w:val="en-US"/>
              </w:rPr>
              <w:t>2021</w:t>
            </w:r>
          </w:p>
        </w:tc>
        <w:tc>
          <w:tcPr>
            <w:tcW w:w="1228" w:type="pct"/>
          </w:tcPr>
          <w:p w14:paraId="4DD637BC" w14:textId="0F19B2D1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2.7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2E2503AF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5D0B28FD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103058A4" w14:textId="256BC8B6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73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9C5402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14.6</w:t>
            </w:r>
          </w:p>
        </w:tc>
      </w:tr>
      <w:tr w:rsidR="003474CE" w:rsidRPr="006A7593" w14:paraId="2B9AB333" w14:textId="77777777" w:rsidTr="00E662F1">
        <w:tc>
          <w:tcPr>
            <w:tcW w:w="1058" w:type="pct"/>
            <w:tcBorders>
              <w:bottom w:val="single" w:sz="4" w:space="0" w:color="auto"/>
            </w:tcBorders>
          </w:tcPr>
          <w:p w14:paraId="08D2993B" w14:textId="3973CB1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Hirode</w:t>
            </w:r>
            <w:r w:rsidR="009C1FD8"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8D1E7A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8D1E7A" w:rsidRPr="006A7593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A7593">
              <w:rPr>
                <w:rFonts w:ascii="Book Antiqua" w:hAnsi="Book Antiqua" w:cs="Arial"/>
                <w:noProof/>
                <w:vertAlign w:val="superscript"/>
                <w:lang w:val="en-US"/>
              </w:rPr>
              <w:t>[47]</w:t>
            </w:r>
            <w:r w:rsidR="008D1E7A" w:rsidRPr="006A7593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A7593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8D1E7A" w:rsidRPr="006A7593">
              <w:rPr>
                <w:rFonts w:ascii="Book Antiqua" w:hAnsi="Book Antiqua" w:cs="Arial"/>
                <w:noProof/>
                <w:lang w:val="en-US"/>
              </w:rPr>
              <w:t>2022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124D19EB" w14:textId="668D6BCE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3</w:t>
            </w:r>
            <w:r w:rsidR="009371A4" w:rsidRPr="006A7593">
              <w:rPr>
                <w:rFonts w:ascii="Book Antiqua" w:hAnsi="Book Antiqua" w:cs="Arial"/>
                <w:lang w:val="en-US"/>
              </w:rPr>
              <w:t>.0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32E809AA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0AC78891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23CED2EF" w14:textId="39AB5628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17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507ECD66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15.0</w:t>
            </w:r>
          </w:p>
        </w:tc>
      </w:tr>
    </w:tbl>
    <w:p w14:paraId="68D969A4" w14:textId="4DF22125" w:rsidR="003474CE" w:rsidRPr="006A7593" w:rsidRDefault="003474CE" w:rsidP="003474CE">
      <w:pPr>
        <w:suppressAutoHyphens/>
        <w:spacing w:line="360" w:lineRule="auto"/>
        <w:jc w:val="both"/>
        <w:rPr>
          <w:rFonts w:ascii="Book Antiqua" w:eastAsia="Book Antiqua" w:hAnsi="Book Antiqua" w:cs="Book Antiqua"/>
        </w:rPr>
      </w:pPr>
      <w:r w:rsidRPr="006A7593">
        <w:rPr>
          <w:rFonts w:ascii="Book Antiqua" w:eastAsia="Times New Roman" w:hAnsi="Book Antiqua" w:cs="Arial"/>
        </w:rPr>
        <w:t>Only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studies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with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more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than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100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patients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have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been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eastAsia="Times New Roman" w:hAnsi="Book Antiqua" w:cs="Arial"/>
        </w:rPr>
        <w:t>included.</w:t>
      </w:r>
      <w:r w:rsidR="009C1FD8" w:rsidRPr="006A7593">
        <w:rPr>
          <w:rFonts w:ascii="Book Antiqua" w:eastAsia="Times New Roman" w:hAnsi="Book Antiqua" w:cs="Arial"/>
        </w:rPr>
        <w:t xml:space="preserve"> </w:t>
      </w:r>
      <w:r w:rsidRPr="006A7593">
        <w:rPr>
          <w:rFonts w:ascii="Book Antiqua" w:hAnsi="Book Antiqua" w:cs="Arial"/>
        </w:rPr>
        <w:t>HBsAg:</w:t>
      </w:r>
      <w:r w:rsidR="009C1FD8" w:rsidRPr="006A7593">
        <w:rPr>
          <w:rFonts w:ascii="Book Antiqua" w:eastAsia="Times New Roman" w:hAnsi="Book Antiqua" w:cs="Arial"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color w:val="000000"/>
        </w:rPr>
        <w:t>Hepatitis</w:t>
      </w:r>
      <w:r w:rsidR="009C1FD8" w:rsidRPr="006A7593">
        <w:rPr>
          <w:rFonts w:ascii="Book Antiqua" w:eastAsia="Times New Roman" w:hAnsi="Book Antiqua" w:cs="Arial"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color w:val="000000"/>
        </w:rPr>
        <w:t>B</w:t>
      </w:r>
      <w:r w:rsidR="009C1FD8" w:rsidRPr="006A7593">
        <w:rPr>
          <w:rFonts w:ascii="Book Antiqua" w:eastAsia="Times New Roman" w:hAnsi="Book Antiqua" w:cs="Arial"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color w:val="000000"/>
        </w:rPr>
        <w:t>virus</w:t>
      </w:r>
      <w:r w:rsidR="009C1FD8" w:rsidRPr="006A7593">
        <w:rPr>
          <w:rFonts w:ascii="Book Antiqua" w:eastAsia="Times New Roman" w:hAnsi="Book Antiqua" w:cs="Arial"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color w:val="000000"/>
        </w:rPr>
        <w:t>surface</w:t>
      </w:r>
      <w:r w:rsidR="009C1FD8" w:rsidRPr="006A7593">
        <w:rPr>
          <w:rFonts w:ascii="Book Antiqua" w:eastAsia="Times New Roman" w:hAnsi="Book Antiqua" w:cs="Arial"/>
          <w:color w:val="000000"/>
        </w:rPr>
        <w:t xml:space="preserve"> </w:t>
      </w:r>
      <w:r w:rsidRPr="006A7593">
        <w:rPr>
          <w:rFonts w:ascii="Book Antiqua" w:eastAsia="Times New Roman" w:hAnsi="Book Antiqua" w:cs="Arial"/>
          <w:color w:val="000000"/>
        </w:rPr>
        <w:t>antigen;</w:t>
      </w:r>
      <w:r w:rsidR="009C1FD8" w:rsidRPr="006A7593">
        <w:rPr>
          <w:rFonts w:ascii="Book Antiqua" w:eastAsia="Times New Roman" w:hAnsi="Book Antiqua" w:cs="Arial"/>
          <w:color w:val="000000"/>
        </w:rPr>
        <w:t xml:space="preserve"> </w:t>
      </w:r>
      <w:r w:rsidRPr="006A7593">
        <w:rPr>
          <w:rFonts w:ascii="Book Antiqua" w:eastAsia="Book Antiqua" w:hAnsi="Book Antiqua" w:cs="Book Antiqua"/>
        </w:rPr>
        <w:t>HBeAg: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Hepatitis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B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e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Pr="006A7593">
        <w:rPr>
          <w:rFonts w:ascii="Book Antiqua" w:eastAsia="Book Antiqua" w:hAnsi="Book Antiqua" w:cs="Book Antiqua"/>
        </w:rPr>
        <w:t>antigen</w:t>
      </w:r>
      <w:r w:rsidR="00EC13CE" w:rsidRPr="006A7593">
        <w:rPr>
          <w:rFonts w:ascii="Book Antiqua" w:eastAsia="Book Antiqua" w:hAnsi="Book Antiqua" w:cs="Book Antiqua"/>
        </w:rPr>
        <w:t>;</w:t>
      </w:r>
      <w:r w:rsidR="009C1FD8" w:rsidRPr="006A7593">
        <w:rPr>
          <w:rFonts w:ascii="Book Antiqua" w:eastAsia="Book Antiqua" w:hAnsi="Book Antiqua" w:cs="Book Antiqua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Peg-IFN: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Pegylated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interferon;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LAM: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Lamivudine;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ADV: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Adefovir;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TDF: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Tenofovir;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ETV: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Entecavir;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TAF: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Tenofovir</w:t>
      </w:r>
      <w:r w:rsidR="009C1FD8" w:rsidRPr="006A7593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A7593">
        <w:rPr>
          <w:rFonts w:ascii="Book Antiqua" w:eastAsia="Book Antiqua" w:hAnsi="Book Antiqua" w:cs="Book Antiqua"/>
          <w:color w:val="000000"/>
        </w:rPr>
        <w:t>alafenamide.</w:t>
      </w:r>
    </w:p>
    <w:p w14:paraId="77B6A8AB" w14:textId="316D3807" w:rsidR="003474CE" w:rsidRPr="006A7593" w:rsidRDefault="003474CE" w:rsidP="003474CE">
      <w:pPr>
        <w:spacing w:line="360" w:lineRule="auto"/>
        <w:jc w:val="both"/>
        <w:rPr>
          <w:rFonts w:ascii="Book Antiqua" w:hAnsi="Book Antiqua" w:cs="Arial"/>
          <w:b/>
          <w:color w:val="000000" w:themeColor="text1"/>
        </w:rPr>
      </w:pPr>
      <w:bookmarkStart w:id="6" w:name="_Hlk134893791"/>
      <w:r w:rsidRPr="006A7593">
        <w:rPr>
          <w:rFonts w:ascii="Book Antiqua" w:hAnsi="Book Antiqua" w:cs="Arial"/>
          <w:b/>
          <w:color w:val="000000" w:themeColor="text1"/>
        </w:rPr>
        <w:br w:type="page"/>
      </w:r>
      <w:r w:rsidRPr="006A7593">
        <w:rPr>
          <w:rFonts w:ascii="Book Antiqua" w:hAnsi="Book Antiqua" w:cs="Arial"/>
          <w:b/>
          <w:color w:val="000000" w:themeColor="text1"/>
        </w:rPr>
        <w:lastRenderedPageBreak/>
        <w:t>Table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2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Mechanisms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of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action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of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the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new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drugs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under</w:t>
      </w:r>
      <w:r w:rsidR="009C1FD8" w:rsidRPr="006A7593">
        <w:rPr>
          <w:rFonts w:ascii="Book Antiqua" w:hAnsi="Book Antiqua" w:cs="Arial"/>
          <w:b/>
          <w:color w:val="000000" w:themeColor="text1"/>
        </w:rPr>
        <w:t xml:space="preserve"> </w:t>
      </w:r>
      <w:r w:rsidRPr="006A7593">
        <w:rPr>
          <w:rFonts w:ascii="Book Antiqua" w:hAnsi="Book Antiqua" w:cs="Arial"/>
          <w:b/>
          <w:color w:val="000000" w:themeColor="text1"/>
        </w:rPr>
        <w:t>development</w:t>
      </w:r>
      <w:bookmarkEnd w:id="6"/>
    </w:p>
    <w:tbl>
      <w:tblPr>
        <w:tblStyle w:val="Tablaconcuadrcula1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3345"/>
        <w:gridCol w:w="3891"/>
      </w:tblGrid>
      <w:tr w:rsidR="00DB42A3" w:rsidRPr="006A7593" w14:paraId="7B0B2B88" w14:textId="77777777" w:rsidTr="009C369B"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14:paraId="35719E22" w14:textId="1416754F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bookmarkStart w:id="7" w:name="_Hlk134893690"/>
            <w:r w:rsidRPr="006A7593">
              <w:rPr>
                <w:rFonts w:ascii="Book Antiqua" w:hAnsi="Book Antiqua"/>
                <w:b/>
                <w:bCs/>
                <w:lang w:val="en-US"/>
              </w:rPr>
              <w:t>Treatment</w:t>
            </w:r>
            <w:r w:rsidR="009C1FD8" w:rsidRPr="006A7593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b/>
                <w:bCs/>
                <w:lang w:val="en-US"/>
              </w:rPr>
              <w:t>class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</w:tcPr>
          <w:p w14:paraId="62CC5B7C" w14:textId="26611372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6A7593">
              <w:rPr>
                <w:rFonts w:ascii="Book Antiqua" w:hAnsi="Book Antiqua"/>
                <w:b/>
                <w:bCs/>
                <w:lang w:val="en-US"/>
              </w:rPr>
              <w:t>Mechanism</w:t>
            </w:r>
            <w:r w:rsidR="009C1FD8" w:rsidRPr="006A7593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b/>
                <w:bCs/>
                <w:lang w:val="en-US"/>
              </w:rPr>
              <w:t>of</w:t>
            </w:r>
            <w:r w:rsidR="009C1FD8" w:rsidRPr="006A7593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b/>
                <w:bCs/>
                <w:lang w:val="en-US"/>
              </w:rPr>
              <w:t>action</w:t>
            </w:r>
          </w:p>
        </w:tc>
        <w:tc>
          <w:tcPr>
            <w:tcW w:w="1996" w:type="pct"/>
            <w:tcBorders>
              <w:top w:val="single" w:sz="4" w:space="0" w:color="auto"/>
              <w:bottom w:val="single" w:sz="4" w:space="0" w:color="auto"/>
            </w:tcBorders>
          </w:tcPr>
          <w:p w14:paraId="54DE9BC8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6A7593">
              <w:rPr>
                <w:rFonts w:ascii="Book Antiqua" w:hAnsi="Book Antiqua"/>
                <w:b/>
                <w:bCs/>
                <w:lang w:val="en-US"/>
              </w:rPr>
              <w:t>Types</w:t>
            </w:r>
          </w:p>
        </w:tc>
      </w:tr>
      <w:tr w:rsidR="00BA655D" w:rsidRPr="006A7593" w14:paraId="5AE909F0" w14:textId="77777777" w:rsidTr="00E662F1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692057A" w14:textId="0290293D" w:rsidR="003474CE" w:rsidRPr="006A7593" w:rsidRDefault="003474CE" w:rsidP="005B19A5">
            <w:pPr>
              <w:spacing w:line="360" w:lineRule="auto"/>
              <w:rPr>
                <w:rFonts w:ascii="Book Antiqua" w:hAnsi="Book Antiqua"/>
                <w:b/>
                <w:bCs/>
                <w:lang w:val="en-US"/>
              </w:rPr>
            </w:pPr>
            <w:r w:rsidRPr="006A7593">
              <w:rPr>
                <w:rFonts w:ascii="Book Antiqua" w:hAnsi="Book Antiqua" w:cstheme="minorHAnsi"/>
                <w:b/>
                <w:bCs/>
              </w:rPr>
              <w:t>Drugs</w:t>
            </w:r>
            <w:r w:rsidR="009C1FD8" w:rsidRPr="006A7593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6A7593">
              <w:rPr>
                <w:rFonts w:ascii="Book Antiqua" w:hAnsi="Book Antiqua" w:cstheme="minorHAnsi"/>
                <w:b/>
                <w:bCs/>
              </w:rPr>
              <w:t>targeting</w:t>
            </w:r>
            <w:r w:rsidR="009C1FD8" w:rsidRPr="006A7593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6A7593">
              <w:rPr>
                <w:rFonts w:ascii="Book Antiqua" w:hAnsi="Book Antiqua" w:cstheme="minorHAnsi"/>
                <w:b/>
                <w:bCs/>
              </w:rPr>
              <w:t>HBV</w:t>
            </w:r>
            <w:r w:rsidR="009C1FD8" w:rsidRPr="006A7593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6A7593">
              <w:rPr>
                <w:rFonts w:ascii="Book Antiqua" w:hAnsi="Book Antiqua" w:cstheme="minorHAnsi"/>
                <w:b/>
                <w:bCs/>
              </w:rPr>
              <w:t>life</w:t>
            </w:r>
            <w:r w:rsidR="009C1FD8" w:rsidRPr="006A7593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6A7593">
              <w:rPr>
                <w:rFonts w:ascii="Book Antiqua" w:hAnsi="Book Antiqua" w:cstheme="minorHAnsi"/>
                <w:b/>
                <w:bCs/>
              </w:rPr>
              <w:t>cycle</w:t>
            </w:r>
          </w:p>
        </w:tc>
      </w:tr>
      <w:tr w:rsidR="00BA655D" w:rsidRPr="006A7593" w14:paraId="4644628C" w14:textId="77777777" w:rsidTr="009C369B">
        <w:trPr>
          <w:trHeight w:val="1508"/>
        </w:trPr>
        <w:tc>
          <w:tcPr>
            <w:tcW w:w="1288" w:type="pct"/>
          </w:tcPr>
          <w:p w14:paraId="392F1654" w14:textId="3737591E" w:rsidR="003474CE" w:rsidRPr="006A7593" w:rsidRDefault="003474CE" w:rsidP="005B19A5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Entry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inhibitors</w:t>
            </w:r>
          </w:p>
        </w:tc>
        <w:tc>
          <w:tcPr>
            <w:tcW w:w="1716" w:type="pct"/>
          </w:tcPr>
          <w:p w14:paraId="5E785BB2" w14:textId="0CFEE8E1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Blockage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of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eastAsia="Arial" w:hAnsi="Book Antiqua" w:cs="Arial"/>
                <w:lang w:val="en-US"/>
              </w:rPr>
              <w:t>liver-specific</w:t>
            </w:r>
            <w:r w:rsidR="009C1FD8" w:rsidRPr="006A7593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eastAsia="Arial" w:hAnsi="Book Antiqua" w:cs="Arial"/>
                <w:lang w:val="en-US"/>
              </w:rPr>
              <w:t>bile</w:t>
            </w:r>
            <w:r w:rsidR="009C1FD8" w:rsidRPr="006A7593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eastAsia="Arial" w:hAnsi="Book Antiqua" w:cs="Arial"/>
                <w:lang w:val="en-US"/>
              </w:rPr>
              <w:t>acid</w:t>
            </w:r>
            <w:r w:rsidR="009C1FD8" w:rsidRPr="006A7593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eastAsia="Arial" w:hAnsi="Book Antiqua" w:cs="Arial"/>
                <w:lang w:val="en-US"/>
              </w:rPr>
              <w:t>transporter</w:t>
            </w:r>
          </w:p>
        </w:tc>
        <w:tc>
          <w:tcPr>
            <w:tcW w:w="1996" w:type="pct"/>
          </w:tcPr>
          <w:p w14:paraId="4A62AAEF" w14:textId="5BBA8AAD" w:rsidR="003474CE" w:rsidRPr="006A7593" w:rsidRDefault="009C369B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90F6C">
              <w:rPr>
                <w:rFonts w:ascii="Book Antiqua" w:hAnsi="Book Antiqua"/>
                <w:lang w:val="en-US"/>
              </w:rPr>
              <w:t>Inhibitors of NT</w:t>
            </w:r>
            <w:r>
              <w:rPr>
                <w:rFonts w:ascii="Book Antiqua" w:hAnsi="Book Antiqua"/>
                <w:lang w:val="en-US"/>
              </w:rPr>
              <w:t>C</w:t>
            </w:r>
            <w:r w:rsidRPr="00290F6C">
              <w:rPr>
                <w:rFonts w:ascii="Book Antiqua" w:hAnsi="Book Antiqua"/>
                <w:lang w:val="en-US"/>
              </w:rPr>
              <w:t>P</w:t>
            </w:r>
            <w:r w:rsidRPr="00290F6C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[124]</w:t>
            </w:r>
            <w:r w:rsidRPr="00290F6C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Pr="00290F6C">
              <w:rPr>
                <w:rFonts w:ascii="Book Antiqua" w:eastAsiaTheme="minorEastAsia" w:hAnsi="Book Antiqua" w:cs="Arial"/>
                <w:noProof/>
                <w:vertAlign w:val="superscript"/>
                <w:lang w:val="en-US" w:eastAsia="zh-CN"/>
              </w:rPr>
              <w:t xml:space="preserve"> </w:t>
            </w:r>
            <w:r>
              <w:rPr>
                <w:rFonts w:ascii="Book Antiqua" w:eastAsiaTheme="minorEastAsia" w:hAnsi="Book Antiqua" w:cs="Arial"/>
                <w:noProof/>
                <w:vertAlign w:val="superscript"/>
                <w:lang w:val="en-US" w:eastAsia="zh-CN"/>
              </w:rPr>
              <w:t xml:space="preserve"> </w:t>
            </w:r>
            <w:r w:rsidRPr="00290F6C">
              <w:rPr>
                <w:rFonts w:ascii="Book Antiqua" w:hAnsi="Book Antiqua"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>MAb</w:t>
            </w:r>
            <w:r w:rsidRPr="00290F6C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[125]</w:t>
            </w:r>
          </w:p>
        </w:tc>
      </w:tr>
      <w:tr w:rsidR="00BA655D" w:rsidRPr="006A7593" w14:paraId="6157D8AC" w14:textId="77777777" w:rsidTr="009C369B">
        <w:trPr>
          <w:trHeight w:val="1557"/>
        </w:trPr>
        <w:tc>
          <w:tcPr>
            <w:tcW w:w="1288" w:type="pct"/>
          </w:tcPr>
          <w:p w14:paraId="488578E3" w14:textId="5EE74BAC" w:rsidR="003474CE" w:rsidRPr="006A7593" w:rsidRDefault="003474CE" w:rsidP="005B19A5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Capsid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assembly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modulators</w:t>
            </w:r>
          </w:p>
        </w:tc>
        <w:tc>
          <w:tcPr>
            <w:tcW w:w="1716" w:type="pct"/>
          </w:tcPr>
          <w:p w14:paraId="437B891C" w14:textId="1357C60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Interfere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with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capsid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formation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and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disrupt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the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encapsidation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of</w:t>
            </w:r>
            <w:r w:rsidR="009C1FD8" w:rsidRPr="006A7593">
              <w:rPr>
                <w:rFonts w:ascii="Book Antiqua" w:hAnsi="Book Antiqua"/>
                <w:lang w:val="en-US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pgRNA</w:t>
            </w:r>
          </w:p>
        </w:tc>
        <w:tc>
          <w:tcPr>
            <w:tcW w:w="1996" w:type="pct"/>
          </w:tcPr>
          <w:p w14:paraId="7547DF8B" w14:textId="7C5D1CC0" w:rsidR="003474CE" w:rsidRPr="006A7593" w:rsidRDefault="009C369B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90F6C">
              <w:rPr>
                <w:rFonts w:ascii="Book Antiqua" w:hAnsi="Book Antiqua"/>
                <w:lang w:val="en-US"/>
              </w:rPr>
              <w:t>C</w:t>
            </w:r>
            <w:r>
              <w:rPr>
                <w:rFonts w:ascii="Book Antiqua" w:hAnsi="Book Antiqua"/>
                <w:lang w:val="en-US"/>
              </w:rPr>
              <w:t>AMs</w:t>
            </w:r>
            <w:r w:rsidRPr="00290F6C" w:rsidDel="009526DC">
              <w:rPr>
                <w:rFonts w:ascii="Book Antiqua" w:hAnsi="Book Antiqua"/>
                <w:lang w:val="en-US"/>
              </w:rPr>
              <w:t xml:space="preserve"> </w:t>
            </w:r>
            <w:r w:rsidRPr="00290F6C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[126]</w:t>
            </w:r>
          </w:p>
        </w:tc>
      </w:tr>
      <w:tr w:rsidR="009C369B" w:rsidRPr="006A7593" w14:paraId="5EDF73A2" w14:textId="77777777" w:rsidTr="009C369B">
        <w:trPr>
          <w:trHeight w:val="1517"/>
        </w:trPr>
        <w:tc>
          <w:tcPr>
            <w:tcW w:w="1288" w:type="pct"/>
          </w:tcPr>
          <w:p w14:paraId="02201E06" w14:textId="26EF8501" w:rsidR="009C369B" w:rsidRPr="006A7593" w:rsidRDefault="009C369B" w:rsidP="009C369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Post</w:t>
            </w:r>
            <w:r w:rsidR="008D272F">
              <w:rPr>
                <w:rFonts w:ascii="Book Antiqua" w:hAnsi="Book Antiqua"/>
                <w:lang w:val="en-US"/>
              </w:rPr>
              <w:t>-</w:t>
            </w:r>
            <w:r w:rsidRPr="006A7593">
              <w:rPr>
                <w:rFonts w:ascii="Book Antiqua" w:hAnsi="Book Antiqua"/>
                <w:lang w:val="en-US"/>
              </w:rPr>
              <w:t>transcriptional control inhibitors</w:t>
            </w:r>
          </w:p>
        </w:tc>
        <w:tc>
          <w:tcPr>
            <w:tcW w:w="1716" w:type="pct"/>
          </w:tcPr>
          <w:p w14:paraId="252C6FFF" w14:textId="4DCE49EF" w:rsidR="009C369B" w:rsidRPr="006A7593" w:rsidRDefault="009C369B" w:rsidP="009C36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Post</w:t>
            </w:r>
            <w:r w:rsidR="008D272F">
              <w:rPr>
                <w:rFonts w:ascii="Book Antiqua" w:hAnsi="Book Antiqua"/>
                <w:lang w:val="en-US"/>
              </w:rPr>
              <w:t>-</w:t>
            </w:r>
            <w:r w:rsidRPr="006A7593">
              <w:rPr>
                <w:rFonts w:ascii="Book Antiqua" w:hAnsi="Book Antiqua"/>
                <w:lang w:val="en-US"/>
              </w:rPr>
              <w:t>transcriptional gene silencing by inhibition of the translation of viral proteins</w:t>
            </w:r>
          </w:p>
        </w:tc>
        <w:tc>
          <w:tcPr>
            <w:tcW w:w="1996" w:type="pct"/>
          </w:tcPr>
          <w:p w14:paraId="34D15CBC" w14:textId="0A8DFB60" w:rsidR="009C369B" w:rsidRPr="006A7593" w:rsidRDefault="009C369B" w:rsidP="009C36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90F6C">
              <w:rPr>
                <w:rFonts w:ascii="Book Antiqua" w:hAnsi="Book Antiqua"/>
                <w:lang w:val="en-US"/>
              </w:rPr>
              <w:t>S</w:t>
            </w:r>
            <w:r>
              <w:rPr>
                <w:rFonts w:ascii="Book Antiqua" w:hAnsi="Book Antiqua"/>
                <w:lang w:val="en-US"/>
              </w:rPr>
              <w:t>iRNA</w:t>
            </w:r>
            <w:r w:rsidRPr="00290F6C" w:rsidDel="009526DC">
              <w:rPr>
                <w:rFonts w:ascii="Book Antiqua" w:hAnsi="Book Antiqua"/>
                <w:lang w:val="en-US"/>
              </w:rPr>
              <w:t xml:space="preserve"> </w:t>
            </w:r>
            <w:r w:rsidRPr="00290F6C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[127-129]</w:t>
            </w:r>
            <w:r w:rsidRPr="00290F6C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Pr="00290F6C">
              <w:rPr>
                <w:rFonts w:ascii="Book Antiqua" w:eastAsiaTheme="minorEastAsia" w:hAnsi="Book Antiqua" w:cs="Arial"/>
                <w:noProof/>
                <w:vertAlign w:val="superscript"/>
                <w:lang w:val="en-US" w:eastAsia="zh-CN"/>
              </w:rPr>
              <w:t xml:space="preserve"> </w:t>
            </w:r>
            <w:r w:rsidRPr="00290F6C">
              <w:rPr>
                <w:rFonts w:ascii="Book Antiqua" w:eastAsia="Arial" w:hAnsi="Book Antiqua" w:cstheme="minorHAnsi"/>
                <w:lang w:val="en-US"/>
              </w:rPr>
              <w:t>ASOs</w:t>
            </w:r>
            <w:r w:rsidRPr="00290F6C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[130,131]</w:t>
            </w:r>
          </w:p>
        </w:tc>
      </w:tr>
      <w:tr w:rsidR="009C369B" w:rsidRPr="006A7593" w14:paraId="1E1D65A8" w14:textId="77777777" w:rsidTr="009C369B">
        <w:trPr>
          <w:trHeight w:val="1553"/>
        </w:trPr>
        <w:tc>
          <w:tcPr>
            <w:tcW w:w="1288" w:type="pct"/>
          </w:tcPr>
          <w:p w14:paraId="3D63F7CD" w14:textId="3D7CD627" w:rsidR="009C369B" w:rsidRPr="006A7593" w:rsidRDefault="009C369B" w:rsidP="009C369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HBsAg release inhibitors</w:t>
            </w:r>
          </w:p>
        </w:tc>
        <w:tc>
          <w:tcPr>
            <w:tcW w:w="1716" w:type="pct"/>
          </w:tcPr>
          <w:p w14:paraId="3F26472B" w14:textId="446ED57A" w:rsidR="009C369B" w:rsidRPr="006A7593" w:rsidRDefault="009C369B" w:rsidP="009C3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6A7593">
              <w:rPr>
                <w:rFonts w:ascii="Book Antiqua" w:hAnsi="Book Antiqua" w:cstheme="minorHAnsi"/>
                <w:lang w:val="en-US"/>
              </w:rPr>
              <w:t>Intracellular degradation</w:t>
            </w:r>
            <w:r w:rsidRPr="006A7593">
              <w:rPr>
                <w:rFonts w:ascii="Book Antiqua" w:eastAsiaTheme="minorEastAsia" w:hAnsi="Book Antiqua" w:cstheme="minorHAnsi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theme="minorHAnsi"/>
                <w:lang w:val="en-US"/>
              </w:rPr>
              <w:t>of HBsAg</w:t>
            </w:r>
            <w:r w:rsidRPr="006A7593">
              <w:rPr>
                <w:rFonts w:ascii="Book Antiqua" w:hAnsi="Book Antiqua" w:cstheme="minorHAnsi"/>
                <w:i/>
                <w:iCs/>
                <w:lang w:val="en-US"/>
              </w:rPr>
              <w:t xml:space="preserve"> via</w:t>
            </w:r>
            <w:r w:rsidRPr="006A7593">
              <w:rPr>
                <w:rFonts w:ascii="Book Antiqua" w:hAnsi="Book Antiqua" w:cstheme="minorHAnsi"/>
                <w:lang w:val="en-US"/>
              </w:rPr>
              <w:t xml:space="preserve"> proteasomal and lysosomal</w:t>
            </w:r>
            <w:r w:rsidRPr="006A7593">
              <w:rPr>
                <w:rFonts w:ascii="Book Antiqua" w:eastAsiaTheme="minorEastAsia" w:hAnsi="Book Antiqua" w:cstheme="minorHAnsi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theme="minorHAnsi"/>
                <w:lang w:val="en-US"/>
              </w:rPr>
              <w:t>degradation</w:t>
            </w:r>
          </w:p>
        </w:tc>
        <w:tc>
          <w:tcPr>
            <w:tcW w:w="1996" w:type="pct"/>
          </w:tcPr>
          <w:p w14:paraId="3A851257" w14:textId="7742154F" w:rsidR="009C369B" w:rsidRPr="006A7593" w:rsidRDefault="009C369B" w:rsidP="009C36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90F6C">
              <w:rPr>
                <w:rFonts w:ascii="Book Antiqua" w:hAnsi="Book Antiqua"/>
                <w:lang w:val="en-US"/>
              </w:rPr>
              <w:t>S</w:t>
            </w:r>
            <w:r>
              <w:rPr>
                <w:rFonts w:ascii="Book Antiqua" w:hAnsi="Book Antiqua"/>
                <w:lang w:val="en-US"/>
              </w:rPr>
              <w:t>iRNA</w:t>
            </w:r>
            <w:r w:rsidRPr="00290F6C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[127-129]</w:t>
            </w:r>
            <w:r w:rsidRPr="00290F6C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Pr="00290F6C">
              <w:rPr>
                <w:rFonts w:ascii="Book Antiqua" w:eastAsiaTheme="minorEastAsia" w:hAnsi="Book Antiqua" w:cs="Arial"/>
                <w:noProof/>
                <w:vertAlign w:val="superscript"/>
                <w:lang w:val="en-US" w:eastAsia="zh-CN"/>
              </w:rPr>
              <w:t xml:space="preserve"> </w:t>
            </w:r>
            <w:r w:rsidRPr="00290F6C">
              <w:rPr>
                <w:rFonts w:ascii="Book Antiqua" w:eastAsia="Arial" w:hAnsi="Book Antiqua" w:cstheme="minorHAnsi"/>
                <w:lang w:val="en-US"/>
              </w:rPr>
              <w:t>ASOs</w:t>
            </w:r>
            <w:r w:rsidRPr="00290F6C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[130,131]</w:t>
            </w:r>
          </w:p>
        </w:tc>
      </w:tr>
      <w:tr w:rsidR="009C369B" w:rsidRPr="006A7593" w14:paraId="4A2FA0C1" w14:textId="77777777" w:rsidTr="00E662F1">
        <w:tc>
          <w:tcPr>
            <w:tcW w:w="5000" w:type="pct"/>
            <w:gridSpan w:val="3"/>
          </w:tcPr>
          <w:p w14:paraId="68D18D89" w14:textId="2F55072F" w:rsidR="009C369B" w:rsidRPr="006A7593" w:rsidRDefault="009C369B" w:rsidP="009C369B">
            <w:pPr>
              <w:spacing w:line="360" w:lineRule="auto"/>
              <w:rPr>
                <w:rFonts w:ascii="Book Antiqua" w:hAnsi="Book Antiqua"/>
                <w:b/>
                <w:bCs/>
                <w:lang w:val="en-US"/>
              </w:rPr>
            </w:pPr>
            <w:r w:rsidRPr="006A7593">
              <w:rPr>
                <w:rFonts w:ascii="Book Antiqua" w:hAnsi="Book Antiqua"/>
                <w:b/>
                <w:bCs/>
                <w:lang w:val="en-US"/>
              </w:rPr>
              <w:t>Immunomodulators</w:t>
            </w:r>
          </w:p>
        </w:tc>
      </w:tr>
      <w:tr w:rsidR="009C369B" w:rsidRPr="006A7593" w14:paraId="396B4877" w14:textId="77777777" w:rsidTr="009C369B">
        <w:tc>
          <w:tcPr>
            <w:tcW w:w="1288" w:type="pct"/>
          </w:tcPr>
          <w:p w14:paraId="2036D9BE" w14:textId="2123F003" w:rsidR="009C369B" w:rsidRPr="006A7593" w:rsidRDefault="009C369B" w:rsidP="009C369B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Innate immune activator</w:t>
            </w:r>
          </w:p>
        </w:tc>
        <w:tc>
          <w:tcPr>
            <w:tcW w:w="1716" w:type="pct"/>
          </w:tcPr>
          <w:p w14:paraId="734C0864" w14:textId="4440FE67" w:rsidR="009C369B" w:rsidRPr="006A7593" w:rsidRDefault="009C369B" w:rsidP="009C36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 xml:space="preserve">Stimulation of innate immunity through TLRs and </w:t>
            </w:r>
            <w:r w:rsidRPr="006A7593">
              <w:rPr>
                <w:rFonts w:ascii="Book Antiqua" w:hAnsi="Book Antiqua" w:cs="Arial"/>
                <w:lang w:val="en-US"/>
              </w:rPr>
              <w:t>RIG-I</w:t>
            </w:r>
          </w:p>
        </w:tc>
        <w:tc>
          <w:tcPr>
            <w:tcW w:w="1996" w:type="pct"/>
          </w:tcPr>
          <w:p w14:paraId="46EAD146" w14:textId="2077766A" w:rsidR="009C369B" w:rsidRPr="006A7593" w:rsidRDefault="009C369B" w:rsidP="009C36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TLRs agonist</w:t>
            </w:r>
            <w:r w:rsidRPr="006A7593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[134-137]</w:t>
            </w:r>
            <w:r w:rsidRPr="006A7593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Pr="006A7593">
              <w:rPr>
                <w:rFonts w:ascii="Book Antiqua" w:eastAsiaTheme="minorEastAsia" w:hAnsi="Book Antiqua" w:cs="Arial"/>
                <w:noProof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RIG-I agonists</w:t>
            </w:r>
            <w:r w:rsidRPr="006A7593">
              <w:rPr>
                <w:rFonts w:ascii="Book Antiqua" w:eastAsia="Arial" w:hAnsi="Book Antiqua" w:cs="Arial"/>
                <w:noProof/>
                <w:color w:val="212121"/>
                <w:vertAlign w:val="superscript"/>
                <w:lang w:val="en-US"/>
              </w:rPr>
              <w:t>[138,139]</w:t>
            </w:r>
          </w:p>
        </w:tc>
      </w:tr>
      <w:tr w:rsidR="009C369B" w:rsidRPr="006A7593" w14:paraId="3FADEAB2" w14:textId="77777777" w:rsidTr="009C369B">
        <w:trPr>
          <w:trHeight w:val="1928"/>
        </w:trPr>
        <w:tc>
          <w:tcPr>
            <w:tcW w:w="1288" w:type="pct"/>
            <w:tcBorders>
              <w:bottom w:val="single" w:sz="4" w:space="0" w:color="auto"/>
            </w:tcBorders>
          </w:tcPr>
          <w:p w14:paraId="63C7D57E" w14:textId="57A4FCD5" w:rsidR="009C369B" w:rsidRPr="006A7593" w:rsidRDefault="009C369B" w:rsidP="009C369B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6A7593">
              <w:rPr>
                <w:rFonts w:ascii="Book Antiqua" w:hAnsi="Book Antiqua" w:cstheme="minorHAnsi"/>
                <w:lang w:val="en-US"/>
              </w:rPr>
              <w:t>Adaptive immune activator</w:t>
            </w: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045641EE" w14:textId="4B5C5103" w:rsidR="009C369B" w:rsidRPr="006A7593" w:rsidRDefault="009C369B" w:rsidP="009C36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Blocking the PD-1/PD-L1 pathway to reverse T-cell exhaustion; s</w:t>
            </w:r>
            <w:r w:rsidRPr="006A7593">
              <w:rPr>
                <w:rFonts w:ascii="Book Antiqua" w:eastAsia="Arial" w:hAnsi="Book Antiqua" w:cs="Arial"/>
                <w:lang w:val="en-US"/>
              </w:rPr>
              <w:t>timulation of host’s immune response to generate CD4 and CD8 HBV-specific T cells</w:t>
            </w: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14:paraId="7C2C044D" w14:textId="4F75AA46" w:rsidR="009C369B" w:rsidRPr="006A7593" w:rsidRDefault="009C369B" w:rsidP="009C369B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A7593">
              <w:rPr>
                <w:rFonts w:ascii="Book Antiqua" w:hAnsi="Book Antiqua"/>
                <w:lang w:val="en-US"/>
              </w:rPr>
              <w:t>Checkpoint inhibitors</w:t>
            </w:r>
            <w:r w:rsidRPr="006A7593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[140,141]</w:t>
            </w:r>
            <w:r w:rsidRPr="006A7593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Pr="006A7593">
              <w:rPr>
                <w:rFonts w:ascii="Book Antiqua" w:eastAsiaTheme="minorEastAsia" w:hAnsi="Book Antiqua" w:cs="Arial"/>
                <w:noProof/>
                <w:vertAlign w:val="superscript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/>
                <w:lang w:val="en-US"/>
              </w:rPr>
              <w:t>therapeutic vaccines</w:t>
            </w:r>
            <w:r w:rsidRPr="006A7593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[142,143]</w:t>
            </w:r>
          </w:p>
        </w:tc>
      </w:tr>
    </w:tbl>
    <w:bookmarkEnd w:id="7"/>
    <w:p w14:paraId="00147689" w14:textId="74AE6D5D" w:rsidR="009C369B" w:rsidRPr="00290F6C" w:rsidRDefault="009C369B" w:rsidP="009C369B">
      <w:pPr>
        <w:suppressAutoHyphens/>
        <w:spacing w:line="360" w:lineRule="auto"/>
        <w:jc w:val="both"/>
        <w:rPr>
          <w:rFonts w:ascii="Book Antiqua" w:eastAsia="Arial" w:hAnsi="Book Antiqua" w:cs="Arial"/>
          <w:b/>
          <w:bCs/>
          <w:color w:val="000000"/>
        </w:rPr>
      </w:pPr>
      <w:r w:rsidRPr="00290F6C">
        <w:rPr>
          <w:rFonts w:ascii="Book Antiqua" w:eastAsia="Book Antiqua" w:hAnsi="Book Antiqua" w:cs="Book Antiqua"/>
        </w:rPr>
        <w:t>HBV</w:t>
      </w:r>
      <w:r w:rsidRPr="00290F6C">
        <w:rPr>
          <w:rFonts w:ascii="宋体" w:eastAsia="宋体" w:hAnsi="宋体" w:cs="宋体" w:hint="eastAsia"/>
          <w:lang w:eastAsia="zh-CN"/>
        </w:rPr>
        <w:t>:</w:t>
      </w:r>
      <w:r w:rsidRPr="00290F6C">
        <w:rPr>
          <w:rFonts w:ascii="宋体" w:eastAsia="宋体" w:hAnsi="宋体" w:cs="宋体"/>
          <w:lang w:eastAsia="zh-CN"/>
        </w:rPr>
        <w:t xml:space="preserve"> </w:t>
      </w:r>
      <w:r w:rsidRPr="00290F6C">
        <w:rPr>
          <w:rFonts w:ascii="Book Antiqua" w:eastAsia="Book Antiqua" w:hAnsi="Book Antiqua" w:cs="Book Antiqua"/>
        </w:rPr>
        <w:t>Hepatitis B</w:t>
      </w:r>
      <w:r w:rsidRPr="00290F6C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Pr="00290F6C">
        <w:rPr>
          <w:rFonts w:ascii="Book Antiqua" w:eastAsia="Arial" w:hAnsi="Book Antiqua" w:cs="Arial"/>
          <w:color w:val="000000"/>
        </w:rPr>
        <w:t>virus; NTCP</w:t>
      </w:r>
      <w:r w:rsidRPr="00290F6C">
        <w:rPr>
          <w:rFonts w:ascii="宋体" w:eastAsia="宋体" w:hAnsi="宋体" w:cs="宋体" w:hint="eastAsia"/>
          <w:color w:val="000000"/>
          <w:lang w:eastAsia="zh-CN"/>
        </w:rPr>
        <w:t>:</w:t>
      </w:r>
      <w:r w:rsidRPr="00290F6C">
        <w:rPr>
          <w:rFonts w:ascii="Book Antiqua" w:eastAsia="Arial" w:hAnsi="Book Antiqua" w:cs="Arial"/>
          <w:color w:val="000000"/>
        </w:rPr>
        <w:t xml:space="preserve"> Sodium taurocholate co-transporting polypeptide;</w:t>
      </w:r>
      <w:r>
        <w:rPr>
          <w:rFonts w:ascii="Book Antiqua" w:eastAsia="Arial" w:hAnsi="Book Antiqua" w:cs="Arial"/>
          <w:color w:val="000000"/>
        </w:rPr>
        <w:t xml:space="preserve"> </w:t>
      </w:r>
      <w:r w:rsidRPr="00B155C8">
        <w:rPr>
          <w:rFonts w:ascii="Book Antiqua" w:eastAsia="Book Antiqua" w:hAnsi="Book Antiqua" w:cs="Book Antiqua"/>
          <w:color w:val="000000"/>
        </w:rPr>
        <w:t xml:space="preserve">NMAb: </w:t>
      </w:r>
      <w:r>
        <w:rPr>
          <w:rFonts w:ascii="Book Antiqua" w:eastAsia="Book Antiqua" w:hAnsi="Book Antiqua" w:cs="Book Antiqua"/>
          <w:color w:val="000000"/>
        </w:rPr>
        <w:t>N</w:t>
      </w:r>
      <w:r w:rsidRPr="00B155C8">
        <w:rPr>
          <w:rFonts w:ascii="Book Antiqua" w:eastAsia="Book Antiqua" w:hAnsi="Book Antiqua" w:cs="Book Antiqua"/>
          <w:color w:val="000000"/>
        </w:rPr>
        <w:t xml:space="preserve">eutralizing monoclonal antibodies; CAMs: </w:t>
      </w:r>
      <w:r>
        <w:rPr>
          <w:rFonts w:ascii="Book Antiqua" w:eastAsia="Book Antiqua" w:hAnsi="Book Antiqua" w:cs="Book Antiqua"/>
          <w:color w:val="000000"/>
        </w:rPr>
        <w:t>N</w:t>
      </w:r>
      <w:r w:rsidRPr="00B155C8">
        <w:rPr>
          <w:rFonts w:ascii="Book Antiqua" w:eastAsia="Book Antiqua" w:hAnsi="Book Antiqua" w:cs="Book Antiqua"/>
          <w:color w:val="000000"/>
        </w:rPr>
        <w:t xml:space="preserve">ucleocapsid assembly </w:t>
      </w:r>
      <w:r w:rsidRPr="00B155C8">
        <w:rPr>
          <w:rFonts w:ascii="Book Antiqua" w:eastAsia="Book Antiqua" w:hAnsi="Book Antiqua" w:cs="Book Antiqua"/>
          <w:color w:val="000000"/>
        </w:rPr>
        <w:lastRenderedPageBreak/>
        <w:t>modulators;</w:t>
      </w:r>
      <w:r w:rsidRPr="00B155C8">
        <w:rPr>
          <w:rFonts w:ascii="Book Antiqua" w:eastAsia="Arial" w:hAnsi="Book Antiqua" w:cs="Arial"/>
          <w:color w:val="000000"/>
        </w:rPr>
        <w:t xml:space="preserve"> </w:t>
      </w:r>
      <w:r w:rsidRPr="00B155C8">
        <w:rPr>
          <w:rFonts w:ascii="Book Antiqua" w:eastAsia="Book Antiqua" w:hAnsi="Book Antiqua" w:cs="Book Antiqua"/>
          <w:color w:val="000000"/>
        </w:rPr>
        <w:t>SiRNA:</w:t>
      </w:r>
      <w:r w:rsidRPr="00B155C8">
        <w:rPr>
          <w:rFonts w:ascii="Book Antiqua" w:hAnsi="Book Antiqua"/>
        </w:rPr>
        <w:t xml:space="preserve"> Small interfering RNA</w:t>
      </w:r>
      <w:r w:rsidRPr="00B155C8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90F6C">
        <w:rPr>
          <w:rFonts w:ascii="Book Antiqua" w:eastAsia="Arial" w:hAnsi="Book Antiqua" w:cstheme="minorHAnsi"/>
        </w:rPr>
        <w:t>ASO:</w:t>
      </w:r>
      <w:r w:rsidRPr="00290F6C">
        <w:rPr>
          <w:rFonts w:ascii="Book Antiqua" w:hAnsi="Book Antiqua"/>
        </w:rPr>
        <w:t xml:space="preserve"> Antisense </w:t>
      </w:r>
      <w:r w:rsidRPr="00290F6C">
        <w:rPr>
          <w:rFonts w:ascii="Book Antiqua" w:eastAsia="Arial" w:hAnsi="Book Antiqua" w:cstheme="minorHAnsi"/>
        </w:rPr>
        <w:t xml:space="preserve">oligonucleotides; NAP: </w:t>
      </w:r>
      <w:r w:rsidRPr="00290F6C">
        <w:rPr>
          <w:rFonts w:ascii="Book Antiqua" w:eastAsia="Arial" w:hAnsi="Book Antiqua" w:cs="Arial"/>
        </w:rPr>
        <w:t xml:space="preserve">Nucleic acid polymers; TLRs: </w:t>
      </w:r>
      <w:r w:rsidRPr="00290F6C">
        <w:rPr>
          <w:rFonts w:ascii="Book Antiqua" w:hAnsi="Book Antiqua"/>
        </w:rPr>
        <w:t xml:space="preserve">Toll-like receptors; </w:t>
      </w:r>
      <w:r w:rsidRPr="00290F6C">
        <w:rPr>
          <w:rFonts w:ascii="Book Antiqua" w:hAnsi="Book Antiqua" w:cs="Arial"/>
        </w:rPr>
        <w:t>RIG-I:</w:t>
      </w:r>
      <w:r w:rsidRPr="00290F6C">
        <w:rPr>
          <w:rFonts w:ascii="Book Antiqua" w:hAnsi="Book Antiqua"/>
        </w:rPr>
        <w:t xml:space="preserve"> R</w:t>
      </w:r>
      <w:r w:rsidRPr="00290F6C">
        <w:rPr>
          <w:rFonts w:ascii="Book Antiqua" w:hAnsi="Book Antiqua" w:cs="Arial"/>
        </w:rPr>
        <w:t xml:space="preserve">etinoic acid-inducible gene-1; </w:t>
      </w:r>
      <w:r w:rsidRPr="00290F6C">
        <w:rPr>
          <w:rFonts w:ascii="Book Antiqua" w:eastAsia="Book Antiqua" w:hAnsi="Book Antiqua" w:cs="Book Antiqua"/>
          <w:color w:val="000000"/>
        </w:rPr>
        <w:t xml:space="preserve">PD-1: Programmed death receptor 1; PD-L1: Programmed cell death ligand 1; </w:t>
      </w:r>
      <w:r w:rsidRPr="00290F6C">
        <w:rPr>
          <w:rFonts w:ascii="Book Antiqua" w:hAnsi="Book Antiqua" w:cs="Arial"/>
        </w:rPr>
        <w:t>HBsAg:</w:t>
      </w:r>
      <w:r w:rsidRPr="00290F6C">
        <w:rPr>
          <w:rFonts w:ascii="Book Antiqua" w:eastAsia="Times New Roman" w:hAnsi="Book Antiqua" w:cs="Arial"/>
          <w:color w:val="000000"/>
        </w:rPr>
        <w:t xml:space="preserve"> Hepatitis B virus surface antigen; </w:t>
      </w:r>
      <w:r w:rsidRPr="00290F6C">
        <w:rPr>
          <w:rFonts w:ascii="Book Antiqua" w:eastAsia="Book Antiqua" w:hAnsi="Book Antiqua" w:cs="Book Antiqua"/>
        </w:rPr>
        <w:t>HBeAg: Hepatitis B e antigen.</w:t>
      </w:r>
    </w:p>
    <w:p w14:paraId="4F2AAB81" w14:textId="5295A605" w:rsidR="003474CE" w:rsidRPr="006A7593" w:rsidRDefault="00DB42A3" w:rsidP="003474CE">
      <w:pPr>
        <w:suppressAutoHyphens/>
        <w:spacing w:line="360" w:lineRule="auto"/>
        <w:jc w:val="both"/>
        <w:rPr>
          <w:rFonts w:ascii="Book Antiqua" w:eastAsia="Times New Roman" w:hAnsi="Book Antiqua" w:cs="Arial"/>
        </w:rPr>
      </w:pPr>
      <w:r w:rsidRPr="006A7593">
        <w:rPr>
          <w:rFonts w:ascii="Book Antiqua" w:eastAsia="Arial" w:hAnsi="Book Antiqua" w:cs="Arial"/>
          <w:b/>
          <w:bCs/>
          <w:color w:val="000000"/>
        </w:rPr>
        <w:br w:type="page"/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lastRenderedPageBreak/>
        <w:t>Table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3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Efficacy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of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drug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combinations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to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achieve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sustained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A7593">
        <w:rPr>
          <w:rFonts w:ascii="Book Antiqua" w:eastAsia="Arial" w:hAnsi="Book Antiqua" w:cs="Arial"/>
          <w:b/>
          <w:bCs/>
          <w:color w:val="000000"/>
        </w:rPr>
        <w:t>hepatitis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A7593">
        <w:rPr>
          <w:rFonts w:ascii="Book Antiqua" w:eastAsia="Arial" w:hAnsi="Book Antiqua" w:cs="Arial"/>
          <w:b/>
          <w:bCs/>
          <w:color w:val="000000"/>
        </w:rPr>
        <w:t>B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A7593">
        <w:rPr>
          <w:rFonts w:ascii="Book Antiqua" w:eastAsia="Arial" w:hAnsi="Book Antiqua" w:cs="Arial"/>
          <w:b/>
          <w:bCs/>
          <w:color w:val="000000"/>
        </w:rPr>
        <w:t>virus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A7593">
        <w:rPr>
          <w:rFonts w:ascii="Book Antiqua" w:eastAsia="Arial" w:hAnsi="Book Antiqua" w:cs="Arial"/>
          <w:b/>
          <w:bCs/>
          <w:color w:val="000000"/>
        </w:rPr>
        <w:t>surface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A7593">
        <w:rPr>
          <w:rFonts w:ascii="Book Antiqua" w:eastAsia="Arial" w:hAnsi="Book Antiqua" w:cs="Arial"/>
          <w:b/>
          <w:bCs/>
          <w:color w:val="000000"/>
        </w:rPr>
        <w:t>antigen</w:t>
      </w:r>
      <w:r w:rsidR="009C1FD8" w:rsidRPr="006A7593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A7593">
        <w:rPr>
          <w:rFonts w:ascii="Book Antiqua" w:eastAsia="Arial" w:hAnsi="Book Antiqua" w:cs="Arial"/>
          <w:b/>
          <w:bCs/>
          <w:color w:val="000000"/>
        </w:rPr>
        <w:t>loss</w:t>
      </w:r>
    </w:p>
    <w:tbl>
      <w:tblPr>
        <w:tblStyle w:val="Tablaconcuadrcula1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895"/>
        <w:gridCol w:w="1096"/>
        <w:gridCol w:w="1069"/>
        <w:gridCol w:w="1656"/>
        <w:gridCol w:w="2065"/>
      </w:tblGrid>
      <w:tr w:rsidR="003474CE" w:rsidRPr="006A7593" w14:paraId="582072C8" w14:textId="77777777" w:rsidTr="00BA655D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33024FA7" w14:textId="20D9E9B5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bookmarkStart w:id="8" w:name="_Hlk134893825"/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Drug</w:t>
            </w:r>
            <w:r w:rsidR="009C1FD8" w:rsidRPr="006A7593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class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7AB680B2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Drug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4674345C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Patients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73098576" w14:textId="6377CB89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Time</w:t>
            </w:r>
            <w:r w:rsidR="009C1FD8" w:rsidRPr="006A7593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therapy</w:t>
            </w:r>
            <w:r w:rsidR="009C1FD8" w:rsidRPr="006A7593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(w</w:t>
            </w:r>
            <w:r w:rsidR="00BA655D" w:rsidRPr="006A7593">
              <w:rPr>
                <w:rFonts w:ascii="Book Antiqua" w:hAnsi="Book Antiqua" w:cs="Arial"/>
                <w:b/>
                <w:bCs/>
                <w:lang w:val="en-US"/>
              </w:rPr>
              <w:t>k</w:t>
            </w: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F51EA1D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Efficacy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148F4A42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A7593">
              <w:rPr>
                <w:rFonts w:ascii="Book Antiqua" w:hAnsi="Book Antiqua" w:cs="Arial"/>
                <w:b/>
                <w:bCs/>
                <w:lang w:val="en-US"/>
              </w:rPr>
              <w:t>Safety</w:t>
            </w:r>
          </w:p>
        </w:tc>
      </w:tr>
      <w:tr w:rsidR="00BA655D" w:rsidRPr="006A7593" w14:paraId="4FA1D1C4" w14:textId="77777777" w:rsidTr="00BA655D">
        <w:tc>
          <w:tcPr>
            <w:tcW w:w="1429" w:type="dxa"/>
            <w:tcBorders>
              <w:top w:val="single" w:sz="4" w:space="0" w:color="auto"/>
            </w:tcBorders>
          </w:tcPr>
          <w:p w14:paraId="6FE05452" w14:textId="332931B5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+/-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CAM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C0FBCB0" w14:textId="33D87609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A7593">
              <w:rPr>
                <w:rFonts w:ascii="Book Antiqua" w:hAnsi="Book Antiqua" w:cs="Arial"/>
              </w:rPr>
              <w:t>NA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</w:rPr>
              <w:t>vs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NA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+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JNJ-6379</w:t>
            </w:r>
            <w:r w:rsidR="009C1FD8" w:rsidRPr="006A7593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(bersacapavir)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52C658D2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232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E4A4290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24-48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21E852B9" w14:textId="65698D17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decline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0.25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BA655D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0.41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BA655D" w:rsidRPr="006A7593">
              <w:rPr>
                <w:rFonts w:ascii="Book Antiqua" w:hAnsi="Book Antiqua" w:cs="Arial"/>
                <w:lang w:val="en-US"/>
              </w:rPr>
              <w:t>L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8BA56D3" w14:textId="1506DBEC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major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AE</w:t>
            </w:r>
          </w:p>
        </w:tc>
      </w:tr>
      <w:tr w:rsidR="00BA655D" w:rsidRPr="006A7593" w14:paraId="70D4A77D" w14:textId="77777777" w:rsidTr="00BA655D">
        <w:tc>
          <w:tcPr>
            <w:tcW w:w="1429" w:type="dxa"/>
          </w:tcPr>
          <w:p w14:paraId="0DF92260" w14:textId="0D8B8C1E" w:rsidR="003474CE" w:rsidRPr="006A7593" w:rsidRDefault="009C369B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S</w:t>
            </w:r>
            <w:r w:rsidR="003474CE" w:rsidRPr="006A7593">
              <w:rPr>
                <w:rFonts w:ascii="Book Antiqua" w:hAnsi="Book Antiqua" w:cs="Arial"/>
                <w:lang w:val="en-US"/>
              </w:rPr>
              <w:t>iRNA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3474CE" w:rsidRPr="006A7593">
              <w:rPr>
                <w:rFonts w:ascii="Book Antiqua" w:hAnsi="Book Antiqua" w:cs="Arial"/>
                <w:lang w:val="en-US"/>
              </w:rPr>
              <w:t>+/-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3474CE" w:rsidRPr="006A7593">
              <w:rPr>
                <w:rFonts w:ascii="Book Antiqua" w:hAnsi="Book Antiqua" w:cs="Arial"/>
                <w:lang w:val="en-US"/>
              </w:rPr>
              <w:t>NA</w:t>
            </w:r>
          </w:p>
        </w:tc>
        <w:tc>
          <w:tcPr>
            <w:tcW w:w="1895" w:type="dxa"/>
          </w:tcPr>
          <w:p w14:paraId="29A86C02" w14:textId="7D5BEE60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AB-729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AB-729</w:t>
            </w:r>
          </w:p>
        </w:tc>
        <w:tc>
          <w:tcPr>
            <w:tcW w:w="1096" w:type="dxa"/>
          </w:tcPr>
          <w:p w14:paraId="3D4445D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43</w:t>
            </w:r>
          </w:p>
        </w:tc>
        <w:tc>
          <w:tcPr>
            <w:tcW w:w="1069" w:type="dxa"/>
          </w:tcPr>
          <w:p w14:paraId="7F3937E0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8</w:t>
            </w:r>
          </w:p>
        </w:tc>
        <w:tc>
          <w:tcPr>
            <w:tcW w:w="1656" w:type="dxa"/>
          </w:tcPr>
          <w:p w14:paraId="51219199" w14:textId="0ACC0C60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decline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2.03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A44F35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monotherapy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2.16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A44F35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combination</w:t>
            </w:r>
          </w:p>
        </w:tc>
        <w:tc>
          <w:tcPr>
            <w:tcW w:w="2065" w:type="dxa"/>
          </w:tcPr>
          <w:p w14:paraId="0FDB72ED" w14:textId="016812F2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Injection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site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reactions;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ALT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flares</w:t>
            </w:r>
          </w:p>
        </w:tc>
      </w:tr>
      <w:tr w:rsidR="00BA655D" w:rsidRPr="006A7593" w14:paraId="7FFA6B5E" w14:textId="77777777" w:rsidTr="00BA655D">
        <w:tc>
          <w:tcPr>
            <w:tcW w:w="1429" w:type="dxa"/>
          </w:tcPr>
          <w:p w14:paraId="292A6BDC" w14:textId="51A19C40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NA</w:t>
            </w:r>
          </w:p>
        </w:tc>
        <w:tc>
          <w:tcPr>
            <w:tcW w:w="1895" w:type="dxa"/>
          </w:tcPr>
          <w:p w14:paraId="5B789DBA" w14:textId="2BF66443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ASO-GSK3228836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(bepirovirsen)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±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NA</w:t>
            </w:r>
          </w:p>
        </w:tc>
        <w:tc>
          <w:tcPr>
            <w:tcW w:w="1096" w:type="dxa"/>
          </w:tcPr>
          <w:p w14:paraId="3D47DB5C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457</w:t>
            </w:r>
          </w:p>
        </w:tc>
        <w:tc>
          <w:tcPr>
            <w:tcW w:w="1069" w:type="dxa"/>
          </w:tcPr>
          <w:p w14:paraId="08B73CC1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12-24</w:t>
            </w:r>
          </w:p>
        </w:tc>
        <w:tc>
          <w:tcPr>
            <w:tcW w:w="1656" w:type="dxa"/>
          </w:tcPr>
          <w:p w14:paraId="78A273E7" w14:textId="64F2239B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&lt;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LoQ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28</w:t>
            </w:r>
            <w:r w:rsidR="00A44F35" w:rsidRPr="006A7593">
              <w:rPr>
                <w:rFonts w:ascii="Book Antiqua" w:hAnsi="Book Antiqua" w:cs="Arial"/>
                <w:lang w:val="en-US"/>
              </w:rPr>
              <w:t>%</w:t>
            </w:r>
            <w:r w:rsidRPr="006A7593">
              <w:rPr>
                <w:rFonts w:ascii="Book Antiqua" w:hAnsi="Book Antiqua" w:cs="Arial"/>
                <w:lang w:val="en-US"/>
              </w:rPr>
              <w:t>-29%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and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loss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9</w:t>
            </w:r>
            <w:r w:rsidR="00A44F35" w:rsidRPr="006A7593">
              <w:rPr>
                <w:rFonts w:ascii="Book Antiqua" w:hAnsi="Book Antiqua" w:cs="Arial"/>
                <w:lang w:val="en-US"/>
              </w:rPr>
              <w:t>%</w:t>
            </w:r>
            <w:r w:rsidRPr="006A7593">
              <w:rPr>
                <w:rFonts w:ascii="Book Antiqua" w:hAnsi="Book Antiqua" w:cs="Arial"/>
                <w:lang w:val="en-US"/>
              </w:rPr>
              <w:t>-10%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after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24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w</w:t>
            </w:r>
            <w:r w:rsidR="009A51B8" w:rsidRPr="006A7593">
              <w:rPr>
                <w:rFonts w:ascii="Book Antiqua" w:hAnsi="Book Antiqua" w:cs="Arial"/>
                <w:lang w:val="en-US"/>
              </w:rPr>
              <w:t>k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of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EoT</w:t>
            </w:r>
          </w:p>
        </w:tc>
        <w:tc>
          <w:tcPr>
            <w:tcW w:w="2065" w:type="dxa"/>
          </w:tcPr>
          <w:p w14:paraId="0B45632D" w14:textId="555095BB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Injection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site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reactions;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A44F35" w:rsidRPr="006A7593">
              <w:rPr>
                <w:rFonts w:ascii="Book Antiqua" w:hAnsi="Book Antiqua" w:cs="Arial"/>
                <w:lang w:val="en-US"/>
              </w:rPr>
              <w:t>f</w:t>
            </w:r>
            <w:r w:rsidRPr="006A7593">
              <w:rPr>
                <w:rFonts w:ascii="Book Antiqua" w:hAnsi="Book Antiqua" w:cs="Arial"/>
                <w:lang w:val="en-US"/>
              </w:rPr>
              <w:t>ew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cases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of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grade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3-4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ALT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flares</w:t>
            </w:r>
          </w:p>
        </w:tc>
      </w:tr>
      <w:tr w:rsidR="00BA655D" w:rsidRPr="006A7593" w14:paraId="4C68DB19" w14:textId="77777777" w:rsidTr="00BA655D">
        <w:tc>
          <w:tcPr>
            <w:tcW w:w="1429" w:type="dxa"/>
          </w:tcPr>
          <w:p w14:paraId="44F5F3ED" w14:textId="3F96EDD8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Inhibitor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of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NTCP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Peg-IFN</w:t>
            </w:r>
          </w:p>
        </w:tc>
        <w:tc>
          <w:tcPr>
            <w:tcW w:w="1895" w:type="dxa"/>
          </w:tcPr>
          <w:p w14:paraId="2A9BB1D3" w14:textId="7912F315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Bulevirtide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Peg-IFN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HDV-HBV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co-infection</w:t>
            </w:r>
          </w:p>
        </w:tc>
        <w:tc>
          <w:tcPr>
            <w:tcW w:w="1096" w:type="dxa"/>
          </w:tcPr>
          <w:p w14:paraId="3201C69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90</w:t>
            </w:r>
          </w:p>
        </w:tc>
        <w:tc>
          <w:tcPr>
            <w:tcW w:w="1069" w:type="dxa"/>
          </w:tcPr>
          <w:p w14:paraId="092D6282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656" w:type="dxa"/>
          </w:tcPr>
          <w:p w14:paraId="2D28D72A" w14:textId="043944FD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loss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26.7%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one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arm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0%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the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other</w:t>
            </w:r>
          </w:p>
        </w:tc>
        <w:tc>
          <w:tcPr>
            <w:tcW w:w="2065" w:type="dxa"/>
          </w:tcPr>
          <w:p w14:paraId="12D33A1B" w14:textId="73F4BD9D" w:rsidR="003474CE" w:rsidRPr="006A7593" w:rsidRDefault="003474CE" w:rsidP="00A44F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Related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Peg-IFN;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="00A44F35" w:rsidRPr="006A7593">
              <w:rPr>
                <w:rFonts w:ascii="Book Antiqua" w:hAnsi="Book Antiqua" w:cs="Arial"/>
                <w:lang w:val="en-US"/>
              </w:rPr>
              <w:t>inje</w:t>
            </w:r>
            <w:r w:rsidRPr="006A7593">
              <w:rPr>
                <w:rFonts w:ascii="Book Antiqua" w:hAnsi="Book Antiqua" w:cs="Arial"/>
                <w:lang w:val="en-US"/>
              </w:rPr>
              <w:t>ction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site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reactions</w:t>
            </w:r>
          </w:p>
        </w:tc>
      </w:tr>
      <w:tr w:rsidR="00BA655D" w:rsidRPr="006A7593" w14:paraId="35A45C52" w14:textId="77777777" w:rsidTr="00BA655D">
        <w:tc>
          <w:tcPr>
            <w:tcW w:w="1429" w:type="dxa"/>
          </w:tcPr>
          <w:p w14:paraId="6DAA3E3F" w14:textId="463FF25F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TLR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lastRenderedPageBreak/>
              <w:t>agonists</w:t>
            </w:r>
          </w:p>
        </w:tc>
        <w:tc>
          <w:tcPr>
            <w:tcW w:w="1895" w:type="dxa"/>
          </w:tcPr>
          <w:p w14:paraId="3722F3DE" w14:textId="1BB798DD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lastRenderedPageBreak/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TLR7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lastRenderedPageBreak/>
              <w:t>agonist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(vesatolimod,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GS-9620)</w:t>
            </w:r>
          </w:p>
        </w:tc>
        <w:tc>
          <w:tcPr>
            <w:tcW w:w="1096" w:type="dxa"/>
          </w:tcPr>
          <w:p w14:paraId="52F26496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lastRenderedPageBreak/>
              <w:t>162</w:t>
            </w:r>
          </w:p>
        </w:tc>
        <w:tc>
          <w:tcPr>
            <w:tcW w:w="1069" w:type="dxa"/>
          </w:tcPr>
          <w:p w14:paraId="3809BFA2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24</w:t>
            </w:r>
          </w:p>
        </w:tc>
        <w:tc>
          <w:tcPr>
            <w:tcW w:w="1656" w:type="dxa"/>
          </w:tcPr>
          <w:p w14:paraId="69098E54" w14:textId="28F0CE72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changes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lastRenderedPageBreak/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HBsAg</w:t>
            </w:r>
          </w:p>
        </w:tc>
        <w:tc>
          <w:tcPr>
            <w:tcW w:w="2065" w:type="dxa"/>
          </w:tcPr>
          <w:p w14:paraId="2EA61C9C" w14:textId="5132C265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lastRenderedPageBreak/>
              <w:t>Some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grade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3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lastRenderedPageBreak/>
              <w:t>with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higher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doses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(few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treatment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discontinuations)</w:t>
            </w:r>
          </w:p>
        </w:tc>
      </w:tr>
      <w:tr w:rsidR="00BA655D" w:rsidRPr="006A7593" w14:paraId="5EDBFCFA" w14:textId="77777777" w:rsidTr="00BA655D">
        <w:tc>
          <w:tcPr>
            <w:tcW w:w="1429" w:type="dxa"/>
          </w:tcPr>
          <w:p w14:paraId="7D7692D9" w14:textId="1D43FEE8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lastRenderedPageBreak/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TLR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agonists</w:t>
            </w:r>
          </w:p>
        </w:tc>
        <w:tc>
          <w:tcPr>
            <w:tcW w:w="1895" w:type="dxa"/>
          </w:tcPr>
          <w:p w14:paraId="48EC7F99" w14:textId="56311141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TLR8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agonist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(selgantolimod)</w:t>
            </w:r>
          </w:p>
        </w:tc>
        <w:tc>
          <w:tcPr>
            <w:tcW w:w="1096" w:type="dxa"/>
          </w:tcPr>
          <w:p w14:paraId="33E7F8A9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069" w:type="dxa"/>
          </w:tcPr>
          <w:p w14:paraId="653B2A55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24</w:t>
            </w:r>
          </w:p>
        </w:tc>
        <w:tc>
          <w:tcPr>
            <w:tcW w:w="1656" w:type="dxa"/>
          </w:tcPr>
          <w:p w14:paraId="29D3EEE6" w14:textId="54B502BB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loss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5%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week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2065" w:type="dxa"/>
          </w:tcPr>
          <w:p w14:paraId="4280B63C" w14:textId="75959C1A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Mild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and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transient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gastrointestinal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AE</w:t>
            </w:r>
          </w:p>
        </w:tc>
      </w:tr>
      <w:tr w:rsidR="00BA655D" w:rsidRPr="006A7593" w14:paraId="2B48D33E" w14:textId="77777777" w:rsidTr="00BA655D">
        <w:tc>
          <w:tcPr>
            <w:tcW w:w="1429" w:type="dxa"/>
          </w:tcPr>
          <w:p w14:paraId="3884F337" w14:textId="797A7C85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checkpoint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inhibitors</w:t>
            </w:r>
          </w:p>
        </w:tc>
        <w:tc>
          <w:tcPr>
            <w:tcW w:w="1895" w:type="dxa"/>
          </w:tcPr>
          <w:p w14:paraId="5F734A23" w14:textId="4F252A5F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PD-1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inhibitor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(nivolumab)</w:t>
            </w:r>
          </w:p>
        </w:tc>
        <w:tc>
          <w:tcPr>
            <w:tcW w:w="1096" w:type="dxa"/>
          </w:tcPr>
          <w:p w14:paraId="64F013A7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12</w:t>
            </w:r>
          </w:p>
        </w:tc>
        <w:tc>
          <w:tcPr>
            <w:tcW w:w="1069" w:type="dxa"/>
          </w:tcPr>
          <w:p w14:paraId="692EDFEE" w14:textId="37B50629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dose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(24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follow-up)</w:t>
            </w:r>
          </w:p>
        </w:tc>
        <w:tc>
          <w:tcPr>
            <w:tcW w:w="1656" w:type="dxa"/>
          </w:tcPr>
          <w:p w14:paraId="4651ADBD" w14:textId="5A18E813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reduction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0.48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9A51B8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loss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5%)</w:t>
            </w:r>
          </w:p>
        </w:tc>
        <w:tc>
          <w:tcPr>
            <w:tcW w:w="2065" w:type="dxa"/>
          </w:tcPr>
          <w:p w14:paraId="4683044D" w14:textId="05DD8AE7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major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AE</w:t>
            </w:r>
          </w:p>
        </w:tc>
      </w:tr>
      <w:tr w:rsidR="00BA655D" w:rsidRPr="006A7593" w14:paraId="1353B0F2" w14:textId="77777777" w:rsidTr="00BA655D">
        <w:tc>
          <w:tcPr>
            <w:tcW w:w="1429" w:type="dxa"/>
          </w:tcPr>
          <w:p w14:paraId="23DCC020" w14:textId="199DC465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checkpoint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inhibitors</w:t>
            </w:r>
          </w:p>
        </w:tc>
        <w:tc>
          <w:tcPr>
            <w:tcW w:w="1895" w:type="dxa"/>
          </w:tcPr>
          <w:p w14:paraId="66C353DB" w14:textId="46443200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A7593">
              <w:rPr>
                <w:rFonts w:ascii="Book Antiqua" w:hAnsi="Book Antiqua" w:cs="Arial"/>
              </w:rPr>
              <w:t>NA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+</w:t>
            </w:r>
            <w:r w:rsidR="009C1FD8" w:rsidRPr="006A7593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PD-L1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inhibitor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(ASC22,</w:t>
            </w:r>
            <w:r w:rsidR="009C1FD8" w:rsidRPr="006A7593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="009A51B8" w:rsidRPr="006A7593">
              <w:rPr>
                <w:rFonts w:ascii="Book Antiqua" w:eastAsiaTheme="minorEastAsia" w:hAnsi="Book Antiqua" w:cs="Arial"/>
                <w:lang w:eastAsia="zh-CN"/>
              </w:rPr>
              <w:t>M</w:t>
            </w:r>
            <w:r w:rsidRPr="006A7593">
              <w:rPr>
                <w:rFonts w:ascii="Book Antiqua" w:hAnsi="Book Antiqua" w:cs="Arial"/>
              </w:rPr>
              <w:t>envafolimab)</w:t>
            </w:r>
          </w:p>
        </w:tc>
        <w:tc>
          <w:tcPr>
            <w:tcW w:w="1096" w:type="dxa"/>
          </w:tcPr>
          <w:p w14:paraId="6E74D64B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069" w:type="dxa"/>
          </w:tcPr>
          <w:p w14:paraId="134DDE01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24</w:t>
            </w:r>
          </w:p>
        </w:tc>
        <w:tc>
          <w:tcPr>
            <w:tcW w:w="1656" w:type="dxa"/>
          </w:tcPr>
          <w:p w14:paraId="2D4A8F6D" w14:textId="5F35EDA3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decline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0.38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9A51B8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loss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19%)</w:t>
            </w:r>
          </w:p>
        </w:tc>
        <w:tc>
          <w:tcPr>
            <w:tcW w:w="2065" w:type="dxa"/>
          </w:tcPr>
          <w:p w14:paraId="206D11E1" w14:textId="57191D8F" w:rsidR="003474CE" w:rsidRPr="006A7593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Grade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and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ALT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flares</w:t>
            </w:r>
          </w:p>
        </w:tc>
      </w:tr>
      <w:tr w:rsidR="00BA655D" w:rsidRPr="006A7593" w14:paraId="68798B8A" w14:textId="77777777" w:rsidTr="00BA655D">
        <w:tc>
          <w:tcPr>
            <w:tcW w:w="1429" w:type="dxa"/>
          </w:tcPr>
          <w:p w14:paraId="0CB7DCFA" w14:textId="5D865AE9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D600D6">
              <w:rPr>
                <w:rFonts w:ascii="Book Antiqua" w:hAnsi="Book Antiqua" w:cs="Arial"/>
                <w:lang w:val="en-US"/>
              </w:rPr>
              <w:t>S</w:t>
            </w:r>
            <w:r w:rsidRPr="006A7593">
              <w:rPr>
                <w:rFonts w:ascii="Book Antiqua" w:hAnsi="Book Antiqua" w:cs="Arial"/>
                <w:lang w:val="en-US"/>
              </w:rPr>
              <w:t>iRNA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+/-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CAM</w:t>
            </w:r>
          </w:p>
        </w:tc>
        <w:tc>
          <w:tcPr>
            <w:tcW w:w="1895" w:type="dxa"/>
          </w:tcPr>
          <w:p w14:paraId="04A52AFB" w14:textId="751913B3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A7593">
              <w:rPr>
                <w:rFonts w:ascii="Book Antiqua" w:hAnsi="Book Antiqua" w:cs="Arial"/>
              </w:rPr>
              <w:t>NA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+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JNJ-3989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(siRNA)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+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NA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±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JNJ-6379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(CAM)</w:t>
            </w:r>
          </w:p>
        </w:tc>
        <w:tc>
          <w:tcPr>
            <w:tcW w:w="1096" w:type="dxa"/>
          </w:tcPr>
          <w:p w14:paraId="4F6E8F96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117</w:t>
            </w:r>
          </w:p>
        </w:tc>
        <w:tc>
          <w:tcPr>
            <w:tcW w:w="1069" w:type="dxa"/>
          </w:tcPr>
          <w:p w14:paraId="5F87545E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656" w:type="dxa"/>
          </w:tcPr>
          <w:p w14:paraId="65BC830C" w14:textId="531D229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decline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2.1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9A51B8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double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1.8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9A51B8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triple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combination</w:t>
            </w:r>
          </w:p>
        </w:tc>
        <w:tc>
          <w:tcPr>
            <w:tcW w:w="2065" w:type="dxa"/>
          </w:tcPr>
          <w:p w14:paraId="0BFC4897" w14:textId="39874013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major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AE</w:t>
            </w:r>
          </w:p>
        </w:tc>
      </w:tr>
      <w:tr w:rsidR="00BA655D" w:rsidRPr="006A7593" w14:paraId="39800AF9" w14:textId="77777777" w:rsidTr="009A51B8">
        <w:tc>
          <w:tcPr>
            <w:tcW w:w="1429" w:type="dxa"/>
          </w:tcPr>
          <w:p w14:paraId="19EB204D" w14:textId="7180A73A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NAP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Peg-IFN</w:t>
            </w:r>
          </w:p>
        </w:tc>
        <w:tc>
          <w:tcPr>
            <w:tcW w:w="1895" w:type="dxa"/>
          </w:tcPr>
          <w:p w14:paraId="6C42E46A" w14:textId="2FE970AB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REP2139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or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REP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2165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lastRenderedPageBreak/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Peg-IFN</w:t>
            </w:r>
          </w:p>
        </w:tc>
        <w:tc>
          <w:tcPr>
            <w:tcW w:w="1096" w:type="dxa"/>
          </w:tcPr>
          <w:p w14:paraId="5D41AA6C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lastRenderedPageBreak/>
              <w:t>40</w:t>
            </w:r>
          </w:p>
        </w:tc>
        <w:tc>
          <w:tcPr>
            <w:tcW w:w="1069" w:type="dxa"/>
          </w:tcPr>
          <w:p w14:paraId="3B33CB13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656" w:type="dxa"/>
          </w:tcPr>
          <w:p w14:paraId="4D026993" w14:textId="2A31224E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loss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35%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and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lastRenderedPageBreak/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&lt;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100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9A51B8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75%</w:t>
            </w:r>
          </w:p>
        </w:tc>
        <w:tc>
          <w:tcPr>
            <w:tcW w:w="2065" w:type="dxa"/>
          </w:tcPr>
          <w:p w14:paraId="709905CA" w14:textId="16BE4291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lastRenderedPageBreak/>
              <w:t>Related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Peg-IFN</w:t>
            </w:r>
          </w:p>
        </w:tc>
      </w:tr>
      <w:tr w:rsidR="00BA655D" w:rsidRPr="006A7593" w14:paraId="6AE74BFB" w14:textId="77777777" w:rsidTr="009A51B8">
        <w:tc>
          <w:tcPr>
            <w:tcW w:w="1429" w:type="dxa"/>
            <w:tcBorders>
              <w:bottom w:val="single" w:sz="4" w:space="0" w:color="auto"/>
            </w:tcBorders>
          </w:tcPr>
          <w:p w14:paraId="0031BE37" w14:textId="5FEFBD86" w:rsidR="003474CE" w:rsidRPr="006A7593" w:rsidRDefault="00D600D6" w:rsidP="009A51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S</w:t>
            </w:r>
            <w:r w:rsidR="003474CE" w:rsidRPr="006A7593">
              <w:rPr>
                <w:rFonts w:ascii="Book Antiqua" w:hAnsi="Book Antiqua" w:cs="Arial"/>
                <w:lang w:val="en-US"/>
              </w:rPr>
              <w:t>iRNA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3474CE" w:rsidRPr="006A7593">
              <w:rPr>
                <w:rFonts w:ascii="Book Antiqua" w:hAnsi="Book Antiqua" w:cs="Arial"/>
                <w:lang w:val="en-US"/>
              </w:rPr>
              <w:t>+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3474CE" w:rsidRPr="006A7593">
              <w:rPr>
                <w:rFonts w:ascii="Book Antiqua" w:hAnsi="Book Antiqua" w:cs="Arial"/>
                <w:lang w:val="en-US"/>
              </w:rPr>
              <w:t>NA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3474CE" w:rsidRPr="006A7593">
              <w:rPr>
                <w:rFonts w:ascii="Book Antiqua" w:hAnsi="Book Antiqua" w:cs="Arial"/>
                <w:lang w:val="en-US"/>
              </w:rPr>
              <w:t>+/-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="003474CE" w:rsidRPr="006A7593">
              <w:rPr>
                <w:rFonts w:ascii="Book Antiqua" w:hAnsi="Book Antiqua" w:cs="Arial"/>
                <w:lang w:val="en-US"/>
              </w:rPr>
              <w:t>Peg-IFN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0F5AE999" w14:textId="64815083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A7593">
              <w:rPr>
                <w:rFonts w:ascii="Book Antiqua" w:hAnsi="Book Antiqua" w:cs="Arial"/>
              </w:rPr>
              <w:t>VIR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2218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(siRNA)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+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NA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+/-</w:t>
            </w:r>
            <w:r w:rsidR="009C1FD8" w:rsidRPr="006A7593">
              <w:rPr>
                <w:rFonts w:ascii="Book Antiqua" w:hAnsi="Book Antiqua" w:cs="Arial"/>
              </w:rPr>
              <w:t xml:space="preserve"> </w:t>
            </w:r>
            <w:r w:rsidRPr="006A7593">
              <w:rPr>
                <w:rFonts w:ascii="Book Antiqua" w:hAnsi="Book Antiqua" w:cs="Arial"/>
              </w:rPr>
              <w:t>Peg-IFN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DC04D1B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80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55AC155" w14:textId="77777777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24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5B7B298" w14:textId="6E455405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decline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2.03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9A51B8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dual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arm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2.55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log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9A51B8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triple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arm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(HBsAg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&lt;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100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</w:t>
            </w:r>
            <w:r w:rsidR="009A51B8" w:rsidRPr="006A7593">
              <w:rPr>
                <w:rFonts w:ascii="Book Antiqua" w:hAnsi="Book Antiqua" w:cs="Arial"/>
                <w:lang w:val="en-US"/>
              </w:rPr>
              <w:t>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95%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and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HBsAg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&lt;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10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IU/mL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in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55%)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34B4D75" w14:textId="48B2AA7C" w:rsidR="003474CE" w:rsidRPr="006A7593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A7593">
              <w:rPr>
                <w:rFonts w:ascii="Book Antiqua" w:hAnsi="Book Antiqua" w:cs="Arial"/>
                <w:lang w:val="en-US"/>
              </w:rPr>
              <w:t>Related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to</w:t>
            </w:r>
            <w:r w:rsidR="009C1FD8" w:rsidRPr="006A7593">
              <w:rPr>
                <w:rFonts w:ascii="Book Antiqua" w:hAnsi="Book Antiqua" w:cs="Arial"/>
                <w:lang w:val="en-US"/>
              </w:rPr>
              <w:t xml:space="preserve"> </w:t>
            </w:r>
            <w:r w:rsidRPr="006A7593">
              <w:rPr>
                <w:rFonts w:ascii="Book Antiqua" w:hAnsi="Book Antiqua" w:cs="Arial"/>
                <w:lang w:val="en-US"/>
              </w:rPr>
              <w:t>Peg-IFN</w:t>
            </w:r>
          </w:p>
        </w:tc>
      </w:tr>
    </w:tbl>
    <w:bookmarkEnd w:id="8"/>
    <w:p w14:paraId="667AACE0" w14:textId="4DF14D74" w:rsidR="004371C1" w:rsidRPr="005433A6" w:rsidRDefault="004371C1" w:rsidP="004371C1">
      <w:pPr>
        <w:suppressAutoHyphens/>
        <w:spacing w:line="360" w:lineRule="auto"/>
        <w:jc w:val="both"/>
        <w:rPr>
          <w:rFonts w:ascii="Book Antiqua" w:eastAsia="Arial" w:hAnsi="Book Antiqua" w:cs="Arial"/>
          <w:b/>
          <w:bCs/>
          <w:color w:val="000000"/>
        </w:rPr>
      </w:pPr>
      <w:r w:rsidRPr="00290F6C">
        <w:rPr>
          <w:rFonts w:ascii="Book Antiqua" w:eastAsia="Arial" w:hAnsi="Book Antiqua" w:cs="Arial"/>
        </w:rPr>
        <w:t>CAM:</w:t>
      </w:r>
      <w:r w:rsidRPr="00290F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Nucleoc</w:t>
      </w:r>
      <w:r w:rsidRPr="00290F6C">
        <w:rPr>
          <w:rFonts w:ascii="Book Antiqua" w:hAnsi="Book Antiqua"/>
        </w:rPr>
        <w:t>apsid assembly modulator</w:t>
      </w:r>
      <w:r w:rsidRPr="00290F6C">
        <w:rPr>
          <w:rFonts w:ascii="Book Antiqua" w:eastAsia="Arial" w:hAnsi="Book Antiqua" w:cs="Arial"/>
        </w:rPr>
        <w:t xml:space="preserve">; </w:t>
      </w:r>
      <w:r w:rsidRPr="00290F6C">
        <w:rPr>
          <w:rFonts w:ascii="Book Antiqua" w:eastAsia="Book Antiqua" w:hAnsi="Book Antiqua" w:cs="Book Antiqua"/>
        </w:rPr>
        <w:t>HBV</w:t>
      </w:r>
      <w:r w:rsidRPr="00290F6C">
        <w:rPr>
          <w:rFonts w:ascii="宋体" w:eastAsia="宋体" w:hAnsi="宋体" w:cs="宋体" w:hint="eastAsia"/>
          <w:lang w:eastAsia="zh-CN"/>
        </w:rPr>
        <w:t>:</w:t>
      </w:r>
      <w:r w:rsidRPr="00290F6C">
        <w:rPr>
          <w:rFonts w:ascii="宋体" w:eastAsia="宋体" w:hAnsi="宋体" w:cs="宋体"/>
          <w:lang w:eastAsia="zh-CN"/>
        </w:rPr>
        <w:t xml:space="preserve"> </w:t>
      </w:r>
      <w:r w:rsidRPr="00290F6C">
        <w:rPr>
          <w:rFonts w:ascii="Book Antiqua" w:eastAsia="Book Antiqua" w:hAnsi="Book Antiqua" w:cs="Book Antiqua"/>
        </w:rPr>
        <w:t>Hepatitis B</w:t>
      </w:r>
      <w:r w:rsidRPr="00290F6C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Pr="00290F6C">
        <w:rPr>
          <w:rFonts w:ascii="Book Antiqua" w:eastAsia="Arial" w:hAnsi="Book Antiqua" w:cs="Arial"/>
          <w:color w:val="000000"/>
        </w:rPr>
        <w:t xml:space="preserve">virus; </w:t>
      </w:r>
      <w:r w:rsidRPr="00B155C8">
        <w:rPr>
          <w:rFonts w:ascii="Book Antiqua" w:eastAsia="Book Antiqua" w:hAnsi="Book Antiqua" w:cs="Book Antiqua"/>
          <w:color w:val="000000"/>
        </w:rPr>
        <w:t>SiRNA:</w:t>
      </w:r>
      <w:r w:rsidRPr="00B155C8">
        <w:rPr>
          <w:rFonts w:ascii="Book Antiqua" w:hAnsi="Book Antiqua"/>
        </w:rPr>
        <w:t xml:space="preserve"> Small interfering RNA</w:t>
      </w:r>
      <w:r w:rsidRPr="00B155C8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90F6C">
        <w:rPr>
          <w:rFonts w:ascii="Book Antiqua" w:eastAsia="Arial" w:hAnsi="Book Antiqua" w:cs="Arial"/>
          <w:color w:val="000000"/>
        </w:rPr>
        <w:t>NTCP</w:t>
      </w:r>
      <w:r w:rsidRPr="00290F6C">
        <w:rPr>
          <w:rFonts w:ascii="宋体" w:eastAsia="宋体" w:hAnsi="宋体" w:cs="宋体" w:hint="eastAsia"/>
          <w:color w:val="000000"/>
          <w:lang w:eastAsia="zh-CN"/>
        </w:rPr>
        <w:t>:</w:t>
      </w:r>
      <w:r w:rsidRPr="00290F6C">
        <w:rPr>
          <w:rFonts w:ascii="Book Antiqua" w:eastAsia="Arial" w:hAnsi="Book Antiqua" w:cs="Arial"/>
          <w:color w:val="000000"/>
        </w:rPr>
        <w:t xml:space="preserve"> Sodium taurocholate co-transporting polypeptide; </w:t>
      </w:r>
      <w:r w:rsidRPr="00290F6C">
        <w:rPr>
          <w:rFonts w:ascii="Book Antiqua" w:eastAsia="Arial" w:hAnsi="Book Antiqua" w:cstheme="minorHAnsi"/>
        </w:rPr>
        <w:t>ASO:</w:t>
      </w:r>
      <w:r w:rsidRPr="00290F6C">
        <w:rPr>
          <w:rFonts w:ascii="Book Antiqua" w:hAnsi="Book Antiqua"/>
        </w:rPr>
        <w:t xml:space="preserve"> Antisense </w:t>
      </w:r>
      <w:r w:rsidRPr="00290F6C">
        <w:rPr>
          <w:rFonts w:ascii="Book Antiqua" w:eastAsia="Arial" w:hAnsi="Book Antiqua" w:cstheme="minorHAnsi"/>
        </w:rPr>
        <w:t xml:space="preserve">oligonucleotides; NAP: </w:t>
      </w:r>
      <w:r w:rsidRPr="00290F6C">
        <w:rPr>
          <w:rFonts w:ascii="Book Antiqua" w:eastAsia="Arial" w:hAnsi="Book Antiqua" w:cs="Arial"/>
        </w:rPr>
        <w:t xml:space="preserve">Nucleic acid polymers; TLRs: </w:t>
      </w:r>
      <w:r w:rsidRPr="00290F6C">
        <w:rPr>
          <w:rFonts w:ascii="Book Antiqua" w:hAnsi="Book Antiqua"/>
        </w:rPr>
        <w:t xml:space="preserve">Toll-like receptors; </w:t>
      </w:r>
      <w:r w:rsidRPr="00290F6C">
        <w:rPr>
          <w:rFonts w:ascii="Book Antiqua" w:hAnsi="Book Antiqua" w:cs="Arial"/>
        </w:rPr>
        <w:t>RIG-I:</w:t>
      </w:r>
      <w:r w:rsidRPr="00290F6C">
        <w:rPr>
          <w:rFonts w:ascii="Book Antiqua" w:hAnsi="Book Antiqua"/>
        </w:rPr>
        <w:t xml:space="preserve"> R</w:t>
      </w:r>
      <w:r w:rsidRPr="00290F6C">
        <w:rPr>
          <w:rFonts w:ascii="Book Antiqua" w:hAnsi="Book Antiqua" w:cs="Arial"/>
        </w:rPr>
        <w:t xml:space="preserve">etinoic acid-inducible gene-1; </w:t>
      </w:r>
      <w:r w:rsidRPr="00290F6C">
        <w:rPr>
          <w:rFonts w:ascii="Book Antiqua" w:eastAsia="Book Antiqua" w:hAnsi="Book Antiqua" w:cs="Book Antiqua"/>
          <w:color w:val="000000"/>
        </w:rPr>
        <w:t xml:space="preserve">PD-1: Programmed death receptor 1; PD-L1: Programmed cell death ligand 1; </w:t>
      </w:r>
      <w:r w:rsidRPr="00290F6C">
        <w:rPr>
          <w:rFonts w:ascii="Book Antiqua" w:hAnsi="Book Antiqua" w:cs="Arial"/>
        </w:rPr>
        <w:t>HBsAg:</w:t>
      </w:r>
      <w:r w:rsidRPr="00290F6C">
        <w:rPr>
          <w:rFonts w:ascii="Book Antiqua" w:eastAsia="Times New Roman" w:hAnsi="Book Antiqua" w:cs="Arial"/>
          <w:color w:val="000000"/>
        </w:rPr>
        <w:t xml:space="preserve"> Hepatitis B virus surface antigen; </w:t>
      </w:r>
      <w:r w:rsidRPr="00290F6C">
        <w:rPr>
          <w:rFonts w:ascii="Book Antiqua" w:eastAsia="Book Antiqua" w:hAnsi="Book Antiqua" w:cs="Book Antiqua"/>
        </w:rPr>
        <w:t>HBeAg: Hepatitis B e antigen; ALT: Alanine aminotransferase;</w:t>
      </w:r>
      <w:r w:rsidRPr="00ED7512">
        <w:rPr>
          <w:rFonts w:ascii="Book Antiqua" w:eastAsia="Book Antiqua" w:hAnsi="Book Antiqua" w:cs="Book Antiqua"/>
        </w:rPr>
        <w:t xml:space="preserve"> </w:t>
      </w:r>
      <w:r w:rsidRPr="00B155C8">
        <w:rPr>
          <w:rFonts w:ascii="Book Antiqua" w:eastAsia="Book Antiqua" w:hAnsi="Book Antiqua" w:cs="Book Antiqua"/>
        </w:rPr>
        <w:t>LoQ: Limit of quantification;</w:t>
      </w:r>
      <w:r>
        <w:rPr>
          <w:rFonts w:ascii="Book Antiqua" w:eastAsia="Book Antiqua" w:hAnsi="Book Antiqua" w:cs="Book Antiqua"/>
        </w:rPr>
        <w:t xml:space="preserve"> </w:t>
      </w:r>
      <w:r w:rsidRPr="00290F6C">
        <w:rPr>
          <w:rFonts w:ascii="Book Antiqua" w:eastAsia="Book Antiqua" w:hAnsi="Book Antiqua" w:cs="Book Antiqua"/>
          <w:color w:val="000000"/>
        </w:rPr>
        <w:t xml:space="preserve">EoT: End of therapy; </w:t>
      </w:r>
      <w:r w:rsidRPr="00290F6C">
        <w:rPr>
          <w:rFonts w:ascii="Book Antiqua" w:eastAsia="Book Antiqua" w:hAnsi="Book Antiqua" w:cs="Book Antiqua"/>
        </w:rPr>
        <w:t>AE: Adverse events.</w:t>
      </w:r>
    </w:p>
    <w:p w14:paraId="0B96D3AC" w14:textId="77777777" w:rsidR="006A7593" w:rsidRPr="006A7593" w:rsidRDefault="006A7593" w:rsidP="005433A6">
      <w:pPr>
        <w:suppressAutoHyphens/>
        <w:spacing w:line="360" w:lineRule="auto"/>
        <w:jc w:val="both"/>
        <w:rPr>
          <w:rFonts w:ascii="Book Antiqua" w:eastAsia="Book Antiqua" w:hAnsi="Book Antiqua" w:cs="Book Antiqua"/>
        </w:rPr>
      </w:pPr>
    </w:p>
    <w:p w14:paraId="3950D3AB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val="pt-BR" w:eastAsia="zh-CN"/>
        </w:rPr>
      </w:pPr>
      <w:r w:rsidRPr="006A7593">
        <w:rPr>
          <w:rFonts w:ascii="Book Antiqua" w:eastAsia="Book Antiqua" w:hAnsi="Book Antiqua" w:cs="Book Antiqua"/>
        </w:rPr>
        <w:br w:type="page"/>
      </w:r>
      <w:bookmarkStart w:id="9" w:name="_Hlk88512952"/>
    </w:p>
    <w:p w14:paraId="6CD51D96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6DCF4DC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5AA6F05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671D727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  <w:r w:rsidRPr="006A7593">
        <w:rPr>
          <w:rFonts w:ascii="Book Antiqua" w:hAnsi="Book Antiqua"/>
          <w:noProof/>
          <w:lang w:eastAsia="zh-CN"/>
        </w:rPr>
        <w:drawing>
          <wp:inline distT="0" distB="0" distL="0" distR="0" wp14:anchorId="04D67C7B" wp14:editId="337235C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7BFD2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66AE29" w14:textId="77777777" w:rsidR="006A7593" w:rsidRPr="006A7593" w:rsidRDefault="006A7593" w:rsidP="006A7593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A7593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A759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33430B1" w14:textId="77777777" w:rsidR="006A7593" w:rsidRPr="006A7593" w:rsidRDefault="006A7593" w:rsidP="006A759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A7593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43CA8F5" w14:textId="77777777" w:rsidR="006A7593" w:rsidRPr="006A7593" w:rsidRDefault="006A7593" w:rsidP="006A759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A759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A7593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62A6A64" w14:textId="77777777" w:rsidR="006A7593" w:rsidRPr="006A7593" w:rsidRDefault="006A7593" w:rsidP="006A759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A759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A7593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4404F51" w14:textId="77777777" w:rsidR="006A7593" w:rsidRPr="006A7593" w:rsidRDefault="006A7593" w:rsidP="006A759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A759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A7593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22FAE94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  <w:r w:rsidRPr="006A7593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A494553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F547CF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D0B50D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BEA04C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  <w:r w:rsidRPr="006A7593">
        <w:rPr>
          <w:rFonts w:ascii="Book Antiqua" w:hAnsi="Book Antiqua"/>
          <w:noProof/>
          <w:lang w:eastAsia="zh-CN"/>
        </w:rPr>
        <w:drawing>
          <wp:inline distT="0" distB="0" distL="0" distR="0" wp14:anchorId="3F86DF60" wp14:editId="343440E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3EBA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2B4B79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FB3BFE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93973B6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18F14B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EDC4D5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A4D927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2B625F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6988A3" w14:textId="77777777" w:rsidR="006A7593" w:rsidRPr="006A7593" w:rsidRDefault="006A7593" w:rsidP="006A759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ABC2E8" w14:textId="77777777" w:rsidR="006A7593" w:rsidRPr="006A7593" w:rsidRDefault="006A7593" w:rsidP="006A7593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8613B7D" w14:textId="77777777" w:rsidR="006A7593" w:rsidRPr="00763D22" w:rsidRDefault="006A7593" w:rsidP="006A7593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6A7593"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  <w:r w:rsidRPr="006A7593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6A7593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6A7593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9"/>
    </w:p>
    <w:p w14:paraId="0F6562C2" w14:textId="1533F1F8" w:rsidR="006A7593" w:rsidRPr="005433A6" w:rsidRDefault="006A7593" w:rsidP="005433A6">
      <w:pPr>
        <w:suppressAutoHyphens/>
        <w:spacing w:line="360" w:lineRule="auto"/>
        <w:jc w:val="both"/>
        <w:rPr>
          <w:rFonts w:ascii="Book Antiqua" w:eastAsia="Arial" w:hAnsi="Book Antiqua" w:cs="Arial"/>
          <w:b/>
          <w:bCs/>
          <w:color w:val="000000"/>
        </w:rPr>
      </w:pPr>
    </w:p>
    <w:sectPr w:rsidR="006A7593" w:rsidRPr="0054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5289" w14:textId="77777777" w:rsidR="00665F1F" w:rsidRDefault="00665F1F" w:rsidP="0096083D">
      <w:r>
        <w:separator/>
      </w:r>
    </w:p>
  </w:endnote>
  <w:endnote w:type="continuationSeparator" w:id="0">
    <w:p w14:paraId="6BAA4A8F" w14:textId="77777777" w:rsidR="00665F1F" w:rsidRDefault="00665F1F" w:rsidP="009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2563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60FCDA" w14:textId="77777777" w:rsidR="0096083D" w:rsidRDefault="0096083D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D0F143" w14:textId="77777777" w:rsidR="0096083D" w:rsidRDefault="00960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7070" w14:textId="77777777" w:rsidR="00665F1F" w:rsidRDefault="00665F1F" w:rsidP="0096083D">
      <w:r>
        <w:separator/>
      </w:r>
    </w:p>
  </w:footnote>
  <w:footnote w:type="continuationSeparator" w:id="0">
    <w:p w14:paraId="5D0A1E67" w14:textId="77777777" w:rsidR="00665F1F" w:rsidRDefault="00665F1F" w:rsidP="009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68A5"/>
    <w:rsid w:val="00010FC0"/>
    <w:rsid w:val="0004194B"/>
    <w:rsid w:val="00054054"/>
    <w:rsid w:val="00082DC3"/>
    <w:rsid w:val="000961D7"/>
    <w:rsid w:val="000D10B0"/>
    <w:rsid w:val="000D493D"/>
    <w:rsid w:val="000E3E74"/>
    <w:rsid w:val="00121726"/>
    <w:rsid w:val="001240FB"/>
    <w:rsid w:val="00145561"/>
    <w:rsid w:val="00157F96"/>
    <w:rsid w:val="00164412"/>
    <w:rsid w:val="00173145"/>
    <w:rsid w:val="00173271"/>
    <w:rsid w:val="00175C0D"/>
    <w:rsid w:val="00191BF2"/>
    <w:rsid w:val="001A4825"/>
    <w:rsid w:val="001A5A9C"/>
    <w:rsid w:val="001B37A1"/>
    <w:rsid w:val="001C0534"/>
    <w:rsid w:val="001C1079"/>
    <w:rsid w:val="001F2E4A"/>
    <w:rsid w:val="001F528C"/>
    <w:rsid w:val="00222CD0"/>
    <w:rsid w:val="002250FF"/>
    <w:rsid w:val="002365CA"/>
    <w:rsid w:val="00244006"/>
    <w:rsid w:val="00255C59"/>
    <w:rsid w:val="0027133C"/>
    <w:rsid w:val="00290F6C"/>
    <w:rsid w:val="00295658"/>
    <w:rsid w:val="002B40C8"/>
    <w:rsid w:val="002C25EE"/>
    <w:rsid w:val="002C79E0"/>
    <w:rsid w:val="002D4C47"/>
    <w:rsid w:val="002E387D"/>
    <w:rsid w:val="00311F48"/>
    <w:rsid w:val="003244BF"/>
    <w:rsid w:val="003474CE"/>
    <w:rsid w:val="00357BFB"/>
    <w:rsid w:val="00372921"/>
    <w:rsid w:val="00386A40"/>
    <w:rsid w:val="00392BD1"/>
    <w:rsid w:val="003949A9"/>
    <w:rsid w:val="00394C52"/>
    <w:rsid w:val="003D003D"/>
    <w:rsid w:val="003F44C6"/>
    <w:rsid w:val="00404C9F"/>
    <w:rsid w:val="004336CE"/>
    <w:rsid w:val="004371C1"/>
    <w:rsid w:val="00451104"/>
    <w:rsid w:val="004527F7"/>
    <w:rsid w:val="00465705"/>
    <w:rsid w:val="00496A5E"/>
    <w:rsid w:val="004A1E53"/>
    <w:rsid w:val="004D78EB"/>
    <w:rsid w:val="00516A49"/>
    <w:rsid w:val="005350F7"/>
    <w:rsid w:val="00540231"/>
    <w:rsid w:val="005433A6"/>
    <w:rsid w:val="00573BBF"/>
    <w:rsid w:val="00596C4C"/>
    <w:rsid w:val="005A6D90"/>
    <w:rsid w:val="005B19A5"/>
    <w:rsid w:val="005D7654"/>
    <w:rsid w:val="00600824"/>
    <w:rsid w:val="00603E35"/>
    <w:rsid w:val="0060650C"/>
    <w:rsid w:val="00613A95"/>
    <w:rsid w:val="00622DBC"/>
    <w:rsid w:val="006279E5"/>
    <w:rsid w:val="00627A2B"/>
    <w:rsid w:val="00633899"/>
    <w:rsid w:val="0063785A"/>
    <w:rsid w:val="00665F1F"/>
    <w:rsid w:val="00684FD4"/>
    <w:rsid w:val="006A7593"/>
    <w:rsid w:val="006C1003"/>
    <w:rsid w:val="00700F76"/>
    <w:rsid w:val="0070616E"/>
    <w:rsid w:val="00711ADE"/>
    <w:rsid w:val="00747602"/>
    <w:rsid w:val="00756E36"/>
    <w:rsid w:val="0078015F"/>
    <w:rsid w:val="007856D5"/>
    <w:rsid w:val="00791F40"/>
    <w:rsid w:val="007A164F"/>
    <w:rsid w:val="007C2461"/>
    <w:rsid w:val="007C34B2"/>
    <w:rsid w:val="00847AA7"/>
    <w:rsid w:val="00875B03"/>
    <w:rsid w:val="0088168A"/>
    <w:rsid w:val="00894DF7"/>
    <w:rsid w:val="008D1E7A"/>
    <w:rsid w:val="008D272F"/>
    <w:rsid w:val="008F5C50"/>
    <w:rsid w:val="008F6EB8"/>
    <w:rsid w:val="00922A9F"/>
    <w:rsid w:val="009322F1"/>
    <w:rsid w:val="009371A4"/>
    <w:rsid w:val="00941FFF"/>
    <w:rsid w:val="00942865"/>
    <w:rsid w:val="009520F3"/>
    <w:rsid w:val="0095235D"/>
    <w:rsid w:val="009523C3"/>
    <w:rsid w:val="0095603C"/>
    <w:rsid w:val="0096083D"/>
    <w:rsid w:val="009651DF"/>
    <w:rsid w:val="009A0811"/>
    <w:rsid w:val="009A51B8"/>
    <w:rsid w:val="009B4792"/>
    <w:rsid w:val="009C1FD8"/>
    <w:rsid w:val="009C369B"/>
    <w:rsid w:val="009D1AD3"/>
    <w:rsid w:val="009D5CE5"/>
    <w:rsid w:val="009E7479"/>
    <w:rsid w:val="009F51E6"/>
    <w:rsid w:val="00A26B85"/>
    <w:rsid w:val="00A44F35"/>
    <w:rsid w:val="00A71C21"/>
    <w:rsid w:val="00A77B3E"/>
    <w:rsid w:val="00A877C9"/>
    <w:rsid w:val="00AA144C"/>
    <w:rsid w:val="00AE7EBD"/>
    <w:rsid w:val="00B00C5C"/>
    <w:rsid w:val="00B07022"/>
    <w:rsid w:val="00B16990"/>
    <w:rsid w:val="00B302DC"/>
    <w:rsid w:val="00B4076C"/>
    <w:rsid w:val="00B520DD"/>
    <w:rsid w:val="00B52249"/>
    <w:rsid w:val="00B70808"/>
    <w:rsid w:val="00B95D66"/>
    <w:rsid w:val="00BA655D"/>
    <w:rsid w:val="00BB4717"/>
    <w:rsid w:val="00BD0DA2"/>
    <w:rsid w:val="00BE1642"/>
    <w:rsid w:val="00BE2D23"/>
    <w:rsid w:val="00C35CC3"/>
    <w:rsid w:val="00C600C1"/>
    <w:rsid w:val="00CA2A55"/>
    <w:rsid w:val="00CC6028"/>
    <w:rsid w:val="00CC6280"/>
    <w:rsid w:val="00CC7DAE"/>
    <w:rsid w:val="00CE7A49"/>
    <w:rsid w:val="00CF27F2"/>
    <w:rsid w:val="00D03647"/>
    <w:rsid w:val="00D15FAD"/>
    <w:rsid w:val="00D32155"/>
    <w:rsid w:val="00D335BC"/>
    <w:rsid w:val="00D600D6"/>
    <w:rsid w:val="00D871C0"/>
    <w:rsid w:val="00D90A70"/>
    <w:rsid w:val="00D9626F"/>
    <w:rsid w:val="00DB42A3"/>
    <w:rsid w:val="00DB4686"/>
    <w:rsid w:val="00DE6479"/>
    <w:rsid w:val="00DF3DA4"/>
    <w:rsid w:val="00E03896"/>
    <w:rsid w:val="00E662F1"/>
    <w:rsid w:val="00E758E5"/>
    <w:rsid w:val="00E86C33"/>
    <w:rsid w:val="00EB6757"/>
    <w:rsid w:val="00EC13CE"/>
    <w:rsid w:val="00EF203F"/>
    <w:rsid w:val="00EF4B5B"/>
    <w:rsid w:val="00F355CA"/>
    <w:rsid w:val="00F50574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3267D"/>
  <w15:docId w15:val="{9E88C24E-5E6F-47D0-9540-874E426C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customStyle="1" w:styleId="identifier">
    <w:name w:val="identifier"/>
    <w:basedOn w:val="a0"/>
  </w:style>
  <w:style w:type="paragraph" w:styleId="a3">
    <w:name w:val="header"/>
    <w:basedOn w:val="a"/>
    <w:link w:val="a4"/>
    <w:unhideWhenUsed/>
    <w:rsid w:val="009608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608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8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83D"/>
    <w:rPr>
      <w:sz w:val="18"/>
      <w:szCs w:val="18"/>
    </w:rPr>
  </w:style>
  <w:style w:type="table" w:customStyle="1" w:styleId="Tablaconcuadrcula2">
    <w:name w:val="Tabla con cuadrícula2"/>
    <w:basedOn w:val="a1"/>
    <w:next w:val="a7"/>
    <w:uiPriority w:val="39"/>
    <w:rsid w:val="003474CE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474CE"/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a1"/>
    <w:next w:val="a7"/>
    <w:uiPriority w:val="39"/>
    <w:rsid w:val="003474CE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3474CE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3474CE"/>
  </w:style>
  <w:style w:type="character" w:customStyle="1" w:styleId="aa">
    <w:name w:val="批注文字 字符"/>
    <w:basedOn w:val="a0"/>
    <w:link w:val="a9"/>
    <w:semiHidden/>
    <w:rsid w:val="003474CE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474CE"/>
    <w:rPr>
      <w:b/>
      <w:bCs/>
    </w:rPr>
  </w:style>
  <w:style w:type="character" w:customStyle="1" w:styleId="ac">
    <w:name w:val="批注主题 字符"/>
    <w:basedOn w:val="aa"/>
    <w:link w:val="ab"/>
    <w:semiHidden/>
    <w:rsid w:val="003474CE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CC7DAE"/>
    <w:rPr>
      <w:sz w:val="24"/>
      <w:szCs w:val="24"/>
    </w:rPr>
  </w:style>
  <w:style w:type="character" w:styleId="ae">
    <w:name w:val="Hyperlink"/>
    <w:basedOn w:val="a0"/>
    <w:unhideWhenUsed/>
    <w:rsid w:val="00596C4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9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gnet.com/1007-9327/full/v29/i25/3964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23D0-8463-497E-BF07-B58789C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15763</Words>
  <Characters>89852</Characters>
  <Application>Microsoft Office Word</Application>
  <DocSecurity>0</DocSecurity>
  <Lines>748</Lines>
  <Paragraphs>210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144</cp:revision>
  <dcterms:created xsi:type="dcterms:W3CDTF">2023-06-02T06:52:00Z</dcterms:created>
  <dcterms:modified xsi:type="dcterms:W3CDTF">2023-06-27T07:13:00Z</dcterms:modified>
</cp:coreProperties>
</file>