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6E8F0" w14:textId="77777777" w:rsidR="00E45927" w:rsidRDefault="00000000">
      <w:pPr>
        <w:spacing w:line="360" w:lineRule="auto"/>
        <w:jc w:val="both"/>
        <w:rPr>
          <w:rFonts w:ascii="Book Antiqua" w:hAnsi="Book Antiqua"/>
        </w:rPr>
      </w:pPr>
      <w:bookmarkStart w:id="0" w:name="OLE_LINK6740"/>
      <w:bookmarkStart w:id="1" w:name="OLE_LINK6745"/>
      <w:bookmarkStart w:id="2" w:name="OLE_LINK6743"/>
      <w:bookmarkStart w:id="3" w:name="OLE_LINK6742"/>
      <w:bookmarkStart w:id="4" w:name="OLE_LINK6741"/>
      <w:bookmarkStart w:id="5" w:name="OLE_LINK6744"/>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6B6343E2" w14:textId="77777777" w:rsidR="00E45927"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85026</w:t>
      </w:r>
    </w:p>
    <w:p w14:paraId="5A302950" w14:textId="77777777" w:rsidR="00E45927"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REVIEW</w:t>
      </w:r>
    </w:p>
    <w:p w14:paraId="04ADD7C7" w14:textId="77777777" w:rsidR="00E45927" w:rsidRDefault="00E45927">
      <w:pPr>
        <w:spacing w:line="360" w:lineRule="auto"/>
        <w:jc w:val="both"/>
        <w:rPr>
          <w:rFonts w:ascii="Book Antiqua" w:hAnsi="Book Antiqua"/>
        </w:rPr>
      </w:pPr>
    </w:p>
    <w:p w14:paraId="1C3BAE7C" w14:textId="77777777" w:rsidR="00E45927" w:rsidRDefault="00000000">
      <w:pPr>
        <w:spacing w:line="360" w:lineRule="auto"/>
        <w:jc w:val="both"/>
        <w:rPr>
          <w:rFonts w:ascii="Book Antiqua" w:hAnsi="Book Antiqua"/>
        </w:rPr>
      </w:pPr>
      <w:bookmarkStart w:id="6" w:name="OLE_LINK6376"/>
      <w:r>
        <w:rPr>
          <w:rFonts w:ascii="Book Antiqua" w:eastAsia="Book Antiqua" w:hAnsi="Book Antiqua" w:cs="Book Antiqua"/>
          <w:b/>
          <w:color w:val="000000"/>
        </w:rPr>
        <w:t>Bile acids and their receptors: Potential therapeutic targets in inflammatory bowel disease</w:t>
      </w:r>
    </w:p>
    <w:bookmarkEnd w:id="6"/>
    <w:p w14:paraId="38A17F93" w14:textId="77777777" w:rsidR="00E45927" w:rsidRDefault="00E45927">
      <w:pPr>
        <w:spacing w:line="360" w:lineRule="auto"/>
        <w:jc w:val="both"/>
        <w:rPr>
          <w:rFonts w:ascii="Book Antiqua" w:hAnsi="Book Antiqua"/>
        </w:rPr>
      </w:pPr>
    </w:p>
    <w:p w14:paraId="26A7EA8B" w14:textId="77777777" w:rsidR="00E45927" w:rsidRDefault="00000000">
      <w:pPr>
        <w:spacing w:line="360" w:lineRule="auto"/>
        <w:jc w:val="both"/>
        <w:rPr>
          <w:rFonts w:ascii="Book Antiqua" w:eastAsia="宋体" w:hAnsi="Book Antiqua"/>
          <w:lang w:eastAsia="zh-CN"/>
        </w:rPr>
      </w:pPr>
      <w:r>
        <w:rPr>
          <w:rFonts w:ascii="Book Antiqua" w:eastAsia="Book Antiqua" w:hAnsi="Book Antiqua" w:cs="Book Antiqua"/>
          <w:color w:val="000000"/>
        </w:rPr>
        <w:t>L</w:t>
      </w:r>
      <w:r>
        <w:rPr>
          <w:rFonts w:ascii="Book Antiqua" w:eastAsia="Book Antiqua" w:hAnsi="Book Antiqua" w:cs="Book Antiqua" w:hint="eastAsia"/>
          <w:color w:val="000000"/>
          <w:lang w:eastAsia="zh-CN"/>
        </w:rPr>
        <w:t>o</w:t>
      </w:r>
      <w:r>
        <w:rPr>
          <w:rFonts w:ascii="Book Antiqua" w:eastAsia="Book Antiqua" w:hAnsi="Book Antiqua" w:cs="Book Antiqua"/>
          <w:color w:val="000000"/>
          <w:lang w:eastAsia="zh-CN"/>
        </w:rPr>
        <w:t xml:space="preserve">ng XQ </w:t>
      </w:r>
      <w:r>
        <w:rPr>
          <w:rFonts w:ascii="Book Antiqua" w:eastAsia="Book Antiqua" w:hAnsi="Book Antiqua" w:cs="Book Antiqua" w:hint="eastAsia"/>
          <w:i/>
          <w:iCs/>
          <w:color w:val="000000"/>
          <w:lang w:eastAsia="zh-CN"/>
        </w:rPr>
        <w:t>e</w:t>
      </w:r>
      <w:r>
        <w:rPr>
          <w:rFonts w:ascii="Book Antiqua" w:eastAsia="Book Antiqua" w:hAnsi="Book Antiqua" w:cs="Book Antiqua"/>
          <w:i/>
          <w:iCs/>
          <w:color w:val="000000"/>
          <w:lang w:eastAsia="zh-CN"/>
        </w:rPr>
        <w:t>t al</w:t>
      </w:r>
      <w:r>
        <w:rPr>
          <w:rFonts w:ascii="Book Antiqua" w:eastAsia="Book Antiqua" w:hAnsi="Book Antiqua" w:cs="Book Antiqua"/>
          <w:color w:val="000000"/>
          <w:lang w:eastAsia="zh-CN"/>
        </w:rPr>
        <w:t xml:space="preserve">. </w:t>
      </w:r>
      <w:bookmarkStart w:id="7" w:name="OLE_LINK6377"/>
      <w:r>
        <w:rPr>
          <w:rFonts w:ascii="Book Antiqua" w:eastAsia="Book Antiqua" w:hAnsi="Book Antiqua" w:cs="Book Antiqua"/>
          <w:color w:val="000000"/>
        </w:rPr>
        <w:t xml:space="preserve">Bile acids in </w:t>
      </w:r>
      <w:bookmarkEnd w:id="7"/>
      <w:r>
        <w:rPr>
          <w:rFonts w:ascii="Book Antiqua" w:eastAsia="宋体" w:hAnsi="Book Antiqua" w:cs="Book Antiqua" w:hint="eastAsia"/>
          <w:color w:val="000000"/>
          <w:lang w:eastAsia="zh-CN"/>
        </w:rPr>
        <w:t>IBD</w:t>
      </w:r>
    </w:p>
    <w:p w14:paraId="12DD9C8F" w14:textId="77777777" w:rsidR="00E45927" w:rsidRDefault="00E45927">
      <w:pPr>
        <w:spacing w:line="360" w:lineRule="auto"/>
        <w:jc w:val="both"/>
        <w:rPr>
          <w:rFonts w:ascii="Book Antiqua" w:hAnsi="Book Antiqua"/>
        </w:rPr>
      </w:pPr>
    </w:p>
    <w:p w14:paraId="5ACBC70E" w14:textId="77777777" w:rsidR="00E45927" w:rsidRDefault="00000000">
      <w:pPr>
        <w:spacing w:line="360" w:lineRule="auto"/>
        <w:jc w:val="both"/>
        <w:rPr>
          <w:rFonts w:ascii="Book Antiqua" w:hAnsi="Book Antiqua"/>
        </w:rPr>
      </w:pPr>
      <w:bookmarkStart w:id="8" w:name="OLE_LINK6768"/>
      <w:bookmarkStart w:id="9" w:name="OLE_LINK6767"/>
      <w:r>
        <w:rPr>
          <w:rFonts w:ascii="Book Antiqua" w:eastAsia="Book Antiqua" w:hAnsi="Book Antiqua" w:cs="Book Antiqua"/>
          <w:color w:val="000000"/>
        </w:rPr>
        <w:t>Xiong-Quan Long, Ming-Zhu Liu, Zi-Hao Liu, Lv-Zhou Xia, Shi-Peng Lu, Xiao-Ping Xu, Ming-Hao Wu</w:t>
      </w:r>
    </w:p>
    <w:bookmarkEnd w:id="8"/>
    <w:bookmarkEnd w:id="9"/>
    <w:p w14:paraId="56A04B43" w14:textId="77777777" w:rsidR="00E45927" w:rsidRDefault="00E45927">
      <w:pPr>
        <w:spacing w:line="360" w:lineRule="auto"/>
        <w:jc w:val="both"/>
        <w:rPr>
          <w:rFonts w:ascii="Book Antiqua" w:hAnsi="Book Antiqua"/>
        </w:rPr>
      </w:pPr>
    </w:p>
    <w:p w14:paraId="5E7427BF" w14:textId="77777777" w:rsidR="00E45927" w:rsidRDefault="00000000">
      <w:pPr>
        <w:spacing w:line="360" w:lineRule="auto"/>
        <w:jc w:val="both"/>
        <w:rPr>
          <w:rFonts w:ascii="Book Antiqua" w:hAnsi="Book Antiqua"/>
          <w:lang w:eastAsia="zh-CN"/>
        </w:rPr>
      </w:pPr>
      <w:bookmarkStart w:id="10" w:name="OLE_LINK6757"/>
      <w:bookmarkStart w:id="11" w:name="OLE_LINK6758"/>
      <w:r>
        <w:rPr>
          <w:rFonts w:ascii="Book Antiqua" w:eastAsia="Book Antiqua" w:hAnsi="Book Antiqua" w:cs="Book Antiqua"/>
          <w:b/>
          <w:bCs/>
          <w:color w:val="000000"/>
        </w:rPr>
        <w:t>Xiong-Quan Long, Ming-Zhu Liu, Zi-Hao Liu, Lv-Zhou Xia, Shi-Peng Lu, Xiao-Ping Xu, Ming-Hao Wu</w:t>
      </w:r>
      <w:bookmarkStart w:id="12" w:name="OLE_LINK6756"/>
      <w:bookmarkStart w:id="13" w:name="OLE_LINK6755"/>
      <w:bookmarkStart w:id="14" w:name="OLE_LINK6749"/>
      <w:bookmarkStart w:id="15" w:name="OLE_LINK6750"/>
      <w:r>
        <w:rPr>
          <w:rFonts w:ascii="Book Antiqua" w:hAnsi="Book Antiqua" w:hint="eastAsia"/>
          <w:b/>
          <w:bCs/>
        </w:rPr>
        <w:t>,</w:t>
      </w:r>
      <w:r>
        <w:rPr>
          <w:rFonts w:ascii="Book Antiqua" w:hAnsi="Book Antiqua"/>
          <w:b/>
          <w:bCs/>
        </w:rPr>
        <w:t xml:space="preserve"> </w:t>
      </w:r>
      <w:bookmarkStart w:id="16" w:name="OLE_LINK6759"/>
      <w:bookmarkStart w:id="17" w:name="OLE_LINK6761"/>
      <w:bookmarkStart w:id="18" w:name="OLE_LINK6760"/>
      <w:bookmarkEnd w:id="10"/>
      <w:bookmarkEnd w:id="11"/>
      <w:r>
        <w:rPr>
          <w:rFonts w:ascii="Book Antiqua" w:eastAsia="Book Antiqua" w:hAnsi="Book Antiqua" w:cs="Book Antiqua"/>
          <w:color w:val="000000"/>
        </w:rPr>
        <w:t>D</w:t>
      </w:r>
      <w:r>
        <w:rPr>
          <w:rFonts w:ascii="Book Antiqua" w:eastAsia="Book Antiqua" w:hAnsi="Book Antiqua" w:cs="Book Antiqua" w:hint="eastAsia"/>
          <w:color w:val="000000"/>
          <w:lang w:eastAsia="zh-CN"/>
        </w:rPr>
        <w:t>e</w:t>
      </w:r>
      <w:r>
        <w:rPr>
          <w:rFonts w:ascii="Book Antiqua" w:eastAsia="Book Antiqua" w:hAnsi="Book Antiqua" w:cs="Book Antiqua"/>
          <w:color w:val="000000"/>
          <w:lang w:eastAsia="zh-CN"/>
        </w:rPr>
        <w:t>partment of</w:t>
      </w:r>
      <w:bookmarkEnd w:id="12"/>
      <w:bookmarkEnd w:id="13"/>
      <w:r>
        <w:rPr>
          <w:rFonts w:ascii="Book Antiqua" w:eastAsia="Book Antiqua" w:hAnsi="Book Antiqua" w:cs="Book Antiqua"/>
          <w:color w:val="000000"/>
          <w:lang w:eastAsia="zh-CN"/>
        </w:rPr>
        <w:t xml:space="preserve"> </w:t>
      </w:r>
      <w:bookmarkEnd w:id="14"/>
      <w:bookmarkEnd w:id="15"/>
      <w:r>
        <w:rPr>
          <w:rFonts w:ascii="Book Antiqua" w:eastAsia="Book Antiqua" w:hAnsi="Book Antiqua" w:cs="Book Antiqua"/>
          <w:color w:val="000000"/>
        </w:rPr>
        <w:t xml:space="preserve">Gastroenterology, The First Affiliated Hospital of </w:t>
      </w:r>
      <w:bookmarkStart w:id="19" w:name="OLE_LINK6752"/>
      <w:bookmarkStart w:id="20" w:name="OLE_LINK6751"/>
      <w:r>
        <w:rPr>
          <w:rFonts w:ascii="Book Antiqua" w:eastAsia="Book Antiqua" w:hAnsi="Book Antiqua" w:cs="Book Antiqua"/>
          <w:color w:val="000000"/>
        </w:rPr>
        <w:t>Hunan</w:t>
      </w:r>
      <w:bookmarkEnd w:id="19"/>
      <w:bookmarkEnd w:id="20"/>
      <w:r>
        <w:rPr>
          <w:rFonts w:ascii="Book Antiqua" w:eastAsia="Book Antiqua" w:hAnsi="Book Antiqua" w:cs="Book Antiqua"/>
          <w:color w:val="000000"/>
        </w:rPr>
        <w:t xml:space="preserve"> Normal University (Hunan Provincial People's Hospital), Changsha 410005, Hunan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 xml:space="preserve">ovince, </w:t>
      </w:r>
      <w:r>
        <w:rPr>
          <w:rFonts w:ascii="Book Antiqua" w:eastAsia="Book Antiqua" w:hAnsi="Book Antiqua" w:cs="Book Antiqua"/>
          <w:color w:val="000000"/>
        </w:rPr>
        <w:t>China</w:t>
      </w:r>
    </w:p>
    <w:bookmarkEnd w:id="16"/>
    <w:bookmarkEnd w:id="17"/>
    <w:bookmarkEnd w:id="18"/>
    <w:p w14:paraId="2925C57F" w14:textId="77777777" w:rsidR="00E45927" w:rsidRDefault="00E45927">
      <w:pPr>
        <w:spacing w:line="360" w:lineRule="auto"/>
        <w:jc w:val="both"/>
        <w:rPr>
          <w:rFonts w:ascii="Book Antiqua" w:hAnsi="Book Antiqua"/>
        </w:rPr>
      </w:pPr>
    </w:p>
    <w:p w14:paraId="29165D53" w14:textId="77777777" w:rsidR="00E45927"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Long XQ performed the majority of the writing; Liu MZ, Liu ZH, Xia LZ</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Lu SP designed the outline and coordinated the writing of the paper; Wu MH and Xu XP edited and checked the manuscript; all of the authors have read and approved the final manuscript.</w:t>
      </w:r>
    </w:p>
    <w:p w14:paraId="5A06F7DE" w14:textId="77777777" w:rsidR="00E45927" w:rsidRDefault="00E45927">
      <w:pPr>
        <w:spacing w:line="360" w:lineRule="auto"/>
        <w:jc w:val="both"/>
        <w:rPr>
          <w:rFonts w:ascii="Book Antiqua" w:hAnsi="Book Antiqua"/>
        </w:rPr>
      </w:pPr>
    </w:p>
    <w:p w14:paraId="585FDAC3" w14:textId="48B02E95" w:rsidR="00E45927"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81900466; and</w:t>
      </w:r>
      <w:r w:rsidR="009C0E8A" w:rsidRPr="00452C6C">
        <w:rPr>
          <w:rFonts w:ascii="Book Antiqua" w:eastAsia="Book Antiqua" w:hAnsi="Book Antiqua" w:cs="Book Antiqua"/>
          <w:color w:val="000000"/>
        </w:rPr>
        <w:t xml:space="preserve"> Hunan Provincial Natural Science Foundation of China</w:t>
      </w:r>
      <w:r w:rsidR="009C0E8A">
        <w:rPr>
          <w:rFonts w:ascii="Book Antiqua" w:eastAsia="Book Antiqua" w:hAnsi="Book Antiqua" w:cs="Book Antiqua"/>
          <w:color w:val="000000"/>
        </w:rPr>
        <w:t xml:space="preserve">, </w:t>
      </w:r>
      <w:r>
        <w:rPr>
          <w:rFonts w:ascii="Book Antiqua" w:eastAsia="Book Antiqua" w:hAnsi="Book Antiqua" w:cs="Book Antiqua"/>
          <w:color w:val="000000"/>
        </w:rPr>
        <w:t>No. 2020JJ5307.</w:t>
      </w:r>
    </w:p>
    <w:p w14:paraId="70583FE1" w14:textId="77777777" w:rsidR="00E45927" w:rsidRDefault="00E45927">
      <w:pPr>
        <w:spacing w:line="360" w:lineRule="auto"/>
        <w:jc w:val="both"/>
        <w:rPr>
          <w:rFonts w:ascii="Book Antiqua" w:hAnsi="Book Antiqua"/>
        </w:rPr>
      </w:pPr>
    </w:p>
    <w:p w14:paraId="0497A12A" w14:textId="77777777" w:rsidR="00E45927"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Ming-Hao Wu, MM, Chief Doctor, Professor, </w:t>
      </w:r>
      <w:bookmarkStart w:id="21" w:name="OLE_LINK6378"/>
      <w:r>
        <w:rPr>
          <w:rFonts w:ascii="Book Antiqua" w:eastAsia="Book Antiqua" w:hAnsi="Book Antiqua" w:cs="Book Antiqua"/>
          <w:color w:val="000000"/>
        </w:rPr>
        <w:t>D</w:t>
      </w:r>
      <w:r>
        <w:rPr>
          <w:rFonts w:ascii="Book Antiqua" w:eastAsia="Book Antiqua" w:hAnsi="Book Antiqua" w:cs="Book Antiqua" w:hint="eastAsia"/>
          <w:color w:val="000000"/>
          <w:lang w:eastAsia="zh-CN"/>
        </w:rPr>
        <w:t>e</w:t>
      </w:r>
      <w:r>
        <w:rPr>
          <w:rFonts w:ascii="Book Antiqua" w:eastAsia="Book Antiqua" w:hAnsi="Book Antiqua" w:cs="Book Antiqua"/>
          <w:color w:val="000000"/>
          <w:lang w:eastAsia="zh-CN"/>
        </w:rPr>
        <w:t xml:space="preserve">partment of </w:t>
      </w:r>
      <w:r>
        <w:rPr>
          <w:rFonts w:ascii="Book Antiqua" w:eastAsia="Book Antiqua" w:hAnsi="Book Antiqua" w:cs="Book Antiqua"/>
          <w:color w:val="000000"/>
        </w:rPr>
        <w:t>Gastroenterology</w:t>
      </w:r>
      <w:bookmarkEnd w:id="21"/>
      <w:r>
        <w:rPr>
          <w:rFonts w:ascii="Book Antiqua" w:eastAsia="Book Antiqua" w:hAnsi="Book Antiqua" w:cs="Book Antiqua"/>
          <w:color w:val="000000"/>
        </w:rPr>
        <w:t xml:space="preserve">, </w:t>
      </w:r>
      <w:bookmarkStart w:id="22" w:name="OLE_LINK6379"/>
      <w:r>
        <w:rPr>
          <w:rFonts w:ascii="Book Antiqua" w:eastAsia="Book Antiqua" w:hAnsi="Book Antiqua" w:cs="Book Antiqua"/>
          <w:color w:val="000000"/>
        </w:rPr>
        <w:t>The First Affiliated Hospital of Hunan Normal University (Hunan Provincial People's Hospital)</w:t>
      </w:r>
      <w:bookmarkEnd w:id="22"/>
      <w:r>
        <w:rPr>
          <w:rFonts w:ascii="Book Antiqua" w:eastAsia="Book Antiqua" w:hAnsi="Book Antiqua" w:cs="Book Antiqua"/>
          <w:color w:val="000000"/>
        </w:rPr>
        <w:t xml:space="preserve">, </w:t>
      </w:r>
      <w:bookmarkStart w:id="23" w:name="OLE_LINK6380"/>
      <w:r>
        <w:rPr>
          <w:rFonts w:ascii="Book Antiqua" w:eastAsia="Book Antiqua" w:hAnsi="Book Antiqua" w:cs="Book Antiqua"/>
          <w:color w:val="000000"/>
        </w:rPr>
        <w:t>No. 61 Jiefang West Road, Furong District</w:t>
      </w:r>
      <w:bookmarkEnd w:id="23"/>
      <w:r>
        <w:rPr>
          <w:rFonts w:ascii="Book Antiqua" w:eastAsia="Book Antiqua" w:hAnsi="Book Antiqua" w:cs="Book Antiqua"/>
          <w:color w:val="000000"/>
        </w:rPr>
        <w:t>, Changsha 410005, Hunan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 xml:space="preserve">ovince, </w:t>
      </w:r>
      <w:r>
        <w:rPr>
          <w:rFonts w:ascii="Book Antiqua" w:eastAsia="Book Antiqua" w:hAnsi="Book Antiqua" w:cs="Book Antiqua"/>
          <w:color w:val="000000"/>
        </w:rPr>
        <w:t>China.</w:t>
      </w:r>
      <w:r>
        <w:rPr>
          <w:rFonts w:ascii="Book Antiqua" w:hAnsi="Book Antiqua" w:hint="eastAsia"/>
        </w:rPr>
        <w:t xml:space="preserve"> </w:t>
      </w:r>
      <w:r>
        <w:rPr>
          <w:rFonts w:ascii="Book Antiqua" w:eastAsia="Book Antiqua" w:hAnsi="Book Antiqua" w:cs="Book Antiqua"/>
          <w:color w:val="000000"/>
        </w:rPr>
        <w:t>wuminghao1976@sina.com</w:t>
      </w:r>
    </w:p>
    <w:p w14:paraId="480E76A3" w14:textId="77777777" w:rsidR="00E45927" w:rsidRDefault="00E45927">
      <w:pPr>
        <w:spacing w:line="360" w:lineRule="auto"/>
        <w:jc w:val="both"/>
        <w:rPr>
          <w:rFonts w:ascii="Book Antiqua" w:hAnsi="Book Antiqua"/>
        </w:rPr>
      </w:pPr>
      <w:bookmarkStart w:id="24" w:name="OLE_LINK6765"/>
      <w:bookmarkStart w:id="25" w:name="OLE_LINK6766"/>
    </w:p>
    <w:bookmarkEnd w:id="24"/>
    <w:bookmarkEnd w:id="25"/>
    <w:p w14:paraId="6DEA35C3" w14:textId="77777777" w:rsidR="00E45927"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April 8, 2023</w:t>
      </w:r>
    </w:p>
    <w:p w14:paraId="4D1D5EEB" w14:textId="77777777" w:rsidR="00E45927"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May 19, 2023</w:t>
      </w:r>
    </w:p>
    <w:p w14:paraId="7ACF388E" w14:textId="77777777" w:rsidR="00E45927" w:rsidRDefault="00000000">
      <w:pPr>
        <w:spacing w:line="360" w:lineRule="auto"/>
        <w:jc w:val="both"/>
        <w:rPr>
          <w:rFonts w:ascii="Book Antiqua" w:hAnsi="Book Antiqua"/>
        </w:rPr>
      </w:pPr>
      <w:r>
        <w:rPr>
          <w:rFonts w:ascii="Book Antiqua" w:eastAsia="Book Antiqua" w:hAnsi="Book Antiqua" w:cs="Book Antiqua"/>
          <w:b/>
          <w:bCs/>
        </w:rPr>
        <w:t>Accepted:</w:t>
      </w:r>
      <w:r>
        <w:rPr>
          <w:rFonts w:ascii="Book Antiqua" w:eastAsia="Book Antiqua" w:hAnsi="Book Antiqua" w:cs="Book Antiqua"/>
        </w:rPr>
        <w:t xml:space="preserve"> June 21, 2023</w:t>
      </w:r>
    </w:p>
    <w:p w14:paraId="7AB9A1F5" w14:textId="7CEC76D8" w:rsidR="00E45927" w:rsidRDefault="00000000">
      <w:pPr>
        <w:spacing w:line="360" w:lineRule="auto"/>
        <w:jc w:val="both"/>
        <w:rPr>
          <w:rFonts w:ascii="Book Antiqua" w:hAnsi="Book Antiqua"/>
        </w:rPr>
      </w:pPr>
      <w:r>
        <w:rPr>
          <w:rFonts w:ascii="Book Antiqua" w:eastAsia="Book Antiqua" w:hAnsi="Book Antiqua" w:cs="Book Antiqua"/>
          <w:b/>
          <w:bCs/>
        </w:rPr>
        <w:t>Published online:</w:t>
      </w:r>
      <w:r w:rsidRPr="002A304A">
        <w:rPr>
          <w:rFonts w:ascii="Book Antiqua" w:eastAsia="Book Antiqua" w:hAnsi="Book Antiqua" w:cs="Book Antiqua"/>
        </w:rPr>
        <w:t xml:space="preserve"> </w:t>
      </w:r>
      <w:r w:rsidR="002A304A" w:rsidRPr="002A304A">
        <w:rPr>
          <w:rFonts w:ascii="Book Antiqua" w:eastAsia="Book Antiqua" w:hAnsi="Book Antiqua" w:cs="Book Antiqua"/>
        </w:rPr>
        <w:t>July 21, 2023</w:t>
      </w:r>
    </w:p>
    <w:p w14:paraId="3E87364E" w14:textId="77777777" w:rsidR="00E45927" w:rsidRDefault="00E45927">
      <w:pPr>
        <w:spacing w:line="360" w:lineRule="auto"/>
        <w:jc w:val="both"/>
        <w:rPr>
          <w:rFonts w:ascii="Book Antiqua" w:hAnsi="Book Antiqua"/>
        </w:rPr>
        <w:sectPr w:rsidR="00E45927">
          <w:footerReference w:type="default" r:id="rId6"/>
          <w:pgSz w:w="12240" w:h="15840"/>
          <w:pgMar w:top="1440" w:right="1440" w:bottom="1440" w:left="1440" w:header="720" w:footer="720" w:gutter="0"/>
          <w:cols w:space="720"/>
          <w:docGrid w:linePitch="360"/>
        </w:sectPr>
      </w:pPr>
    </w:p>
    <w:p w14:paraId="643B2361" w14:textId="77777777" w:rsidR="00E45927"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BC9204C" w14:textId="77777777" w:rsidR="00E45927" w:rsidRDefault="00000000">
      <w:pPr>
        <w:spacing w:line="360" w:lineRule="auto"/>
        <w:jc w:val="both"/>
        <w:rPr>
          <w:rFonts w:ascii="Book Antiqua" w:hAnsi="Book Antiqua"/>
        </w:rPr>
      </w:pPr>
      <w:r>
        <w:rPr>
          <w:rFonts w:ascii="Book Antiqua" w:eastAsia="Book Antiqua" w:hAnsi="Book Antiqua" w:cs="Book Antiqua"/>
        </w:rPr>
        <w:t>Chronic and recurrent inflammatory disorders of the gastrointestinal tract caused by a complex interplay between genetic</w:t>
      </w:r>
      <w:r>
        <w:rPr>
          <w:rFonts w:ascii="Book Antiqua" w:eastAsia="宋体" w:hAnsi="Book Antiqua" w:cs="Book Antiqua" w:hint="eastAsia"/>
          <w:lang w:eastAsia="zh-CN"/>
        </w:rPr>
        <w:t>s</w:t>
      </w:r>
      <w:r>
        <w:rPr>
          <w:rFonts w:ascii="Book Antiqua" w:eastAsia="Book Antiqua" w:hAnsi="Book Antiqua" w:cs="Book Antiqua"/>
        </w:rPr>
        <w:t xml:space="preserve"> and intestinal dysbiosis are called inflammatory bowel disease. As a result of the interaction between the liver and the gut microbiota, bile acids are an atypical class of steroids produced in mammals and traditionally known for their function in food absorption. With the development of genomics and metabolomics, more and more data suggest that the pathophysiological mechanisms of inflammatory bowel disease are regulated by bile acids and their receptors. Bile acids operate as signalling molecules by activating a variety of bile acid receptors that impact intestinal flora, epithelial barrier function, and intestinal immunology. Inflammatory bowel disease can be treated in new ways by using these potential molecules. This </w:t>
      </w:r>
      <w:r>
        <w:rPr>
          <w:rFonts w:ascii="Book Antiqua" w:eastAsia="宋体" w:hAnsi="Book Antiqua" w:cs="Book Antiqua" w:hint="eastAsia"/>
          <w:lang w:eastAsia="zh-CN"/>
        </w:rPr>
        <w:t>paper</w:t>
      </w:r>
      <w:r>
        <w:rPr>
          <w:rFonts w:ascii="Book Antiqua" w:eastAsia="Book Antiqua" w:hAnsi="Book Antiqua" w:cs="Book Antiqua"/>
        </w:rPr>
        <w:t xml:space="preserve"> mainly discusse</w:t>
      </w:r>
      <w:r>
        <w:rPr>
          <w:rFonts w:ascii="Book Antiqua" w:eastAsia="宋体" w:hAnsi="Book Antiqua" w:cs="Book Antiqua" w:hint="eastAsia"/>
          <w:lang w:eastAsia="zh-CN"/>
        </w:rPr>
        <w:t>s</w:t>
      </w:r>
      <w:r>
        <w:rPr>
          <w:rFonts w:ascii="Book Antiqua" w:eastAsia="Book Antiqua" w:hAnsi="Book Antiqua" w:cs="Book Antiqua"/>
        </w:rPr>
        <w:t xml:space="preserve"> the increasing function of bile acids and their receptors in inflammatory bowel disease and their prospective therapeutic applications. In addition, we explore bile acid metabolism and the interaction of bile acids and </w:t>
      </w:r>
      <w:r>
        <w:rPr>
          <w:rFonts w:ascii="Book Antiqua" w:eastAsia="宋体" w:hAnsi="Book Antiqua" w:cs="Book Antiqua" w:hint="eastAsia"/>
          <w:lang w:eastAsia="zh-CN"/>
        </w:rPr>
        <w:t xml:space="preserve">the </w:t>
      </w:r>
      <w:r>
        <w:rPr>
          <w:rFonts w:ascii="Book Antiqua" w:eastAsia="Book Antiqua" w:hAnsi="Book Antiqua" w:cs="Book Antiqua"/>
        </w:rPr>
        <w:t>gut microbiota.</w:t>
      </w:r>
    </w:p>
    <w:p w14:paraId="7DE8D833" w14:textId="77777777" w:rsidR="00E45927" w:rsidRDefault="00E45927">
      <w:pPr>
        <w:spacing w:line="360" w:lineRule="auto"/>
        <w:ind w:firstLine="480"/>
        <w:jc w:val="both"/>
        <w:rPr>
          <w:rFonts w:ascii="Book Antiqua" w:hAnsi="Book Antiqua"/>
        </w:rPr>
      </w:pPr>
    </w:p>
    <w:p w14:paraId="68BB1F80" w14:textId="77777777" w:rsidR="00E45927" w:rsidRDefault="00000000">
      <w:pPr>
        <w:spacing w:line="360" w:lineRule="auto"/>
        <w:jc w:val="both"/>
        <w:rPr>
          <w:rFonts w:ascii="Book Antiqua" w:hAnsi="Book Antiqua"/>
        </w:rPr>
      </w:pPr>
      <w:r>
        <w:rPr>
          <w:rFonts w:ascii="Book Antiqua" w:eastAsia="Book Antiqua" w:hAnsi="Book Antiqua" w:cs="Book Antiqua"/>
          <w:b/>
          <w:bCs/>
        </w:rPr>
        <w:t xml:space="preserve">Key Words: </w:t>
      </w:r>
      <w:bookmarkStart w:id="26" w:name="OLE_LINK6194"/>
      <w:r>
        <w:rPr>
          <w:rFonts w:ascii="Book Antiqua" w:eastAsia="Book Antiqua" w:hAnsi="Book Antiqua" w:cs="Book Antiqua"/>
        </w:rPr>
        <w:t>Bile acids; Inflammatory bowel disease; Intestinal immunology; Bile acid receptors; Bile acid metabolism; Gut microbiota</w:t>
      </w:r>
      <w:bookmarkEnd w:id="26"/>
    </w:p>
    <w:p w14:paraId="6DB45ED1" w14:textId="77777777" w:rsidR="00E45927" w:rsidRDefault="00E45927">
      <w:pPr>
        <w:spacing w:line="360" w:lineRule="auto"/>
        <w:jc w:val="both"/>
        <w:rPr>
          <w:rFonts w:ascii="Book Antiqua" w:hAnsi="Book Antiqua"/>
        </w:rPr>
      </w:pPr>
    </w:p>
    <w:p w14:paraId="0A9C0F78" w14:textId="77777777" w:rsidR="00FA5080" w:rsidRDefault="00FA5080" w:rsidP="00FA5080">
      <w:pPr>
        <w:spacing w:line="360" w:lineRule="auto"/>
        <w:rPr>
          <w:rFonts w:ascii="Book Antiqua" w:eastAsia="Book Antiqua" w:hAnsi="Book Antiqua" w:cs="Book Antiqua"/>
          <w:color w:val="000000"/>
        </w:rPr>
      </w:pPr>
      <w:bookmarkStart w:id="27" w:name="_Hlk139982159"/>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27"/>
    <w:p w14:paraId="2D4D53FE" w14:textId="77777777" w:rsidR="00FA5080" w:rsidRDefault="00FA5080">
      <w:pPr>
        <w:spacing w:line="360" w:lineRule="auto"/>
        <w:jc w:val="both"/>
        <w:rPr>
          <w:rFonts w:ascii="Book Antiqua" w:hAnsi="Book Antiqua"/>
        </w:rPr>
      </w:pPr>
    </w:p>
    <w:p w14:paraId="6F40C0AD" w14:textId="653853C0" w:rsidR="00FA5080" w:rsidRDefault="0051147E">
      <w:pPr>
        <w:spacing w:line="360" w:lineRule="auto"/>
        <w:jc w:val="both"/>
        <w:rPr>
          <w:rFonts w:ascii="Book Antiqua" w:eastAsia="Book Antiqua" w:hAnsi="Book Antiqua" w:cs="Book Antiqua"/>
        </w:rPr>
      </w:pPr>
      <w:bookmarkStart w:id="28" w:name="OLE_LINK6195"/>
      <w:r w:rsidRPr="0051147E">
        <w:rPr>
          <w:rFonts w:ascii="Book Antiqua" w:eastAsia="Book Antiqua" w:hAnsi="Book Antiqua" w:cs="Book Antiqua"/>
          <w:b/>
          <w:bCs/>
        </w:rPr>
        <w:t>Citation</w:t>
      </w:r>
      <w:r w:rsidRPr="007B6ACB">
        <w:rPr>
          <w:rFonts w:ascii="Book Antiqua" w:eastAsia="Book Antiqua" w:hAnsi="Book Antiqua" w:cs="Book Antiqua"/>
          <w:b/>
          <w:bCs/>
        </w:rPr>
        <w:t>:</w:t>
      </w:r>
      <w:r w:rsidRPr="0051147E">
        <w:rPr>
          <w:rFonts w:ascii="Book Antiqua" w:eastAsia="Book Antiqua" w:hAnsi="Book Antiqua" w:cs="Book Antiqua"/>
        </w:rPr>
        <w:t xml:space="preserve"> </w:t>
      </w:r>
      <w:r>
        <w:rPr>
          <w:rFonts w:ascii="Book Antiqua" w:eastAsia="Book Antiqua" w:hAnsi="Book Antiqua" w:cs="Book Antiqua"/>
        </w:rPr>
        <w:t xml:space="preserve">Long XQ, Liu MZ, Liu ZH, Xia LZ, Lu SP, Xu XP, Wu MH. Bile acids and their receptors: </w:t>
      </w:r>
      <w:bookmarkStart w:id="29" w:name="OLE_LINK6770"/>
      <w:bookmarkStart w:id="30" w:name="OLE_LINK6769"/>
      <w:bookmarkStart w:id="31" w:name="OLE_LINK6771"/>
      <w:r>
        <w:rPr>
          <w:rFonts w:ascii="Book Antiqua" w:eastAsia="Book Antiqua" w:hAnsi="Book Antiqua" w:cs="Book Antiqua"/>
        </w:rPr>
        <w:t>P</w:t>
      </w:r>
      <w:bookmarkEnd w:id="29"/>
      <w:bookmarkEnd w:id="30"/>
      <w:bookmarkEnd w:id="31"/>
      <w:r>
        <w:rPr>
          <w:rFonts w:ascii="Book Antiqua" w:eastAsia="Book Antiqua" w:hAnsi="Book Antiqua" w:cs="Book Antiqua"/>
        </w:rPr>
        <w:t xml:space="preserve">otential therapeutic targets in inflammatory bowel disease. </w:t>
      </w:r>
      <w:r>
        <w:rPr>
          <w:rFonts w:ascii="Book Antiqua" w:eastAsia="Book Antiqua" w:hAnsi="Book Antiqua" w:cs="Book Antiqua"/>
          <w:i/>
          <w:iCs/>
        </w:rPr>
        <w:t>World J Gastroenterol</w:t>
      </w:r>
      <w:r>
        <w:rPr>
          <w:rFonts w:ascii="Book Antiqua" w:eastAsia="Book Antiqua" w:hAnsi="Book Antiqua" w:cs="Book Antiqua"/>
        </w:rPr>
        <w:t xml:space="preserve"> 2023; </w:t>
      </w:r>
      <w:r w:rsidR="00AA7521" w:rsidRPr="00AA7521">
        <w:rPr>
          <w:rFonts w:ascii="Book Antiqua" w:eastAsia="Book Antiqua" w:hAnsi="Book Antiqua" w:cs="Book Antiqua"/>
        </w:rPr>
        <w:t xml:space="preserve">29(27): </w:t>
      </w:r>
      <w:r w:rsidR="00FA5080">
        <w:rPr>
          <w:rFonts w:ascii="Book Antiqua" w:eastAsia="Book Antiqua" w:hAnsi="Book Antiqua" w:cs="Book Antiqua"/>
        </w:rPr>
        <w:t>4252</w:t>
      </w:r>
      <w:r w:rsidR="00AA7521" w:rsidRPr="00AA7521">
        <w:rPr>
          <w:rFonts w:ascii="Book Antiqua" w:eastAsia="Book Antiqua" w:hAnsi="Book Antiqua" w:cs="Book Antiqua"/>
        </w:rPr>
        <w:t>-</w:t>
      </w:r>
      <w:r w:rsidR="00FA5080" w:rsidRPr="00FA5080">
        <w:rPr>
          <w:rFonts w:ascii="Book Antiqua" w:eastAsia="Book Antiqua" w:hAnsi="Book Antiqua" w:cs="Book Antiqua"/>
        </w:rPr>
        <w:t>4270</w:t>
      </w:r>
    </w:p>
    <w:p w14:paraId="26BB4043" w14:textId="74F91419" w:rsidR="00FA5080" w:rsidRDefault="00AA7521">
      <w:pPr>
        <w:spacing w:line="360" w:lineRule="auto"/>
        <w:jc w:val="both"/>
        <w:rPr>
          <w:rFonts w:ascii="Book Antiqua" w:eastAsia="Book Antiqua" w:hAnsi="Book Antiqua" w:cs="Book Antiqua"/>
        </w:rPr>
      </w:pPr>
      <w:r w:rsidRPr="00FA5080">
        <w:rPr>
          <w:rFonts w:ascii="Book Antiqua" w:eastAsia="Book Antiqua" w:hAnsi="Book Antiqua" w:cs="Book Antiqua"/>
          <w:b/>
          <w:bCs/>
        </w:rPr>
        <w:t>URL:</w:t>
      </w:r>
      <w:r w:rsidRPr="00AA7521">
        <w:rPr>
          <w:rFonts w:ascii="Book Antiqua" w:eastAsia="Book Antiqua" w:hAnsi="Book Antiqua" w:cs="Book Antiqua"/>
        </w:rPr>
        <w:t xml:space="preserve"> https://www.wjgnet.com/1007-9327/full/v29/i27/</w:t>
      </w:r>
      <w:r w:rsidR="00FA5080">
        <w:rPr>
          <w:rFonts w:ascii="Book Antiqua" w:eastAsia="Book Antiqua" w:hAnsi="Book Antiqua" w:cs="Book Antiqua"/>
        </w:rPr>
        <w:t>4252</w:t>
      </w:r>
      <w:r w:rsidRPr="00AA7521">
        <w:rPr>
          <w:rFonts w:ascii="Book Antiqua" w:eastAsia="Book Antiqua" w:hAnsi="Book Antiqua" w:cs="Book Antiqua"/>
        </w:rPr>
        <w:t>.htm</w:t>
      </w:r>
    </w:p>
    <w:p w14:paraId="3BA678A7" w14:textId="12E37200" w:rsidR="00E45927" w:rsidRDefault="00AA7521">
      <w:pPr>
        <w:spacing w:line="360" w:lineRule="auto"/>
        <w:jc w:val="both"/>
        <w:rPr>
          <w:rFonts w:ascii="Book Antiqua" w:hAnsi="Book Antiqua"/>
        </w:rPr>
      </w:pPr>
      <w:r w:rsidRPr="00FA5080">
        <w:rPr>
          <w:rFonts w:ascii="Book Antiqua" w:eastAsia="Book Antiqua" w:hAnsi="Book Antiqua" w:cs="Book Antiqua"/>
          <w:b/>
          <w:bCs/>
        </w:rPr>
        <w:t xml:space="preserve">DOI: </w:t>
      </w:r>
      <w:r w:rsidRPr="00AA7521">
        <w:rPr>
          <w:rFonts w:ascii="Book Antiqua" w:eastAsia="Book Antiqua" w:hAnsi="Book Antiqua" w:cs="Book Antiqua"/>
        </w:rPr>
        <w:t>https://dx.doi.org/10.3748/wjg.v29.i27.</w:t>
      </w:r>
      <w:r w:rsidR="00FA5080">
        <w:rPr>
          <w:rFonts w:ascii="Book Antiqua" w:eastAsia="Book Antiqua" w:hAnsi="Book Antiqua" w:cs="Book Antiqua"/>
        </w:rPr>
        <w:t>4252</w:t>
      </w:r>
    </w:p>
    <w:bookmarkEnd w:id="28"/>
    <w:p w14:paraId="7C6F7AE7" w14:textId="77777777" w:rsidR="00E45927" w:rsidRDefault="00E45927">
      <w:pPr>
        <w:spacing w:line="360" w:lineRule="auto"/>
        <w:jc w:val="both"/>
        <w:rPr>
          <w:rFonts w:ascii="Book Antiqua" w:hAnsi="Book Antiqua"/>
        </w:rPr>
      </w:pPr>
    </w:p>
    <w:p w14:paraId="5BCAE0C2" w14:textId="77777777" w:rsidR="00E45927" w:rsidRDefault="00000000">
      <w:pPr>
        <w:spacing w:line="360" w:lineRule="auto"/>
        <w:jc w:val="both"/>
        <w:rPr>
          <w:rFonts w:ascii="Book Antiqua" w:hAnsi="Book Antiqua"/>
        </w:rPr>
      </w:pPr>
      <w:r>
        <w:rPr>
          <w:rFonts w:ascii="Book Antiqua" w:eastAsia="Book Antiqua" w:hAnsi="Book Antiqua" w:cs="Book Antiqua"/>
          <w:b/>
          <w:bCs/>
        </w:rPr>
        <w:t xml:space="preserve">Core Tip: </w:t>
      </w:r>
      <w:bookmarkStart w:id="32" w:name="OLE_LINK6196"/>
      <w:r>
        <w:rPr>
          <w:rFonts w:ascii="Book Antiqua" w:eastAsia="Book Antiqua" w:hAnsi="Book Antiqua" w:cs="Book Antiqua"/>
        </w:rPr>
        <w:t>Chronic and recurrent inflammatory disorders of the gastrointestinal tract caused by a complex interplay between genetic</w:t>
      </w:r>
      <w:r>
        <w:rPr>
          <w:rFonts w:ascii="Book Antiqua" w:eastAsia="宋体" w:hAnsi="Book Antiqua" w:cs="Book Antiqua" w:hint="eastAsia"/>
          <w:lang w:eastAsia="zh-CN"/>
        </w:rPr>
        <w:t>s</w:t>
      </w:r>
      <w:r>
        <w:rPr>
          <w:rFonts w:ascii="Book Antiqua" w:eastAsia="Book Antiqua" w:hAnsi="Book Antiqua" w:cs="Book Antiqua"/>
        </w:rPr>
        <w:t xml:space="preserve"> and intestinal dysbiosis are called </w:t>
      </w:r>
      <w:r>
        <w:rPr>
          <w:rFonts w:ascii="Book Antiqua" w:eastAsia="Book Antiqua" w:hAnsi="Book Antiqua" w:cs="Book Antiqua"/>
        </w:rPr>
        <w:lastRenderedPageBreak/>
        <w:t>inflammatory bowel disease. With the development of genomics and metabolomics, more and more data suggest that bile acids operate as signalling molecules by activating a variety of bile acid receptors that regulate pathophysiological mechanisms of inflammatory bowel disease. Inflammatory bowel disease can be treated in new ways by using these potential molecules.</w:t>
      </w:r>
    </w:p>
    <w:bookmarkEnd w:id="32"/>
    <w:p w14:paraId="111D6199" w14:textId="77777777" w:rsidR="00E45927" w:rsidRDefault="00E45927">
      <w:pPr>
        <w:spacing w:line="360" w:lineRule="auto"/>
        <w:jc w:val="both"/>
        <w:rPr>
          <w:rFonts w:ascii="Book Antiqua" w:hAnsi="Book Antiqua"/>
        </w:rPr>
      </w:pPr>
    </w:p>
    <w:p w14:paraId="2F35EC5F" w14:textId="77777777" w:rsidR="00E45927"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2B9BE6C" w14:textId="77777777" w:rsidR="00E45927" w:rsidRDefault="00000000">
      <w:pPr>
        <w:spacing w:line="360" w:lineRule="auto"/>
        <w:jc w:val="both"/>
        <w:rPr>
          <w:rFonts w:ascii="Book Antiqua" w:hAnsi="Book Antiqua"/>
          <w:lang w:eastAsia="zh-CN"/>
        </w:rPr>
      </w:pPr>
      <w:bookmarkStart w:id="33" w:name="OLE_LINK7049"/>
      <w:bookmarkStart w:id="34" w:name="OLE_LINK7048"/>
      <w:bookmarkStart w:id="35" w:name="OLE_LINK6772"/>
      <w:bookmarkStart w:id="36" w:name="OLE_LINK6774"/>
      <w:bookmarkStart w:id="37" w:name="OLE_LINK7050"/>
      <w:bookmarkStart w:id="38" w:name="OLE_LINK6773"/>
      <w:r>
        <w:rPr>
          <w:rFonts w:ascii="Book Antiqua" w:eastAsia="Book Antiqua" w:hAnsi="Book Antiqua" w:cs="Book Antiqua"/>
          <w:color w:val="000000"/>
        </w:rPr>
        <w:t>Inflammatory bowel disease</w:t>
      </w:r>
      <w:bookmarkEnd w:id="33"/>
      <w:bookmarkEnd w:id="34"/>
      <w:bookmarkEnd w:id="35"/>
      <w:bookmarkEnd w:id="36"/>
      <w:bookmarkEnd w:id="37"/>
      <w:bookmarkEnd w:id="38"/>
      <w:r>
        <w:rPr>
          <w:rFonts w:ascii="Book Antiqua" w:eastAsia="Book Antiqua" w:hAnsi="Book Antiqua" w:cs="Book Antiqua"/>
          <w:color w:val="000000"/>
        </w:rPr>
        <w:t xml:space="preserve"> (IBD) </w:t>
      </w:r>
      <w:r>
        <w:rPr>
          <w:rFonts w:ascii="Book Antiqua" w:eastAsia="宋体" w:hAnsi="Book Antiqua" w:cs="Book Antiqua" w:hint="eastAsia"/>
          <w:color w:val="000000"/>
          <w:lang w:eastAsia="zh-CN"/>
        </w:rPr>
        <w:t>is a group of</w:t>
      </w:r>
      <w:r>
        <w:rPr>
          <w:rFonts w:ascii="Book Antiqua" w:eastAsia="Book Antiqua" w:hAnsi="Book Antiqua" w:cs="Book Antiqua"/>
          <w:color w:val="000000"/>
        </w:rPr>
        <w:t xml:space="preserve"> chronic and recurrent inflammatory diseases of the gastrointestinal tract, including two main subtypes: </w:t>
      </w:r>
      <w:bookmarkStart w:id="39" w:name="OLE_LINK6775"/>
      <w:bookmarkStart w:id="40" w:name="OLE_LINK6776"/>
      <w:bookmarkStart w:id="41" w:name="OLE_LINK6779"/>
      <w:bookmarkStart w:id="42" w:name="OLE_LINK6777"/>
      <w:bookmarkStart w:id="43" w:name="OLE_LINK6780"/>
      <w:bookmarkStart w:id="44" w:name="OLE_LINK6778"/>
      <w:r>
        <w:rPr>
          <w:rFonts w:ascii="Book Antiqua" w:eastAsia="Book Antiqua" w:hAnsi="Book Antiqua" w:cs="Book Antiqua"/>
          <w:color w:val="000000"/>
        </w:rPr>
        <w:t>U</w:t>
      </w:r>
      <w:bookmarkEnd w:id="39"/>
      <w:bookmarkEnd w:id="40"/>
      <w:r>
        <w:rPr>
          <w:rFonts w:ascii="Book Antiqua" w:eastAsia="Book Antiqua" w:hAnsi="Book Antiqua" w:cs="Book Antiqua"/>
          <w:color w:val="000000"/>
        </w:rPr>
        <w:t xml:space="preserve">lcerative colitis </w:t>
      </w:r>
      <w:bookmarkEnd w:id="41"/>
      <w:bookmarkEnd w:id="42"/>
      <w:bookmarkEnd w:id="43"/>
      <w:bookmarkEnd w:id="44"/>
      <w:r>
        <w:rPr>
          <w:rFonts w:ascii="Book Antiqua" w:eastAsia="Book Antiqua" w:hAnsi="Book Antiqua" w:cs="Book Antiqua"/>
          <w:color w:val="000000"/>
        </w:rPr>
        <w:t xml:space="preserve">(UC) and </w:t>
      </w:r>
      <w:bookmarkStart w:id="45" w:name="OLE_LINK6781"/>
      <w:bookmarkStart w:id="46" w:name="OLE_LINK6785"/>
      <w:bookmarkStart w:id="47" w:name="OLE_LINK6790"/>
      <w:bookmarkStart w:id="48" w:name="OLE_LINK6782"/>
      <w:bookmarkStart w:id="49" w:name="OLE_LINK6784"/>
      <w:bookmarkStart w:id="50" w:name="OLE_LINK6783"/>
      <w:r>
        <w:rPr>
          <w:rFonts w:ascii="Book Antiqua" w:eastAsia="Book Antiqua" w:hAnsi="Book Antiqua" w:cs="Book Antiqua"/>
          <w:color w:val="000000"/>
        </w:rPr>
        <w:t>Crohn's disease</w:t>
      </w:r>
      <w:bookmarkEnd w:id="45"/>
      <w:bookmarkEnd w:id="46"/>
      <w:bookmarkEnd w:id="47"/>
      <w:bookmarkEnd w:id="48"/>
      <w:bookmarkEnd w:id="49"/>
      <w:bookmarkEnd w:id="50"/>
      <w:r>
        <w:rPr>
          <w:rFonts w:ascii="Book Antiqua" w:eastAsia="Book Antiqua" w:hAnsi="Book Antiqua" w:cs="Book Antiqua"/>
          <w:color w:val="000000"/>
        </w:rPr>
        <w:t xml:space="preserve"> (CD). Globally, the prevalence of IBD is increasing, especially in newly industrialized countries, with a prevalence of 0.5% in 2010, 0.75% in 2020, and a projected 1% in 2030, increasing the burden on health care systems around the world</w:t>
      </w:r>
      <w:r>
        <w:rPr>
          <w:rFonts w:ascii="Book Antiqua" w:eastAsia="Book Antiqua" w:hAnsi="Book Antiqua" w:cs="Book Antiqua"/>
          <w:color w:val="000000"/>
          <w:vertAlign w:val="superscript"/>
        </w:rPr>
        <w:t>[1,2]</w:t>
      </w:r>
      <w:r>
        <w:rPr>
          <w:rFonts w:ascii="Book Antiqua" w:eastAsia="Book Antiqua" w:hAnsi="Book Antiqua" w:cs="Book Antiqua"/>
          <w:color w:val="000000"/>
        </w:rPr>
        <w:t>. The etiology and pathogenesis of IBD are not well understood. However, it is generally accepted that IBD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 a persistent and excessive immune inflammatory response in people with genetic susceptibility when exposed to environmental factors</w:t>
      </w:r>
      <w:r>
        <w:rPr>
          <w:rFonts w:ascii="Book Antiqua" w:eastAsia="Book Antiqua" w:hAnsi="Book Antiqua" w:cs="Book Antiqua"/>
          <w:color w:val="000000"/>
          <w:vertAlign w:val="superscript"/>
        </w:rPr>
        <w:t>[3]</w:t>
      </w:r>
      <w:r>
        <w:rPr>
          <w:rFonts w:ascii="Book Antiqua" w:eastAsia="Book Antiqua" w:hAnsi="Book Antiqua" w:cs="Book Antiqua"/>
          <w:color w:val="000000"/>
        </w:rPr>
        <w:t>. Immune homeostasis in the intestine involves the coordinated action of epithelial cells and innate and adaptive immune cells. As a result of impaired intestinal epithelial barrier function in IBD, commensal microorganisms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translocate into the intestinal wall. The innate immune cells then take up the microbes and their mediators and respond, which activates immune cells and produces cytokines and chemokines. This process, in turn, upsets the homeostasis of the intestine, recruiting more immune cells to the intestinal wall and activating adaptive immunity</w:t>
      </w:r>
      <w:r>
        <w:rPr>
          <w:rFonts w:ascii="Book Antiqua" w:eastAsia="Book Antiqua" w:hAnsi="Book Antiqua" w:cs="Book Antiqua"/>
          <w:color w:val="000000"/>
          <w:vertAlign w:val="superscript"/>
        </w:rPr>
        <w:t>[4,5]</w:t>
      </w:r>
      <w:r>
        <w:rPr>
          <w:rFonts w:ascii="Book Antiqua" w:eastAsia="Book Antiqua" w:hAnsi="Book Antiqua" w:cs="Book Antiqua"/>
          <w:color w:val="000000"/>
        </w:rPr>
        <w:t>. IBD usually presents with chronic recurrent abdominal pain, diarrhea, mucus, and bloody stools and can also present with serious complications such as anal fistula, intestinal obstruction, and intestinal perforation</w:t>
      </w:r>
      <w:r>
        <w:rPr>
          <w:rFonts w:ascii="Book Antiqua" w:eastAsia="Book Antiqua" w:hAnsi="Book Antiqua" w:cs="Book Antiqua"/>
          <w:color w:val="000000"/>
          <w:vertAlign w:val="superscript"/>
        </w:rPr>
        <w:t>[6]</w:t>
      </w:r>
      <w:r>
        <w:rPr>
          <w:rFonts w:ascii="Book Antiqua" w:eastAsia="Book Antiqua" w:hAnsi="Book Antiqua" w:cs="Book Antiqua"/>
          <w:color w:val="000000"/>
        </w:rPr>
        <w:t>. Additionally, IBD patients frequently experience symptoms outside of the digestive system, such as joint, eye, or skin inflammation</w:t>
      </w:r>
      <w:r>
        <w:rPr>
          <w:rFonts w:ascii="Book Antiqua" w:eastAsia="Book Antiqua" w:hAnsi="Book Antiqua" w:cs="Book Antiqua"/>
          <w:color w:val="000000"/>
          <w:vertAlign w:val="superscript"/>
        </w:rPr>
        <w:t>[7]</w:t>
      </w:r>
      <w:r>
        <w:rPr>
          <w:rFonts w:ascii="Book Antiqua" w:eastAsia="Book Antiqua" w:hAnsi="Book Antiqua" w:cs="Book Antiqua"/>
          <w:color w:val="000000"/>
        </w:rPr>
        <w:t>. With the introduction of new biological and small molecule therapies, such as anti-TNF-α biologic agents, anti-interleukin</w:t>
      </w:r>
      <w:r>
        <w:rPr>
          <w:rFonts w:ascii="Book Antiqua" w:eastAsia="宋体" w:hAnsi="Book Antiqua" w:cs="Book Antiqua" w:hint="eastAsia"/>
          <w:color w:val="000000"/>
          <w:lang w:eastAsia="zh-CN"/>
        </w:rPr>
        <w:t xml:space="preserve"> (IL)</w:t>
      </w:r>
      <w:r>
        <w:rPr>
          <w:rFonts w:ascii="Book Antiqua" w:eastAsia="Book Antiqua" w:hAnsi="Book Antiqua" w:cs="Book Antiqua"/>
          <w:color w:val="000000"/>
        </w:rPr>
        <w:t xml:space="preserve">-12/23 biologic agents, and anti-integrin biologic agents, significant progress has been made in the pharmacological treatment of IBD, but at a high financial and physical cost to patients. </w:t>
      </w:r>
      <w:r>
        <w:rPr>
          <w:rFonts w:ascii="Book Antiqua" w:eastAsia="Book Antiqua" w:hAnsi="Book Antiqua" w:cs="Book Antiqua"/>
          <w:color w:val="000000"/>
        </w:rPr>
        <w:lastRenderedPageBreak/>
        <w:t>Moreover, these therapies can potentially produce life-threatening side effects and cannot cure IBD, and a significant proportion of patients still require surgical treatment. This underscores the need for new treatment strategies for IBD</w:t>
      </w:r>
      <w:r>
        <w:rPr>
          <w:rFonts w:ascii="Book Antiqua" w:eastAsia="Book Antiqua" w:hAnsi="Book Antiqua" w:cs="Book Antiqua"/>
          <w:color w:val="000000"/>
          <w:vertAlign w:val="superscript"/>
        </w:rPr>
        <w:t>[8,9]</w:t>
      </w:r>
      <w:r>
        <w:rPr>
          <w:rFonts w:ascii="Book Antiqua" w:eastAsia="Book Antiqua" w:hAnsi="Book Antiqua" w:cs="Book Antiqua"/>
          <w:color w:val="000000"/>
        </w:rPr>
        <w:t>.</w:t>
      </w:r>
    </w:p>
    <w:p w14:paraId="6ACAFAC4" w14:textId="77777777" w:rsidR="00E4592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As a result of the interaction between the liver and gut bacteria, bile acids are a class of atypical steroids produced in mammals. Bile acid receptors are a type of cell membrane and nuclear receptor that is found in several digestive and immune system cells. </w:t>
      </w:r>
      <w:r>
        <w:rPr>
          <w:rFonts w:ascii="Book Antiqua" w:eastAsia="宋体" w:hAnsi="Book Antiqua" w:cs="Book Antiqua" w:hint="eastAsia"/>
          <w:color w:val="000000"/>
          <w:lang w:eastAsia="zh-CN"/>
        </w:rPr>
        <w:t>B</w:t>
      </w:r>
      <w:r>
        <w:rPr>
          <w:rFonts w:ascii="Book Antiqua" w:eastAsia="Book Antiqua" w:hAnsi="Book Antiqua" w:cs="Book Antiqua"/>
          <w:color w:val="000000"/>
        </w:rPr>
        <w:t>ile acid</w:t>
      </w:r>
      <w:r>
        <w:rPr>
          <w:rFonts w:ascii="Book Antiqua" w:eastAsia="宋体" w:hAnsi="Book Antiqua" w:cs="Book Antiqua" w:hint="eastAsia"/>
          <w:color w:val="000000"/>
          <w:lang w:eastAsia="zh-CN"/>
        </w:rPr>
        <w:t>s exert t</w:t>
      </w:r>
      <w:r>
        <w:rPr>
          <w:rFonts w:ascii="Book Antiqua" w:eastAsia="Book Antiqua" w:hAnsi="Book Antiqua" w:cs="Book Antiqua"/>
          <w:color w:val="000000"/>
        </w:rPr>
        <w:t xml:space="preserve">he majority of </w:t>
      </w:r>
      <w:r>
        <w:rPr>
          <w:rFonts w:ascii="Book Antiqua" w:eastAsia="宋体" w:hAnsi="Book Antiqua" w:cs="Book Antiqua" w:hint="eastAsia"/>
          <w:color w:val="000000"/>
          <w:lang w:eastAsia="zh-CN"/>
        </w:rPr>
        <w:t>their</w:t>
      </w:r>
      <w:r>
        <w:rPr>
          <w:rFonts w:ascii="Book Antiqua" w:eastAsia="Book Antiqua" w:hAnsi="Book Antiqua" w:cs="Book Antiqua"/>
          <w:color w:val="000000"/>
        </w:rPr>
        <w:t xml:space="preserve"> biological effects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by serving as ligands for specific bile acid receptors. In the past, bile acids were widely assumed to aid in intestinal nutrition absorption and biliary transport of lipids, toxic metabolites, and foreign substances. However, it is now well established that bile acids can act as multidirectional signaling metabolites, modulating physiopathological processes associated with a variety of digestive diseases </w:t>
      </w:r>
      <w:r>
        <w:rPr>
          <w:rFonts w:ascii="Book Antiqua" w:eastAsia="Book Antiqua" w:hAnsi="Book Antiqua" w:cs="Book Antiqua"/>
          <w:i/>
          <w:iCs/>
          <w:color w:val="000000"/>
        </w:rPr>
        <w:t>via</w:t>
      </w:r>
      <w:r>
        <w:rPr>
          <w:rFonts w:ascii="Book Antiqua" w:eastAsia="Book Antiqua" w:hAnsi="Book Antiqua" w:cs="Book Antiqua"/>
          <w:color w:val="000000"/>
        </w:rPr>
        <w:t xml:space="preserve"> dynamic interactions with germline-encoded host receptors and microbiota</w:t>
      </w:r>
      <w:r>
        <w:rPr>
          <w:rFonts w:ascii="Book Antiqua" w:eastAsia="Book Antiqua" w:hAnsi="Book Antiqua" w:cs="Book Antiqua"/>
          <w:color w:val="000000"/>
          <w:vertAlign w:val="superscript"/>
        </w:rPr>
        <w:t>[10-12]</w:t>
      </w:r>
      <w:r>
        <w:rPr>
          <w:rFonts w:ascii="Book Antiqua" w:eastAsia="Book Antiqua" w:hAnsi="Book Antiqua" w:cs="Book Antiqua"/>
          <w:color w:val="000000"/>
        </w:rPr>
        <w:t>. In particular, in IBD, bile acids can modulate IBD pathophysiological pathways by acting on several bile acid receptors, including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farnesol X receptor (FXR), retinoid-related orphan receptor γt (RORγt), G protein-coupled bile acid receptor 1 (</w:t>
      </w:r>
      <w:bookmarkStart w:id="51" w:name="OLE_LINK7133"/>
      <w:bookmarkStart w:id="52" w:name="OLE_LINK7132"/>
      <w:r>
        <w:rPr>
          <w:rFonts w:ascii="Book Antiqua" w:eastAsia="Book Antiqua" w:hAnsi="Book Antiqua" w:cs="Book Antiqua"/>
          <w:color w:val="000000"/>
        </w:rPr>
        <w:t>GPAB</w:t>
      </w:r>
      <w:bookmarkEnd w:id="51"/>
      <w:bookmarkEnd w:id="52"/>
      <w:r>
        <w:rPr>
          <w:rFonts w:ascii="Book Antiqua" w:eastAsia="Book Antiqua" w:hAnsi="Book Antiqua" w:cs="Book Antiqua"/>
          <w:color w:val="000000"/>
        </w:rPr>
        <w:t>R1), vitamin D receptor (VDR), pregnane X receptor (PXR), co</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stitutive androstane receptor (CAR),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sphingosine-1-phosphate receptor 2 (S1PR2)</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 </w:t>
      </w:r>
      <w:r>
        <w:rPr>
          <w:rFonts w:ascii="Book Antiqua" w:eastAsia="Book Antiqua" w:hAnsi="Book Antiqua" w:cs="Book Antiqua"/>
          <w:color w:val="000000"/>
        </w:rPr>
        <w:t>Table 1). This review primarily outline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the growing function of bile acids and their receptors in IBD, as well as their prospective therapeutic applications. Furthermore, we explore bile acid metabolism and the interaction of bile acids and microbiota to present fresh perspectives and molecular targets for diagnosing and treating IBD.</w:t>
      </w:r>
    </w:p>
    <w:p w14:paraId="080320A0" w14:textId="77777777" w:rsidR="00E45927" w:rsidRDefault="00E45927">
      <w:pPr>
        <w:spacing w:line="360" w:lineRule="auto"/>
        <w:jc w:val="both"/>
        <w:rPr>
          <w:rFonts w:ascii="Book Antiqua" w:hAnsi="Book Antiqua"/>
          <w:lang w:eastAsia="zh-CN"/>
        </w:rPr>
      </w:pPr>
    </w:p>
    <w:p w14:paraId="7B07517E" w14:textId="77777777" w:rsidR="00E45927" w:rsidRDefault="00000000">
      <w:pPr>
        <w:spacing w:line="360" w:lineRule="auto"/>
        <w:jc w:val="both"/>
        <w:rPr>
          <w:rFonts w:ascii="Book Antiqua" w:hAnsi="Book Antiqua"/>
        </w:rPr>
      </w:pPr>
      <w:r>
        <w:rPr>
          <w:rFonts w:ascii="Book Antiqua" w:eastAsia="Book Antiqua" w:hAnsi="Book Antiqua" w:cs="Book Antiqua"/>
          <w:b/>
          <w:bCs/>
          <w:caps/>
          <w:color w:val="000000"/>
          <w:u w:val="single"/>
        </w:rPr>
        <w:t>Bile acid metabolism</w:t>
      </w:r>
    </w:p>
    <w:p w14:paraId="62CE57E4" w14:textId="77777777" w:rsidR="00E4592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Bile acids are the end product of cholesterol metabolism. Bile acids are composed mainly of cholesterol, and unlike other steroid hormones, bile acids are amphiphilic molecules with a hydrophobic (beta side) and a hydrophilic (alpha side) surface. They have detergent properties due to their amphiphilic nature, which helps to solubilize lipids in micelles, facilitating emulsification and absorption of dietary fatty acids and cholesterol</w:t>
      </w:r>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Mammals have two main types of bile acids: </w:t>
      </w:r>
      <w:bookmarkStart w:id="53" w:name="OLE_LINK7017"/>
      <w:bookmarkStart w:id="54" w:name="OLE_LINK7019"/>
      <w:bookmarkStart w:id="55" w:name="OLE_LINK7018"/>
      <w:r>
        <w:rPr>
          <w:rFonts w:ascii="Book Antiqua" w:eastAsia="Book Antiqua" w:hAnsi="Book Antiqua" w:cs="Book Antiqua"/>
          <w:color w:val="000000"/>
        </w:rPr>
        <w:t>Primary bile acids (</w:t>
      </w:r>
      <w:bookmarkStart w:id="56" w:name="OLE_LINK7016"/>
      <w:bookmarkStart w:id="57" w:name="OLE_LINK7015"/>
      <w:r>
        <w:rPr>
          <w:rFonts w:ascii="Book Antiqua" w:eastAsia="Book Antiqua" w:hAnsi="Book Antiqua" w:cs="Book Antiqua"/>
          <w:color w:val="000000"/>
        </w:rPr>
        <w:t>PBA</w:t>
      </w:r>
      <w:bookmarkEnd w:id="56"/>
      <w:bookmarkEnd w:id="57"/>
      <w:r>
        <w:rPr>
          <w:rFonts w:ascii="Book Antiqua" w:eastAsia="Book Antiqua" w:hAnsi="Book Antiqua" w:cs="Book Antiqua"/>
          <w:color w:val="000000"/>
        </w:rPr>
        <w:t xml:space="preserve">s) </w:t>
      </w:r>
      <w:r>
        <w:rPr>
          <w:rFonts w:ascii="Book Antiqua" w:eastAsia="Book Antiqua" w:hAnsi="Book Antiqua" w:cs="Book Antiqua"/>
          <w:color w:val="000000"/>
        </w:rPr>
        <w:lastRenderedPageBreak/>
        <w:t>and secondary bile acids (SBAs)</w:t>
      </w:r>
      <w:bookmarkEnd w:id="53"/>
      <w:bookmarkEnd w:id="54"/>
      <w:bookmarkEnd w:id="55"/>
      <w:r>
        <w:rPr>
          <w:rFonts w:ascii="Book Antiqua" w:eastAsia="Book Antiqua" w:hAnsi="Book Antiqua" w:cs="Book Antiqua"/>
          <w:color w:val="000000"/>
        </w:rPr>
        <w:t>. PBAs are formed by cholesterol catabolism in hepatocytes, whereas SBAs are derivatives of PBAs and are generated by the gut microbiome. The bile acid pool is maintained in balance by their hepatic synthesis, enterohepatic circulation, and microbial metabolism</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(Figure 1).</w:t>
      </w:r>
    </w:p>
    <w:p w14:paraId="210EAF41" w14:textId="77777777" w:rsidR="00E45927" w:rsidRDefault="00E45927">
      <w:pPr>
        <w:spacing w:line="360" w:lineRule="auto"/>
        <w:jc w:val="both"/>
        <w:rPr>
          <w:rFonts w:ascii="Book Antiqua" w:hAnsi="Book Antiqua"/>
        </w:rPr>
      </w:pPr>
    </w:p>
    <w:p w14:paraId="4B6619E5" w14:textId="77777777" w:rsidR="00E45927" w:rsidRDefault="00000000">
      <w:pPr>
        <w:spacing w:line="360" w:lineRule="auto"/>
        <w:jc w:val="both"/>
        <w:rPr>
          <w:rFonts w:ascii="Book Antiqua" w:hAnsi="Book Antiqua"/>
          <w:i/>
          <w:iCs/>
        </w:rPr>
      </w:pPr>
      <w:r>
        <w:rPr>
          <w:rFonts w:ascii="Book Antiqua" w:eastAsia="Book Antiqua" w:hAnsi="Book Antiqua" w:cs="Book Antiqua"/>
          <w:b/>
          <w:bCs/>
          <w:i/>
          <w:iCs/>
          <w:color w:val="000000"/>
        </w:rPr>
        <w:t>Bile acid metabolism in the liver</w:t>
      </w:r>
    </w:p>
    <w:p w14:paraId="26FC3265" w14:textId="77777777" w:rsidR="00E4592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the liver, cholesterol is generated in the central hepatocyte in several steps to produce PBAs of 24 carbons. In humans, </w:t>
      </w:r>
      <w:bookmarkStart w:id="58" w:name="OLE_LINK6796"/>
      <w:bookmarkStart w:id="59" w:name="OLE_LINK6797"/>
      <w:bookmarkStart w:id="60" w:name="OLE_LINK6798"/>
      <w:bookmarkStart w:id="61" w:name="OLE_LINK6799"/>
      <w:bookmarkStart w:id="62" w:name="OLE_LINK6800"/>
      <w:r>
        <w:rPr>
          <w:rFonts w:ascii="Book Antiqua" w:eastAsia="Book Antiqua" w:hAnsi="Book Antiqua" w:cs="Book Antiqua"/>
          <w:color w:val="000000"/>
        </w:rPr>
        <w:t>cholic acid</w:t>
      </w:r>
      <w:bookmarkEnd w:id="58"/>
      <w:bookmarkEnd w:id="59"/>
      <w:bookmarkEnd w:id="60"/>
      <w:bookmarkEnd w:id="61"/>
      <w:bookmarkEnd w:id="62"/>
      <w:r>
        <w:rPr>
          <w:rFonts w:ascii="Book Antiqua" w:eastAsia="Book Antiqua" w:hAnsi="Book Antiqua" w:cs="Book Antiqua"/>
          <w:color w:val="000000"/>
        </w:rPr>
        <w:t xml:space="preserve"> (CA) and chenodeoxycholic acid (CDCA) are the most prevalent PBAs, while rats create the 6-hydroxylated versions of CA and CDCA, named </w:t>
      </w:r>
      <w:bookmarkStart w:id="63" w:name="OLE_LINK7172"/>
      <w:bookmarkStart w:id="64" w:name="OLE_LINK7174"/>
      <w:bookmarkStart w:id="65" w:name="OLE_LINK7173"/>
      <w:r>
        <w:rPr>
          <w:rFonts w:ascii="Book Antiqua" w:eastAsia="Book Antiqua" w:hAnsi="Book Antiqua" w:cs="Book Antiqua"/>
          <w:color w:val="000000"/>
        </w:rPr>
        <w:t>muricholic acid</w:t>
      </w:r>
      <w:bookmarkEnd w:id="63"/>
      <w:bookmarkEnd w:id="64"/>
      <w:bookmarkEnd w:id="65"/>
      <w:r>
        <w:rPr>
          <w:rFonts w:ascii="Book Antiqua" w:eastAsia="Book Antiqua" w:hAnsi="Book Antiqua" w:cs="Book Antiqua"/>
          <w:color w:val="000000"/>
        </w:rPr>
        <w:t xml:space="preserve"> (MCA)</w:t>
      </w:r>
      <w:r>
        <w:rPr>
          <w:rFonts w:ascii="Book Antiqua" w:eastAsia="Book Antiqua" w:hAnsi="Book Antiqua" w:cs="Book Antiqua"/>
          <w:color w:val="000000"/>
          <w:vertAlign w:val="superscript"/>
        </w:rPr>
        <w:t>[17]</w:t>
      </w:r>
      <w:r>
        <w:rPr>
          <w:rFonts w:ascii="Book Antiqua" w:eastAsia="Book Antiqua" w:hAnsi="Book Antiqua" w:cs="Book Antiqua"/>
          <w:color w:val="000000"/>
        </w:rPr>
        <w:t>. The conventional or alternative/acidic pathways are both possible for this process to take place in the human liver. The first limiting step in the conventional route is the 7-hydroxylation of cholesterol catalysed by cholesterol-7-hydroxylase (CYP7A1), which irreversibly transforms cholesterol to 7-hydroxycholesterol. This intermediate is then converted to 7α-hydroxy-4-cholesten-3-one by 3β-hydroxy-∆5-C27-steroid oxidoreductase, which can be used for generating both CA and CDCA in the classic pathway.</w:t>
      </w:r>
      <w:r>
        <w:rPr>
          <w:rFonts w:ascii="Book Antiqua" w:eastAsia="Book Antiqua" w:hAnsi="Book Antiqua" w:cs="Book Antiqua" w:hint="eastAsia"/>
          <w:color w:val="000000"/>
        </w:rPr>
        <w:t xml:space="preserve"> </w:t>
      </w:r>
      <w:r>
        <w:rPr>
          <w:rFonts w:ascii="Book Antiqua" w:eastAsia="Book Antiqua" w:hAnsi="Book Antiqua" w:cs="Book Antiqua"/>
          <w:color w:val="000000"/>
        </w:rPr>
        <w:t>In contrast, the alternative/acidic pathway begins with the conversion of cholesterol by sterol 27-hydroxylase (CYP27A1) to 27-hydroxycholesterol, followed by B-ring hydroxylation and metabolic side chain modification by oxysterol 7-hydroxylase (CYP7B) to create CDCA. The alternate pathway generates solely CDCA, which accounts for 10% of the liver's total bile acids</w:t>
      </w:r>
      <w:r>
        <w:rPr>
          <w:rFonts w:ascii="Book Antiqua" w:eastAsia="Book Antiqua" w:hAnsi="Book Antiqua" w:cs="Book Antiqua"/>
          <w:color w:val="000000"/>
          <w:vertAlign w:val="superscript"/>
        </w:rPr>
        <w:t>[18-20]</w:t>
      </w:r>
      <w:r>
        <w:rPr>
          <w:rFonts w:ascii="Book Antiqua" w:eastAsia="Book Antiqua" w:hAnsi="Book Antiqua" w:cs="Book Antiqua"/>
          <w:color w:val="000000"/>
        </w:rPr>
        <w:t>. Subsequently, PBAs are converted to tauro-CA (TCA) and tauro-CDCA (TCDCA) and glyco-CA (GCA) and glyco-CDCA (GCDCA), respectively, by the actions of BA-CoA synthase and BA-CoA amino acid N-acetyltransferase. Conjugation turns bile acids into stronger acids and increases their aqueous solubility at acidic pH and the retention of their amphiphilic structure. This limits their passive reabsorption and is essential for their lipid emulsification activity in the acidic environment of the duodenum</w:t>
      </w:r>
      <w:r>
        <w:rPr>
          <w:rFonts w:ascii="Book Antiqua" w:eastAsia="Book Antiqua" w:hAnsi="Book Antiqua" w:cs="Book Antiqua"/>
          <w:color w:val="000000"/>
          <w:vertAlign w:val="superscript"/>
        </w:rPr>
        <w:t>[21,22]</w:t>
      </w:r>
      <w:r>
        <w:rPr>
          <w:rFonts w:ascii="Book Antiqua" w:eastAsia="Book Antiqua" w:hAnsi="Book Antiqua" w:cs="Book Antiqua"/>
          <w:color w:val="000000"/>
        </w:rPr>
        <w:t>. Notably, conjugation with glycine is common in the human liver, accounting for 90% of the bile acid pool. However, approximately 95% of PBAs in mice are taurine-conjugated</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Conjugated bile acids will be stored in the gallbladder, forming bile with phospholipids, </w:t>
      </w:r>
      <w:r>
        <w:rPr>
          <w:rFonts w:ascii="Book Antiqua" w:eastAsia="Book Antiqua" w:hAnsi="Book Antiqua" w:cs="Book Antiqua"/>
          <w:color w:val="000000"/>
        </w:rPr>
        <w:lastRenderedPageBreak/>
        <w:t>cholesterol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other components. Finally, the gallbladder releases bile acids into the duodenum after each meal</w:t>
      </w:r>
      <w:r>
        <w:rPr>
          <w:rFonts w:ascii="Book Antiqua" w:eastAsia="Book Antiqua" w:hAnsi="Book Antiqua" w:cs="Book Antiqua"/>
          <w:color w:val="000000"/>
          <w:vertAlign w:val="superscript"/>
        </w:rPr>
        <w:t>[24]</w:t>
      </w:r>
      <w:r>
        <w:rPr>
          <w:rFonts w:ascii="Book Antiqua" w:eastAsia="Book Antiqua" w:hAnsi="Book Antiqua" w:cs="Book Antiqua"/>
          <w:color w:val="000000"/>
        </w:rPr>
        <w:t>.</w:t>
      </w:r>
    </w:p>
    <w:p w14:paraId="34261C1E" w14:textId="77777777" w:rsidR="00E45927" w:rsidRDefault="00E45927">
      <w:pPr>
        <w:spacing w:line="360" w:lineRule="auto"/>
        <w:jc w:val="both"/>
        <w:rPr>
          <w:rFonts w:ascii="Book Antiqua" w:eastAsia="Book Antiqua" w:hAnsi="Book Antiqua" w:cs="Book Antiqua"/>
          <w:color w:val="000000"/>
        </w:rPr>
      </w:pPr>
    </w:p>
    <w:p w14:paraId="3511730E" w14:textId="77777777" w:rsidR="00E45927" w:rsidRDefault="00000000">
      <w:pPr>
        <w:spacing w:line="360" w:lineRule="auto"/>
        <w:jc w:val="both"/>
        <w:rPr>
          <w:rFonts w:ascii="Book Antiqua" w:hAnsi="Book Antiqua"/>
          <w:i/>
          <w:iCs/>
        </w:rPr>
      </w:pPr>
      <w:r>
        <w:rPr>
          <w:rFonts w:ascii="Book Antiqua" w:eastAsia="Book Antiqua" w:hAnsi="Book Antiqua" w:cs="Book Antiqua"/>
          <w:b/>
          <w:bCs/>
          <w:i/>
          <w:iCs/>
          <w:color w:val="000000"/>
        </w:rPr>
        <w:t>Bile acid metabolism in the intestine</w:t>
      </w:r>
    </w:p>
    <w:p w14:paraId="7977B6DA" w14:textId="77777777" w:rsidR="00E4592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Upon release into the small intestine, bile acids form micelles with cholesterol and dietary fats to facilitate their dissolution and absorption</w:t>
      </w:r>
      <w:r>
        <w:rPr>
          <w:rFonts w:ascii="Book Antiqua" w:eastAsia="Book Antiqua" w:hAnsi="Book Antiqua" w:cs="Book Antiqua"/>
          <w:color w:val="000000"/>
          <w:vertAlign w:val="superscript"/>
        </w:rPr>
        <w:t>[25,26]</w:t>
      </w:r>
      <w:r>
        <w:rPr>
          <w:rFonts w:ascii="Book Antiqua" w:eastAsia="Book Antiqua" w:hAnsi="Book Antiqua" w:cs="Book Antiqua"/>
          <w:color w:val="000000"/>
        </w:rPr>
        <w:t>.</w:t>
      </w:r>
      <w:r>
        <w:rPr>
          <w:rFonts w:ascii="Book Antiqua" w:eastAsia="Book Antiqua" w:hAnsi="Book Antiqua" w:cs="Book Antiqua" w:hint="eastAsia"/>
          <w:color w:val="000000"/>
        </w:rPr>
        <w:t xml:space="preserve"> </w:t>
      </w:r>
      <w:r>
        <w:rPr>
          <w:rFonts w:ascii="Book Antiqua" w:eastAsia="Book Antiqua" w:hAnsi="Book Antiqua" w:cs="Book Antiqua"/>
          <w:color w:val="000000"/>
        </w:rPr>
        <w:t xml:space="preserve">However, conjugated bile acids are not absorbed and are instead retained in the small intestine. At the end of the ileum, approximately 95% of the conjugated bile acids are reabsorbed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apical sodium-dependent bile acid transporter (ASBT) and enter the liver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portal vein</w:t>
      </w:r>
      <w:r>
        <w:rPr>
          <w:rFonts w:ascii="Book Antiqua" w:eastAsia="Book Antiqua" w:hAnsi="Book Antiqua" w:cs="Book Antiqua"/>
          <w:color w:val="000000"/>
          <w:vertAlign w:val="superscript"/>
        </w:rPr>
        <w:t>[27]</w:t>
      </w:r>
      <w:r>
        <w:rPr>
          <w:rFonts w:ascii="Book Antiqua" w:eastAsia="Book Antiqua" w:hAnsi="Book Antiqua" w:cs="Book Antiqua"/>
          <w:color w:val="000000"/>
        </w:rPr>
        <w:t>. It is estimated that humans complete the enterohepatic circulation of bile acids between six and eight times a day, depending on their dietary habits. The bile acid pool in healthy persons remains between 4 and 6 g. In contrast, changes in the intestinal epithelium of individuals with IBD decrease the reabsorption of bile acids by ASBT and increase the number of bile acids discharged in the feces</w:t>
      </w:r>
      <w:r>
        <w:rPr>
          <w:rFonts w:ascii="Book Antiqua" w:eastAsia="Book Antiqua" w:hAnsi="Book Antiqua" w:cs="Book Antiqua"/>
          <w:color w:val="000000"/>
          <w:vertAlign w:val="superscript"/>
        </w:rPr>
        <w:t>[28]</w:t>
      </w:r>
      <w:r>
        <w:rPr>
          <w:rFonts w:ascii="Book Antiqua" w:eastAsia="Book Antiqua" w:hAnsi="Book Antiqua" w:cs="Book Antiqua"/>
          <w:color w:val="000000"/>
        </w:rPr>
        <w:t>. It</w:t>
      </w:r>
      <w:r>
        <w:rPr>
          <w:rFonts w:ascii="Book Antiqua" w:eastAsia="宋体" w:hAnsi="Book Antiqua" w:cs="Book Antiqua" w:hint="eastAsia"/>
          <w:color w:val="000000"/>
          <w:lang w:eastAsia="zh-CN"/>
        </w:rPr>
        <w:t xml:space="preserve"> is</w:t>
      </w:r>
      <w:r>
        <w:rPr>
          <w:rFonts w:ascii="Book Antiqua" w:eastAsia="Book Antiqua" w:hAnsi="Book Antiqua" w:cs="Book Antiqua"/>
          <w:color w:val="000000"/>
        </w:rPr>
        <w:t xml:space="preserve"> important to note that the bile acid pool that is returned from the ileum to the liver directly suppresses the production of new bile acids in hepatocytes through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FXR, FXR-dependent transactivation of the small isomeric partner (SHP), and SHP-mediated suppression of CYP7A1 and </w:t>
      </w:r>
      <w:bookmarkStart w:id="66" w:name="OLE_LINK6997"/>
      <w:bookmarkStart w:id="67" w:name="OLE_LINK6996"/>
      <w:r>
        <w:rPr>
          <w:rFonts w:ascii="Book Antiqua" w:eastAsia="Book Antiqua" w:hAnsi="Book Antiqua" w:cs="Book Antiqua"/>
          <w:color w:val="000000"/>
        </w:rPr>
        <w:t>CYP8</w:t>
      </w:r>
      <w:bookmarkEnd w:id="66"/>
      <w:bookmarkEnd w:id="67"/>
      <w:r>
        <w:rPr>
          <w:rFonts w:ascii="Book Antiqua" w:eastAsia="Book Antiqua" w:hAnsi="Book Antiqua" w:cs="Book Antiqua"/>
          <w:color w:val="000000"/>
        </w:rPr>
        <w:t>B1 expression</w:t>
      </w:r>
      <w:r>
        <w:rPr>
          <w:rFonts w:ascii="Book Antiqua" w:eastAsia="Book Antiqua" w:hAnsi="Book Antiqua" w:cs="Book Antiqua"/>
          <w:color w:val="000000"/>
          <w:vertAlign w:val="superscript"/>
        </w:rPr>
        <w:t>[17,29,30]</w:t>
      </w:r>
      <w:r>
        <w:rPr>
          <w:rFonts w:ascii="Book Antiqua" w:eastAsia="Book Antiqua" w:hAnsi="Book Antiqua" w:cs="Book Antiqua"/>
          <w:color w:val="000000"/>
        </w:rPr>
        <w:t>. In addition, bile acid-activated FXR drives fibroblast growth factor (FGF-15/19</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FGF-15 in mice</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FGF-19 in humans) expression in intestinal epithelial cells (IECs). Subsequently, FGF-15/19 is secreted into the portal circulation, translocated to the liver, binds to heterodimeric receptors on hepatocytes, and reduces hepatic bile acid synthesis by inhibiting CYP7A1 expression</w:t>
      </w:r>
      <w:r>
        <w:rPr>
          <w:rFonts w:ascii="Book Antiqua" w:eastAsia="Book Antiqua" w:hAnsi="Book Antiqua" w:cs="Book Antiqua"/>
          <w:color w:val="000000"/>
          <w:vertAlign w:val="superscript"/>
        </w:rPr>
        <w:t>[26,31]</w:t>
      </w:r>
      <w:r>
        <w:rPr>
          <w:rFonts w:ascii="Book Antiqua" w:eastAsia="Book Antiqua" w:hAnsi="Book Antiqua" w:cs="Book Antiqua"/>
          <w:color w:val="000000"/>
        </w:rPr>
        <w:t>.</w:t>
      </w:r>
    </w:p>
    <w:p w14:paraId="00AEB013" w14:textId="77777777" w:rsidR="00E4592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The intestinal microbiota can be directly involved in the biotransformation of bile acids through microbial enzymes. The five known mechanisms of bile acid metabolism by the intestinal microbiota are dehydroxylation, dehydration, exo-embedding of the cholesterol backbone, depolymerization of amino acids (glycine or taurine), and amide conjugation of the bile acid backbone with the amino acids phenylalanine, tyrosine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leucine. Many potential mechanisms still exist to be discovered and explored</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Approximately 5% of bile acids are retained in the intestinal lumen for further </w:t>
      </w:r>
      <w:r>
        <w:rPr>
          <w:rFonts w:ascii="Book Antiqua" w:eastAsia="Book Antiqua" w:hAnsi="Book Antiqua" w:cs="Book Antiqua"/>
          <w:color w:val="000000"/>
        </w:rPr>
        <w:lastRenderedPageBreak/>
        <w:t xml:space="preserve">metabolism by the intestinal microbiota to generate SBAs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aforementioned processes</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In particular, the depolymerization reaction of bile acid metabolism is first carried out by the gut bacteria (enzymatic hydrolysis of the C-24N-acylamide bond). Bile salt hydrolases (BSHs), which are extensively found in both Gram-positive and Gram-negative bacteria in the gut, including </w:t>
      </w:r>
      <w:r>
        <w:rPr>
          <w:rFonts w:ascii="Book Antiqua" w:eastAsia="Book Antiqua" w:hAnsi="Book Antiqua" w:cs="Book Antiqua"/>
          <w:i/>
          <w:iCs/>
          <w:color w:val="000000"/>
        </w:rPr>
        <w:t>Clostridium</w:t>
      </w:r>
      <w:r>
        <w:rPr>
          <w:rFonts w:ascii="Book Antiqua" w:eastAsia="Book Antiqua" w:hAnsi="Book Antiqua" w:cs="Book Antiqua"/>
          <w:color w:val="000000"/>
        </w:rPr>
        <w:t xml:space="preserve">, </w:t>
      </w:r>
      <w:bookmarkStart w:id="68" w:name="OLE_LINK7180"/>
      <w:bookmarkStart w:id="69" w:name="OLE_LINK7179"/>
      <w:r>
        <w:rPr>
          <w:rFonts w:ascii="Book Antiqua" w:eastAsia="Book Antiqua" w:hAnsi="Book Antiqua" w:cs="Book Antiqua"/>
          <w:i/>
          <w:iCs/>
          <w:color w:val="000000"/>
        </w:rPr>
        <w:t>Bifidobacterium</w:t>
      </w:r>
      <w:bookmarkEnd w:id="68"/>
      <w:bookmarkEnd w:id="69"/>
      <w:r>
        <w:rPr>
          <w:rFonts w:ascii="Book Antiqua" w:eastAsia="Book Antiqua" w:hAnsi="Book Antiqua" w:cs="Book Antiqua"/>
          <w:color w:val="000000"/>
        </w:rPr>
        <w:t xml:space="preserve">, </w:t>
      </w:r>
      <w:bookmarkStart w:id="70" w:name="OLE_LINK7182"/>
      <w:bookmarkStart w:id="71" w:name="OLE_LINK7181"/>
      <w:r>
        <w:rPr>
          <w:rFonts w:ascii="Book Antiqua" w:eastAsia="Book Antiqua" w:hAnsi="Book Antiqua" w:cs="Book Antiqua"/>
          <w:i/>
          <w:iCs/>
          <w:color w:val="000000"/>
        </w:rPr>
        <w:t>Lactobacillus</w:t>
      </w:r>
      <w:bookmarkEnd w:id="70"/>
      <w:bookmarkEnd w:id="71"/>
      <w:r>
        <w:rPr>
          <w:rFonts w:ascii="Book Antiqua" w:eastAsia="Book Antiqua" w:hAnsi="Book Antiqua" w:cs="Book Antiqua"/>
          <w:color w:val="000000"/>
        </w:rPr>
        <w:t xml:space="preserve">, </w:t>
      </w:r>
      <w:bookmarkStart w:id="72" w:name="OLE_LINK7184"/>
      <w:bookmarkStart w:id="73" w:name="OLE_LINK7183"/>
      <w:r>
        <w:rPr>
          <w:rFonts w:ascii="Book Antiqua" w:eastAsia="Book Antiqua" w:hAnsi="Book Antiqua" w:cs="Book Antiqua"/>
          <w:i/>
          <w:iCs/>
          <w:color w:val="000000"/>
        </w:rPr>
        <w:t>Bacteroides</w:t>
      </w:r>
      <w:bookmarkEnd w:id="72"/>
      <w:bookmarkEnd w:id="73"/>
      <w:r>
        <w:rPr>
          <w:rFonts w:ascii="Book Antiqua" w:eastAsia="Book Antiqua" w:hAnsi="Book Antiqua" w:cs="Book Antiqua"/>
          <w:color w:val="000000"/>
        </w:rPr>
        <w:t xml:space="preserve">, and </w:t>
      </w:r>
      <w:r>
        <w:rPr>
          <w:rFonts w:ascii="Book Antiqua" w:eastAsia="Book Antiqua" w:hAnsi="Book Antiqua" w:cs="Book Antiqua"/>
          <w:i/>
          <w:iCs/>
          <w:color w:val="000000"/>
        </w:rPr>
        <w:t>Enterococcus</w:t>
      </w:r>
      <w:r>
        <w:rPr>
          <w:rFonts w:ascii="Book Antiqua" w:eastAsia="Book Antiqua" w:hAnsi="Book Antiqua" w:cs="Book Antiqua"/>
          <w:color w:val="000000"/>
        </w:rPr>
        <w:t>, mediate this process</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It eliminates the glycine or taurine conjugates and stops the small intestine's active reabsorption. The depolymerized PBAs are then converted to SBAs in the colon by dehydroxylation at the carbon-7 position. Bacteria that express 7-dehydroxylases, such </w:t>
      </w:r>
      <w:r>
        <w:rPr>
          <w:rFonts w:ascii="Book Antiqua" w:eastAsia="宋体" w:hAnsi="Book Antiqua" w:cs="Book Antiqua" w:hint="eastAsia"/>
          <w:color w:val="000000"/>
          <w:lang w:eastAsia="zh-CN"/>
        </w:rPr>
        <w:t xml:space="preserve">as </w:t>
      </w:r>
      <w:r>
        <w:rPr>
          <w:rFonts w:ascii="Book Antiqua" w:eastAsia="Book Antiqua" w:hAnsi="Book Antiqua" w:cs="Book Antiqua"/>
          <w:i/>
          <w:iCs/>
          <w:color w:val="000000"/>
        </w:rPr>
        <w:t>Clostridiu</w:t>
      </w:r>
      <w:r>
        <w:rPr>
          <w:rFonts w:ascii="Book Antiqua" w:eastAsia="Book Antiqua" w:hAnsi="Book Antiqua" w:cs="Book Antiqua"/>
          <w:color w:val="000000"/>
        </w:rPr>
        <w:t xml:space="preserve">m and </w:t>
      </w:r>
      <w:r>
        <w:rPr>
          <w:rFonts w:ascii="Book Antiqua" w:eastAsia="Book Antiqua" w:hAnsi="Book Antiqua" w:cs="Book Antiqua"/>
          <w:i/>
          <w:iCs/>
          <w:color w:val="000000"/>
        </w:rPr>
        <w:t>Eubacterium</w:t>
      </w:r>
      <w:r>
        <w:rPr>
          <w:rFonts w:ascii="Book Antiqua" w:eastAsia="Book Antiqua" w:hAnsi="Book Antiqua" w:cs="Book Antiqua"/>
          <w:color w:val="000000"/>
        </w:rPr>
        <w:t>, play a major role in mediating this process. The two SBAs that are most frequently produced by these reactions are lithocholic acid (LCA from CDCA) and deoxycholic acid (DCA from CA). Additionally, a variety of oxo-, iso-</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epi-derivatives of bile acids can also arise in the colon as a result of different intestinal microbiota dehydrogenation and exo-embedding processes</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For example, </w:t>
      </w:r>
      <w:r>
        <w:rPr>
          <w:rFonts w:ascii="Book Antiqua" w:eastAsia="宋体" w:hAnsi="Book Antiqua" w:cs="Book Antiqua" w:hint="eastAsia"/>
          <w:color w:val="000000"/>
          <w:lang w:eastAsia="zh-CN"/>
        </w:rPr>
        <w:t xml:space="preserve">in </w:t>
      </w:r>
      <w:r>
        <w:rPr>
          <w:rFonts w:ascii="Book Antiqua" w:eastAsia="Book Antiqua" w:hAnsi="Book Antiqua" w:cs="Book Antiqua"/>
          <w:i/>
          <w:iCs/>
          <w:color w:val="000000"/>
        </w:rPr>
        <w:t>Escherichia</w:t>
      </w:r>
      <w:r>
        <w:rPr>
          <w:rFonts w:ascii="Book Antiqua" w:eastAsia="Book Antiqua" w:hAnsi="Book Antiqua" w:cs="Book Antiqua"/>
          <w:color w:val="000000"/>
        </w:rPr>
        <w:t xml:space="preserve">, </w:t>
      </w:r>
      <w:r>
        <w:rPr>
          <w:rFonts w:ascii="Book Antiqua" w:eastAsia="Book Antiqua" w:hAnsi="Book Antiqua" w:cs="Book Antiqua"/>
          <w:i/>
          <w:iCs/>
          <w:color w:val="000000"/>
        </w:rPr>
        <w:t>Clostridium</w:t>
      </w:r>
      <w:r>
        <w:rPr>
          <w:rFonts w:ascii="Book Antiqua" w:eastAsia="Book Antiqua" w:hAnsi="Book Antiqua" w:cs="Book Antiqua"/>
          <w:color w:val="000000"/>
        </w:rPr>
        <w:t xml:space="preserve">, </w:t>
      </w:r>
      <w:bookmarkStart w:id="74" w:name="OLE_LINK7185"/>
      <w:bookmarkStart w:id="75" w:name="OLE_LINK7186"/>
      <w:r>
        <w:rPr>
          <w:rFonts w:ascii="Book Antiqua" w:eastAsia="Book Antiqua" w:hAnsi="Book Antiqua" w:cs="Book Antiqua"/>
          <w:i/>
          <w:iCs/>
          <w:color w:val="000000"/>
        </w:rPr>
        <w:t>Bacteroides</w:t>
      </w:r>
      <w:bookmarkEnd w:id="74"/>
      <w:bookmarkEnd w:id="75"/>
      <w:r>
        <w:rPr>
          <w:rFonts w:ascii="Book Antiqua" w:eastAsia="Book Antiqua" w:hAnsi="Book Antiqua" w:cs="Book Antiqua"/>
          <w:color w:val="000000"/>
        </w:rPr>
        <w:t xml:space="preserve">, and </w:t>
      </w:r>
      <w:bookmarkStart w:id="76" w:name="OLE_LINK7187"/>
      <w:bookmarkStart w:id="77" w:name="OLE_LINK7188"/>
      <w:r>
        <w:rPr>
          <w:rFonts w:ascii="Book Antiqua" w:eastAsia="Book Antiqua" w:hAnsi="Book Antiqua" w:cs="Book Antiqua"/>
          <w:i/>
          <w:iCs/>
          <w:color w:val="000000"/>
        </w:rPr>
        <w:t>Eubacerium</w:t>
      </w:r>
      <w:bookmarkEnd w:id="76"/>
      <w:bookmarkEnd w:id="77"/>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C7β exochimerization of CDCA </w:t>
      </w:r>
      <w:r>
        <w:rPr>
          <w:rFonts w:ascii="Book Antiqua" w:eastAsia="宋体" w:hAnsi="Book Antiqua" w:cs="Book Antiqua" w:hint="eastAsia"/>
          <w:color w:val="000000"/>
          <w:lang w:eastAsia="zh-CN"/>
        </w:rPr>
        <w:t xml:space="preserve">can occur </w:t>
      </w:r>
      <w:r>
        <w:rPr>
          <w:rFonts w:ascii="Book Antiqua" w:eastAsia="Book Antiqua" w:hAnsi="Book Antiqua" w:cs="Book Antiqua"/>
          <w:color w:val="000000"/>
        </w:rPr>
        <w:t>to produce the 7β exochimer, 3α-,7β-dihydroxy-5β-cholic acid, also known as ursodeoxycholic acid (UDCA)</w:t>
      </w:r>
      <w:r>
        <w:rPr>
          <w:rFonts w:ascii="Book Antiqua" w:eastAsia="Book Antiqua" w:hAnsi="Book Antiqua" w:cs="Book Antiqua"/>
          <w:color w:val="000000"/>
          <w:vertAlign w:val="superscript"/>
        </w:rPr>
        <w:t>[36]</w:t>
      </w:r>
      <w:r>
        <w:rPr>
          <w:rFonts w:ascii="Book Antiqua" w:eastAsia="Book Antiqua" w:hAnsi="Book Antiqua" w:cs="Book Antiqua"/>
          <w:color w:val="000000"/>
        </w:rPr>
        <w:t>. The complete metabolic pathway for the conversion of PBAs (CA and CDCA) to the two major SBAs (DCA and LCA) has been identified</w:t>
      </w:r>
      <w:r>
        <w:rPr>
          <w:rFonts w:ascii="Book Antiqua" w:eastAsia="Book Antiqua" w:hAnsi="Book Antiqua" w:cs="Book Antiqua"/>
          <w:color w:val="000000"/>
          <w:vertAlign w:val="superscript"/>
        </w:rPr>
        <w:t>[37]</w:t>
      </w:r>
      <w:r>
        <w:rPr>
          <w:rFonts w:ascii="Book Antiqua" w:eastAsia="Book Antiqua" w:hAnsi="Book Antiqua" w:cs="Book Antiqua"/>
          <w:color w:val="000000"/>
        </w:rPr>
        <w:t>. It is still unclear how the gut microbiota converts PBAs into other bile acid derivatives. Moreover, it is not clear which exact bacterial species or strains are required for these processes. Furthermore, it is noteworthy that the gut microbiota can also regulate the hepatic enzymes CYP7A1 and CYP27A1, thus affecting the synthesis of bile acids in the liver</w:t>
      </w:r>
      <w:r>
        <w:rPr>
          <w:rFonts w:ascii="Book Antiqua" w:eastAsia="Book Antiqua" w:hAnsi="Book Antiqua" w:cs="Book Antiqua"/>
          <w:color w:val="000000"/>
          <w:vertAlign w:val="superscript"/>
        </w:rPr>
        <w:t>[38]</w:t>
      </w:r>
      <w:r>
        <w:rPr>
          <w:rFonts w:ascii="Book Antiqua" w:eastAsia="Book Antiqua" w:hAnsi="Book Antiqua" w:cs="Book Antiqua"/>
          <w:color w:val="000000"/>
        </w:rPr>
        <w:t>.</w:t>
      </w:r>
    </w:p>
    <w:p w14:paraId="48A58B83" w14:textId="77777777" w:rsidR="00E4592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intestines of IBD patients have been found to have dysbiosis of the intestinal bacterial flora and a considerable loss in microbial diversity. Most importantly, the abundance of bacteria containing BSH and bile acid-inducible enzymes (BAIs), such as </w:t>
      </w:r>
      <w:r>
        <w:rPr>
          <w:rFonts w:ascii="Book Antiqua" w:eastAsia="Book Antiqua" w:hAnsi="Book Antiqua" w:cs="Book Antiqua"/>
          <w:i/>
          <w:iCs/>
          <w:color w:val="000000"/>
        </w:rPr>
        <w:t>Firmicutes, Ruminococcaceae, Lachnospiraceae</w:t>
      </w:r>
      <w:r>
        <w:rPr>
          <w:rFonts w:ascii="Book Antiqua" w:eastAsia="Book Antiqua" w:hAnsi="Book Antiqua" w:cs="Book Antiqua"/>
          <w:color w:val="000000"/>
        </w:rPr>
        <w:t xml:space="preserve">, and </w:t>
      </w:r>
      <w:r>
        <w:rPr>
          <w:rFonts w:ascii="Book Antiqua" w:eastAsia="Book Antiqua" w:hAnsi="Book Antiqua" w:cs="Book Antiqua"/>
          <w:i/>
          <w:iCs/>
          <w:color w:val="000000"/>
        </w:rPr>
        <w:t>Eubacterium</w:t>
      </w:r>
      <w:r>
        <w:rPr>
          <w:rFonts w:ascii="Book Antiqua" w:eastAsia="Book Antiqua" w:hAnsi="Book Antiqua" w:cs="Book Antiqua"/>
          <w:color w:val="000000"/>
        </w:rPr>
        <w:t>, was decreased. This alteration reduces depolymerization and 7α-dehydroxylation, strongly decreasing the conversion capacity of the microbiota, resulting in a decrease in SBAs (DCA</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LCA) and an elevation in primary and conjugated bile acids (CA, CDCA, TCA,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GCA)</w:t>
      </w:r>
      <w:r>
        <w:rPr>
          <w:rFonts w:ascii="Book Antiqua" w:eastAsia="Book Antiqua" w:hAnsi="Book Antiqua" w:cs="Book Antiqua"/>
          <w:color w:val="000000"/>
          <w:vertAlign w:val="superscript"/>
        </w:rPr>
        <w:t>[39-41]</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Multiple risk factors (genetics, psychological factors, Western food, and antibiotics) may lead to intestinal flora dysbiosis and bile acid abnormalities, which are linked to the pathophysiology of IBD</w:t>
      </w:r>
      <w:r>
        <w:rPr>
          <w:rFonts w:ascii="Book Antiqua" w:eastAsia="Book Antiqua" w:hAnsi="Book Antiqua" w:cs="Book Antiqua"/>
          <w:color w:val="000000"/>
          <w:vertAlign w:val="superscript"/>
        </w:rPr>
        <w:t>[42]</w:t>
      </w:r>
      <w:r>
        <w:rPr>
          <w:rFonts w:ascii="Book Antiqua" w:eastAsia="Book Antiqua" w:hAnsi="Book Antiqua" w:cs="Book Antiqua"/>
          <w:color w:val="000000"/>
        </w:rPr>
        <w:t>. Notably, it has been reported that disturbances in bile acid metabolism will, in turn, exacerbate IBD damage, affect intestinal stem cell differentiation and renewal, and impair intestinal mucosal barrier function</w:t>
      </w:r>
      <w:r>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11E60CCA" w14:textId="77777777" w:rsidR="00E4592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Notably, the composition of the microbiota is directly or indirectly affected by bile acids in several studies. It has been shown that bile acids inhibit bacteria by increasing cell membrane permeability and causing cell damage, as well as causing oxidative DNA damage in bacteria. Alternatively, bile acids can indirectly influence bacterial growth through FXR and VDR</w:t>
      </w:r>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The overall number of bacteria in rats' feces </w:t>
      </w:r>
      <w:r>
        <w:rPr>
          <w:rFonts w:ascii="Book Antiqua" w:eastAsia="宋体" w:hAnsi="Book Antiqua" w:cs="Book Antiqua" w:hint="eastAsia"/>
          <w:color w:val="000000"/>
          <w:lang w:eastAsia="zh-CN"/>
        </w:rPr>
        <w:t>decreased</w:t>
      </w:r>
      <w:r>
        <w:rPr>
          <w:rFonts w:ascii="Book Antiqua" w:eastAsia="Book Antiqua" w:hAnsi="Book Antiqua" w:cs="Book Antiqua"/>
          <w:color w:val="000000"/>
        </w:rPr>
        <w:t xml:space="preserve"> with increased CA concentration in their meal, as determined by DAPI staining, sequencing of 16S rRNA gene clone libraries, and FISH analysis. The proportion of </w:t>
      </w:r>
      <w:r>
        <w:rPr>
          <w:rFonts w:ascii="Book Antiqua" w:eastAsia="Book Antiqua" w:hAnsi="Book Antiqua" w:cs="Book Antiqua"/>
          <w:i/>
          <w:iCs/>
          <w:color w:val="000000"/>
        </w:rPr>
        <w:t>Bacteroidetes</w:t>
      </w:r>
      <w:r>
        <w:rPr>
          <w:rFonts w:ascii="Book Antiqua" w:eastAsia="Book Antiqua" w:hAnsi="Book Antiqua" w:cs="Book Antiqua"/>
          <w:color w:val="000000"/>
        </w:rPr>
        <w:t xml:space="preserve"> and </w:t>
      </w:r>
      <w:r>
        <w:rPr>
          <w:rFonts w:ascii="Book Antiqua" w:eastAsia="Book Antiqua" w:hAnsi="Book Antiqua" w:cs="Book Antiqua"/>
          <w:i/>
          <w:iCs/>
          <w:color w:val="000000"/>
        </w:rPr>
        <w:t>Actinobacteria</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decreased</w:t>
      </w:r>
      <w:r>
        <w:rPr>
          <w:rFonts w:ascii="Book Antiqua" w:eastAsia="Book Antiqua" w:hAnsi="Book Antiqua" w:cs="Book Antiqua"/>
          <w:color w:val="000000"/>
        </w:rPr>
        <w:t xml:space="preserve"> dramatically in the CA-fed group, whereas the proportion of Firmicutes increased significantly</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Considered together, bile acids and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gut microbiota have a bidirectional effect on each other, and this balance is critical for human health and disease.</w:t>
      </w:r>
    </w:p>
    <w:p w14:paraId="41856B6A" w14:textId="77777777" w:rsidR="00E45927" w:rsidRDefault="00E45927">
      <w:pPr>
        <w:spacing w:line="360" w:lineRule="auto"/>
        <w:jc w:val="both"/>
        <w:rPr>
          <w:rFonts w:ascii="Book Antiqua" w:hAnsi="Book Antiqua"/>
        </w:rPr>
      </w:pPr>
    </w:p>
    <w:p w14:paraId="367686AB" w14:textId="77777777" w:rsidR="00E45927" w:rsidRDefault="00000000">
      <w:pPr>
        <w:spacing w:line="360" w:lineRule="auto"/>
        <w:jc w:val="both"/>
        <w:rPr>
          <w:rFonts w:ascii="Book Antiqua" w:hAnsi="Book Antiqua"/>
        </w:rPr>
      </w:pPr>
      <w:r>
        <w:rPr>
          <w:rFonts w:ascii="Book Antiqua" w:eastAsia="Book Antiqua" w:hAnsi="Book Antiqua" w:cs="Book Antiqua"/>
          <w:b/>
          <w:bCs/>
          <w:caps/>
          <w:color w:val="000000"/>
          <w:u w:val="single"/>
        </w:rPr>
        <w:t>impact of bile acids and their receptors in IBD</w:t>
      </w:r>
    </w:p>
    <w:p w14:paraId="7C191AB2" w14:textId="77777777" w:rsidR="00E45927" w:rsidRDefault="00000000">
      <w:pPr>
        <w:spacing w:line="360" w:lineRule="auto"/>
        <w:jc w:val="both"/>
        <w:rPr>
          <w:rFonts w:ascii="Book Antiqua" w:hAnsi="Book Antiqua"/>
          <w:i/>
          <w:iCs/>
        </w:rPr>
      </w:pPr>
      <w:bookmarkStart w:id="78" w:name="OLE_LINK6804"/>
      <w:bookmarkStart w:id="79" w:name="OLE_LINK6803"/>
      <w:r>
        <w:rPr>
          <w:rFonts w:ascii="Book Antiqua" w:eastAsia="Book Antiqua" w:hAnsi="Book Antiqua" w:cs="Book Antiqua"/>
          <w:b/>
          <w:bCs/>
          <w:i/>
          <w:iCs/>
          <w:color w:val="000000"/>
        </w:rPr>
        <w:t>FXR</w:t>
      </w:r>
    </w:p>
    <w:bookmarkEnd w:id="78"/>
    <w:bookmarkEnd w:id="79"/>
    <w:p w14:paraId="6A2210ED" w14:textId="77777777" w:rsidR="00E45927" w:rsidRDefault="00000000">
      <w:pPr>
        <w:spacing w:line="360" w:lineRule="auto"/>
        <w:jc w:val="both"/>
        <w:rPr>
          <w:rFonts w:ascii="Book Antiqua" w:hAnsi="Book Antiqua"/>
        </w:rPr>
      </w:pPr>
      <w:r>
        <w:rPr>
          <w:rFonts w:ascii="Book Antiqua" w:eastAsia="Book Antiqua" w:hAnsi="Book Antiqua" w:cs="Book Antiqua"/>
          <w:color w:val="000000"/>
        </w:rPr>
        <w:t xml:space="preserve">FXR is a nuclear receptor belonging to a subclass of metabolic receptors, first described by </w:t>
      </w:r>
      <w:bookmarkStart w:id="80" w:name="OLE_LINK6807"/>
      <w:bookmarkStart w:id="81" w:name="OLE_LINK6805"/>
      <w:bookmarkStart w:id="82" w:name="OLE_LINK6806"/>
      <w:bookmarkStart w:id="83" w:name="OLE_LINK6808"/>
      <w:bookmarkStart w:id="84" w:name="OLE_LINK6809"/>
      <w:r>
        <w:rPr>
          <w:rFonts w:ascii="Book Antiqua" w:eastAsia="Book Antiqua" w:hAnsi="Book Antiqua" w:cs="Book Antiqua"/>
          <w:color w:val="000000"/>
        </w:rPr>
        <w:t>Forman</w:t>
      </w:r>
      <w:bookmarkEnd w:id="80"/>
      <w:bookmarkEnd w:id="81"/>
      <w:bookmarkEnd w:id="82"/>
      <w:bookmarkEnd w:id="83"/>
      <w:bookmarkEnd w:id="84"/>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in 1995. FXR is predominantly found in intestinal epithelial cells, hepatocytes, and some immune cells (such as macrophages and dendritic cells) of the colon and liver</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Its main endogenous ligand is bile acids, in the order of FXR activation potency: CDCA &gt; DCA &gt; LCA &gt; CA. Numerous studies demonstrate that through modulating bile acid metabolism, FXR can improve the pathogenesis of IBD. The enzyme CYP8B1, which synthesises CA, was increased in the liver of mice with colitis. Chen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found that mucosal barrier repair was impaired in </w:t>
      </w:r>
      <w:bookmarkStart w:id="85" w:name="OLE_LINK6998"/>
      <w:bookmarkStart w:id="86" w:name="OLE_LINK6999"/>
      <w:r>
        <w:rPr>
          <w:rFonts w:ascii="Book Antiqua" w:eastAsia="Book Antiqua" w:hAnsi="Book Antiqua" w:cs="Book Antiqua"/>
          <w:color w:val="000000"/>
        </w:rPr>
        <w:t>CYP8</w:t>
      </w:r>
      <w:bookmarkEnd w:id="85"/>
      <w:bookmarkEnd w:id="86"/>
      <w:r>
        <w:rPr>
          <w:rFonts w:ascii="Book Antiqua" w:eastAsia="Book Antiqua" w:hAnsi="Book Antiqua" w:cs="Book Antiqua"/>
          <w:color w:val="000000"/>
        </w:rPr>
        <w:t xml:space="preserve">B1 overexpressing mice, which </w:t>
      </w:r>
      <w:r>
        <w:rPr>
          <w:rFonts w:ascii="Book Antiqua" w:eastAsia="宋体" w:hAnsi="Book Antiqua" w:cs="Book Antiqua" w:hint="eastAsia"/>
          <w:color w:val="000000"/>
          <w:lang w:eastAsia="zh-CN"/>
        </w:rPr>
        <w:t>resulted in</w:t>
      </w:r>
      <w:r>
        <w:rPr>
          <w:rFonts w:ascii="Book Antiqua" w:eastAsia="Book Antiqua" w:hAnsi="Book Antiqua" w:cs="Book Antiqua"/>
          <w:color w:val="000000"/>
        </w:rPr>
        <w:t xml:space="preserve"> more severe colitis. The specific mechanism was shown that CA leads to impaired fatty acid oxidation (FAO) and LGR5+ intestinal stem cell (ISC) renewal </w:t>
      </w:r>
      <w:r>
        <w:rPr>
          <w:rFonts w:ascii="Book Antiqua" w:eastAsia="Book Antiqua" w:hAnsi="Book Antiqua" w:cs="Book Antiqua"/>
          <w:color w:val="000000"/>
        </w:rPr>
        <w:lastRenderedPageBreak/>
        <w:t>through inhibition of peroxisome proliferator-activated receptor alpha (PPARα). Surprisingly, they found that activation of FXR inhibited hepatic CYP8B1 expression and ameliorated colitis in mice. FGF19-M52, an analog of FGF19, has been reported to inhibit bile acid synthesis, modulate bile acid pool composition, and inhibit intestinal inflammation in mice. The particular mechanisms underlying these processes are associated with maintaining intestinal epithelial barrier integrity, suppressing inflammatory immune responses, and controlling microbial composition. However, the FGF19-M52-induced anti-inflammatory effect was completely abolished in FXR-deficient animals</w:t>
      </w:r>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In addition, in UC mouse models, </w:t>
      </w:r>
      <w:bookmarkStart w:id="87" w:name="OLE_LINK7145"/>
      <w:bookmarkStart w:id="88" w:name="OLE_LINK7144"/>
      <w:bookmarkStart w:id="89" w:name="OLE_LINK7147"/>
      <w:bookmarkStart w:id="90" w:name="OLE_LINK7146"/>
      <w:r>
        <w:rPr>
          <w:rFonts w:ascii="Book Antiqua" w:eastAsia="Book Antiqua" w:hAnsi="Book Antiqua" w:cs="Book Antiqua"/>
          <w:color w:val="000000"/>
        </w:rPr>
        <w:t xml:space="preserve">dextran sodium sulfate </w:t>
      </w:r>
      <w:bookmarkEnd w:id="87"/>
      <w:bookmarkEnd w:id="88"/>
      <w:bookmarkEnd w:id="89"/>
      <w:bookmarkEnd w:id="90"/>
      <w:r>
        <w:rPr>
          <w:rFonts w:ascii="Book Antiqua" w:eastAsia="Book Antiqua" w:hAnsi="Book Antiqua" w:cs="Book Antiqua"/>
          <w:color w:val="000000"/>
        </w:rPr>
        <w:t>(DSS)-induced colitis activates the intestinal PPARα-UDP-glucuronosyltransferases (UGTs) axis, which inhibits downstream FXR-FGF15 signaling, resulting in up</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regulation of hepatic CYP7A1 and promotion of hepatic bile acids synthesis. Both inhibition of PPARα and stimulation of the FXR-FGF15 axis greatly decreased colitis </w:t>
      </w:r>
      <w:r>
        <w:rPr>
          <w:rFonts w:ascii="Book Antiqua" w:eastAsia="宋体" w:hAnsi="Book Antiqua" w:cs="Book Antiqua" w:hint="eastAsia"/>
          <w:color w:val="000000"/>
          <w:lang w:eastAsia="zh-CN"/>
        </w:rPr>
        <w:t>induced</w:t>
      </w:r>
      <w:r>
        <w:rPr>
          <w:rFonts w:ascii="Book Antiqua" w:eastAsia="Book Antiqua" w:hAnsi="Book Antiqua" w:cs="Book Antiqua"/>
          <w:color w:val="000000"/>
        </w:rPr>
        <w:t xml:space="preserve"> by DSS</w:t>
      </w:r>
      <w:r>
        <w:rPr>
          <w:rFonts w:ascii="Book Antiqua" w:eastAsia="Book Antiqua" w:hAnsi="Book Antiqua" w:cs="Book Antiqua"/>
          <w:color w:val="000000"/>
          <w:vertAlign w:val="superscript"/>
        </w:rPr>
        <w:t>[47]</w:t>
      </w:r>
      <w:r>
        <w:rPr>
          <w:rFonts w:ascii="Book Antiqua" w:eastAsia="Book Antiqua" w:hAnsi="Book Antiqua" w:cs="Book Antiqua"/>
          <w:color w:val="000000"/>
        </w:rPr>
        <w:t>. As a result, intestinal FXR-FGF15 signaling may play a key role in controlling bile acid homeostasis and colitis development.</w:t>
      </w:r>
    </w:p>
    <w:p w14:paraId="37F05473" w14:textId="77777777" w:rsidR="00E4592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Mammalian innate lymphocyte type 3 (ILC3) is important in IBD, especially in innate intestinal immunity and mucosal barrier function</w:t>
      </w:r>
      <w:r>
        <w:rPr>
          <w:rFonts w:ascii="Book Antiqua" w:eastAsia="Book Antiqua" w:hAnsi="Book Antiqua" w:cs="Book Antiqua"/>
          <w:color w:val="000000"/>
          <w:vertAlign w:val="superscript"/>
        </w:rPr>
        <w:t>[48]</w:t>
      </w:r>
      <w:r>
        <w:rPr>
          <w:rFonts w:ascii="Book Antiqua" w:eastAsia="Book Antiqua" w:hAnsi="Book Antiqua" w:cs="Book Antiqua"/>
          <w:color w:val="000000"/>
        </w:rPr>
        <w:t>. Activation of FXR has been reported to block the production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IL-17A and IL-17F in ILC3, thereby eliminating ILC3-dependent intestinal inflammation and attenuating IBD injury. Interestingly, they also found that activation of FXR reduced characteristic transcription factors (including Batf3</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Tcf7)</w:t>
      </w:r>
      <w:r>
        <w:rPr>
          <w:rFonts w:ascii="Book Antiqua" w:eastAsia="Book Antiqua" w:hAnsi="Book Antiqua" w:cs="Book Antiqua"/>
          <w:color w:val="000000"/>
          <w:vertAlign w:val="superscript"/>
        </w:rPr>
        <w:t>[49]</w:t>
      </w:r>
      <w:r>
        <w:rPr>
          <w:rFonts w:ascii="Book Antiqua" w:eastAsia="Book Antiqua" w:hAnsi="Book Antiqua" w:cs="Book Antiqua"/>
          <w:color w:val="000000"/>
        </w:rPr>
        <w:t>. Transforming growth factor-beta (TGF-β) belongs to a family of multifunctional polypeptides produced by non-lymphoid cells and various lymphocytes. Previous studies have shown that TGF-β is essential for regulating immune cells and that TGF-β production is also associated with the pathogenesis of colitis. This implies that the pathological changes in UC may be caused by disorders of the TGF-β pathway</w:t>
      </w:r>
      <w:r>
        <w:rPr>
          <w:rFonts w:ascii="Book Antiqua" w:eastAsia="Book Antiqua" w:hAnsi="Book Antiqua" w:cs="Book Antiqua"/>
          <w:color w:val="000000"/>
          <w:vertAlign w:val="superscript"/>
        </w:rPr>
        <w:t>[50]</w:t>
      </w:r>
      <w:r>
        <w:rPr>
          <w:rFonts w:ascii="Book Antiqua" w:eastAsia="Book Antiqua" w:hAnsi="Book Antiqua" w:cs="Book Antiqua"/>
          <w:color w:val="000000"/>
        </w:rPr>
        <w:t>. A recent study revealed that a high-fat diet accelerated the course of DSS-induced UC and led to the down</w:t>
      </w:r>
      <w:r>
        <w:rPr>
          <w:rFonts w:ascii="Book Antiqua" w:eastAsia="宋体" w:hAnsi="Book Antiqua" w:cs="Book Antiqua" w:hint="eastAsia"/>
          <w:color w:val="000000"/>
          <w:lang w:eastAsia="zh-CN"/>
        </w:rPr>
        <w:t>-</w:t>
      </w:r>
      <w:r>
        <w:rPr>
          <w:rFonts w:ascii="Book Antiqua" w:eastAsia="Book Antiqua" w:hAnsi="Book Antiqua" w:cs="Book Antiqua"/>
          <w:color w:val="000000"/>
        </w:rPr>
        <w:t>regulation of FXR target genes (</w:t>
      </w:r>
      <w:r>
        <w:rPr>
          <w:rFonts w:ascii="Book Antiqua" w:eastAsia="Book Antiqua" w:hAnsi="Book Antiqua" w:cs="Book Antiqua"/>
          <w:i/>
          <w:iCs/>
          <w:color w:val="000000"/>
        </w:rPr>
        <w:t>FXR, Shp</w:t>
      </w:r>
      <w:r>
        <w:rPr>
          <w:rFonts w:ascii="Book Antiqua" w:eastAsia="Book Antiqua" w:hAnsi="Book Antiqua" w:cs="Book Antiqua"/>
          <w:color w:val="000000"/>
        </w:rPr>
        <w:t xml:space="preserve">, and </w:t>
      </w:r>
      <w:r>
        <w:rPr>
          <w:rFonts w:ascii="Book Antiqua" w:eastAsia="宋体" w:hAnsi="Book Antiqua" w:cs="Book Antiqua" w:hint="eastAsia"/>
          <w:i/>
          <w:iCs/>
          <w:color w:val="000000"/>
          <w:lang w:eastAsia="zh-CN"/>
        </w:rPr>
        <w:t>I</w:t>
      </w:r>
      <w:r>
        <w:rPr>
          <w:rFonts w:ascii="Book Antiqua" w:eastAsia="Book Antiqua" w:hAnsi="Book Antiqua" w:cs="Book Antiqua"/>
          <w:i/>
          <w:iCs/>
          <w:color w:val="000000"/>
        </w:rPr>
        <w:t>babp</w:t>
      </w:r>
      <w:r>
        <w:rPr>
          <w:rFonts w:ascii="Book Antiqua" w:eastAsia="Book Antiqua" w:hAnsi="Book Antiqua" w:cs="Book Antiqua"/>
          <w:color w:val="000000"/>
        </w:rPr>
        <w:t>). The addition of the FXR agonist FexD repaired the high-fat diet-induced phenotype, whereas the TGF-β inhibitor SB431542 prevented FexD's restorative activity in DSS-induced UC mice</w:t>
      </w:r>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This </w:t>
      </w:r>
      <w:r>
        <w:rPr>
          <w:rFonts w:ascii="Book Antiqua" w:eastAsia="Book Antiqua" w:hAnsi="Book Antiqua" w:cs="Book Antiqua"/>
          <w:color w:val="000000"/>
        </w:rPr>
        <w:lastRenderedPageBreak/>
        <w:t>study showed that FXR alleviates inflammation in UC through a TGF-β-dependent pathway. In conclusion, these findings suggest that FXR can improve IBD by modulating intestinal immunity.</w:t>
      </w:r>
    </w:p>
    <w:p w14:paraId="19E49F63" w14:textId="77777777" w:rsidR="00E4592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Western diets have high levels of fecal DCA, a substance that can cause inflammation in the intestines. The researchers discovered that mice fed a DCA-supplemented diet showed localised ileal and colonic inflammation, as well as changes in gut microbiota composition and faecal bile acid buildup. Dysregulation of gut microbiota homeostasis induced by DCA reduced bile acid depolymerization. This regulation was associated with the repressed expression of target genes in the FXR-FGF15 axis, leading to increased hepatic </w:t>
      </w:r>
      <w:r>
        <w:rPr>
          <w:rFonts w:ascii="Book Antiqua" w:eastAsia="宋体" w:hAnsi="Book Antiqua" w:cs="Book Antiqua" w:hint="eastAsia"/>
          <w:i/>
          <w:iCs/>
          <w:color w:val="000000"/>
          <w:lang w:eastAsia="zh-CN"/>
        </w:rPr>
        <w:t>de novo</w:t>
      </w:r>
      <w:r>
        <w:rPr>
          <w:rFonts w:ascii="Book Antiqua" w:eastAsia="Book Antiqua" w:hAnsi="Book Antiqua" w:cs="Book Antiqua"/>
          <w:color w:val="000000"/>
        </w:rPr>
        <w:t xml:space="preserve"> bile acid synthesis. These results suggest that DCA-induced intestinal dysbiosis may be a key etiology of intestinal inflammation associated with disturbed bile acid metabolism and down</w:t>
      </w:r>
      <w:r>
        <w:rPr>
          <w:rFonts w:ascii="Book Antiqua" w:eastAsia="宋体" w:hAnsi="Book Antiqua" w:cs="Book Antiqua" w:hint="eastAsia"/>
          <w:color w:val="000000"/>
          <w:lang w:eastAsia="zh-CN"/>
        </w:rPr>
        <w:t>-</w:t>
      </w:r>
      <w:r>
        <w:rPr>
          <w:rFonts w:ascii="Book Antiqua" w:eastAsia="Book Antiqua" w:hAnsi="Book Antiqua" w:cs="Book Antiqua"/>
          <w:color w:val="000000"/>
        </w:rPr>
        <w:t>regulation of the FXR-FGF15 axis</w:t>
      </w:r>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Subsequently, Xu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used the FXR agonist fexaramine to restore intestinal FXR activity. Activating FXR increased the abundance of bacteria producing short-chain fatty acids and normalized bile acid metabolism. DCA-induced intestinal inflammation can be reduced by targeting the FXR-gut microbiota signaling pathway.</w:t>
      </w:r>
    </w:p>
    <w:p w14:paraId="72C36A1C" w14:textId="77777777" w:rsidR="00E4592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addition, FXR may ameliorate IBD through modifying the function of the intestinal mucosal barrier. By blocking lipopolysaccharide (LPS)-induced activation of the myosin light chain kinase (MLCK) pathway in an FXR-dependent manner, Song </w:t>
      </w:r>
      <w:r>
        <w:rPr>
          <w:rFonts w:ascii="Book Antiqua" w:eastAsia="Book Antiqua" w:hAnsi="Book Antiqua" w:cs="Book Antiqua"/>
          <w:i/>
          <w:iCs/>
          <w:color w:val="000000"/>
        </w:rPr>
        <w:t>et al</w:t>
      </w:r>
      <w:bookmarkStart w:id="91" w:name="OLE_LINK7190"/>
      <w:bookmarkStart w:id="92" w:name="OLE_LINK7189"/>
      <w:r>
        <w:rPr>
          <w:rFonts w:ascii="Book Antiqua" w:eastAsia="Book Antiqua" w:hAnsi="Book Antiqua" w:cs="Book Antiqua"/>
          <w:color w:val="000000"/>
          <w:vertAlign w:val="superscript"/>
        </w:rPr>
        <w:t>[54]</w:t>
      </w:r>
      <w:bookmarkStart w:id="93" w:name="OLE_LINK7191"/>
      <w:bookmarkStart w:id="94" w:name="OLE_LINK7192"/>
      <w:r>
        <w:rPr>
          <w:rFonts w:ascii="Book Antiqua" w:eastAsia="Book Antiqua" w:hAnsi="Book Antiqua" w:cs="Book Antiqua"/>
          <w:color w:val="000000"/>
          <w:vertAlign w:val="superscript"/>
        </w:rPr>
        <w:t xml:space="preserve"> </w:t>
      </w:r>
      <w:bookmarkEnd w:id="91"/>
      <w:bookmarkEnd w:id="92"/>
      <w:bookmarkEnd w:id="93"/>
      <w:bookmarkEnd w:id="94"/>
      <w:r>
        <w:rPr>
          <w:rFonts w:ascii="Book Antiqua" w:eastAsia="Book Antiqua" w:hAnsi="Book Antiqua" w:cs="Book Antiqua"/>
          <w:color w:val="000000"/>
        </w:rPr>
        <w:t xml:space="preserve">showed that CDCA reversed LPS-induced decreases in intestinal permeability and tight junction protein expression and mitigated LPS-induced intestinal barrier breakdown. In another study, using the FXR agonist GW4064 to restore FXR activity, Liu </w:t>
      </w:r>
      <w:r>
        <w:rPr>
          <w:rFonts w:ascii="Book Antiqua" w:eastAsia="Book Antiqua" w:hAnsi="Book Antiqua" w:cs="Book Antiqua"/>
          <w:i/>
          <w:iCs/>
          <w:color w:val="000000"/>
        </w:rPr>
        <w:t>et al</w:t>
      </w:r>
      <w:bookmarkStart w:id="95" w:name="OLE_LINK7194"/>
      <w:bookmarkStart w:id="96" w:name="OLE_LINK7193"/>
      <w:r>
        <w:rPr>
          <w:rFonts w:ascii="Book Antiqua" w:eastAsia="Book Antiqua" w:hAnsi="Book Antiqua" w:cs="Book Antiqua"/>
          <w:color w:val="000000"/>
          <w:vertAlign w:val="superscript"/>
        </w:rPr>
        <w:t>[</w:t>
      </w:r>
      <w:bookmarkEnd w:id="95"/>
      <w:bookmarkEnd w:id="96"/>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discovered that activation of FXR attenuates intestinal tight junction damage by inhibiting the LPS-induced TLR4/MyD88 signaling pathway. In summary, these recent findings suggest that FXR can influence the pathophysiological processes of IBD by regulating bile acid metabolism, intestinal immunity, intestinal flora, and intestinal mucosal barrier function (Figure 2). Activation of FXR may be considered a new therapeutic strategy for IBD.</w:t>
      </w:r>
    </w:p>
    <w:p w14:paraId="4DCAA982" w14:textId="77777777" w:rsidR="00E45927" w:rsidRDefault="00E45927">
      <w:pPr>
        <w:spacing w:line="360" w:lineRule="auto"/>
        <w:jc w:val="both"/>
        <w:rPr>
          <w:rFonts w:ascii="Book Antiqua" w:eastAsia="Book Antiqua" w:hAnsi="Book Antiqua" w:cs="Book Antiqua"/>
          <w:color w:val="000000"/>
        </w:rPr>
      </w:pPr>
    </w:p>
    <w:p w14:paraId="72D5CB72" w14:textId="77777777" w:rsidR="00E45927" w:rsidRDefault="00000000">
      <w:pPr>
        <w:spacing w:line="360" w:lineRule="auto"/>
        <w:jc w:val="both"/>
        <w:rPr>
          <w:rFonts w:ascii="Book Antiqua" w:hAnsi="Book Antiqua"/>
          <w:i/>
          <w:iCs/>
        </w:rPr>
      </w:pPr>
      <w:r>
        <w:rPr>
          <w:rFonts w:ascii="Book Antiqua" w:eastAsia="Book Antiqua" w:hAnsi="Book Antiqua" w:cs="Book Antiqua"/>
          <w:b/>
          <w:bCs/>
          <w:i/>
          <w:iCs/>
          <w:color w:val="000000"/>
        </w:rPr>
        <w:t>RORγt</w:t>
      </w:r>
    </w:p>
    <w:p w14:paraId="0EEAD1D9" w14:textId="77777777" w:rsidR="00E4592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RORγ is one of three retinoid-related orphan nuclear receptors with two main isoforms: RORγ1 and RORγt (or RORγ2), encoded by the </w:t>
      </w:r>
      <w:r>
        <w:rPr>
          <w:rFonts w:ascii="Book Antiqua" w:eastAsia="Book Antiqua" w:hAnsi="Book Antiqua" w:cs="Book Antiqua"/>
          <w:i/>
          <w:iCs/>
          <w:color w:val="000000"/>
        </w:rPr>
        <w:t>RORC</w:t>
      </w:r>
      <w:r>
        <w:rPr>
          <w:rFonts w:ascii="Book Antiqua" w:eastAsia="Book Antiqua" w:hAnsi="Book Antiqua" w:cs="Book Antiqua"/>
          <w:color w:val="000000"/>
        </w:rPr>
        <w:t xml:space="preserve"> gene.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RORγ1 is normally involved in the regulation of transcription of metabolic genes and some circadian rhythms in the liver and adipose tissue. However, the expression of RORγt is restricted to specific subpopulations of lymphoid spectrum immune cells, namely T helper 17 (Th17) cells, ILC3, and γδ T cells</w:t>
      </w:r>
      <w:r>
        <w:rPr>
          <w:rFonts w:ascii="Book Antiqua" w:eastAsia="Book Antiqua" w:hAnsi="Book Antiqua" w:cs="Book Antiqua"/>
          <w:color w:val="000000"/>
          <w:vertAlign w:val="superscript"/>
        </w:rPr>
        <w:t>[19,56]</w:t>
      </w:r>
      <w:r>
        <w:rPr>
          <w:rFonts w:ascii="Book Antiqua" w:eastAsia="Book Antiqua" w:hAnsi="Book Antiqua" w:cs="Book Antiqua"/>
          <w:color w:val="000000"/>
        </w:rPr>
        <w:t>. Recently, increasing attention has turned to RORγt, as it acts as a key transcription factor for Th17 cell and regulatory T(Treg) cell differentiation in IBD (Figure 2). Moreover, ROR-γt can depend on ILC3 to provide protective immunity</w:t>
      </w:r>
      <w:r>
        <w:rPr>
          <w:rFonts w:ascii="Book Antiqua" w:eastAsia="Book Antiqua" w:hAnsi="Book Antiqua" w:cs="Book Antiqua"/>
          <w:color w:val="000000"/>
          <w:vertAlign w:val="superscript"/>
        </w:rPr>
        <w:t>[23,48]</w:t>
      </w:r>
      <w:r>
        <w:rPr>
          <w:rFonts w:ascii="Book Antiqua" w:eastAsia="Book Antiqua" w:hAnsi="Book Antiqua" w:cs="Book Antiqua"/>
          <w:color w:val="000000"/>
        </w:rPr>
        <w:t xml:space="preserve">. Hang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discovered that 3-oxolithocholic acid (3-oxoLCA) decreased Th17 cell differentiation by directly interacting with the important transcription factor RORγt by giving mice 3-oxoLCA and isoallolithocholic acid (isoalloLCA). In contrast, isoalloLCA decreases intestinal inflammation by increasing Treg cell differentiation by generating mitochondrial reactive oxygen species (mitoROS), which enhances the expression of Forkhead box P3 (Foxp3). Interestingly, similar to 3-oxoLCA, isolithocholic acid (isoLCA) can also de-suppress Th17 cell differentiation by inhibiting RORγt</w:t>
      </w:r>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In </w:t>
      </w:r>
      <w:r>
        <w:rPr>
          <w:rFonts w:ascii="Book Antiqua" w:eastAsia="宋体" w:hAnsi="Book Antiqua" w:cs="Book Antiqua" w:hint="eastAsia"/>
          <w:i/>
          <w:iCs/>
          <w:color w:val="000000"/>
          <w:lang w:eastAsia="zh-CN"/>
        </w:rPr>
        <w:t xml:space="preserve">in </w:t>
      </w:r>
      <w:r>
        <w:rPr>
          <w:rFonts w:ascii="Book Antiqua" w:eastAsia="Book Antiqua" w:hAnsi="Book Antiqua" w:cs="Book Antiqua"/>
          <w:i/>
          <w:iCs/>
          <w:color w:val="000000"/>
        </w:rPr>
        <w:t>vivo</w:t>
      </w:r>
      <w:r>
        <w:rPr>
          <w:rFonts w:ascii="Book Antiqua" w:eastAsia="Book Antiqua" w:hAnsi="Book Antiqua" w:cs="Book Antiqua"/>
          <w:color w:val="000000"/>
        </w:rPr>
        <w:t xml:space="preserve"> models, another study demonstrated that the secondary bile acid 3β-hydroxydeoxycholic acid (isoDCA) promotes Treg cell differentiation by increasing the induction of Foxp3 through its action on dendritic cells (DCs). Surprisingly, the researchers found that disruption of FXR in DCs enhanced Treg cell generation</w:t>
      </w:r>
      <w:r>
        <w:rPr>
          <w:rFonts w:ascii="Book Antiqua" w:eastAsia="Book Antiqua" w:hAnsi="Book Antiqua" w:cs="Book Antiqua"/>
          <w:color w:val="000000"/>
          <w:vertAlign w:val="superscript"/>
        </w:rPr>
        <w:t>[59]</w:t>
      </w:r>
      <w:r>
        <w:rPr>
          <w:rFonts w:ascii="Book Antiqua" w:eastAsia="Book Antiqua" w:hAnsi="Book Antiqua" w:cs="Book Antiqua"/>
          <w:color w:val="000000"/>
        </w:rPr>
        <w:t>. In addition, taurohyodeoxycholic acid (THDCA) was reported to not only inhibit RORγt-mediated Th17 cell differentiation, but also trigger Foxp3 expression and promote Treg cell differentiation</w:t>
      </w:r>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These recent findings demonstrate the potential of bile acid derivatives to improve IBD prognosis by acting on RORγt. Kathania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identified a serine/threonine kinase, Pak2, directly associated with RORγt. Pak2 recognizes the conserved KRLS motif within RORγt and phosphorylates S-316 within this motif. Genetic deletion of Pak2 in Th17 cells decreases RORγt phosphorylation, increases IL-17 expression, and induces severe colitis after </w:t>
      </w:r>
      <w:r>
        <w:rPr>
          <w:rFonts w:ascii="Book Antiqua" w:eastAsia="宋体" w:hAnsi="Book Antiqua" w:cs="Book Antiqua" w:hint="eastAsia"/>
          <w:color w:val="000000"/>
          <w:lang w:eastAsia="zh-CN"/>
        </w:rPr>
        <w:t xml:space="preserve">adoptive </w:t>
      </w:r>
      <w:r>
        <w:rPr>
          <w:rFonts w:ascii="Book Antiqua" w:eastAsia="Book Antiqua" w:hAnsi="Book Antiqua" w:cs="Book Antiqua"/>
          <w:color w:val="000000"/>
        </w:rPr>
        <w:t xml:space="preserve">transfer to Rag1-/- mice. This suggests that other biological molecules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can also regulate the developmental process of IBD by acting on RORγt and are potential targets for the treatment of IBD to be explored further.</w:t>
      </w:r>
    </w:p>
    <w:p w14:paraId="61812801" w14:textId="77777777" w:rsidR="00E4592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RORγt+ immune cells are generally thought to coordinate immunity, inflammation, or tolerance in the gut. In IBD, the function of RORγt+ immune cells can be significantly altered</w:t>
      </w:r>
      <w:r>
        <w:rPr>
          <w:rFonts w:ascii="Book Antiqua" w:eastAsia="Book Antiqua" w:hAnsi="Book Antiqua" w:cs="Book Antiqua"/>
          <w:color w:val="000000"/>
          <w:vertAlign w:val="superscript"/>
        </w:rPr>
        <w:t>[62-64]</w:t>
      </w:r>
      <w:r>
        <w:rPr>
          <w:rFonts w:ascii="Book Antiqua" w:eastAsia="Book Antiqua" w:hAnsi="Book Antiqua" w:cs="Book Antiqua"/>
          <w:color w:val="000000"/>
        </w:rPr>
        <w:t xml:space="preserve">. According to a recent study, ILC3 in intestinal draining lymph nodes expressed numerous significant class II histocompatibility complexes (MHCIIs). To increase microbiota-specific RORγt+ Treg cells and prevent them from proliferating into inflammatory Th17 cells, ILC3 is both essential and sufficient. AlphaV integrin, competing IL-2, and ILC3-mediated antigen presentation all contributes to this impact. Single cell analysis indicated that </w:t>
      </w:r>
      <w:r>
        <w:rPr>
          <w:rFonts w:ascii="Book Antiqua" w:eastAsia="宋体" w:hAnsi="Book Antiqua" w:cs="Book Antiqua" w:hint="eastAsia"/>
          <w:color w:val="000000"/>
          <w:lang w:eastAsia="zh-CN"/>
        </w:rPr>
        <w:t xml:space="preserve">in </w:t>
      </w:r>
      <w:r>
        <w:rPr>
          <w:rFonts w:ascii="Book Antiqua" w:eastAsia="Book Antiqua" w:hAnsi="Book Antiqua" w:cs="Book Antiqua"/>
          <w:color w:val="000000"/>
        </w:rPr>
        <w:t>IBD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interaction between ILC3 and RORγt+ Treg cells</w:t>
      </w:r>
      <w:r>
        <w:rPr>
          <w:rFonts w:ascii="Book Antiqua" w:eastAsia="宋体" w:hAnsi="Book Antiqua" w:cs="Book Antiqua" w:hint="eastAsia"/>
          <w:color w:val="000000"/>
          <w:lang w:eastAsia="zh-CN"/>
        </w:rPr>
        <w:t xml:space="preserve"> was </w:t>
      </w:r>
      <w:r>
        <w:rPr>
          <w:rFonts w:ascii="Book Antiqua" w:eastAsia="Book Antiqua" w:hAnsi="Book Antiqua" w:cs="Book Antiqua"/>
          <w:color w:val="000000"/>
        </w:rPr>
        <w:t>impaired</w:t>
      </w:r>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It is interesting to note that </w:t>
      </w:r>
      <w:bookmarkStart w:id="97" w:name="OLE_LINK6812"/>
      <w:bookmarkStart w:id="98" w:name="OLE_LINK6813"/>
      <w:bookmarkStart w:id="99" w:name="OLE_LINK6818"/>
      <w:bookmarkStart w:id="100" w:name="OLE_LINK6814"/>
      <w:r>
        <w:rPr>
          <w:rFonts w:ascii="Book Antiqua" w:eastAsia="Book Antiqua" w:hAnsi="Book Antiqua" w:cs="Book Antiqua"/>
          <w:color w:val="000000"/>
        </w:rPr>
        <w:t>Akagbosu</w:t>
      </w:r>
      <w:bookmarkEnd w:id="97"/>
      <w:bookmarkEnd w:id="98"/>
      <w:bookmarkEnd w:id="99"/>
      <w:bookmarkEnd w:id="100"/>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described a class of RORγt+ antigen-presenting cells dubbed Thetis cells. These cells had dendritic cell and medullary thymic epithelial cell (mTEC) transcriptional signatures. Colitis results from the loss of MHCII or ITGB8 by Thetis cells, which severely impairs peripheral Treg (pTreg) cell differentiation in the intestine. MHCII expression by RORγt+ ILC3 and classic dendritic cells, in contrast, is neither sufficient nor essential for pTreg cell formation. In a colitis model, Liu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demonstrated that </w:t>
      </w:r>
      <w:r>
        <w:rPr>
          <w:rFonts w:ascii="Book Antiqua" w:eastAsia="Book Antiqua" w:hAnsi="Book Antiqua" w:cs="Book Antiqua"/>
          <w:i/>
          <w:iCs/>
          <w:color w:val="000000"/>
        </w:rPr>
        <w:t>Akkermansia muciniphila</w:t>
      </w:r>
      <w:r>
        <w:rPr>
          <w:rFonts w:ascii="Book Antiqua" w:eastAsia="Book Antiqua" w:hAnsi="Book Antiqua" w:cs="Book Antiqua"/>
          <w:color w:val="000000"/>
        </w:rPr>
        <w:t xml:space="preserve"> improves colitis by up</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regulating the RORγt+ Treg cell-mediated immune response, and this process is regulated by Toll-like receptor 4 (TLR4). RORγt is a main transcription factor for Th17 cells. However, in the intestine, RORγt is co-expressed in peripherally induced pTreg cells together with Foxp3. Surprisingly, Bhaumik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observed that RORγt-mediated T-bet inhibition is essential for regulating the immunosuppressive function of pTreg cells in inflammatory states, restoring Foxp3 expression, and preventing the onset of severe colitis. Despite these advancements, the full-spectrum cellular heterogeneity of RORγt+ immune cells, the potential for functional interactions between subpopulations, and the specific mechanisms influencing the pathophysiological processes of IBD in the context of complex microbiota remain unknown and require further investigation.</w:t>
      </w:r>
    </w:p>
    <w:p w14:paraId="32E894B7" w14:textId="77777777" w:rsidR="00E45927" w:rsidRDefault="00E45927">
      <w:pPr>
        <w:spacing w:line="360" w:lineRule="auto"/>
        <w:jc w:val="both"/>
        <w:rPr>
          <w:rFonts w:ascii="Book Antiqua" w:hAnsi="Book Antiqua"/>
        </w:rPr>
      </w:pPr>
    </w:p>
    <w:p w14:paraId="1F9E0EF8" w14:textId="77777777" w:rsidR="00E45927" w:rsidRDefault="00000000">
      <w:pPr>
        <w:spacing w:line="360" w:lineRule="auto"/>
        <w:jc w:val="both"/>
        <w:rPr>
          <w:rFonts w:ascii="Book Antiqua" w:hAnsi="Book Antiqua"/>
          <w:i/>
          <w:iCs/>
        </w:rPr>
      </w:pPr>
      <w:bookmarkStart w:id="101" w:name="OLE_LINK6819"/>
      <w:bookmarkStart w:id="102" w:name="OLE_LINK6820"/>
      <w:r>
        <w:rPr>
          <w:rFonts w:ascii="Book Antiqua" w:eastAsia="Book Antiqua" w:hAnsi="Book Antiqua" w:cs="Book Antiqua"/>
          <w:b/>
          <w:bCs/>
          <w:i/>
          <w:iCs/>
          <w:color w:val="000000"/>
        </w:rPr>
        <w:t>GPABR1</w:t>
      </w:r>
    </w:p>
    <w:p w14:paraId="0DB0F572" w14:textId="77777777" w:rsidR="00E45927" w:rsidRDefault="00000000">
      <w:pPr>
        <w:spacing w:line="360" w:lineRule="auto"/>
        <w:jc w:val="both"/>
        <w:rPr>
          <w:rFonts w:ascii="Book Antiqua" w:hAnsi="Book Antiqua"/>
        </w:rPr>
      </w:pPr>
      <w:bookmarkStart w:id="103" w:name="OLE_LINK6822"/>
      <w:bookmarkStart w:id="104" w:name="OLE_LINK6821"/>
      <w:bookmarkEnd w:id="101"/>
      <w:bookmarkEnd w:id="102"/>
      <w:r>
        <w:rPr>
          <w:rFonts w:ascii="Book Antiqua" w:eastAsia="Book Antiqua" w:hAnsi="Book Antiqua" w:cs="Book Antiqua"/>
          <w:color w:val="000000"/>
        </w:rPr>
        <w:t>Kawamata</w:t>
      </w:r>
      <w:bookmarkEnd w:id="103"/>
      <w:bookmarkEnd w:id="104"/>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first described GPABR1 (TGR5 or M-BAR) in 2003 as a receptor for bile acids in the membrane. GPABR1 </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mainly found in epithelial cells, immune cells, and </w:t>
      </w:r>
      <w:r>
        <w:rPr>
          <w:rFonts w:ascii="Book Antiqua" w:eastAsia="Book Antiqua" w:hAnsi="Book Antiqua" w:cs="Book Antiqua"/>
          <w:color w:val="000000"/>
        </w:rPr>
        <w:lastRenderedPageBreak/>
        <w:t>intestinal nerves in the gut and biliary tract and belong</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to the superfamily of G protein-coupled receptors. Bile acids agonistically affect GPABR1 in different ways: LCA &gt; DCA &gt; CDCA &gt; UDCA &gt; CA</w:t>
      </w:r>
      <w:r>
        <w:rPr>
          <w:rFonts w:ascii="Book Antiqua" w:eastAsia="Book Antiqua" w:hAnsi="Book Antiqua" w:cs="Book Antiqua"/>
          <w:color w:val="000000"/>
          <w:vertAlign w:val="superscript"/>
        </w:rPr>
        <w:t>[20]</w:t>
      </w:r>
      <w:r>
        <w:rPr>
          <w:rFonts w:ascii="Book Antiqua" w:eastAsia="Book Antiqua" w:hAnsi="Book Antiqua" w:cs="Book Antiqua"/>
          <w:color w:val="000000"/>
        </w:rPr>
        <w:t>. The adaptor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apoptosis-associated speck-like protein </w:t>
      </w:r>
      <w:r>
        <w:rPr>
          <w:rFonts w:ascii="Book Antiqua" w:eastAsia="宋体" w:hAnsi="Book Antiqua" w:cs="Book Antiqua" w:hint="eastAsia"/>
          <w:color w:val="000000"/>
          <w:lang w:eastAsia="zh-CN"/>
        </w:rPr>
        <w:t>containing</w:t>
      </w:r>
      <w:r>
        <w:rPr>
          <w:rFonts w:ascii="Book Antiqua" w:eastAsia="Book Antiqua" w:hAnsi="Book Antiqua" w:cs="Book Antiqua"/>
          <w:color w:val="000000"/>
        </w:rPr>
        <w:t xml:space="preserve"> a caspase recruitment domain, sensor NLRP3, and procaspase-1 form the cytosolic polyprotein complex NLRP3 inflammasome. The pathogenesis of IBD is closely linked to the NLRP3 inflammasome</w:t>
      </w:r>
      <w:r>
        <w:rPr>
          <w:rFonts w:ascii="Book Antiqua" w:eastAsia="Book Antiqua" w:hAnsi="Book Antiqua" w:cs="Book Antiqua"/>
          <w:color w:val="000000"/>
          <w:vertAlign w:val="superscript"/>
        </w:rPr>
        <w:t>[70,71]</w:t>
      </w:r>
      <w:r>
        <w:rPr>
          <w:rFonts w:ascii="Book Antiqua" w:eastAsia="Book Antiqua" w:hAnsi="Book Antiqua" w:cs="Book Antiqua"/>
          <w:color w:val="000000"/>
        </w:rPr>
        <w:t xml:space="preserve">.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experimental study showed that bile acids could inhibit NLRP3 inflammasome-dependent inflammation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GPABR1-cAMP-PKA axis, suggesting GPABR1 as a potential target for alleviating intestinal inflammation in IBD</w:t>
      </w:r>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w:t>
      </w:r>
      <w:bookmarkStart w:id="105" w:name="OLE_LINK6825"/>
      <w:bookmarkStart w:id="106" w:name="OLE_LINK6824"/>
      <w:bookmarkStart w:id="107" w:name="OLE_LINK6823"/>
      <w:r>
        <w:rPr>
          <w:rFonts w:ascii="Book Antiqua" w:eastAsia="Book Antiqua" w:hAnsi="Book Antiqua" w:cs="Book Antiqua"/>
          <w:color w:val="000000"/>
        </w:rPr>
        <w:t>Biagioli</w:t>
      </w:r>
      <w:bookmarkEnd w:id="105"/>
      <w:bookmarkEnd w:id="106"/>
      <w:bookmarkEnd w:id="107"/>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found that activation of GPBAR1 can lower macrophage inflammatory gene expression (mRNA for TNF-α, IL-1, IL-6, and CCL2), hence reducing inflammation in animal models of IBD. </w:t>
      </w:r>
      <w:r>
        <w:rPr>
          <w:rFonts w:ascii="Book Antiqua" w:eastAsia="宋体" w:hAnsi="Book Antiqua" w:cs="Book Antiqua" w:hint="eastAsia"/>
          <w:color w:val="000000"/>
          <w:lang w:eastAsia="zh-CN"/>
        </w:rPr>
        <w:t>Deletion of t</w:t>
      </w:r>
      <w:r>
        <w:rPr>
          <w:rFonts w:ascii="Book Antiqua" w:eastAsia="Book Antiqua" w:hAnsi="Book Antiqua" w:cs="Book Antiqua"/>
          <w:color w:val="000000"/>
        </w:rPr>
        <w:t>he anti-inflammatory gene angiotensin-converting enzyme 2 (</w:t>
      </w:r>
      <w:r>
        <w:rPr>
          <w:rFonts w:ascii="Book Antiqua" w:eastAsia="Book Antiqua" w:hAnsi="Book Antiqua" w:cs="Book Antiqua"/>
          <w:i/>
          <w:iCs/>
          <w:color w:val="000000"/>
        </w:rPr>
        <w:t>ACE2</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from mice with colitis result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in worse inflammation</w:t>
      </w:r>
      <w:r>
        <w:rPr>
          <w:rFonts w:ascii="Book Antiqua" w:eastAsia="Book Antiqua" w:hAnsi="Book Antiqua" w:cs="Book Antiqua"/>
          <w:color w:val="000000"/>
          <w:vertAlign w:val="superscript"/>
        </w:rPr>
        <w:t>[74]</w:t>
      </w:r>
      <w:r>
        <w:rPr>
          <w:rFonts w:ascii="Book Antiqua" w:eastAsia="Book Antiqua" w:hAnsi="Book Antiqua" w:cs="Book Antiqua"/>
          <w:color w:val="000000"/>
        </w:rPr>
        <w:t xml:space="preserve">. Biagioli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[75]</w:t>
      </w:r>
      <w:r>
        <w:rPr>
          <w:rFonts w:ascii="Book Antiqua" w:eastAsia="Book Antiqua" w:hAnsi="Book Antiqua" w:cs="Book Antiqua"/>
          <w:color w:val="000000"/>
        </w:rPr>
        <w:t xml:space="preserve"> further discovered that activation of GPBAR1 could regulate ACE2 colonic expression through a glucagon-promoting factor glucagon-like peptide (GLP)-1-dependent mechanism. Furthermore, the regulation of </w:t>
      </w:r>
      <w:r>
        <w:rPr>
          <w:rFonts w:ascii="Book Antiqua" w:eastAsia="Book Antiqua" w:hAnsi="Book Antiqua" w:cs="Book Antiqua"/>
          <w:i/>
          <w:iCs/>
          <w:color w:val="000000"/>
        </w:rPr>
        <w:t>ACE2</w:t>
      </w:r>
      <w:r>
        <w:rPr>
          <w:rFonts w:ascii="Book Antiqua" w:eastAsia="Book Antiqua" w:hAnsi="Book Antiqua" w:cs="Book Antiqua"/>
          <w:color w:val="000000"/>
        </w:rPr>
        <w:t xml:space="preserve"> mRNA in the colitis setting may contribute to the anti-inflammatory effects of GPBAR1. A recent study showed that supplementation with LCA and DCA reduced intestinal inflammation in three mouse models of colitis. This anti-inflammatory effect partially depends on GPABR1</w:t>
      </w:r>
      <w:r>
        <w:rPr>
          <w:rFonts w:ascii="Book Antiqua" w:eastAsia="Book Antiqua" w:hAnsi="Book Antiqua" w:cs="Book Antiqua"/>
          <w:color w:val="000000"/>
          <w:vertAlign w:val="superscript"/>
        </w:rPr>
        <w:t>[76]</w:t>
      </w:r>
      <w:r>
        <w:rPr>
          <w:rFonts w:ascii="Book Antiqua" w:eastAsia="Book Antiqua" w:hAnsi="Book Antiqua" w:cs="Book Antiqua"/>
          <w:color w:val="000000"/>
        </w:rPr>
        <w:t>.</w:t>
      </w:r>
    </w:p>
    <w:p w14:paraId="58C4D67A" w14:textId="77777777" w:rsidR="00E4592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AKT, a serine/threonine kinase, is crucial for the differentiation, proliferation, survival, and metabolism of cells. In a mouse model of DSS-induced colitis and the colonic epithelium of UC patients, </w:t>
      </w:r>
      <w:bookmarkStart w:id="108" w:name="OLE_LINK6828"/>
      <w:bookmarkStart w:id="109" w:name="OLE_LINK6826"/>
      <w:bookmarkStart w:id="110" w:name="OLE_LINK6827"/>
      <w:r>
        <w:rPr>
          <w:rFonts w:ascii="Book Antiqua" w:eastAsia="Book Antiqua" w:hAnsi="Book Antiqua" w:cs="Book Antiqua"/>
          <w:color w:val="000000"/>
        </w:rPr>
        <w:t>Azuma</w:t>
      </w:r>
      <w:bookmarkEnd w:id="108"/>
      <w:bookmarkEnd w:id="109"/>
      <w:bookmarkEnd w:id="110"/>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[77]</w:t>
      </w:r>
      <w:r>
        <w:rPr>
          <w:rFonts w:ascii="Book Antiqua" w:eastAsia="Book Antiqua" w:hAnsi="Book Antiqua" w:cs="Book Antiqua"/>
          <w:color w:val="000000"/>
        </w:rPr>
        <w:t xml:space="preserve"> showed that DCA could slow wound healing in the colonic epithelial cell environment by acting as a ligand for GPABR1 to activate the AKT signaling pathway. Interestingly, another recent study showed that in a Caco-2 cell model, GPABR1 activation ameliorated LPS-induced reduction in trans-epithelial electrical resistance (TEER) and up</w:t>
      </w:r>
      <w:r>
        <w:rPr>
          <w:rFonts w:ascii="Book Antiqua" w:eastAsia="宋体" w:hAnsi="Book Antiqua" w:cs="Book Antiqua" w:hint="eastAsia"/>
          <w:color w:val="000000"/>
          <w:lang w:eastAsia="zh-CN"/>
        </w:rPr>
        <w:t>-</w:t>
      </w:r>
      <w:r>
        <w:rPr>
          <w:rFonts w:ascii="Book Antiqua" w:eastAsia="Book Antiqua" w:hAnsi="Book Antiqua" w:cs="Book Antiqua"/>
          <w:color w:val="000000"/>
        </w:rPr>
        <w:t>regulated tight junction protein expression, thereby enhancing mucosal barrier function to alleviate the progression of IBD</w:t>
      </w:r>
      <w:r>
        <w:rPr>
          <w:rFonts w:ascii="Book Antiqua" w:eastAsia="Book Antiqua" w:hAnsi="Book Antiqua" w:cs="Book Antiqua"/>
          <w:color w:val="000000"/>
          <w:vertAlign w:val="superscript"/>
        </w:rPr>
        <w:t>[78]</w:t>
      </w:r>
      <w:r>
        <w:rPr>
          <w:rFonts w:ascii="Book Antiqua" w:eastAsia="Book Antiqua" w:hAnsi="Book Antiqua" w:cs="Book Antiqua"/>
          <w:color w:val="000000"/>
        </w:rPr>
        <w:t>. However, inhibition of GPABR1 expression in the porcine jejunal epithelial cell line IPEC-J2 did not affect the function of the intestinal barrier</w:t>
      </w:r>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This may be due to the different expression </w:t>
      </w:r>
      <w:r>
        <w:rPr>
          <w:rFonts w:ascii="Book Antiqua" w:eastAsia="Book Antiqua" w:hAnsi="Book Antiqua" w:cs="Book Antiqua"/>
          <w:color w:val="000000"/>
        </w:rPr>
        <w:lastRenderedPageBreak/>
        <w:t>levels of GPABR1 in different intestinal slices. In conclusion, these findings suggest that GPABR1 plays different roles in the gastrointestinal tract of IBD (F</w:t>
      </w:r>
      <w:r>
        <w:rPr>
          <w:rFonts w:ascii="Book Antiqua" w:eastAsia="Book Antiqua" w:hAnsi="Book Antiqua" w:cs="Book Antiqua" w:hint="eastAsia"/>
          <w:color w:val="000000"/>
          <w:lang w:eastAsia="zh-CN"/>
        </w:rPr>
        <w:t>ig</w:t>
      </w:r>
      <w:r>
        <w:rPr>
          <w:rFonts w:ascii="Book Antiqua" w:eastAsia="Book Antiqua" w:hAnsi="Book Antiqua" w:cs="Book Antiqua"/>
          <w:color w:val="000000"/>
          <w:lang w:eastAsia="zh-CN"/>
        </w:rPr>
        <w:t>ure 2</w:t>
      </w:r>
      <w:r>
        <w:rPr>
          <w:rFonts w:ascii="Book Antiqua" w:eastAsia="Book Antiqua" w:hAnsi="Book Antiqua" w:cs="Book Antiqua"/>
          <w:color w:val="000000"/>
        </w:rPr>
        <w:t>). Moreover, the functions of GPABR1 may also differ due to differences in species and cell types. Therefore, the role of GPABR1 on the pathophysiological mechanisms of IBD deserves further investigation.</w:t>
      </w:r>
    </w:p>
    <w:p w14:paraId="1264EBC7" w14:textId="77777777" w:rsidR="00E45927" w:rsidRDefault="00E45927">
      <w:pPr>
        <w:spacing w:line="360" w:lineRule="auto"/>
        <w:jc w:val="both"/>
        <w:rPr>
          <w:rFonts w:ascii="Book Antiqua" w:hAnsi="Book Antiqua"/>
        </w:rPr>
      </w:pPr>
    </w:p>
    <w:p w14:paraId="44B5E285" w14:textId="77777777" w:rsidR="00E45927" w:rsidRDefault="00000000">
      <w:pPr>
        <w:spacing w:line="360" w:lineRule="auto"/>
        <w:jc w:val="both"/>
        <w:rPr>
          <w:rFonts w:ascii="Book Antiqua" w:hAnsi="Book Antiqua"/>
          <w:i/>
          <w:iCs/>
        </w:rPr>
      </w:pPr>
      <w:bookmarkStart w:id="111" w:name="OLE_LINK6831"/>
      <w:bookmarkStart w:id="112" w:name="OLE_LINK6830"/>
      <w:bookmarkStart w:id="113" w:name="OLE_LINK6829"/>
      <w:r>
        <w:rPr>
          <w:rFonts w:ascii="Book Antiqua" w:eastAsia="Book Antiqua" w:hAnsi="Book Antiqua" w:cs="Book Antiqua"/>
          <w:b/>
          <w:bCs/>
          <w:i/>
          <w:iCs/>
          <w:color w:val="000000"/>
        </w:rPr>
        <w:t>VDR</w:t>
      </w:r>
    </w:p>
    <w:bookmarkEnd w:id="111"/>
    <w:bookmarkEnd w:id="112"/>
    <w:bookmarkEnd w:id="113"/>
    <w:p w14:paraId="10BFEF1F" w14:textId="77777777" w:rsidR="00E4592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nuclear receptor activated by 1,25-dihydroxyvitamin D is the VDR. The human metabolism, immunity, and cancer are all regulated by this </w:t>
      </w:r>
      <w:r>
        <w:rPr>
          <w:rFonts w:ascii="Book Antiqua" w:eastAsia="宋体" w:hAnsi="Book Antiqua" w:cs="Book Antiqua" w:hint="eastAsia"/>
          <w:color w:val="000000"/>
          <w:lang w:eastAsia="zh-CN"/>
        </w:rPr>
        <w:t>receptor</w:t>
      </w:r>
      <w:r>
        <w:rPr>
          <w:rFonts w:ascii="Book Antiqua" w:eastAsia="Book Antiqua" w:hAnsi="Book Antiqua" w:cs="Book Antiqua"/>
          <w:color w:val="000000"/>
        </w:rPr>
        <w:t xml:space="preserve">, which is widely expressed in a range of tissues. Additionally,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secondary bile acid LCA and its metabolites (3-oxoLCA and isoalloLCA) can activate VDR</w:t>
      </w:r>
      <w:r>
        <w:rPr>
          <w:rFonts w:ascii="Book Antiqua" w:eastAsia="Book Antiqua" w:hAnsi="Book Antiqua" w:cs="Book Antiqua"/>
          <w:color w:val="000000"/>
          <w:vertAlign w:val="superscript"/>
        </w:rPr>
        <w:t>[79,80]</w:t>
      </w:r>
      <w:r>
        <w:rPr>
          <w:rFonts w:ascii="Book Antiqua" w:eastAsia="Book Antiqua" w:hAnsi="Book Antiqua" w:cs="Book Antiqua"/>
          <w:color w:val="000000"/>
        </w:rPr>
        <w:t xml:space="preserve">. LCA was reported to ameliorate the TNF-α-induced decrease in the expression and distribution of tight junction proteins (ZO-1, </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ccludin, and </w:t>
      </w:r>
      <w:r>
        <w:rPr>
          <w:rFonts w:ascii="Book Antiqua" w:eastAsia="宋体" w:hAnsi="Book Antiqua" w:cs="Book Antiqua" w:hint="eastAsia"/>
          <w:color w:val="000000"/>
          <w:lang w:eastAsia="zh-CN"/>
        </w:rPr>
        <w:t>c</w:t>
      </w:r>
      <w:r>
        <w:rPr>
          <w:rFonts w:ascii="Book Antiqua" w:eastAsia="Book Antiqua" w:hAnsi="Book Antiqua" w:cs="Book Antiqua"/>
          <w:color w:val="000000"/>
        </w:rPr>
        <w:t>laudin-1) through activation of VDR. Furthermore, it significantly blocked TNF-α-mediated down</w:t>
      </w:r>
      <w:r>
        <w:rPr>
          <w:rFonts w:ascii="Book Antiqua" w:eastAsia="宋体" w:hAnsi="Book Antiqua" w:cs="Book Antiqua" w:hint="eastAsia"/>
          <w:color w:val="000000"/>
          <w:lang w:eastAsia="zh-CN"/>
        </w:rPr>
        <w:t>-</w:t>
      </w:r>
      <w:r>
        <w:rPr>
          <w:rFonts w:ascii="Book Antiqua" w:eastAsia="Book Antiqua" w:hAnsi="Book Antiqua" w:cs="Book Antiqua"/>
          <w:color w:val="000000"/>
        </w:rPr>
        <w:t>regulation of the oxidative stress-related genes silent information regulator 1 (</w:t>
      </w:r>
      <w:r>
        <w:rPr>
          <w:rFonts w:ascii="Book Antiqua" w:eastAsia="Book Antiqua" w:hAnsi="Book Antiqua" w:cs="Book Antiqua"/>
          <w:i/>
          <w:iCs/>
          <w:color w:val="000000"/>
        </w:rPr>
        <w:t>SIRT1</w:t>
      </w:r>
      <w:r>
        <w:rPr>
          <w:rFonts w:ascii="Book Antiqua" w:eastAsia="Book Antiqua" w:hAnsi="Book Antiqua" w:cs="Book Antiqua"/>
          <w:color w:val="000000"/>
        </w:rPr>
        <w:t>), nuclear factor erythroid 2-related factor 2 (</w:t>
      </w:r>
      <w:r>
        <w:rPr>
          <w:rFonts w:ascii="Book Antiqua" w:eastAsia="Book Antiqua" w:hAnsi="Book Antiqua" w:cs="Book Antiqua"/>
          <w:i/>
          <w:iCs/>
          <w:color w:val="000000"/>
        </w:rPr>
        <w:t>Nrf2</w:t>
      </w:r>
      <w:r>
        <w:rPr>
          <w:rFonts w:ascii="Book Antiqua" w:eastAsia="Book Antiqua" w:hAnsi="Book Antiqua" w:cs="Book Antiqua"/>
          <w:color w:val="000000"/>
        </w:rPr>
        <w:t>), and heme oxygenase-1. In addition, the TNF-α-induced increase in NF-κB p-p65 and p-IκB-α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significantly suppressed by LCA</w:t>
      </w:r>
      <w:r>
        <w:rPr>
          <w:rFonts w:ascii="Book Antiqua" w:eastAsia="Book Antiqua" w:hAnsi="Book Antiqua" w:cs="Book Antiqua"/>
          <w:color w:val="000000"/>
          <w:vertAlign w:val="superscript"/>
        </w:rPr>
        <w:t>[81]</w:t>
      </w:r>
      <w:r>
        <w:rPr>
          <w:rFonts w:ascii="Book Antiqua" w:eastAsia="Book Antiqua" w:hAnsi="Book Antiqua" w:cs="Book Antiqua"/>
          <w:color w:val="000000"/>
        </w:rPr>
        <w:t xml:space="preserve">. This study reveals that LCA strongly protects against TNF-α-induced intestinal barrier degradation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VDR. Activation of hypoxia-inducible factor 1α (HIF-1α) as a heterodimeric transcription factor has been shown in previous research to accelerate the course of DSS-induced colitis in mice</w:t>
      </w:r>
      <w:r>
        <w:rPr>
          <w:rFonts w:ascii="Book Antiqua" w:eastAsia="Book Antiqua" w:hAnsi="Book Antiqua" w:cs="Book Antiqua"/>
          <w:color w:val="000000"/>
          <w:vertAlign w:val="superscript"/>
        </w:rPr>
        <w:t>[82,83]</w:t>
      </w:r>
      <w:r>
        <w:rPr>
          <w:rFonts w:ascii="Book Antiqua" w:eastAsia="Book Antiqua" w:hAnsi="Book Antiqua" w:cs="Book Antiqua"/>
          <w:color w:val="000000"/>
        </w:rPr>
        <w:t>. However, the association of VDR signaling and HIF-1α in the development of IBD has been enigmatic. A recent study showed that in an animal model of colitis, VDR signaling suppressed the overexpression of HIF-1α in colonic epithelial cells by regulating the NF-κB pathway, thereby inhibiting the overproduction of interferon-gamma (IFN-γ) and IL-1β in these cells and attenuating the development of colitis in the animal model</w:t>
      </w:r>
      <w:r>
        <w:rPr>
          <w:rFonts w:ascii="Book Antiqua" w:eastAsia="Book Antiqua" w:hAnsi="Book Antiqua" w:cs="Book Antiqua"/>
          <w:color w:val="000000"/>
          <w:vertAlign w:val="superscript"/>
        </w:rPr>
        <w:t>[84]</w:t>
      </w:r>
      <w:r>
        <w:rPr>
          <w:rFonts w:ascii="Book Antiqua" w:eastAsia="Book Antiqua" w:hAnsi="Book Antiqua" w:cs="Book Antiqua"/>
          <w:color w:val="000000"/>
        </w:rPr>
        <w:t>. Another study showed that VDR could physically bind to Y box binding protein 1 (YBX-1), blocking its nuclear translocation, thus ameliorating the death of colonic epithelial cells in the presence of inflammation</w:t>
      </w:r>
      <w:r>
        <w:rPr>
          <w:rFonts w:ascii="Book Antiqua" w:eastAsia="Book Antiqua" w:hAnsi="Book Antiqua" w:cs="Book Antiqua"/>
          <w:color w:val="000000"/>
          <w:vertAlign w:val="superscript"/>
        </w:rPr>
        <w:t>[85]</w:t>
      </w:r>
      <w:r>
        <w:rPr>
          <w:rFonts w:ascii="Book Antiqua" w:eastAsia="Book Antiqua" w:hAnsi="Book Antiqua" w:cs="Book Antiqua"/>
          <w:color w:val="000000"/>
        </w:rPr>
        <w:t xml:space="preserve">. Furthermore, </w:t>
      </w:r>
      <w:bookmarkStart w:id="114" w:name="OLE_LINK6832"/>
      <w:bookmarkStart w:id="115" w:name="OLE_LINK6833"/>
      <w:bookmarkStart w:id="116" w:name="OLE_LINK6834"/>
      <w:r>
        <w:rPr>
          <w:rFonts w:ascii="Book Antiqua" w:eastAsia="Book Antiqua" w:hAnsi="Book Antiqua" w:cs="Book Antiqua"/>
          <w:color w:val="000000"/>
        </w:rPr>
        <w:t>Fernández-Barral</w:t>
      </w:r>
      <w:bookmarkEnd w:id="114"/>
      <w:bookmarkEnd w:id="115"/>
      <w:bookmarkEnd w:id="116"/>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[86]</w:t>
      </w:r>
      <w:r>
        <w:rPr>
          <w:rFonts w:ascii="Book Antiqua" w:eastAsia="Book Antiqua" w:hAnsi="Book Antiqua" w:cs="Book Antiqua"/>
          <w:color w:val="000000"/>
        </w:rPr>
        <w:t xml:space="preserve"> demonstrated for the first time that activation of VDR can regulate stemness-</w:t>
      </w:r>
      <w:r>
        <w:rPr>
          <w:rFonts w:ascii="Book Antiqua" w:eastAsia="Book Antiqua" w:hAnsi="Book Antiqua" w:cs="Book Antiqua"/>
          <w:color w:val="000000"/>
        </w:rPr>
        <w:lastRenderedPageBreak/>
        <w:t xml:space="preserve">related genes, including </w:t>
      </w:r>
      <w:r>
        <w:rPr>
          <w:rFonts w:ascii="Book Antiqua" w:eastAsia="Book Antiqua" w:hAnsi="Book Antiqua" w:cs="Book Antiqua"/>
          <w:i/>
          <w:iCs/>
          <w:color w:val="000000"/>
        </w:rPr>
        <w:t>LGR5, SMOC2, LRIG1, MSI1, PTK7</w:t>
      </w:r>
      <w:r>
        <w:rPr>
          <w:rFonts w:ascii="Book Antiqua" w:eastAsia="Book Antiqua" w:hAnsi="Book Antiqua" w:cs="Book Antiqua"/>
          <w:color w:val="000000"/>
        </w:rPr>
        <w:t xml:space="preserve">, and </w:t>
      </w:r>
      <w:r>
        <w:rPr>
          <w:rFonts w:ascii="Book Antiqua" w:eastAsia="Book Antiqua" w:hAnsi="Book Antiqua" w:cs="Book Antiqua"/>
          <w:i/>
          <w:iCs/>
          <w:color w:val="000000"/>
        </w:rPr>
        <w:t>MEXA</w:t>
      </w:r>
      <w:r>
        <w:rPr>
          <w:rFonts w:ascii="Book Antiqua" w:eastAsia="Book Antiqua" w:hAnsi="Book Antiqua" w:cs="Book Antiqua"/>
          <w:color w:val="000000"/>
        </w:rPr>
        <w:t>, and decrease cell proliferation in LGR5+ human colonic stem cells. This function is essential for maintaining colonic epithelial homeostasis in IBD.</w:t>
      </w:r>
    </w:p>
    <w:p w14:paraId="2E4533D5" w14:textId="77777777" w:rsidR="00E4592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Paneth cells, which are positioned at the base of small intestinal crypts, release </w:t>
      </w:r>
      <w:r>
        <w:rPr>
          <w:rFonts w:ascii="Book Antiqua" w:eastAsia="Book Antiqua" w:hAnsi="Book Antiqua" w:cs="Book Antiqua" w:hint="eastAsia"/>
          <w:color w:val="000000"/>
        </w:rPr>
        <w:t>α</w:t>
      </w:r>
      <w:r>
        <w:rPr>
          <w:rFonts w:ascii="Book Antiqua" w:eastAsia="宋体" w:hAnsi="Book Antiqua" w:cs="Book Antiqua" w:hint="eastAsia"/>
          <w:color w:val="000000"/>
          <w:lang w:eastAsia="zh-CN"/>
        </w:rPr>
        <w:t>-</w:t>
      </w:r>
      <w:r>
        <w:rPr>
          <w:rFonts w:ascii="Book Antiqua" w:eastAsia="Book Antiqua" w:hAnsi="Book Antiqua" w:cs="Book Antiqua"/>
          <w:color w:val="000000"/>
        </w:rPr>
        <w:t>defensins and play a crucial role in regulating intestinal flora and preserving intestinal homeostasis</w:t>
      </w:r>
      <w:r>
        <w:rPr>
          <w:rFonts w:ascii="Book Antiqua" w:eastAsia="Book Antiqua" w:hAnsi="Book Antiqua" w:cs="Book Antiqua"/>
          <w:color w:val="000000"/>
          <w:vertAlign w:val="superscript"/>
        </w:rPr>
        <w:t>[87]</w:t>
      </w:r>
      <w:r>
        <w:rPr>
          <w:rFonts w:ascii="Book Antiqua" w:eastAsia="Book Antiqua" w:hAnsi="Book Antiqua" w:cs="Book Antiqua"/>
          <w:color w:val="000000"/>
        </w:rPr>
        <w:t>.</w:t>
      </w:r>
      <w:r>
        <w:rPr>
          <w:rFonts w:ascii="Book Antiqua" w:eastAsia="Book Antiqua" w:hAnsi="Book Antiqua" w:cs="Book Antiqua" w:hint="eastAsia"/>
          <w:color w:val="000000"/>
        </w:rPr>
        <w:t xml:space="preserve"> </w:t>
      </w:r>
      <w:r>
        <w:rPr>
          <w:rFonts w:ascii="Book Antiqua" w:eastAsia="Book Antiqua" w:hAnsi="Book Antiqua" w:cs="Book Antiqua"/>
          <w:color w:val="000000"/>
        </w:rPr>
        <w:t>Paneth cells showed a significant decrease in lysozyme</w:t>
      </w:r>
      <w:r>
        <w:rPr>
          <w:rFonts w:ascii="Book Antiqua" w:eastAsia="宋体" w:hAnsi="Book Antiqua" w:cs="Book Antiqua" w:hint="eastAsia"/>
          <w:color w:val="000000"/>
          <w:lang w:eastAsia="zh-CN"/>
        </w:rPr>
        <w:t xml:space="preserve"> activity</w:t>
      </w:r>
      <w:r>
        <w:rPr>
          <w:rFonts w:ascii="Book Antiqua" w:eastAsia="Book Antiqua" w:hAnsi="Book Antiqua" w:cs="Book Antiqua"/>
          <w:color w:val="000000"/>
        </w:rPr>
        <w:t>, a diminished inhibition of pathogenic bacterial growth, and a reduced autophagic response in a Paneth cell-specific VDR knockout mouse model, resulting in an increased inflammatory response. These findings suggest the importance of VDR on Paneth cells in IBD in preventing intestinal inflammation</w:t>
      </w:r>
      <w:r>
        <w:rPr>
          <w:rFonts w:ascii="Book Antiqua" w:eastAsia="Book Antiqua" w:hAnsi="Book Antiqua" w:cs="Book Antiqua"/>
          <w:color w:val="000000"/>
          <w:vertAlign w:val="superscript"/>
        </w:rPr>
        <w:t>[88]</w:t>
      </w:r>
      <w:r>
        <w:rPr>
          <w:rFonts w:ascii="Book Antiqua" w:eastAsia="Book Antiqua" w:hAnsi="Book Antiqua" w:cs="Book Antiqua"/>
          <w:color w:val="000000"/>
        </w:rPr>
        <w:t xml:space="preserve">. Claudin-2 is a linker protein that mediates water transport between epithelial cells, and elevated </w:t>
      </w:r>
      <w:r>
        <w:rPr>
          <w:rFonts w:ascii="Book Antiqua" w:eastAsia="宋体" w:hAnsi="Book Antiqua" w:cs="Book Antiqua" w:hint="eastAsia"/>
          <w:color w:val="000000"/>
          <w:lang w:eastAsia="zh-CN"/>
        </w:rPr>
        <w:t>c</w:t>
      </w:r>
      <w:r>
        <w:rPr>
          <w:rFonts w:ascii="Book Antiqua" w:eastAsia="Book Antiqua" w:hAnsi="Book Antiqua" w:cs="Book Antiqua"/>
          <w:color w:val="000000"/>
        </w:rPr>
        <w:t>laudin-2 has been reported to be associated with active human IBD</w:t>
      </w:r>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Another study showed that in a Salmonella colitis model and a DSS-induced colitis model, VDR deficiency may lead to </w:t>
      </w:r>
      <w:r>
        <w:rPr>
          <w:rFonts w:ascii="Book Antiqua" w:eastAsia="宋体" w:hAnsi="Book Antiqua" w:cs="Book Antiqua" w:hint="eastAsia"/>
          <w:color w:val="000000"/>
          <w:lang w:eastAsia="zh-CN"/>
        </w:rPr>
        <w:t>c</w:t>
      </w:r>
      <w:r>
        <w:rPr>
          <w:rFonts w:ascii="Book Antiqua" w:eastAsia="Book Antiqua" w:hAnsi="Book Antiqua" w:cs="Book Antiqua"/>
          <w:color w:val="000000"/>
        </w:rPr>
        <w:t>laudin-2 hyperfunction and increased permeability in an inflammatory state, resulting in more severe intestinal leakage and intestinal inflammation in mice</w:t>
      </w:r>
      <w:r>
        <w:rPr>
          <w:rFonts w:ascii="Book Antiqua" w:eastAsia="Book Antiqua" w:hAnsi="Book Antiqua" w:cs="Book Antiqua"/>
          <w:color w:val="000000"/>
          <w:vertAlign w:val="superscript"/>
        </w:rPr>
        <w:t>[90]</w:t>
      </w:r>
      <w:r>
        <w:rPr>
          <w:rFonts w:ascii="Book Antiqua" w:eastAsia="Book Antiqua" w:hAnsi="Book Antiqua" w:cs="Book Antiqua"/>
          <w:color w:val="000000"/>
        </w:rPr>
        <w:t xml:space="preserve">. This study highlights the importance of VDR in intestinal mucosal barrier function. In addition, intestinal fibrosis is a common complication of CD. The epithelial-mesenchymal transition (EMT) describes the process by which epithelial cells change from epithelial to mesenchymal cells, a crucial component of fibrogenesis. In addition to inhibiting fibroblast activation and epithelial mitochondria-mediated EMT, Yu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[91]</w:t>
      </w:r>
      <w:r>
        <w:rPr>
          <w:rFonts w:ascii="Book Antiqua" w:eastAsia="Book Antiqua" w:hAnsi="Book Antiqua" w:cs="Book Antiqua"/>
          <w:color w:val="000000"/>
        </w:rPr>
        <w:t xml:space="preserve"> revealed that VDR activation attenuates intestinal fibrosis.</w:t>
      </w:r>
    </w:p>
    <w:p w14:paraId="2FE2355E" w14:textId="77777777" w:rsidR="00E4592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Several recent studies have shown that colonic mucosal VDR expression is reduced in patients with IBD and that VDR transcript expression negatively correlates with IBD inflammation</w:t>
      </w:r>
      <w:r>
        <w:rPr>
          <w:rFonts w:ascii="Book Antiqua" w:eastAsia="Book Antiqua" w:hAnsi="Book Antiqua" w:cs="Book Antiqua"/>
          <w:color w:val="000000"/>
          <w:vertAlign w:val="superscript"/>
        </w:rPr>
        <w:t>[92,93]</w:t>
      </w:r>
      <w:r>
        <w:rPr>
          <w:rFonts w:ascii="Book Antiqua" w:eastAsia="Book Antiqua" w:hAnsi="Book Antiqua" w:cs="Book Antiqua"/>
          <w:color w:val="000000"/>
        </w:rPr>
        <w:t xml:space="preserve">. Yang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[94]</w:t>
      </w:r>
      <w:r>
        <w:rPr>
          <w:rFonts w:ascii="Book Antiqua" w:eastAsia="Book Antiqua" w:hAnsi="Book Antiqua" w:cs="Book Antiqua"/>
          <w:color w:val="000000"/>
        </w:rPr>
        <w:t xml:space="preserve"> found that dysbiosis of the gut microbiota and altered fecal bile acids could regulate the immune response in UC patients. VDR may alleviate intestinal inflammation by down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regulating NF-ĸB signaling and activating autophagy. These findings suggest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restoring intestinal VDR expression in IBD may be a viable therapeutic strategy. In conclusion, these findings contribute to a better understanding of </w:t>
      </w:r>
      <w:r>
        <w:rPr>
          <w:rFonts w:ascii="Book Antiqua" w:eastAsia="Book Antiqua" w:hAnsi="Book Antiqua" w:cs="Book Antiqua"/>
          <w:color w:val="000000"/>
        </w:rPr>
        <w:lastRenderedPageBreak/>
        <w:t>the role of VDR in the etiology of IBD and serve as a significant reference for future research aimed at developing more effective therapeutic options (F</w:t>
      </w:r>
      <w:r>
        <w:rPr>
          <w:rFonts w:ascii="Book Antiqua" w:eastAsia="Book Antiqua" w:hAnsi="Book Antiqua" w:cs="Book Antiqua" w:hint="eastAsia"/>
          <w:color w:val="000000"/>
          <w:lang w:eastAsia="zh-CN"/>
        </w:rPr>
        <w:t>i</w:t>
      </w:r>
      <w:r>
        <w:rPr>
          <w:rFonts w:ascii="Book Antiqua" w:eastAsia="Book Antiqua" w:hAnsi="Book Antiqua" w:cs="Book Antiqua"/>
          <w:color w:val="000000"/>
          <w:lang w:eastAsia="zh-CN"/>
        </w:rPr>
        <w:t>gure 2</w:t>
      </w:r>
      <w:r>
        <w:rPr>
          <w:rFonts w:ascii="Book Antiqua" w:eastAsia="Book Antiqua" w:hAnsi="Book Antiqua" w:cs="Book Antiqua"/>
          <w:color w:val="000000"/>
        </w:rPr>
        <w:t>).</w:t>
      </w:r>
    </w:p>
    <w:p w14:paraId="14261977" w14:textId="77777777" w:rsidR="00E45927" w:rsidRDefault="00E45927">
      <w:pPr>
        <w:spacing w:line="360" w:lineRule="auto"/>
        <w:jc w:val="both"/>
        <w:rPr>
          <w:rFonts w:ascii="Book Antiqua" w:hAnsi="Book Antiqua"/>
        </w:rPr>
      </w:pPr>
    </w:p>
    <w:p w14:paraId="14AB9431" w14:textId="77777777" w:rsidR="00E45927" w:rsidRDefault="00000000">
      <w:pPr>
        <w:spacing w:line="360" w:lineRule="auto"/>
        <w:jc w:val="both"/>
        <w:rPr>
          <w:rFonts w:ascii="Book Antiqua" w:hAnsi="Book Antiqua"/>
          <w:i/>
          <w:iCs/>
        </w:rPr>
      </w:pPr>
      <w:bookmarkStart w:id="117" w:name="OLE_LINK6842"/>
      <w:bookmarkStart w:id="118" w:name="OLE_LINK6843"/>
      <w:r>
        <w:rPr>
          <w:rFonts w:ascii="Book Antiqua" w:eastAsia="Book Antiqua" w:hAnsi="Book Antiqua" w:cs="Book Antiqua"/>
          <w:b/>
          <w:bCs/>
          <w:i/>
          <w:iCs/>
          <w:color w:val="000000"/>
        </w:rPr>
        <w:t>PXR and CAR</w:t>
      </w:r>
    </w:p>
    <w:bookmarkEnd w:id="117"/>
    <w:bookmarkEnd w:id="118"/>
    <w:p w14:paraId="1560EADA" w14:textId="77777777" w:rsidR="00E4592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PXR and CAR are members 2 and 3 of nuclear receptor subfamily 1, group I, NR1I2, and NR1I3, respectively. PXR was first described as a major regulator of CYP family 3 subfamily A (CYP3A) transcription by </w:t>
      </w:r>
      <w:bookmarkStart w:id="119" w:name="OLE_LINK6846"/>
      <w:bookmarkStart w:id="120" w:name="OLE_LINK6847"/>
      <w:bookmarkStart w:id="121" w:name="OLE_LINK6848"/>
      <w:r>
        <w:rPr>
          <w:rFonts w:ascii="Book Antiqua" w:eastAsia="Book Antiqua" w:hAnsi="Book Antiqua" w:cs="Book Antiqua"/>
          <w:color w:val="000000"/>
        </w:rPr>
        <w:t>Kliewer</w:t>
      </w:r>
      <w:bookmarkEnd w:id="119"/>
      <w:bookmarkEnd w:id="120"/>
      <w:bookmarkEnd w:id="121"/>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[95]</w:t>
      </w:r>
      <w:r>
        <w:rPr>
          <w:rFonts w:ascii="Book Antiqua" w:eastAsia="Book Antiqua" w:hAnsi="Book Antiqua" w:cs="Book Antiqua"/>
          <w:color w:val="000000"/>
        </w:rPr>
        <w:t xml:space="preserve"> and </w:t>
      </w:r>
      <w:r>
        <w:rPr>
          <w:rFonts w:ascii="Book Antiqua" w:eastAsia="Book Antiqua" w:hAnsi="Book Antiqua" w:cs="Book Antiqua"/>
        </w:rPr>
        <w:t>Lehmann</w:t>
      </w:r>
      <w:r>
        <w:rPr>
          <w:rFonts w:ascii="Book Antiqua" w:eastAsia="Book Antiqua" w:hAnsi="Book Antiqua" w:cs="Book Antiqua"/>
          <w:color w:val="000000"/>
        </w:rPr>
        <w:t xml:space="preserve"> </w:t>
      </w:r>
      <w:bookmarkStart w:id="122" w:name="OLE_LINK6853"/>
      <w:bookmarkStart w:id="123" w:name="OLE_LINK6854"/>
      <w:r>
        <w:rPr>
          <w:rFonts w:ascii="Book Antiqua" w:eastAsia="Book Antiqua" w:hAnsi="Book Antiqua" w:cs="Book Antiqua"/>
          <w:i/>
          <w:iCs/>
          <w:color w:val="000000"/>
        </w:rPr>
        <w:t>et al</w:t>
      </w:r>
      <w:bookmarkEnd w:id="122"/>
      <w:bookmarkEnd w:id="123"/>
      <w:r>
        <w:rPr>
          <w:rFonts w:ascii="Book Antiqua" w:eastAsia="Book Antiqua" w:hAnsi="Book Antiqua" w:cs="Book Antiqua"/>
          <w:color w:val="000000"/>
          <w:vertAlign w:val="superscript"/>
        </w:rPr>
        <w:t>[96]</w:t>
      </w:r>
      <w:r>
        <w:rPr>
          <w:rFonts w:ascii="Book Antiqua" w:eastAsia="Book Antiqua" w:hAnsi="Book Antiqua" w:cs="Book Antiqua"/>
          <w:color w:val="000000"/>
        </w:rPr>
        <w:t xml:space="preserve"> in 1998</w:t>
      </w:r>
      <w:bookmarkStart w:id="124" w:name="OLE_LINK6852"/>
      <w:bookmarkStart w:id="125" w:name="OLE_LINK6851"/>
      <w:r>
        <w:rPr>
          <w:rFonts w:ascii="Book Antiqua" w:eastAsia="Book Antiqua" w:hAnsi="Book Antiqua" w:cs="Book Antiqua"/>
          <w:color w:val="000000"/>
        </w:rPr>
        <w:t>.</w:t>
      </w:r>
      <w:bookmarkEnd w:id="124"/>
      <w:bookmarkEnd w:id="125"/>
      <w:r>
        <w:rPr>
          <w:rFonts w:ascii="Book Antiqua" w:eastAsia="Book Antiqua" w:hAnsi="Book Antiqua" w:cs="Book Antiqua"/>
          <w:color w:val="000000"/>
        </w:rPr>
        <w:t xml:space="preserve"> In contrast, CAR was first reported by </w:t>
      </w:r>
      <w:bookmarkStart w:id="126" w:name="OLE_LINK6855"/>
      <w:bookmarkStart w:id="127" w:name="OLE_LINK6856"/>
      <w:bookmarkStart w:id="128" w:name="OLE_LINK6857"/>
      <w:r>
        <w:rPr>
          <w:rFonts w:ascii="Book Antiqua" w:eastAsia="Book Antiqua" w:hAnsi="Book Antiqua" w:cs="Book Antiqua"/>
          <w:color w:val="000000"/>
        </w:rPr>
        <w:t>Baes</w:t>
      </w:r>
      <w:bookmarkEnd w:id="126"/>
      <w:bookmarkEnd w:id="127"/>
      <w:bookmarkEnd w:id="128"/>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[97]</w:t>
      </w:r>
      <w:r>
        <w:rPr>
          <w:rFonts w:ascii="Book Antiqua" w:eastAsia="Book Antiqua" w:hAnsi="Book Antiqua" w:cs="Book Antiqua"/>
          <w:color w:val="000000"/>
        </w:rPr>
        <w:t xml:space="preserve"> in 1994 and was later found to be a transcriptional regulator of CYP2B6. PXR and CAR have the typical modular nuclear receptor structure, which consists of a hinge, a DNA-binding domain, a ligand-binding domain, activation function 1, and activation function 2.</w:t>
      </w:r>
      <w:r>
        <w:rPr>
          <w:rFonts w:ascii="Book Antiqua" w:eastAsia="Book Antiqua" w:hAnsi="Book Antiqua" w:cs="Book Antiqua" w:hint="eastAsia"/>
          <w:color w:val="000000"/>
        </w:rPr>
        <w:t xml:space="preserve"> </w:t>
      </w:r>
      <w:r>
        <w:rPr>
          <w:rFonts w:ascii="Book Antiqua" w:eastAsia="Book Antiqua" w:hAnsi="Book Antiqua" w:cs="Book Antiqua"/>
          <w:color w:val="000000"/>
        </w:rPr>
        <w:t>In addition to many endogenous and exogenous complex ligands, several subsequent studies have shown that PXR and CAR are hybrid receptors that can also accommodate LCA and CDCA and function as sensors for LCA and CDCA</w:t>
      </w:r>
      <w:r>
        <w:rPr>
          <w:rFonts w:ascii="Book Antiqua" w:eastAsia="Book Antiqua" w:hAnsi="Book Antiqua" w:cs="Book Antiqua"/>
          <w:color w:val="000000"/>
          <w:vertAlign w:val="superscript"/>
        </w:rPr>
        <w:t>[98]</w:t>
      </w:r>
      <w:r>
        <w:rPr>
          <w:rFonts w:ascii="Book Antiqua" w:eastAsia="Book Antiqua" w:hAnsi="Book Antiqua" w:cs="Book Antiqua"/>
          <w:color w:val="000000"/>
        </w:rPr>
        <w:t xml:space="preserve">. PXR and CAR are key transcription factors that regulate intestinal homeostasis. </w:t>
      </w:r>
      <w:bookmarkStart w:id="129" w:name="OLE_LINK6859"/>
      <w:bookmarkStart w:id="130" w:name="OLE_LINK6858"/>
      <w:r>
        <w:rPr>
          <w:rFonts w:ascii="Book Antiqua" w:eastAsia="Book Antiqua" w:hAnsi="Book Antiqua" w:cs="Book Antiqua"/>
          <w:color w:val="000000"/>
        </w:rPr>
        <w:t>Uehara</w:t>
      </w:r>
      <w:bookmarkEnd w:id="129"/>
      <w:bookmarkEnd w:id="130"/>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[99</w:t>
      </w:r>
      <w:bookmarkStart w:id="131" w:name="OLE_LINK6861"/>
      <w:bookmarkStart w:id="132" w:name="OLE_LINK6860"/>
      <w:r>
        <w:rPr>
          <w:rFonts w:ascii="Book Antiqua" w:eastAsia="Book Antiqua" w:hAnsi="Book Antiqua" w:cs="Book Antiqua"/>
          <w:color w:val="000000"/>
          <w:vertAlign w:val="superscript"/>
        </w:rPr>
        <w:t>]</w:t>
      </w:r>
      <w:bookmarkEnd w:id="131"/>
      <w:bookmarkEnd w:id="132"/>
      <w:r>
        <w:rPr>
          <w:rFonts w:ascii="Book Antiqua" w:eastAsia="Book Antiqua" w:hAnsi="Book Antiqua" w:cs="Book Antiqua"/>
          <w:color w:val="000000"/>
        </w:rPr>
        <w:t xml:space="preserve"> demonstrated that PXR might reduce apoptosis in a mouse model of DSS-induced colitis by lowering the mRNA expression of pro-inflammatory cytokines (TNF-</w:t>
      </w:r>
      <w:r>
        <w:rPr>
          <w:rFonts w:ascii="Book Antiqua" w:eastAsia="Book Antiqua" w:hAnsi="Book Antiqua" w:cs="Book Antiqua" w:hint="eastAsia"/>
          <w:color w:val="000000"/>
        </w:rPr>
        <w:t>α</w:t>
      </w:r>
      <w:r>
        <w:rPr>
          <w:rFonts w:ascii="Book Antiqua" w:eastAsia="Book Antiqua" w:hAnsi="Book Antiqua" w:cs="Book Antiqua"/>
          <w:color w:val="000000"/>
        </w:rPr>
        <w:t xml:space="preserve"> and IL-1</w:t>
      </w:r>
      <w:r>
        <w:rPr>
          <w:rFonts w:ascii="Book Antiqua" w:eastAsia="Book Antiqua" w:hAnsi="Book Antiqua" w:cs="Book Antiqua" w:hint="eastAsia"/>
          <w:color w:val="000000"/>
        </w:rPr>
        <w:t>β</w:t>
      </w:r>
      <w:r>
        <w:rPr>
          <w:rFonts w:ascii="Book Antiqua" w:eastAsia="Book Antiqua" w:hAnsi="Book Antiqua" w:cs="Book Antiqua"/>
          <w:color w:val="000000"/>
        </w:rPr>
        <w:t>). CAR inhibits apoptosis by inducing Gadd45b. Both of them protected mice from DSS-induced colitis. Interestingly, they also observed that the protective effect of FXR activation on CAR knockout mice and the protective effect of CAR activation on PXR knockout mice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reduced. CAR and PXR can synergistically ameliorate DSS-induced colitis. Another study showed that PXR and CAR deficiency synergistically increased the pro-inflammatory bacteria </w:t>
      </w:r>
      <w:r>
        <w:rPr>
          <w:rFonts w:ascii="Book Antiqua" w:eastAsia="Book Antiqua" w:hAnsi="Book Antiqua" w:cs="Book Antiqua"/>
          <w:i/>
          <w:iCs/>
          <w:color w:val="000000"/>
        </w:rPr>
        <w:t>Helicobacteraceae</w:t>
      </w:r>
      <w:r>
        <w:rPr>
          <w:rFonts w:ascii="Book Antiqua" w:eastAsia="Book Antiqua" w:hAnsi="Book Antiqua" w:cs="Book Antiqua"/>
          <w:color w:val="000000"/>
        </w:rPr>
        <w:t xml:space="preserve"> and </w:t>
      </w:r>
      <w:r>
        <w:rPr>
          <w:rFonts w:ascii="Book Antiqua" w:eastAsia="Book Antiqua" w:hAnsi="Book Antiqua" w:cs="Book Antiqua"/>
          <w:i/>
          <w:iCs/>
          <w:color w:val="000000"/>
        </w:rPr>
        <w:t>Helicobacter</w:t>
      </w:r>
      <w:r>
        <w:rPr>
          <w:rFonts w:ascii="Book Antiqua" w:eastAsia="Book Antiqua" w:hAnsi="Book Antiqua" w:cs="Book Antiqua"/>
          <w:color w:val="000000"/>
        </w:rPr>
        <w:t xml:space="preserve"> and the relative abundance of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has BSHs activity, corresponding to a decrease in primary taurine-bound bile acids in feces. This may lead to an increased internal burden of taurine and unbound bile acids, which are associated with inflammation, oxidative stress, and cytotoxicity</w:t>
      </w:r>
      <w:r>
        <w:rPr>
          <w:rFonts w:ascii="Book Antiqua" w:eastAsia="Book Antiqua" w:hAnsi="Book Antiqua" w:cs="Book Antiqua"/>
          <w:color w:val="000000"/>
          <w:vertAlign w:val="superscript"/>
        </w:rPr>
        <w:t>[100]</w:t>
      </w:r>
      <w:r>
        <w:rPr>
          <w:rFonts w:ascii="Book Antiqua" w:eastAsia="Book Antiqua" w:hAnsi="Book Antiqua" w:cs="Book Antiqua"/>
          <w:color w:val="000000"/>
        </w:rPr>
        <w:t>.</w:t>
      </w:r>
    </w:p>
    <w:p w14:paraId="421E78E0" w14:textId="77777777" w:rsidR="00E4592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metabolism of tryptophan produces indole-3-propionic acid (IPA) in the intestine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Pr>
          <w:rFonts w:ascii="Book Antiqua" w:eastAsia="Book Antiqua" w:hAnsi="Book Antiqua" w:cs="Book Antiqua"/>
          <w:i/>
          <w:iCs/>
          <w:color w:val="000000"/>
        </w:rPr>
        <w:t>Clostridium perfringens</w:t>
      </w:r>
      <w:r>
        <w:rPr>
          <w:rFonts w:ascii="Book Antiqua" w:eastAsia="Book Antiqua" w:hAnsi="Book Antiqua" w:cs="Book Antiqua"/>
          <w:color w:val="000000"/>
        </w:rPr>
        <w:t>. Previous studies have shown that it can affect mucosal barrier function and inflammation through interaction with PXR</w:t>
      </w:r>
      <w:r>
        <w:rPr>
          <w:rFonts w:ascii="Book Antiqua" w:eastAsia="Book Antiqua" w:hAnsi="Book Antiqua" w:cs="Book Antiqua"/>
          <w:color w:val="000000"/>
          <w:vertAlign w:val="superscript"/>
        </w:rPr>
        <w:t>[101]</w:t>
      </w:r>
      <w:r>
        <w:rPr>
          <w:rFonts w:ascii="Book Antiqua" w:eastAsia="Book Antiqua" w:hAnsi="Book Antiqua" w:cs="Book Antiqua"/>
          <w:color w:val="000000"/>
        </w:rPr>
        <w:t xml:space="preserve">. </w:t>
      </w:r>
      <w:bookmarkStart w:id="133" w:name="OLE_LINK6862"/>
      <w:bookmarkStart w:id="134" w:name="OLE_LINK6866"/>
      <w:bookmarkStart w:id="135" w:name="OLE_LINK6864"/>
      <w:bookmarkStart w:id="136" w:name="OLE_LINK6865"/>
      <w:bookmarkStart w:id="137" w:name="OLE_LINK6863"/>
      <w:r>
        <w:rPr>
          <w:rFonts w:ascii="Book Antiqua" w:eastAsia="Book Antiqua" w:hAnsi="Book Antiqua" w:cs="Book Antiqua"/>
          <w:color w:val="000000"/>
        </w:rPr>
        <w:t>Flannigan</w:t>
      </w:r>
      <w:bookmarkEnd w:id="133"/>
      <w:bookmarkEnd w:id="134"/>
      <w:bookmarkEnd w:id="135"/>
      <w:bookmarkEnd w:id="136"/>
      <w:bookmarkEnd w:id="137"/>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found </w:t>
      </w:r>
      <w:r>
        <w:rPr>
          <w:rFonts w:ascii="Book Antiqua" w:eastAsia="Book Antiqua" w:hAnsi="Book Antiqua" w:cs="Book Antiqua"/>
          <w:color w:val="000000"/>
        </w:rPr>
        <w:lastRenderedPageBreak/>
        <w:t xml:space="preserve">that PXR-deficient myofibroblasts overreact to stimuli and produce higher inflammatory mediators. In addition, biopsies from CD and UC patients revealed a correlation between decreased PXR expression and increased expression of fibrosis and innate immune genes. Intriguingly, they discovered that IPA decreased intestinal inflammation and fibrosis in mice with DSS-induced colitis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activating PXR, whereas microbiota removal increased intestinal inflammation and fibrosis</w:t>
      </w:r>
      <w:bookmarkStart w:id="138" w:name="OLE_LINK7200"/>
      <w:bookmarkStart w:id="139" w:name="OLE_LINK7199"/>
      <w:bookmarkStart w:id="140" w:name="OLE_LINK7201"/>
      <w:r>
        <w:rPr>
          <w:rFonts w:ascii="Book Antiqua" w:eastAsia="Book Antiqua" w:hAnsi="Book Antiqua" w:cs="Book Antiqua"/>
          <w:color w:val="000000"/>
          <w:vertAlign w:val="superscript"/>
        </w:rPr>
        <w:t>[102]</w:t>
      </w:r>
      <w:bookmarkEnd w:id="138"/>
      <w:bookmarkEnd w:id="139"/>
      <w:bookmarkEnd w:id="140"/>
      <w:r>
        <w:rPr>
          <w:rFonts w:ascii="Book Antiqua" w:eastAsia="Book Antiqua" w:hAnsi="Book Antiqua" w:cs="Book Antiqua"/>
          <w:color w:val="000000"/>
        </w:rPr>
        <w:t xml:space="preserve">. These findings suggest that the interaction of the microbiota metabolite IPA with PXR may be an important determinant of the progression of fibrotic complications in IBD. In addition, </w:t>
      </w:r>
      <w:bookmarkStart w:id="141" w:name="OLE_LINK6869"/>
      <w:bookmarkStart w:id="142" w:name="OLE_LINK6870"/>
      <w:bookmarkStart w:id="143" w:name="OLE_LINK6867"/>
      <w:bookmarkStart w:id="144" w:name="OLE_LINK6868"/>
      <w:r>
        <w:rPr>
          <w:rFonts w:ascii="Book Antiqua" w:eastAsia="Book Antiqua" w:hAnsi="Book Antiqua" w:cs="Book Antiqua"/>
          <w:color w:val="000000"/>
        </w:rPr>
        <w:t>Deuring</w:t>
      </w:r>
      <w:bookmarkEnd w:id="141"/>
      <w:bookmarkEnd w:id="142"/>
      <w:r>
        <w:rPr>
          <w:rFonts w:ascii="Book Antiqua" w:eastAsia="Book Antiqua" w:hAnsi="Book Antiqua" w:cs="Book Antiqua"/>
          <w:color w:val="000000"/>
        </w:rPr>
        <w:t xml:space="preserve"> </w:t>
      </w:r>
      <w:bookmarkEnd w:id="143"/>
      <w:bookmarkEnd w:id="144"/>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[103]</w:t>
      </w:r>
      <w:r>
        <w:rPr>
          <w:rFonts w:ascii="Book Antiqua" w:eastAsia="Book Antiqua" w:hAnsi="Book Antiqua" w:cs="Book Antiqua"/>
          <w:color w:val="000000"/>
        </w:rPr>
        <w:t xml:space="preserve"> found a strict negative association between colonic epithelial PXR levels and NF-B target gene expression in CD patient colon biopsy tissue. During IBD, their findings show that PXR is a substantial and clinically relevant antagonist of NF-B activity in the intestinal epithelium</w:t>
      </w:r>
      <w:r>
        <w:rPr>
          <w:rFonts w:ascii="Book Antiqua" w:eastAsia="Book Antiqua" w:hAnsi="Book Antiqua" w:cs="Book Antiqua"/>
          <w:color w:val="000000"/>
          <w:vertAlign w:val="superscript"/>
        </w:rPr>
        <w:t>[103]</w:t>
      </w:r>
      <w:r>
        <w:rPr>
          <w:rFonts w:ascii="Book Antiqua" w:eastAsia="Book Antiqua" w:hAnsi="Book Antiqua" w:cs="Book Antiqua"/>
          <w:color w:val="000000"/>
        </w:rPr>
        <w:t>.</w:t>
      </w:r>
    </w:p>
    <w:p w14:paraId="260FEE63" w14:textId="77777777" w:rsidR="00E4592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MDR1 is a membrane-associated, ATP-dependent efflux pump preferentially expressed in intestinal and circulating human CD4+ effector T cells</w:t>
      </w:r>
      <w:r>
        <w:rPr>
          <w:rFonts w:ascii="Book Antiqua" w:eastAsia="Book Antiqua" w:hAnsi="Book Antiqua" w:cs="Book Antiqua"/>
          <w:color w:val="000000"/>
          <w:vertAlign w:val="superscript"/>
        </w:rPr>
        <w:t>[104]</w:t>
      </w:r>
      <w:r>
        <w:rPr>
          <w:rFonts w:ascii="Book Antiqua" w:eastAsia="Book Antiqua" w:hAnsi="Book Antiqua" w:cs="Book Antiqua"/>
          <w:color w:val="000000"/>
        </w:rPr>
        <w:t xml:space="preserve">. Chen </w:t>
      </w:r>
      <w:bookmarkStart w:id="145" w:name="OLE_LINK7203"/>
      <w:bookmarkStart w:id="146" w:name="OLE_LINK7202"/>
      <w:r>
        <w:rPr>
          <w:rFonts w:ascii="Book Antiqua" w:eastAsia="Book Antiqua" w:hAnsi="Book Antiqua" w:cs="Book Antiqua"/>
          <w:i/>
          <w:iCs/>
          <w:color w:val="000000"/>
        </w:rPr>
        <w:t>et al</w:t>
      </w:r>
      <w:bookmarkEnd w:id="145"/>
      <w:bookmarkEnd w:id="146"/>
      <w:r>
        <w:rPr>
          <w:rFonts w:ascii="Book Antiqua" w:eastAsia="Book Antiqua" w:hAnsi="Book Antiqua" w:cs="Book Antiqua"/>
          <w:color w:val="000000"/>
          <w:vertAlign w:val="superscript"/>
        </w:rPr>
        <w:t>[105]</w:t>
      </w:r>
      <w:r>
        <w:rPr>
          <w:rFonts w:ascii="Book Antiqua" w:eastAsia="Book Antiqua" w:hAnsi="Book Antiqua" w:cs="Book Antiqua"/>
          <w:color w:val="000000"/>
        </w:rPr>
        <w:t xml:space="preserve"> discovered CAR as a regulator of MDR1 expression in T cells that prevents bile acid toxicity and inflammation in the mouse small intestine. Activation of CAR induces not only the expression of detoxifying enzymes and transporters in CD4+ T effector cells in the lamina propria of the small intestine, but also the expression of the key anti-inflammatory cytokine IL-10. The activation of these programs provides an unexpected strategy for treating IBD and defines the subspecialization of lymphocytes in the small intestine.</w:t>
      </w:r>
    </w:p>
    <w:p w14:paraId="4C390A9B" w14:textId="77777777" w:rsidR="00E45927" w:rsidRDefault="00E45927">
      <w:pPr>
        <w:spacing w:line="360" w:lineRule="auto"/>
        <w:jc w:val="both"/>
        <w:rPr>
          <w:rFonts w:ascii="Book Antiqua" w:eastAsia="Book Antiqua" w:hAnsi="Book Antiqua" w:cs="Book Antiqua"/>
          <w:b/>
          <w:bCs/>
          <w:color w:val="000000"/>
          <w:lang w:eastAsia="zh-CN"/>
        </w:rPr>
      </w:pPr>
    </w:p>
    <w:p w14:paraId="4358B074" w14:textId="77777777" w:rsidR="00E45927" w:rsidRDefault="00000000">
      <w:pPr>
        <w:spacing w:line="360" w:lineRule="auto"/>
        <w:jc w:val="both"/>
        <w:rPr>
          <w:rFonts w:ascii="Book Antiqua" w:hAnsi="Book Antiqua"/>
          <w:i/>
          <w:iCs/>
        </w:rPr>
      </w:pPr>
      <w:bookmarkStart w:id="147" w:name="OLE_LINK6871"/>
      <w:bookmarkStart w:id="148" w:name="OLE_LINK6872"/>
      <w:r>
        <w:rPr>
          <w:rFonts w:ascii="Book Antiqua" w:eastAsia="Book Antiqua" w:hAnsi="Book Antiqua" w:cs="Book Antiqua"/>
          <w:b/>
          <w:bCs/>
          <w:i/>
          <w:iCs/>
          <w:color w:val="000000"/>
        </w:rPr>
        <w:t>S1PR2</w:t>
      </w:r>
    </w:p>
    <w:bookmarkEnd w:id="147"/>
    <w:bookmarkEnd w:id="148"/>
    <w:p w14:paraId="3C762B4E" w14:textId="77777777" w:rsidR="00E45927" w:rsidRDefault="00000000">
      <w:pPr>
        <w:spacing w:line="360" w:lineRule="auto"/>
        <w:jc w:val="both"/>
        <w:rPr>
          <w:rFonts w:ascii="Book Antiqua" w:hAnsi="Book Antiqua"/>
        </w:rPr>
      </w:pPr>
      <w:r>
        <w:rPr>
          <w:rFonts w:ascii="Book Antiqua" w:eastAsia="Book Antiqua" w:hAnsi="Book Antiqua" w:cs="Book Antiqua"/>
          <w:color w:val="000000"/>
        </w:rPr>
        <w:t>S1PR2 is highly expressed in the ileum and colon, and it can be activated by the conjugated main bile acids GCA and TCA as well as GCDCA and TCA</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Vascular and immune dysfunction </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thought to be involved in the pathogenesis of IBD, but the exact mechanisms of mucosal vascular endothelial barrier dysfunction and macrophage phenotypic transformation are not fully clarified. </w:t>
      </w:r>
      <w:bookmarkStart w:id="149" w:name="OLE_LINK6875"/>
      <w:bookmarkStart w:id="150" w:name="OLE_LINK6876"/>
      <w:r>
        <w:rPr>
          <w:rFonts w:ascii="Book Antiqua" w:eastAsia="Book Antiqua" w:hAnsi="Book Antiqua" w:cs="Book Antiqua"/>
          <w:color w:val="000000"/>
        </w:rPr>
        <w:t>Wan</w:t>
      </w:r>
      <w:bookmarkStart w:id="151" w:name="OLE_LINK6874"/>
      <w:bookmarkStart w:id="152" w:name="OLE_LINK6873"/>
      <w:r>
        <w:rPr>
          <w:rFonts w:ascii="Book Antiqua" w:eastAsia="Book Antiqua" w:hAnsi="Book Antiqua" w:cs="Book Antiqua"/>
          <w:color w:val="000000"/>
        </w:rPr>
        <w:t>g</w:t>
      </w:r>
      <w:bookmarkEnd w:id="149"/>
      <w:bookmarkEnd w:id="150"/>
      <w:bookmarkEnd w:id="151"/>
      <w:bookmarkEnd w:id="152"/>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discovered that S1PR2 expression was considerably enhanced in intestinal mucosal vascular endotheli</w:t>
      </w:r>
      <w:r>
        <w:rPr>
          <w:rFonts w:ascii="Book Antiqua" w:eastAsia="宋体" w:hAnsi="Book Antiqua" w:cs="Book Antiqua" w:hint="eastAsia"/>
          <w:color w:val="000000"/>
          <w:lang w:eastAsia="zh-CN"/>
        </w:rPr>
        <w:t>al</w:t>
      </w:r>
      <w:r>
        <w:rPr>
          <w:rFonts w:ascii="Book Antiqua" w:eastAsia="Book Antiqua" w:hAnsi="Book Antiqua" w:cs="Book Antiqua"/>
          <w:color w:val="000000"/>
        </w:rPr>
        <w:t xml:space="preserve"> cells and macrophages from IBD patients and animals with DSS-induced colitis, as well as in </w:t>
      </w:r>
      <w:r>
        <w:rPr>
          <w:rFonts w:ascii="Book Antiqua" w:eastAsia="Book Antiqua" w:hAnsi="Book Antiqua" w:cs="Book Antiqua"/>
          <w:color w:val="000000"/>
        </w:rPr>
        <w:lastRenderedPageBreak/>
        <w:t xml:space="preserve">vascular endothelial cells and macrophages treated with LPS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Knockdown or inhibition of S1PR2 expression significantly reduced the expression of RhoA and ROCK1 in vascular endothelial cells and macrophages. Furthermore, they discovered that inhibiting S1PR2 and ROCK1 reversed impaired vascular barrier function and M1 macrophage polarisation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while decreasing endoplasmic reticulum stress and macrophage glycolysis in vascular endothelial cells,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reversing LPS-induced impairment of M1 macrophage polarisation and vascular endothelial cell barrier dysfunction. The results imply that the S1PR2/RhoA/ROCK1 signalling pathway, which regulates vascular endothelial cell barrier function and M1 macrophage polarisation, may have a role in the aetiology of IBD</w:t>
      </w:r>
      <w:r>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Chen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[107]</w:t>
      </w:r>
      <w:r>
        <w:rPr>
          <w:rFonts w:ascii="Book Antiqua" w:eastAsia="Book Antiqua" w:hAnsi="Book Antiqua" w:cs="Book Antiqua"/>
          <w:color w:val="000000"/>
        </w:rPr>
        <w:t xml:space="preserve"> previously demonstrated that S1PR2 is abundantly expressed in intestinal epithelial cells and stimulates IEC proliferation and migration. However, the precise role of S1PR2 in UC is unknown. They recently discovered that S1PR2 may play a significant role in intestinal epithelial cell proliferation and barrier maintenance by influencing the expression levels of SphK2, HDAC1, HDAC2, and ERK1/2 signaling pathways. Surprisingly, they discovered that inhibiting S1PR2 in the UC mouse model might also reduce the severity of colonic pathological injury in mice, which was followed by a drop in TNF-α and IL-18 Levels in their serum</w:t>
      </w:r>
      <w:r>
        <w:rPr>
          <w:rFonts w:ascii="Book Antiqua" w:eastAsia="Book Antiqua" w:hAnsi="Book Antiqua" w:cs="Book Antiqua"/>
          <w:color w:val="000000"/>
          <w:vertAlign w:val="superscript"/>
        </w:rPr>
        <w:t>[107]</w:t>
      </w:r>
      <w:r>
        <w:rPr>
          <w:rFonts w:ascii="Book Antiqua" w:eastAsia="Book Antiqua" w:hAnsi="Book Antiqua" w:cs="Book Antiqua"/>
          <w:color w:val="000000"/>
        </w:rPr>
        <w:t>. These findings reveal that S1PR2, despite its beneficial effects on intestinal epithelial cell proliferation and barrier maintenance, may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be a key pathogenic factor in UC. In addition, researchers discovered that DCA dose-dependently increased S1PR2 expression in a mouse model of colitis. Meanwhile, at least in part, DCA-induced NLRP3 inflammasome activation was achieved by stimulating the ERK1/2 signaling pathway downstream of S1PR2 to promote cathepsin B release. S1PR2/ERK1/2/cathepsin B signaling is key in triggering DCA activation of inflammatory vesicles</w:t>
      </w:r>
      <w:r>
        <w:rPr>
          <w:rFonts w:ascii="Book Antiqua" w:eastAsia="Book Antiqua" w:hAnsi="Book Antiqua" w:cs="Book Antiqua"/>
          <w:color w:val="000000"/>
          <w:vertAlign w:val="superscript"/>
        </w:rPr>
        <w:t>[108]</w:t>
      </w:r>
      <w:r>
        <w:rPr>
          <w:rFonts w:ascii="Book Antiqua" w:eastAsia="Book Antiqua" w:hAnsi="Book Antiqua" w:cs="Book Antiqua"/>
          <w:color w:val="000000"/>
        </w:rPr>
        <w:t>. The results of this study suggest that S1PR2 should be investigated further as a possible treatment for IBD.</w:t>
      </w:r>
    </w:p>
    <w:p w14:paraId="1C682F06" w14:textId="77777777" w:rsidR="00E45927" w:rsidRDefault="00E45927">
      <w:pPr>
        <w:spacing w:line="360" w:lineRule="auto"/>
        <w:jc w:val="both"/>
        <w:rPr>
          <w:rFonts w:ascii="Book Antiqua" w:hAnsi="Book Antiqua"/>
        </w:rPr>
      </w:pPr>
    </w:p>
    <w:p w14:paraId="63E0AAEE" w14:textId="77777777" w:rsidR="00E45927" w:rsidRDefault="00000000">
      <w:pPr>
        <w:spacing w:line="360" w:lineRule="auto"/>
        <w:jc w:val="both"/>
        <w:rPr>
          <w:rFonts w:ascii="Book Antiqua" w:hAnsi="Book Antiqua"/>
        </w:rPr>
      </w:pPr>
      <w:r>
        <w:rPr>
          <w:rFonts w:ascii="Book Antiqua" w:eastAsia="Book Antiqua" w:hAnsi="Book Antiqua" w:cs="Book Antiqua"/>
          <w:b/>
          <w:bCs/>
          <w:caps/>
          <w:color w:val="000000"/>
          <w:u w:val="single"/>
        </w:rPr>
        <w:t>potential therapeutic targets of bile acids and their receptors in IBD</w:t>
      </w:r>
    </w:p>
    <w:p w14:paraId="3D0A5DAE" w14:textId="77777777" w:rsidR="00E45927" w:rsidRDefault="00000000">
      <w:pPr>
        <w:spacing w:line="360" w:lineRule="auto"/>
        <w:jc w:val="both"/>
        <w:rPr>
          <w:rFonts w:ascii="Book Antiqua" w:hAnsi="Book Antiqua"/>
          <w:i/>
          <w:iCs/>
        </w:rPr>
      </w:pPr>
      <w:bookmarkStart w:id="153" w:name="OLE_LINK6878"/>
      <w:bookmarkStart w:id="154" w:name="OLE_LINK6877"/>
      <w:r>
        <w:rPr>
          <w:rFonts w:ascii="Book Antiqua" w:eastAsia="Book Antiqua" w:hAnsi="Book Antiqua" w:cs="Book Antiqua"/>
          <w:b/>
          <w:bCs/>
          <w:i/>
          <w:iCs/>
          <w:color w:val="000000"/>
        </w:rPr>
        <w:t>Bile acid receptor agonists or inhibitors</w:t>
      </w:r>
    </w:p>
    <w:bookmarkEnd w:id="153"/>
    <w:bookmarkEnd w:id="154"/>
    <w:p w14:paraId="51B8A14B" w14:textId="77777777" w:rsidR="00E45927"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Based on growing knowledge and understanding of the mechanism of action of bile acid receptors, the development of medications targeting the bile acid receptor activity that changes considerably during the progression of IBD may give a more specific therapeutic effect. The development of bile acid receptor agonists or antagonists is widely recognized as a promising therapeutic avenue for treating IBD and is a hot area of research (Table 2). Recently, </w:t>
      </w:r>
      <w:bookmarkStart w:id="155" w:name="OLE_LINK6880"/>
      <w:bookmarkStart w:id="156" w:name="OLE_LINK7075"/>
      <w:bookmarkStart w:id="157" w:name="OLE_LINK6879"/>
      <w:bookmarkStart w:id="158" w:name="OLE_LINK6881"/>
      <w:bookmarkStart w:id="159" w:name="OLE_LINK7080"/>
      <w:r>
        <w:rPr>
          <w:rFonts w:ascii="Book Antiqua" w:eastAsia="Book Antiqua" w:hAnsi="Book Antiqua" w:cs="Book Antiqua"/>
          <w:color w:val="000000"/>
        </w:rPr>
        <w:t>Miyazaki</w:t>
      </w:r>
      <w:bookmarkEnd w:id="155"/>
      <w:bookmarkEnd w:id="156"/>
      <w:bookmarkEnd w:id="157"/>
      <w:bookmarkEnd w:id="158"/>
      <w:bookmarkEnd w:id="159"/>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[109]</w:t>
      </w:r>
      <w:r>
        <w:rPr>
          <w:rFonts w:ascii="Book Antiqua" w:eastAsia="Book Antiqua" w:hAnsi="Book Antiqua" w:cs="Book Antiqua"/>
          <w:color w:val="000000"/>
        </w:rPr>
        <w:t xml:space="preserve"> showed that administration of the novel FXR agonist nelumal A induced the expression of FXR target genes and tight junction proteins in the intestine while decreasing the expression of hepatic bile acid synthesis genes, effectively reducing colitis and inhibiting colitis-related carcinogenesis. Another study found that the FXR agonist nigakinone alleviate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DSS-induced experimental colitis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regulating bile acid profile and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FXR/NLRP3 signaling pathway. </w:t>
      </w:r>
      <w:r>
        <w:rPr>
          <w:rFonts w:ascii="Book Antiqua" w:eastAsia="宋体" w:hAnsi="Book Antiqua" w:cs="Book Antiqua" w:hint="eastAsia"/>
          <w:color w:val="000000"/>
          <w:lang w:eastAsia="zh-CN"/>
        </w:rPr>
        <w:t xml:space="preserve">It </w:t>
      </w:r>
      <w:r>
        <w:rPr>
          <w:rFonts w:ascii="Book Antiqua" w:eastAsia="Book Antiqua" w:hAnsi="Book Antiqua" w:cs="Book Antiqua"/>
          <w:color w:val="000000"/>
        </w:rPr>
        <w:t>inhibited inflammatory cytokine production by activating the FXR/NLRP3 signaling pathway and regulated bile acid metabolism by controlling cholesterol hydroxylase and FXR-mediated transporter proteins, reducing bile acid accumulation in the colon and thereby reducing colitis</w:t>
      </w:r>
      <w:r>
        <w:rPr>
          <w:rFonts w:ascii="Book Antiqua" w:eastAsia="Book Antiqua" w:hAnsi="Book Antiqua" w:cs="Book Antiqua"/>
          <w:color w:val="000000"/>
          <w:vertAlign w:val="superscript"/>
        </w:rPr>
        <w:t>[110]</w:t>
      </w:r>
      <w:r>
        <w:rPr>
          <w:rFonts w:ascii="Book Antiqua" w:eastAsia="Book Antiqua" w:hAnsi="Book Antiqua" w:cs="Book Antiqua"/>
          <w:color w:val="000000"/>
        </w:rPr>
        <w:t>. Although FXR agonists exhibit very positive effects, they are also commonly associated with many side effects. Its most common side effects are dose-dependent pruritus and an increased LDL:HDL ratio, which may increase the risk of atherosclerosis. Its long-term efficacy remains to be determined</w:t>
      </w:r>
      <w:r>
        <w:rPr>
          <w:rFonts w:ascii="Book Antiqua" w:eastAsia="Book Antiqua" w:hAnsi="Book Antiqua" w:cs="Book Antiqua"/>
          <w:color w:val="000000"/>
          <w:vertAlign w:val="superscript"/>
        </w:rPr>
        <w:t>[111]</w:t>
      </w:r>
      <w:r>
        <w:rPr>
          <w:rFonts w:ascii="Book Antiqua" w:eastAsia="Book Antiqua" w:hAnsi="Book Antiqua" w:cs="Book Antiqua"/>
          <w:color w:val="000000"/>
        </w:rPr>
        <w:t xml:space="preserve">. Qi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[112]</w:t>
      </w:r>
      <w:r>
        <w:rPr>
          <w:rFonts w:ascii="Book Antiqua" w:eastAsia="Book Antiqua" w:hAnsi="Book Antiqua" w:cs="Book Antiqua"/>
          <w:color w:val="000000"/>
        </w:rPr>
        <w:t xml:space="preserve"> used structure-based virtual screening to identify 2',4'-dihydroxy-2,3-dimethoxychalcone (DDC). This is a chalcone derivative enriched in plants and food, located in the binding pocket of RORγt, which can target and inhibit RORγt activity, thereby indirectly stabilizing Foxp 3 expression, achieving regulation of Th17/Treg homeostasis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improving Th17-mediated inflammation. In another study, Chen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[113]</w:t>
      </w:r>
      <w:r>
        <w:rPr>
          <w:rFonts w:ascii="Book Antiqua" w:eastAsia="Book Antiqua" w:hAnsi="Book Antiqua" w:cs="Book Antiqua"/>
          <w:color w:val="000000"/>
        </w:rPr>
        <w:t xml:space="preserve"> proposed a dual-targeting approach for treating IBD using RORγt and dihydroorotic dehydrogenase (DHODH). Dual RORγt/DHODH inhibitors are expected to reduce RORγt-driven Th17 cell differentiation and attenuate T cell expansion and activation, which may enhance anti-inflammatory effects. They found that the 2-aminotetrahydrobenzothiazole compound 14d could act as a potent dual RORγt/DHODH inhibitor, exhibiting significant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anti-inflammatory activity and dose-dependently reducing the severity of DSS-induced acute colitis in mice. </w:t>
      </w:r>
      <w:r>
        <w:rPr>
          <w:rFonts w:ascii="Book Antiqua" w:eastAsia="Book Antiqua" w:hAnsi="Book Antiqua" w:cs="Book Antiqua"/>
          <w:color w:val="000000"/>
        </w:rPr>
        <w:lastRenderedPageBreak/>
        <w:t xml:space="preserve">Furthermore, by screening a large combinatorial library of 1,5-disubstituted acylated 2-amino-4,5-dihydroimidazoles and using a positional scanning library strategy to rapidly identify a novel class of RORγ inhibitors, Ortiz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[113]</w:t>
      </w:r>
      <w:r>
        <w:rPr>
          <w:rFonts w:ascii="Book Antiqua" w:eastAsia="Book Antiqua" w:hAnsi="Book Antiqua" w:cs="Book Antiqua"/>
          <w:color w:val="000000"/>
        </w:rPr>
        <w:t xml:space="preserve"> found that compound 1295-273 had the highest activity against RORγ in this series, with almost twofold selectivity for this receptor isoenzyme. However, they did not further validate it</w:t>
      </w:r>
      <w:r>
        <w:rPr>
          <w:rFonts w:ascii="Book Antiqua" w:eastAsia="宋体" w:hAnsi="Book Antiqua" w:cs="Book Antiqua" w:hint="eastAsia"/>
          <w:color w:val="000000"/>
          <w:lang w:eastAsia="zh-CN"/>
        </w:rPr>
        <w:t xml:space="preserve"> </w:t>
      </w:r>
      <w:r>
        <w:rPr>
          <w:rFonts w:ascii="Book Antiqua" w:eastAsia="宋体" w:hAnsi="Book Antiqua" w:cs="Book Antiqua" w:hint="eastAsia"/>
          <w:i/>
          <w:iCs/>
          <w:color w:val="000000"/>
          <w:lang w:eastAsia="zh-CN"/>
        </w:rPr>
        <w:t>via</w:t>
      </w:r>
      <w:r>
        <w:rPr>
          <w:rFonts w:ascii="Book Antiqua" w:eastAsia="Book Antiqua" w:hAnsi="Book Antiqua" w:cs="Book Antiqua"/>
          <w:color w:val="000000"/>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or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w:t>
      </w:r>
    </w:p>
    <w:p w14:paraId="3310A638" w14:textId="77777777" w:rsidR="00E4592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Genistein, a key isoflavone, stimulates GPABR1 receptors in a DSS-induced mouse colitis model, dramatically lowering inflammatory cell infiltration and generation of pro-inflammatory mediators in the blood and colon and reducing weight loss and increasing colon length in mice</w:t>
      </w:r>
      <w:r>
        <w:rPr>
          <w:rFonts w:ascii="Book Antiqua" w:eastAsia="Book Antiqua" w:hAnsi="Book Antiqua" w:cs="Book Antiqua"/>
          <w:color w:val="000000"/>
          <w:vertAlign w:val="superscript"/>
        </w:rPr>
        <w:t>[114,115]</w:t>
      </w:r>
      <w:r>
        <w:rPr>
          <w:rFonts w:ascii="Book Antiqua" w:eastAsia="Book Antiqua" w:hAnsi="Book Antiqua" w:cs="Book Antiqua"/>
          <w:color w:val="000000"/>
        </w:rPr>
        <w:t xml:space="preserve">. In another study, </w:t>
      </w:r>
      <w:bookmarkStart w:id="160" w:name="OLE_LINK6884"/>
      <w:bookmarkStart w:id="161" w:name="OLE_LINK6883"/>
      <w:bookmarkStart w:id="162" w:name="OLE_LINK6882"/>
      <w:r>
        <w:rPr>
          <w:rFonts w:ascii="Book Antiqua" w:eastAsia="Book Antiqua" w:hAnsi="Book Antiqua" w:cs="Book Antiqua"/>
          <w:color w:val="000000"/>
        </w:rPr>
        <w:t>Nakhi</w:t>
      </w:r>
      <w:bookmarkEnd w:id="160"/>
      <w:bookmarkEnd w:id="161"/>
      <w:bookmarkEnd w:id="162"/>
      <w:r>
        <w:rPr>
          <w:rFonts w:ascii="Book Antiqua" w:eastAsia="Book Antiqua" w:hAnsi="Book Antiqua" w:cs="Book Antiqua"/>
          <w:color w:val="000000"/>
        </w:rPr>
        <w:t xml:space="preserve"> </w:t>
      </w:r>
      <w:r>
        <w:rPr>
          <w:rFonts w:ascii="Book Antiqua" w:eastAsia="Book Antiqua" w:hAnsi="Book Antiqua" w:cs="Book Antiqua"/>
          <w:i/>
          <w:iCs/>
          <w:color w:val="000000"/>
        </w:rPr>
        <w:t>et al</w:t>
      </w:r>
      <w:bookmarkStart w:id="163" w:name="OLE_LINK7196"/>
      <w:bookmarkStart w:id="164" w:name="OLE_LINK7195"/>
      <w:r>
        <w:rPr>
          <w:rFonts w:ascii="Book Antiqua" w:eastAsia="Book Antiqua" w:hAnsi="Book Antiqua" w:cs="Book Antiqua"/>
          <w:color w:val="000000"/>
          <w:vertAlign w:val="superscript"/>
        </w:rPr>
        <w:t>[</w:t>
      </w:r>
      <w:bookmarkEnd w:id="163"/>
      <w:bookmarkEnd w:id="164"/>
      <w:r>
        <w:rPr>
          <w:rFonts w:ascii="Book Antiqua" w:eastAsia="Book Antiqua" w:hAnsi="Book Antiqua" w:cs="Book Antiqua"/>
          <w:color w:val="000000"/>
          <w:vertAlign w:val="superscript"/>
        </w:rPr>
        <w:t>116]</w:t>
      </w:r>
      <w:r>
        <w:rPr>
          <w:rFonts w:ascii="Book Antiqua" w:eastAsia="Book Antiqua" w:hAnsi="Book Antiqua" w:cs="Book Antiqua"/>
          <w:color w:val="000000"/>
        </w:rPr>
        <w:t xml:space="preserve"> observed that the acid group of CDCA can be replaced by a wide range of chemical groups that can simultaneously maintain or significantly increase its agonistic potency against GPABR1. In particular, pyrrolidinamide 9 and 1,3,4-oxadiazole analog 23 were 10- and 70-fold more potent than CDCA. There is a slight loss of potency when the hydroxyl group at position 3 of the bile acid scaffold is methylated. Surprisingly, however, a more than 100-fold increase in potency was observed upon methylation of the 7-hydroxyl group of pyrrolidinamide 9. Based on these observations, they synthesized the 7-methylated oxadiazole analogue 17, which proved to be a highly potent agonist at the GPABR1 receptor. However, the specific efficacy has to be further de-validated in IBD models</w:t>
      </w:r>
      <w:bookmarkStart w:id="165" w:name="OLE_LINK6887"/>
      <w:bookmarkStart w:id="166" w:name="OLE_LINK6886"/>
      <w:bookmarkStart w:id="167" w:name="OLE_LINK6885"/>
      <w:r>
        <w:rPr>
          <w:rFonts w:ascii="Book Antiqua" w:eastAsia="Book Antiqua" w:hAnsi="Book Antiqua" w:cs="Book Antiqua"/>
          <w:color w:val="000000"/>
          <w:vertAlign w:val="superscript"/>
        </w:rPr>
        <w:t>[116]</w:t>
      </w:r>
      <w:bookmarkEnd w:id="165"/>
      <w:bookmarkEnd w:id="166"/>
      <w:bookmarkEnd w:id="167"/>
      <w:r>
        <w:rPr>
          <w:rFonts w:ascii="Book Antiqua" w:eastAsia="Book Antiqua" w:hAnsi="Book Antiqua" w:cs="Book Antiqua"/>
          <w:color w:val="000000"/>
        </w:rPr>
        <w:t xml:space="preserve">. However, most of the </w:t>
      </w:r>
      <w:bookmarkStart w:id="168" w:name="OLE_LINK7134"/>
      <w:bookmarkStart w:id="169" w:name="OLE_LINK7135"/>
      <w:r>
        <w:rPr>
          <w:rFonts w:ascii="Book Antiqua" w:eastAsia="Book Antiqua" w:hAnsi="Book Antiqua" w:cs="Book Antiqua"/>
          <w:color w:val="000000"/>
        </w:rPr>
        <w:t>GPAB</w:t>
      </w:r>
      <w:bookmarkEnd w:id="168"/>
      <w:bookmarkEnd w:id="169"/>
      <w:r>
        <w:rPr>
          <w:rFonts w:ascii="Book Antiqua" w:eastAsia="Book Antiqua" w:hAnsi="Book Antiqua" w:cs="Book Antiqua"/>
          <w:color w:val="000000"/>
        </w:rPr>
        <w:t xml:space="preserve">R1 agonists studied are unrestricted </w:t>
      </w:r>
      <w:bookmarkStart w:id="170" w:name="OLE_LINK7137"/>
      <w:bookmarkStart w:id="171" w:name="OLE_LINK7136"/>
      <w:r>
        <w:rPr>
          <w:rFonts w:ascii="Book Antiqua" w:eastAsia="Book Antiqua" w:hAnsi="Book Antiqua" w:cs="Book Antiqua"/>
          <w:color w:val="000000"/>
        </w:rPr>
        <w:t>GPAB</w:t>
      </w:r>
      <w:bookmarkEnd w:id="170"/>
      <w:bookmarkEnd w:id="171"/>
      <w:r>
        <w:rPr>
          <w:rFonts w:ascii="Book Antiqua" w:eastAsia="Book Antiqua" w:hAnsi="Book Antiqua" w:cs="Book Antiqua"/>
          <w:color w:val="000000"/>
        </w:rPr>
        <w:t xml:space="preserve">R1 agonists, and the pharmacological application would be limited by the systemic targeting effect, with associated side effects such as gallbladder overfilling and gallbladder emptying block. Recently, researchers are exploring a series of intestinal-restricted GPABR1 agonists in an attempt to avoid these side effects. Dipeptidyl peptidase IV (DPP4) is a serine exopeptidase, and DPP4 inhibitors have been reported to reduce colitis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GLP pathway after colonic administration in mice</w:t>
      </w:r>
      <w:r>
        <w:rPr>
          <w:rFonts w:ascii="Book Antiqua" w:eastAsia="Book Antiqua" w:hAnsi="Book Antiqua" w:cs="Book Antiqua"/>
          <w:color w:val="000000"/>
          <w:vertAlign w:val="superscript"/>
        </w:rPr>
        <w:t>[117]</w:t>
      </w:r>
      <w:r>
        <w:rPr>
          <w:rFonts w:ascii="Book Antiqua" w:eastAsia="Book Antiqua" w:hAnsi="Book Antiqua" w:cs="Book Antiqua"/>
          <w:color w:val="000000"/>
        </w:rPr>
        <w:t xml:space="preserve">. Recently, Han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[118]</w:t>
      </w:r>
      <w:r>
        <w:rPr>
          <w:rFonts w:ascii="Book Antiqua" w:eastAsia="Book Antiqua" w:hAnsi="Book Antiqua" w:cs="Book Antiqua"/>
          <w:color w:val="000000"/>
        </w:rPr>
        <w:t xml:space="preserve"> identified a series of highly potent intestine-restricted GPABR1-DPP4 bifunctional molecules for the first time by integrating GPABR1 agonistic and DPP4 inhibitory efficacy into a single molecule. The effects of GPABR1 and DPP4 on UC were exploited and made to act locally in the gut to avoid unwanted systemic effects. </w:t>
      </w:r>
      <w:r>
        <w:rPr>
          <w:rFonts w:ascii="Book Antiqua" w:eastAsia="Book Antiqua" w:hAnsi="Book Antiqua" w:cs="Book Antiqua"/>
          <w:color w:val="000000"/>
        </w:rPr>
        <w:lastRenderedPageBreak/>
        <w:t>In particular, racemic compound 15, a highly potent GPABR1-DPP4 bifunctional molecule, showed good intestinal distribution, efficacy, and gallbladder safety in a mouse model of colitis</w:t>
      </w:r>
      <w:bookmarkStart w:id="172" w:name="OLE_LINK6892"/>
      <w:bookmarkStart w:id="173" w:name="OLE_LINK6890"/>
      <w:bookmarkStart w:id="174" w:name="OLE_LINK6891"/>
      <w:r>
        <w:rPr>
          <w:rFonts w:ascii="Book Antiqua" w:eastAsia="Book Antiqua" w:hAnsi="Book Antiqua" w:cs="Book Antiqua"/>
          <w:color w:val="000000"/>
          <w:vertAlign w:val="superscript"/>
        </w:rPr>
        <w:t>[11</w:t>
      </w:r>
      <w:bookmarkStart w:id="175" w:name="OLE_LINK6889"/>
      <w:bookmarkStart w:id="176" w:name="OLE_LINK6888"/>
      <w:r>
        <w:rPr>
          <w:rFonts w:ascii="Book Antiqua" w:eastAsia="Book Antiqua" w:hAnsi="Book Antiqua" w:cs="Book Antiqua"/>
          <w:color w:val="000000"/>
          <w:vertAlign w:val="superscript"/>
        </w:rPr>
        <w:t>8</w:t>
      </w:r>
      <w:bookmarkEnd w:id="175"/>
      <w:bookmarkEnd w:id="176"/>
      <w:r>
        <w:rPr>
          <w:rFonts w:ascii="Book Antiqua" w:eastAsia="Book Antiqua" w:hAnsi="Book Antiqua" w:cs="Book Antiqua"/>
          <w:color w:val="000000"/>
          <w:vertAlign w:val="superscript"/>
        </w:rPr>
        <w:t>]</w:t>
      </w:r>
      <w:bookmarkEnd w:id="172"/>
      <w:bookmarkEnd w:id="173"/>
      <w:bookmarkEnd w:id="174"/>
      <w:r>
        <w:rPr>
          <w:rFonts w:ascii="Book Antiqua" w:eastAsia="Book Antiqua" w:hAnsi="Book Antiqua" w:cs="Book Antiqua"/>
          <w:color w:val="000000"/>
        </w:rPr>
        <w:t xml:space="preserve">. Chen </w:t>
      </w:r>
      <w:r>
        <w:rPr>
          <w:rFonts w:ascii="Book Antiqua" w:eastAsia="Book Antiqua" w:hAnsi="Book Antiqua" w:cs="Book Antiqua"/>
          <w:i/>
          <w:iCs/>
          <w:color w:val="000000"/>
        </w:rPr>
        <w:t>et al</w:t>
      </w:r>
      <w:bookmarkStart w:id="177" w:name="OLE_LINK7197"/>
      <w:bookmarkStart w:id="178" w:name="OLE_LINK7198"/>
      <w:r>
        <w:rPr>
          <w:rFonts w:ascii="Book Antiqua" w:eastAsia="Book Antiqua" w:hAnsi="Book Antiqua" w:cs="Book Antiqua"/>
          <w:color w:val="000000"/>
          <w:vertAlign w:val="superscript"/>
        </w:rPr>
        <w:t>[</w:t>
      </w:r>
      <w:bookmarkEnd w:id="177"/>
      <w:bookmarkEnd w:id="178"/>
      <w:r>
        <w:rPr>
          <w:rFonts w:ascii="Book Antiqua" w:eastAsia="Book Antiqua" w:hAnsi="Book Antiqua" w:cs="Book Antiqua"/>
          <w:color w:val="000000"/>
          <w:vertAlign w:val="superscript"/>
        </w:rPr>
        <w:t>119]</w:t>
      </w:r>
      <w:r>
        <w:rPr>
          <w:rFonts w:ascii="Book Antiqua" w:eastAsia="Book Antiqua" w:hAnsi="Book Antiqua" w:cs="Book Antiqua"/>
          <w:color w:val="000000"/>
        </w:rPr>
        <w:t xml:space="preserve"> also described the discovery and optimization of a series of intestinal-restricted selective thiazolidine-type GPABR1 agonists that elicit a potent response with minimal effects on the gallbladder. </w:t>
      </w:r>
      <w:r>
        <w:rPr>
          <w:rFonts w:ascii="Book Antiqua" w:eastAsia="宋体" w:hAnsi="Book Antiqua" w:cs="Book Antiqua" w:hint="eastAsia"/>
          <w:color w:val="000000"/>
          <w:lang w:eastAsia="zh-CN"/>
        </w:rPr>
        <w:t xml:space="preserve">In </w:t>
      </w:r>
      <w:r>
        <w:rPr>
          <w:rFonts w:ascii="Book Antiqua" w:eastAsia="Book Antiqua" w:hAnsi="Book Antiqua" w:cs="Book Antiqua"/>
          <w:color w:val="000000"/>
        </w:rPr>
        <w:t>this series of drug</w:t>
      </w:r>
      <w:r>
        <w:rPr>
          <w:rFonts w:ascii="Book Antiqua" w:eastAsia="宋体" w:hAnsi="Book Antiqua" w:cs="Book Antiqua" w:hint="eastAsia"/>
          <w:color w:val="000000"/>
          <w:lang w:eastAsia="zh-CN"/>
        </w:rPr>
        <w:t>s, t</w:t>
      </w:r>
      <w:r>
        <w:rPr>
          <w:rFonts w:ascii="Book Antiqua" w:eastAsia="Book Antiqua" w:hAnsi="Book Antiqua" w:cs="Book Antiqua"/>
          <w:color w:val="000000"/>
        </w:rPr>
        <w:t>hey mainly explored compound No. 12, with minimal systemic availability, which stimulates prolonged and potent GLP-1 (7-36) amide (tGLP-1) secretion and may have significant therapeutic value in IBD</w:t>
      </w:r>
      <w:bookmarkStart w:id="179" w:name="OLE_LINK6893"/>
      <w:bookmarkStart w:id="180" w:name="OLE_LINK6894"/>
      <w:r>
        <w:rPr>
          <w:rFonts w:ascii="Book Antiqua" w:eastAsia="Book Antiqua" w:hAnsi="Book Antiqua" w:cs="Book Antiqua"/>
          <w:color w:val="000000"/>
          <w:vertAlign w:val="superscript"/>
        </w:rPr>
        <w:t>[119]</w:t>
      </w:r>
      <w:bookmarkEnd w:id="179"/>
      <w:bookmarkEnd w:id="180"/>
      <w:r>
        <w:rPr>
          <w:rFonts w:ascii="Book Antiqua" w:eastAsia="Book Antiqua" w:hAnsi="Book Antiqua" w:cs="Book Antiqua"/>
          <w:color w:val="000000"/>
        </w:rPr>
        <w:t>.</w:t>
      </w:r>
    </w:p>
    <w:p w14:paraId="20C5825F" w14:textId="77777777" w:rsidR="00E45927" w:rsidRDefault="00000000">
      <w:pPr>
        <w:spacing w:line="360" w:lineRule="auto"/>
        <w:ind w:firstLineChars="100" w:firstLine="240"/>
        <w:jc w:val="both"/>
        <w:rPr>
          <w:rFonts w:ascii="Book Antiqua" w:hAnsi="Book Antiqua"/>
        </w:rPr>
      </w:pPr>
      <w:bookmarkStart w:id="181" w:name="OLE_LINK6902"/>
      <w:bookmarkStart w:id="182" w:name="OLE_LINK6901"/>
      <w:bookmarkStart w:id="183" w:name="OLE_LINK6895"/>
      <w:bookmarkStart w:id="184" w:name="OLE_LINK6896"/>
      <w:r>
        <w:rPr>
          <w:rFonts w:ascii="Book Antiqua" w:eastAsia="Book Antiqua" w:hAnsi="Book Antiqua" w:cs="Book Antiqua"/>
        </w:rPr>
        <w:t>Dvořák</w:t>
      </w:r>
      <w:bookmarkEnd w:id="181"/>
      <w:bookmarkEnd w:id="182"/>
      <w:r>
        <w:rPr>
          <w:rFonts w:ascii="Book Antiqua" w:eastAsia="Book Antiqua" w:hAnsi="Book Antiqua" w:cs="Book Antiqua"/>
          <w:color w:val="000000"/>
        </w:rPr>
        <w:t xml:space="preserve"> </w:t>
      </w:r>
      <w:bookmarkEnd w:id="183"/>
      <w:bookmarkEnd w:id="184"/>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[120]</w:t>
      </w:r>
      <w:r>
        <w:rPr>
          <w:rFonts w:ascii="Book Antiqua" w:eastAsia="Book Antiqua" w:hAnsi="Book Antiqua" w:cs="Book Antiqua"/>
          <w:color w:val="000000"/>
        </w:rPr>
        <w:t xml:space="preserve"> proposed microbial metabolite mimicry as a new strategy for drug discovery based on the effect of microbial metabolites on PXR and reported the functionalized indole derivative lead compound Felix Kopp Kortagere 6 (FKK6) as the first class of non-cytotoxic PXR agonists as a proof of concept for microbial metabolite mimicry. In cells, human organs, and animals, FKK6 can directly bind PXR and stimulate PXR-specific target gene expression. In mice expressing human </w:t>
      </w:r>
      <w:r>
        <w:rPr>
          <w:rFonts w:ascii="Book Antiqua" w:eastAsia="Book Antiqua" w:hAnsi="Book Antiqua" w:cs="Book Antiqua"/>
          <w:i/>
          <w:iCs/>
          <w:color w:val="000000"/>
        </w:rPr>
        <w:t>PXR</w:t>
      </w:r>
      <w:r>
        <w:rPr>
          <w:rFonts w:ascii="Book Antiqua" w:eastAsia="Book Antiqua" w:hAnsi="Book Antiqua" w:cs="Book Antiqua"/>
          <w:color w:val="000000"/>
        </w:rPr>
        <w:t xml:space="preserve"> genes, FKK6 dramatically suppressed the production of pro-inflammatory cytokines and prevented inflammation</w:t>
      </w:r>
      <w:bookmarkStart w:id="185" w:name="OLE_LINK6904"/>
      <w:bookmarkStart w:id="186" w:name="OLE_LINK6903"/>
      <w:r>
        <w:rPr>
          <w:rFonts w:ascii="Book Antiqua" w:eastAsia="Book Antiqua" w:hAnsi="Book Antiqua" w:cs="Book Antiqua"/>
          <w:color w:val="000000"/>
          <w:vertAlign w:val="superscript"/>
        </w:rPr>
        <w:t>[120]</w:t>
      </w:r>
      <w:bookmarkEnd w:id="185"/>
      <w:bookmarkEnd w:id="186"/>
      <w:r>
        <w:rPr>
          <w:rFonts w:ascii="Book Antiqua" w:eastAsia="Book Antiqua" w:hAnsi="Book Antiqua" w:cs="Book Antiqua"/>
          <w:color w:val="000000"/>
        </w:rPr>
        <w:t>. The development of FKK6 provided the first evidence that microbial metabolite mimicry is a viable drug discovery strategy and opened the door to an underutilized chemical space for IBD drug development.</w:t>
      </w:r>
    </w:p>
    <w:p w14:paraId="542729B0" w14:textId="77777777" w:rsidR="00E4592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conclusion, the research and development of bile acid receptors and their agonist or inhibitor medicines is a viable treatment method for IBD. However, there are still numerous issues, such as the increased adverse effects of non-selective agonists and activators. Increasing the intestinal restriction of agonists by identifying modifications that block the active transport of ASBT while reducing passive absorption by increasing the compounds' size and polar surface area is a feasible solution to their side effects. However, the synthesis of existing intestinal restrict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activators or inhibitors is very complex and expensive, and further research is needed to explore</w:t>
      </w:r>
      <w:r>
        <w:rPr>
          <w:rFonts w:ascii="Book Antiqua" w:eastAsia="宋体" w:hAnsi="Book Antiqua" w:cs="Book Antiqua" w:hint="eastAsia"/>
          <w:color w:val="000000"/>
          <w:lang w:eastAsia="zh-CN"/>
        </w:rPr>
        <w:t xml:space="preserve"> this</w:t>
      </w:r>
      <w:r>
        <w:rPr>
          <w:rFonts w:ascii="Book Antiqua" w:eastAsia="Book Antiqua" w:hAnsi="Book Antiqua" w:cs="Book Antiqua"/>
          <w:color w:val="000000"/>
        </w:rPr>
        <w:t>.</w:t>
      </w:r>
    </w:p>
    <w:p w14:paraId="7D772119" w14:textId="77777777" w:rsidR="00E45927" w:rsidRDefault="00E45927">
      <w:pPr>
        <w:spacing w:line="360" w:lineRule="auto"/>
        <w:jc w:val="both"/>
        <w:rPr>
          <w:rFonts w:ascii="Book Antiqua" w:hAnsi="Book Antiqua"/>
        </w:rPr>
      </w:pPr>
    </w:p>
    <w:p w14:paraId="5E3DA5F4" w14:textId="77777777" w:rsidR="00E45927" w:rsidRDefault="00000000">
      <w:pPr>
        <w:spacing w:line="360" w:lineRule="auto"/>
        <w:jc w:val="both"/>
        <w:rPr>
          <w:rFonts w:ascii="Book Antiqua" w:hAnsi="Book Antiqua"/>
          <w:i/>
          <w:iCs/>
        </w:rPr>
      </w:pPr>
      <w:bookmarkStart w:id="187" w:name="OLE_LINK6906"/>
      <w:bookmarkStart w:id="188" w:name="OLE_LINK6905"/>
      <w:r>
        <w:rPr>
          <w:rFonts w:ascii="Book Antiqua" w:eastAsia="Book Antiqua" w:hAnsi="Book Antiqua" w:cs="Book Antiqua"/>
          <w:b/>
          <w:bCs/>
          <w:i/>
          <w:iCs/>
          <w:color w:val="000000"/>
        </w:rPr>
        <w:t>Traditional Chinese medicine</w:t>
      </w:r>
    </w:p>
    <w:bookmarkEnd w:id="187"/>
    <w:bookmarkEnd w:id="188"/>
    <w:p w14:paraId="7E1474CD" w14:textId="77777777" w:rsidR="00E45927" w:rsidRDefault="00000000">
      <w:pPr>
        <w:spacing w:line="360" w:lineRule="auto"/>
        <w:jc w:val="both"/>
        <w:rPr>
          <w:rFonts w:ascii="Book Antiqua" w:hAnsi="Book Antiqua"/>
        </w:rPr>
      </w:pPr>
      <w:r>
        <w:rPr>
          <w:rFonts w:ascii="Book Antiqua" w:eastAsia="Book Antiqua" w:hAnsi="Book Antiqua" w:cs="Book Antiqua"/>
          <w:color w:val="000000"/>
        </w:rPr>
        <w:lastRenderedPageBreak/>
        <w:t>Chinese medicine is garnering more attention as the global pharmaceutical industry develops, and herbal medicine has distinct advantages in treating IBD due to allopathic treatment</w:t>
      </w:r>
      <w:r>
        <w:rPr>
          <w:rFonts w:ascii="Book Antiqua" w:eastAsia="Book Antiqua" w:hAnsi="Book Antiqua" w:cs="Book Antiqua"/>
          <w:color w:val="000000"/>
          <w:vertAlign w:val="superscript"/>
        </w:rPr>
        <w:t>[121]</w:t>
      </w:r>
      <w:r>
        <w:rPr>
          <w:rFonts w:ascii="Book Antiqua" w:eastAsia="Book Antiqua" w:hAnsi="Book Antiqua" w:cs="Book Antiqua"/>
          <w:color w:val="000000"/>
        </w:rPr>
        <w:t xml:space="preserve">. Many academics have recently conducted basic research on traditional Chinese medicine for the treatment of IBD from various angles, and they discovered that traditional Chinese medicine may benefit the treatment of IBD by affecting bile acids and their receptors, which support intestinal mucosal barrier function, regulate intestinal immunity, and influence bile acid metabolism </w:t>
      </w:r>
      <w:bookmarkStart w:id="189" w:name="OLE_LINK6907"/>
      <w:bookmarkStart w:id="190" w:name="OLE_LINK6908"/>
      <w:r>
        <w:rPr>
          <w:rFonts w:ascii="Book Antiqua" w:eastAsia="Book Antiqua" w:hAnsi="Book Antiqua" w:cs="Book Antiqua"/>
          <w:color w:val="000000"/>
        </w:rPr>
        <w:t>(</w:t>
      </w:r>
      <w:bookmarkStart w:id="191" w:name="OLE_LINK6909"/>
      <w:bookmarkStart w:id="192" w:name="OLE_LINK6910"/>
      <w:r>
        <w:rPr>
          <w:rFonts w:ascii="Book Antiqua" w:eastAsia="Book Antiqua" w:hAnsi="Book Antiqua" w:cs="Book Antiqua"/>
          <w:color w:val="000000"/>
        </w:rPr>
        <w:t>T</w:t>
      </w:r>
      <w:bookmarkEnd w:id="189"/>
      <w:bookmarkEnd w:id="190"/>
      <w:bookmarkEnd w:id="191"/>
      <w:bookmarkEnd w:id="192"/>
      <w:r>
        <w:rPr>
          <w:rFonts w:ascii="Book Antiqua" w:eastAsia="Book Antiqua" w:hAnsi="Book Antiqua" w:cs="Book Antiqua"/>
          <w:color w:val="000000"/>
        </w:rPr>
        <w:t xml:space="preserve">able 2). In China, </w:t>
      </w:r>
      <w:bookmarkStart w:id="193" w:name="OLE_LINK7167"/>
      <w:bookmarkStart w:id="194" w:name="OLE_LINK7165"/>
      <w:bookmarkStart w:id="195" w:name="OLE_LINK7166"/>
      <w:r>
        <w:rPr>
          <w:rFonts w:ascii="Book Antiqua" w:eastAsia="Book Antiqua" w:hAnsi="Book Antiqua" w:cs="Book Antiqua"/>
          <w:color w:val="000000"/>
        </w:rPr>
        <w:t>Baitouweng Tang</w:t>
      </w:r>
      <w:bookmarkEnd w:id="193"/>
      <w:bookmarkEnd w:id="194"/>
      <w:bookmarkEnd w:id="195"/>
      <w:r>
        <w:rPr>
          <w:rFonts w:ascii="Book Antiqua" w:eastAsia="Book Antiqua" w:hAnsi="Book Antiqua" w:cs="Book Antiqua"/>
          <w:color w:val="000000"/>
        </w:rPr>
        <w:t xml:space="preserve"> (BTWT) is a commonly prescribed drug for the treatment of UC. In a DSS-induced mouse model of UC, mice were given BTWT for 7 d. Surprisingly, the researchers found that BTWT treatment reduced the increased UDCA, HDCA, MCA, CA, and GLCA in UC and normalized the levels of some bile acids, especially CA and MCA. Moreover, BTWT increased the expression of FXR and GPBAR1 in the liver. In addition, they found that the relative species abundance and diversity </w:t>
      </w:r>
      <w:r>
        <w:rPr>
          <w:rFonts w:ascii="Book Antiqua" w:eastAsia="宋体" w:hAnsi="Book Antiqua" w:cs="Book Antiqua" w:hint="eastAsia"/>
          <w:color w:val="000000"/>
          <w:lang w:eastAsia="zh-CN"/>
        </w:rPr>
        <w:t xml:space="preserve">of the </w:t>
      </w:r>
      <w:r>
        <w:rPr>
          <w:rFonts w:ascii="Book Antiqua" w:eastAsia="Book Antiqua" w:hAnsi="Book Antiqua" w:cs="Book Antiqua"/>
          <w:color w:val="000000"/>
        </w:rPr>
        <w:t>gut microbiota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significantly higher in the BTWT-exposed group. BTWT significantly ameliorated colonic inflammation and clinical signs, such as histological damage and colonic shortening, in mice. This result may be achieved by affecting the intestinal microbiota</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bile acid metabolism</w:t>
      </w:r>
      <w:r>
        <w:rPr>
          <w:rFonts w:ascii="Book Antiqua" w:eastAsia="Book Antiqua" w:hAnsi="Book Antiqua" w:cs="Book Antiqua"/>
          <w:color w:val="000000"/>
          <w:vertAlign w:val="superscript"/>
        </w:rPr>
        <w:t>[122]</w:t>
      </w:r>
      <w:r>
        <w:rPr>
          <w:rFonts w:ascii="Book Antiqua" w:eastAsia="Book Antiqua" w:hAnsi="Book Antiqua" w:cs="Book Antiqua"/>
          <w:color w:val="000000"/>
        </w:rPr>
        <w:t xml:space="preserve">. </w:t>
      </w:r>
      <w:bookmarkStart w:id="196" w:name="OLE_LINK7170"/>
      <w:bookmarkStart w:id="197" w:name="OLE_LINK7168"/>
      <w:bookmarkStart w:id="198" w:name="OLE_LINK7169"/>
      <w:bookmarkStart w:id="199" w:name="OLE_LINK7171"/>
      <w:r>
        <w:rPr>
          <w:rFonts w:ascii="Book Antiqua" w:eastAsia="Book Antiqua" w:hAnsi="Book Antiqua" w:cs="Book Antiqua"/>
          <w:color w:val="000000"/>
        </w:rPr>
        <w:t>Gualou Xiebai Decoction</w:t>
      </w:r>
      <w:bookmarkEnd w:id="196"/>
      <w:bookmarkEnd w:id="197"/>
      <w:bookmarkEnd w:id="198"/>
      <w:bookmarkEnd w:id="199"/>
      <w:r>
        <w:rPr>
          <w:rFonts w:ascii="Book Antiqua" w:eastAsia="Book Antiqua" w:hAnsi="Book Antiqua" w:cs="Book Antiqua"/>
          <w:color w:val="000000"/>
        </w:rPr>
        <w:t xml:space="preserve"> (GXD) is a classic formula used in China for thousands of years to treat inflammatory diseases. A recent study showed that GXD significantly improved intestinal barrier dysfunction caused by abnormal bile acid metabolism in IBD by regulating tight junction protein expression levels, inhibiting oxidative stress, and reducing apoptosis</w:t>
      </w:r>
      <w:r>
        <w:rPr>
          <w:rFonts w:ascii="Book Antiqua" w:eastAsia="Book Antiqua" w:hAnsi="Book Antiqua" w:cs="Book Antiqua"/>
          <w:color w:val="000000"/>
          <w:vertAlign w:val="superscript"/>
        </w:rPr>
        <w:t>[123]</w:t>
      </w:r>
      <w:r>
        <w:rPr>
          <w:rFonts w:ascii="Book Antiqua" w:eastAsia="Book Antiqua" w:hAnsi="Book Antiqua" w:cs="Book Antiqua"/>
          <w:color w:val="000000"/>
        </w:rPr>
        <w:t>.</w:t>
      </w:r>
    </w:p>
    <w:p w14:paraId="71D1E3A4" w14:textId="77777777" w:rsidR="00E4592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“Kushen”, the dried root of the </w:t>
      </w:r>
      <w:bookmarkStart w:id="200" w:name="OLE_LINK6911"/>
      <w:bookmarkStart w:id="201" w:name="OLE_LINK6912"/>
      <w:r>
        <w:rPr>
          <w:rFonts w:ascii="Book Antiqua" w:eastAsia="Book Antiqua" w:hAnsi="Book Antiqua" w:cs="Book Antiqua"/>
          <w:i/>
          <w:iCs/>
          <w:color w:val="000000"/>
        </w:rPr>
        <w:t>Sophora flavescens</w:t>
      </w:r>
      <w:bookmarkEnd w:id="200"/>
      <w:bookmarkEnd w:id="201"/>
      <w:r>
        <w:rPr>
          <w:rFonts w:ascii="Book Antiqua" w:eastAsia="Book Antiqua" w:hAnsi="Book Antiqua" w:cs="Book Antiqua"/>
          <w:color w:val="000000"/>
        </w:rPr>
        <w:t xml:space="preserve"> A</w:t>
      </w:r>
      <w:bookmarkStart w:id="202" w:name="OLE_LINK6913"/>
      <w:bookmarkStart w:id="203" w:name="OLE_LINK6914"/>
      <w:r>
        <w:rPr>
          <w:rFonts w:ascii="Book Antiqua" w:eastAsia="Book Antiqua" w:hAnsi="Book Antiqua" w:cs="Book Antiqua"/>
          <w:color w:val="000000"/>
        </w:rPr>
        <w:t>iton</w:t>
      </w:r>
      <w:bookmarkEnd w:id="202"/>
      <w:bookmarkEnd w:id="203"/>
      <w:r>
        <w:rPr>
          <w:rFonts w:ascii="Book Antiqua" w:eastAsia="Book Antiqua" w:hAnsi="Book Antiqua" w:cs="Book Antiqua"/>
          <w:color w:val="000000"/>
        </w:rPr>
        <w:t xml:space="preserve">, is a classical drug widely used in China to treat UC in ancient and modern times, with alkaloids and flavonoids as the main components. Previous studies have shown that </w:t>
      </w:r>
      <w:bookmarkStart w:id="204" w:name="OLE_LINK7159"/>
      <w:bookmarkStart w:id="205" w:name="OLE_LINK7160"/>
      <w:bookmarkStart w:id="206" w:name="OLE_LINK7161"/>
      <w:bookmarkStart w:id="207" w:name="OLE_LINK7162"/>
      <w:bookmarkStart w:id="208" w:name="OLE_LINK7163"/>
      <w:bookmarkStart w:id="209" w:name="OLE_LINK7164"/>
      <w:r>
        <w:rPr>
          <w:rFonts w:ascii="Book Antiqua" w:eastAsia="Book Antiqua" w:hAnsi="Book Antiqua" w:cs="Book Antiqua"/>
          <w:i/>
          <w:iCs/>
          <w:color w:val="000000"/>
        </w:rPr>
        <w:t>Sopho</w:t>
      </w:r>
      <w:bookmarkEnd w:id="204"/>
      <w:bookmarkEnd w:id="205"/>
      <w:r>
        <w:rPr>
          <w:rFonts w:ascii="Book Antiqua" w:eastAsia="Book Antiqua" w:hAnsi="Book Antiqua" w:cs="Book Antiqua"/>
          <w:i/>
          <w:iCs/>
          <w:color w:val="000000"/>
        </w:rPr>
        <w:t>ra flavescens</w:t>
      </w:r>
      <w:r>
        <w:rPr>
          <w:rFonts w:ascii="Book Antiqua" w:eastAsia="Book Antiqua" w:hAnsi="Book Antiqua" w:cs="Book Antiqua"/>
          <w:color w:val="000000"/>
        </w:rPr>
        <w:t xml:space="preserve"> Aiton total flavonoids extract</w:t>
      </w:r>
      <w:bookmarkEnd w:id="206"/>
      <w:bookmarkEnd w:id="207"/>
      <w:bookmarkEnd w:id="208"/>
      <w:bookmarkEnd w:id="209"/>
      <w:r>
        <w:rPr>
          <w:rFonts w:ascii="Book Antiqua" w:eastAsia="Book Antiqua" w:hAnsi="Book Antiqua" w:cs="Book Antiqua"/>
          <w:color w:val="000000"/>
        </w:rPr>
        <w:t xml:space="preserve"> (SFE) exhibits anti-UC effects by restoring the balance of the "host-microbe" co-metabolic network and modulating the intestinal microbial structure in UC mice</w:t>
      </w:r>
      <w:r>
        <w:rPr>
          <w:rFonts w:ascii="Book Antiqua" w:eastAsia="Book Antiqua" w:hAnsi="Book Antiqua" w:cs="Book Antiqua"/>
          <w:color w:val="000000"/>
          <w:vertAlign w:val="superscript"/>
        </w:rPr>
        <w:t>[124]</w:t>
      </w:r>
      <w:r>
        <w:rPr>
          <w:rFonts w:ascii="Book Antiqua" w:eastAsia="Book Antiqua" w:hAnsi="Book Antiqua" w:cs="Book Antiqua"/>
          <w:color w:val="000000"/>
        </w:rPr>
        <w:t xml:space="preserve">. A recent study further found that SFE, especially the flavonoid component represented by </w:t>
      </w:r>
      <w:r>
        <w:rPr>
          <w:rFonts w:ascii="Book Antiqua" w:eastAsia="宋体" w:hAnsi="Book Antiqua" w:cs="Book Antiqua" w:hint="eastAsia"/>
          <w:color w:val="000000"/>
          <w:lang w:eastAsia="zh-CN"/>
        </w:rPr>
        <w:t>k</w:t>
      </w:r>
      <w:r>
        <w:rPr>
          <w:rFonts w:ascii="Book Antiqua" w:eastAsia="Book Antiqua" w:hAnsi="Book Antiqua" w:cs="Book Antiqua"/>
          <w:color w:val="000000"/>
        </w:rPr>
        <w:t xml:space="preserve">urarinone, had a significant protective effect against UC by regulating the transcriptional levels of RORγt and Foxp 3 in the colon and down-regulating the </w:t>
      </w:r>
      <w:r>
        <w:rPr>
          <w:rFonts w:ascii="Book Antiqua" w:eastAsia="Book Antiqua" w:hAnsi="Book Antiqua" w:cs="Book Antiqua"/>
          <w:color w:val="000000"/>
        </w:rPr>
        <w:lastRenderedPageBreak/>
        <w:t>expression of the pro-inflammatory factor IL-17A in colon tissue</w:t>
      </w:r>
      <w:r>
        <w:rPr>
          <w:rFonts w:ascii="Book Antiqua" w:eastAsia="Book Antiqua" w:hAnsi="Book Antiqua" w:cs="Book Antiqua"/>
          <w:color w:val="000000"/>
          <w:vertAlign w:val="superscript"/>
        </w:rPr>
        <w:t>[125]</w:t>
      </w:r>
      <w:r>
        <w:rPr>
          <w:rFonts w:ascii="Book Antiqua" w:eastAsia="Book Antiqua" w:hAnsi="Book Antiqua" w:cs="Book Antiqua"/>
          <w:color w:val="000000"/>
        </w:rPr>
        <w:t xml:space="preserve">. In addition, </w:t>
      </w:r>
      <w:bookmarkStart w:id="210" w:name="OLE_LINK7154"/>
      <w:bookmarkStart w:id="211" w:name="OLE_LINK7152"/>
      <w:bookmarkStart w:id="212" w:name="OLE_LINK7153"/>
      <w:r>
        <w:rPr>
          <w:rFonts w:ascii="Book Antiqua" w:eastAsia="Book Antiqua" w:hAnsi="Book Antiqua" w:cs="Book Antiqua"/>
          <w:color w:val="000000"/>
        </w:rPr>
        <w:t>Chingchang Wenzhong Decoction</w:t>
      </w:r>
      <w:bookmarkEnd w:id="210"/>
      <w:bookmarkEnd w:id="211"/>
      <w:bookmarkEnd w:id="212"/>
      <w:r>
        <w:rPr>
          <w:rFonts w:ascii="Book Antiqua" w:eastAsia="Book Antiqua" w:hAnsi="Book Antiqua" w:cs="Book Antiqua"/>
          <w:color w:val="000000"/>
        </w:rPr>
        <w:t xml:space="preserve"> (QCWZD) and </w:t>
      </w:r>
      <w:bookmarkStart w:id="213" w:name="OLE_LINK7155"/>
      <w:bookmarkStart w:id="214" w:name="OLE_LINK7157"/>
      <w:bookmarkStart w:id="215" w:name="OLE_LINK7156"/>
      <w:bookmarkStart w:id="216" w:name="OLE_LINK7158"/>
      <w:r>
        <w:rPr>
          <w:rFonts w:ascii="Book Antiqua" w:eastAsia="Book Antiqua" w:hAnsi="Book Antiqua" w:cs="Book Antiqua"/>
          <w:color w:val="000000"/>
        </w:rPr>
        <w:t>licorice water extraction</w:t>
      </w:r>
      <w:bookmarkEnd w:id="213"/>
      <w:bookmarkEnd w:id="214"/>
      <w:bookmarkEnd w:id="215"/>
      <w:bookmarkEnd w:id="216"/>
      <w:r>
        <w:rPr>
          <w:rFonts w:ascii="Book Antiqua" w:eastAsia="Book Antiqua" w:hAnsi="Book Antiqua" w:cs="Book Antiqua"/>
          <w:color w:val="000000"/>
        </w:rPr>
        <w:t xml:space="preserve"> (LWE) also inhibited the transcriptional activation of RORγT and IL-17A, thereby suppressing the differentiation of Th17 Lymphocytes and reducing colonic inflammation</w:t>
      </w:r>
      <w:r>
        <w:rPr>
          <w:rFonts w:ascii="Book Antiqua" w:eastAsia="Book Antiqua" w:hAnsi="Book Antiqua" w:cs="Book Antiqua"/>
          <w:color w:val="000000"/>
          <w:vertAlign w:val="superscript"/>
        </w:rPr>
        <w:t>[126,127]</w:t>
      </w:r>
      <w:r>
        <w:rPr>
          <w:rFonts w:ascii="Book Antiqua" w:eastAsia="Book Antiqua" w:hAnsi="Book Antiqua" w:cs="Book Antiqua"/>
          <w:color w:val="000000"/>
        </w:rPr>
        <w:t xml:space="preserve">. </w:t>
      </w:r>
      <w:bookmarkStart w:id="217" w:name="OLE_LINK7150"/>
      <w:bookmarkStart w:id="218" w:name="OLE_LINK7148"/>
      <w:bookmarkStart w:id="219" w:name="OLE_LINK7149"/>
      <w:bookmarkStart w:id="220" w:name="OLE_LINK7151"/>
      <w:r>
        <w:rPr>
          <w:rFonts w:ascii="Book Antiqua" w:eastAsia="Book Antiqua" w:hAnsi="Book Antiqua" w:cs="Book Antiqua"/>
          <w:color w:val="000000"/>
        </w:rPr>
        <w:t>Huanglian Ganjiang Tang</w:t>
      </w:r>
      <w:bookmarkEnd w:id="217"/>
      <w:bookmarkEnd w:id="218"/>
      <w:bookmarkEnd w:id="219"/>
      <w:bookmarkEnd w:id="220"/>
      <w:r>
        <w:rPr>
          <w:rFonts w:ascii="Book Antiqua" w:eastAsia="Book Antiqua" w:hAnsi="Book Antiqua" w:cs="Book Antiqua"/>
          <w:color w:val="000000"/>
        </w:rPr>
        <w:t xml:space="preserve"> (HGT) is the classic formula in Danxi Xinfa, used to relieve diarrhea, abdominal pain, and blood in the stool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it is currently used clinically for the treatment of UC with remarkable efficacy, but its mechanism of action needs to be further elucidated. Xiong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[128]</w:t>
      </w:r>
      <w:r>
        <w:rPr>
          <w:rFonts w:ascii="Book Antiqua" w:eastAsia="Book Antiqua" w:hAnsi="Book Antiqua" w:cs="Book Antiqua"/>
          <w:color w:val="000000"/>
        </w:rPr>
        <w:t xml:space="preserve"> recently showed that HGT could reduce DSS-induced colitis in mice by inhibiting DSS-induced necrotizing lesions in the colon through up</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regulation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VDR levels. Furthermore, in animal models of IBD, researchers found that patchouli alcohol (PA) and alpinetin from ginger plants could activate PXR signaling and inhibit NF-κB signaling, thereby ameliorating inflammation</w:t>
      </w:r>
      <w:r>
        <w:rPr>
          <w:rFonts w:ascii="Book Antiqua" w:eastAsia="Book Antiqua" w:hAnsi="Book Antiqua" w:cs="Book Antiqua"/>
          <w:color w:val="000000"/>
          <w:vertAlign w:val="superscript"/>
        </w:rPr>
        <w:t>[129,130]</w:t>
      </w:r>
      <w:r>
        <w:rPr>
          <w:rFonts w:ascii="Book Antiqua" w:eastAsia="Book Antiqua" w:hAnsi="Book Antiqua" w:cs="Book Antiqua"/>
          <w:color w:val="000000"/>
        </w:rPr>
        <w:t>. In conclusion, the results of these herbal studies provide new options for treating IBD and provide a theoretical basis for pharmacological studies of herbal medicines, which are beneficial for their application.</w:t>
      </w:r>
    </w:p>
    <w:p w14:paraId="1C16FE7F" w14:textId="77777777" w:rsidR="00E45927" w:rsidRDefault="00E45927">
      <w:pPr>
        <w:spacing w:line="360" w:lineRule="auto"/>
        <w:jc w:val="both"/>
        <w:rPr>
          <w:rFonts w:ascii="Book Antiqua" w:hAnsi="Book Antiqua"/>
        </w:rPr>
      </w:pPr>
    </w:p>
    <w:p w14:paraId="392E019D" w14:textId="77777777" w:rsidR="00E45927"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UDCA</w:t>
      </w:r>
    </w:p>
    <w:p w14:paraId="3500B5B5" w14:textId="77777777" w:rsidR="00E45927" w:rsidRDefault="00000000">
      <w:pPr>
        <w:spacing w:line="360" w:lineRule="auto"/>
        <w:jc w:val="both"/>
        <w:rPr>
          <w:rFonts w:ascii="Book Antiqua" w:eastAsia="Book Antiqua" w:hAnsi="Book Antiqua" w:cs="Book Antiqua"/>
          <w:color w:val="000000"/>
        </w:rPr>
      </w:pPr>
      <w:r>
        <w:rPr>
          <w:rFonts w:ascii="Book Antiqua" w:hAnsi="Book Antiqua"/>
        </w:rPr>
        <w:t>UDCA is a secondary bile acid generated from CDCA, which is found in low concentrations in humans and was initially licensed by the FDA to treat cholestatic liver disease. However, several studies have shown that UDCA may play an important role in IBD by acting on bile acid receptors. For example, a previous study showed that DCA could inhibit the expression of CFTR Cl</w:t>
      </w:r>
      <w:r>
        <w:rPr>
          <w:rFonts w:ascii="Book Antiqua" w:hAnsi="Book Antiqua" w:hint="eastAsia"/>
          <w:vertAlign w:val="superscript"/>
          <w:lang w:eastAsia="zh-CN"/>
        </w:rPr>
        <w:t>-</w:t>
      </w:r>
      <w:r>
        <w:rPr>
          <w:rFonts w:ascii="Book Antiqua" w:hAnsi="Book Antiqua"/>
        </w:rPr>
        <w:t xml:space="preserve"> channels by activating FXR, thereby delaying the repair of the intestinal mucosal barrier. Interestingly, UDCA inhibits this process and promotes epithelial cell migration and recovery</w:t>
      </w:r>
      <w:r>
        <w:rPr>
          <w:rFonts w:ascii="Book Antiqua" w:hAnsi="Book Antiqua"/>
          <w:vertAlign w:val="superscript"/>
        </w:rPr>
        <w:t>[131]</w:t>
      </w:r>
      <w:r>
        <w:rPr>
          <w:rFonts w:ascii="Book Antiqua" w:hAnsi="Book Antiqua"/>
        </w:rPr>
        <w:t>. In a recent study, UDCA was shown to reduce inflammatory cytokine production by activating FXR while inhibiting NF-κB activation in macrophages in a piglet model of intestinal inflammation</w:t>
      </w:r>
      <w:r>
        <w:rPr>
          <w:rFonts w:ascii="Book Antiqua" w:hAnsi="Book Antiqua"/>
          <w:vertAlign w:val="superscript"/>
        </w:rPr>
        <w:t>[132]</w:t>
      </w:r>
      <w:r>
        <w:rPr>
          <w:rFonts w:ascii="Book Antiqua" w:hAnsi="Book Antiqua"/>
        </w:rPr>
        <w:t>. These findings suggest a protective role for UDCA in IBD and support its use as a novel approach to treat IBD. In addition, UDCA can improve IBD injury through a few other potential mechanisms.</w:t>
      </w:r>
      <w:r>
        <w:rPr>
          <w:rFonts w:ascii="Book Antiqua" w:hAnsi="Book Antiqua" w:hint="eastAsia"/>
        </w:rPr>
        <w:t xml:space="preserve"> </w:t>
      </w:r>
      <w:r>
        <w:rPr>
          <w:rFonts w:ascii="Book Antiqua" w:eastAsia="Book Antiqua" w:hAnsi="Book Antiqua" w:cs="Book Antiqua"/>
          <w:color w:val="000000"/>
        </w:rPr>
        <w:t>MAdCAM-1 binds to integrin α4β7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 circulating T cells and recruits intestinal homing lymphocytes to intestinal damage sites during inflammation</w:t>
      </w:r>
      <w:r>
        <w:rPr>
          <w:rFonts w:ascii="Book Antiqua" w:eastAsia="Book Antiqua" w:hAnsi="Book Antiqua" w:cs="Book Antiqua"/>
          <w:color w:val="000000"/>
          <w:vertAlign w:val="superscript"/>
        </w:rPr>
        <w:t>[133]</w:t>
      </w:r>
      <w:r>
        <w:rPr>
          <w:rFonts w:ascii="Book Antiqua" w:eastAsia="Book Antiqua" w:hAnsi="Book Antiqua" w:cs="Book Antiqua"/>
          <w:color w:val="000000"/>
        </w:rPr>
        <w:t xml:space="preserve">. A </w:t>
      </w:r>
      <w:r>
        <w:rPr>
          <w:rFonts w:ascii="Book Antiqua" w:eastAsia="Book Antiqua" w:hAnsi="Book Antiqua" w:cs="Book Antiqua"/>
          <w:color w:val="000000"/>
        </w:rPr>
        <w:lastRenderedPageBreak/>
        <w:t>recent study showed that by inhibiting NF</w:t>
      </w:r>
      <w:r>
        <w:rPr>
          <w:rFonts w:ascii="Book Antiqua" w:eastAsia="宋体" w:hAnsi="Book Antiqua" w:cs="Book Antiqua" w:hint="eastAsia"/>
          <w:color w:val="000000"/>
          <w:lang w:eastAsia="zh-CN"/>
        </w:rPr>
        <w:t>-</w:t>
      </w:r>
      <w:r>
        <w:rPr>
          <w:rFonts w:ascii="Book Antiqua" w:eastAsia="Book Antiqua" w:hAnsi="Book Antiqua" w:cs="Book Antiqua"/>
          <w:color w:val="000000"/>
        </w:rPr>
        <w:t>κB signaling, UDCA could directly attenuate the endothelial expression of MAdCAM-1 and other adhesion molecules, leading to a decrease in the accumulation of α4β7+ lymphocytes in the colon, thereby reducing the severity of colitis</w:t>
      </w:r>
      <w:r>
        <w:rPr>
          <w:rFonts w:ascii="Book Antiqua" w:eastAsia="Book Antiqua" w:hAnsi="Book Antiqua" w:cs="Book Antiqua"/>
          <w:color w:val="000000"/>
          <w:vertAlign w:val="superscript"/>
        </w:rPr>
        <w:t>[134]</w:t>
      </w:r>
      <w:r>
        <w:rPr>
          <w:rFonts w:ascii="Book Antiqua" w:eastAsia="Book Antiqua" w:hAnsi="Book Antiqua" w:cs="Book Antiqua"/>
          <w:color w:val="000000"/>
        </w:rPr>
        <w:t xml:space="preserve">. Another study showed that in a DSS-induced mouse model, UDCA and LCA prevented intestinal inflammation </w:t>
      </w:r>
      <w:r>
        <w:rPr>
          <w:rFonts w:ascii="Book Antiqua" w:eastAsia="Book Antiqua" w:hAnsi="Book Antiqua" w:cs="Book Antiqua"/>
          <w:i/>
          <w:iCs/>
          <w:color w:val="000000"/>
        </w:rPr>
        <w:t>in vivo</w:t>
      </w:r>
      <w:r>
        <w:rPr>
          <w:rFonts w:ascii="Book Antiqua" w:eastAsia="Book Antiqua" w:hAnsi="Book Antiqua" w:cs="Book Antiqua"/>
          <w:color w:val="000000"/>
        </w:rPr>
        <w:t>, at least in part by inhibiting epithelial cell apoptosis and promoting barrier function. Interestingly, LCA was more effective than UDCA in inhibiting epithelial cytokine release and preventing DSS-induced mucosal inflammation</w:t>
      </w:r>
      <w:r>
        <w:rPr>
          <w:rFonts w:ascii="Book Antiqua" w:eastAsia="Book Antiqua" w:hAnsi="Book Antiqua" w:cs="Book Antiqua"/>
          <w:color w:val="000000"/>
          <w:vertAlign w:val="superscript"/>
        </w:rPr>
        <w:t>[135,136]</w:t>
      </w:r>
      <w:r>
        <w:rPr>
          <w:rFonts w:ascii="Book Antiqua" w:eastAsia="Book Antiqua" w:hAnsi="Book Antiqua" w:cs="Book Antiqua"/>
          <w:color w:val="000000"/>
        </w:rPr>
        <w:t>. Mesalazine is the main drug used clinically for the treatment of UC and has been shown to induce remission of IBD and prevent IBD recurrence</w:t>
      </w:r>
      <w:r>
        <w:rPr>
          <w:rFonts w:ascii="Book Antiqua" w:eastAsia="Book Antiqua" w:hAnsi="Book Antiqua" w:cs="Book Antiqua"/>
          <w:color w:val="000000"/>
          <w:vertAlign w:val="superscript"/>
        </w:rPr>
        <w:t>[137]</w:t>
      </w:r>
      <w:r>
        <w:rPr>
          <w:rFonts w:ascii="Book Antiqua" w:eastAsia="Book Antiqua" w:hAnsi="Book Antiqua" w:cs="Book Antiqua"/>
          <w:color w:val="000000"/>
        </w:rPr>
        <w:t>. UDCA + mesalazine has been reported to have a better therapeutic effect than mesalazine alone, which may be related to the significant reduction of IL-23 and IL-17 and the altered distribution ratio of intestinal flora</w:t>
      </w:r>
      <w:r>
        <w:rPr>
          <w:rFonts w:ascii="Book Antiqua" w:eastAsia="Book Antiqua" w:hAnsi="Book Antiqua" w:cs="Book Antiqua"/>
          <w:color w:val="000000"/>
          <w:vertAlign w:val="superscript"/>
        </w:rPr>
        <w:t>[138]</w:t>
      </w:r>
      <w:r>
        <w:rPr>
          <w:rFonts w:ascii="Book Antiqua" w:eastAsia="Book Antiqua" w:hAnsi="Book Antiqua" w:cs="Book Antiqua"/>
          <w:color w:val="000000"/>
        </w:rPr>
        <w:t>. Tauroursodeoxycholic acid, a taurine conjugated UDCA, has been shown to reduce the accumulation of MPO activity, decrease colonic tissue levels of IL-1β, IFN-γ, and TNF-α, and also down-regulate nuclear receptor and bile acid transporter protein levels</w:t>
      </w:r>
      <w:r>
        <w:rPr>
          <w:rFonts w:ascii="Book Antiqua" w:eastAsia="Book Antiqua" w:hAnsi="Book Antiqua" w:cs="Book Antiqua"/>
          <w:color w:val="000000"/>
          <w:vertAlign w:val="superscript"/>
        </w:rPr>
        <w:t>[139,140]</w:t>
      </w:r>
      <w:r>
        <w:rPr>
          <w:rFonts w:ascii="Book Antiqua" w:eastAsia="Book Antiqua" w:hAnsi="Book Antiqua" w:cs="Book Antiqua"/>
          <w:color w:val="000000"/>
        </w:rPr>
        <w:t>.</w:t>
      </w:r>
      <w:r>
        <w:rPr>
          <w:rFonts w:ascii="Book Antiqua" w:eastAsia="Book Antiqua" w:hAnsi="Book Antiqua" w:cs="Book Antiqua" w:hint="eastAsia"/>
          <w:color w:val="000000"/>
        </w:rPr>
        <w:t xml:space="preserve"> </w:t>
      </w:r>
      <w:r>
        <w:rPr>
          <w:rFonts w:ascii="Book Antiqua" w:eastAsia="Book Antiqua" w:hAnsi="Book Antiqua" w:cs="Book Antiqua"/>
          <w:color w:val="000000"/>
        </w:rPr>
        <w:t>Hyodeoxycholic acid, glycine ursodeoxycholic acid, and taurocholate have similarly reduced colitis severity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a</w:t>
      </w:r>
      <w:r>
        <w:rPr>
          <w:rFonts w:ascii="Book Antiqua" w:eastAsia="宋体" w:hAnsi="Book Antiqua" w:cs="Book Antiqua" w:hint="eastAsia"/>
          <w:color w:val="000000"/>
          <w:lang w:eastAsia="zh-CN"/>
        </w:rPr>
        <w:t xml:space="preserve"> mouse model of</w:t>
      </w:r>
      <w:r>
        <w:rPr>
          <w:rFonts w:ascii="Book Antiqua" w:eastAsia="Book Antiqua" w:hAnsi="Book Antiqua" w:cs="Book Antiqua"/>
          <w:color w:val="000000"/>
        </w:rPr>
        <w:t xml:space="preserve"> IBD</w:t>
      </w:r>
      <w:r>
        <w:rPr>
          <w:rFonts w:ascii="Book Antiqua" w:eastAsia="Book Antiqua" w:hAnsi="Book Antiqua" w:cs="Book Antiqua"/>
          <w:color w:val="000000"/>
          <w:vertAlign w:val="superscript"/>
        </w:rPr>
        <w:t>[141-143]</w:t>
      </w:r>
      <w:r>
        <w:rPr>
          <w:rFonts w:ascii="Book Antiqua" w:eastAsia="Book Antiqua" w:hAnsi="Book Antiqua" w:cs="Book Antiqua"/>
          <w:color w:val="000000"/>
        </w:rPr>
        <w:t>. However, it has also been shown that long-term use of high-dose UDCA increases the risk of colorectal neoplasia in patients with IBD, suggesting that we need to control the course and dose of the drug rationally</w:t>
      </w:r>
      <w:r>
        <w:rPr>
          <w:rFonts w:ascii="Book Antiqua" w:eastAsia="Book Antiqua" w:hAnsi="Book Antiqua" w:cs="Book Antiqua"/>
          <w:color w:val="000000"/>
          <w:vertAlign w:val="superscript"/>
        </w:rPr>
        <w:t>[144]</w:t>
      </w:r>
      <w:r>
        <w:rPr>
          <w:rFonts w:ascii="Book Antiqua" w:eastAsia="Book Antiqua" w:hAnsi="Book Antiqua" w:cs="Book Antiqua"/>
          <w:color w:val="000000"/>
        </w:rPr>
        <w:t>. In conclusion, secondary bile acids such as UDCA may be promising therapeutic agents for reducing ecological dysregulation and improving inflammation in human IBD and are attractive candidates for treating IBD.</w:t>
      </w:r>
    </w:p>
    <w:p w14:paraId="7747BA24" w14:textId="77777777" w:rsidR="00E45927" w:rsidRDefault="00E45927">
      <w:pPr>
        <w:spacing w:line="360" w:lineRule="auto"/>
        <w:jc w:val="both"/>
        <w:rPr>
          <w:rFonts w:ascii="Book Antiqua" w:eastAsia="Book Antiqua" w:hAnsi="Book Antiqua" w:cs="Book Antiqua"/>
          <w:color w:val="000000"/>
        </w:rPr>
      </w:pPr>
    </w:p>
    <w:p w14:paraId="15BCEBAB" w14:textId="77777777" w:rsidR="00E45927" w:rsidRDefault="00000000">
      <w:pPr>
        <w:spacing w:line="360" w:lineRule="auto"/>
        <w:jc w:val="both"/>
        <w:rPr>
          <w:rFonts w:ascii="Book Antiqua" w:hAnsi="Book Antiqua"/>
          <w:i/>
          <w:iCs/>
        </w:rPr>
      </w:pPr>
      <w:bookmarkStart w:id="221" w:name="OLE_LINK6923"/>
      <w:bookmarkStart w:id="222" w:name="OLE_LINK6922"/>
      <w:r>
        <w:rPr>
          <w:rFonts w:ascii="Book Antiqua" w:eastAsia="Book Antiqua" w:hAnsi="Book Antiqua" w:cs="Book Antiqua"/>
          <w:b/>
          <w:bCs/>
          <w:i/>
          <w:iCs/>
          <w:color w:val="000000"/>
        </w:rPr>
        <w:t>Probiotics and fecal microbiota transplantation</w:t>
      </w:r>
    </w:p>
    <w:bookmarkEnd w:id="221"/>
    <w:bookmarkEnd w:id="222"/>
    <w:p w14:paraId="0BA9CAE1" w14:textId="77777777" w:rsidR="00E45927" w:rsidRDefault="00000000">
      <w:pPr>
        <w:spacing w:line="360" w:lineRule="auto"/>
        <w:jc w:val="both"/>
        <w:rPr>
          <w:rFonts w:ascii="Book Antiqua" w:hAnsi="Book Antiqua"/>
        </w:rPr>
      </w:pPr>
      <w:r>
        <w:rPr>
          <w:rFonts w:ascii="Book Antiqua" w:eastAsia="Book Antiqua" w:hAnsi="Book Antiqua" w:cs="Book Antiqua"/>
          <w:color w:val="000000"/>
        </w:rPr>
        <w:t xml:space="preserve">Probiotic therapy introduces specific bacteria that have a recognized advantage in competitively suppressing pathogens and normalizing intestinal microbiota composition. Probiotics are classified by the World Health Organization as live microorganisms that, when consumed in sufficient quantities, can help the host's health. The probiotics </w:t>
      </w:r>
      <w:r>
        <w:rPr>
          <w:rFonts w:ascii="Book Antiqua" w:eastAsia="Book Antiqua" w:hAnsi="Book Antiqua" w:cs="Book Antiqua"/>
          <w:i/>
          <w:iCs/>
          <w:color w:val="000000"/>
        </w:rPr>
        <w:t>Bifidobacterium, Lactobacillus</w:t>
      </w:r>
      <w:r>
        <w:rPr>
          <w:rFonts w:ascii="Book Antiqua" w:eastAsia="Book Antiqua" w:hAnsi="Book Antiqua" w:cs="Book Antiqua"/>
          <w:color w:val="000000"/>
        </w:rPr>
        <w:t xml:space="preserve">, and </w:t>
      </w:r>
      <w:r>
        <w:rPr>
          <w:rFonts w:ascii="Book Antiqua" w:eastAsia="Book Antiqua" w:hAnsi="Book Antiqua" w:cs="Book Antiqua"/>
          <w:i/>
          <w:iCs/>
          <w:color w:val="000000"/>
        </w:rPr>
        <w:t>Lactococcus</w:t>
      </w:r>
      <w:r>
        <w:rPr>
          <w:rFonts w:ascii="Book Antiqua" w:eastAsia="Book Antiqua" w:hAnsi="Book Antiqua" w:cs="Book Antiqua"/>
          <w:color w:val="000000"/>
        </w:rPr>
        <w:t xml:space="preserve"> are the most frequently utilized. </w:t>
      </w:r>
      <w:r>
        <w:rPr>
          <w:rFonts w:ascii="Book Antiqua" w:eastAsia="宋体" w:hAnsi="Book Antiqua" w:cs="Book Antiqua" w:hint="eastAsia"/>
          <w:color w:val="000000"/>
          <w:lang w:eastAsia="zh-CN"/>
        </w:rPr>
        <w:t>As an</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adjuvant therapy for addressing the functional symptoms of IBD, probiotics have shown promise in numerous human and animal studies</w:t>
      </w:r>
      <w:r>
        <w:rPr>
          <w:rFonts w:ascii="Book Antiqua" w:eastAsia="Book Antiqua" w:hAnsi="Book Antiqua" w:cs="Book Antiqua"/>
          <w:color w:val="000000"/>
          <w:vertAlign w:val="superscript"/>
        </w:rPr>
        <w:t>[145-147]</w:t>
      </w:r>
      <w:r>
        <w:rPr>
          <w:rFonts w:ascii="Book Antiqua" w:eastAsia="Book Antiqua" w:hAnsi="Book Antiqua" w:cs="Book Antiqua"/>
          <w:color w:val="000000"/>
        </w:rPr>
        <w:t xml:space="preserve">. </w:t>
      </w:r>
      <w:bookmarkStart w:id="223" w:name="OLE_LINK6924"/>
      <w:bookmarkStart w:id="224" w:name="OLE_LINK6925"/>
      <w:r>
        <w:rPr>
          <w:rFonts w:ascii="Book Antiqua" w:eastAsia="Book Antiqua" w:hAnsi="Book Antiqua" w:cs="Book Antiqua"/>
          <w:color w:val="000000"/>
        </w:rPr>
        <w:t>Wong</w:t>
      </w:r>
      <w:bookmarkEnd w:id="223"/>
      <w:bookmarkEnd w:id="224"/>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[148]</w:t>
      </w:r>
      <w:r>
        <w:rPr>
          <w:rFonts w:ascii="Book Antiqua" w:eastAsia="Book Antiqua" w:hAnsi="Book Antiqua" w:cs="Book Antiqua"/>
          <w:color w:val="000000"/>
        </w:rPr>
        <w:t xml:space="preserve"> recently demonstrated that </w:t>
      </w:r>
      <w:r>
        <w:rPr>
          <w:rFonts w:ascii="Book Antiqua" w:eastAsia="Book Antiqua" w:hAnsi="Book Antiqua" w:cs="Book Antiqua"/>
          <w:i/>
          <w:iCs/>
          <w:color w:val="000000"/>
        </w:rPr>
        <w:t>Lactobacillus casei</w:t>
      </w:r>
      <w:r>
        <w:rPr>
          <w:rFonts w:ascii="Book Antiqua" w:eastAsia="Book Antiqua" w:hAnsi="Book Antiqua" w:cs="Book Antiqua"/>
          <w:color w:val="000000"/>
        </w:rPr>
        <w:t xml:space="preserve"> strain Shirota (LcS) not only increased beneficial bacterial species but also modified the circulating bile acid profile in a mouse model of DSS-induced acute colitis. Furthermore, LcS treatment increased mucin-2 and occludin expression in the colon while improving intestinal integrity. It was also shown that LcS therapy decreased the expression of pro-inflammatory mediators IFN-</w:t>
      </w:r>
      <w:r>
        <w:rPr>
          <w:rFonts w:ascii="Book Antiqua" w:eastAsia="Book Antiqua" w:hAnsi="Book Antiqua" w:cs="Book Antiqua" w:hint="eastAsia"/>
          <w:color w:val="000000"/>
        </w:rPr>
        <w:t>γ</w:t>
      </w:r>
      <w:r>
        <w:rPr>
          <w:rFonts w:ascii="Book Antiqua" w:eastAsia="Book Antiqua" w:hAnsi="Book Antiqua" w:cs="Book Antiqua"/>
          <w:color w:val="000000"/>
        </w:rPr>
        <w:t xml:space="preserve"> and NO and raised the expression of anti-inflammatory mediator</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in colonic tissue, possibly due to an altered bile acid profile</w:t>
      </w:r>
      <w:bookmarkStart w:id="225" w:name="OLE_LINK6927"/>
      <w:bookmarkStart w:id="226" w:name="OLE_LINK6926"/>
      <w:r>
        <w:rPr>
          <w:rFonts w:ascii="Book Antiqua" w:eastAsia="Book Antiqua" w:hAnsi="Book Antiqua" w:cs="Book Antiqua"/>
          <w:color w:val="000000"/>
          <w:vertAlign w:val="superscript"/>
        </w:rPr>
        <w:t>[148]</w:t>
      </w:r>
      <w:bookmarkEnd w:id="225"/>
      <w:bookmarkEnd w:id="226"/>
      <w:r>
        <w:rPr>
          <w:rFonts w:ascii="Book Antiqua" w:eastAsia="Book Antiqua" w:hAnsi="Book Antiqua" w:cs="Book Antiqua"/>
          <w:color w:val="000000"/>
        </w:rPr>
        <w:t xml:space="preserve">. Another study showed that probiotic mixtures containing </w:t>
      </w:r>
      <w:bookmarkStart w:id="227" w:name="OLE_LINK6931"/>
      <w:bookmarkStart w:id="228" w:name="OLE_LINK6930"/>
      <w:r>
        <w:rPr>
          <w:rFonts w:ascii="Book Antiqua" w:eastAsia="Book Antiqua" w:hAnsi="Book Antiqua" w:cs="Book Antiqua"/>
          <w:i/>
          <w:iCs/>
          <w:color w:val="000000"/>
        </w:rPr>
        <w:t>Lactobacillus rhamnosus</w:t>
      </w:r>
      <w:bookmarkEnd w:id="227"/>
      <w:bookmarkEnd w:id="228"/>
      <w:r>
        <w:rPr>
          <w:rFonts w:ascii="Book Antiqua" w:eastAsia="Book Antiqua" w:hAnsi="Book Antiqua" w:cs="Book Antiqua"/>
          <w:color w:val="000000"/>
        </w:rPr>
        <w:t xml:space="preserve"> and </w:t>
      </w:r>
      <w:bookmarkStart w:id="229" w:name="OLE_LINK6929"/>
      <w:bookmarkStart w:id="230" w:name="OLE_LINK6928"/>
      <w:bookmarkStart w:id="231" w:name="OLE_LINK6933"/>
      <w:bookmarkStart w:id="232" w:name="OLE_LINK6932"/>
      <w:r>
        <w:rPr>
          <w:rFonts w:ascii="Book Antiqua" w:eastAsia="Book Antiqua" w:hAnsi="Book Antiqua" w:cs="Book Antiqua"/>
          <w:i/>
          <w:iCs/>
          <w:color w:val="000000"/>
        </w:rPr>
        <w:t xml:space="preserve">Lactococcus </w:t>
      </w:r>
      <w:bookmarkEnd w:id="229"/>
      <w:bookmarkEnd w:id="230"/>
      <w:r>
        <w:rPr>
          <w:rFonts w:ascii="Book Antiqua" w:eastAsia="Book Antiqua" w:hAnsi="Book Antiqua" w:cs="Book Antiqua"/>
          <w:i/>
          <w:iCs/>
          <w:color w:val="000000"/>
        </w:rPr>
        <w:t>lactis</w:t>
      </w:r>
      <w:bookmarkEnd w:id="231"/>
      <w:bookmarkEnd w:id="232"/>
      <w:r>
        <w:rPr>
          <w:rFonts w:ascii="Book Antiqua" w:eastAsia="Book Antiqua" w:hAnsi="Book Antiqua" w:cs="Book Antiqua"/>
          <w:color w:val="000000"/>
        </w:rPr>
        <w:t xml:space="preserve"> reduced the expression levels of IFN-γ, IL-17F, IL-1α, and IL-25</w:t>
      </w:r>
      <w:r>
        <w:rPr>
          <w:rFonts w:ascii="Book Antiqua" w:eastAsia="宋体" w:hAnsi="Book Antiqua" w:cs="Book Antiqua" w:hint="eastAsia"/>
          <w:color w:val="000000"/>
          <w:lang w:eastAsia="zh-CN"/>
        </w:rPr>
        <w:t>, as well as</w:t>
      </w:r>
      <w:r>
        <w:rPr>
          <w:rFonts w:ascii="Book Antiqua" w:eastAsia="Book Antiqua" w:hAnsi="Book Antiqua" w:cs="Book Antiqua"/>
          <w:color w:val="000000"/>
        </w:rPr>
        <w:t xml:space="preserve"> the levels of the main NLRP3 inflammasome components (NLRP3, ASC, caspase-1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IL-1β) and NOD2 in IBD mice. Probiotics have also increased FXR, GPABR1, vitamin D, and CAR expression in IBD mice</w:t>
      </w:r>
      <w:r>
        <w:rPr>
          <w:rFonts w:ascii="Book Antiqua" w:eastAsia="Book Antiqua" w:hAnsi="Book Antiqua" w:cs="Book Antiqua"/>
          <w:color w:val="000000"/>
          <w:vertAlign w:val="superscript"/>
        </w:rPr>
        <w:t>[149]</w:t>
      </w:r>
      <w:r>
        <w:rPr>
          <w:rFonts w:ascii="Book Antiqua" w:eastAsia="Book Antiqua" w:hAnsi="Book Antiqua" w:cs="Book Antiqua"/>
          <w:color w:val="000000"/>
        </w:rPr>
        <w:t xml:space="preserve">. Furthermore, the probiotic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has anti-inflammatory activity and induces cellular autophagy, and these effects are achieved by increasing VDR expression</w:t>
      </w:r>
      <w:bookmarkStart w:id="233" w:name="OLE_LINK6935"/>
      <w:bookmarkStart w:id="234" w:name="OLE_LINK6934"/>
      <w:r>
        <w:rPr>
          <w:rFonts w:ascii="Book Antiqua" w:eastAsia="Book Antiqua" w:hAnsi="Book Antiqua" w:cs="Book Antiqua"/>
          <w:color w:val="000000"/>
          <w:vertAlign w:val="superscript"/>
        </w:rPr>
        <w:t>[150]</w:t>
      </w:r>
      <w:bookmarkEnd w:id="233"/>
      <w:bookmarkEnd w:id="234"/>
      <w:r>
        <w:rPr>
          <w:rFonts w:ascii="Book Antiqua" w:eastAsia="Book Antiqua" w:hAnsi="Book Antiqua" w:cs="Book Antiqua"/>
          <w:color w:val="000000"/>
        </w:rPr>
        <w:t xml:space="preserve">. Recently, Zhou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[151]</w:t>
      </w:r>
      <w:r>
        <w:rPr>
          <w:rFonts w:ascii="Book Antiqua" w:eastAsia="Book Antiqua" w:hAnsi="Book Antiqua" w:cs="Book Antiqua"/>
          <w:color w:val="000000"/>
        </w:rPr>
        <w:t xml:space="preserve"> designed a bile acid consortium (BAC) composed of three species of </w:t>
      </w:r>
      <w:bookmarkStart w:id="235" w:name="OLE_LINK6936"/>
      <w:bookmarkStart w:id="236" w:name="OLE_LINK6937"/>
      <w:r>
        <w:rPr>
          <w:rFonts w:ascii="Book Antiqua" w:eastAsia="Book Antiqua" w:hAnsi="Book Antiqua" w:cs="Book Antiqua"/>
          <w:i/>
          <w:iCs/>
          <w:color w:val="000000"/>
        </w:rPr>
        <w:t>Bacteroides ovatus</w:t>
      </w:r>
      <w:bookmarkEnd w:id="235"/>
      <w:bookmarkEnd w:id="236"/>
      <w:r>
        <w:rPr>
          <w:rFonts w:ascii="Book Antiqua" w:eastAsia="Book Antiqua" w:hAnsi="Book Antiqua" w:cs="Book Antiqua"/>
          <w:color w:val="000000"/>
        </w:rPr>
        <w:t xml:space="preserve">, </w:t>
      </w:r>
      <w:bookmarkStart w:id="237" w:name="OLE_LINK6938"/>
      <w:bookmarkStart w:id="238" w:name="OLE_LINK6939"/>
      <w:r>
        <w:rPr>
          <w:rFonts w:ascii="Book Antiqua" w:eastAsia="Book Antiqua" w:hAnsi="Book Antiqua" w:cs="Book Antiqua"/>
          <w:i/>
          <w:iCs/>
          <w:color w:val="000000"/>
        </w:rPr>
        <w:t>Clostridium</w:t>
      </w:r>
      <w:bookmarkEnd w:id="237"/>
      <w:bookmarkEnd w:id="238"/>
      <w:r>
        <w:rPr>
          <w:rFonts w:ascii="Book Antiqua" w:eastAsia="Book Antiqua" w:hAnsi="Book Antiqua" w:cs="Book Antiqua"/>
          <w:color w:val="000000"/>
        </w:rPr>
        <w:t xml:space="preserve"> AP sp000509125, and </w:t>
      </w:r>
      <w:bookmarkStart w:id="239" w:name="OLE_LINK6941"/>
      <w:bookmarkStart w:id="240" w:name="OLE_LINK6940"/>
      <w:r>
        <w:rPr>
          <w:rFonts w:ascii="Book Antiqua" w:eastAsia="Book Antiqua" w:hAnsi="Book Antiqua" w:cs="Book Antiqua"/>
          <w:i/>
          <w:iCs/>
          <w:color w:val="000000"/>
        </w:rPr>
        <w:t>Eubacterium limosum</w:t>
      </w:r>
      <w:bookmarkEnd w:id="239"/>
      <w:bookmarkEnd w:id="240"/>
      <w:r>
        <w:rPr>
          <w:rFonts w:ascii="Book Antiqua" w:eastAsia="Book Antiqua" w:hAnsi="Book Antiqua" w:cs="Book Antiqua"/>
          <w:color w:val="000000"/>
        </w:rPr>
        <w:t>. They observed that BAC restored secondary bile acid metabolism in DSS-treated mice, thereby increasing the levels of UDCA and LCA, which induced activation of GPABR1 to improve the integrity of the intestinal barrier and reduce inflammation</w:t>
      </w:r>
      <w:r>
        <w:rPr>
          <w:rFonts w:ascii="Book Antiqua" w:eastAsia="Book Antiqua" w:hAnsi="Book Antiqua" w:cs="Book Antiqua"/>
          <w:color w:val="000000"/>
          <w:vertAlign w:val="superscript"/>
        </w:rPr>
        <w:t>[151]</w:t>
      </w:r>
      <w:r>
        <w:rPr>
          <w:rFonts w:ascii="Book Antiqua" w:eastAsia="Book Antiqua" w:hAnsi="Book Antiqua" w:cs="Book Antiqua"/>
          <w:color w:val="000000"/>
        </w:rPr>
        <w:t xml:space="preserve">. In addition, the probiotic strain </w:t>
      </w:r>
      <w:r>
        <w:rPr>
          <w:rFonts w:ascii="Book Antiqua" w:eastAsia="Book Antiqua" w:hAnsi="Book Antiqua" w:cs="Book Antiqua"/>
          <w:i/>
          <w:iCs/>
          <w:color w:val="000000"/>
        </w:rPr>
        <w:t>Bifidobacterium longum</w:t>
      </w:r>
      <w:r>
        <w:rPr>
          <w:rFonts w:ascii="Book Antiqua" w:eastAsia="Book Antiqua" w:hAnsi="Book Antiqua" w:cs="Book Antiqua"/>
          <w:color w:val="000000"/>
        </w:rPr>
        <w:t xml:space="preserve"> CECT 7894 could improve the efficacy of infliximab against DSS-induced colitis by modulating intestinal flora composition and bile acid metabolism</w:t>
      </w:r>
      <w:r>
        <w:rPr>
          <w:rFonts w:ascii="Book Antiqua" w:eastAsia="Book Antiqua" w:hAnsi="Book Antiqua" w:cs="Book Antiqua"/>
          <w:color w:val="000000"/>
          <w:vertAlign w:val="superscript"/>
        </w:rPr>
        <w:t>[152]</w:t>
      </w:r>
      <w:r>
        <w:rPr>
          <w:rFonts w:ascii="Book Antiqua" w:eastAsia="Book Antiqua" w:hAnsi="Book Antiqua" w:cs="Book Antiqua"/>
          <w:color w:val="000000"/>
        </w:rPr>
        <w:t xml:space="preserve">. Probiotics may increase the risk of bacteremia, adverse effects, and the spread of antibiotic resistance in IBD patients because of their bioactivity and other characteristics. In addition, probiotics used for adjuvant therapy may be unsuccessful in some patients due to strain specificity or individual differences, in which case they should be discontinued. Therefore, the duration of probiotics should be dependent on various therapeutic benefits, objectives, and practical circumstances. Future clinical and animal </w:t>
      </w:r>
      <w:r>
        <w:rPr>
          <w:rFonts w:ascii="Book Antiqua" w:eastAsia="Book Antiqua" w:hAnsi="Book Antiqua" w:cs="Book Antiqua"/>
          <w:color w:val="000000"/>
        </w:rPr>
        <w:lastRenderedPageBreak/>
        <w:t>investigations are required to study the direct effects and specific mechanisms of probiotics on bile acids and their receptors in IBD patients.</w:t>
      </w:r>
    </w:p>
    <w:p w14:paraId="0BD8BF5B" w14:textId="77777777" w:rsidR="00E45927"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Fecal microbiota transplantation (FMT) is a novel and appropriate route to modify the microbial ecosystem in the host gastrointestinal tract. In recent decades, FMT has improved diseases such as </w:t>
      </w:r>
      <w:bookmarkStart w:id="241" w:name="OLE_LINK6942"/>
      <w:bookmarkStart w:id="242" w:name="OLE_LINK6943"/>
      <w:r>
        <w:rPr>
          <w:rFonts w:ascii="Book Antiqua" w:eastAsia="Book Antiqua" w:hAnsi="Book Antiqua" w:cs="Book Antiqua"/>
          <w:i/>
          <w:iCs/>
          <w:color w:val="000000"/>
        </w:rPr>
        <w:t>Clostridioides difficile</w:t>
      </w:r>
      <w:bookmarkEnd w:id="241"/>
      <w:bookmarkEnd w:id="242"/>
      <w:r>
        <w:rPr>
          <w:rFonts w:ascii="Book Antiqua" w:eastAsia="Book Antiqua" w:hAnsi="Book Antiqua" w:cs="Book Antiqua"/>
          <w:color w:val="000000"/>
        </w:rPr>
        <w:t xml:space="preserve"> infections, IBD, and irritable bowel syndrome. However, the exact mechanisms still need to be better understood</w:t>
      </w:r>
      <w:r>
        <w:rPr>
          <w:rFonts w:ascii="Book Antiqua" w:eastAsia="Book Antiqua" w:hAnsi="Book Antiqua" w:cs="Book Antiqua"/>
          <w:color w:val="000000"/>
          <w:vertAlign w:val="superscript"/>
        </w:rPr>
        <w:t>[153,154]</w:t>
      </w:r>
      <w:r>
        <w:rPr>
          <w:rFonts w:ascii="Book Antiqua" w:eastAsia="Book Antiqua" w:hAnsi="Book Antiqua" w:cs="Book Antiqua"/>
          <w:color w:val="000000"/>
        </w:rPr>
        <w:t xml:space="preserve">. Several recent studies have found that FMT may improve IBD by acting on bile acids and their receptors. </w:t>
      </w:r>
      <w:bookmarkStart w:id="243" w:name="OLE_LINK6947"/>
      <w:bookmarkStart w:id="244" w:name="OLE_LINK6946"/>
      <w:r>
        <w:rPr>
          <w:rFonts w:ascii="Book Antiqua" w:eastAsia="Book Antiqua" w:hAnsi="Book Antiqua" w:cs="Book Antiqua"/>
          <w:color w:val="000000"/>
        </w:rPr>
        <w:t>Lima</w:t>
      </w:r>
      <w:bookmarkEnd w:id="243"/>
      <w:bookmarkEnd w:id="244"/>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[155]</w:t>
      </w:r>
      <w:r>
        <w:rPr>
          <w:rFonts w:ascii="Book Antiqua" w:eastAsia="Book Antiqua" w:hAnsi="Book Antiqua" w:cs="Book Antiqua"/>
          <w:color w:val="000000"/>
        </w:rPr>
        <w:t xml:space="preserve"> showed that FMT induced the production of RORγt+ regulatory T cells, IL-10, and short-chain fatty acids by macrogenomic analysis and strain tracing in 60 donor and recipient samples of active UC treated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FMT, thus protecting patients from colitis</w:t>
      </w:r>
      <w:bookmarkStart w:id="245" w:name="OLE_LINK6950"/>
      <w:bookmarkStart w:id="246" w:name="OLE_LINK6949"/>
      <w:bookmarkStart w:id="247" w:name="OLE_LINK6948"/>
      <w:r>
        <w:rPr>
          <w:rFonts w:ascii="Book Antiqua" w:eastAsia="Book Antiqua" w:hAnsi="Book Antiqua" w:cs="Book Antiqua"/>
          <w:color w:val="000000"/>
          <w:vertAlign w:val="superscript"/>
        </w:rPr>
        <w:t>[155]</w:t>
      </w:r>
      <w:bookmarkEnd w:id="245"/>
      <w:bookmarkEnd w:id="246"/>
      <w:bookmarkEnd w:id="247"/>
      <w:r>
        <w:rPr>
          <w:rFonts w:ascii="Book Antiqua" w:eastAsia="Book Antiqua" w:hAnsi="Book Antiqua" w:cs="Book Antiqua"/>
          <w:color w:val="000000"/>
        </w:rPr>
        <w:t xml:space="preserve">. Another study showed that the long-term </w:t>
      </w:r>
      <w:r>
        <w:rPr>
          <w:rFonts w:ascii="Book Antiqua" w:eastAsia="Book Antiqua" w:hAnsi="Book Antiqua" w:cs="Book Antiqua"/>
          <w:i/>
          <w:iCs/>
          <w:color w:val="000000"/>
        </w:rPr>
        <w:t>Faecalibaterium</w:t>
      </w:r>
      <w:r>
        <w:rPr>
          <w:rFonts w:ascii="Book Antiqua" w:eastAsia="Book Antiqua" w:hAnsi="Book Antiqua" w:cs="Book Antiqua"/>
          <w:color w:val="000000"/>
        </w:rPr>
        <w:t xml:space="preserve"> colonization following FMT could reduce intestinal inflammation by regulating the expression of RORγt and Foxp3 in UC, thereby ameliorating the imbalance in Th 17/Treg levels</w:t>
      </w:r>
      <w:r>
        <w:rPr>
          <w:rFonts w:ascii="Book Antiqua" w:eastAsia="Book Antiqua" w:hAnsi="Book Antiqua" w:cs="Book Antiqua"/>
          <w:color w:val="000000"/>
          <w:vertAlign w:val="superscript"/>
        </w:rPr>
        <w:t>[156]</w:t>
      </w:r>
      <w:r>
        <w:rPr>
          <w:rFonts w:ascii="Book Antiqua" w:eastAsia="Book Antiqua" w:hAnsi="Book Antiqua" w:cs="Book Antiqua"/>
          <w:color w:val="000000"/>
        </w:rPr>
        <w:t xml:space="preserve">. In addition, a mouse model of colitis was shown to be significantly inhibited by the intestinal fungus </w:t>
      </w:r>
      <w:bookmarkStart w:id="248" w:name="OLE_LINK6951"/>
      <w:bookmarkStart w:id="249" w:name="OLE_LINK6952"/>
      <w:r>
        <w:rPr>
          <w:rFonts w:ascii="Book Antiqua" w:eastAsia="Book Antiqua" w:hAnsi="Book Antiqua" w:cs="Book Antiqua"/>
          <w:i/>
          <w:iCs/>
          <w:color w:val="000000"/>
        </w:rPr>
        <w:t>C. metapsilosis</w:t>
      </w:r>
      <w:bookmarkEnd w:id="248"/>
      <w:bookmarkEnd w:id="249"/>
      <w:r>
        <w:rPr>
          <w:rFonts w:ascii="Book Antiqua" w:eastAsia="Book Antiqua" w:hAnsi="Book Antiqua" w:cs="Book Antiqua"/>
          <w:color w:val="000000"/>
        </w:rPr>
        <w:t xml:space="preserve"> M2006 B, which was isolated from human feces. Moreover, the researchers identified two acyclic sesquiterpenoids (F4 and F5) as the main active metabolites of M2006 B. Surprisingly, in an animal model, these metabolites were able to effectively ameliorate colitis by selectively activating FXR. These findings suggest that M2006 B in human feces may be a beneficial intestinal fungus for treating and preventing IBD</w:t>
      </w:r>
      <w:r>
        <w:rPr>
          <w:rFonts w:ascii="Book Antiqua" w:eastAsia="Book Antiqua" w:hAnsi="Book Antiqua" w:cs="Book Antiqua"/>
          <w:color w:val="000000"/>
          <w:vertAlign w:val="superscript"/>
        </w:rPr>
        <w:t>[157]</w:t>
      </w:r>
      <w:r>
        <w:rPr>
          <w:rFonts w:ascii="Book Antiqua" w:eastAsia="Book Antiqua" w:hAnsi="Book Antiqua" w:cs="Book Antiqua"/>
          <w:color w:val="000000"/>
        </w:rPr>
        <w:t>. Interestingly, another recent study found that administering antibiotic pretreatment to IBD patients contributed to microbial implantation and possible clinical effectiveness</w:t>
      </w:r>
      <w:r>
        <w:rPr>
          <w:rFonts w:ascii="Book Antiqua" w:eastAsia="Book Antiqua" w:hAnsi="Book Antiqua" w:cs="Book Antiqua"/>
          <w:color w:val="000000"/>
          <w:vertAlign w:val="superscript"/>
        </w:rPr>
        <w:t>[158]</w:t>
      </w:r>
      <w:r>
        <w:rPr>
          <w:rFonts w:ascii="Book Antiqua" w:eastAsia="Book Antiqua" w:hAnsi="Book Antiqua" w:cs="Book Antiqua"/>
          <w:color w:val="000000"/>
        </w:rPr>
        <w:t>. In conclusion, these findings support the use of FMT in treating IBD, but the safety and efficacy of FMT remain to be investigated.</w:t>
      </w:r>
    </w:p>
    <w:p w14:paraId="1531C095" w14:textId="77777777" w:rsidR="00E45927" w:rsidRDefault="00E45927">
      <w:pPr>
        <w:spacing w:line="360" w:lineRule="auto"/>
        <w:jc w:val="both"/>
        <w:rPr>
          <w:rFonts w:ascii="Book Antiqua" w:hAnsi="Book Antiqua"/>
        </w:rPr>
      </w:pPr>
    </w:p>
    <w:p w14:paraId="30B5C249" w14:textId="77777777" w:rsidR="00E45927" w:rsidRDefault="00000000">
      <w:pPr>
        <w:spacing w:line="360" w:lineRule="auto"/>
        <w:jc w:val="both"/>
        <w:rPr>
          <w:rFonts w:ascii="Book Antiqua" w:hAnsi="Book Antiqua"/>
          <w:i/>
          <w:iCs/>
        </w:rPr>
      </w:pPr>
      <w:bookmarkStart w:id="250" w:name="OLE_LINK6953"/>
      <w:bookmarkStart w:id="251" w:name="OLE_LINK6954"/>
      <w:r>
        <w:rPr>
          <w:rFonts w:ascii="Book Antiqua" w:eastAsia="Book Antiqua" w:hAnsi="Book Antiqua" w:cs="Book Antiqua"/>
          <w:b/>
          <w:bCs/>
          <w:i/>
          <w:iCs/>
          <w:color w:val="000000"/>
        </w:rPr>
        <w:t>Bile acid sequestrants</w:t>
      </w:r>
    </w:p>
    <w:bookmarkEnd w:id="250"/>
    <w:bookmarkEnd w:id="251"/>
    <w:p w14:paraId="47EB402A" w14:textId="77777777" w:rsidR="00E45927" w:rsidRDefault="00000000">
      <w:pPr>
        <w:spacing w:line="360" w:lineRule="auto"/>
        <w:jc w:val="both"/>
        <w:rPr>
          <w:rFonts w:ascii="Book Antiqua" w:hAnsi="Book Antiqua"/>
        </w:rPr>
      </w:pPr>
      <w:r>
        <w:rPr>
          <w:rFonts w:ascii="Book Antiqua" w:eastAsia="Book Antiqua" w:hAnsi="Book Antiqua" w:cs="Book Antiqua"/>
          <w:color w:val="000000"/>
        </w:rPr>
        <w:t>A bile acid sequestrant is a positively charged indigestible resin that binds to bile acids in the intestine and forms insoluble compounds in the feces. They are mainly used in treating primary hypercholesterolemia and hypercholesterolemia with mild hypertriglyceridemia</w:t>
      </w:r>
      <w:r>
        <w:rPr>
          <w:rFonts w:ascii="Book Antiqua" w:eastAsia="Book Antiqua" w:hAnsi="Book Antiqua" w:cs="Book Antiqua"/>
          <w:color w:val="000000"/>
          <w:vertAlign w:val="superscript"/>
        </w:rPr>
        <w:t>[159,160]</w:t>
      </w:r>
      <w:r>
        <w:rPr>
          <w:rFonts w:ascii="Book Antiqua" w:eastAsia="Book Antiqua" w:hAnsi="Book Antiqua" w:cs="Book Antiqua"/>
          <w:color w:val="000000"/>
        </w:rPr>
        <w:t xml:space="preserve">. Currently, there are three major medications available for </w:t>
      </w:r>
      <w:r>
        <w:rPr>
          <w:rFonts w:ascii="Book Antiqua" w:eastAsia="Book Antiqua" w:hAnsi="Book Antiqua" w:cs="Book Antiqua"/>
          <w:color w:val="000000"/>
        </w:rPr>
        <w:lastRenderedPageBreak/>
        <w:t xml:space="preserve">purchase: </w:t>
      </w:r>
      <w:r>
        <w:rPr>
          <w:rFonts w:ascii="Book Antiqua" w:eastAsia="宋体" w:hAnsi="Book Antiqua" w:cs="Book Antiqua" w:hint="eastAsia"/>
          <w:color w:val="000000"/>
          <w:lang w:eastAsia="zh-CN"/>
        </w:rPr>
        <w:t>C</w:t>
      </w:r>
      <w:r>
        <w:rPr>
          <w:rFonts w:ascii="Book Antiqua" w:eastAsia="Book Antiqua" w:hAnsi="Book Antiqua" w:cs="Book Antiqua"/>
          <w:color w:val="000000"/>
        </w:rPr>
        <w:t>holestyramine, colestipol, and, more recently, colesevelam. Bile acid malabsorption (BAM), also known as bile acid diarrhea (BAD), is a prevalent, underappreciated, and frequently missed indicator of IBD. Clinically relevant BAM is most commonly seen in patients with IBD, especially in ileal resected CD patients.</w:t>
      </w:r>
    </w:p>
    <w:p w14:paraId="27095656" w14:textId="77777777" w:rsidR="00E4592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In most cases, BAM in IBD is caused by impaired reabsorption of conjugated bile acids</w:t>
      </w:r>
      <w:r>
        <w:rPr>
          <w:rFonts w:ascii="Book Antiqua" w:eastAsia="Book Antiqua" w:hAnsi="Book Antiqua" w:cs="Book Antiqua"/>
          <w:color w:val="000000"/>
          <w:vertAlign w:val="superscript"/>
        </w:rPr>
        <w:t>[161]</w:t>
      </w:r>
      <w:r>
        <w:rPr>
          <w:rFonts w:ascii="Book Antiqua" w:eastAsia="Book Antiqua" w:hAnsi="Book Antiqua" w:cs="Book Antiqua"/>
          <w:color w:val="000000"/>
        </w:rPr>
        <w:t>. CD patients with BAM treated with bile acid sequestrants achieved a good response in 72.2% of cases. Researchers also analyzed the relationship between the degree of BAM (moderate or severe), intestinal surgery, and response to bile acid chelation therapy, but unfortunately, th</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not statistically significant</w:t>
      </w:r>
      <w:r>
        <w:rPr>
          <w:rFonts w:ascii="Book Antiqua" w:eastAsia="Book Antiqua" w:hAnsi="Book Antiqua" w:cs="Book Antiqua"/>
          <w:color w:val="000000"/>
          <w:vertAlign w:val="superscript"/>
        </w:rPr>
        <w:t>[162]</w:t>
      </w:r>
      <w:r>
        <w:rPr>
          <w:rFonts w:ascii="Book Antiqua" w:eastAsia="Book Antiqua" w:hAnsi="Book Antiqua" w:cs="Book Antiqua"/>
          <w:color w:val="000000"/>
        </w:rPr>
        <w:t>. Another study showed a significant improvement in the quality of life of CD patients after terminal ileal resection when molecular treatment was given to them</w:t>
      </w:r>
      <w:r>
        <w:rPr>
          <w:rFonts w:ascii="Book Antiqua" w:eastAsia="Book Antiqua" w:hAnsi="Book Antiqua" w:cs="Book Antiqua"/>
          <w:color w:val="000000"/>
          <w:vertAlign w:val="superscript"/>
        </w:rPr>
        <w:t>[163]</w:t>
      </w:r>
      <w:r>
        <w:rPr>
          <w:rFonts w:ascii="Book Antiqua" w:eastAsia="Book Antiqua" w:hAnsi="Book Antiqua" w:cs="Book Antiqua"/>
          <w:color w:val="000000"/>
        </w:rPr>
        <w:t>. Although some research progress has been made, the specific mechanisms of bile acid chelators in treating BAM caused by IBD need to be further explained.</w:t>
      </w:r>
    </w:p>
    <w:p w14:paraId="2C41FB3C" w14:textId="77777777" w:rsidR="00E45927" w:rsidRDefault="00E45927">
      <w:pPr>
        <w:spacing w:line="360" w:lineRule="auto"/>
        <w:jc w:val="both"/>
        <w:rPr>
          <w:rFonts w:ascii="Book Antiqua" w:hAnsi="Book Antiqua"/>
        </w:rPr>
      </w:pPr>
    </w:p>
    <w:p w14:paraId="7A4FE60A" w14:textId="77777777" w:rsidR="00E45927"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6390524" w14:textId="77777777" w:rsidR="00E45927" w:rsidRDefault="00000000">
      <w:pPr>
        <w:spacing w:line="360" w:lineRule="auto"/>
        <w:jc w:val="both"/>
        <w:rPr>
          <w:rFonts w:ascii="Book Antiqua" w:hAnsi="Book Antiqua"/>
        </w:rPr>
      </w:pPr>
      <w:r>
        <w:rPr>
          <w:rFonts w:ascii="Book Antiqua" w:eastAsia="Book Antiqua" w:hAnsi="Book Antiqua" w:cs="Book Antiqua"/>
          <w:color w:val="000000"/>
        </w:rPr>
        <w:t xml:space="preserve">The data suggest that bile acid metabolism and receptor signaling play a key role in regulating dysregulated gut homeostasis in IBD. Changing bile acid metabolism and bile acid receptor signalling has been found to influence the pathogenesis of IBD </w:t>
      </w:r>
      <w:r>
        <w:rPr>
          <w:rFonts w:ascii="Book Antiqua" w:eastAsia="Book Antiqua" w:hAnsi="Book Antiqua" w:cs="Book Antiqua"/>
          <w:i/>
          <w:iCs/>
          <w:color w:val="000000"/>
        </w:rPr>
        <w:t>via</w:t>
      </w:r>
      <w:r>
        <w:rPr>
          <w:rFonts w:ascii="Book Antiqua" w:eastAsia="Book Antiqua" w:hAnsi="Book Antiqua" w:cs="Book Antiqua"/>
          <w:color w:val="000000"/>
        </w:rPr>
        <w:t xml:space="preserve"> modulation of immunology, intestinal epithelial barrier function, and the gut microbiome. It is an attractive and highly promising therapeutic target for IBD. Many therapeutic strategies have shown positive effects, such as bile acid receptor agonists or inhibitors, traditional Chinese medicine, UDCA, probiotics, FMT, and bile acid sequestrants. However, due to the differences between species and cell types (IBD is exclusively a human disease), valuable preclinical mechanistic studies must be performed to elucidate the function of bile acids and their receptors in human intestinal models. In this regard, human organoid technologies and bioinformatics approaches may be good tools to address this issue. In addition, the current therapeutic strategies described above have yet to be widely validated in clinical trials in patients with IBD, despite the promising </w:t>
      </w:r>
      <w:r>
        <w:rPr>
          <w:rFonts w:ascii="Book Antiqua" w:eastAsia="Book Antiqua" w:hAnsi="Book Antiqua" w:cs="Book Antiqua"/>
          <w:color w:val="000000"/>
        </w:rPr>
        <w:lastRenderedPageBreak/>
        <w:t>results documented in cellular and animal studies. Future research efforts should focus on clinical trial data collection in IBD patients.</w:t>
      </w:r>
    </w:p>
    <w:p w14:paraId="34872B7E" w14:textId="77777777" w:rsidR="00E45927" w:rsidRDefault="00E45927">
      <w:pPr>
        <w:spacing w:line="360" w:lineRule="auto"/>
        <w:jc w:val="both"/>
        <w:rPr>
          <w:rFonts w:ascii="Book Antiqua" w:hAnsi="Book Antiqua"/>
          <w:lang w:eastAsia="zh-CN"/>
        </w:rPr>
      </w:pPr>
    </w:p>
    <w:p w14:paraId="409C4C74" w14:textId="77777777" w:rsidR="00E45927"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472DC326" w14:textId="77777777" w:rsidR="00E45927" w:rsidRDefault="00000000">
      <w:pPr>
        <w:spacing w:line="360" w:lineRule="auto"/>
        <w:jc w:val="both"/>
        <w:rPr>
          <w:rFonts w:ascii="Book Antiqua" w:hAnsi="Book Antiqua"/>
        </w:rPr>
      </w:pPr>
      <w:bookmarkStart w:id="252" w:name="OLE_LINK6977"/>
      <w:bookmarkStart w:id="253" w:name="OLE_LINK6976"/>
      <w:bookmarkStart w:id="254" w:name="OLE_LINK6978"/>
      <w:bookmarkStart w:id="255" w:name="OLE_LINK6975"/>
      <w:bookmarkStart w:id="256" w:name="OLE_LINK6980"/>
      <w:bookmarkStart w:id="257" w:name="OLE_LINK6979"/>
      <w:r>
        <w:rPr>
          <w:rFonts w:ascii="Book Antiqua" w:hAnsi="Book Antiqua"/>
        </w:rPr>
        <w:t xml:space="preserve">1 </w:t>
      </w:r>
      <w:r>
        <w:rPr>
          <w:rFonts w:ascii="Book Antiqua" w:hAnsi="Book Antiqua"/>
          <w:b/>
          <w:bCs/>
        </w:rPr>
        <w:t>Buie MJ</w:t>
      </w:r>
      <w:r>
        <w:rPr>
          <w:rFonts w:ascii="Book Antiqua" w:hAnsi="Book Antiqua"/>
        </w:rPr>
        <w:t xml:space="preserve">, Quan J, Windsor JW, Coward S, Hansen TM, King JA, Kotze PG, Gearry RB, Ng SC, Mak JWY, Abreu MT, Rubin DT, Bernstein CN, Banerjee R, Yamamoto-Furusho JK, Panaccione R, Seow CH, Ma C, Underwood FE, Ahuja V, Panaccione N, Shaheen AA, Holroyd-Leduc J, Kaplan GG; Global IBD Visualization of Epidemiology Studies in the 21st Century (GIVES-21) Research Group, Balderramo D, Chong VH, Juliao-Baños F, Dutta U, Simadibrata M, Kaibullayeva J, Sun Y, Hilmi I, Raja Ali RA, Paudel MS, Altuwaijri M, Hartono JL, Wei SC, Limsrivilai J, El Ouali S, Vergara BI, Dao VH, Kelly P, Hodges P, Miao Y, Li M. Global Hospitalization Trends for Crohn's Disease and Ulcerative Colitis in the 21st Century: A Systematic Review With Temporal Analyses. </w:t>
      </w:r>
      <w:r>
        <w:rPr>
          <w:rFonts w:ascii="Book Antiqua" w:hAnsi="Book Antiqua"/>
          <w:i/>
          <w:iCs/>
        </w:rPr>
        <w:t>Clin Gastroenterol Hepatol</w:t>
      </w:r>
      <w:r>
        <w:rPr>
          <w:rFonts w:ascii="Book Antiqua" w:hAnsi="Book Antiqua"/>
        </w:rPr>
        <w:t xml:space="preserve"> 2022 [PMID: 35863682 DOI: 10.1016/j.cgh.2022.06.030]</w:t>
      </w:r>
    </w:p>
    <w:p w14:paraId="41A46DCF" w14:textId="77777777" w:rsidR="00E45927"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Kaplan GG</w:t>
      </w:r>
      <w:r>
        <w:rPr>
          <w:rFonts w:ascii="Book Antiqua" w:hAnsi="Book Antiqua"/>
        </w:rPr>
        <w:t xml:space="preserve">, Windsor JW. The four epidemiological stages in the global evolution of inflammatory bowel disease. </w:t>
      </w:r>
      <w:r>
        <w:rPr>
          <w:rFonts w:ascii="Book Antiqua" w:hAnsi="Book Antiqua"/>
          <w:i/>
          <w:iCs/>
        </w:rPr>
        <w:t>Nat Rev Gastroenterol Hepatol</w:t>
      </w:r>
      <w:r>
        <w:rPr>
          <w:rFonts w:ascii="Book Antiqua" w:hAnsi="Book Antiqua"/>
        </w:rPr>
        <w:t xml:space="preserve"> 2021; </w:t>
      </w:r>
      <w:r>
        <w:rPr>
          <w:rFonts w:ascii="Book Antiqua" w:hAnsi="Book Antiqua"/>
          <w:b/>
          <w:bCs/>
        </w:rPr>
        <w:t>18</w:t>
      </w:r>
      <w:r>
        <w:rPr>
          <w:rFonts w:ascii="Book Antiqua" w:hAnsi="Book Antiqua"/>
        </w:rPr>
        <w:t>: 56-66 [PMID: 33033392 DOI: 10.1038/s41575-020-00360-x]</w:t>
      </w:r>
    </w:p>
    <w:p w14:paraId="5C157258" w14:textId="77777777" w:rsidR="00E45927"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Krela-Kaźmierczak I</w:t>
      </w:r>
      <w:r>
        <w:rPr>
          <w:rFonts w:ascii="Book Antiqua" w:hAnsi="Book Antiqua"/>
        </w:rPr>
        <w:t xml:space="preserve">, Zakerska-Banaszak O, Skrzypczak-Zielińska M, Łykowska-Szuber L, Szymczak-Tomczak A, Zawada A, Rychter AM, Ratajczak AE, Skoracka K, Skrzypczak D, Marcinkowska E, Słomski R, Dobrowolska A. Where Do We Stand in the Behavioral Pathogenesis of Inflammatory Bowel Disease? The Western Dietary Pattern and Microbiota-A Narrative Review. </w:t>
      </w:r>
      <w:r>
        <w:rPr>
          <w:rFonts w:ascii="Book Antiqua" w:hAnsi="Book Antiqua"/>
          <w:i/>
          <w:iCs/>
        </w:rPr>
        <w:t>Nutrients</w:t>
      </w:r>
      <w:r>
        <w:rPr>
          <w:rFonts w:ascii="Book Antiqua" w:hAnsi="Book Antiqua"/>
        </w:rPr>
        <w:t xml:space="preserve"> 2022; </w:t>
      </w:r>
      <w:r>
        <w:rPr>
          <w:rFonts w:ascii="Book Antiqua" w:hAnsi="Book Antiqua"/>
          <w:b/>
          <w:bCs/>
        </w:rPr>
        <w:t>14</w:t>
      </w:r>
      <w:r>
        <w:rPr>
          <w:rFonts w:ascii="Book Antiqua" w:hAnsi="Book Antiqua"/>
        </w:rPr>
        <w:t xml:space="preserve"> [PMID: 35745251 DOI: 10.3390/nu14122520]</w:t>
      </w:r>
    </w:p>
    <w:p w14:paraId="3DD07322" w14:textId="77777777" w:rsidR="00E45927"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Neurath MF</w:t>
      </w:r>
      <w:r>
        <w:rPr>
          <w:rFonts w:ascii="Book Antiqua" w:hAnsi="Book Antiqua"/>
        </w:rPr>
        <w:t xml:space="preserve">. Targeting immune cell circuits and trafficking in inflammatory bowel disease. </w:t>
      </w:r>
      <w:r>
        <w:rPr>
          <w:rFonts w:ascii="Book Antiqua" w:hAnsi="Book Antiqua"/>
          <w:i/>
          <w:iCs/>
        </w:rPr>
        <w:t>Nat Immunol</w:t>
      </w:r>
      <w:r>
        <w:rPr>
          <w:rFonts w:ascii="Book Antiqua" w:hAnsi="Book Antiqua"/>
        </w:rPr>
        <w:t xml:space="preserve"> 2019; </w:t>
      </w:r>
      <w:r>
        <w:rPr>
          <w:rFonts w:ascii="Book Antiqua" w:hAnsi="Book Antiqua"/>
          <w:b/>
          <w:bCs/>
        </w:rPr>
        <w:t>20</w:t>
      </w:r>
      <w:r>
        <w:rPr>
          <w:rFonts w:ascii="Book Antiqua" w:hAnsi="Book Antiqua"/>
        </w:rPr>
        <w:t>: 970-979 [PMID: 31235952 DOI: 10.1038/s41590-019-0415-0]</w:t>
      </w:r>
    </w:p>
    <w:p w14:paraId="00DDBF0A" w14:textId="77777777" w:rsidR="00E45927"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Khor B</w:t>
      </w:r>
      <w:r>
        <w:rPr>
          <w:rFonts w:ascii="Book Antiqua" w:hAnsi="Book Antiqua"/>
        </w:rPr>
        <w:t xml:space="preserve">, Gardet A, Xavier RJ. Genetics and pathogenesis of inflammatory bowel disease. </w:t>
      </w:r>
      <w:r>
        <w:rPr>
          <w:rFonts w:ascii="Book Antiqua" w:hAnsi="Book Antiqua"/>
          <w:i/>
          <w:iCs/>
        </w:rPr>
        <w:t>Nature</w:t>
      </w:r>
      <w:r>
        <w:rPr>
          <w:rFonts w:ascii="Book Antiqua" w:hAnsi="Book Antiqua"/>
        </w:rPr>
        <w:t xml:space="preserve"> 2011; </w:t>
      </w:r>
      <w:r>
        <w:rPr>
          <w:rFonts w:ascii="Book Antiqua" w:hAnsi="Book Antiqua"/>
          <w:b/>
          <w:bCs/>
        </w:rPr>
        <w:t>474</w:t>
      </w:r>
      <w:r>
        <w:rPr>
          <w:rFonts w:ascii="Book Antiqua" w:hAnsi="Book Antiqua"/>
        </w:rPr>
        <w:t>: 307-317 [PMID: 21677747 DOI: 10.1038/nature10209]</w:t>
      </w:r>
    </w:p>
    <w:p w14:paraId="55F69462" w14:textId="77777777" w:rsidR="00E45927"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Flynn S</w:t>
      </w:r>
      <w:r>
        <w:rPr>
          <w:rFonts w:ascii="Book Antiqua" w:hAnsi="Book Antiqua"/>
        </w:rPr>
        <w:t xml:space="preserve">, Eisenstein S. Inflammatory Bowel Disease Presentation and Diagnosis. </w:t>
      </w:r>
      <w:r>
        <w:rPr>
          <w:rFonts w:ascii="Book Antiqua" w:hAnsi="Book Antiqua"/>
          <w:i/>
          <w:iCs/>
        </w:rPr>
        <w:t>Surg Clin North Am</w:t>
      </w:r>
      <w:r>
        <w:rPr>
          <w:rFonts w:ascii="Book Antiqua" w:hAnsi="Book Antiqua"/>
        </w:rPr>
        <w:t xml:space="preserve"> 2019; </w:t>
      </w:r>
      <w:r>
        <w:rPr>
          <w:rFonts w:ascii="Book Antiqua" w:hAnsi="Book Antiqua"/>
          <w:b/>
          <w:bCs/>
        </w:rPr>
        <w:t>99</w:t>
      </w:r>
      <w:r>
        <w:rPr>
          <w:rFonts w:ascii="Book Antiqua" w:hAnsi="Book Antiqua"/>
        </w:rPr>
        <w:t>: 1051-1062 [PMID: 31676047 DOI: 10.1016/j.suc.2019.08.001]</w:t>
      </w:r>
    </w:p>
    <w:p w14:paraId="6FA764D1" w14:textId="77777777" w:rsidR="00E45927" w:rsidRDefault="00000000">
      <w:pPr>
        <w:spacing w:line="360" w:lineRule="auto"/>
        <w:jc w:val="both"/>
        <w:rPr>
          <w:rFonts w:ascii="Book Antiqua" w:hAnsi="Book Antiqua"/>
        </w:rPr>
      </w:pPr>
      <w:r>
        <w:rPr>
          <w:rFonts w:ascii="Book Antiqua" w:hAnsi="Book Antiqua"/>
        </w:rPr>
        <w:lastRenderedPageBreak/>
        <w:t xml:space="preserve">7 </w:t>
      </w:r>
      <w:r>
        <w:rPr>
          <w:rFonts w:ascii="Book Antiqua" w:hAnsi="Book Antiqua"/>
          <w:b/>
          <w:bCs/>
        </w:rPr>
        <w:t>Rogler G</w:t>
      </w:r>
      <w:r>
        <w:rPr>
          <w:rFonts w:ascii="Book Antiqua" w:hAnsi="Book Antiqua"/>
        </w:rPr>
        <w:t xml:space="preserve">, Singh A, Kavanaugh A, Rubin DT. Extraintestinal Manifestations of Inflammatory Bowel Disease: Current Concepts, Treatment, and Implications for Disease Management. </w:t>
      </w:r>
      <w:r>
        <w:rPr>
          <w:rFonts w:ascii="Book Antiqua" w:hAnsi="Book Antiqua"/>
          <w:i/>
          <w:iCs/>
        </w:rPr>
        <w:t>Gastroenterology</w:t>
      </w:r>
      <w:r>
        <w:rPr>
          <w:rFonts w:ascii="Book Antiqua" w:hAnsi="Book Antiqua"/>
        </w:rPr>
        <w:t xml:space="preserve"> 2021; </w:t>
      </w:r>
      <w:r>
        <w:rPr>
          <w:rFonts w:ascii="Book Antiqua" w:hAnsi="Book Antiqua"/>
          <w:b/>
          <w:bCs/>
        </w:rPr>
        <w:t>161</w:t>
      </w:r>
      <w:r>
        <w:rPr>
          <w:rFonts w:ascii="Book Antiqua" w:hAnsi="Book Antiqua"/>
        </w:rPr>
        <w:t>: 1118-1132 [PMID: 34358489 DOI: 10.1053/j.gastro.2021.07.042]</w:t>
      </w:r>
    </w:p>
    <w:p w14:paraId="03D39CD7" w14:textId="77777777" w:rsidR="00E45927"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Lowe SC</w:t>
      </w:r>
      <w:r>
        <w:rPr>
          <w:rFonts w:ascii="Book Antiqua" w:hAnsi="Book Antiqua"/>
        </w:rPr>
        <w:t xml:space="preserve">, Sauk JS, Limketkai BN, Kwaan MR. Declining Rates of Surgery for Inflammatory Bowel Disease in the Era of Biologic Therapy. </w:t>
      </w:r>
      <w:r>
        <w:rPr>
          <w:rFonts w:ascii="Book Antiqua" w:hAnsi="Book Antiqua"/>
          <w:i/>
          <w:iCs/>
        </w:rPr>
        <w:t>J Gastrointest Surg</w:t>
      </w:r>
      <w:r>
        <w:rPr>
          <w:rFonts w:ascii="Book Antiqua" w:hAnsi="Book Antiqua"/>
        </w:rPr>
        <w:t xml:space="preserve"> 2021; </w:t>
      </w:r>
      <w:r>
        <w:rPr>
          <w:rFonts w:ascii="Book Antiqua" w:hAnsi="Book Antiqua"/>
          <w:b/>
          <w:bCs/>
        </w:rPr>
        <w:t>25</w:t>
      </w:r>
      <w:r>
        <w:rPr>
          <w:rFonts w:ascii="Book Antiqua" w:hAnsi="Book Antiqua"/>
        </w:rPr>
        <w:t>: 211-219 [PMID: 33140318 DOI: 10.1007/s11605-020-04832-y]</w:t>
      </w:r>
    </w:p>
    <w:p w14:paraId="6834A1C5" w14:textId="77777777" w:rsidR="00E45927"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Baumgart DC</w:t>
      </w:r>
      <w:r>
        <w:rPr>
          <w:rFonts w:ascii="Book Antiqua" w:hAnsi="Book Antiqua"/>
        </w:rPr>
        <w:t xml:space="preserve">, Le Berre C. Newer Biologic and Small-Molecule Therapies for Inflammatory Bowel Disease. </w:t>
      </w:r>
      <w:r>
        <w:rPr>
          <w:rFonts w:ascii="Book Antiqua" w:hAnsi="Book Antiqua"/>
          <w:i/>
          <w:iCs/>
        </w:rPr>
        <w:t>N Engl J Med</w:t>
      </w:r>
      <w:r>
        <w:rPr>
          <w:rFonts w:ascii="Book Antiqua" w:hAnsi="Book Antiqua"/>
        </w:rPr>
        <w:t xml:space="preserve"> 2021; </w:t>
      </w:r>
      <w:r>
        <w:rPr>
          <w:rFonts w:ascii="Book Antiqua" w:hAnsi="Book Antiqua"/>
          <w:b/>
          <w:bCs/>
        </w:rPr>
        <w:t>385</w:t>
      </w:r>
      <w:r>
        <w:rPr>
          <w:rFonts w:ascii="Book Antiqua" w:hAnsi="Book Antiqua"/>
        </w:rPr>
        <w:t>: 1302-1315 [PMID: 34587387 DOI: 10.1056/NEJMra1907607]</w:t>
      </w:r>
    </w:p>
    <w:p w14:paraId="462EEF36" w14:textId="77777777" w:rsidR="00E45927"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Brandl K</w:t>
      </w:r>
      <w:r>
        <w:rPr>
          <w:rFonts w:ascii="Book Antiqua" w:hAnsi="Book Antiqua"/>
        </w:rPr>
        <w:t xml:space="preserve">, Hartmann P, Jih LJ, Pizzo DP, Argemi J, Ventura-Cots M, Coulter S, Liddle C, Ling L, Rossi SJ, DePaoli AM, Loomba R, Mehal WZ, Fouts DE, Lucey MR, Bosques-Padilla F, Mathurin P, Louvet A, Garcia-Tsao G, Verna EC, Abraldes JG, Brown RS Jr, Vargas V, Altamirano J, Caballería J, Shawcross D, Stärkel P, Ho SB, Bataller R, Schnabl B. Dysregulation of serum bile acids and FGF19 in alcoholic hepatitis. </w:t>
      </w:r>
      <w:r>
        <w:rPr>
          <w:rFonts w:ascii="Book Antiqua" w:hAnsi="Book Antiqua"/>
          <w:i/>
          <w:iCs/>
        </w:rPr>
        <w:t>J Hepatol</w:t>
      </w:r>
      <w:r>
        <w:rPr>
          <w:rFonts w:ascii="Book Antiqua" w:hAnsi="Book Antiqua"/>
        </w:rPr>
        <w:t xml:space="preserve"> 2018; </w:t>
      </w:r>
      <w:r>
        <w:rPr>
          <w:rFonts w:ascii="Book Antiqua" w:hAnsi="Book Antiqua"/>
          <w:b/>
          <w:bCs/>
        </w:rPr>
        <w:t>69</w:t>
      </w:r>
      <w:r>
        <w:rPr>
          <w:rFonts w:ascii="Book Antiqua" w:hAnsi="Book Antiqua"/>
        </w:rPr>
        <w:t>: 396-405 [PMID: 29654817 DOI: 10.1016/j.jhep.2018.03.031]</w:t>
      </w:r>
    </w:p>
    <w:p w14:paraId="119BD2FF" w14:textId="77777777" w:rsidR="00E45927"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Hu Y</w:t>
      </w:r>
      <w:r>
        <w:rPr>
          <w:rFonts w:ascii="Book Antiqua" w:hAnsi="Book Antiqua"/>
        </w:rPr>
        <w:t xml:space="preserve">, Chau T, Liu HX, Liao D, Keane R, Nie Y, Yang H, Wan YJ. Bile acids regulate nuclear receptor (Nur77) expression and intracellular location to control proliferation and apoptosis. </w:t>
      </w:r>
      <w:r>
        <w:rPr>
          <w:rFonts w:ascii="Book Antiqua" w:hAnsi="Book Antiqua"/>
          <w:i/>
          <w:iCs/>
        </w:rPr>
        <w:t>Mol Cancer Res</w:t>
      </w:r>
      <w:r>
        <w:rPr>
          <w:rFonts w:ascii="Book Antiqua" w:hAnsi="Book Antiqua"/>
        </w:rPr>
        <w:t xml:space="preserve"> 2015; </w:t>
      </w:r>
      <w:r>
        <w:rPr>
          <w:rFonts w:ascii="Book Antiqua" w:hAnsi="Book Antiqua"/>
          <w:b/>
          <w:bCs/>
        </w:rPr>
        <w:t>13</w:t>
      </w:r>
      <w:r>
        <w:rPr>
          <w:rFonts w:ascii="Book Antiqua" w:hAnsi="Book Antiqua"/>
        </w:rPr>
        <w:t>: 281-292 [PMID: 25232032 DOI: 10.1158/1541-7786.MCR-14-0230]</w:t>
      </w:r>
    </w:p>
    <w:p w14:paraId="21FA3517" w14:textId="77777777" w:rsidR="00E45927"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Bertolini A</w:t>
      </w:r>
      <w:r>
        <w:rPr>
          <w:rFonts w:ascii="Book Antiqua" w:hAnsi="Book Antiqua"/>
        </w:rPr>
        <w:t xml:space="preserve">, Fiorotto R, Strazzabosco M. Bile acids and their receptors: modulators and therapeutic targets in liver inflammation. </w:t>
      </w:r>
      <w:r>
        <w:rPr>
          <w:rFonts w:ascii="Book Antiqua" w:hAnsi="Book Antiqua"/>
          <w:i/>
          <w:iCs/>
        </w:rPr>
        <w:t>Semin Immunopathol</w:t>
      </w:r>
      <w:r>
        <w:rPr>
          <w:rFonts w:ascii="Book Antiqua" w:hAnsi="Book Antiqua"/>
        </w:rPr>
        <w:t xml:space="preserve"> 2022; </w:t>
      </w:r>
      <w:r>
        <w:rPr>
          <w:rFonts w:ascii="Book Antiqua" w:hAnsi="Book Antiqua"/>
          <w:b/>
          <w:bCs/>
        </w:rPr>
        <w:t>44</w:t>
      </w:r>
      <w:r>
        <w:rPr>
          <w:rFonts w:ascii="Book Antiqua" w:hAnsi="Book Antiqua"/>
        </w:rPr>
        <w:t>: 547-564 [PMID: 35415765 DOI: 10.1007/s00281-022-00935-7]</w:t>
      </w:r>
    </w:p>
    <w:p w14:paraId="16D36C87" w14:textId="77777777" w:rsidR="00E45927"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Fuchs CD</w:t>
      </w:r>
      <w:r>
        <w:rPr>
          <w:rFonts w:ascii="Book Antiqua" w:hAnsi="Book Antiqua"/>
        </w:rPr>
        <w:t xml:space="preserve">, Trauner M. Role of bile acids and their receptors in gastrointestinal and hepatic pathophysiology. </w:t>
      </w:r>
      <w:r>
        <w:rPr>
          <w:rFonts w:ascii="Book Antiqua" w:hAnsi="Book Antiqua"/>
          <w:i/>
          <w:iCs/>
        </w:rPr>
        <w:t>Nat Rev Gastroenterol Hepatol</w:t>
      </w:r>
      <w:r>
        <w:rPr>
          <w:rFonts w:ascii="Book Antiqua" w:hAnsi="Book Antiqua"/>
        </w:rPr>
        <w:t xml:space="preserve"> 2022; </w:t>
      </w:r>
      <w:r>
        <w:rPr>
          <w:rFonts w:ascii="Book Antiqua" w:hAnsi="Book Antiqua"/>
          <w:b/>
          <w:bCs/>
        </w:rPr>
        <w:t>19</w:t>
      </w:r>
      <w:r>
        <w:rPr>
          <w:rFonts w:ascii="Book Antiqua" w:hAnsi="Book Antiqua"/>
        </w:rPr>
        <w:t>: 432-450 [PMID: 35165436 DOI: 10.1038/s41575-021-00566-7]</w:t>
      </w:r>
    </w:p>
    <w:p w14:paraId="47F74139" w14:textId="77777777" w:rsidR="00E45927"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Hofmann AF</w:t>
      </w:r>
      <w:r>
        <w:rPr>
          <w:rFonts w:ascii="Book Antiqua" w:hAnsi="Book Antiqua"/>
        </w:rPr>
        <w:t xml:space="preserve">. Bile Acids: The Good, the Bad, and the Ugly. </w:t>
      </w:r>
      <w:r>
        <w:rPr>
          <w:rFonts w:ascii="Book Antiqua" w:hAnsi="Book Antiqua"/>
          <w:i/>
          <w:iCs/>
        </w:rPr>
        <w:t>News Physiol Sci</w:t>
      </w:r>
      <w:r>
        <w:rPr>
          <w:rFonts w:ascii="Book Antiqua" w:hAnsi="Book Antiqua"/>
        </w:rPr>
        <w:t xml:space="preserve"> 1999; </w:t>
      </w:r>
      <w:r>
        <w:rPr>
          <w:rFonts w:ascii="Book Antiqua" w:hAnsi="Book Antiqua"/>
          <w:b/>
          <w:bCs/>
        </w:rPr>
        <w:t>14</w:t>
      </w:r>
      <w:r>
        <w:rPr>
          <w:rFonts w:ascii="Book Antiqua" w:hAnsi="Book Antiqua"/>
        </w:rPr>
        <w:t>: 24-29 [PMID: 11390813 DOI: 10.1152/physiologyonline.1999.14.1.24]</w:t>
      </w:r>
    </w:p>
    <w:p w14:paraId="738DFACD" w14:textId="77777777" w:rsidR="00E45927" w:rsidRDefault="00000000">
      <w:pPr>
        <w:spacing w:line="360" w:lineRule="auto"/>
        <w:jc w:val="both"/>
        <w:rPr>
          <w:rFonts w:ascii="Book Antiqua" w:hAnsi="Book Antiqua"/>
        </w:rPr>
      </w:pPr>
      <w:r>
        <w:rPr>
          <w:rFonts w:ascii="Book Antiqua" w:hAnsi="Book Antiqua"/>
        </w:rPr>
        <w:lastRenderedPageBreak/>
        <w:t xml:space="preserve">15 </w:t>
      </w:r>
      <w:r>
        <w:rPr>
          <w:rFonts w:ascii="Book Antiqua" w:hAnsi="Book Antiqua"/>
          <w:b/>
          <w:bCs/>
        </w:rPr>
        <w:t>Westergaard H</w:t>
      </w:r>
      <w:r>
        <w:rPr>
          <w:rFonts w:ascii="Book Antiqua" w:hAnsi="Book Antiqua"/>
        </w:rPr>
        <w:t xml:space="preserve">, Dietschy JM. The mechanism whereby bile acid micelles increase the rate of fatty acid and cholesterol uptake into the intestinal mucosal cell. </w:t>
      </w:r>
      <w:r>
        <w:rPr>
          <w:rFonts w:ascii="Book Antiqua" w:hAnsi="Book Antiqua"/>
          <w:i/>
          <w:iCs/>
        </w:rPr>
        <w:t>J Clin Invest</w:t>
      </w:r>
      <w:r>
        <w:rPr>
          <w:rFonts w:ascii="Book Antiqua" w:hAnsi="Book Antiqua"/>
        </w:rPr>
        <w:t xml:space="preserve"> 1976; </w:t>
      </w:r>
      <w:r>
        <w:rPr>
          <w:rFonts w:ascii="Book Antiqua" w:hAnsi="Book Antiqua"/>
          <w:b/>
          <w:bCs/>
        </w:rPr>
        <w:t>58</w:t>
      </w:r>
      <w:r>
        <w:rPr>
          <w:rFonts w:ascii="Book Antiqua" w:hAnsi="Book Antiqua"/>
        </w:rPr>
        <w:t>: 97-108 [PMID: 932213 DOI: 10.1172/jci108465]</w:t>
      </w:r>
    </w:p>
    <w:p w14:paraId="28DB752C" w14:textId="77777777" w:rsidR="00E45927"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Tiratterra E</w:t>
      </w:r>
      <w:r>
        <w:rPr>
          <w:rFonts w:ascii="Book Antiqua" w:hAnsi="Book Antiqua"/>
        </w:rPr>
        <w:t xml:space="preserve">, Franco P, Porru E, Katsanos KH, Christodoulou DK, Roda G. Role of bile acids in inflammatory bowel disease. </w:t>
      </w:r>
      <w:r>
        <w:rPr>
          <w:rFonts w:ascii="Book Antiqua" w:hAnsi="Book Antiqua"/>
          <w:i/>
          <w:iCs/>
        </w:rPr>
        <w:t>Ann Gastroenterol</w:t>
      </w:r>
      <w:r>
        <w:rPr>
          <w:rFonts w:ascii="Book Antiqua" w:hAnsi="Book Antiqua"/>
        </w:rPr>
        <w:t xml:space="preserve"> 2018; </w:t>
      </w:r>
      <w:r>
        <w:rPr>
          <w:rFonts w:ascii="Book Antiqua" w:hAnsi="Book Antiqua"/>
          <w:b/>
          <w:bCs/>
        </w:rPr>
        <w:t>31</w:t>
      </w:r>
      <w:r>
        <w:rPr>
          <w:rFonts w:ascii="Book Antiqua" w:hAnsi="Book Antiqua"/>
        </w:rPr>
        <w:t>: 266-272 [PMID: 29720851 DOI: 10.20524/aog.2018.0239]</w:t>
      </w:r>
    </w:p>
    <w:p w14:paraId="062AE5A4" w14:textId="77777777" w:rsidR="00E45927"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Chiang JY</w:t>
      </w:r>
      <w:r>
        <w:rPr>
          <w:rFonts w:ascii="Book Antiqua" w:hAnsi="Book Antiqua"/>
        </w:rPr>
        <w:t xml:space="preserve">. Bile acids: regulation of synthesis. </w:t>
      </w:r>
      <w:r>
        <w:rPr>
          <w:rFonts w:ascii="Book Antiqua" w:hAnsi="Book Antiqua"/>
          <w:i/>
          <w:iCs/>
        </w:rPr>
        <w:t>J Lipid Res</w:t>
      </w:r>
      <w:r>
        <w:rPr>
          <w:rFonts w:ascii="Book Antiqua" w:hAnsi="Book Antiqua"/>
        </w:rPr>
        <w:t xml:space="preserve"> 2009; </w:t>
      </w:r>
      <w:r>
        <w:rPr>
          <w:rFonts w:ascii="Book Antiqua" w:hAnsi="Book Antiqua"/>
          <w:b/>
          <w:bCs/>
        </w:rPr>
        <w:t>50</w:t>
      </w:r>
      <w:r>
        <w:rPr>
          <w:rFonts w:ascii="Book Antiqua" w:hAnsi="Book Antiqua"/>
        </w:rPr>
        <w:t>: 1955-1966 [PMID: 19346330 DOI: 10.1194/jlr.R900010-JLR200]</w:t>
      </w:r>
    </w:p>
    <w:p w14:paraId="36B87116" w14:textId="77777777" w:rsidR="00E45927"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Goodwin B</w:t>
      </w:r>
      <w:r>
        <w:rPr>
          <w:rFonts w:ascii="Book Antiqua" w:hAnsi="Book Antiqua"/>
        </w:rPr>
        <w:t xml:space="preserve">, Jones SA, Price RR, Watson MA, McKee DD, Moore LB, Galardi C, Wilson JG, Lewis MC, Roth ME, Maloney PR, Willson TM, Kliewer SA. A regulatory cascade of the nuclear receptors FXR, SHP-1, and LRH-1 represses bile acid biosynthesis. </w:t>
      </w:r>
      <w:r>
        <w:rPr>
          <w:rFonts w:ascii="Book Antiqua" w:hAnsi="Book Antiqua"/>
          <w:i/>
          <w:iCs/>
        </w:rPr>
        <w:t>Mol Cell</w:t>
      </w:r>
      <w:r>
        <w:rPr>
          <w:rFonts w:ascii="Book Antiqua" w:hAnsi="Book Antiqua"/>
        </w:rPr>
        <w:t xml:space="preserve"> 2000; </w:t>
      </w:r>
      <w:r>
        <w:rPr>
          <w:rFonts w:ascii="Book Antiqua" w:hAnsi="Book Antiqua"/>
          <w:b/>
          <w:bCs/>
        </w:rPr>
        <w:t>6</w:t>
      </w:r>
      <w:r>
        <w:rPr>
          <w:rFonts w:ascii="Book Antiqua" w:hAnsi="Book Antiqua"/>
        </w:rPr>
        <w:t>: 517-526 [PMID: 11030332 DOI: 10.1016/s1097-2765(00)00051-4]</w:t>
      </w:r>
    </w:p>
    <w:p w14:paraId="5CD72EC9" w14:textId="77777777" w:rsidR="00E45927"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Biagioli M</w:t>
      </w:r>
      <w:r>
        <w:rPr>
          <w:rFonts w:ascii="Book Antiqua" w:hAnsi="Book Antiqua"/>
        </w:rPr>
        <w:t xml:space="preserve">, Marchianò S, Carino A, Di Giorgio C, Santucci L, Distrutti E, Fiorucci S. Bile Acids Activated Receptors in Inflammatory Bowel Disease. </w:t>
      </w:r>
      <w:r>
        <w:rPr>
          <w:rFonts w:ascii="Book Antiqua" w:hAnsi="Book Antiqua"/>
          <w:i/>
          <w:iCs/>
        </w:rPr>
        <w:t>Cells</w:t>
      </w:r>
      <w:r>
        <w:rPr>
          <w:rFonts w:ascii="Book Antiqua" w:hAnsi="Book Antiqua"/>
        </w:rPr>
        <w:t xml:space="preserve"> 2021; </w:t>
      </w:r>
      <w:r>
        <w:rPr>
          <w:rFonts w:ascii="Book Antiqua" w:hAnsi="Book Antiqua"/>
          <w:b/>
          <w:bCs/>
        </w:rPr>
        <w:t>10</w:t>
      </w:r>
      <w:r>
        <w:rPr>
          <w:rFonts w:ascii="Book Antiqua" w:hAnsi="Book Antiqua"/>
        </w:rPr>
        <w:t xml:space="preserve"> [PMID: 34064187 DOI: 10.3390/cells10061281]</w:t>
      </w:r>
    </w:p>
    <w:p w14:paraId="462AAE09" w14:textId="77777777" w:rsidR="00E45927"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Fiorucci S</w:t>
      </w:r>
      <w:r>
        <w:rPr>
          <w:rFonts w:ascii="Book Antiqua" w:hAnsi="Book Antiqua"/>
        </w:rPr>
        <w:t xml:space="preserve">, Distrutti E. The Pharmacology of Bile Acids and Their Receptors. </w:t>
      </w:r>
      <w:r>
        <w:rPr>
          <w:rFonts w:ascii="Book Antiqua" w:hAnsi="Book Antiqua"/>
          <w:i/>
          <w:iCs/>
        </w:rPr>
        <w:t>Handb Exp Pharmacol</w:t>
      </w:r>
      <w:r>
        <w:rPr>
          <w:rFonts w:ascii="Book Antiqua" w:hAnsi="Book Antiqua"/>
        </w:rPr>
        <w:t xml:space="preserve"> 2019; </w:t>
      </w:r>
      <w:r>
        <w:rPr>
          <w:rFonts w:ascii="Book Antiqua" w:hAnsi="Book Antiqua"/>
          <w:b/>
          <w:bCs/>
        </w:rPr>
        <w:t>256</w:t>
      </w:r>
      <w:r>
        <w:rPr>
          <w:rFonts w:ascii="Book Antiqua" w:hAnsi="Book Antiqua"/>
        </w:rPr>
        <w:t>: 3-18 [PMID: 31201555 DOI: 10.1007/164_2019_238]</w:t>
      </w:r>
    </w:p>
    <w:p w14:paraId="6E636104" w14:textId="77777777" w:rsidR="00E45927"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Bromke MA</w:t>
      </w:r>
      <w:r>
        <w:rPr>
          <w:rFonts w:ascii="Book Antiqua" w:hAnsi="Book Antiqua"/>
        </w:rPr>
        <w:t xml:space="preserve">, Krzystek-Korpacka M. Bile Acid Signaling in Inflammatory Bowel Disease.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34445800 DOI: 10.3390/ijms22169096]</w:t>
      </w:r>
    </w:p>
    <w:p w14:paraId="758DB6CF" w14:textId="77777777" w:rsidR="00E45927"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Monte MJ</w:t>
      </w:r>
      <w:r>
        <w:rPr>
          <w:rFonts w:ascii="Book Antiqua" w:hAnsi="Book Antiqua"/>
        </w:rPr>
        <w:t xml:space="preserve">, Marin JJ, Antelo A, Vazquez-Tato J. Bile acids: chemistry, physiology, and pathophysiology. </w:t>
      </w:r>
      <w:r>
        <w:rPr>
          <w:rFonts w:ascii="Book Antiqua" w:hAnsi="Book Antiqua"/>
          <w:i/>
          <w:iCs/>
        </w:rPr>
        <w:t>World J Gastroenterol</w:t>
      </w:r>
      <w:r>
        <w:rPr>
          <w:rFonts w:ascii="Book Antiqua" w:hAnsi="Book Antiqua"/>
        </w:rPr>
        <w:t xml:space="preserve"> 2009; </w:t>
      </w:r>
      <w:r>
        <w:rPr>
          <w:rFonts w:ascii="Book Antiqua" w:hAnsi="Book Antiqua"/>
          <w:b/>
          <w:bCs/>
        </w:rPr>
        <w:t>15</w:t>
      </w:r>
      <w:r>
        <w:rPr>
          <w:rFonts w:ascii="Book Antiqua" w:hAnsi="Book Antiqua"/>
        </w:rPr>
        <w:t>: 804-816 [PMID: 19230041 DOI: 10.3748/wjg.15.804]</w:t>
      </w:r>
    </w:p>
    <w:p w14:paraId="58AB13D1" w14:textId="77777777" w:rsidR="00E45927"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Fiorucci S</w:t>
      </w:r>
      <w:r>
        <w:rPr>
          <w:rFonts w:ascii="Book Antiqua" w:hAnsi="Book Antiqua"/>
        </w:rPr>
        <w:t xml:space="preserve">, Carino A, Baldoni M, Santucci L, Costanzi E, Graziosi L, Distrutti E, Biagioli M. Bile Acid Signaling in Inflammatory Bowel Diseases. </w:t>
      </w:r>
      <w:r>
        <w:rPr>
          <w:rFonts w:ascii="Book Antiqua" w:hAnsi="Book Antiqua"/>
          <w:i/>
          <w:iCs/>
        </w:rPr>
        <w:t>Dig Dis Sci</w:t>
      </w:r>
      <w:r>
        <w:rPr>
          <w:rFonts w:ascii="Book Antiqua" w:hAnsi="Book Antiqua"/>
        </w:rPr>
        <w:t xml:space="preserve"> 2021; </w:t>
      </w:r>
      <w:r>
        <w:rPr>
          <w:rFonts w:ascii="Book Antiqua" w:hAnsi="Book Antiqua"/>
          <w:b/>
          <w:bCs/>
        </w:rPr>
        <w:t>66</w:t>
      </w:r>
      <w:r>
        <w:rPr>
          <w:rFonts w:ascii="Book Antiqua" w:hAnsi="Book Antiqua"/>
        </w:rPr>
        <w:t>: 674-693 [PMID: 33289902 DOI: 10.1007/s10620-020-06715-3]</w:t>
      </w:r>
    </w:p>
    <w:p w14:paraId="36241311" w14:textId="77777777" w:rsidR="00E45927" w:rsidRDefault="00000000">
      <w:pPr>
        <w:spacing w:line="360" w:lineRule="auto"/>
        <w:jc w:val="both"/>
        <w:rPr>
          <w:rFonts w:ascii="Book Antiqua" w:hAnsi="Book Antiqua"/>
        </w:rPr>
      </w:pPr>
      <w:r>
        <w:rPr>
          <w:rFonts w:ascii="Book Antiqua" w:hAnsi="Book Antiqua"/>
        </w:rPr>
        <w:t xml:space="preserve">24 </w:t>
      </w:r>
      <w:r>
        <w:rPr>
          <w:rFonts w:ascii="Book Antiqua" w:hAnsi="Book Antiqua"/>
          <w:b/>
          <w:bCs/>
        </w:rPr>
        <w:t>de Aguiar Vallim TQ</w:t>
      </w:r>
      <w:r>
        <w:rPr>
          <w:rFonts w:ascii="Book Antiqua" w:hAnsi="Book Antiqua"/>
        </w:rPr>
        <w:t xml:space="preserve">, Tarling EJ, Edwards PA. Pleiotropic roles of bile acids in metabolism. </w:t>
      </w:r>
      <w:r>
        <w:rPr>
          <w:rFonts w:ascii="Book Antiqua" w:hAnsi="Book Antiqua"/>
          <w:i/>
          <w:iCs/>
        </w:rPr>
        <w:t>Cell Metab</w:t>
      </w:r>
      <w:r>
        <w:rPr>
          <w:rFonts w:ascii="Book Antiqua" w:hAnsi="Book Antiqua"/>
        </w:rPr>
        <w:t xml:space="preserve"> 2013; </w:t>
      </w:r>
      <w:r>
        <w:rPr>
          <w:rFonts w:ascii="Book Antiqua" w:hAnsi="Book Antiqua"/>
          <w:b/>
          <w:bCs/>
        </w:rPr>
        <w:t>17</w:t>
      </w:r>
      <w:r>
        <w:rPr>
          <w:rFonts w:ascii="Book Antiqua" w:hAnsi="Book Antiqua"/>
        </w:rPr>
        <w:t>: 657-669 [PMID: 23602448 DOI: 10.1016/j.cmet.2013.03.013]</w:t>
      </w:r>
    </w:p>
    <w:p w14:paraId="20FC3A5C" w14:textId="77777777" w:rsidR="00E45927" w:rsidRDefault="00000000">
      <w:pPr>
        <w:spacing w:line="360" w:lineRule="auto"/>
        <w:jc w:val="both"/>
        <w:rPr>
          <w:rFonts w:ascii="Book Antiqua" w:hAnsi="Book Antiqua"/>
        </w:rPr>
      </w:pPr>
      <w:r>
        <w:rPr>
          <w:rFonts w:ascii="Book Antiqua" w:hAnsi="Book Antiqua"/>
        </w:rPr>
        <w:lastRenderedPageBreak/>
        <w:t xml:space="preserve">25 </w:t>
      </w:r>
      <w:r>
        <w:rPr>
          <w:rFonts w:ascii="Book Antiqua" w:hAnsi="Book Antiqua"/>
          <w:b/>
          <w:bCs/>
        </w:rPr>
        <w:t>Chandra R</w:t>
      </w:r>
      <w:r>
        <w:rPr>
          <w:rFonts w:ascii="Book Antiqua" w:hAnsi="Book Antiqua"/>
        </w:rPr>
        <w:t xml:space="preserve">, Liddle RA. Cholecystokinin. </w:t>
      </w:r>
      <w:r>
        <w:rPr>
          <w:rFonts w:ascii="Book Antiqua" w:hAnsi="Book Antiqua"/>
          <w:i/>
          <w:iCs/>
        </w:rPr>
        <w:t>Curr Opin Endocrinol Diabetes Obes</w:t>
      </w:r>
      <w:r>
        <w:rPr>
          <w:rFonts w:ascii="Book Antiqua" w:hAnsi="Book Antiqua"/>
        </w:rPr>
        <w:t xml:space="preserve"> 2007; </w:t>
      </w:r>
      <w:r>
        <w:rPr>
          <w:rFonts w:ascii="Book Antiqua" w:hAnsi="Book Antiqua"/>
          <w:b/>
          <w:bCs/>
        </w:rPr>
        <w:t>14</w:t>
      </w:r>
      <w:r>
        <w:rPr>
          <w:rFonts w:ascii="Book Antiqua" w:hAnsi="Book Antiqua"/>
        </w:rPr>
        <w:t>: 63-67 [PMID: 17940422 DOI: 10.1097/MED.0b013e3280122850]</w:t>
      </w:r>
    </w:p>
    <w:p w14:paraId="0757A455" w14:textId="77777777" w:rsidR="00E45927"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Thomas JP</w:t>
      </w:r>
      <w:r>
        <w:rPr>
          <w:rFonts w:ascii="Book Antiqua" w:hAnsi="Book Antiqua"/>
        </w:rPr>
        <w:t xml:space="preserve">, Modos D, Rushbrook SM, Powell N, Korcsmaros T. The Emerging Role of Bile Acids in the Pathogenesis of Inflammatory Bowel Disease. </w:t>
      </w:r>
      <w:r>
        <w:rPr>
          <w:rFonts w:ascii="Book Antiqua" w:hAnsi="Book Antiqua"/>
          <w:i/>
          <w:iCs/>
        </w:rPr>
        <w:t>Front Immunol</w:t>
      </w:r>
      <w:r>
        <w:rPr>
          <w:rFonts w:ascii="Book Antiqua" w:hAnsi="Book Antiqua"/>
        </w:rPr>
        <w:t xml:space="preserve"> 2022; </w:t>
      </w:r>
      <w:r>
        <w:rPr>
          <w:rFonts w:ascii="Book Antiqua" w:hAnsi="Book Antiqua"/>
          <w:b/>
          <w:bCs/>
        </w:rPr>
        <w:t>13</w:t>
      </w:r>
      <w:r>
        <w:rPr>
          <w:rFonts w:ascii="Book Antiqua" w:hAnsi="Book Antiqua"/>
        </w:rPr>
        <w:t>: 829525 [PMID: 35185922 DOI: 10.3389/fimmu.2022.829525]</w:t>
      </w:r>
    </w:p>
    <w:p w14:paraId="4847FA3D" w14:textId="77777777" w:rsidR="00E45927"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Wang C</w:t>
      </w:r>
      <w:r>
        <w:rPr>
          <w:rFonts w:ascii="Book Antiqua" w:hAnsi="Book Antiqua"/>
        </w:rPr>
        <w:t xml:space="preserve">, Zhu C, Shao L, Ye J, Shen Y, Ren Y. Role of Bile Acids in Dysbiosis and Treatment of Nonalcoholic Fatty Liver Disease. </w:t>
      </w:r>
      <w:r>
        <w:rPr>
          <w:rFonts w:ascii="Book Antiqua" w:hAnsi="Book Antiqua"/>
          <w:i/>
          <w:iCs/>
        </w:rPr>
        <w:t>Mediators Inflamm</w:t>
      </w:r>
      <w:r>
        <w:rPr>
          <w:rFonts w:ascii="Book Antiqua" w:hAnsi="Book Antiqua"/>
        </w:rPr>
        <w:t xml:space="preserve"> 2019; </w:t>
      </w:r>
      <w:r>
        <w:rPr>
          <w:rFonts w:ascii="Book Antiqua" w:hAnsi="Book Antiqua"/>
          <w:b/>
          <w:bCs/>
        </w:rPr>
        <w:t>2019</w:t>
      </w:r>
      <w:r>
        <w:rPr>
          <w:rFonts w:ascii="Book Antiqua" w:hAnsi="Book Antiqua"/>
        </w:rPr>
        <w:t>: 7659509 [PMID: 31341422 DOI: 10.1155/2019/7659509]</w:t>
      </w:r>
    </w:p>
    <w:p w14:paraId="0C57DA31" w14:textId="77777777" w:rsidR="00E45927"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Jahnel J</w:t>
      </w:r>
      <w:r>
        <w:rPr>
          <w:rFonts w:ascii="Book Antiqua" w:hAnsi="Book Antiqua"/>
        </w:rPr>
        <w:t xml:space="preserve">, Fickert P, Hauer AC, Högenauer C, Avian A, Trauner M. Inflammatory bowel disease alters intestinal bile acid transporter expression. </w:t>
      </w:r>
      <w:r>
        <w:rPr>
          <w:rFonts w:ascii="Book Antiqua" w:hAnsi="Book Antiqua"/>
          <w:i/>
          <w:iCs/>
        </w:rPr>
        <w:t>Drug Metab Dispos</w:t>
      </w:r>
      <w:r>
        <w:rPr>
          <w:rFonts w:ascii="Book Antiqua" w:hAnsi="Book Antiqua"/>
        </w:rPr>
        <w:t xml:space="preserve"> 2014; </w:t>
      </w:r>
      <w:r>
        <w:rPr>
          <w:rFonts w:ascii="Book Antiqua" w:hAnsi="Book Antiqua"/>
          <w:b/>
          <w:bCs/>
        </w:rPr>
        <w:t>42</w:t>
      </w:r>
      <w:r>
        <w:rPr>
          <w:rFonts w:ascii="Book Antiqua" w:hAnsi="Book Antiqua"/>
        </w:rPr>
        <w:t>: 1423-1431 [PMID: 24965812 DOI: 10.1124/dmd.114.058065]</w:t>
      </w:r>
    </w:p>
    <w:p w14:paraId="215A5016" w14:textId="77777777" w:rsidR="00E45927" w:rsidRDefault="00000000">
      <w:pPr>
        <w:spacing w:line="360" w:lineRule="auto"/>
        <w:jc w:val="both"/>
        <w:rPr>
          <w:rFonts w:ascii="Book Antiqua" w:hAnsi="Book Antiqua"/>
        </w:rPr>
      </w:pPr>
      <w:r>
        <w:rPr>
          <w:rFonts w:ascii="Book Antiqua" w:hAnsi="Book Antiqua"/>
        </w:rPr>
        <w:t xml:space="preserve">29 </w:t>
      </w:r>
      <w:r>
        <w:rPr>
          <w:rFonts w:ascii="Book Antiqua" w:hAnsi="Book Antiqua"/>
          <w:b/>
          <w:bCs/>
        </w:rPr>
        <w:t>Lu TT</w:t>
      </w:r>
      <w:r>
        <w:rPr>
          <w:rFonts w:ascii="Book Antiqua" w:hAnsi="Book Antiqua"/>
        </w:rPr>
        <w:t xml:space="preserve">, Makishima M, Repa JJ, Schoonjans K, Kerr TA, Auwerx J, Mangelsdorf DJ. Molecular basis for feedback regulation of bile acid synthesis by nuclear receptors. </w:t>
      </w:r>
      <w:r>
        <w:rPr>
          <w:rFonts w:ascii="Book Antiqua" w:hAnsi="Book Antiqua"/>
          <w:i/>
          <w:iCs/>
        </w:rPr>
        <w:t>Mol Cell</w:t>
      </w:r>
      <w:r>
        <w:rPr>
          <w:rFonts w:ascii="Book Antiqua" w:hAnsi="Book Antiqua"/>
        </w:rPr>
        <w:t xml:space="preserve"> 2000; </w:t>
      </w:r>
      <w:r>
        <w:rPr>
          <w:rFonts w:ascii="Book Antiqua" w:hAnsi="Book Antiqua"/>
          <w:b/>
          <w:bCs/>
        </w:rPr>
        <w:t>6</w:t>
      </w:r>
      <w:r>
        <w:rPr>
          <w:rFonts w:ascii="Book Antiqua" w:hAnsi="Book Antiqua"/>
        </w:rPr>
        <w:t>: 507-515 [PMID: 11030331 DOI: 10.1016/s1097-2765(00)00050-2]</w:t>
      </w:r>
    </w:p>
    <w:p w14:paraId="20BF1E02" w14:textId="77777777" w:rsidR="00E45927"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Chen L</w:t>
      </w:r>
      <w:r>
        <w:rPr>
          <w:rFonts w:ascii="Book Antiqua" w:hAnsi="Book Antiqua"/>
        </w:rPr>
        <w:t xml:space="preserve">, Jiao T, Liu W, Luo Y, Wang J, Guo X, Tong X, Lin Z, Sun C, Wang K, He Y, Zhang Y, Xu H, Wang J, Zuo J, Ding Q, He S, Gonzalez FJ, Xie C. Hepatic cytochrome P450 8B1 and cholic acid potentiate intestinal epithelial injury in colitis by suppressing intestinal stem cell renewal. </w:t>
      </w:r>
      <w:r>
        <w:rPr>
          <w:rFonts w:ascii="Book Antiqua" w:hAnsi="Book Antiqua"/>
          <w:i/>
          <w:iCs/>
        </w:rPr>
        <w:t>Cell Stem Cell</w:t>
      </w:r>
      <w:r>
        <w:rPr>
          <w:rFonts w:ascii="Book Antiqua" w:hAnsi="Book Antiqua"/>
        </w:rPr>
        <w:t xml:space="preserve"> 2022; </w:t>
      </w:r>
      <w:r>
        <w:rPr>
          <w:rFonts w:ascii="Book Antiqua" w:hAnsi="Book Antiqua"/>
          <w:b/>
          <w:bCs/>
        </w:rPr>
        <w:t>29</w:t>
      </w:r>
      <w:r>
        <w:rPr>
          <w:rFonts w:ascii="Book Antiqua" w:hAnsi="Book Antiqua"/>
        </w:rPr>
        <w:t>: 1366-1381.e9 [PMID: 36055192 DOI: 10.1016/j.stem.2022.08.008]</w:t>
      </w:r>
    </w:p>
    <w:p w14:paraId="5EEEE72D" w14:textId="77777777" w:rsidR="00E45927" w:rsidRDefault="00000000">
      <w:pPr>
        <w:spacing w:line="360" w:lineRule="auto"/>
        <w:jc w:val="both"/>
        <w:rPr>
          <w:rFonts w:ascii="Book Antiqua" w:hAnsi="Book Antiqua"/>
        </w:rPr>
      </w:pPr>
      <w:r>
        <w:rPr>
          <w:rFonts w:ascii="Book Antiqua" w:hAnsi="Book Antiqua"/>
        </w:rPr>
        <w:t xml:space="preserve">31 </w:t>
      </w:r>
      <w:r>
        <w:rPr>
          <w:rFonts w:ascii="Book Antiqua" w:hAnsi="Book Antiqua"/>
          <w:b/>
          <w:bCs/>
        </w:rPr>
        <w:t>Chen ML</w:t>
      </w:r>
      <w:r>
        <w:rPr>
          <w:rFonts w:ascii="Book Antiqua" w:hAnsi="Book Antiqua"/>
        </w:rPr>
        <w:t xml:space="preserve">, Takeda K, Sundrud MS. Emerging roles of bile acids in mucosal immunity and inflammation. </w:t>
      </w:r>
      <w:r>
        <w:rPr>
          <w:rFonts w:ascii="Book Antiqua" w:hAnsi="Book Antiqua"/>
          <w:i/>
          <w:iCs/>
        </w:rPr>
        <w:t>Mucosal Immunol</w:t>
      </w:r>
      <w:r>
        <w:rPr>
          <w:rFonts w:ascii="Book Antiqua" w:hAnsi="Book Antiqua"/>
        </w:rPr>
        <w:t xml:space="preserve"> 2019; </w:t>
      </w:r>
      <w:r>
        <w:rPr>
          <w:rFonts w:ascii="Book Antiqua" w:hAnsi="Book Antiqua"/>
          <w:b/>
          <w:bCs/>
        </w:rPr>
        <w:t>12</w:t>
      </w:r>
      <w:r>
        <w:rPr>
          <w:rFonts w:ascii="Book Antiqua" w:hAnsi="Book Antiqua"/>
        </w:rPr>
        <w:t>: 851-861 [PMID: 30952999 DOI: 10.1038/s41385-019-0162-4]</w:t>
      </w:r>
    </w:p>
    <w:p w14:paraId="0E2788E2" w14:textId="77777777" w:rsidR="00E45927"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Quinn RA</w:t>
      </w:r>
      <w:r>
        <w:rPr>
          <w:rFonts w:ascii="Book Antiqua" w:hAnsi="Book Antiqua"/>
        </w:rPr>
        <w:t xml:space="preserve">, Melnik AV, Vrbanac A, Fu T, Patras KA, Christy MP, Bodai Z, Belda-Ferre P, Tripathi A, Chung LK, Downes M, Welch RD, Quinn M, Humphrey G, Panitchpakdi M, Weldon KC, Aksenov A, da Silva R, Avila-Pacheco J, Clish C, Bae S, Mallick H, Franzosa EA, Lloyd-Price J, Bussell R, Thron T, Nelson AT, Wang M, Leszczynski E, Vargas F, Gauglitz JM, Meehan MJ, Gentry E, Arthur TD, Komor AC, Poulsen O, Boland BS, Chang JT, Sandborn WJ, Lim M, Garg N, Lumeng JC, Xavier RJ, Kazmierczak BI, Jain R, Egan M, Rhee KE, Ferguson D, Raffatellu M, Vlamakis H, Haddad GG, Siegel D, </w:t>
      </w:r>
      <w:r>
        <w:rPr>
          <w:rFonts w:ascii="Book Antiqua" w:hAnsi="Book Antiqua"/>
        </w:rPr>
        <w:lastRenderedPageBreak/>
        <w:t xml:space="preserve">Huttenhower C, Mazmanian SK, Evans RM, Nizet V, Knight R, Dorrestein PC. Global chemical effects of the microbiome include new bile-acid conjugations. </w:t>
      </w:r>
      <w:r>
        <w:rPr>
          <w:rFonts w:ascii="Book Antiqua" w:hAnsi="Book Antiqua"/>
          <w:i/>
          <w:iCs/>
        </w:rPr>
        <w:t>Nature</w:t>
      </w:r>
      <w:r>
        <w:rPr>
          <w:rFonts w:ascii="Book Antiqua" w:hAnsi="Book Antiqua"/>
        </w:rPr>
        <w:t xml:space="preserve"> 2020; </w:t>
      </w:r>
      <w:r>
        <w:rPr>
          <w:rFonts w:ascii="Book Antiqua" w:hAnsi="Book Antiqua"/>
          <w:b/>
          <w:bCs/>
        </w:rPr>
        <w:t>579</w:t>
      </w:r>
      <w:r>
        <w:rPr>
          <w:rFonts w:ascii="Book Antiqua" w:hAnsi="Book Antiqua"/>
        </w:rPr>
        <w:t>: 123-129 [PMID: 32103176 DOI: 10.1038/s41586-020-2047-9]</w:t>
      </w:r>
    </w:p>
    <w:p w14:paraId="1DBB1048" w14:textId="77777777" w:rsidR="00E45927" w:rsidRDefault="00000000">
      <w:pPr>
        <w:spacing w:line="360" w:lineRule="auto"/>
        <w:jc w:val="both"/>
        <w:rPr>
          <w:rFonts w:ascii="Book Antiqua" w:hAnsi="Book Antiqua"/>
        </w:rPr>
      </w:pPr>
      <w:r>
        <w:rPr>
          <w:rFonts w:ascii="Book Antiqua" w:hAnsi="Book Antiqua"/>
        </w:rPr>
        <w:t xml:space="preserve">33 </w:t>
      </w:r>
      <w:r>
        <w:rPr>
          <w:rFonts w:ascii="Book Antiqua" w:hAnsi="Book Antiqua"/>
          <w:b/>
          <w:bCs/>
        </w:rPr>
        <w:t>Pavlidis P</w:t>
      </w:r>
      <w:r>
        <w:rPr>
          <w:rFonts w:ascii="Book Antiqua" w:hAnsi="Book Antiqua"/>
        </w:rPr>
        <w:t xml:space="preserve">, Powell N, Vincent RP, Ehrlich D, Bjarnason I, Hayee B. Systematic review: bile acids and intestinal inflammation-luminal aggressors or regulators of mucosal defence? </w:t>
      </w:r>
      <w:r>
        <w:rPr>
          <w:rFonts w:ascii="Book Antiqua" w:hAnsi="Book Antiqua"/>
          <w:i/>
          <w:iCs/>
        </w:rPr>
        <w:t>Aliment Pharmacol Ther</w:t>
      </w:r>
      <w:r>
        <w:rPr>
          <w:rFonts w:ascii="Book Antiqua" w:hAnsi="Book Antiqua"/>
        </w:rPr>
        <w:t xml:space="preserve"> 2015; </w:t>
      </w:r>
      <w:r>
        <w:rPr>
          <w:rFonts w:ascii="Book Antiqua" w:hAnsi="Book Antiqua"/>
          <w:b/>
          <w:bCs/>
        </w:rPr>
        <w:t>42</w:t>
      </w:r>
      <w:r>
        <w:rPr>
          <w:rFonts w:ascii="Book Antiqua" w:hAnsi="Book Antiqua"/>
        </w:rPr>
        <w:t>: 802-817 [PMID: 26223936 DOI: 10.1111/apt.13333]</w:t>
      </w:r>
    </w:p>
    <w:p w14:paraId="2C6C6D41" w14:textId="77777777" w:rsidR="00E45927" w:rsidRDefault="00000000">
      <w:pPr>
        <w:spacing w:line="360" w:lineRule="auto"/>
        <w:jc w:val="both"/>
        <w:rPr>
          <w:rFonts w:ascii="Book Antiqua" w:hAnsi="Book Antiqua"/>
        </w:rPr>
      </w:pPr>
      <w:r>
        <w:rPr>
          <w:rFonts w:ascii="Book Antiqua" w:hAnsi="Book Antiqua"/>
        </w:rPr>
        <w:t xml:space="preserve">34 </w:t>
      </w:r>
      <w:r>
        <w:rPr>
          <w:rFonts w:ascii="Book Antiqua" w:hAnsi="Book Antiqua"/>
          <w:b/>
          <w:bCs/>
        </w:rPr>
        <w:t>Ridlon JM</w:t>
      </w:r>
      <w:r>
        <w:rPr>
          <w:rFonts w:ascii="Book Antiqua" w:hAnsi="Book Antiqua"/>
        </w:rPr>
        <w:t xml:space="preserve">, Harris SC, Bhowmik S, Kang DJ, Hylemon PB. Consequences of bile salt biotransformations by intestinal bacteria. </w:t>
      </w:r>
      <w:r>
        <w:rPr>
          <w:rFonts w:ascii="Book Antiqua" w:hAnsi="Book Antiqua"/>
          <w:i/>
          <w:iCs/>
        </w:rPr>
        <w:t>Gut Microbes</w:t>
      </w:r>
      <w:r>
        <w:rPr>
          <w:rFonts w:ascii="Book Antiqua" w:hAnsi="Book Antiqua"/>
        </w:rPr>
        <w:t xml:space="preserve"> 2016; </w:t>
      </w:r>
      <w:r>
        <w:rPr>
          <w:rFonts w:ascii="Book Antiqua" w:hAnsi="Book Antiqua"/>
          <w:b/>
          <w:bCs/>
        </w:rPr>
        <w:t>7</w:t>
      </w:r>
      <w:r>
        <w:rPr>
          <w:rFonts w:ascii="Book Antiqua" w:hAnsi="Book Antiqua"/>
        </w:rPr>
        <w:t>: 22-39 [PMID: 26939849 DOI: 10.1080/19490976.2015.1127483]</w:t>
      </w:r>
    </w:p>
    <w:p w14:paraId="56A81AF2" w14:textId="77777777" w:rsidR="00E45927" w:rsidRDefault="00000000">
      <w:pPr>
        <w:spacing w:line="360" w:lineRule="auto"/>
        <w:jc w:val="both"/>
        <w:rPr>
          <w:rFonts w:ascii="Book Antiqua" w:hAnsi="Book Antiqua"/>
        </w:rPr>
      </w:pPr>
      <w:r>
        <w:rPr>
          <w:rFonts w:ascii="Book Antiqua" w:hAnsi="Book Antiqua"/>
        </w:rPr>
        <w:t xml:space="preserve">35 </w:t>
      </w:r>
      <w:r>
        <w:rPr>
          <w:rFonts w:ascii="Book Antiqua" w:hAnsi="Book Antiqua"/>
          <w:b/>
          <w:bCs/>
        </w:rPr>
        <w:t>Guzior DV</w:t>
      </w:r>
      <w:r>
        <w:rPr>
          <w:rFonts w:ascii="Book Antiqua" w:hAnsi="Book Antiqua"/>
        </w:rPr>
        <w:t xml:space="preserve">, Quinn RA. Review: microbial transformations of human bile acids. </w:t>
      </w:r>
      <w:r>
        <w:rPr>
          <w:rFonts w:ascii="Book Antiqua" w:hAnsi="Book Antiqua"/>
          <w:i/>
          <w:iCs/>
        </w:rPr>
        <w:t>Microbiome</w:t>
      </w:r>
      <w:r>
        <w:rPr>
          <w:rFonts w:ascii="Book Antiqua" w:hAnsi="Book Antiqua"/>
        </w:rPr>
        <w:t xml:space="preserve"> 2021; </w:t>
      </w:r>
      <w:r>
        <w:rPr>
          <w:rFonts w:ascii="Book Antiqua" w:hAnsi="Book Antiqua"/>
          <w:b/>
          <w:bCs/>
        </w:rPr>
        <w:t>9</w:t>
      </w:r>
      <w:r>
        <w:rPr>
          <w:rFonts w:ascii="Book Antiqua" w:hAnsi="Book Antiqua"/>
        </w:rPr>
        <w:t>: 140 [PMID: 34127070 DOI: 10.1186/s40168-021-01101-1]</w:t>
      </w:r>
    </w:p>
    <w:p w14:paraId="0A1EA8EF" w14:textId="77777777" w:rsidR="00E45927" w:rsidRDefault="00000000">
      <w:pPr>
        <w:spacing w:line="360" w:lineRule="auto"/>
        <w:jc w:val="both"/>
        <w:rPr>
          <w:rFonts w:ascii="Book Antiqua" w:hAnsi="Book Antiqua"/>
        </w:rPr>
      </w:pPr>
      <w:r>
        <w:rPr>
          <w:rFonts w:ascii="Book Antiqua" w:hAnsi="Book Antiqua"/>
        </w:rPr>
        <w:t xml:space="preserve">36 </w:t>
      </w:r>
      <w:r>
        <w:rPr>
          <w:rFonts w:ascii="Book Antiqua" w:hAnsi="Book Antiqua"/>
          <w:b/>
          <w:bCs/>
        </w:rPr>
        <w:t>Kriaa A</w:t>
      </w:r>
      <w:r>
        <w:rPr>
          <w:rFonts w:ascii="Book Antiqua" w:hAnsi="Book Antiqua"/>
        </w:rPr>
        <w:t xml:space="preserve">, Mariaule V, Jablaoui A, Rhimi S, Mkaouar H, Hernandez J, Korkmaz B, Lesner A, Maguin E, Aghdassi A, Rhimi M. Bile Acids: Key Players in Inflammatory Bowel Diseases? </w:t>
      </w:r>
      <w:r>
        <w:rPr>
          <w:rFonts w:ascii="Book Antiqua" w:hAnsi="Book Antiqua"/>
          <w:i/>
          <w:iCs/>
        </w:rPr>
        <w:t>Cells</w:t>
      </w:r>
      <w:r>
        <w:rPr>
          <w:rFonts w:ascii="Book Antiqua" w:hAnsi="Book Antiqua"/>
        </w:rPr>
        <w:t xml:space="preserve"> 2022; </w:t>
      </w:r>
      <w:r>
        <w:rPr>
          <w:rFonts w:ascii="Book Antiqua" w:hAnsi="Book Antiqua"/>
          <w:b/>
          <w:bCs/>
        </w:rPr>
        <w:t>11</w:t>
      </w:r>
      <w:r>
        <w:rPr>
          <w:rFonts w:ascii="Book Antiqua" w:hAnsi="Book Antiqua"/>
        </w:rPr>
        <w:t xml:space="preserve"> [PMID: 35269523 DOI: 10.3390/cells11050901]</w:t>
      </w:r>
    </w:p>
    <w:p w14:paraId="55438555" w14:textId="77777777" w:rsidR="00E45927" w:rsidRDefault="00000000">
      <w:pPr>
        <w:spacing w:line="360" w:lineRule="auto"/>
        <w:jc w:val="both"/>
        <w:rPr>
          <w:rFonts w:ascii="Book Antiqua" w:hAnsi="Book Antiqua"/>
        </w:rPr>
      </w:pPr>
      <w:r>
        <w:rPr>
          <w:rFonts w:ascii="Book Antiqua" w:hAnsi="Book Antiqua"/>
        </w:rPr>
        <w:t xml:space="preserve">37 </w:t>
      </w:r>
      <w:r>
        <w:rPr>
          <w:rFonts w:ascii="Book Antiqua" w:hAnsi="Book Antiqua"/>
          <w:b/>
          <w:bCs/>
        </w:rPr>
        <w:t>Funabashi M</w:t>
      </w:r>
      <w:r>
        <w:rPr>
          <w:rFonts w:ascii="Book Antiqua" w:hAnsi="Book Antiqua"/>
        </w:rPr>
        <w:t xml:space="preserve">, Grove TL, Wang M, Varma Y, McFadden ME, Brown LC, Guo C, Higginbottom S, Almo SC, Fischbach MA. A metabolic pathway for bile acid dehydroxylation by the gut microbiome. </w:t>
      </w:r>
      <w:r>
        <w:rPr>
          <w:rFonts w:ascii="Book Antiqua" w:hAnsi="Book Antiqua"/>
          <w:i/>
          <w:iCs/>
        </w:rPr>
        <w:t>Nature</w:t>
      </w:r>
      <w:r>
        <w:rPr>
          <w:rFonts w:ascii="Book Antiqua" w:hAnsi="Book Antiqua"/>
        </w:rPr>
        <w:t xml:space="preserve"> 2020; </w:t>
      </w:r>
      <w:r>
        <w:rPr>
          <w:rFonts w:ascii="Book Antiqua" w:hAnsi="Book Antiqua"/>
          <w:b/>
          <w:bCs/>
        </w:rPr>
        <w:t>582</w:t>
      </w:r>
      <w:r>
        <w:rPr>
          <w:rFonts w:ascii="Book Antiqua" w:hAnsi="Book Antiqua"/>
        </w:rPr>
        <w:t>: 566-570 [PMID: 32555455 DOI: 10.1038/s41586-020-2396-4]</w:t>
      </w:r>
    </w:p>
    <w:p w14:paraId="1A5EE3AD" w14:textId="77777777" w:rsidR="00E45927" w:rsidRDefault="00000000">
      <w:pPr>
        <w:spacing w:line="360" w:lineRule="auto"/>
        <w:jc w:val="both"/>
        <w:rPr>
          <w:rFonts w:ascii="Book Antiqua" w:hAnsi="Book Antiqua"/>
        </w:rPr>
      </w:pPr>
      <w:r>
        <w:rPr>
          <w:rFonts w:ascii="Book Antiqua" w:hAnsi="Book Antiqua"/>
        </w:rPr>
        <w:t xml:space="preserve">38 </w:t>
      </w:r>
      <w:r>
        <w:rPr>
          <w:rFonts w:ascii="Book Antiqua" w:hAnsi="Book Antiqua"/>
          <w:b/>
          <w:bCs/>
        </w:rPr>
        <w:t>Sayin SI</w:t>
      </w:r>
      <w:r>
        <w:rPr>
          <w:rFonts w:ascii="Book Antiqua" w:hAnsi="Book Antiqua"/>
        </w:rPr>
        <w:t xml:space="preserve">, Wahlström A, Felin J, Jäntti S, Marschall HU, Bamberg K, Angelin B, Hyötyläinen T, Orešič M, Bäckhed F. Gut microbiota regulates bile acid metabolism by reducing the levels of tauro-beta-muricholic acid, a naturally occurring FXR antagonist. </w:t>
      </w:r>
      <w:r>
        <w:rPr>
          <w:rFonts w:ascii="Book Antiqua" w:hAnsi="Book Antiqua"/>
          <w:i/>
          <w:iCs/>
        </w:rPr>
        <w:t>Cell Metab</w:t>
      </w:r>
      <w:r>
        <w:rPr>
          <w:rFonts w:ascii="Book Antiqua" w:hAnsi="Book Antiqua"/>
        </w:rPr>
        <w:t xml:space="preserve"> 2013; </w:t>
      </w:r>
      <w:r>
        <w:rPr>
          <w:rFonts w:ascii="Book Antiqua" w:hAnsi="Book Antiqua"/>
          <w:b/>
          <w:bCs/>
        </w:rPr>
        <w:t>17</w:t>
      </w:r>
      <w:r>
        <w:rPr>
          <w:rFonts w:ascii="Book Antiqua" w:hAnsi="Book Antiqua"/>
        </w:rPr>
        <w:t>: 225-235 [PMID: 23395169 DOI: 10.1016/j.cmet.2013.01.003]</w:t>
      </w:r>
    </w:p>
    <w:p w14:paraId="45511680" w14:textId="77777777" w:rsidR="00E45927" w:rsidRDefault="00000000">
      <w:pPr>
        <w:spacing w:line="360" w:lineRule="auto"/>
        <w:jc w:val="both"/>
        <w:rPr>
          <w:rFonts w:ascii="Book Antiqua" w:hAnsi="Book Antiqua"/>
        </w:rPr>
      </w:pPr>
      <w:r>
        <w:rPr>
          <w:rFonts w:ascii="Book Antiqua" w:hAnsi="Book Antiqua"/>
        </w:rPr>
        <w:t xml:space="preserve">39 </w:t>
      </w:r>
      <w:r>
        <w:rPr>
          <w:rFonts w:ascii="Book Antiqua" w:hAnsi="Book Antiqua"/>
          <w:b/>
          <w:bCs/>
        </w:rPr>
        <w:t>Lavelle A</w:t>
      </w:r>
      <w:r>
        <w:rPr>
          <w:rFonts w:ascii="Book Antiqua" w:hAnsi="Book Antiqua"/>
        </w:rPr>
        <w:t xml:space="preserve">, Nancey S, Reimund JM, Laharie D, Marteau P, Treton X, Allez M, Roblin X, Malamut G, Oeuvray C, Rolhion N, Dray X, Rainteau D, Lamaziere A, Gauliard E, Kirchgesner J, Beaugerie L, Seksik P, Peyrin-Biroulet L, Sokol H. Fecal microbiota and bile acids in IBD patients undergoing screening for colorectal cancer. </w:t>
      </w:r>
      <w:r>
        <w:rPr>
          <w:rFonts w:ascii="Book Antiqua" w:hAnsi="Book Antiqua"/>
          <w:i/>
          <w:iCs/>
        </w:rPr>
        <w:t>Gut Microbes</w:t>
      </w:r>
      <w:r>
        <w:rPr>
          <w:rFonts w:ascii="Book Antiqua" w:hAnsi="Book Antiqua"/>
        </w:rPr>
        <w:t xml:space="preserve"> 2022; </w:t>
      </w:r>
      <w:r>
        <w:rPr>
          <w:rFonts w:ascii="Book Antiqua" w:hAnsi="Book Antiqua"/>
          <w:b/>
          <w:bCs/>
        </w:rPr>
        <w:t>14</w:t>
      </w:r>
      <w:r>
        <w:rPr>
          <w:rFonts w:ascii="Book Antiqua" w:hAnsi="Book Antiqua"/>
        </w:rPr>
        <w:t>: 2078620 [PMID: 35638103 DOI: 10.1080/19490976.2022.2078620]</w:t>
      </w:r>
    </w:p>
    <w:p w14:paraId="52D8FE3F" w14:textId="77777777" w:rsidR="00E45927" w:rsidRDefault="00000000">
      <w:pPr>
        <w:spacing w:line="360" w:lineRule="auto"/>
        <w:jc w:val="both"/>
        <w:rPr>
          <w:rFonts w:ascii="Book Antiqua" w:hAnsi="Book Antiqua"/>
        </w:rPr>
      </w:pPr>
      <w:r>
        <w:rPr>
          <w:rFonts w:ascii="Book Antiqua" w:hAnsi="Book Antiqua"/>
        </w:rPr>
        <w:lastRenderedPageBreak/>
        <w:t xml:space="preserve">40 </w:t>
      </w:r>
      <w:r>
        <w:rPr>
          <w:rFonts w:ascii="Book Antiqua" w:hAnsi="Book Antiqua"/>
          <w:b/>
          <w:bCs/>
        </w:rPr>
        <w:t>Yang M</w:t>
      </w:r>
      <w:r>
        <w:rPr>
          <w:rFonts w:ascii="Book Antiqua" w:hAnsi="Book Antiqua"/>
        </w:rPr>
        <w:t xml:space="preserve">, Gu Y, Li L, Liu T, Song X, Sun Y, Cao X, Wang B, Jiang K, Cao H. Bile Acid-Gut Microbiota Axis in Inflammatory Bowel Disease: From Bench to Bedside. </w:t>
      </w:r>
      <w:r>
        <w:rPr>
          <w:rFonts w:ascii="Book Antiqua" w:hAnsi="Book Antiqua"/>
          <w:i/>
          <w:iCs/>
        </w:rPr>
        <w:t>Nutrients</w:t>
      </w:r>
      <w:r>
        <w:rPr>
          <w:rFonts w:ascii="Book Antiqua" w:hAnsi="Book Antiqua"/>
        </w:rPr>
        <w:t xml:space="preserve"> 2021; </w:t>
      </w:r>
      <w:r>
        <w:rPr>
          <w:rFonts w:ascii="Book Antiqua" w:hAnsi="Book Antiqua"/>
          <w:b/>
          <w:bCs/>
        </w:rPr>
        <w:t>13</w:t>
      </w:r>
      <w:r>
        <w:rPr>
          <w:rFonts w:ascii="Book Antiqua" w:hAnsi="Book Antiqua"/>
        </w:rPr>
        <w:t xml:space="preserve"> [PMID: 34579027 DOI: 10.3390/nu13093143]</w:t>
      </w:r>
    </w:p>
    <w:p w14:paraId="699E973E" w14:textId="77777777" w:rsidR="00E45927" w:rsidRDefault="00000000">
      <w:pPr>
        <w:spacing w:line="360" w:lineRule="auto"/>
        <w:jc w:val="both"/>
        <w:rPr>
          <w:rFonts w:ascii="Book Antiqua" w:hAnsi="Book Antiqua"/>
        </w:rPr>
      </w:pPr>
      <w:r>
        <w:rPr>
          <w:rFonts w:ascii="Book Antiqua" w:hAnsi="Book Antiqua"/>
        </w:rPr>
        <w:t xml:space="preserve">41 </w:t>
      </w:r>
      <w:r>
        <w:rPr>
          <w:rFonts w:ascii="Book Antiqua" w:hAnsi="Book Antiqua"/>
          <w:b/>
          <w:bCs/>
        </w:rPr>
        <w:t>Duboc H</w:t>
      </w:r>
      <w:r>
        <w:rPr>
          <w:rFonts w:ascii="Book Antiqua" w:hAnsi="Book Antiqua"/>
        </w:rPr>
        <w:t xml:space="preserve">, Rajca S, Rainteau D, Benarous D, Maubert MA, Quervain E, Thomas G, Barbu V, Humbert L, Despras G, Bridonneau C, Dumetz F, Grill JP, Masliah J, Beaugerie L, Cosnes J, Chazouillères O, Poupon R, Wolf C, Mallet JM, Langella P, Trugnan G, Sokol H, Seksik P. Connecting dysbiosis, bile-acid dysmetabolism and gut inflammation in inflammatory bowel diseases. </w:t>
      </w:r>
      <w:r>
        <w:rPr>
          <w:rFonts w:ascii="Book Antiqua" w:hAnsi="Book Antiqua"/>
          <w:i/>
          <w:iCs/>
        </w:rPr>
        <w:t>Gut</w:t>
      </w:r>
      <w:r>
        <w:rPr>
          <w:rFonts w:ascii="Book Antiqua" w:hAnsi="Book Antiqua"/>
        </w:rPr>
        <w:t xml:space="preserve"> 2013; </w:t>
      </w:r>
      <w:r>
        <w:rPr>
          <w:rFonts w:ascii="Book Antiqua" w:hAnsi="Book Antiqua"/>
          <w:b/>
          <w:bCs/>
        </w:rPr>
        <w:t>62</w:t>
      </w:r>
      <w:r>
        <w:rPr>
          <w:rFonts w:ascii="Book Antiqua" w:hAnsi="Book Antiqua"/>
        </w:rPr>
        <w:t>: 531-539 [PMID: 22993202 DOI: 10.1136/gutjnl-2012-302578]</w:t>
      </w:r>
    </w:p>
    <w:p w14:paraId="041D15FF" w14:textId="77777777" w:rsidR="00E45927" w:rsidRDefault="00000000">
      <w:pPr>
        <w:spacing w:line="360" w:lineRule="auto"/>
        <w:jc w:val="both"/>
        <w:rPr>
          <w:rFonts w:ascii="Book Antiqua" w:hAnsi="Book Antiqua"/>
        </w:rPr>
      </w:pPr>
      <w:r>
        <w:rPr>
          <w:rFonts w:ascii="Book Antiqua" w:hAnsi="Book Antiqua"/>
        </w:rPr>
        <w:t xml:space="preserve">42 </w:t>
      </w:r>
      <w:r>
        <w:rPr>
          <w:rFonts w:ascii="Book Antiqua" w:hAnsi="Book Antiqua"/>
          <w:b/>
          <w:bCs/>
        </w:rPr>
        <w:t>Feng L</w:t>
      </w:r>
      <w:r>
        <w:rPr>
          <w:rFonts w:ascii="Book Antiqua" w:hAnsi="Book Antiqua"/>
        </w:rPr>
        <w:t xml:space="preserve">, Zhou N, Li Z, Fu D, Guo Y, Gao X, Liu X. Co-occurrence of gut microbiota dysbiosis and bile acid metabolism alteration is associated with psychological disorders in Crohn's disease. </w:t>
      </w:r>
      <w:r>
        <w:rPr>
          <w:rFonts w:ascii="Book Antiqua" w:hAnsi="Book Antiqua"/>
          <w:i/>
          <w:iCs/>
        </w:rPr>
        <w:t>FASEB J</w:t>
      </w:r>
      <w:r>
        <w:rPr>
          <w:rFonts w:ascii="Book Antiqua" w:hAnsi="Book Antiqua"/>
        </w:rPr>
        <w:t xml:space="preserve"> 2022; </w:t>
      </w:r>
      <w:r>
        <w:rPr>
          <w:rFonts w:ascii="Book Antiqua" w:hAnsi="Book Antiqua"/>
          <w:b/>
          <w:bCs/>
        </w:rPr>
        <w:t>36</w:t>
      </w:r>
      <w:r>
        <w:rPr>
          <w:rFonts w:ascii="Book Antiqua" w:hAnsi="Book Antiqua"/>
        </w:rPr>
        <w:t>: e22100 [PMID: 34939244 DOI: 10.1096/fj.202101088RRR]</w:t>
      </w:r>
    </w:p>
    <w:p w14:paraId="6AE17D66" w14:textId="77777777" w:rsidR="00E45927" w:rsidRDefault="00000000">
      <w:pPr>
        <w:spacing w:line="360" w:lineRule="auto"/>
        <w:jc w:val="both"/>
        <w:rPr>
          <w:rFonts w:ascii="Book Antiqua" w:hAnsi="Book Antiqua"/>
        </w:rPr>
      </w:pPr>
      <w:r>
        <w:rPr>
          <w:rFonts w:ascii="Book Antiqua" w:hAnsi="Book Antiqua"/>
        </w:rPr>
        <w:t xml:space="preserve">43 </w:t>
      </w:r>
      <w:r>
        <w:rPr>
          <w:rFonts w:ascii="Book Antiqua" w:hAnsi="Book Antiqua"/>
          <w:b/>
          <w:bCs/>
        </w:rPr>
        <w:t>Islam KB</w:t>
      </w:r>
      <w:r>
        <w:rPr>
          <w:rFonts w:ascii="Book Antiqua" w:hAnsi="Book Antiqua"/>
        </w:rPr>
        <w:t xml:space="preserve">, Fukiya S, Hagio M, Fujii N, Ishizuka S, Ooka T, Ogura Y, Hayashi T, Yokota A. Bile acid is a host factor that regulates the composition of the cecal microbiota in rats. </w:t>
      </w:r>
      <w:r>
        <w:rPr>
          <w:rFonts w:ascii="Book Antiqua" w:hAnsi="Book Antiqua"/>
          <w:i/>
          <w:iCs/>
        </w:rPr>
        <w:t>Gastroenterology</w:t>
      </w:r>
      <w:r>
        <w:rPr>
          <w:rFonts w:ascii="Book Antiqua" w:hAnsi="Book Antiqua"/>
        </w:rPr>
        <w:t xml:space="preserve"> 2011; </w:t>
      </w:r>
      <w:r>
        <w:rPr>
          <w:rFonts w:ascii="Book Antiqua" w:hAnsi="Book Antiqua"/>
          <w:b/>
          <w:bCs/>
        </w:rPr>
        <w:t>141</w:t>
      </w:r>
      <w:r>
        <w:rPr>
          <w:rFonts w:ascii="Book Antiqua" w:hAnsi="Book Antiqua"/>
        </w:rPr>
        <w:t>: 1773-1781 [PMID: 21839040 DOI: 10.1053/j.gastro.2011.07.046]</w:t>
      </w:r>
    </w:p>
    <w:p w14:paraId="6794A0DF" w14:textId="77777777" w:rsidR="00E45927" w:rsidRDefault="00000000">
      <w:pPr>
        <w:spacing w:line="360" w:lineRule="auto"/>
        <w:jc w:val="both"/>
        <w:rPr>
          <w:rFonts w:ascii="Book Antiqua" w:hAnsi="Book Antiqua"/>
        </w:rPr>
      </w:pPr>
      <w:r>
        <w:rPr>
          <w:rFonts w:ascii="Book Antiqua" w:hAnsi="Book Antiqua"/>
        </w:rPr>
        <w:t xml:space="preserve">44 </w:t>
      </w:r>
      <w:r>
        <w:rPr>
          <w:rFonts w:ascii="Book Antiqua" w:hAnsi="Book Antiqua"/>
          <w:b/>
          <w:bCs/>
        </w:rPr>
        <w:t>Forman BM</w:t>
      </w:r>
      <w:r>
        <w:rPr>
          <w:rFonts w:ascii="Book Antiqua" w:hAnsi="Book Antiqua"/>
        </w:rPr>
        <w:t xml:space="preserve">, Goode E, Chen J, Oro AE, Bradley DJ, Perlmann T, Noonan DJ, Burka LT, McMorris T, Lamph WW, Evans RM, Weinberger C. Identification of a nuclear receptor that is activated by farnesol metabolites. </w:t>
      </w:r>
      <w:r>
        <w:rPr>
          <w:rFonts w:ascii="Book Antiqua" w:hAnsi="Book Antiqua"/>
          <w:i/>
          <w:iCs/>
        </w:rPr>
        <w:t>Cell</w:t>
      </w:r>
      <w:r>
        <w:rPr>
          <w:rFonts w:ascii="Book Antiqua" w:hAnsi="Book Antiqua"/>
        </w:rPr>
        <w:t xml:space="preserve"> 1995; </w:t>
      </w:r>
      <w:r>
        <w:rPr>
          <w:rFonts w:ascii="Book Antiqua" w:hAnsi="Book Antiqua"/>
          <w:b/>
          <w:bCs/>
        </w:rPr>
        <w:t>81</w:t>
      </w:r>
      <w:r>
        <w:rPr>
          <w:rFonts w:ascii="Book Antiqua" w:hAnsi="Book Antiqua"/>
        </w:rPr>
        <w:t>: 687-693 [PMID: 7774010 DOI: 10.1016/0092-8674(95)90530-8]</w:t>
      </w:r>
    </w:p>
    <w:p w14:paraId="4BEC7DBA" w14:textId="77777777" w:rsidR="00E45927" w:rsidRDefault="00000000">
      <w:pPr>
        <w:spacing w:line="360" w:lineRule="auto"/>
        <w:jc w:val="both"/>
        <w:rPr>
          <w:rFonts w:ascii="Book Antiqua" w:hAnsi="Book Antiqua"/>
        </w:rPr>
      </w:pPr>
      <w:r>
        <w:rPr>
          <w:rFonts w:ascii="Book Antiqua" w:hAnsi="Book Antiqua"/>
        </w:rPr>
        <w:t xml:space="preserve">45 </w:t>
      </w:r>
      <w:r>
        <w:rPr>
          <w:rFonts w:ascii="Book Antiqua" w:hAnsi="Book Antiqua"/>
          <w:b/>
          <w:bCs/>
        </w:rPr>
        <w:t>Fiorucci S</w:t>
      </w:r>
      <w:r>
        <w:rPr>
          <w:rFonts w:ascii="Book Antiqua" w:hAnsi="Book Antiqua"/>
        </w:rPr>
        <w:t xml:space="preserve">, Biagioli M, Zampella A, Distrutti E. Bile Acids Activated Receptors Regulate Innate Immunity. </w:t>
      </w:r>
      <w:r>
        <w:rPr>
          <w:rFonts w:ascii="Book Antiqua" w:hAnsi="Book Antiqua"/>
          <w:i/>
          <w:iCs/>
        </w:rPr>
        <w:t>Front Immunol</w:t>
      </w:r>
      <w:r>
        <w:rPr>
          <w:rFonts w:ascii="Book Antiqua" w:hAnsi="Book Antiqua"/>
        </w:rPr>
        <w:t xml:space="preserve"> 2018; </w:t>
      </w:r>
      <w:r>
        <w:rPr>
          <w:rFonts w:ascii="Book Antiqua" w:hAnsi="Book Antiqua"/>
          <w:b/>
          <w:bCs/>
        </w:rPr>
        <w:t>9</w:t>
      </w:r>
      <w:r>
        <w:rPr>
          <w:rFonts w:ascii="Book Antiqua" w:hAnsi="Book Antiqua"/>
        </w:rPr>
        <w:t>: 1853 [PMID: 30150987 DOI: 10.3389/fimmu.2018.01853]</w:t>
      </w:r>
    </w:p>
    <w:p w14:paraId="4AA025EE" w14:textId="77777777" w:rsidR="00E45927" w:rsidRDefault="00000000">
      <w:pPr>
        <w:spacing w:line="360" w:lineRule="auto"/>
        <w:jc w:val="both"/>
        <w:rPr>
          <w:rFonts w:ascii="Book Antiqua" w:hAnsi="Book Antiqua"/>
        </w:rPr>
      </w:pPr>
      <w:r>
        <w:rPr>
          <w:rFonts w:ascii="Book Antiqua" w:hAnsi="Book Antiqua"/>
        </w:rPr>
        <w:t xml:space="preserve">46 </w:t>
      </w:r>
      <w:r>
        <w:rPr>
          <w:rFonts w:ascii="Book Antiqua" w:hAnsi="Book Antiqua"/>
          <w:b/>
          <w:bCs/>
        </w:rPr>
        <w:t>Gadaleta RM</w:t>
      </w:r>
      <w:r>
        <w:rPr>
          <w:rFonts w:ascii="Book Antiqua" w:hAnsi="Book Antiqua"/>
        </w:rPr>
        <w:t xml:space="preserve">, Garcia-Irigoyen O, Cariello M, Scialpi N, Peres C, Vetrano S, Fiorino G, Danese S, Ko B, Luo J, Porru E, Roda A, Sabbà C, Moschetta A. Fibroblast Growth Factor 19 modulates intestinal microbiota and inflammation in presence of Farnesoid X Receptor. </w:t>
      </w:r>
      <w:r>
        <w:rPr>
          <w:rFonts w:ascii="Book Antiqua" w:hAnsi="Book Antiqua"/>
          <w:i/>
          <w:iCs/>
        </w:rPr>
        <w:t>EBioMedicine</w:t>
      </w:r>
      <w:r>
        <w:rPr>
          <w:rFonts w:ascii="Book Antiqua" w:hAnsi="Book Antiqua"/>
        </w:rPr>
        <w:t xml:space="preserve"> 2020; </w:t>
      </w:r>
      <w:r>
        <w:rPr>
          <w:rFonts w:ascii="Book Antiqua" w:hAnsi="Book Antiqua"/>
          <w:b/>
          <w:bCs/>
        </w:rPr>
        <w:t>54</w:t>
      </w:r>
      <w:r>
        <w:rPr>
          <w:rFonts w:ascii="Book Antiqua" w:hAnsi="Book Antiqua"/>
        </w:rPr>
        <w:t>: 102719 [PMID: 32259714 DOI: 10.1016/j.ebiom.2020.102719]</w:t>
      </w:r>
    </w:p>
    <w:p w14:paraId="7CDC01BC" w14:textId="77777777" w:rsidR="00E45927" w:rsidRDefault="00000000">
      <w:pPr>
        <w:spacing w:line="360" w:lineRule="auto"/>
        <w:jc w:val="both"/>
        <w:rPr>
          <w:rFonts w:ascii="Book Antiqua" w:hAnsi="Book Antiqua"/>
        </w:rPr>
      </w:pPr>
      <w:r>
        <w:rPr>
          <w:rFonts w:ascii="Book Antiqua" w:hAnsi="Book Antiqua"/>
        </w:rPr>
        <w:t xml:space="preserve">47 </w:t>
      </w:r>
      <w:r>
        <w:rPr>
          <w:rFonts w:ascii="Book Antiqua" w:hAnsi="Book Antiqua"/>
          <w:b/>
          <w:bCs/>
        </w:rPr>
        <w:t>Zhou X</w:t>
      </w:r>
      <w:r>
        <w:rPr>
          <w:rFonts w:ascii="Book Antiqua" w:hAnsi="Book Antiqua"/>
        </w:rPr>
        <w:t xml:space="preserve">, Cao L, Jiang C, Xie Y, Cheng X, Krausz KW, Qi Y, Sun L, Shah YM, Gonzalez FJ, Wang G, Hao H. PPARα-UGT axis activation represses intestinal FXR-FGF15 feedback </w:t>
      </w:r>
      <w:r>
        <w:rPr>
          <w:rFonts w:ascii="Book Antiqua" w:hAnsi="Book Antiqua"/>
        </w:rPr>
        <w:lastRenderedPageBreak/>
        <w:t xml:space="preserve">signalling and exacerbates experimental colitis. </w:t>
      </w:r>
      <w:r>
        <w:rPr>
          <w:rFonts w:ascii="Book Antiqua" w:hAnsi="Book Antiqua"/>
          <w:i/>
          <w:iCs/>
        </w:rPr>
        <w:t>Nat Commun</w:t>
      </w:r>
      <w:r>
        <w:rPr>
          <w:rFonts w:ascii="Book Antiqua" w:hAnsi="Book Antiqua"/>
        </w:rPr>
        <w:t xml:space="preserve"> 2014; </w:t>
      </w:r>
      <w:r>
        <w:rPr>
          <w:rFonts w:ascii="Book Antiqua" w:hAnsi="Book Antiqua"/>
          <w:b/>
          <w:bCs/>
        </w:rPr>
        <w:t>5</w:t>
      </w:r>
      <w:r>
        <w:rPr>
          <w:rFonts w:ascii="Book Antiqua" w:hAnsi="Book Antiqua"/>
        </w:rPr>
        <w:t>: 4573 [PMID: 25183423 DOI: 10.1038/ncomms5573]</w:t>
      </w:r>
    </w:p>
    <w:p w14:paraId="1F3B872E" w14:textId="77777777" w:rsidR="00E45927" w:rsidRDefault="00000000">
      <w:pPr>
        <w:spacing w:line="360" w:lineRule="auto"/>
        <w:jc w:val="both"/>
        <w:rPr>
          <w:rFonts w:ascii="Book Antiqua" w:hAnsi="Book Antiqua"/>
        </w:rPr>
      </w:pPr>
      <w:r>
        <w:rPr>
          <w:rFonts w:ascii="Book Antiqua" w:hAnsi="Book Antiqua"/>
        </w:rPr>
        <w:t xml:space="preserve">48 </w:t>
      </w:r>
      <w:r>
        <w:rPr>
          <w:rFonts w:ascii="Book Antiqua" w:hAnsi="Book Antiqua"/>
          <w:b/>
          <w:bCs/>
        </w:rPr>
        <w:t>Schroeder JH</w:t>
      </w:r>
      <w:r>
        <w:rPr>
          <w:rFonts w:ascii="Book Antiqua" w:hAnsi="Book Antiqua"/>
        </w:rPr>
        <w:t xml:space="preserve">, Howard JK, Lord GM. Transcription factor-driven regulation of ILC1 and ILC3. </w:t>
      </w:r>
      <w:r>
        <w:rPr>
          <w:rFonts w:ascii="Book Antiqua" w:hAnsi="Book Antiqua"/>
          <w:i/>
          <w:iCs/>
        </w:rPr>
        <w:t>Trends Immunol</w:t>
      </w:r>
      <w:r>
        <w:rPr>
          <w:rFonts w:ascii="Book Antiqua" w:hAnsi="Book Antiqua"/>
        </w:rPr>
        <w:t xml:space="preserve"> 2022; </w:t>
      </w:r>
      <w:r>
        <w:rPr>
          <w:rFonts w:ascii="Book Antiqua" w:hAnsi="Book Antiqua"/>
          <w:b/>
          <w:bCs/>
        </w:rPr>
        <w:t>43</w:t>
      </w:r>
      <w:r>
        <w:rPr>
          <w:rFonts w:ascii="Book Antiqua" w:hAnsi="Book Antiqua"/>
        </w:rPr>
        <w:t>: 564-579 [PMID: 35618586 DOI: 10.1016/j.it.2022.04.009]</w:t>
      </w:r>
    </w:p>
    <w:p w14:paraId="49BDA92E" w14:textId="77777777" w:rsidR="00E45927" w:rsidRDefault="00000000">
      <w:pPr>
        <w:spacing w:line="360" w:lineRule="auto"/>
        <w:jc w:val="both"/>
        <w:rPr>
          <w:rFonts w:ascii="Book Antiqua" w:hAnsi="Book Antiqua"/>
        </w:rPr>
      </w:pPr>
      <w:r>
        <w:rPr>
          <w:rFonts w:ascii="Book Antiqua" w:hAnsi="Book Antiqua"/>
        </w:rPr>
        <w:t xml:space="preserve">49 </w:t>
      </w:r>
      <w:r>
        <w:rPr>
          <w:rFonts w:ascii="Book Antiqua" w:hAnsi="Book Antiqua"/>
          <w:b/>
          <w:bCs/>
        </w:rPr>
        <w:t>Fu T</w:t>
      </w:r>
      <w:r>
        <w:rPr>
          <w:rFonts w:ascii="Book Antiqua" w:hAnsi="Book Antiqua"/>
        </w:rPr>
        <w:t xml:space="preserve">, Li Y, Oh TG, Cayabyab F, He N, Tang Q, Coulter S, Truitt M, Medina P, He M, Yu RT, Atkins A, Zheng Y, Liddle C, Downes M, Evans RM. FXR mediates ILC-intrinsic responses to intestinal inflammation. </w:t>
      </w:r>
      <w:r>
        <w:rPr>
          <w:rFonts w:ascii="Book Antiqua" w:hAnsi="Book Antiqua"/>
          <w:i/>
          <w:iCs/>
        </w:rPr>
        <w:t>Proc Natl Acad Sci U S A</w:t>
      </w:r>
      <w:r>
        <w:rPr>
          <w:rFonts w:ascii="Book Antiqua" w:hAnsi="Book Antiqua"/>
        </w:rPr>
        <w:t xml:space="preserve"> 2022; </w:t>
      </w:r>
      <w:r>
        <w:rPr>
          <w:rFonts w:ascii="Book Antiqua" w:hAnsi="Book Antiqua"/>
          <w:b/>
          <w:bCs/>
        </w:rPr>
        <w:t>119</w:t>
      </w:r>
      <w:r>
        <w:rPr>
          <w:rFonts w:ascii="Book Antiqua" w:hAnsi="Book Antiqua"/>
        </w:rPr>
        <w:t>: e2213041119 [PMID: 36508655 DOI: 10.1073/pnas.2213041119]</w:t>
      </w:r>
    </w:p>
    <w:p w14:paraId="0C102FC4" w14:textId="77777777" w:rsidR="00E45927" w:rsidRDefault="00000000">
      <w:pPr>
        <w:spacing w:line="360" w:lineRule="auto"/>
        <w:jc w:val="both"/>
        <w:rPr>
          <w:rFonts w:ascii="Book Antiqua" w:hAnsi="Book Antiqua"/>
        </w:rPr>
      </w:pPr>
      <w:r>
        <w:rPr>
          <w:rFonts w:ascii="Book Antiqua" w:hAnsi="Book Antiqua"/>
        </w:rPr>
        <w:t xml:space="preserve">50 </w:t>
      </w:r>
      <w:r>
        <w:rPr>
          <w:rFonts w:ascii="Book Antiqua" w:hAnsi="Book Antiqua"/>
          <w:b/>
          <w:bCs/>
        </w:rPr>
        <w:t>Del Zotto B</w:t>
      </w:r>
      <w:r>
        <w:rPr>
          <w:rFonts w:ascii="Book Antiqua" w:hAnsi="Book Antiqua"/>
        </w:rPr>
        <w:t xml:space="preserve">, Mumolo G, Pronio AM, Montesani C, Tersigni R, Boirivant M. TGF-beta1 production in inflammatory bowel disease: differing production patterns in Crohn's disease and ulcerative colitis. </w:t>
      </w:r>
      <w:r>
        <w:rPr>
          <w:rFonts w:ascii="Book Antiqua" w:hAnsi="Book Antiqua"/>
          <w:i/>
          <w:iCs/>
        </w:rPr>
        <w:t>Clin Exp Immunol</w:t>
      </w:r>
      <w:r>
        <w:rPr>
          <w:rFonts w:ascii="Book Antiqua" w:hAnsi="Book Antiqua"/>
        </w:rPr>
        <w:t xml:space="preserve"> 2003; </w:t>
      </w:r>
      <w:r>
        <w:rPr>
          <w:rFonts w:ascii="Book Antiqua" w:hAnsi="Book Antiqua"/>
          <w:b/>
          <w:bCs/>
        </w:rPr>
        <w:t>134</w:t>
      </w:r>
      <w:r>
        <w:rPr>
          <w:rFonts w:ascii="Book Antiqua" w:hAnsi="Book Antiqua"/>
        </w:rPr>
        <w:t>: 120-126 [PMID: 12974764 DOI: 10.1046/j.1365-2249.2003.02250.x]</w:t>
      </w:r>
    </w:p>
    <w:p w14:paraId="640534D0" w14:textId="77777777" w:rsidR="00E45927" w:rsidRDefault="00000000">
      <w:pPr>
        <w:spacing w:line="360" w:lineRule="auto"/>
        <w:jc w:val="both"/>
        <w:rPr>
          <w:rFonts w:ascii="Book Antiqua" w:hAnsi="Book Antiqua"/>
        </w:rPr>
      </w:pPr>
      <w:r>
        <w:rPr>
          <w:rFonts w:ascii="Book Antiqua" w:hAnsi="Book Antiqua"/>
        </w:rPr>
        <w:t xml:space="preserve">51 </w:t>
      </w:r>
      <w:r>
        <w:rPr>
          <w:rFonts w:ascii="Book Antiqua" w:hAnsi="Book Antiqua"/>
          <w:b/>
          <w:bCs/>
        </w:rPr>
        <w:t>Zhao D</w:t>
      </w:r>
      <w:r>
        <w:rPr>
          <w:rFonts w:ascii="Book Antiqua" w:hAnsi="Book Antiqua"/>
        </w:rPr>
        <w:t xml:space="preserve">, Cai C, Chen Q, Jin S, Yang B, Li N. High-Fat Diet Promotes DSS-Induced Ulcerative Colitis by Downregulated FXR Expression through the TGFB Pathway. </w:t>
      </w:r>
      <w:r>
        <w:rPr>
          <w:rFonts w:ascii="Book Antiqua" w:hAnsi="Book Antiqua"/>
          <w:i/>
          <w:iCs/>
        </w:rPr>
        <w:t>Biomed Res Int</w:t>
      </w:r>
      <w:r>
        <w:rPr>
          <w:rFonts w:ascii="Book Antiqua" w:hAnsi="Book Antiqua"/>
        </w:rPr>
        <w:t xml:space="preserve"> 2020; </w:t>
      </w:r>
      <w:r>
        <w:rPr>
          <w:rFonts w:ascii="Book Antiqua" w:hAnsi="Book Antiqua"/>
          <w:b/>
          <w:bCs/>
        </w:rPr>
        <w:t>2020</w:t>
      </w:r>
      <w:r>
        <w:rPr>
          <w:rFonts w:ascii="Book Antiqua" w:hAnsi="Book Antiqua"/>
        </w:rPr>
        <w:t>: 3516128 [PMID: 33029504 DOI: 10.1155/2020/3516128]</w:t>
      </w:r>
    </w:p>
    <w:p w14:paraId="36C7FBC3" w14:textId="77777777" w:rsidR="00E45927" w:rsidRDefault="00000000">
      <w:pPr>
        <w:spacing w:line="360" w:lineRule="auto"/>
        <w:jc w:val="both"/>
        <w:rPr>
          <w:rFonts w:ascii="Book Antiqua" w:hAnsi="Book Antiqua"/>
        </w:rPr>
      </w:pPr>
      <w:r>
        <w:rPr>
          <w:rFonts w:ascii="Book Antiqua" w:hAnsi="Book Antiqua"/>
        </w:rPr>
        <w:t xml:space="preserve">52 </w:t>
      </w:r>
      <w:r>
        <w:rPr>
          <w:rFonts w:ascii="Book Antiqua" w:hAnsi="Book Antiqua"/>
          <w:b/>
          <w:bCs/>
        </w:rPr>
        <w:t>Xu M</w:t>
      </w:r>
      <w:r>
        <w:rPr>
          <w:rFonts w:ascii="Book Antiqua" w:hAnsi="Book Antiqua"/>
        </w:rPr>
        <w:t xml:space="preserve">, Cen M, Shen Y, Zhu Y, Cheng F, Tang L, Hu W, Dai N. Deoxycholic Acid-Induced Gut Dysbiosis Disrupts Bile Acid Enterohepatic Circulation and Promotes Intestinal Inflammation. </w:t>
      </w:r>
      <w:r>
        <w:rPr>
          <w:rFonts w:ascii="Book Antiqua" w:hAnsi="Book Antiqua"/>
          <w:i/>
          <w:iCs/>
        </w:rPr>
        <w:t>Dig Dis Sci</w:t>
      </w:r>
      <w:r>
        <w:rPr>
          <w:rFonts w:ascii="Book Antiqua" w:hAnsi="Book Antiqua"/>
        </w:rPr>
        <w:t xml:space="preserve"> 2021; </w:t>
      </w:r>
      <w:r>
        <w:rPr>
          <w:rFonts w:ascii="Book Antiqua" w:hAnsi="Book Antiqua"/>
          <w:b/>
          <w:bCs/>
        </w:rPr>
        <w:t>66</w:t>
      </w:r>
      <w:r>
        <w:rPr>
          <w:rFonts w:ascii="Book Antiqua" w:hAnsi="Book Antiqua"/>
        </w:rPr>
        <w:t>: 568-576 [PMID: 32198567 DOI: 10.1007/s10620-020-06208-3]</w:t>
      </w:r>
    </w:p>
    <w:p w14:paraId="31122668" w14:textId="77777777" w:rsidR="00E45927" w:rsidRDefault="00000000">
      <w:pPr>
        <w:spacing w:line="360" w:lineRule="auto"/>
        <w:jc w:val="both"/>
        <w:rPr>
          <w:rFonts w:ascii="Book Antiqua" w:hAnsi="Book Antiqua"/>
        </w:rPr>
      </w:pPr>
      <w:r>
        <w:rPr>
          <w:rFonts w:ascii="Book Antiqua" w:hAnsi="Book Antiqua"/>
        </w:rPr>
        <w:t xml:space="preserve">53 </w:t>
      </w:r>
      <w:r>
        <w:rPr>
          <w:rFonts w:ascii="Book Antiqua" w:hAnsi="Book Antiqua"/>
          <w:b/>
          <w:bCs/>
        </w:rPr>
        <w:t>Xu M</w:t>
      </w:r>
      <w:r>
        <w:rPr>
          <w:rFonts w:ascii="Book Antiqua" w:hAnsi="Book Antiqua"/>
        </w:rPr>
        <w:t xml:space="preserve">, Shen Y, Cen M, Zhu Y, Cheng F, Tang L, Zheng X, Kim JJ, Dai N, Hu W. Modulation of the Gut Microbiota-farnesoid X Receptor Axis Improves Deoxycholic Acid-induced Intestinal Inflammation in Mice. </w:t>
      </w:r>
      <w:r>
        <w:rPr>
          <w:rFonts w:ascii="Book Antiqua" w:hAnsi="Book Antiqua"/>
          <w:i/>
          <w:iCs/>
        </w:rPr>
        <w:t>J Crohns Colitis</w:t>
      </w:r>
      <w:r>
        <w:rPr>
          <w:rFonts w:ascii="Book Antiqua" w:hAnsi="Book Antiqua"/>
        </w:rPr>
        <w:t xml:space="preserve"> 2021; </w:t>
      </w:r>
      <w:r>
        <w:rPr>
          <w:rFonts w:ascii="Book Antiqua" w:hAnsi="Book Antiqua"/>
          <w:b/>
          <w:bCs/>
        </w:rPr>
        <w:t>15</w:t>
      </w:r>
      <w:r>
        <w:rPr>
          <w:rFonts w:ascii="Book Antiqua" w:hAnsi="Book Antiqua"/>
        </w:rPr>
        <w:t>: 1197-1210 [PMID: 33417675 DOI: 10.1093/ecco-jcc/jjab003]</w:t>
      </w:r>
    </w:p>
    <w:p w14:paraId="205830F6" w14:textId="77777777" w:rsidR="00E45927" w:rsidRDefault="00000000">
      <w:pPr>
        <w:spacing w:line="360" w:lineRule="auto"/>
        <w:jc w:val="both"/>
        <w:rPr>
          <w:rFonts w:ascii="Book Antiqua" w:hAnsi="Book Antiqua"/>
        </w:rPr>
      </w:pPr>
      <w:r>
        <w:rPr>
          <w:rFonts w:ascii="Book Antiqua" w:hAnsi="Book Antiqua"/>
        </w:rPr>
        <w:t xml:space="preserve">54 </w:t>
      </w:r>
      <w:r>
        <w:rPr>
          <w:rFonts w:ascii="Book Antiqua" w:hAnsi="Book Antiqua"/>
          <w:b/>
          <w:bCs/>
        </w:rPr>
        <w:t>Song M</w:t>
      </w:r>
      <w:r>
        <w:rPr>
          <w:rFonts w:ascii="Book Antiqua" w:hAnsi="Book Antiqua"/>
        </w:rPr>
        <w:t xml:space="preserve">, Ye J, Zhang F, Su H, Yang X, He H, Liu F, Zhu X, Wang L, Gao P, Shu G, Jiang Q, Wang S. Chenodeoxycholic Acid (CDCA) Protects against the Lipopolysaccharide-Induced Impairment of the Intestinal Epithelial Barrier Function via the FXR-MLCK Pathway. </w:t>
      </w:r>
      <w:r>
        <w:rPr>
          <w:rFonts w:ascii="Book Antiqua" w:hAnsi="Book Antiqua"/>
          <w:i/>
          <w:iCs/>
        </w:rPr>
        <w:t>J Agric Food Chem</w:t>
      </w:r>
      <w:r>
        <w:rPr>
          <w:rFonts w:ascii="Book Antiqua" w:hAnsi="Book Antiqua"/>
        </w:rPr>
        <w:t xml:space="preserve"> 2019; </w:t>
      </w:r>
      <w:r>
        <w:rPr>
          <w:rFonts w:ascii="Book Antiqua" w:hAnsi="Book Antiqua"/>
          <w:b/>
          <w:bCs/>
        </w:rPr>
        <w:t>67</w:t>
      </w:r>
      <w:r>
        <w:rPr>
          <w:rFonts w:ascii="Book Antiqua" w:hAnsi="Book Antiqua"/>
        </w:rPr>
        <w:t>: 8868-8874 [PMID: 31319027 DOI: 10.1021/acs.jafc.9b03173]</w:t>
      </w:r>
    </w:p>
    <w:p w14:paraId="725B0449" w14:textId="77777777" w:rsidR="00E45927" w:rsidRDefault="00000000">
      <w:pPr>
        <w:spacing w:line="360" w:lineRule="auto"/>
        <w:jc w:val="both"/>
        <w:rPr>
          <w:rFonts w:ascii="Book Antiqua" w:hAnsi="Book Antiqua"/>
        </w:rPr>
      </w:pPr>
      <w:r>
        <w:rPr>
          <w:rFonts w:ascii="Book Antiqua" w:hAnsi="Book Antiqua"/>
        </w:rPr>
        <w:lastRenderedPageBreak/>
        <w:t xml:space="preserve">55 </w:t>
      </w:r>
      <w:r>
        <w:rPr>
          <w:rFonts w:ascii="Book Antiqua" w:hAnsi="Book Antiqua"/>
          <w:b/>
          <w:bCs/>
        </w:rPr>
        <w:t>Liu HM</w:t>
      </w:r>
      <w:r>
        <w:rPr>
          <w:rFonts w:ascii="Book Antiqua" w:hAnsi="Book Antiqua"/>
        </w:rPr>
        <w:t xml:space="preserve">, Liao JF, Lee TY. Farnesoid X receptor agonist GW4064 ameliorates lipopolysaccharide-induced ileocolitis through TLR4/MyD88 pathway related mitochondrial dysfunction in mice. </w:t>
      </w:r>
      <w:r>
        <w:rPr>
          <w:rFonts w:ascii="Book Antiqua" w:hAnsi="Book Antiqua"/>
          <w:i/>
          <w:iCs/>
        </w:rPr>
        <w:t>Biochem Biophys Res Commun</w:t>
      </w:r>
      <w:r>
        <w:rPr>
          <w:rFonts w:ascii="Book Antiqua" w:hAnsi="Book Antiqua"/>
        </w:rPr>
        <w:t xml:space="preserve"> 2017; </w:t>
      </w:r>
      <w:r>
        <w:rPr>
          <w:rFonts w:ascii="Book Antiqua" w:hAnsi="Book Antiqua"/>
          <w:b/>
          <w:bCs/>
        </w:rPr>
        <w:t>490</w:t>
      </w:r>
      <w:r>
        <w:rPr>
          <w:rFonts w:ascii="Book Antiqua" w:hAnsi="Book Antiqua"/>
        </w:rPr>
        <w:t>: 841-848 [PMID: 28647362 DOI: 10.1016/j.bbrc.2017.06.129]</w:t>
      </w:r>
    </w:p>
    <w:p w14:paraId="28C06A31" w14:textId="77777777" w:rsidR="00E45927" w:rsidRDefault="00000000">
      <w:pPr>
        <w:spacing w:line="360" w:lineRule="auto"/>
        <w:jc w:val="both"/>
        <w:rPr>
          <w:rFonts w:ascii="Book Antiqua" w:hAnsi="Book Antiqua"/>
        </w:rPr>
      </w:pPr>
      <w:r>
        <w:rPr>
          <w:rFonts w:ascii="Book Antiqua" w:hAnsi="Book Antiqua"/>
        </w:rPr>
        <w:t xml:space="preserve">56 </w:t>
      </w:r>
      <w:r>
        <w:rPr>
          <w:rFonts w:ascii="Book Antiqua" w:hAnsi="Book Antiqua"/>
          <w:b/>
          <w:bCs/>
        </w:rPr>
        <w:t>Mickael ME</w:t>
      </w:r>
      <w:r>
        <w:rPr>
          <w:rFonts w:ascii="Book Antiqua" w:hAnsi="Book Antiqua"/>
        </w:rPr>
        <w:t xml:space="preserve">, Bhaumik S, Basu R. Retinoid-Related Orphan Receptor RORγt in CD4(+) T-Cell-Mediated Intestinal Homeostasis and Inflammation. </w:t>
      </w:r>
      <w:r>
        <w:rPr>
          <w:rFonts w:ascii="Book Antiqua" w:hAnsi="Book Antiqua"/>
          <w:i/>
          <w:iCs/>
        </w:rPr>
        <w:t>Am J Pathol</w:t>
      </w:r>
      <w:r>
        <w:rPr>
          <w:rFonts w:ascii="Book Antiqua" w:hAnsi="Book Antiqua"/>
        </w:rPr>
        <w:t xml:space="preserve"> 2020; </w:t>
      </w:r>
      <w:r>
        <w:rPr>
          <w:rFonts w:ascii="Book Antiqua" w:hAnsi="Book Antiqua"/>
          <w:b/>
          <w:bCs/>
        </w:rPr>
        <w:t>190</w:t>
      </w:r>
      <w:r>
        <w:rPr>
          <w:rFonts w:ascii="Book Antiqua" w:hAnsi="Book Antiqua"/>
        </w:rPr>
        <w:t>: 1984-1999 [PMID: 32735890 DOI: 10.1016/j.ajpath.2020.07.010]</w:t>
      </w:r>
    </w:p>
    <w:p w14:paraId="78B6B56F" w14:textId="77777777" w:rsidR="00E45927" w:rsidRDefault="00000000">
      <w:pPr>
        <w:spacing w:line="360" w:lineRule="auto"/>
        <w:jc w:val="both"/>
        <w:rPr>
          <w:rFonts w:ascii="Book Antiqua" w:hAnsi="Book Antiqua"/>
        </w:rPr>
      </w:pPr>
      <w:r>
        <w:rPr>
          <w:rFonts w:ascii="Book Antiqua" w:hAnsi="Book Antiqua"/>
        </w:rPr>
        <w:t xml:space="preserve">57 </w:t>
      </w:r>
      <w:r>
        <w:rPr>
          <w:rFonts w:ascii="Book Antiqua" w:hAnsi="Book Antiqua"/>
          <w:b/>
          <w:bCs/>
        </w:rPr>
        <w:t>Hang S</w:t>
      </w:r>
      <w:r>
        <w:rPr>
          <w:rFonts w:ascii="Book Antiqua" w:hAnsi="Book Antiqua"/>
        </w:rPr>
        <w:t xml:space="preserve">, Paik D, Yao L, Kim E, Trinath J, Lu J, Ha S, Nelson BN, Kelly SP, Wu L, Zheng Y, Longman RS, Rastinejad F, Devlin AS, Krout MR, Fischbach MA, Littman DR, Huh JR. Bile acid metabolites control T(H)17 and T(reg) cell differentiation. </w:t>
      </w:r>
      <w:r>
        <w:rPr>
          <w:rFonts w:ascii="Book Antiqua" w:hAnsi="Book Antiqua"/>
          <w:i/>
          <w:iCs/>
        </w:rPr>
        <w:t>Nature</w:t>
      </w:r>
      <w:r>
        <w:rPr>
          <w:rFonts w:ascii="Book Antiqua" w:hAnsi="Book Antiqua"/>
        </w:rPr>
        <w:t xml:space="preserve"> 2019; </w:t>
      </w:r>
      <w:r>
        <w:rPr>
          <w:rFonts w:ascii="Book Antiqua" w:hAnsi="Book Antiqua"/>
          <w:b/>
          <w:bCs/>
        </w:rPr>
        <w:t>576</w:t>
      </w:r>
      <w:r>
        <w:rPr>
          <w:rFonts w:ascii="Book Antiqua" w:hAnsi="Book Antiqua"/>
        </w:rPr>
        <w:t>: 143-148 [PMID: 31776512 DOI: 10.1038/s41586-019-1785-z]</w:t>
      </w:r>
    </w:p>
    <w:p w14:paraId="145B6926" w14:textId="77777777" w:rsidR="00E45927" w:rsidRDefault="00000000">
      <w:pPr>
        <w:spacing w:line="360" w:lineRule="auto"/>
        <w:jc w:val="both"/>
        <w:rPr>
          <w:rFonts w:ascii="Book Antiqua" w:hAnsi="Book Antiqua"/>
        </w:rPr>
      </w:pPr>
      <w:r>
        <w:rPr>
          <w:rFonts w:ascii="Book Antiqua" w:hAnsi="Book Antiqua"/>
        </w:rPr>
        <w:t xml:space="preserve">58 </w:t>
      </w:r>
      <w:r>
        <w:rPr>
          <w:rFonts w:ascii="Book Antiqua" w:hAnsi="Book Antiqua"/>
          <w:b/>
          <w:bCs/>
        </w:rPr>
        <w:t>Paik D</w:t>
      </w:r>
      <w:r>
        <w:rPr>
          <w:rFonts w:ascii="Book Antiqua" w:hAnsi="Book Antiqua"/>
        </w:rPr>
        <w:t xml:space="preserve">, Yao L, Zhang Y, Bae S, D'Agostino GD, Zhang M, Kim E, Franzosa EA, Avila-Pacheco J, Bisanz JE, Rakowski CK, Vlamakis H, Xavier RJ, Turnbaugh PJ, Longman RS, Krout MR, Clish CB, Rastinejad F, Huttenhower C, Huh JR, Devlin AS. Human gut bacteria produce Τ(Η)17-modulating bile acid metabolites. </w:t>
      </w:r>
      <w:r>
        <w:rPr>
          <w:rFonts w:ascii="Book Antiqua" w:hAnsi="Book Antiqua"/>
          <w:i/>
          <w:iCs/>
        </w:rPr>
        <w:t>Nature</w:t>
      </w:r>
      <w:r>
        <w:rPr>
          <w:rFonts w:ascii="Book Antiqua" w:hAnsi="Book Antiqua"/>
        </w:rPr>
        <w:t xml:space="preserve"> 2022; </w:t>
      </w:r>
      <w:r>
        <w:rPr>
          <w:rFonts w:ascii="Book Antiqua" w:hAnsi="Book Antiqua"/>
          <w:b/>
          <w:bCs/>
        </w:rPr>
        <w:t>603</w:t>
      </w:r>
      <w:r>
        <w:rPr>
          <w:rFonts w:ascii="Book Antiqua" w:hAnsi="Book Antiqua"/>
        </w:rPr>
        <w:t>: 907-912 [PMID: 35296854 DOI: 10.1038/s41586-022-04480-z]</w:t>
      </w:r>
    </w:p>
    <w:p w14:paraId="11DD9A2B" w14:textId="77777777" w:rsidR="00E45927" w:rsidRDefault="00000000">
      <w:pPr>
        <w:spacing w:line="360" w:lineRule="auto"/>
        <w:jc w:val="both"/>
        <w:rPr>
          <w:rFonts w:ascii="Book Antiqua" w:hAnsi="Book Antiqua"/>
        </w:rPr>
      </w:pPr>
      <w:r>
        <w:rPr>
          <w:rFonts w:ascii="Book Antiqua" w:hAnsi="Book Antiqua"/>
        </w:rPr>
        <w:t xml:space="preserve">59 </w:t>
      </w:r>
      <w:r>
        <w:rPr>
          <w:rFonts w:ascii="Book Antiqua" w:hAnsi="Book Antiqua"/>
          <w:b/>
          <w:bCs/>
        </w:rPr>
        <w:t>Campbell C</w:t>
      </w:r>
      <w:r>
        <w:rPr>
          <w:rFonts w:ascii="Book Antiqua" w:hAnsi="Book Antiqua"/>
        </w:rPr>
        <w:t xml:space="preserve">, McKenney PT, Konstantinovsky D, Isaeva OI, Schizas M, Verter J, Mai C, Jin WB, Guo CJ, Violante S, Ramos RJ, Cross JR, Kadaveru K, Hambor J, Rudensky AY. Bacterial metabolism of bile acids promotes generation of peripheral regulatory T cells. </w:t>
      </w:r>
      <w:r>
        <w:rPr>
          <w:rFonts w:ascii="Book Antiqua" w:hAnsi="Book Antiqua"/>
          <w:i/>
          <w:iCs/>
        </w:rPr>
        <w:t>Nature</w:t>
      </w:r>
      <w:r>
        <w:rPr>
          <w:rFonts w:ascii="Book Antiqua" w:hAnsi="Book Antiqua"/>
        </w:rPr>
        <w:t xml:space="preserve"> 2020; </w:t>
      </w:r>
      <w:r>
        <w:rPr>
          <w:rFonts w:ascii="Book Antiqua" w:hAnsi="Book Antiqua"/>
          <w:b/>
          <w:bCs/>
        </w:rPr>
        <w:t>581</w:t>
      </w:r>
      <w:r>
        <w:rPr>
          <w:rFonts w:ascii="Book Antiqua" w:hAnsi="Book Antiqua"/>
        </w:rPr>
        <w:t>: 475-479 [PMID: 32461639 DOI: 10.1038/s41586-020-2193-0]</w:t>
      </w:r>
    </w:p>
    <w:p w14:paraId="7D702268" w14:textId="77777777" w:rsidR="00E45927" w:rsidRDefault="00000000">
      <w:pPr>
        <w:spacing w:line="360" w:lineRule="auto"/>
        <w:jc w:val="both"/>
        <w:rPr>
          <w:rFonts w:ascii="Book Antiqua" w:hAnsi="Book Antiqua"/>
        </w:rPr>
      </w:pPr>
      <w:r>
        <w:rPr>
          <w:rFonts w:ascii="Book Antiqua" w:hAnsi="Book Antiqua"/>
        </w:rPr>
        <w:t xml:space="preserve">60 </w:t>
      </w:r>
      <w:r>
        <w:rPr>
          <w:rFonts w:ascii="Book Antiqua" w:hAnsi="Book Antiqua"/>
          <w:b/>
          <w:bCs/>
        </w:rPr>
        <w:t>Lv L</w:t>
      </w:r>
      <w:r>
        <w:rPr>
          <w:rFonts w:ascii="Book Antiqua" w:hAnsi="Book Antiqua"/>
        </w:rPr>
        <w:t xml:space="preserve">, Chen Z, Bai W, Hao J, Heng Z, Meng C, Wang L, Luo X, Wang X, Cao Y, He J. Taurohyodeoxycholic acid alleviates trinitrobenzene sulfonic acid induced ulcerative colitis via regulating Th1/Th2 and Th17/Treg cells balance. </w:t>
      </w:r>
      <w:r>
        <w:rPr>
          <w:rFonts w:ascii="Book Antiqua" w:hAnsi="Book Antiqua"/>
          <w:i/>
          <w:iCs/>
        </w:rPr>
        <w:t>Life Sci</w:t>
      </w:r>
      <w:r>
        <w:rPr>
          <w:rFonts w:ascii="Book Antiqua" w:hAnsi="Book Antiqua"/>
        </w:rPr>
        <w:t xml:space="preserve"> 2023; </w:t>
      </w:r>
      <w:r>
        <w:rPr>
          <w:rFonts w:ascii="Book Antiqua" w:hAnsi="Book Antiqua"/>
          <w:b/>
          <w:bCs/>
        </w:rPr>
        <w:t>318</w:t>
      </w:r>
      <w:r>
        <w:rPr>
          <w:rFonts w:ascii="Book Antiqua" w:hAnsi="Book Antiqua"/>
        </w:rPr>
        <w:t>: 121501 [PMID: 36801213 DOI: 10.1016/j.lfs.2023.121501]</w:t>
      </w:r>
    </w:p>
    <w:p w14:paraId="51E4F83A" w14:textId="77777777" w:rsidR="00E45927" w:rsidRDefault="00000000">
      <w:pPr>
        <w:spacing w:line="360" w:lineRule="auto"/>
        <w:jc w:val="both"/>
        <w:rPr>
          <w:rFonts w:ascii="Book Antiqua" w:hAnsi="Book Antiqua"/>
        </w:rPr>
      </w:pPr>
      <w:r>
        <w:rPr>
          <w:rFonts w:ascii="Book Antiqua" w:hAnsi="Book Antiqua"/>
        </w:rPr>
        <w:t xml:space="preserve">61 </w:t>
      </w:r>
      <w:r>
        <w:rPr>
          <w:rFonts w:ascii="Book Antiqua" w:hAnsi="Book Antiqua"/>
          <w:b/>
          <w:bCs/>
        </w:rPr>
        <w:t>Kathania M</w:t>
      </w:r>
      <w:r>
        <w:rPr>
          <w:rFonts w:ascii="Book Antiqua" w:hAnsi="Book Antiqua"/>
        </w:rPr>
        <w:t xml:space="preserve">, Kumar R, Lenou ET, Basrur V, Theiss AL, Chernoff J, Venuprasad K. Pak2-mediated phosphorylation promotes RORγt ubiquitination and inhibits colonic inflammation. </w:t>
      </w:r>
      <w:r>
        <w:rPr>
          <w:rFonts w:ascii="Book Antiqua" w:hAnsi="Book Antiqua"/>
          <w:i/>
          <w:iCs/>
        </w:rPr>
        <w:t>Cell Rep</w:t>
      </w:r>
      <w:r>
        <w:rPr>
          <w:rFonts w:ascii="Book Antiqua" w:hAnsi="Book Antiqua"/>
        </w:rPr>
        <w:t xml:space="preserve"> 2022; </w:t>
      </w:r>
      <w:r>
        <w:rPr>
          <w:rFonts w:ascii="Book Antiqua" w:hAnsi="Book Antiqua"/>
          <w:b/>
          <w:bCs/>
        </w:rPr>
        <w:t>40</w:t>
      </w:r>
      <w:r>
        <w:rPr>
          <w:rFonts w:ascii="Book Antiqua" w:hAnsi="Book Antiqua"/>
        </w:rPr>
        <w:t>: 111345 [PMID: 36103814 DOI: 10.1016/j.celrep.2022.111345]</w:t>
      </w:r>
    </w:p>
    <w:p w14:paraId="58139A11" w14:textId="77777777" w:rsidR="00E45927" w:rsidRDefault="00000000">
      <w:pPr>
        <w:spacing w:line="360" w:lineRule="auto"/>
        <w:jc w:val="both"/>
        <w:rPr>
          <w:rFonts w:ascii="Book Antiqua" w:hAnsi="Book Antiqua"/>
        </w:rPr>
      </w:pPr>
      <w:r>
        <w:rPr>
          <w:rFonts w:ascii="Book Antiqua" w:hAnsi="Book Antiqua"/>
        </w:rPr>
        <w:lastRenderedPageBreak/>
        <w:t xml:space="preserve">62 </w:t>
      </w:r>
      <w:r>
        <w:rPr>
          <w:rFonts w:ascii="Book Antiqua" w:hAnsi="Book Antiqua"/>
          <w:b/>
          <w:bCs/>
        </w:rPr>
        <w:t>Ohnmacht C</w:t>
      </w:r>
      <w:r>
        <w:rPr>
          <w:rFonts w:ascii="Book Antiqua" w:hAnsi="Book Antiqua"/>
        </w:rPr>
        <w:t>, Park JH, Cording S, Wing JB, Atarashi K, Obata Y, Gaboriau-Routhiau V, Marques R, Dulauroy S, Fedoseeva M, Busslinger M, Cerf-Bensussan N, Boneca IG, Voehringer D, Hase K, Honda K, Sakaguchi S, Eberl G. MUCOSAL IMMUNOLOGY. The microbiota regulates type 2 immunity through RORγt</w:t>
      </w:r>
      <w:r>
        <w:rPr>
          <w:rFonts w:ascii="Cambria Math" w:hAnsi="Cambria Math" w:cs="Cambria Math"/>
        </w:rPr>
        <w:t>⁺</w:t>
      </w:r>
      <w:r>
        <w:rPr>
          <w:rFonts w:ascii="Book Antiqua" w:hAnsi="Book Antiqua"/>
        </w:rPr>
        <w:t xml:space="preserve"> T cells. </w:t>
      </w:r>
      <w:r>
        <w:rPr>
          <w:rFonts w:ascii="Book Antiqua" w:hAnsi="Book Antiqua"/>
          <w:i/>
          <w:iCs/>
        </w:rPr>
        <w:t>Science</w:t>
      </w:r>
      <w:r>
        <w:rPr>
          <w:rFonts w:ascii="Book Antiqua" w:hAnsi="Book Antiqua"/>
        </w:rPr>
        <w:t xml:space="preserve"> 2015; </w:t>
      </w:r>
      <w:r>
        <w:rPr>
          <w:rFonts w:ascii="Book Antiqua" w:hAnsi="Book Antiqua"/>
          <w:b/>
          <w:bCs/>
        </w:rPr>
        <w:t>349</w:t>
      </w:r>
      <w:r>
        <w:rPr>
          <w:rFonts w:ascii="Book Antiqua" w:hAnsi="Book Antiqua"/>
        </w:rPr>
        <w:t>: 989-993 [PMID: 26160380 DOI: 10.1126/science.aac4263]</w:t>
      </w:r>
    </w:p>
    <w:p w14:paraId="030A6595" w14:textId="77777777" w:rsidR="00E45927" w:rsidRDefault="00000000">
      <w:pPr>
        <w:spacing w:line="360" w:lineRule="auto"/>
        <w:jc w:val="both"/>
        <w:rPr>
          <w:rFonts w:ascii="Book Antiqua" w:hAnsi="Book Antiqua"/>
        </w:rPr>
      </w:pPr>
      <w:r>
        <w:rPr>
          <w:rFonts w:ascii="Book Antiqua" w:hAnsi="Book Antiqua"/>
        </w:rPr>
        <w:t xml:space="preserve">63 </w:t>
      </w:r>
      <w:r>
        <w:rPr>
          <w:rFonts w:ascii="Book Antiqua" w:hAnsi="Book Antiqua"/>
          <w:b/>
          <w:bCs/>
        </w:rPr>
        <w:t>Sefik E</w:t>
      </w:r>
      <w:r>
        <w:rPr>
          <w:rFonts w:ascii="Book Antiqua" w:hAnsi="Book Antiqua"/>
        </w:rPr>
        <w:t>, Geva-Zatorsky N, Oh S, Konnikova L, Zemmour D, McGuire AM, Burzyn D, Ortiz-Lopez A, Lobera M, Yang J, Ghosh S, Earl A, Snapper SB, Jupp R, Kasper D, Mathis D, Benoist C. MUCOSAL IMMUNOLOGY. Individual intestinal symbionts induce a distinct population of RORγ</w:t>
      </w:r>
      <w:r>
        <w:rPr>
          <w:rFonts w:ascii="Cambria Math" w:hAnsi="Cambria Math" w:cs="Cambria Math"/>
        </w:rPr>
        <w:t>⁺</w:t>
      </w:r>
      <w:r>
        <w:rPr>
          <w:rFonts w:ascii="Book Antiqua" w:hAnsi="Book Antiqua"/>
        </w:rPr>
        <w:t xml:space="preserve"> regulatory T cells. </w:t>
      </w:r>
      <w:r>
        <w:rPr>
          <w:rFonts w:ascii="Book Antiqua" w:hAnsi="Book Antiqua"/>
          <w:i/>
          <w:iCs/>
        </w:rPr>
        <w:t>Science</w:t>
      </w:r>
      <w:r>
        <w:rPr>
          <w:rFonts w:ascii="Book Antiqua" w:hAnsi="Book Antiqua"/>
        </w:rPr>
        <w:t xml:space="preserve"> 2015; </w:t>
      </w:r>
      <w:r>
        <w:rPr>
          <w:rFonts w:ascii="Book Antiqua" w:hAnsi="Book Antiqua"/>
          <w:b/>
          <w:bCs/>
        </w:rPr>
        <w:t>349</w:t>
      </w:r>
      <w:r>
        <w:rPr>
          <w:rFonts w:ascii="Book Antiqua" w:hAnsi="Book Antiqua"/>
        </w:rPr>
        <w:t>: 993-997 [PMID: 26272906 DOI: 10.1126/science.aaa9420]</w:t>
      </w:r>
    </w:p>
    <w:p w14:paraId="40E7ABB8" w14:textId="77777777" w:rsidR="00E45927" w:rsidRDefault="00000000">
      <w:pPr>
        <w:spacing w:line="360" w:lineRule="auto"/>
        <w:jc w:val="both"/>
        <w:rPr>
          <w:rFonts w:ascii="Book Antiqua" w:hAnsi="Book Antiqua"/>
        </w:rPr>
      </w:pPr>
      <w:r>
        <w:rPr>
          <w:rFonts w:ascii="Book Antiqua" w:hAnsi="Book Antiqua"/>
        </w:rPr>
        <w:t xml:space="preserve">64 </w:t>
      </w:r>
      <w:r>
        <w:rPr>
          <w:rFonts w:ascii="Book Antiqua" w:hAnsi="Book Antiqua"/>
          <w:b/>
          <w:bCs/>
        </w:rPr>
        <w:t>Maloy KJ</w:t>
      </w:r>
      <w:r>
        <w:rPr>
          <w:rFonts w:ascii="Book Antiqua" w:hAnsi="Book Antiqua"/>
        </w:rPr>
        <w:t xml:space="preserve">, Powrie F. Intestinal homeostasis and its breakdown in inflammatory bowel disease. </w:t>
      </w:r>
      <w:r>
        <w:rPr>
          <w:rFonts w:ascii="Book Antiqua" w:hAnsi="Book Antiqua"/>
          <w:i/>
          <w:iCs/>
        </w:rPr>
        <w:t>Nature</w:t>
      </w:r>
      <w:r>
        <w:rPr>
          <w:rFonts w:ascii="Book Antiqua" w:hAnsi="Book Antiqua"/>
        </w:rPr>
        <w:t xml:space="preserve"> 2011; </w:t>
      </w:r>
      <w:r>
        <w:rPr>
          <w:rFonts w:ascii="Book Antiqua" w:hAnsi="Book Antiqua"/>
          <w:b/>
          <w:bCs/>
        </w:rPr>
        <w:t>474</w:t>
      </w:r>
      <w:r>
        <w:rPr>
          <w:rFonts w:ascii="Book Antiqua" w:hAnsi="Book Antiqua"/>
        </w:rPr>
        <w:t>: 298-306 [PMID: 21677746 DOI: 10.1038/nature10208]</w:t>
      </w:r>
    </w:p>
    <w:p w14:paraId="12B37A3B" w14:textId="77777777" w:rsidR="00E45927" w:rsidRDefault="00000000">
      <w:pPr>
        <w:spacing w:line="360" w:lineRule="auto"/>
        <w:jc w:val="both"/>
        <w:rPr>
          <w:rFonts w:ascii="Book Antiqua" w:hAnsi="Book Antiqua"/>
        </w:rPr>
      </w:pPr>
      <w:r>
        <w:rPr>
          <w:rFonts w:ascii="Book Antiqua" w:hAnsi="Book Antiqua"/>
        </w:rPr>
        <w:t xml:space="preserve">65 </w:t>
      </w:r>
      <w:r>
        <w:rPr>
          <w:rFonts w:ascii="Book Antiqua" w:hAnsi="Book Antiqua"/>
          <w:b/>
          <w:bCs/>
        </w:rPr>
        <w:t>Lyu M</w:t>
      </w:r>
      <w:r>
        <w:rPr>
          <w:rFonts w:ascii="Book Antiqua" w:hAnsi="Book Antiqua"/>
        </w:rPr>
        <w:t xml:space="preserve">, Suzuki H, Kang L, Gaspal F, Zhou W, Goc J, Zhou L, Zhou J, Zhang W; JRI Live Cell Bank, Shen Z, Fox JG, Sockolow RE, Laufer TM, Fan Y, Eberl G, Withers DR, Sonnenberg GF. ILC3s select microbiota-specific regulatory T cells to establish tolerance in the gut. </w:t>
      </w:r>
      <w:r>
        <w:rPr>
          <w:rFonts w:ascii="Book Antiqua" w:hAnsi="Book Antiqua"/>
          <w:i/>
          <w:iCs/>
        </w:rPr>
        <w:t>Nature</w:t>
      </w:r>
      <w:r>
        <w:rPr>
          <w:rFonts w:ascii="Book Antiqua" w:hAnsi="Book Antiqua"/>
        </w:rPr>
        <w:t xml:space="preserve"> 2022; </w:t>
      </w:r>
      <w:r>
        <w:rPr>
          <w:rFonts w:ascii="Book Antiqua" w:hAnsi="Book Antiqua"/>
          <w:b/>
          <w:bCs/>
        </w:rPr>
        <w:t>610</w:t>
      </w:r>
      <w:r>
        <w:rPr>
          <w:rFonts w:ascii="Book Antiqua" w:hAnsi="Book Antiqua"/>
        </w:rPr>
        <w:t>: 744-751 [PMID: 36071169 DOI: 10.1038/s41586-022-05141-x]</w:t>
      </w:r>
    </w:p>
    <w:p w14:paraId="0A64DF63" w14:textId="77777777" w:rsidR="00E45927" w:rsidRDefault="00000000">
      <w:pPr>
        <w:spacing w:line="360" w:lineRule="auto"/>
        <w:jc w:val="both"/>
        <w:rPr>
          <w:rFonts w:ascii="Book Antiqua" w:hAnsi="Book Antiqua"/>
        </w:rPr>
      </w:pPr>
      <w:r>
        <w:rPr>
          <w:rFonts w:ascii="Book Antiqua" w:hAnsi="Book Antiqua"/>
        </w:rPr>
        <w:t xml:space="preserve">66 </w:t>
      </w:r>
      <w:r>
        <w:rPr>
          <w:rFonts w:ascii="Book Antiqua" w:hAnsi="Book Antiqua"/>
          <w:b/>
          <w:bCs/>
        </w:rPr>
        <w:t>Akagbosu B</w:t>
      </w:r>
      <w:r>
        <w:rPr>
          <w:rFonts w:ascii="Book Antiqua" w:hAnsi="Book Antiqua"/>
        </w:rPr>
        <w:t xml:space="preserve">, Tayyebi Z, Shibu G, Paucar Iza YA, Deep D, Parisotto YF, Fisher L, Pasolli HA, Thevin V, Elmentaite R, Knott M, Hemmers S, Jahn L, Friedrich C, Verter J, Wang ZM, van den Brink M, Gasteiger G, Grünewald TGP, Marie JC, Leslie C, Rudensky AY, Brown CC. Novel antigen-presenting cell imparts T(reg)-dependent tolerance to gut microbiota. </w:t>
      </w:r>
      <w:r>
        <w:rPr>
          <w:rFonts w:ascii="Book Antiqua" w:hAnsi="Book Antiqua"/>
          <w:i/>
          <w:iCs/>
        </w:rPr>
        <w:t>Nature</w:t>
      </w:r>
      <w:r>
        <w:rPr>
          <w:rFonts w:ascii="Book Antiqua" w:hAnsi="Book Antiqua"/>
        </w:rPr>
        <w:t xml:space="preserve"> 2022; </w:t>
      </w:r>
      <w:r>
        <w:rPr>
          <w:rFonts w:ascii="Book Antiqua" w:hAnsi="Book Antiqua"/>
          <w:b/>
          <w:bCs/>
        </w:rPr>
        <w:t>610</w:t>
      </w:r>
      <w:r>
        <w:rPr>
          <w:rFonts w:ascii="Book Antiqua" w:hAnsi="Book Antiqua"/>
        </w:rPr>
        <w:t>: 752-760 [PMID: 36070798 DOI: 10.1038/s41586-022-05309-5]</w:t>
      </w:r>
    </w:p>
    <w:p w14:paraId="5ADA840C" w14:textId="77777777" w:rsidR="00E45927" w:rsidRDefault="00000000">
      <w:pPr>
        <w:spacing w:line="360" w:lineRule="auto"/>
        <w:jc w:val="both"/>
        <w:rPr>
          <w:rFonts w:ascii="Book Antiqua" w:hAnsi="Book Antiqua"/>
        </w:rPr>
      </w:pPr>
      <w:r>
        <w:rPr>
          <w:rFonts w:ascii="Book Antiqua" w:hAnsi="Book Antiqua"/>
        </w:rPr>
        <w:t xml:space="preserve">67 </w:t>
      </w:r>
      <w:r>
        <w:rPr>
          <w:rFonts w:ascii="Book Antiqua" w:hAnsi="Book Antiqua"/>
          <w:b/>
          <w:bCs/>
        </w:rPr>
        <w:t>Liu Y</w:t>
      </w:r>
      <w:r>
        <w:rPr>
          <w:rFonts w:ascii="Book Antiqua" w:hAnsi="Book Antiqua"/>
        </w:rPr>
        <w:t xml:space="preserve">, Yang M, Tang L, Wang F, Huang S, Liu S, Lei Y, Wang S, Xie Z, Wang W, Zhao X, Tang B, Yang S. TLR4 regulates RORγt(+) regulatory T-cell responses and susceptibility to colon inflammation through interaction with Akkermansia muciniphila. </w:t>
      </w:r>
      <w:r>
        <w:rPr>
          <w:rFonts w:ascii="Book Antiqua" w:hAnsi="Book Antiqua"/>
          <w:i/>
          <w:iCs/>
        </w:rPr>
        <w:t>Microbiome</w:t>
      </w:r>
      <w:r>
        <w:rPr>
          <w:rFonts w:ascii="Book Antiqua" w:hAnsi="Book Antiqua"/>
        </w:rPr>
        <w:t xml:space="preserve"> 2022; </w:t>
      </w:r>
      <w:r>
        <w:rPr>
          <w:rFonts w:ascii="Book Antiqua" w:hAnsi="Book Antiqua"/>
          <w:b/>
          <w:bCs/>
        </w:rPr>
        <w:t>10</w:t>
      </w:r>
      <w:r>
        <w:rPr>
          <w:rFonts w:ascii="Book Antiqua" w:hAnsi="Book Antiqua"/>
        </w:rPr>
        <w:t>: 98 [PMID: 35761415 DOI: 10.1186/s40168-022-01296-x]</w:t>
      </w:r>
    </w:p>
    <w:p w14:paraId="0C08AB36" w14:textId="77777777" w:rsidR="00E45927" w:rsidRDefault="00000000">
      <w:pPr>
        <w:spacing w:line="360" w:lineRule="auto"/>
        <w:jc w:val="both"/>
        <w:rPr>
          <w:rFonts w:ascii="Book Antiqua" w:hAnsi="Book Antiqua"/>
        </w:rPr>
      </w:pPr>
      <w:r>
        <w:rPr>
          <w:rFonts w:ascii="Book Antiqua" w:hAnsi="Book Antiqua"/>
        </w:rPr>
        <w:t xml:space="preserve">68 </w:t>
      </w:r>
      <w:r>
        <w:rPr>
          <w:rFonts w:ascii="Book Antiqua" w:hAnsi="Book Antiqua"/>
          <w:b/>
          <w:bCs/>
        </w:rPr>
        <w:t>Bhaumik S</w:t>
      </w:r>
      <w:r>
        <w:rPr>
          <w:rFonts w:ascii="Book Antiqua" w:hAnsi="Book Antiqua"/>
        </w:rPr>
        <w:t xml:space="preserve">, Mickael ME, Moran M, Spell M, Basu R. RORγt Promotes Foxp3 Expression by Antagonizing the Effector Program in Colonic Regulatory T Cells. </w:t>
      </w:r>
      <w:r>
        <w:rPr>
          <w:rFonts w:ascii="Book Antiqua" w:hAnsi="Book Antiqua"/>
          <w:i/>
          <w:iCs/>
        </w:rPr>
        <w:t>J Immunol</w:t>
      </w:r>
      <w:r>
        <w:rPr>
          <w:rFonts w:ascii="Book Antiqua" w:hAnsi="Book Antiqua"/>
        </w:rPr>
        <w:t xml:space="preserve"> 2021; </w:t>
      </w:r>
      <w:r>
        <w:rPr>
          <w:rFonts w:ascii="Book Antiqua" w:hAnsi="Book Antiqua"/>
          <w:b/>
          <w:bCs/>
        </w:rPr>
        <w:t>207</w:t>
      </w:r>
      <w:r>
        <w:rPr>
          <w:rFonts w:ascii="Book Antiqua" w:hAnsi="Book Antiqua"/>
        </w:rPr>
        <w:t>: 2027-2038 [PMID: 34518282 DOI: 10.4049/jimmunol.2100175]</w:t>
      </w:r>
    </w:p>
    <w:p w14:paraId="439CEAD8" w14:textId="77777777" w:rsidR="00E45927" w:rsidRDefault="00000000">
      <w:pPr>
        <w:spacing w:line="360" w:lineRule="auto"/>
        <w:jc w:val="both"/>
        <w:rPr>
          <w:rFonts w:ascii="Book Antiqua" w:hAnsi="Book Antiqua"/>
        </w:rPr>
      </w:pPr>
      <w:r>
        <w:rPr>
          <w:rFonts w:ascii="Book Antiqua" w:hAnsi="Book Antiqua"/>
        </w:rPr>
        <w:lastRenderedPageBreak/>
        <w:t xml:space="preserve">69 </w:t>
      </w:r>
      <w:r>
        <w:rPr>
          <w:rFonts w:ascii="Book Antiqua" w:hAnsi="Book Antiqua"/>
          <w:b/>
          <w:bCs/>
        </w:rPr>
        <w:t>Kawamata Y</w:t>
      </w:r>
      <w:r>
        <w:rPr>
          <w:rFonts w:ascii="Book Antiqua" w:hAnsi="Book Antiqua"/>
        </w:rPr>
        <w:t xml:space="preserve">, Fujii R, Hosoya M, Harada M, Yoshida H, Miwa M, Fukusumi S, Habata Y, Itoh T, Shintani Y, Hinuma S, Fujisawa Y, Fujino M. A G protein-coupled receptor responsive to bile acids. </w:t>
      </w:r>
      <w:r>
        <w:rPr>
          <w:rFonts w:ascii="Book Antiqua" w:hAnsi="Book Antiqua"/>
          <w:i/>
          <w:iCs/>
        </w:rPr>
        <w:t>J Biol Chem</w:t>
      </w:r>
      <w:r>
        <w:rPr>
          <w:rFonts w:ascii="Book Antiqua" w:hAnsi="Book Antiqua"/>
        </w:rPr>
        <w:t xml:space="preserve"> 2003; </w:t>
      </w:r>
      <w:r>
        <w:rPr>
          <w:rFonts w:ascii="Book Antiqua" w:hAnsi="Book Antiqua"/>
          <w:b/>
          <w:bCs/>
        </w:rPr>
        <w:t>278</w:t>
      </w:r>
      <w:r>
        <w:rPr>
          <w:rFonts w:ascii="Book Antiqua" w:hAnsi="Book Antiqua"/>
        </w:rPr>
        <w:t>: 9435-9440 [PMID: 12524422 DOI: 10.1074/jbc.M209706200]</w:t>
      </w:r>
    </w:p>
    <w:p w14:paraId="75EA2B18" w14:textId="77777777" w:rsidR="00E45927" w:rsidRDefault="00000000">
      <w:pPr>
        <w:spacing w:line="360" w:lineRule="auto"/>
        <w:jc w:val="both"/>
        <w:rPr>
          <w:rFonts w:ascii="Book Antiqua" w:hAnsi="Book Antiqua"/>
        </w:rPr>
      </w:pPr>
      <w:r>
        <w:rPr>
          <w:rFonts w:ascii="Book Antiqua" w:hAnsi="Book Antiqua"/>
        </w:rPr>
        <w:t xml:space="preserve">70 </w:t>
      </w:r>
      <w:r>
        <w:rPr>
          <w:rFonts w:ascii="Book Antiqua" w:hAnsi="Book Antiqua"/>
          <w:b/>
          <w:bCs/>
        </w:rPr>
        <w:t>Schroder K</w:t>
      </w:r>
      <w:r>
        <w:rPr>
          <w:rFonts w:ascii="Book Antiqua" w:hAnsi="Book Antiqua"/>
        </w:rPr>
        <w:t xml:space="preserve">, Tschopp J. The inflammasomes. </w:t>
      </w:r>
      <w:r>
        <w:rPr>
          <w:rFonts w:ascii="Book Antiqua" w:hAnsi="Book Antiqua"/>
          <w:i/>
          <w:iCs/>
        </w:rPr>
        <w:t>Cell</w:t>
      </w:r>
      <w:r>
        <w:rPr>
          <w:rFonts w:ascii="Book Antiqua" w:hAnsi="Book Antiqua"/>
        </w:rPr>
        <w:t xml:space="preserve"> 2010; </w:t>
      </w:r>
      <w:r>
        <w:rPr>
          <w:rFonts w:ascii="Book Antiqua" w:hAnsi="Book Antiqua"/>
          <w:b/>
          <w:bCs/>
        </w:rPr>
        <w:t>140</w:t>
      </w:r>
      <w:r>
        <w:rPr>
          <w:rFonts w:ascii="Book Antiqua" w:hAnsi="Book Antiqua"/>
        </w:rPr>
        <w:t>: 821-832 [PMID: 20303873 DOI: 10.1016/j.cell.2010.01.040]</w:t>
      </w:r>
    </w:p>
    <w:p w14:paraId="338434A0" w14:textId="77777777" w:rsidR="00E45927" w:rsidRDefault="00000000">
      <w:pPr>
        <w:spacing w:line="360" w:lineRule="auto"/>
        <w:jc w:val="both"/>
        <w:rPr>
          <w:rFonts w:ascii="Book Antiqua" w:hAnsi="Book Antiqua"/>
        </w:rPr>
      </w:pPr>
      <w:r>
        <w:rPr>
          <w:rFonts w:ascii="Book Antiqua" w:hAnsi="Book Antiqua"/>
        </w:rPr>
        <w:t xml:space="preserve">71 </w:t>
      </w:r>
      <w:r>
        <w:rPr>
          <w:rFonts w:ascii="Book Antiqua" w:hAnsi="Book Antiqua"/>
          <w:b/>
          <w:bCs/>
        </w:rPr>
        <w:t>Zhen Y</w:t>
      </w:r>
      <w:r>
        <w:rPr>
          <w:rFonts w:ascii="Book Antiqua" w:hAnsi="Book Antiqua"/>
        </w:rPr>
        <w:t xml:space="preserve">, Zhang H. NLRP3 Inflammasome and Inflammatory Bowel Disease. </w:t>
      </w:r>
      <w:r>
        <w:rPr>
          <w:rFonts w:ascii="Book Antiqua" w:hAnsi="Book Antiqua"/>
          <w:i/>
          <w:iCs/>
        </w:rPr>
        <w:t>Front Immunol</w:t>
      </w:r>
      <w:r>
        <w:rPr>
          <w:rFonts w:ascii="Book Antiqua" w:hAnsi="Book Antiqua"/>
        </w:rPr>
        <w:t xml:space="preserve"> 2019; </w:t>
      </w:r>
      <w:r>
        <w:rPr>
          <w:rFonts w:ascii="Book Antiqua" w:hAnsi="Book Antiqua"/>
          <w:b/>
          <w:bCs/>
        </w:rPr>
        <w:t>10</w:t>
      </w:r>
      <w:r>
        <w:rPr>
          <w:rFonts w:ascii="Book Antiqua" w:hAnsi="Book Antiqua"/>
        </w:rPr>
        <w:t>: 276 [PMID: 30873162 DOI: 10.3389/fimmu.2019.00276]</w:t>
      </w:r>
    </w:p>
    <w:p w14:paraId="71E3B02B" w14:textId="77777777" w:rsidR="00E45927" w:rsidRDefault="00000000">
      <w:pPr>
        <w:spacing w:line="360" w:lineRule="auto"/>
        <w:jc w:val="both"/>
        <w:rPr>
          <w:rFonts w:ascii="Book Antiqua" w:hAnsi="Book Antiqua"/>
        </w:rPr>
      </w:pPr>
      <w:r>
        <w:rPr>
          <w:rFonts w:ascii="Book Antiqua" w:hAnsi="Book Antiqua"/>
        </w:rPr>
        <w:t xml:space="preserve">72 </w:t>
      </w:r>
      <w:r>
        <w:rPr>
          <w:rFonts w:ascii="Book Antiqua" w:hAnsi="Book Antiqua"/>
          <w:b/>
          <w:bCs/>
        </w:rPr>
        <w:t>Guo C</w:t>
      </w:r>
      <w:r>
        <w:rPr>
          <w:rFonts w:ascii="Book Antiqua" w:hAnsi="Book Antiqua"/>
        </w:rPr>
        <w:t xml:space="preserve">, Xie S, Chi Z, Zhang J, Liu Y, Zhang L, Zheng M, Zhang X, Xia D, Ke Y, Lu L, Wang D. Bile Acids Control Inflammation and Metabolic Disorder through Inhibition of NLRP3 Inflammasome. </w:t>
      </w:r>
      <w:r>
        <w:rPr>
          <w:rFonts w:ascii="Book Antiqua" w:hAnsi="Book Antiqua"/>
          <w:i/>
          <w:iCs/>
        </w:rPr>
        <w:t>Immunity</w:t>
      </w:r>
      <w:r>
        <w:rPr>
          <w:rFonts w:ascii="Book Antiqua" w:hAnsi="Book Antiqua"/>
        </w:rPr>
        <w:t xml:space="preserve"> 2016; </w:t>
      </w:r>
      <w:r>
        <w:rPr>
          <w:rFonts w:ascii="Book Antiqua" w:hAnsi="Book Antiqua"/>
          <w:b/>
          <w:bCs/>
        </w:rPr>
        <w:t>45</w:t>
      </w:r>
      <w:r>
        <w:rPr>
          <w:rFonts w:ascii="Book Antiqua" w:hAnsi="Book Antiqua"/>
        </w:rPr>
        <w:t>: 802-816 [PMID: 27692610 DOI: 10.1016/j.immuni.2016.09.008]</w:t>
      </w:r>
    </w:p>
    <w:p w14:paraId="46EA5DDA" w14:textId="77777777" w:rsidR="00E45927" w:rsidRDefault="00000000">
      <w:pPr>
        <w:spacing w:line="360" w:lineRule="auto"/>
        <w:jc w:val="both"/>
        <w:rPr>
          <w:rFonts w:ascii="Book Antiqua" w:hAnsi="Book Antiqua"/>
        </w:rPr>
      </w:pPr>
      <w:r>
        <w:rPr>
          <w:rFonts w:ascii="Book Antiqua" w:hAnsi="Book Antiqua"/>
        </w:rPr>
        <w:t xml:space="preserve">73 </w:t>
      </w:r>
      <w:r>
        <w:rPr>
          <w:rFonts w:ascii="Book Antiqua" w:hAnsi="Book Antiqua"/>
          <w:b/>
          <w:bCs/>
        </w:rPr>
        <w:t>Biagioli M</w:t>
      </w:r>
      <w:r>
        <w:rPr>
          <w:rFonts w:ascii="Book Antiqua" w:hAnsi="Book Antiqua"/>
        </w:rPr>
        <w:t xml:space="preserve">, Carino A, Cipriani S, Francisci D, Marchianò S, Scarpelli P, Sorcini D, Zampella A, Fiorucci S. The Bile Acid Receptor GPBAR1 Regulates the M1/M2 Phenotype of Intestinal Macrophages and Activation of GPBAR1 Rescues Mice from Murine Colitis. </w:t>
      </w:r>
      <w:r>
        <w:rPr>
          <w:rFonts w:ascii="Book Antiqua" w:hAnsi="Book Antiqua"/>
          <w:i/>
          <w:iCs/>
        </w:rPr>
        <w:t>J Immunol</w:t>
      </w:r>
      <w:r>
        <w:rPr>
          <w:rFonts w:ascii="Book Antiqua" w:hAnsi="Book Antiqua"/>
        </w:rPr>
        <w:t xml:space="preserve"> 2017; </w:t>
      </w:r>
      <w:r>
        <w:rPr>
          <w:rFonts w:ascii="Book Antiqua" w:hAnsi="Book Antiqua"/>
          <w:b/>
          <w:bCs/>
        </w:rPr>
        <w:t>199</w:t>
      </w:r>
      <w:r>
        <w:rPr>
          <w:rFonts w:ascii="Book Antiqua" w:hAnsi="Book Antiqua"/>
        </w:rPr>
        <w:t>: 718-733 [PMID: 28607110 DOI: 10.4049/jimmunol.1700183]</w:t>
      </w:r>
    </w:p>
    <w:p w14:paraId="281F5455" w14:textId="77777777" w:rsidR="00E45927" w:rsidRDefault="00000000">
      <w:pPr>
        <w:spacing w:line="360" w:lineRule="auto"/>
        <w:jc w:val="both"/>
        <w:rPr>
          <w:rFonts w:ascii="Book Antiqua" w:hAnsi="Book Antiqua"/>
        </w:rPr>
      </w:pPr>
      <w:r>
        <w:rPr>
          <w:rFonts w:ascii="Book Antiqua" w:hAnsi="Book Antiqua"/>
        </w:rPr>
        <w:t xml:space="preserve">74 </w:t>
      </w:r>
      <w:r>
        <w:rPr>
          <w:rFonts w:ascii="Book Antiqua" w:hAnsi="Book Antiqua"/>
          <w:b/>
          <w:bCs/>
        </w:rPr>
        <w:t>Khajah MA</w:t>
      </w:r>
      <w:r>
        <w:rPr>
          <w:rFonts w:ascii="Book Antiqua" w:hAnsi="Book Antiqua"/>
        </w:rPr>
        <w:t xml:space="preserve">, Fateel MM, Ananthalakshmi KV, Luqmani YA. Anti-Inflammatory Action of Angiotensin 1-7 in Experimental Colitis. </w:t>
      </w:r>
      <w:r>
        <w:rPr>
          <w:rFonts w:ascii="Book Antiqua" w:hAnsi="Book Antiqua"/>
          <w:i/>
          <w:iCs/>
        </w:rPr>
        <w:t>PLoS One</w:t>
      </w:r>
      <w:r>
        <w:rPr>
          <w:rFonts w:ascii="Book Antiqua" w:hAnsi="Book Antiqua"/>
        </w:rPr>
        <w:t xml:space="preserve"> 2016; </w:t>
      </w:r>
      <w:r>
        <w:rPr>
          <w:rFonts w:ascii="Book Antiqua" w:hAnsi="Book Antiqua"/>
          <w:b/>
          <w:bCs/>
        </w:rPr>
        <w:t>11</w:t>
      </w:r>
      <w:r>
        <w:rPr>
          <w:rFonts w:ascii="Book Antiqua" w:hAnsi="Book Antiqua"/>
        </w:rPr>
        <w:t>: e0150861 [PMID: 26963721 DOI: 10.1371/journal.pone.0150861]</w:t>
      </w:r>
    </w:p>
    <w:p w14:paraId="54F2F614" w14:textId="77777777" w:rsidR="00E45927" w:rsidRDefault="00000000">
      <w:pPr>
        <w:spacing w:line="360" w:lineRule="auto"/>
        <w:jc w:val="both"/>
        <w:rPr>
          <w:rFonts w:ascii="Book Antiqua" w:hAnsi="Book Antiqua"/>
        </w:rPr>
      </w:pPr>
      <w:r>
        <w:rPr>
          <w:rFonts w:ascii="Book Antiqua" w:hAnsi="Book Antiqua"/>
        </w:rPr>
        <w:t xml:space="preserve">75 </w:t>
      </w:r>
      <w:r>
        <w:rPr>
          <w:rFonts w:ascii="Book Antiqua" w:hAnsi="Book Antiqua"/>
          <w:b/>
          <w:bCs/>
        </w:rPr>
        <w:t>Biagioli M</w:t>
      </w:r>
      <w:r>
        <w:rPr>
          <w:rFonts w:ascii="Book Antiqua" w:hAnsi="Book Antiqua"/>
        </w:rPr>
        <w:t xml:space="preserve">, Marchianò S, Roselli R, Di Giorgio C, Bellini R, Bordoni M, Distrutti E, Catalanotti B, Zampella A, Graziosi L, Donini A, Fiorucci S. GLP-1 Mediates Regulation of Colonic ACE2 Expression by the Bile Acid Receptor GPBAR1 in Inflammation. </w:t>
      </w:r>
      <w:r>
        <w:rPr>
          <w:rFonts w:ascii="Book Antiqua" w:hAnsi="Book Antiqua"/>
          <w:i/>
          <w:iCs/>
        </w:rPr>
        <w:t>Cells</w:t>
      </w:r>
      <w:r>
        <w:rPr>
          <w:rFonts w:ascii="Book Antiqua" w:hAnsi="Book Antiqua"/>
        </w:rPr>
        <w:t xml:space="preserve"> 2022; </w:t>
      </w:r>
      <w:r>
        <w:rPr>
          <w:rFonts w:ascii="Book Antiqua" w:hAnsi="Book Antiqua"/>
          <w:b/>
          <w:bCs/>
        </w:rPr>
        <w:t>11</w:t>
      </w:r>
      <w:r>
        <w:rPr>
          <w:rFonts w:ascii="Book Antiqua" w:hAnsi="Book Antiqua"/>
        </w:rPr>
        <w:t xml:space="preserve"> [PMID: 35406751 DOI: 10.3390/cells11071187]</w:t>
      </w:r>
    </w:p>
    <w:p w14:paraId="07D735C2" w14:textId="77777777" w:rsidR="00E45927" w:rsidRDefault="00000000">
      <w:pPr>
        <w:spacing w:line="360" w:lineRule="auto"/>
        <w:jc w:val="both"/>
        <w:rPr>
          <w:rFonts w:ascii="Book Antiqua" w:hAnsi="Book Antiqua"/>
        </w:rPr>
      </w:pPr>
      <w:r>
        <w:rPr>
          <w:rFonts w:ascii="Book Antiqua" w:hAnsi="Book Antiqua"/>
        </w:rPr>
        <w:t xml:space="preserve">76 </w:t>
      </w:r>
      <w:r>
        <w:rPr>
          <w:rFonts w:ascii="Book Antiqua" w:hAnsi="Book Antiqua"/>
          <w:b/>
          <w:bCs/>
        </w:rPr>
        <w:t>Sinha SR</w:t>
      </w:r>
      <w:r>
        <w:rPr>
          <w:rFonts w:ascii="Book Antiqua" w:hAnsi="Book Antiqua"/>
        </w:rPr>
        <w:t xml:space="preserve">, Haileselassie Y, Nguyen LP, Tropini C, Wang M, Becker LS, Sim D, Jarr K, Spear ET, Singh G, Namkoong H, Bittinger K, Fischbach MA, Sonnenburg JL, Habtezion A. Dysbiosis-Induced Secondary Bile Acid Deficiency Promotes Intestinal Inflammation. </w:t>
      </w:r>
      <w:r>
        <w:rPr>
          <w:rFonts w:ascii="Book Antiqua" w:hAnsi="Book Antiqua"/>
          <w:i/>
          <w:iCs/>
        </w:rPr>
        <w:t>Cell Host Microbe</w:t>
      </w:r>
      <w:r>
        <w:rPr>
          <w:rFonts w:ascii="Book Antiqua" w:hAnsi="Book Antiqua"/>
        </w:rPr>
        <w:t xml:space="preserve"> 2020; </w:t>
      </w:r>
      <w:r>
        <w:rPr>
          <w:rFonts w:ascii="Book Antiqua" w:hAnsi="Book Antiqua"/>
          <w:b/>
          <w:bCs/>
        </w:rPr>
        <w:t>27</w:t>
      </w:r>
      <w:r>
        <w:rPr>
          <w:rFonts w:ascii="Book Antiqua" w:hAnsi="Book Antiqua"/>
        </w:rPr>
        <w:t>: 659-670.e5 [PMID: 32101703 DOI: 10.1016/j.chom.2020.01.021]</w:t>
      </w:r>
    </w:p>
    <w:p w14:paraId="66361ACE" w14:textId="77777777" w:rsidR="00E45927" w:rsidRDefault="00000000">
      <w:pPr>
        <w:spacing w:line="360" w:lineRule="auto"/>
        <w:jc w:val="both"/>
        <w:rPr>
          <w:rFonts w:ascii="Book Antiqua" w:hAnsi="Book Antiqua"/>
        </w:rPr>
      </w:pPr>
      <w:r>
        <w:rPr>
          <w:rFonts w:ascii="Book Antiqua" w:hAnsi="Book Antiqua"/>
        </w:rPr>
        <w:lastRenderedPageBreak/>
        <w:t xml:space="preserve">77 </w:t>
      </w:r>
      <w:r>
        <w:rPr>
          <w:rFonts w:ascii="Book Antiqua" w:hAnsi="Book Antiqua"/>
          <w:b/>
          <w:bCs/>
        </w:rPr>
        <w:t>Azuma Y</w:t>
      </w:r>
      <w:r>
        <w:rPr>
          <w:rFonts w:ascii="Book Antiqua" w:hAnsi="Book Antiqua"/>
        </w:rPr>
        <w:t xml:space="preserve">, Uchiyama K, Sugaya T, Yasuda T, Hashimoto H, Kajiwara-Kubota M, Sugino S, Kitae H, Torii T, Mizushima K, Doi T, Inoue K, Dohi O, Yoshida N, Kamada K, Ishikawa T, Takagi T, Konishi H, Naito Y, Itoh Y. Deoxycholic acid delays the wound healing of colonic epithelial cells via transmembrane G-protein-coupled receptor 5. </w:t>
      </w:r>
      <w:r>
        <w:rPr>
          <w:rFonts w:ascii="Book Antiqua" w:hAnsi="Book Antiqua"/>
          <w:i/>
          <w:iCs/>
        </w:rPr>
        <w:t>J Gastroenterol Hepatol</w:t>
      </w:r>
      <w:r>
        <w:rPr>
          <w:rFonts w:ascii="Book Antiqua" w:hAnsi="Book Antiqua"/>
        </w:rPr>
        <w:t xml:space="preserve"> 2022; </w:t>
      </w:r>
      <w:r>
        <w:rPr>
          <w:rFonts w:ascii="Book Antiqua" w:hAnsi="Book Antiqua"/>
          <w:b/>
          <w:bCs/>
        </w:rPr>
        <w:t>37</w:t>
      </w:r>
      <w:r>
        <w:rPr>
          <w:rFonts w:ascii="Book Antiqua" w:hAnsi="Book Antiqua"/>
        </w:rPr>
        <w:t>: 134-143 [PMID: 34477242 DOI: 10.1111/jgh.15676]</w:t>
      </w:r>
    </w:p>
    <w:p w14:paraId="44AF4E0B" w14:textId="77777777" w:rsidR="00E45927" w:rsidRDefault="00000000">
      <w:pPr>
        <w:spacing w:line="360" w:lineRule="auto"/>
        <w:jc w:val="both"/>
        <w:rPr>
          <w:rFonts w:ascii="Book Antiqua" w:hAnsi="Book Antiqua"/>
        </w:rPr>
      </w:pPr>
      <w:r>
        <w:rPr>
          <w:rFonts w:ascii="Book Antiqua" w:hAnsi="Book Antiqua"/>
        </w:rPr>
        <w:t xml:space="preserve">78 </w:t>
      </w:r>
      <w:r>
        <w:rPr>
          <w:rFonts w:ascii="Book Antiqua" w:hAnsi="Book Antiqua"/>
          <w:b/>
          <w:bCs/>
        </w:rPr>
        <w:t>Zhai Z</w:t>
      </w:r>
      <w:r>
        <w:rPr>
          <w:rFonts w:ascii="Book Antiqua" w:hAnsi="Book Antiqua"/>
        </w:rPr>
        <w:t xml:space="preserve">, Niu KM, Liu Y, Lin C, Wu X. The Gut Microbiota-Bile Acids-TGR5 Axis Mediates Eucommia ulmoides Leaf Extract Alleviation of Injury to Colonic Epithelium Integrity. </w:t>
      </w:r>
      <w:r>
        <w:rPr>
          <w:rFonts w:ascii="Book Antiqua" w:hAnsi="Book Antiqua"/>
          <w:i/>
          <w:iCs/>
        </w:rPr>
        <w:t>Front Microbiol</w:t>
      </w:r>
      <w:r>
        <w:rPr>
          <w:rFonts w:ascii="Book Antiqua" w:hAnsi="Book Antiqua"/>
        </w:rPr>
        <w:t xml:space="preserve"> 2021; </w:t>
      </w:r>
      <w:r>
        <w:rPr>
          <w:rFonts w:ascii="Book Antiqua" w:hAnsi="Book Antiqua"/>
          <w:b/>
          <w:bCs/>
        </w:rPr>
        <w:t>12</w:t>
      </w:r>
      <w:r>
        <w:rPr>
          <w:rFonts w:ascii="Book Antiqua" w:hAnsi="Book Antiqua"/>
        </w:rPr>
        <w:t>: 727681 [PMID: 34489916 DOI: 10.3389/fmicb.2021.727681]</w:t>
      </w:r>
    </w:p>
    <w:p w14:paraId="1451C37B" w14:textId="77777777" w:rsidR="00E45927" w:rsidRDefault="00000000">
      <w:pPr>
        <w:spacing w:line="360" w:lineRule="auto"/>
        <w:jc w:val="both"/>
        <w:rPr>
          <w:rFonts w:ascii="Book Antiqua" w:hAnsi="Book Antiqua"/>
        </w:rPr>
      </w:pPr>
      <w:r>
        <w:rPr>
          <w:rFonts w:ascii="Book Antiqua" w:hAnsi="Book Antiqua"/>
        </w:rPr>
        <w:t xml:space="preserve">79 </w:t>
      </w:r>
      <w:r>
        <w:rPr>
          <w:rFonts w:ascii="Book Antiqua" w:hAnsi="Book Antiqua"/>
          <w:b/>
          <w:bCs/>
        </w:rPr>
        <w:t>Kellermann L</w:t>
      </w:r>
      <w:r>
        <w:rPr>
          <w:rFonts w:ascii="Book Antiqua" w:hAnsi="Book Antiqua"/>
        </w:rPr>
        <w:t xml:space="preserve">, Jensen KB, Bergenheim F, Gubatan J, Chou ND, Moss A, Nielsen OH. Mucosal vitamin D signaling in inflammatory bowel disease. </w:t>
      </w:r>
      <w:r>
        <w:rPr>
          <w:rFonts w:ascii="Book Antiqua" w:hAnsi="Book Antiqua"/>
          <w:i/>
          <w:iCs/>
        </w:rPr>
        <w:t>Autoimmun Rev</w:t>
      </w:r>
      <w:r>
        <w:rPr>
          <w:rFonts w:ascii="Book Antiqua" w:hAnsi="Book Antiqua"/>
        </w:rPr>
        <w:t xml:space="preserve"> 2020; </w:t>
      </w:r>
      <w:r>
        <w:rPr>
          <w:rFonts w:ascii="Book Antiqua" w:hAnsi="Book Antiqua"/>
          <w:b/>
          <w:bCs/>
        </w:rPr>
        <w:t>19</w:t>
      </w:r>
      <w:r>
        <w:rPr>
          <w:rFonts w:ascii="Book Antiqua" w:hAnsi="Book Antiqua"/>
        </w:rPr>
        <w:t>: 102672 [PMID: 32942038 DOI: 10.1016/j.autrev.2020.102672]</w:t>
      </w:r>
    </w:p>
    <w:p w14:paraId="1FC5041A" w14:textId="77777777" w:rsidR="00E45927" w:rsidRDefault="00000000">
      <w:pPr>
        <w:spacing w:line="360" w:lineRule="auto"/>
        <w:jc w:val="both"/>
        <w:rPr>
          <w:rFonts w:ascii="Book Antiqua" w:hAnsi="Book Antiqua"/>
        </w:rPr>
      </w:pPr>
      <w:r>
        <w:rPr>
          <w:rFonts w:ascii="Book Antiqua" w:hAnsi="Book Antiqua"/>
        </w:rPr>
        <w:t xml:space="preserve">80 </w:t>
      </w:r>
      <w:r>
        <w:rPr>
          <w:rFonts w:ascii="Book Antiqua" w:hAnsi="Book Antiqua"/>
          <w:b/>
          <w:bCs/>
        </w:rPr>
        <w:t>Makishima M</w:t>
      </w:r>
      <w:r>
        <w:rPr>
          <w:rFonts w:ascii="Book Antiqua" w:hAnsi="Book Antiqua"/>
        </w:rPr>
        <w:t xml:space="preserve">, Lu TT, Xie W, Whitfield GK, Domoto H, Evans RM, Haussler MR, Mangelsdorf DJ. Vitamin D receptor as an intestinal bile acid sensor. </w:t>
      </w:r>
      <w:r>
        <w:rPr>
          <w:rFonts w:ascii="Book Antiqua" w:hAnsi="Book Antiqua"/>
          <w:i/>
          <w:iCs/>
        </w:rPr>
        <w:t>Science</w:t>
      </w:r>
      <w:r>
        <w:rPr>
          <w:rFonts w:ascii="Book Antiqua" w:hAnsi="Book Antiqua"/>
        </w:rPr>
        <w:t xml:space="preserve"> 2002; </w:t>
      </w:r>
      <w:r>
        <w:rPr>
          <w:rFonts w:ascii="Book Antiqua" w:hAnsi="Book Antiqua"/>
          <w:b/>
          <w:bCs/>
        </w:rPr>
        <w:t>296</w:t>
      </w:r>
      <w:r>
        <w:rPr>
          <w:rFonts w:ascii="Book Antiqua" w:hAnsi="Book Antiqua"/>
        </w:rPr>
        <w:t>: 1313-1316 [PMID: 12016314 DOI: 10.1126/science.1070477]</w:t>
      </w:r>
    </w:p>
    <w:p w14:paraId="643B18AF" w14:textId="77777777" w:rsidR="00E45927" w:rsidRDefault="00000000">
      <w:pPr>
        <w:spacing w:line="360" w:lineRule="auto"/>
        <w:jc w:val="both"/>
        <w:rPr>
          <w:rFonts w:ascii="Book Antiqua" w:hAnsi="Book Antiqua"/>
        </w:rPr>
      </w:pPr>
      <w:r>
        <w:rPr>
          <w:rFonts w:ascii="Book Antiqua" w:hAnsi="Book Antiqua"/>
        </w:rPr>
        <w:t xml:space="preserve">81 </w:t>
      </w:r>
      <w:r>
        <w:rPr>
          <w:rFonts w:ascii="Book Antiqua" w:hAnsi="Book Antiqua"/>
          <w:b/>
          <w:bCs/>
        </w:rPr>
        <w:t>Yao B</w:t>
      </w:r>
      <w:r>
        <w:rPr>
          <w:rFonts w:ascii="Book Antiqua" w:hAnsi="Book Antiqua"/>
        </w:rPr>
        <w:t xml:space="preserve">, He J, Yin X, Shi Y, Wan J, Tian Z. The protective effect of lithocholic acid on the intestinal epithelial barrier is mediated by the vitamin D receptor via a SIRT1/Nrf2 and NF-κB dependent mechanism in Caco-2 cells. </w:t>
      </w:r>
      <w:r>
        <w:rPr>
          <w:rFonts w:ascii="Book Antiqua" w:hAnsi="Book Antiqua"/>
          <w:i/>
          <w:iCs/>
        </w:rPr>
        <w:t>Toxicol Lett</w:t>
      </w:r>
      <w:r>
        <w:rPr>
          <w:rFonts w:ascii="Book Antiqua" w:hAnsi="Book Antiqua"/>
        </w:rPr>
        <w:t xml:space="preserve"> 2019; </w:t>
      </w:r>
      <w:r>
        <w:rPr>
          <w:rFonts w:ascii="Book Antiqua" w:hAnsi="Book Antiqua"/>
          <w:b/>
          <w:bCs/>
        </w:rPr>
        <w:t>316</w:t>
      </w:r>
      <w:r>
        <w:rPr>
          <w:rFonts w:ascii="Book Antiqua" w:hAnsi="Book Antiqua"/>
        </w:rPr>
        <w:t>: 109-118 [PMID: 31472180 DOI: 10.1016/j.toxlet.2019.08.024]</w:t>
      </w:r>
    </w:p>
    <w:p w14:paraId="4A2ED71A" w14:textId="77777777" w:rsidR="00E45927" w:rsidRDefault="00000000">
      <w:pPr>
        <w:spacing w:line="360" w:lineRule="auto"/>
        <w:jc w:val="both"/>
        <w:rPr>
          <w:rFonts w:ascii="Book Antiqua" w:hAnsi="Book Antiqua"/>
        </w:rPr>
      </w:pPr>
      <w:r>
        <w:rPr>
          <w:rFonts w:ascii="Book Antiqua" w:hAnsi="Book Antiqua"/>
        </w:rPr>
        <w:t xml:space="preserve">82 </w:t>
      </w:r>
      <w:r>
        <w:rPr>
          <w:rFonts w:ascii="Book Antiqua" w:hAnsi="Book Antiqua"/>
          <w:b/>
          <w:bCs/>
        </w:rPr>
        <w:t>Bäcker V</w:t>
      </w:r>
      <w:r>
        <w:rPr>
          <w:rFonts w:ascii="Book Antiqua" w:hAnsi="Book Antiqua"/>
        </w:rPr>
        <w:t xml:space="preserve">, Cheung FY, Siveke JT, Fandrey J, Winning S. Knockdown of myeloid cell hypoxia-inducible factor-1α ameliorates the acute pathology in DSS-induced colitis. </w:t>
      </w:r>
      <w:r>
        <w:rPr>
          <w:rFonts w:ascii="Book Antiqua" w:hAnsi="Book Antiqua"/>
          <w:i/>
          <w:iCs/>
        </w:rPr>
        <w:t>PLoS One</w:t>
      </w:r>
      <w:r>
        <w:rPr>
          <w:rFonts w:ascii="Book Antiqua" w:hAnsi="Book Antiqua"/>
        </w:rPr>
        <w:t xml:space="preserve"> 2017; </w:t>
      </w:r>
      <w:r>
        <w:rPr>
          <w:rFonts w:ascii="Book Antiqua" w:hAnsi="Book Antiqua"/>
          <w:b/>
          <w:bCs/>
        </w:rPr>
        <w:t>12</w:t>
      </w:r>
      <w:r>
        <w:rPr>
          <w:rFonts w:ascii="Book Antiqua" w:hAnsi="Book Antiqua"/>
        </w:rPr>
        <w:t>: e0190074 [PMID: 29261815 DOI: 10.1371/journal.pone.0190074]</w:t>
      </w:r>
    </w:p>
    <w:p w14:paraId="01FEDF02" w14:textId="77777777" w:rsidR="00E45927" w:rsidRDefault="00000000">
      <w:pPr>
        <w:spacing w:line="360" w:lineRule="auto"/>
        <w:jc w:val="both"/>
        <w:rPr>
          <w:rFonts w:ascii="Book Antiqua" w:hAnsi="Book Antiqua"/>
        </w:rPr>
      </w:pPr>
      <w:r>
        <w:rPr>
          <w:rFonts w:ascii="Book Antiqua" w:hAnsi="Book Antiqua"/>
        </w:rPr>
        <w:t xml:space="preserve">83 </w:t>
      </w:r>
      <w:r>
        <w:rPr>
          <w:rFonts w:ascii="Book Antiqua" w:hAnsi="Book Antiqua"/>
          <w:b/>
          <w:bCs/>
        </w:rPr>
        <w:t>Kim YE</w:t>
      </w:r>
      <w:r>
        <w:rPr>
          <w:rFonts w:ascii="Book Antiqua" w:hAnsi="Book Antiqua"/>
        </w:rPr>
        <w:t xml:space="preserve">, Lee M, Gu H, Kim J, Jeong S, Yeo S, Lee YJ, Im SH, Sung YC, Kim HJ, Weissman IL, Ahn GO. HIF-1α activation in myeloid cells accelerates dextran sodium sulfate-induced colitis progression in mice. </w:t>
      </w:r>
      <w:r>
        <w:rPr>
          <w:rFonts w:ascii="Book Antiqua" w:hAnsi="Book Antiqua"/>
          <w:i/>
          <w:iCs/>
        </w:rPr>
        <w:t>Dis Model Mech</w:t>
      </w:r>
      <w:r>
        <w:rPr>
          <w:rFonts w:ascii="Book Antiqua" w:hAnsi="Book Antiqua"/>
        </w:rPr>
        <w:t xml:space="preserve"> 2018; </w:t>
      </w:r>
      <w:r>
        <w:rPr>
          <w:rFonts w:ascii="Book Antiqua" w:hAnsi="Book Antiqua"/>
          <w:b/>
          <w:bCs/>
        </w:rPr>
        <w:t>11</w:t>
      </w:r>
      <w:r>
        <w:rPr>
          <w:rFonts w:ascii="Book Antiqua" w:hAnsi="Book Antiqua"/>
        </w:rPr>
        <w:t xml:space="preserve"> [PMID: 29967068 DOI: 10.1242/dmm.033241]</w:t>
      </w:r>
    </w:p>
    <w:p w14:paraId="29BE0C0C" w14:textId="77777777" w:rsidR="00E45927" w:rsidRDefault="00000000">
      <w:pPr>
        <w:spacing w:line="360" w:lineRule="auto"/>
        <w:jc w:val="both"/>
        <w:rPr>
          <w:rFonts w:ascii="Book Antiqua" w:hAnsi="Book Antiqua"/>
        </w:rPr>
      </w:pPr>
      <w:r>
        <w:rPr>
          <w:rFonts w:ascii="Book Antiqua" w:hAnsi="Book Antiqua"/>
        </w:rPr>
        <w:t xml:space="preserve">84 </w:t>
      </w:r>
      <w:r>
        <w:rPr>
          <w:rFonts w:ascii="Book Antiqua" w:hAnsi="Book Antiqua"/>
          <w:b/>
          <w:bCs/>
        </w:rPr>
        <w:t>Xue G</w:t>
      </w:r>
      <w:r>
        <w:rPr>
          <w:rFonts w:ascii="Book Antiqua" w:hAnsi="Book Antiqua"/>
        </w:rPr>
        <w:t xml:space="preserve">, Gao R, Liu Z, Xu N, Cao Y, Zhao B, Du J. Vitamin D/VDR signaling inhibits colitis by suppressing HIF-1α activation in colonic epithelial cells. </w:t>
      </w:r>
      <w:r>
        <w:rPr>
          <w:rFonts w:ascii="Book Antiqua" w:hAnsi="Book Antiqua"/>
          <w:i/>
          <w:iCs/>
        </w:rPr>
        <w:t xml:space="preserve">Am J Physiol </w:t>
      </w:r>
      <w:r>
        <w:rPr>
          <w:rFonts w:ascii="Book Antiqua" w:hAnsi="Book Antiqua"/>
          <w:i/>
          <w:iCs/>
        </w:rPr>
        <w:lastRenderedPageBreak/>
        <w:t>Gastrointest Liver Physiol</w:t>
      </w:r>
      <w:r>
        <w:rPr>
          <w:rFonts w:ascii="Book Antiqua" w:hAnsi="Book Antiqua"/>
        </w:rPr>
        <w:t xml:space="preserve"> 2021; </w:t>
      </w:r>
      <w:r>
        <w:rPr>
          <w:rFonts w:ascii="Book Antiqua" w:hAnsi="Book Antiqua"/>
          <w:b/>
          <w:bCs/>
        </w:rPr>
        <w:t>320</w:t>
      </w:r>
      <w:r>
        <w:rPr>
          <w:rFonts w:ascii="Book Antiqua" w:hAnsi="Book Antiqua"/>
        </w:rPr>
        <w:t>: G837-G846 [PMID: 33759562 DOI: 10.1152/ajpgi.00061.2021]</w:t>
      </w:r>
    </w:p>
    <w:p w14:paraId="7AE0E44D" w14:textId="77777777" w:rsidR="00E45927" w:rsidRDefault="00000000">
      <w:pPr>
        <w:spacing w:line="360" w:lineRule="auto"/>
        <w:jc w:val="both"/>
        <w:rPr>
          <w:rFonts w:ascii="Book Antiqua" w:hAnsi="Book Antiqua"/>
        </w:rPr>
      </w:pPr>
      <w:r>
        <w:rPr>
          <w:rFonts w:ascii="Book Antiqua" w:hAnsi="Book Antiqua"/>
        </w:rPr>
        <w:t xml:space="preserve">85 </w:t>
      </w:r>
      <w:r>
        <w:rPr>
          <w:rFonts w:ascii="Book Antiqua" w:hAnsi="Book Antiqua"/>
          <w:b/>
          <w:bCs/>
        </w:rPr>
        <w:t>Wang X</w:t>
      </w:r>
      <w:r>
        <w:rPr>
          <w:rFonts w:ascii="Book Antiqua" w:hAnsi="Book Antiqua"/>
        </w:rPr>
        <w:t xml:space="preserve">, Ge X, Liao W, Cao Y, Li R, Zhang F, Zhao B, Du J. ZFP36 promotes VDR mRNA degradation to facilitate cell death in oral and colonic epithelial cells. </w:t>
      </w:r>
      <w:r>
        <w:rPr>
          <w:rFonts w:ascii="Book Antiqua" w:hAnsi="Book Antiqua"/>
          <w:i/>
          <w:iCs/>
        </w:rPr>
        <w:t>Cell Commun Signal</w:t>
      </w:r>
      <w:r>
        <w:rPr>
          <w:rFonts w:ascii="Book Antiqua" w:hAnsi="Book Antiqua"/>
        </w:rPr>
        <w:t xml:space="preserve"> 2021; </w:t>
      </w:r>
      <w:r>
        <w:rPr>
          <w:rFonts w:ascii="Book Antiqua" w:hAnsi="Book Antiqua"/>
          <w:b/>
          <w:bCs/>
        </w:rPr>
        <w:t>19</w:t>
      </w:r>
      <w:r>
        <w:rPr>
          <w:rFonts w:ascii="Book Antiqua" w:hAnsi="Book Antiqua"/>
        </w:rPr>
        <w:t>: 85 [PMID: 34380509 DOI: 10.1186/s12964-021-00765-4]</w:t>
      </w:r>
    </w:p>
    <w:p w14:paraId="20A35ACE" w14:textId="77777777" w:rsidR="00E45927" w:rsidRDefault="00000000">
      <w:pPr>
        <w:spacing w:line="360" w:lineRule="auto"/>
        <w:jc w:val="both"/>
        <w:rPr>
          <w:rFonts w:ascii="Book Antiqua" w:hAnsi="Book Antiqua"/>
        </w:rPr>
      </w:pPr>
      <w:r>
        <w:rPr>
          <w:rFonts w:ascii="Book Antiqua" w:hAnsi="Book Antiqua"/>
        </w:rPr>
        <w:t xml:space="preserve">86 </w:t>
      </w:r>
      <w:r>
        <w:rPr>
          <w:rFonts w:ascii="Book Antiqua" w:hAnsi="Book Antiqua"/>
          <w:b/>
          <w:bCs/>
        </w:rPr>
        <w:t>Fernández-Barral A</w:t>
      </w:r>
      <w:r>
        <w:rPr>
          <w:rFonts w:ascii="Book Antiqua" w:hAnsi="Book Antiqua"/>
        </w:rPr>
        <w:t xml:space="preserve">, Costales-Carrera A, Buira SP, Jung P, Ferrer-Mayorga G, Larriba MJ, Bustamante-Madrid P, Domínguez O, Real FX, Guerra-Pastrián L, Lafarga M, García-Olmo D, Cantero R, Del Peso L, Batlle E, Rojo F, Muñoz A, Barbáchano A. Vitamin D differentially regulates colon stem cells in patient-derived normal and tumor organoids. </w:t>
      </w:r>
      <w:r>
        <w:rPr>
          <w:rFonts w:ascii="Book Antiqua" w:hAnsi="Book Antiqua"/>
          <w:i/>
          <w:iCs/>
        </w:rPr>
        <w:t>FEBS J</w:t>
      </w:r>
      <w:r>
        <w:rPr>
          <w:rFonts w:ascii="Book Antiqua" w:hAnsi="Book Antiqua"/>
        </w:rPr>
        <w:t xml:space="preserve"> 2020; </w:t>
      </w:r>
      <w:r>
        <w:rPr>
          <w:rFonts w:ascii="Book Antiqua" w:hAnsi="Book Antiqua"/>
          <w:b/>
          <w:bCs/>
        </w:rPr>
        <w:t>287</w:t>
      </w:r>
      <w:r>
        <w:rPr>
          <w:rFonts w:ascii="Book Antiqua" w:hAnsi="Book Antiqua"/>
        </w:rPr>
        <w:t>: 53-72 [PMID: 31306552 DOI: 10.1111/febs.14998]</w:t>
      </w:r>
    </w:p>
    <w:p w14:paraId="35DF5BFD" w14:textId="77777777" w:rsidR="00E45927" w:rsidRDefault="00000000">
      <w:pPr>
        <w:spacing w:line="360" w:lineRule="auto"/>
        <w:jc w:val="both"/>
        <w:rPr>
          <w:rFonts w:ascii="Book Antiqua" w:hAnsi="Book Antiqua"/>
        </w:rPr>
      </w:pPr>
      <w:r>
        <w:rPr>
          <w:rFonts w:ascii="Book Antiqua" w:hAnsi="Book Antiqua"/>
        </w:rPr>
        <w:t xml:space="preserve">87 </w:t>
      </w:r>
      <w:r>
        <w:rPr>
          <w:rFonts w:ascii="Book Antiqua" w:hAnsi="Book Antiqua"/>
          <w:b/>
          <w:bCs/>
        </w:rPr>
        <w:t>Yang E</w:t>
      </w:r>
      <w:r>
        <w:rPr>
          <w:rFonts w:ascii="Book Antiqua" w:hAnsi="Book Antiqua"/>
        </w:rPr>
        <w:t xml:space="preserve">, Shen J. The roles and functions of Paneth cells in Crohn's disease: A critical review. </w:t>
      </w:r>
      <w:r>
        <w:rPr>
          <w:rFonts w:ascii="Book Antiqua" w:hAnsi="Book Antiqua"/>
          <w:i/>
          <w:iCs/>
        </w:rPr>
        <w:t>Cell Prolif</w:t>
      </w:r>
      <w:r>
        <w:rPr>
          <w:rFonts w:ascii="Book Antiqua" w:hAnsi="Book Antiqua"/>
        </w:rPr>
        <w:t xml:space="preserve"> 2021; </w:t>
      </w:r>
      <w:r>
        <w:rPr>
          <w:rFonts w:ascii="Book Antiqua" w:hAnsi="Book Antiqua"/>
          <w:b/>
          <w:bCs/>
        </w:rPr>
        <w:t>54</w:t>
      </w:r>
      <w:r>
        <w:rPr>
          <w:rFonts w:ascii="Book Antiqua" w:hAnsi="Book Antiqua"/>
        </w:rPr>
        <w:t>: e12958 [PMID: 33174662 DOI: 10.1111/cpr.12958]</w:t>
      </w:r>
    </w:p>
    <w:p w14:paraId="54D8D9DE" w14:textId="77777777" w:rsidR="00E45927" w:rsidRDefault="00000000">
      <w:pPr>
        <w:spacing w:line="360" w:lineRule="auto"/>
        <w:jc w:val="both"/>
        <w:rPr>
          <w:rFonts w:ascii="Book Antiqua" w:hAnsi="Book Antiqua"/>
        </w:rPr>
      </w:pPr>
      <w:r>
        <w:rPr>
          <w:rFonts w:ascii="Book Antiqua" w:hAnsi="Book Antiqua"/>
        </w:rPr>
        <w:t xml:space="preserve">88 </w:t>
      </w:r>
      <w:r>
        <w:rPr>
          <w:rFonts w:ascii="Book Antiqua" w:hAnsi="Book Antiqua"/>
          <w:b/>
          <w:bCs/>
        </w:rPr>
        <w:t>Lu R</w:t>
      </w:r>
      <w:r>
        <w:rPr>
          <w:rFonts w:ascii="Book Antiqua" w:hAnsi="Book Antiqua"/>
        </w:rPr>
        <w:t xml:space="preserve">, Zhang YG, Xia Y, Zhang J, Kaser A, Blumberg R, Sun J. Paneth Cell Alertness to Pathogens Maintained by Vitamin D Receptors. </w:t>
      </w:r>
      <w:r>
        <w:rPr>
          <w:rFonts w:ascii="Book Antiqua" w:hAnsi="Book Antiqua"/>
          <w:i/>
          <w:iCs/>
        </w:rPr>
        <w:t>Gastroenterology</w:t>
      </w:r>
      <w:r>
        <w:rPr>
          <w:rFonts w:ascii="Book Antiqua" w:hAnsi="Book Antiqua"/>
        </w:rPr>
        <w:t xml:space="preserve"> 2021; </w:t>
      </w:r>
      <w:r>
        <w:rPr>
          <w:rFonts w:ascii="Book Antiqua" w:hAnsi="Book Antiqua"/>
          <w:b/>
          <w:bCs/>
        </w:rPr>
        <w:t>160</w:t>
      </w:r>
      <w:r>
        <w:rPr>
          <w:rFonts w:ascii="Book Antiqua" w:hAnsi="Book Antiqua"/>
        </w:rPr>
        <w:t>: 1269-1283 [PMID: 33217447 DOI: 10.1053/j.gastro.2020.11.015]</w:t>
      </w:r>
    </w:p>
    <w:p w14:paraId="1E2AF523" w14:textId="77777777" w:rsidR="00E45927" w:rsidRDefault="00000000">
      <w:pPr>
        <w:spacing w:line="360" w:lineRule="auto"/>
        <w:jc w:val="both"/>
        <w:rPr>
          <w:rFonts w:ascii="Book Antiqua" w:hAnsi="Book Antiqua"/>
        </w:rPr>
      </w:pPr>
      <w:r>
        <w:rPr>
          <w:rFonts w:ascii="Book Antiqua" w:hAnsi="Book Antiqua"/>
        </w:rPr>
        <w:t xml:space="preserve">89 </w:t>
      </w:r>
      <w:r>
        <w:rPr>
          <w:rFonts w:ascii="Book Antiqua" w:hAnsi="Book Antiqua"/>
          <w:b/>
          <w:bCs/>
        </w:rPr>
        <w:t>Luettig J</w:t>
      </w:r>
      <w:r>
        <w:rPr>
          <w:rFonts w:ascii="Book Antiqua" w:hAnsi="Book Antiqua"/>
        </w:rPr>
        <w:t xml:space="preserve">, Rosenthal R, Barmeyer C, Schulzke JD. Claudin-2 as a mediator of leaky gut barrier during intestinal inflammation. </w:t>
      </w:r>
      <w:r>
        <w:rPr>
          <w:rFonts w:ascii="Book Antiqua" w:hAnsi="Book Antiqua"/>
          <w:i/>
          <w:iCs/>
        </w:rPr>
        <w:t>Tissue Barriers</w:t>
      </w:r>
      <w:r>
        <w:rPr>
          <w:rFonts w:ascii="Book Antiqua" w:hAnsi="Book Antiqua"/>
        </w:rPr>
        <w:t xml:space="preserve"> 2015; </w:t>
      </w:r>
      <w:r>
        <w:rPr>
          <w:rFonts w:ascii="Book Antiqua" w:hAnsi="Book Antiqua"/>
          <w:b/>
          <w:bCs/>
        </w:rPr>
        <w:t>3</w:t>
      </w:r>
      <w:r>
        <w:rPr>
          <w:rFonts w:ascii="Book Antiqua" w:hAnsi="Book Antiqua"/>
        </w:rPr>
        <w:t>: e977176 [PMID: 25838982 DOI: 10.4161/21688370.2014.977176]</w:t>
      </w:r>
    </w:p>
    <w:p w14:paraId="710B113C" w14:textId="77777777" w:rsidR="00E45927" w:rsidRDefault="00000000">
      <w:pPr>
        <w:spacing w:line="360" w:lineRule="auto"/>
        <w:jc w:val="both"/>
        <w:rPr>
          <w:rFonts w:ascii="Book Antiqua" w:hAnsi="Book Antiqua"/>
        </w:rPr>
      </w:pPr>
      <w:r>
        <w:rPr>
          <w:rFonts w:ascii="Book Antiqua" w:hAnsi="Book Antiqua"/>
        </w:rPr>
        <w:t xml:space="preserve">90 </w:t>
      </w:r>
      <w:r>
        <w:rPr>
          <w:rFonts w:ascii="Book Antiqua" w:hAnsi="Book Antiqua"/>
          <w:b/>
          <w:bCs/>
        </w:rPr>
        <w:t>Zhang YG</w:t>
      </w:r>
      <w:r>
        <w:rPr>
          <w:rFonts w:ascii="Book Antiqua" w:hAnsi="Book Antiqua"/>
        </w:rPr>
        <w:t xml:space="preserve">, Lu R, Xia Y, Zhou D, Petrof E, Claud EC, Sun J. Lack of Vitamin D Receptor Leads to Hyperfunction of Claudin-2 in Intestinal Inflammatory Responses. </w:t>
      </w:r>
      <w:r>
        <w:rPr>
          <w:rFonts w:ascii="Book Antiqua" w:hAnsi="Book Antiqua"/>
          <w:i/>
          <w:iCs/>
        </w:rPr>
        <w:t>Inflamm Bowel Dis</w:t>
      </w:r>
      <w:r>
        <w:rPr>
          <w:rFonts w:ascii="Book Antiqua" w:hAnsi="Book Antiqua"/>
        </w:rPr>
        <w:t xml:space="preserve"> 2019; </w:t>
      </w:r>
      <w:r>
        <w:rPr>
          <w:rFonts w:ascii="Book Antiqua" w:hAnsi="Book Antiqua"/>
          <w:b/>
          <w:bCs/>
        </w:rPr>
        <w:t>25</w:t>
      </w:r>
      <w:r>
        <w:rPr>
          <w:rFonts w:ascii="Book Antiqua" w:hAnsi="Book Antiqua"/>
        </w:rPr>
        <w:t>: 97-110 [PMID: 30289450 DOI: 10.1093/ibd/izy292]</w:t>
      </w:r>
    </w:p>
    <w:p w14:paraId="50A11C9D" w14:textId="77777777" w:rsidR="00E45927" w:rsidRDefault="00000000">
      <w:pPr>
        <w:spacing w:line="360" w:lineRule="auto"/>
        <w:jc w:val="both"/>
        <w:rPr>
          <w:rFonts w:ascii="Book Antiqua" w:hAnsi="Book Antiqua"/>
        </w:rPr>
      </w:pPr>
      <w:r>
        <w:rPr>
          <w:rFonts w:ascii="Book Antiqua" w:hAnsi="Book Antiqua"/>
        </w:rPr>
        <w:t xml:space="preserve">91 </w:t>
      </w:r>
      <w:r>
        <w:rPr>
          <w:rFonts w:ascii="Book Antiqua" w:hAnsi="Book Antiqua"/>
          <w:b/>
          <w:bCs/>
        </w:rPr>
        <w:t>Yu M</w:t>
      </w:r>
      <w:r>
        <w:rPr>
          <w:rFonts w:ascii="Book Antiqua" w:hAnsi="Book Antiqua"/>
        </w:rPr>
        <w:t xml:space="preserve">, Wu H, Wang J, Chen X, Pan J, Liu P, Zhang J, Chen Y, Zhu W, Tang C, Jin Q, Li C, Lu C, Zeng H, Yu C, Sun J. Vitamin D receptor inhibits EMT via regulation of the epithelial mitochondrial function in intestinal fibrosis. </w:t>
      </w:r>
      <w:r>
        <w:rPr>
          <w:rFonts w:ascii="Book Antiqua" w:hAnsi="Book Antiqua"/>
          <w:i/>
          <w:iCs/>
        </w:rPr>
        <w:t>J Biol Chem</w:t>
      </w:r>
      <w:r>
        <w:rPr>
          <w:rFonts w:ascii="Book Antiqua" w:hAnsi="Book Antiqua"/>
        </w:rPr>
        <w:t xml:space="preserve"> 2021; </w:t>
      </w:r>
      <w:r>
        <w:rPr>
          <w:rFonts w:ascii="Book Antiqua" w:hAnsi="Book Antiqua"/>
          <w:b/>
          <w:bCs/>
        </w:rPr>
        <w:t>296</w:t>
      </w:r>
      <w:r>
        <w:rPr>
          <w:rFonts w:ascii="Book Antiqua" w:hAnsi="Book Antiqua"/>
        </w:rPr>
        <w:t>: 100531 [PMID: 33713706 DOI: 10.1016/j.jbc.2021.100531]</w:t>
      </w:r>
    </w:p>
    <w:p w14:paraId="4FD38994" w14:textId="77777777" w:rsidR="00E45927" w:rsidRDefault="00000000">
      <w:pPr>
        <w:spacing w:line="360" w:lineRule="auto"/>
        <w:jc w:val="both"/>
        <w:rPr>
          <w:rFonts w:ascii="Book Antiqua" w:hAnsi="Book Antiqua"/>
        </w:rPr>
      </w:pPr>
      <w:r>
        <w:rPr>
          <w:rFonts w:ascii="Book Antiqua" w:hAnsi="Book Antiqua"/>
        </w:rPr>
        <w:t xml:space="preserve">92 </w:t>
      </w:r>
      <w:r>
        <w:rPr>
          <w:rFonts w:ascii="Book Antiqua" w:hAnsi="Book Antiqua"/>
          <w:b/>
          <w:bCs/>
        </w:rPr>
        <w:t>Garg M</w:t>
      </w:r>
      <w:r>
        <w:rPr>
          <w:rFonts w:ascii="Book Antiqua" w:hAnsi="Book Antiqua"/>
        </w:rPr>
        <w:t xml:space="preserve">, Royce SG, Tikellis C, Shallue C, Sluka P, Wardan H, Hosking P, Monagle S, Thomas M, Lubel JS, Gibson PR. The intestinal vitamin D receptor in inflammatory bowel disease: inverse correlation with inflammation but no relationship with circulating </w:t>
      </w:r>
      <w:r>
        <w:rPr>
          <w:rFonts w:ascii="Book Antiqua" w:hAnsi="Book Antiqua"/>
        </w:rPr>
        <w:lastRenderedPageBreak/>
        <w:t xml:space="preserve">vitamin D status. </w:t>
      </w:r>
      <w:r>
        <w:rPr>
          <w:rFonts w:ascii="Book Antiqua" w:hAnsi="Book Antiqua"/>
          <w:i/>
          <w:iCs/>
        </w:rPr>
        <w:t>Therap Adv Gastroenterol</w:t>
      </w:r>
      <w:r>
        <w:rPr>
          <w:rFonts w:ascii="Book Antiqua" w:hAnsi="Book Antiqua"/>
        </w:rPr>
        <w:t xml:space="preserve"> 2019; </w:t>
      </w:r>
      <w:r>
        <w:rPr>
          <w:rFonts w:ascii="Book Antiqua" w:hAnsi="Book Antiqua"/>
          <w:b/>
          <w:bCs/>
        </w:rPr>
        <w:t>12</w:t>
      </w:r>
      <w:r>
        <w:rPr>
          <w:rFonts w:ascii="Book Antiqua" w:hAnsi="Book Antiqua"/>
        </w:rPr>
        <w:t>: 1756284818822566 [PMID: 30719077 DOI: 10.1177/1756284818822566]</w:t>
      </w:r>
    </w:p>
    <w:p w14:paraId="0151C4BE" w14:textId="77777777" w:rsidR="00E45927" w:rsidRDefault="00000000">
      <w:pPr>
        <w:spacing w:line="360" w:lineRule="auto"/>
        <w:jc w:val="both"/>
        <w:rPr>
          <w:rFonts w:ascii="Book Antiqua" w:hAnsi="Book Antiqua"/>
        </w:rPr>
      </w:pPr>
      <w:r>
        <w:rPr>
          <w:rFonts w:ascii="Book Antiqua" w:hAnsi="Book Antiqua"/>
        </w:rPr>
        <w:t xml:space="preserve">93 </w:t>
      </w:r>
      <w:r>
        <w:rPr>
          <w:rFonts w:ascii="Book Antiqua" w:hAnsi="Book Antiqua"/>
          <w:b/>
          <w:bCs/>
        </w:rPr>
        <w:t>Huang J</w:t>
      </w:r>
      <w:r>
        <w:rPr>
          <w:rFonts w:ascii="Book Antiqua" w:hAnsi="Book Antiqua"/>
        </w:rPr>
        <w:t xml:space="preserve">, Chen T, Liu Y, Lyu L, Li X, Yue W. How would serum 25(OH)D level change in patients with inflammatory bowel disease depending on intestinal mucosa vitamin D receptor (VDR) and vitamin D1-α hydroxylase (CYP27B1)? </w:t>
      </w:r>
      <w:r>
        <w:rPr>
          <w:rFonts w:ascii="Book Antiqua" w:hAnsi="Book Antiqua"/>
          <w:i/>
          <w:iCs/>
        </w:rPr>
        <w:t>Turk J Gastroenterol</w:t>
      </w:r>
      <w:r>
        <w:rPr>
          <w:rFonts w:ascii="Book Antiqua" w:hAnsi="Book Antiqua"/>
        </w:rPr>
        <w:t xml:space="preserve"> 2019; </w:t>
      </w:r>
      <w:r>
        <w:rPr>
          <w:rFonts w:ascii="Book Antiqua" w:hAnsi="Book Antiqua"/>
          <w:b/>
          <w:bCs/>
        </w:rPr>
        <w:t>30</w:t>
      </w:r>
      <w:r>
        <w:rPr>
          <w:rFonts w:ascii="Book Antiqua" w:hAnsi="Book Antiqua"/>
        </w:rPr>
        <w:t>: 132-138 [PMID: 30429108 DOI: 10.5152/tjg.2018.17828]</w:t>
      </w:r>
    </w:p>
    <w:p w14:paraId="38F5558F" w14:textId="77777777" w:rsidR="00E45927" w:rsidRDefault="00000000">
      <w:pPr>
        <w:spacing w:line="360" w:lineRule="auto"/>
        <w:jc w:val="both"/>
        <w:rPr>
          <w:rFonts w:ascii="Book Antiqua" w:hAnsi="Book Antiqua"/>
        </w:rPr>
      </w:pPr>
      <w:r>
        <w:rPr>
          <w:rFonts w:ascii="Book Antiqua" w:hAnsi="Book Antiqua"/>
        </w:rPr>
        <w:t xml:space="preserve">94 </w:t>
      </w:r>
      <w:r>
        <w:rPr>
          <w:rFonts w:ascii="Book Antiqua" w:hAnsi="Book Antiqua"/>
          <w:b/>
          <w:bCs/>
        </w:rPr>
        <w:t>Yang ZH</w:t>
      </w:r>
      <w:r>
        <w:rPr>
          <w:rFonts w:ascii="Book Antiqua" w:hAnsi="Book Antiqua"/>
        </w:rPr>
        <w:t xml:space="preserve">, Liu F, Zhu XR, Suo FY, Jia ZJ, Yao SK. Altered profiles of fecal bile acids correlate with gut microbiota and inflammatory responses in patients with ulcerative colitis. </w:t>
      </w:r>
      <w:r>
        <w:rPr>
          <w:rFonts w:ascii="Book Antiqua" w:hAnsi="Book Antiqua"/>
          <w:i/>
          <w:iCs/>
        </w:rPr>
        <w:t>World J Gastroenterol</w:t>
      </w:r>
      <w:r>
        <w:rPr>
          <w:rFonts w:ascii="Book Antiqua" w:hAnsi="Book Antiqua"/>
        </w:rPr>
        <w:t xml:space="preserve"> 2021; </w:t>
      </w:r>
      <w:r>
        <w:rPr>
          <w:rFonts w:ascii="Book Antiqua" w:hAnsi="Book Antiqua"/>
          <w:b/>
          <w:bCs/>
        </w:rPr>
        <w:t>27</w:t>
      </w:r>
      <w:r>
        <w:rPr>
          <w:rFonts w:ascii="Book Antiqua" w:hAnsi="Book Antiqua"/>
        </w:rPr>
        <w:t>: 3609-3629 [PMID: 34239273 DOI: 10.3748/wjg.v27.i24.3609]</w:t>
      </w:r>
    </w:p>
    <w:p w14:paraId="36E0330E" w14:textId="77777777" w:rsidR="00E45927" w:rsidRDefault="00000000">
      <w:pPr>
        <w:spacing w:line="360" w:lineRule="auto"/>
        <w:jc w:val="both"/>
        <w:rPr>
          <w:rFonts w:ascii="Book Antiqua" w:hAnsi="Book Antiqua"/>
        </w:rPr>
      </w:pPr>
      <w:r>
        <w:rPr>
          <w:rFonts w:ascii="Book Antiqua" w:hAnsi="Book Antiqua"/>
        </w:rPr>
        <w:t xml:space="preserve">95 </w:t>
      </w:r>
      <w:r>
        <w:rPr>
          <w:rFonts w:ascii="Book Antiqua" w:hAnsi="Book Antiqua"/>
          <w:b/>
          <w:bCs/>
        </w:rPr>
        <w:t>Kliewer SA</w:t>
      </w:r>
      <w:r>
        <w:rPr>
          <w:rFonts w:ascii="Book Antiqua" w:hAnsi="Book Antiqua"/>
        </w:rPr>
        <w:t xml:space="preserve">, Moore JT, Wade L, Staudinger JL, Watson MA, Jones SA, McKee DD, Oliver BB, Willson TM, Zetterström RH, Perlmann T, Lehmann JM. An orphan nuclear receptor activated by pregnanes defines a novel steroid signaling pathway. </w:t>
      </w:r>
      <w:r>
        <w:rPr>
          <w:rFonts w:ascii="Book Antiqua" w:hAnsi="Book Antiqua"/>
          <w:i/>
          <w:iCs/>
        </w:rPr>
        <w:t>Cell</w:t>
      </w:r>
      <w:r>
        <w:rPr>
          <w:rFonts w:ascii="Book Antiqua" w:hAnsi="Book Antiqua"/>
        </w:rPr>
        <w:t xml:space="preserve"> 1998; </w:t>
      </w:r>
      <w:r>
        <w:rPr>
          <w:rFonts w:ascii="Book Antiqua" w:hAnsi="Book Antiqua"/>
          <w:b/>
          <w:bCs/>
        </w:rPr>
        <w:t>92</w:t>
      </w:r>
      <w:r>
        <w:rPr>
          <w:rFonts w:ascii="Book Antiqua" w:hAnsi="Book Antiqua"/>
        </w:rPr>
        <w:t>: 73-82 [PMID: 9489701 DOI: 10.1016/s0092-8674(00)80900-9]</w:t>
      </w:r>
    </w:p>
    <w:p w14:paraId="521378CD" w14:textId="77777777" w:rsidR="00E45927" w:rsidRDefault="00000000">
      <w:pPr>
        <w:spacing w:line="360" w:lineRule="auto"/>
        <w:jc w:val="both"/>
        <w:rPr>
          <w:rFonts w:ascii="Book Antiqua" w:hAnsi="Book Antiqua"/>
        </w:rPr>
      </w:pPr>
      <w:r>
        <w:rPr>
          <w:rFonts w:ascii="Book Antiqua" w:hAnsi="Book Antiqua"/>
        </w:rPr>
        <w:t xml:space="preserve">96 </w:t>
      </w:r>
      <w:r>
        <w:rPr>
          <w:rFonts w:ascii="Book Antiqua" w:hAnsi="Book Antiqua"/>
          <w:b/>
          <w:bCs/>
        </w:rPr>
        <w:t>Lehmann JM</w:t>
      </w:r>
      <w:r>
        <w:rPr>
          <w:rFonts w:ascii="Book Antiqua" w:hAnsi="Book Antiqua"/>
        </w:rPr>
        <w:t xml:space="preserve">, McKee DD, Watson MA, Willson TM, Moore JT, Kliewer SA. The human orphan nuclear receptor PXR is activated by compounds that regulate CYP3A4 gene expression and cause drug interactions. </w:t>
      </w:r>
      <w:r>
        <w:rPr>
          <w:rFonts w:ascii="Book Antiqua" w:hAnsi="Book Antiqua"/>
          <w:i/>
          <w:iCs/>
        </w:rPr>
        <w:t>J Clin Invest</w:t>
      </w:r>
      <w:r>
        <w:rPr>
          <w:rFonts w:ascii="Book Antiqua" w:hAnsi="Book Antiqua"/>
        </w:rPr>
        <w:t xml:space="preserve"> 1998; </w:t>
      </w:r>
      <w:r>
        <w:rPr>
          <w:rFonts w:ascii="Book Antiqua" w:hAnsi="Book Antiqua"/>
          <w:b/>
          <w:bCs/>
        </w:rPr>
        <w:t>102</w:t>
      </w:r>
      <w:r>
        <w:rPr>
          <w:rFonts w:ascii="Book Antiqua" w:hAnsi="Book Antiqua"/>
        </w:rPr>
        <w:t>: 1016-1023 [PMID: 9727070 DOI: 10.1172/jci3703]</w:t>
      </w:r>
    </w:p>
    <w:p w14:paraId="500E2CB5" w14:textId="77777777" w:rsidR="00E45927" w:rsidRDefault="00000000">
      <w:pPr>
        <w:spacing w:line="360" w:lineRule="auto"/>
        <w:jc w:val="both"/>
        <w:rPr>
          <w:rFonts w:ascii="Book Antiqua" w:hAnsi="Book Antiqua"/>
        </w:rPr>
      </w:pPr>
      <w:r>
        <w:rPr>
          <w:rFonts w:ascii="Book Antiqua" w:hAnsi="Book Antiqua"/>
        </w:rPr>
        <w:t xml:space="preserve">97 </w:t>
      </w:r>
      <w:r>
        <w:rPr>
          <w:rFonts w:ascii="Book Antiqua" w:hAnsi="Book Antiqua"/>
          <w:b/>
          <w:bCs/>
        </w:rPr>
        <w:t>Baes M</w:t>
      </w:r>
      <w:r>
        <w:rPr>
          <w:rFonts w:ascii="Book Antiqua" w:hAnsi="Book Antiqua"/>
        </w:rPr>
        <w:t xml:space="preserve">, Gulick T, Choi HS, Martinoli MG, Simha D, Moore DD. A new orphan member of the nuclear hormone receptor superfamily that interacts with a subset of retinoic acid response elements. </w:t>
      </w:r>
      <w:r>
        <w:rPr>
          <w:rFonts w:ascii="Book Antiqua" w:hAnsi="Book Antiqua"/>
          <w:i/>
          <w:iCs/>
        </w:rPr>
        <w:t>Mol Cell Biol</w:t>
      </w:r>
      <w:r>
        <w:rPr>
          <w:rFonts w:ascii="Book Antiqua" w:hAnsi="Book Antiqua"/>
        </w:rPr>
        <w:t xml:space="preserve"> 1994; </w:t>
      </w:r>
      <w:r>
        <w:rPr>
          <w:rFonts w:ascii="Book Antiqua" w:hAnsi="Book Antiqua"/>
          <w:b/>
          <w:bCs/>
        </w:rPr>
        <w:t>14</w:t>
      </w:r>
      <w:r>
        <w:rPr>
          <w:rFonts w:ascii="Book Antiqua" w:hAnsi="Book Antiqua"/>
        </w:rPr>
        <w:t>: 1544-1552 [PMID: 8114692 DOI: 10.1128/mcb.14.3.1544-1552.1994]</w:t>
      </w:r>
    </w:p>
    <w:p w14:paraId="4AD60C98" w14:textId="77777777" w:rsidR="00E45927" w:rsidRDefault="00000000">
      <w:pPr>
        <w:spacing w:line="360" w:lineRule="auto"/>
        <w:jc w:val="both"/>
        <w:rPr>
          <w:rFonts w:ascii="Book Antiqua" w:hAnsi="Book Antiqua"/>
        </w:rPr>
      </w:pPr>
      <w:r>
        <w:rPr>
          <w:rFonts w:ascii="Book Antiqua" w:hAnsi="Book Antiqua"/>
        </w:rPr>
        <w:t xml:space="preserve">98 </w:t>
      </w:r>
      <w:r>
        <w:rPr>
          <w:rFonts w:ascii="Book Antiqua" w:hAnsi="Book Antiqua"/>
          <w:b/>
          <w:bCs/>
        </w:rPr>
        <w:t>Poudel S</w:t>
      </w:r>
      <w:r>
        <w:rPr>
          <w:rFonts w:ascii="Book Antiqua" w:hAnsi="Book Antiqua"/>
        </w:rPr>
        <w:t xml:space="preserve">, Huber AD, Chen T. Regulation of Nuclear Receptors PXR and CAR by Small Molecules and Signal Crosstalk: Roles in Drug Metabolism and Beyond. </w:t>
      </w:r>
      <w:r>
        <w:rPr>
          <w:rFonts w:ascii="Book Antiqua" w:hAnsi="Book Antiqua"/>
          <w:i/>
          <w:iCs/>
        </w:rPr>
        <w:t>Drug Metab Dispos</w:t>
      </w:r>
      <w:r>
        <w:rPr>
          <w:rFonts w:ascii="Book Antiqua" w:hAnsi="Book Antiqua"/>
        </w:rPr>
        <w:t xml:space="preserve"> 2023; </w:t>
      </w:r>
      <w:r>
        <w:rPr>
          <w:rFonts w:ascii="Book Antiqua" w:hAnsi="Book Antiqua"/>
          <w:b/>
          <w:bCs/>
        </w:rPr>
        <w:t>51</w:t>
      </w:r>
      <w:r>
        <w:rPr>
          <w:rFonts w:ascii="Book Antiqua" w:hAnsi="Book Antiqua"/>
        </w:rPr>
        <w:t>: 228-236 [PMID: 36116789 DOI: 10.1124/dmd.122.000858]</w:t>
      </w:r>
    </w:p>
    <w:p w14:paraId="10AE1231" w14:textId="77777777" w:rsidR="00E45927" w:rsidRDefault="00000000">
      <w:pPr>
        <w:spacing w:line="360" w:lineRule="auto"/>
        <w:jc w:val="both"/>
        <w:rPr>
          <w:rFonts w:ascii="Book Antiqua" w:hAnsi="Book Antiqua"/>
        </w:rPr>
      </w:pPr>
      <w:r>
        <w:rPr>
          <w:rFonts w:ascii="Book Antiqua" w:hAnsi="Book Antiqua"/>
        </w:rPr>
        <w:t xml:space="preserve">99 </w:t>
      </w:r>
      <w:r>
        <w:rPr>
          <w:rFonts w:ascii="Book Antiqua" w:hAnsi="Book Antiqua"/>
          <w:b/>
          <w:bCs/>
        </w:rPr>
        <w:t>Uehara D</w:t>
      </w:r>
      <w:r>
        <w:rPr>
          <w:rFonts w:ascii="Book Antiqua" w:hAnsi="Book Antiqua"/>
        </w:rPr>
        <w:t xml:space="preserve">, Tojima H, Kakizaki S, Yamazaki Y, Horiguchi N, Takizawa D, Sato K, Yamada M, Uraoka T. Constitutive androstane receptor and pregnane X receptor cooperatively ameliorate DSS-induced colitis. </w:t>
      </w:r>
      <w:r>
        <w:rPr>
          <w:rFonts w:ascii="Book Antiqua" w:hAnsi="Book Antiqua"/>
          <w:i/>
          <w:iCs/>
        </w:rPr>
        <w:t>Dig Liver Dis</w:t>
      </w:r>
      <w:r>
        <w:rPr>
          <w:rFonts w:ascii="Book Antiqua" w:hAnsi="Book Antiqua"/>
        </w:rPr>
        <w:t xml:space="preserve"> 2019; </w:t>
      </w:r>
      <w:r>
        <w:rPr>
          <w:rFonts w:ascii="Book Antiqua" w:hAnsi="Book Antiqua"/>
          <w:b/>
          <w:bCs/>
        </w:rPr>
        <w:t>51</w:t>
      </w:r>
      <w:r>
        <w:rPr>
          <w:rFonts w:ascii="Book Antiqua" w:hAnsi="Book Antiqua"/>
        </w:rPr>
        <w:t>: 226-235 [PMID: 30442521 DOI: 10.1016/j.dld.2018.10.008]</w:t>
      </w:r>
    </w:p>
    <w:p w14:paraId="00FC95A8" w14:textId="77777777" w:rsidR="00E45927" w:rsidRDefault="00000000">
      <w:pPr>
        <w:spacing w:line="360" w:lineRule="auto"/>
        <w:jc w:val="both"/>
        <w:rPr>
          <w:rFonts w:ascii="Book Antiqua" w:hAnsi="Book Antiqua"/>
        </w:rPr>
      </w:pPr>
      <w:r>
        <w:rPr>
          <w:rFonts w:ascii="Book Antiqua" w:hAnsi="Book Antiqua"/>
        </w:rPr>
        <w:lastRenderedPageBreak/>
        <w:t xml:space="preserve">100 </w:t>
      </w:r>
      <w:r>
        <w:rPr>
          <w:rFonts w:ascii="Book Antiqua" w:hAnsi="Book Antiqua"/>
          <w:b/>
          <w:bCs/>
        </w:rPr>
        <w:t>Little M</w:t>
      </w:r>
      <w:r>
        <w:rPr>
          <w:rFonts w:ascii="Book Antiqua" w:hAnsi="Book Antiqua"/>
        </w:rPr>
        <w:t xml:space="preserve">, Dutta M, Li H, Matson A, Shi X, Mascarinas G, Molla B, Weigel K, Gu H, Mani S, Cui JY. Understanding the physiological functions of the host xenobiotic-sensing nuclear receptors PXR and CAR on the gut microbiome using genetically modified mice. </w:t>
      </w:r>
      <w:r>
        <w:rPr>
          <w:rFonts w:ascii="Book Antiqua" w:hAnsi="Book Antiqua"/>
          <w:i/>
          <w:iCs/>
        </w:rPr>
        <w:t>Acta Pharm Sin B</w:t>
      </w:r>
      <w:r>
        <w:rPr>
          <w:rFonts w:ascii="Book Antiqua" w:hAnsi="Book Antiqua"/>
        </w:rPr>
        <w:t xml:space="preserve"> 2022; </w:t>
      </w:r>
      <w:r>
        <w:rPr>
          <w:rFonts w:ascii="Book Antiqua" w:hAnsi="Book Antiqua"/>
          <w:b/>
          <w:bCs/>
        </w:rPr>
        <w:t>12</w:t>
      </w:r>
      <w:r>
        <w:rPr>
          <w:rFonts w:ascii="Book Antiqua" w:hAnsi="Book Antiqua"/>
        </w:rPr>
        <w:t>: 801-820 [PMID: 35256948 DOI: 10.1016/j.apsb.2021.07.022]</w:t>
      </w:r>
    </w:p>
    <w:p w14:paraId="7505F5D1" w14:textId="77777777" w:rsidR="00E45927" w:rsidRDefault="00000000">
      <w:pPr>
        <w:spacing w:line="360" w:lineRule="auto"/>
        <w:jc w:val="both"/>
        <w:rPr>
          <w:rFonts w:ascii="Book Antiqua" w:hAnsi="Book Antiqua"/>
        </w:rPr>
      </w:pPr>
      <w:r>
        <w:rPr>
          <w:rFonts w:ascii="Book Antiqua" w:hAnsi="Book Antiqua"/>
        </w:rPr>
        <w:t xml:space="preserve">101 </w:t>
      </w:r>
      <w:r>
        <w:rPr>
          <w:rFonts w:ascii="Book Antiqua" w:hAnsi="Book Antiqua"/>
          <w:b/>
          <w:bCs/>
        </w:rPr>
        <w:t>Venkatesh M</w:t>
      </w:r>
      <w:r>
        <w:rPr>
          <w:rFonts w:ascii="Book Antiqua" w:hAnsi="Book Antiqua"/>
        </w:rPr>
        <w:t xml:space="preserve">, Mukherjee S, Wang H, Li H, Sun K, Benechet AP, Qiu Z, Maher L, Redinbo MR, Phillips RS, Fleet JC, Kortagere S, Mukherjee P, Fasano A, Le Ven J, Nicholson JK, Dumas ME, Khanna KM, Mani S. Symbiotic bacterial metabolites regulate gastrointestinal barrier function via the xenobiotic sensor PXR and Toll-like receptor 4. </w:t>
      </w:r>
      <w:r>
        <w:rPr>
          <w:rFonts w:ascii="Book Antiqua" w:hAnsi="Book Antiqua"/>
          <w:i/>
          <w:iCs/>
        </w:rPr>
        <w:t>Immunity</w:t>
      </w:r>
      <w:r>
        <w:rPr>
          <w:rFonts w:ascii="Book Antiqua" w:hAnsi="Book Antiqua"/>
        </w:rPr>
        <w:t xml:space="preserve"> 2014; </w:t>
      </w:r>
      <w:r>
        <w:rPr>
          <w:rFonts w:ascii="Book Antiqua" w:hAnsi="Book Antiqua"/>
          <w:b/>
          <w:bCs/>
        </w:rPr>
        <w:t>41</w:t>
      </w:r>
      <w:r>
        <w:rPr>
          <w:rFonts w:ascii="Book Antiqua" w:hAnsi="Book Antiqua"/>
        </w:rPr>
        <w:t>: 296-310 [PMID: 25065623 DOI: 10.1016/j.immuni.2014.06.014]</w:t>
      </w:r>
    </w:p>
    <w:p w14:paraId="00B43E14" w14:textId="77777777" w:rsidR="00E45927" w:rsidRDefault="00000000">
      <w:pPr>
        <w:spacing w:line="360" w:lineRule="auto"/>
        <w:jc w:val="both"/>
        <w:rPr>
          <w:rFonts w:ascii="Book Antiqua" w:hAnsi="Book Antiqua"/>
        </w:rPr>
      </w:pPr>
      <w:r>
        <w:rPr>
          <w:rFonts w:ascii="Book Antiqua" w:hAnsi="Book Antiqua"/>
        </w:rPr>
        <w:t xml:space="preserve">102 </w:t>
      </w:r>
      <w:r>
        <w:rPr>
          <w:rFonts w:ascii="Book Antiqua" w:hAnsi="Book Antiqua"/>
          <w:b/>
          <w:bCs/>
        </w:rPr>
        <w:t>Flannigan KL</w:t>
      </w:r>
      <w:r>
        <w:rPr>
          <w:rFonts w:ascii="Book Antiqua" w:hAnsi="Book Antiqua"/>
        </w:rPr>
        <w:t xml:space="preserve">, Nieves KM, Szczepanski HE, Serra A, Lee JW, Alston LA, Ramay H, Mani S, Hirota SA. The Pregnane X Receptor and Indole-3-Propionic Acid Shape the Intestinal Mesenchyme to Restrain Inflammation and Fibrosis. </w:t>
      </w:r>
      <w:r>
        <w:rPr>
          <w:rFonts w:ascii="Book Antiqua" w:hAnsi="Book Antiqua"/>
          <w:i/>
          <w:iCs/>
        </w:rPr>
        <w:t>Cell Mol Gastroenterol Hepatol</w:t>
      </w:r>
      <w:r>
        <w:rPr>
          <w:rFonts w:ascii="Book Antiqua" w:hAnsi="Book Antiqua"/>
        </w:rPr>
        <w:t xml:space="preserve"> 2023; </w:t>
      </w:r>
      <w:r>
        <w:rPr>
          <w:rFonts w:ascii="Book Antiqua" w:hAnsi="Book Antiqua"/>
          <w:b/>
          <w:bCs/>
        </w:rPr>
        <w:t>15</w:t>
      </w:r>
      <w:r>
        <w:rPr>
          <w:rFonts w:ascii="Book Antiqua" w:hAnsi="Book Antiqua"/>
        </w:rPr>
        <w:t>: 765-795 [PMID: 36309199 DOI: 10.1016/j.jcmgh.2022.10.014]</w:t>
      </w:r>
    </w:p>
    <w:p w14:paraId="1DBE3A8B" w14:textId="77777777" w:rsidR="00E45927" w:rsidRDefault="00000000">
      <w:pPr>
        <w:spacing w:line="360" w:lineRule="auto"/>
        <w:jc w:val="both"/>
        <w:rPr>
          <w:rFonts w:ascii="Book Antiqua" w:hAnsi="Book Antiqua"/>
        </w:rPr>
      </w:pPr>
      <w:r>
        <w:rPr>
          <w:rFonts w:ascii="Book Antiqua" w:hAnsi="Book Antiqua"/>
        </w:rPr>
        <w:t xml:space="preserve">103 </w:t>
      </w:r>
      <w:r>
        <w:rPr>
          <w:rFonts w:ascii="Book Antiqua" w:hAnsi="Book Antiqua"/>
          <w:b/>
          <w:bCs/>
        </w:rPr>
        <w:t>Deuring JJ</w:t>
      </w:r>
      <w:r>
        <w:rPr>
          <w:rFonts w:ascii="Book Antiqua" w:hAnsi="Book Antiqua"/>
        </w:rPr>
        <w:t xml:space="preserve">, Li M, Cao W, Chen S, Wang W, de Haar C, van der Woude CJ, Peppelenbosch M. Pregnane X receptor activation constrains mucosal NF-κB activity in active inflammatory bowel disease. </w:t>
      </w:r>
      <w:r>
        <w:rPr>
          <w:rFonts w:ascii="Book Antiqua" w:hAnsi="Book Antiqua"/>
          <w:i/>
          <w:iCs/>
        </w:rPr>
        <w:t>PLoS One</w:t>
      </w:r>
      <w:r>
        <w:rPr>
          <w:rFonts w:ascii="Book Antiqua" w:hAnsi="Book Antiqua"/>
        </w:rPr>
        <w:t xml:space="preserve"> 2019; </w:t>
      </w:r>
      <w:r>
        <w:rPr>
          <w:rFonts w:ascii="Book Antiqua" w:hAnsi="Book Antiqua"/>
          <w:b/>
          <w:bCs/>
        </w:rPr>
        <w:t>14</w:t>
      </w:r>
      <w:r>
        <w:rPr>
          <w:rFonts w:ascii="Book Antiqua" w:hAnsi="Book Antiqua"/>
        </w:rPr>
        <w:t>: e0221924 [PMID: 31581194 DOI: 10.1371/journal.pone.0221924]</w:t>
      </w:r>
    </w:p>
    <w:p w14:paraId="25D89F98" w14:textId="77777777" w:rsidR="00E45927" w:rsidRDefault="00000000">
      <w:pPr>
        <w:spacing w:line="360" w:lineRule="auto"/>
        <w:jc w:val="both"/>
        <w:rPr>
          <w:rFonts w:ascii="Book Antiqua" w:hAnsi="Book Antiqua"/>
        </w:rPr>
      </w:pPr>
      <w:r>
        <w:rPr>
          <w:rFonts w:ascii="Book Antiqua" w:hAnsi="Book Antiqua"/>
        </w:rPr>
        <w:t xml:space="preserve">104 </w:t>
      </w:r>
      <w:r>
        <w:rPr>
          <w:rFonts w:ascii="Book Antiqua" w:hAnsi="Book Antiqua"/>
          <w:b/>
          <w:bCs/>
        </w:rPr>
        <w:t>Ramesh R</w:t>
      </w:r>
      <w:r>
        <w:rPr>
          <w:rFonts w:ascii="Book Antiqua" w:hAnsi="Book Antiqua"/>
        </w:rPr>
        <w:t xml:space="preserve">, Kozhaya L, McKevitt K, Djuretic IM, Carlson TJ, Quintero MA, McCauley JL, Abreu MT, Unutmaz D, Sundrud MS. Pro-inflammatory human Th17 cells selectively express P-glycoprotein and are refractory to glucocorticoids. </w:t>
      </w:r>
      <w:r>
        <w:rPr>
          <w:rFonts w:ascii="Book Antiqua" w:hAnsi="Book Antiqua"/>
          <w:i/>
          <w:iCs/>
        </w:rPr>
        <w:t>J Exp Med</w:t>
      </w:r>
      <w:r>
        <w:rPr>
          <w:rFonts w:ascii="Book Antiqua" w:hAnsi="Book Antiqua"/>
        </w:rPr>
        <w:t xml:space="preserve"> 2014; </w:t>
      </w:r>
      <w:r>
        <w:rPr>
          <w:rFonts w:ascii="Book Antiqua" w:hAnsi="Book Antiqua"/>
          <w:b/>
          <w:bCs/>
        </w:rPr>
        <w:t>211</w:t>
      </w:r>
      <w:r>
        <w:rPr>
          <w:rFonts w:ascii="Book Antiqua" w:hAnsi="Book Antiqua"/>
        </w:rPr>
        <w:t>: 89-104 [PMID: 24395888 DOI: 10.1084/jem.20130301]</w:t>
      </w:r>
    </w:p>
    <w:p w14:paraId="026F58EF" w14:textId="77777777" w:rsidR="00E45927" w:rsidRDefault="00000000">
      <w:pPr>
        <w:spacing w:line="360" w:lineRule="auto"/>
        <w:jc w:val="both"/>
        <w:rPr>
          <w:rFonts w:ascii="Book Antiqua" w:hAnsi="Book Antiqua"/>
        </w:rPr>
      </w:pPr>
      <w:r>
        <w:rPr>
          <w:rFonts w:ascii="Book Antiqua" w:hAnsi="Book Antiqua"/>
        </w:rPr>
        <w:t xml:space="preserve">105 </w:t>
      </w:r>
      <w:r>
        <w:rPr>
          <w:rFonts w:ascii="Book Antiqua" w:hAnsi="Book Antiqua"/>
          <w:b/>
          <w:bCs/>
        </w:rPr>
        <w:t>Chen ML</w:t>
      </w:r>
      <w:r>
        <w:rPr>
          <w:rFonts w:ascii="Book Antiqua" w:hAnsi="Book Antiqua"/>
        </w:rPr>
        <w:t xml:space="preserve">, Huang X, Wang H, Hegner C, Liu Y, Shang J, Eliason A, Diao H, Park H, Frey B, Wang G, Mosure SA, Solt LA, Kojetin DJ, Rodriguez-Palacios A, Schady DA, Weaver CT, Pipkin ME, Moore DD, Sundrud MS. CAR directs T cell adaptation to bile acids in the small intestine. </w:t>
      </w:r>
      <w:r>
        <w:rPr>
          <w:rFonts w:ascii="Book Antiqua" w:hAnsi="Book Antiqua"/>
          <w:i/>
          <w:iCs/>
        </w:rPr>
        <w:t>Nature</w:t>
      </w:r>
      <w:r>
        <w:rPr>
          <w:rFonts w:ascii="Book Antiqua" w:hAnsi="Book Antiqua"/>
        </w:rPr>
        <w:t xml:space="preserve"> 2021; </w:t>
      </w:r>
      <w:r>
        <w:rPr>
          <w:rFonts w:ascii="Book Antiqua" w:hAnsi="Book Antiqua"/>
          <w:b/>
          <w:bCs/>
        </w:rPr>
        <w:t>593</w:t>
      </w:r>
      <w:r>
        <w:rPr>
          <w:rFonts w:ascii="Book Antiqua" w:hAnsi="Book Antiqua"/>
        </w:rPr>
        <w:t>: 147-151 [PMID: 33828301 DOI: 10.1038/s41586-021-03421-6]</w:t>
      </w:r>
    </w:p>
    <w:p w14:paraId="04B38854" w14:textId="77777777" w:rsidR="00E45927" w:rsidRDefault="00000000">
      <w:pPr>
        <w:spacing w:line="360" w:lineRule="auto"/>
        <w:jc w:val="both"/>
        <w:rPr>
          <w:rFonts w:ascii="Book Antiqua" w:hAnsi="Book Antiqua"/>
        </w:rPr>
      </w:pPr>
      <w:r>
        <w:rPr>
          <w:rFonts w:ascii="Book Antiqua" w:hAnsi="Book Antiqua"/>
        </w:rPr>
        <w:t xml:space="preserve">106 </w:t>
      </w:r>
      <w:r>
        <w:rPr>
          <w:rFonts w:ascii="Book Antiqua" w:hAnsi="Book Antiqua"/>
          <w:b/>
          <w:bCs/>
        </w:rPr>
        <w:t>Wang X</w:t>
      </w:r>
      <w:r>
        <w:rPr>
          <w:rFonts w:ascii="Book Antiqua" w:hAnsi="Book Antiqua"/>
        </w:rPr>
        <w:t xml:space="preserve">, Chen S, Xiang H, Wang X, Xiao J, Zhao S, Shu Z, Ouyang J, Liang Z, Deng M, Chen X, Zhang J, Liu H, Quan Q, Gao P, Fan J, Chen AF, Lu H. S1PR2/RhoA/ROCK1 pathway promotes inflammatory bowel disease by inducing intestinal vascular </w:t>
      </w:r>
      <w:r>
        <w:rPr>
          <w:rFonts w:ascii="Book Antiqua" w:hAnsi="Book Antiqua"/>
        </w:rPr>
        <w:lastRenderedPageBreak/>
        <w:t xml:space="preserve">endothelial barrier damage and M1 macrophage polarization. </w:t>
      </w:r>
      <w:r>
        <w:rPr>
          <w:rFonts w:ascii="Book Antiqua" w:hAnsi="Book Antiqua"/>
          <w:i/>
          <w:iCs/>
        </w:rPr>
        <w:t>Biochem Pharmacol</w:t>
      </w:r>
      <w:r>
        <w:rPr>
          <w:rFonts w:ascii="Book Antiqua" w:hAnsi="Book Antiqua"/>
        </w:rPr>
        <w:t xml:space="preserve"> 2022; </w:t>
      </w:r>
      <w:r>
        <w:rPr>
          <w:rFonts w:ascii="Book Antiqua" w:hAnsi="Book Antiqua"/>
          <w:b/>
          <w:bCs/>
        </w:rPr>
        <w:t>201</w:t>
      </w:r>
      <w:r>
        <w:rPr>
          <w:rFonts w:ascii="Book Antiqua" w:hAnsi="Book Antiqua"/>
        </w:rPr>
        <w:t>: 115077 [PMID: 35537530 DOI: 10.1016/j.bcp.2022.115077]</w:t>
      </w:r>
    </w:p>
    <w:p w14:paraId="7681C2E3" w14:textId="77777777" w:rsidR="00E45927" w:rsidRDefault="00000000">
      <w:pPr>
        <w:spacing w:line="360" w:lineRule="auto"/>
        <w:jc w:val="both"/>
        <w:rPr>
          <w:rFonts w:ascii="Book Antiqua" w:hAnsi="Book Antiqua"/>
        </w:rPr>
      </w:pPr>
      <w:r>
        <w:rPr>
          <w:rFonts w:ascii="Book Antiqua" w:hAnsi="Book Antiqua"/>
        </w:rPr>
        <w:t xml:space="preserve">107 </w:t>
      </w:r>
      <w:r>
        <w:rPr>
          <w:rFonts w:ascii="Book Antiqua" w:hAnsi="Book Antiqua"/>
          <w:b/>
          <w:bCs/>
        </w:rPr>
        <w:t>Chen T</w:t>
      </w:r>
      <w:r>
        <w:rPr>
          <w:rFonts w:ascii="Book Antiqua" w:hAnsi="Book Antiqua"/>
        </w:rPr>
        <w:t xml:space="preserve">, Gu K, Lin R, Liu Y, Shan Y. The function of Sphingosine-1-phosphate receptor 2 (S1PR2) in maintaining intestinal barrier and inducing ulcerative colitis. </w:t>
      </w:r>
      <w:r>
        <w:rPr>
          <w:rFonts w:ascii="Book Antiqua" w:hAnsi="Book Antiqua"/>
          <w:i/>
          <w:iCs/>
        </w:rPr>
        <w:t>Bioengineered</w:t>
      </w:r>
      <w:r>
        <w:rPr>
          <w:rFonts w:ascii="Book Antiqua" w:hAnsi="Book Antiqua"/>
        </w:rPr>
        <w:t xml:space="preserve"> 2022; </w:t>
      </w:r>
      <w:r>
        <w:rPr>
          <w:rFonts w:ascii="Book Antiqua" w:hAnsi="Book Antiqua"/>
          <w:b/>
          <w:bCs/>
        </w:rPr>
        <w:t>13</w:t>
      </w:r>
      <w:r>
        <w:rPr>
          <w:rFonts w:ascii="Book Antiqua" w:hAnsi="Book Antiqua"/>
        </w:rPr>
        <w:t>: 13703-13717 [PMID: 35707833 DOI: 10.1080/21655979.2022.2076500]</w:t>
      </w:r>
    </w:p>
    <w:p w14:paraId="6B1E78C6" w14:textId="77777777" w:rsidR="00E45927" w:rsidRDefault="00000000">
      <w:pPr>
        <w:spacing w:line="360" w:lineRule="auto"/>
        <w:jc w:val="both"/>
        <w:rPr>
          <w:rFonts w:ascii="Book Antiqua" w:hAnsi="Book Antiqua"/>
        </w:rPr>
      </w:pPr>
      <w:r>
        <w:rPr>
          <w:rFonts w:ascii="Book Antiqua" w:hAnsi="Book Antiqua"/>
        </w:rPr>
        <w:t xml:space="preserve">108 </w:t>
      </w:r>
      <w:r>
        <w:rPr>
          <w:rFonts w:ascii="Book Antiqua" w:hAnsi="Book Antiqua"/>
          <w:b/>
          <w:bCs/>
        </w:rPr>
        <w:t>Zhao S</w:t>
      </w:r>
      <w:r>
        <w:rPr>
          <w:rFonts w:ascii="Book Antiqua" w:hAnsi="Book Antiqua"/>
        </w:rPr>
        <w:t xml:space="preserve">, Gong Z, Du X, Tian C, Wang L, Zhou J, Xu C, Chen Y, Cai W, Wu J. Deoxycholic Acid-Mediated Sphingosine-1-Phosphate Receptor 2 Signaling Exacerbates DSS-Induced Colitis through Promoting Cathepsin B Release. </w:t>
      </w:r>
      <w:r>
        <w:rPr>
          <w:rFonts w:ascii="Book Antiqua" w:hAnsi="Book Antiqua"/>
          <w:i/>
          <w:iCs/>
        </w:rPr>
        <w:t>J Immunol Res</w:t>
      </w:r>
      <w:r>
        <w:rPr>
          <w:rFonts w:ascii="Book Antiqua" w:hAnsi="Book Antiqua"/>
        </w:rPr>
        <w:t xml:space="preserve"> 2018; </w:t>
      </w:r>
      <w:r>
        <w:rPr>
          <w:rFonts w:ascii="Book Antiqua" w:hAnsi="Book Antiqua"/>
          <w:b/>
          <w:bCs/>
        </w:rPr>
        <w:t>2018</w:t>
      </w:r>
      <w:r>
        <w:rPr>
          <w:rFonts w:ascii="Book Antiqua" w:hAnsi="Book Antiqua"/>
        </w:rPr>
        <w:t>: 2481418 [PMID: 29854830 DOI: 10.1155/2018/2481418]</w:t>
      </w:r>
    </w:p>
    <w:p w14:paraId="0B0C360D" w14:textId="77777777" w:rsidR="00E45927" w:rsidRDefault="00000000">
      <w:pPr>
        <w:spacing w:line="360" w:lineRule="auto"/>
        <w:jc w:val="both"/>
        <w:rPr>
          <w:rFonts w:ascii="Book Antiqua" w:hAnsi="Book Antiqua"/>
        </w:rPr>
      </w:pPr>
      <w:r>
        <w:rPr>
          <w:rFonts w:ascii="Book Antiqua" w:hAnsi="Book Antiqua"/>
        </w:rPr>
        <w:t xml:space="preserve">109 </w:t>
      </w:r>
      <w:r>
        <w:rPr>
          <w:rFonts w:ascii="Book Antiqua" w:hAnsi="Book Antiqua"/>
          <w:b/>
          <w:bCs/>
        </w:rPr>
        <w:t>Miyazaki T</w:t>
      </w:r>
      <w:r>
        <w:rPr>
          <w:rFonts w:ascii="Book Antiqua" w:hAnsi="Book Antiqua"/>
        </w:rPr>
        <w:t xml:space="preserve">, Shirakami Y, Mizutani T, Maruta A, Ideta T, Kubota M, Sakai H, Ibuka T, Genovese S, Fiorito S, Taddeo VA, Epifano F, Tanaka T, Shimizu M. Novel FXR agonist nelumal A suppresses colitis and inflammation-related colorectal carcinogenesis. </w:t>
      </w:r>
      <w:r>
        <w:rPr>
          <w:rFonts w:ascii="Book Antiqua" w:hAnsi="Book Antiqua"/>
          <w:i/>
          <w:iCs/>
        </w:rPr>
        <w:t>Sci Rep</w:t>
      </w:r>
      <w:r>
        <w:rPr>
          <w:rFonts w:ascii="Book Antiqua" w:hAnsi="Book Antiqua"/>
        </w:rPr>
        <w:t xml:space="preserve"> 2021; </w:t>
      </w:r>
      <w:r>
        <w:rPr>
          <w:rFonts w:ascii="Book Antiqua" w:hAnsi="Book Antiqua"/>
          <w:b/>
          <w:bCs/>
        </w:rPr>
        <w:t>11</w:t>
      </w:r>
      <w:r>
        <w:rPr>
          <w:rFonts w:ascii="Book Antiqua" w:hAnsi="Book Antiqua"/>
        </w:rPr>
        <w:t>: 492 [PMID: 33436792 DOI: 10.1038/s41598-020-79916-5]</w:t>
      </w:r>
    </w:p>
    <w:p w14:paraId="6E823669" w14:textId="77777777" w:rsidR="00E45927" w:rsidRDefault="00000000">
      <w:pPr>
        <w:spacing w:line="360" w:lineRule="auto"/>
        <w:jc w:val="both"/>
        <w:rPr>
          <w:rFonts w:ascii="Book Antiqua" w:hAnsi="Book Antiqua"/>
        </w:rPr>
      </w:pPr>
      <w:r>
        <w:rPr>
          <w:rFonts w:ascii="Book Antiqua" w:hAnsi="Book Antiqua"/>
        </w:rPr>
        <w:t xml:space="preserve">110 </w:t>
      </w:r>
      <w:r>
        <w:rPr>
          <w:rFonts w:ascii="Book Antiqua" w:hAnsi="Book Antiqua"/>
          <w:b/>
          <w:bCs/>
        </w:rPr>
        <w:t>Liu F</w:t>
      </w:r>
      <w:r>
        <w:rPr>
          <w:rFonts w:ascii="Book Antiqua" w:hAnsi="Book Antiqua"/>
        </w:rPr>
        <w:t xml:space="preserve">, Yao Y, Wang Q, Zhang F, Wang M, Zhu C, Lin C. Nigakinone alleviates DSS-induced experimental colitis via regulating bile acid profile and FXR/NLRP3 signaling pathways. </w:t>
      </w:r>
      <w:r>
        <w:rPr>
          <w:rFonts w:ascii="Book Antiqua" w:hAnsi="Book Antiqua"/>
          <w:i/>
          <w:iCs/>
        </w:rPr>
        <w:t>Phytother Res</w:t>
      </w:r>
      <w:r>
        <w:rPr>
          <w:rFonts w:ascii="Book Antiqua" w:hAnsi="Book Antiqua"/>
        </w:rPr>
        <w:t xml:space="preserve"> 2023; </w:t>
      </w:r>
      <w:r>
        <w:rPr>
          <w:rFonts w:ascii="Book Antiqua" w:hAnsi="Book Antiqua"/>
          <w:b/>
          <w:bCs/>
        </w:rPr>
        <w:t>37</w:t>
      </w:r>
      <w:r>
        <w:rPr>
          <w:rFonts w:ascii="Book Antiqua" w:hAnsi="Book Antiqua"/>
        </w:rPr>
        <w:t>: 15-34 [PMID: 36054406 DOI: 10.1002/ptr.7588]</w:t>
      </w:r>
    </w:p>
    <w:p w14:paraId="146E4200" w14:textId="77777777" w:rsidR="00E45927" w:rsidRDefault="00000000">
      <w:pPr>
        <w:spacing w:line="360" w:lineRule="auto"/>
        <w:jc w:val="both"/>
        <w:rPr>
          <w:rFonts w:ascii="Book Antiqua" w:hAnsi="Book Antiqua"/>
        </w:rPr>
      </w:pPr>
      <w:r>
        <w:rPr>
          <w:rFonts w:ascii="Book Antiqua" w:hAnsi="Book Antiqua"/>
        </w:rPr>
        <w:t xml:space="preserve">111 </w:t>
      </w:r>
      <w:r>
        <w:rPr>
          <w:rFonts w:ascii="Book Antiqua" w:hAnsi="Book Antiqua"/>
          <w:b/>
          <w:bCs/>
        </w:rPr>
        <w:t>Zhou M</w:t>
      </w:r>
      <w:r>
        <w:rPr>
          <w:rFonts w:ascii="Book Antiqua" w:hAnsi="Book Antiqua"/>
        </w:rPr>
        <w:t xml:space="preserve">, Wang D, Li X, Cao Y, Yi C, Wiredu Ocansey DK, Zhou Y, Mao F. Farnesoid-X receptor as a therapeutic target for inflammatory bowel disease and colorectal cancer. </w:t>
      </w:r>
      <w:r>
        <w:rPr>
          <w:rFonts w:ascii="Book Antiqua" w:hAnsi="Book Antiqua"/>
          <w:i/>
          <w:iCs/>
        </w:rPr>
        <w:t>Front Pharmacol</w:t>
      </w:r>
      <w:r>
        <w:rPr>
          <w:rFonts w:ascii="Book Antiqua" w:hAnsi="Book Antiqua"/>
        </w:rPr>
        <w:t xml:space="preserve"> 2022; </w:t>
      </w:r>
      <w:r>
        <w:rPr>
          <w:rFonts w:ascii="Book Antiqua" w:hAnsi="Book Antiqua"/>
          <w:b/>
          <w:bCs/>
        </w:rPr>
        <w:t>13</w:t>
      </w:r>
      <w:r>
        <w:rPr>
          <w:rFonts w:ascii="Book Antiqua" w:hAnsi="Book Antiqua"/>
        </w:rPr>
        <w:t>: 1016836 [PMID: 36278234 DOI: 10.3389/fphar.2022.1016836]</w:t>
      </w:r>
    </w:p>
    <w:p w14:paraId="64E6A42F" w14:textId="77777777" w:rsidR="00E45927" w:rsidRDefault="00000000">
      <w:pPr>
        <w:spacing w:line="360" w:lineRule="auto"/>
        <w:jc w:val="both"/>
        <w:rPr>
          <w:rFonts w:ascii="Book Antiqua" w:hAnsi="Book Antiqua"/>
        </w:rPr>
      </w:pPr>
      <w:r>
        <w:rPr>
          <w:rFonts w:ascii="Book Antiqua" w:hAnsi="Book Antiqua"/>
        </w:rPr>
        <w:t xml:space="preserve">112 </w:t>
      </w:r>
      <w:r>
        <w:rPr>
          <w:rFonts w:ascii="Book Antiqua" w:hAnsi="Book Antiqua"/>
          <w:b/>
          <w:bCs/>
        </w:rPr>
        <w:t>Qi WH</w:t>
      </w:r>
      <w:r>
        <w:rPr>
          <w:rFonts w:ascii="Book Antiqua" w:hAnsi="Book Antiqua"/>
        </w:rPr>
        <w:t xml:space="preserve">, Zhang YY, Xing K, Hao DX, Zhang F, Wang RN, Bao MY, Tian MY, Yang YN, Li X, Zhang Y. 2', 4'-Dihydroxy-2,3-dimethoxychalcone: A pharmacological inverse agonist of RORγt ameliorating Th17-driven inflammatory diseases by regulating Th17/Treg. </w:t>
      </w:r>
      <w:r>
        <w:rPr>
          <w:rFonts w:ascii="Book Antiqua" w:hAnsi="Book Antiqua"/>
          <w:i/>
          <w:iCs/>
        </w:rPr>
        <w:t>Int Immunopharmacol</w:t>
      </w:r>
      <w:r>
        <w:rPr>
          <w:rFonts w:ascii="Book Antiqua" w:hAnsi="Book Antiqua"/>
        </w:rPr>
        <w:t xml:space="preserve"> 2022; </w:t>
      </w:r>
      <w:r>
        <w:rPr>
          <w:rFonts w:ascii="Book Antiqua" w:hAnsi="Book Antiqua"/>
          <w:b/>
          <w:bCs/>
        </w:rPr>
        <w:t>108</w:t>
      </w:r>
      <w:r>
        <w:rPr>
          <w:rFonts w:ascii="Book Antiqua" w:hAnsi="Book Antiqua"/>
        </w:rPr>
        <w:t>: 108769 [PMID: 35453073 DOI: 10.1016/j.intimp.2022.108769]</w:t>
      </w:r>
    </w:p>
    <w:p w14:paraId="7F358306" w14:textId="77777777" w:rsidR="00E45927" w:rsidRDefault="00000000">
      <w:pPr>
        <w:spacing w:line="360" w:lineRule="auto"/>
        <w:jc w:val="both"/>
        <w:rPr>
          <w:rFonts w:ascii="Book Antiqua" w:hAnsi="Book Antiqua"/>
        </w:rPr>
      </w:pPr>
      <w:r>
        <w:rPr>
          <w:rFonts w:ascii="Book Antiqua" w:hAnsi="Book Antiqua"/>
        </w:rPr>
        <w:t xml:space="preserve">113 </w:t>
      </w:r>
      <w:r>
        <w:rPr>
          <w:rFonts w:ascii="Book Antiqua" w:hAnsi="Book Antiqua"/>
          <w:b/>
          <w:bCs/>
        </w:rPr>
        <w:t>Chen JA</w:t>
      </w:r>
      <w:r>
        <w:rPr>
          <w:rFonts w:ascii="Book Antiqua" w:hAnsi="Book Antiqua"/>
        </w:rPr>
        <w:t xml:space="preserve">, Ma H, Liu Z, Tian J, Lu S, Fang W, Ze S, Lu W, Xie Q, Huang J, Wang Y. Discovery of Orally Available Retinoic Acid Receptor-Related Orphan Receptor γ-t/Dihydroorotate Dehydrogenase Dual Inhibitors for the Treatment of Refractory </w:t>
      </w:r>
      <w:r>
        <w:rPr>
          <w:rFonts w:ascii="Book Antiqua" w:hAnsi="Book Antiqua"/>
        </w:rPr>
        <w:lastRenderedPageBreak/>
        <w:t xml:space="preserve">Inflammatory Bowel Disease. </w:t>
      </w:r>
      <w:r>
        <w:rPr>
          <w:rFonts w:ascii="Book Antiqua" w:hAnsi="Book Antiqua"/>
          <w:i/>
          <w:iCs/>
        </w:rPr>
        <w:t>J Med Chem</w:t>
      </w:r>
      <w:r>
        <w:rPr>
          <w:rFonts w:ascii="Book Antiqua" w:hAnsi="Book Antiqua"/>
        </w:rPr>
        <w:t xml:space="preserve"> 2022; </w:t>
      </w:r>
      <w:r>
        <w:rPr>
          <w:rFonts w:ascii="Book Antiqua" w:hAnsi="Book Antiqua"/>
          <w:b/>
          <w:bCs/>
        </w:rPr>
        <w:t>65</w:t>
      </w:r>
      <w:r>
        <w:rPr>
          <w:rFonts w:ascii="Book Antiqua" w:hAnsi="Book Antiqua"/>
        </w:rPr>
        <w:t>: 592-615 [PMID: 34957834 DOI: 10.1021/acs.jmedchem.1c01746]</w:t>
      </w:r>
    </w:p>
    <w:p w14:paraId="42F08939" w14:textId="77777777" w:rsidR="00E45927" w:rsidRDefault="00000000">
      <w:pPr>
        <w:spacing w:line="360" w:lineRule="auto"/>
        <w:jc w:val="both"/>
        <w:rPr>
          <w:rFonts w:ascii="Book Antiqua" w:hAnsi="Book Antiqua"/>
        </w:rPr>
      </w:pPr>
      <w:r>
        <w:rPr>
          <w:rFonts w:ascii="Book Antiqua" w:hAnsi="Book Antiqua"/>
        </w:rPr>
        <w:t xml:space="preserve">114 </w:t>
      </w:r>
      <w:r>
        <w:rPr>
          <w:rFonts w:ascii="Book Antiqua" w:hAnsi="Book Antiqua"/>
          <w:b/>
          <w:bCs/>
        </w:rPr>
        <w:t>Ortiz MA</w:t>
      </w:r>
      <w:r>
        <w:rPr>
          <w:rFonts w:ascii="Book Antiqua" w:hAnsi="Book Antiqua"/>
        </w:rPr>
        <w:t xml:space="preserve">, Piedrafita FJ, Nefzi A. 1,5-Disubstituted Acylated 2-Amino-4,5-dihydroimidazoles as a New Class of Retinoic Acid Receptor-Related Orphan Receptor (ROR) Inhibitors. </w:t>
      </w:r>
      <w:r>
        <w:rPr>
          <w:rFonts w:ascii="Book Antiqua" w:hAnsi="Book Antiqua"/>
          <w:i/>
          <w:iCs/>
        </w:rPr>
        <w:t>Int J Mol Sci</w:t>
      </w:r>
      <w:r>
        <w:rPr>
          <w:rFonts w:ascii="Book Antiqua" w:hAnsi="Book Antiqua"/>
        </w:rPr>
        <w:t xml:space="preserve"> 2022; </w:t>
      </w:r>
      <w:r>
        <w:rPr>
          <w:rFonts w:ascii="Book Antiqua" w:hAnsi="Book Antiqua"/>
          <w:b/>
          <w:bCs/>
        </w:rPr>
        <w:t>23</w:t>
      </w:r>
      <w:r>
        <w:rPr>
          <w:rFonts w:ascii="Book Antiqua" w:hAnsi="Book Antiqua"/>
        </w:rPr>
        <w:t xml:space="preserve"> [PMID: 35457251 DOI: 10.3390/ijms23084433]</w:t>
      </w:r>
    </w:p>
    <w:p w14:paraId="20CD15EB" w14:textId="77777777" w:rsidR="00E45927" w:rsidRDefault="00000000">
      <w:pPr>
        <w:spacing w:line="360" w:lineRule="auto"/>
        <w:jc w:val="both"/>
        <w:rPr>
          <w:rFonts w:ascii="Book Antiqua" w:hAnsi="Book Antiqua"/>
        </w:rPr>
      </w:pPr>
      <w:r>
        <w:rPr>
          <w:rFonts w:ascii="Book Antiqua" w:hAnsi="Book Antiqua"/>
        </w:rPr>
        <w:t xml:space="preserve">115 </w:t>
      </w:r>
      <w:r>
        <w:rPr>
          <w:rFonts w:ascii="Book Antiqua" w:hAnsi="Book Antiqua"/>
          <w:b/>
          <w:bCs/>
        </w:rPr>
        <w:t>Chen Y</w:t>
      </w:r>
      <w:r>
        <w:rPr>
          <w:rFonts w:ascii="Book Antiqua" w:hAnsi="Book Antiqua"/>
        </w:rPr>
        <w:t xml:space="preserve">, Le TH, Du Q, Zhao Z, Liu Y, Zou J, Hua W, Liu C, Zhu Y. Genistein protects against DSS-induced colitis by inhibiting NLRP3 inflammasome via TGR5-cAMP signaling. </w:t>
      </w:r>
      <w:r>
        <w:rPr>
          <w:rFonts w:ascii="Book Antiqua" w:hAnsi="Book Antiqua"/>
          <w:i/>
          <w:iCs/>
        </w:rPr>
        <w:t>Int Immunopharmacol</w:t>
      </w:r>
      <w:r>
        <w:rPr>
          <w:rFonts w:ascii="Book Antiqua" w:hAnsi="Book Antiqua"/>
        </w:rPr>
        <w:t xml:space="preserve"> 2019; </w:t>
      </w:r>
      <w:r>
        <w:rPr>
          <w:rFonts w:ascii="Book Antiqua" w:hAnsi="Book Antiqua"/>
          <w:b/>
          <w:bCs/>
        </w:rPr>
        <w:t>71</w:t>
      </w:r>
      <w:r>
        <w:rPr>
          <w:rFonts w:ascii="Book Antiqua" w:hAnsi="Book Antiqua"/>
        </w:rPr>
        <w:t>: 144-154 [PMID: 30901677 DOI: 10.1016/j.intimp.2019.01.021]</w:t>
      </w:r>
    </w:p>
    <w:p w14:paraId="76CE9369" w14:textId="77777777" w:rsidR="00E45927" w:rsidRDefault="00000000">
      <w:pPr>
        <w:spacing w:line="360" w:lineRule="auto"/>
        <w:jc w:val="both"/>
        <w:rPr>
          <w:rFonts w:ascii="Book Antiqua" w:hAnsi="Book Antiqua"/>
        </w:rPr>
      </w:pPr>
      <w:r>
        <w:rPr>
          <w:rFonts w:ascii="Book Antiqua" w:hAnsi="Book Antiqua"/>
        </w:rPr>
        <w:t xml:space="preserve">116 </w:t>
      </w:r>
      <w:r>
        <w:rPr>
          <w:rFonts w:ascii="Book Antiqua" w:hAnsi="Book Antiqua"/>
          <w:b/>
          <w:bCs/>
        </w:rPr>
        <w:t>Nakhi A</w:t>
      </w:r>
      <w:r>
        <w:rPr>
          <w:rFonts w:ascii="Book Antiqua" w:hAnsi="Book Antiqua"/>
        </w:rPr>
        <w:t xml:space="preserve">, McDermott CM, Stoltz KL, John K, Hawkinson JE, Ambrose EA, Khoruts A, Sadowsky MJ, Dosa PI. 7-Methylation of Chenodeoxycholic Acid Derivatives Yields a Substantial Increase in TGR5 Receptor Potency. </w:t>
      </w:r>
      <w:r>
        <w:rPr>
          <w:rFonts w:ascii="Book Antiqua" w:hAnsi="Book Antiqua"/>
          <w:i/>
          <w:iCs/>
        </w:rPr>
        <w:t>J Med Chem</w:t>
      </w:r>
      <w:r>
        <w:rPr>
          <w:rFonts w:ascii="Book Antiqua" w:hAnsi="Book Antiqua"/>
        </w:rPr>
        <w:t xml:space="preserve"> 2019; </w:t>
      </w:r>
      <w:r>
        <w:rPr>
          <w:rFonts w:ascii="Book Antiqua" w:hAnsi="Book Antiqua"/>
          <w:b/>
          <w:bCs/>
        </w:rPr>
        <w:t>62</w:t>
      </w:r>
      <w:r>
        <w:rPr>
          <w:rFonts w:ascii="Book Antiqua" w:hAnsi="Book Antiqua"/>
        </w:rPr>
        <w:t>: 6824-6830 [PMID: 31268316 DOI: 10.1021/acs.jmedchem.9b00770]</w:t>
      </w:r>
    </w:p>
    <w:p w14:paraId="6DFA2871" w14:textId="77777777" w:rsidR="00E45927" w:rsidRDefault="00000000">
      <w:pPr>
        <w:spacing w:line="360" w:lineRule="auto"/>
        <w:jc w:val="both"/>
        <w:rPr>
          <w:rFonts w:ascii="Book Antiqua" w:hAnsi="Book Antiqua"/>
        </w:rPr>
      </w:pPr>
      <w:r>
        <w:rPr>
          <w:rFonts w:ascii="Book Antiqua" w:hAnsi="Book Antiqua"/>
        </w:rPr>
        <w:t xml:space="preserve">117 </w:t>
      </w:r>
      <w:r>
        <w:rPr>
          <w:rFonts w:ascii="Book Antiqua" w:hAnsi="Book Antiqua"/>
          <w:b/>
          <w:bCs/>
        </w:rPr>
        <w:t>Salaga M</w:t>
      </w:r>
      <w:r>
        <w:rPr>
          <w:rFonts w:ascii="Book Antiqua" w:hAnsi="Book Antiqua"/>
        </w:rPr>
        <w:t xml:space="preserve">, Binienda A, Draczkowski P, Kosson P, Kordek R, Jozwiak K, Fichna J. Novel peptide inhibitor of dipeptidyl peptidase IV (Tyr-Pro-D-Ala-NH(2)) with anti-inflammatory activity in the mouse models of colitis. </w:t>
      </w:r>
      <w:r>
        <w:rPr>
          <w:rFonts w:ascii="Book Antiqua" w:hAnsi="Book Antiqua"/>
          <w:i/>
          <w:iCs/>
        </w:rPr>
        <w:t>Peptides</w:t>
      </w:r>
      <w:r>
        <w:rPr>
          <w:rFonts w:ascii="Book Antiqua" w:hAnsi="Book Antiqua"/>
        </w:rPr>
        <w:t xml:space="preserve"> 2018; </w:t>
      </w:r>
      <w:r>
        <w:rPr>
          <w:rFonts w:ascii="Book Antiqua" w:hAnsi="Book Antiqua"/>
          <w:b/>
          <w:bCs/>
        </w:rPr>
        <w:t>108</w:t>
      </w:r>
      <w:r>
        <w:rPr>
          <w:rFonts w:ascii="Book Antiqua" w:hAnsi="Book Antiqua"/>
        </w:rPr>
        <w:t>: 34-45 [PMID: 30179653 DOI: 10.1016/j.peptides.2018.08.011]</w:t>
      </w:r>
    </w:p>
    <w:p w14:paraId="30EE5649" w14:textId="77777777" w:rsidR="00E45927" w:rsidRDefault="00000000">
      <w:pPr>
        <w:spacing w:line="360" w:lineRule="auto"/>
        <w:jc w:val="both"/>
        <w:rPr>
          <w:rFonts w:ascii="Book Antiqua" w:hAnsi="Book Antiqua"/>
        </w:rPr>
      </w:pPr>
      <w:r>
        <w:rPr>
          <w:rFonts w:ascii="Book Antiqua" w:hAnsi="Book Antiqua"/>
        </w:rPr>
        <w:t xml:space="preserve">118 </w:t>
      </w:r>
      <w:r>
        <w:rPr>
          <w:rFonts w:ascii="Book Antiqua" w:hAnsi="Book Antiqua"/>
          <w:b/>
          <w:bCs/>
        </w:rPr>
        <w:t>Han F</w:t>
      </w:r>
      <w:r>
        <w:rPr>
          <w:rFonts w:ascii="Book Antiqua" w:hAnsi="Book Antiqua"/>
        </w:rPr>
        <w:t xml:space="preserve">, Ning M, Wang K, Gu Y, Qu H, Leng Y, Shen J. Design and exploration of gut-restricted bifunctional molecule with TGR5 agonistic and DPP4 inhibitory effects for treating ulcerative colitis. </w:t>
      </w:r>
      <w:r>
        <w:rPr>
          <w:rFonts w:ascii="Book Antiqua" w:hAnsi="Book Antiqua"/>
          <w:i/>
          <w:iCs/>
        </w:rPr>
        <w:t>Eur J Med Chem</w:t>
      </w:r>
      <w:r>
        <w:rPr>
          <w:rFonts w:ascii="Book Antiqua" w:hAnsi="Book Antiqua"/>
        </w:rPr>
        <w:t xml:space="preserve"> 2022; </w:t>
      </w:r>
      <w:r>
        <w:rPr>
          <w:rFonts w:ascii="Book Antiqua" w:hAnsi="Book Antiqua"/>
          <w:b/>
          <w:bCs/>
        </w:rPr>
        <w:t>242</w:t>
      </w:r>
      <w:r>
        <w:rPr>
          <w:rFonts w:ascii="Book Antiqua" w:hAnsi="Book Antiqua"/>
        </w:rPr>
        <w:t>: 114697 [PMID: 36029562 DOI: 10.1016/j.ejmech.2022.114697]</w:t>
      </w:r>
    </w:p>
    <w:p w14:paraId="42710343" w14:textId="77777777" w:rsidR="00E45927" w:rsidRDefault="00000000">
      <w:pPr>
        <w:spacing w:line="360" w:lineRule="auto"/>
        <w:jc w:val="both"/>
        <w:rPr>
          <w:rFonts w:ascii="Book Antiqua" w:hAnsi="Book Antiqua"/>
        </w:rPr>
      </w:pPr>
      <w:r>
        <w:rPr>
          <w:rFonts w:ascii="Book Antiqua" w:hAnsi="Book Antiqua"/>
        </w:rPr>
        <w:t xml:space="preserve">119 </w:t>
      </w:r>
      <w:r>
        <w:rPr>
          <w:rFonts w:ascii="Book Antiqua" w:hAnsi="Book Antiqua"/>
          <w:b/>
          <w:bCs/>
        </w:rPr>
        <w:t>Chen T</w:t>
      </w:r>
      <w:r>
        <w:rPr>
          <w:rFonts w:ascii="Book Antiqua" w:hAnsi="Book Antiqua"/>
        </w:rPr>
        <w:t xml:space="preserve">, Reich NW, Bell N, Finn PD, Rodriguez D, Kohler J, Kozuka K, He L, Spencer AG, Charmot D, Navre M, Carreras CW, Koo-McCoy S, Tabora J, Caldwell JS, Jacobs JW, Lewis JG. Design of Gut-Restricted Thiazolidine Agonists of G Protein-Coupled Bile Acid Receptor 1 (GPBAR1, TGR5). </w:t>
      </w:r>
      <w:r>
        <w:rPr>
          <w:rFonts w:ascii="Book Antiqua" w:hAnsi="Book Antiqua"/>
          <w:i/>
          <w:iCs/>
        </w:rPr>
        <w:t>J Med Chem</w:t>
      </w:r>
      <w:r>
        <w:rPr>
          <w:rFonts w:ascii="Book Antiqua" w:hAnsi="Book Antiqua"/>
        </w:rPr>
        <w:t xml:space="preserve"> 2018; </w:t>
      </w:r>
      <w:r>
        <w:rPr>
          <w:rFonts w:ascii="Book Antiqua" w:hAnsi="Book Antiqua"/>
          <w:b/>
          <w:bCs/>
        </w:rPr>
        <w:t>61</w:t>
      </w:r>
      <w:r>
        <w:rPr>
          <w:rFonts w:ascii="Book Antiqua" w:hAnsi="Book Antiqua"/>
        </w:rPr>
        <w:t>: 7589-7613 [PMID: 30141927 DOI: 10.1021/acs.jmedchem.8b00308]</w:t>
      </w:r>
    </w:p>
    <w:p w14:paraId="04970BE4" w14:textId="77777777" w:rsidR="00E45927" w:rsidRDefault="00000000">
      <w:pPr>
        <w:spacing w:line="360" w:lineRule="auto"/>
        <w:jc w:val="both"/>
        <w:rPr>
          <w:rFonts w:ascii="Book Antiqua" w:hAnsi="Book Antiqua"/>
        </w:rPr>
      </w:pPr>
      <w:r>
        <w:rPr>
          <w:rFonts w:ascii="Book Antiqua" w:hAnsi="Book Antiqua"/>
        </w:rPr>
        <w:t xml:space="preserve">120 </w:t>
      </w:r>
      <w:bookmarkStart w:id="258" w:name="OLE_LINK7100"/>
      <w:bookmarkStart w:id="259" w:name="OLE_LINK7101"/>
      <w:r>
        <w:rPr>
          <w:rFonts w:ascii="Book Antiqua" w:hAnsi="Book Antiqua"/>
          <w:b/>
          <w:bCs/>
        </w:rPr>
        <w:t>Dvořák</w:t>
      </w:r>
      <w:bookmarkEnd w:id="258"/>
      <w:bookmarkEnd w:id="259"/>
      <w:r>
        <w:rPr>
          <w:rFonts w:ascii="Book Antiqua" w:hAnsi="Book Antiqua"/>
          <w:b/>
          <w:bCs/>
        </w:rPr>
        <w:t xml:space="preserve"> Z</w:t>
      </w:r>
      <w:r>
        <w:rPr>
          <w:rFonts w:ascii="Book Antiqua" w:hAnsi="Book Antiqua"/>
        </w:rPr>
        <w:t xml:space="preserve">, Kopp F, Costello CM, Kemp JS, Li H, Vrzalová A, Štěpánková M, Bartoňková I, Jiskrová E, Poulíková K, Vyhlídalová B, Nordstroem LU, Karunaratne CV, Ranhotra HS, Mun KS, Naren AP, Murray IA, Perdew GH, Brtko J, Toporova L, Schön A, </w:t>
      </w:r>
      <w:r>
        <w:rPr>
          <w:rFonts w:ascii="Book Antiqua" w:hAnsi="Book Antiqua"/>
        </w:rPr>
        <w:lastRenderedPageBreak/>
        <w:t xml:space="preserve">Wallace BD, Walton WG, Redinbo MR, Sun K, Beck A, Kortagere S, Neary MC, Chandran A, Vishveshwara S, Cavalluzzi MM, Lentini G, Cui JY, Gu H, March JC, Chatterjee S, Matson A, Wright D, Flannigan KL, Hirota SA, Sartor RB, Mani S. Targeting the pregnane X receptor using microbial metabolite mimicry. </w:t>
      </w:r>
      <w:r>
        <w:rPr>
          <w:rFonts w:ascii="Book Antiqua" w:hAnsi="Book Antiqua"/>
          <w:i/>
          <w:iCs/>
        </w:rPr>
        <w:t>EMBO Mol Med</w:t>
      </w:r>
      <w:r>
        <w:rPr>
          <w:rFonts w:ascii="Book Antiqua" w:hAnsi="Book Antiqua"/>
        </w:rPr>
        <w:t xml:space="preserve"> 2020; </w:t>
      </w:r>
      <w:r>
        <w:rPr>
          <w:rFonts w:ascii="Book Antiqua" w:hAnsi="Book Antiqua"/>
          <w:b/>
          <w:bCs/>
        </w:rPr>
        <w:t>12</w:t>
      </w:r>
      <w:r>
        <w:rPr>
          <w:rFonts w:ascii="Book Antiqua" w:hAnsi="Book Antiqua"/>
        </w:rPr>
        <w:t>: e11621 [PMID: 32153125 DOI: 10.15252/emmm.201911621]</w:t>
      </w:r>
    </w:p>
    <w:p w14:paraId="31AFE88B" w14:textId="77777777" w:rsidR="00E45927" w:rsidRDefault="00000000">
      <w:pPr>
        <w:spacing w:line="360" w:lineRule="auto"/>
        <w:jc w:val="both"/>
        <w:rPr>
          <w:rFonts w:ascii="Book Antiqua" w:hAnsi="Book Antiqua"/>
        </w:rPr>
      </w:pPr>
      <w:r>
        <w:rPr>
          <w:rFonts w:ascii="Book Antiqua" w:hAnsi="Book Antiqua"/>
        </w:rPr>
        <w:t xml:space="preserve">121 </w:t>
      </w:r>
      <w:r>
        <w:rPr>
          <w:rFonts w:ascii="Book Antiqua" w:hAnsi="Book Antiqua"/>
          <w:b/>
          <w:bCs/>
        </w:rPr>
        <w:t>Yuan S</w:t>
      </w:r>
      <w:r>
        <w:rPr>
          <w:rFonts w:ascii="Book Antiqua" w:hAnsi="Book Antiqua"/>
        </w:rPr>
        <w:t xml:space="preserve">, Wang Q, Li J, Xue JC, Li Y, Meng H, Hou XT, Nan JX, Zhang QG. Inflammatory bowel disease: an overview of Chinese herbal medicine formula-based treatment. </w:t>
      </w:r>
      <w:r>
        <w:rPr>
          <w:rFonts w:ascii="Book Antiqua" w:hAnsi="Book Antiqua"/>
          <w:i/>
          <w:iCs/>
        </w:rPr>
        <w:t>Chin Med</w:t>
      </w:r>
      <w:r>
        <w:rPr>
          <w:rFonts w:ascii="Book Antiqua" w:hAnsi="Book Antiqua"/>
        </w:rPr>
        <w:t xml:space="preserve"> 2022; </w:t>
      </w:r>
      <w:r>
        <w:rPr>
          <w:rFonts w:ascii="Book Antiqua" w:hAnsi="Book Antiqua"/>
          <w:b/>
          <w:bCs/>
        </w:rPr>
        <w:t>17</w:t>
      </w:r>
      <w:r>
        <w:rPr>
          <w:rFonts w:ascii="Book Antiqua" w:hAnsi="Book Antiqua"/>
        </w:rPr>
        <w:t>: 74 [PMID: 35717380 DOI: 10.1186/s13020-022-00633-4]</w:t>
      </w:r>
    </w:p>
    <w:p w14:paraId="4478F79C" w14:textId="77777777" w:rsidR="00E45927" w:rsidRDefault="00000000">
      <w:pPr>
        <w:spacing w:line="360" w:lineRule="auto"/>
        <w:jc w:val="both"/>
        <w:rPr>
          <w:rFonts w:ascii="Book Antiqua" w:hAnsi="Book Antiqua"/>
        </w:rPr>
      </w:pPr>
      <w:r>
        <w:rPr>
          <w:rFonts w:ascii="Book Antiqua" w:hAnsi="Book Antiqua"/>
        </w:rPr>
        <w:t xml:space="preserve">122 </w:t>
      </w:r>
      <w:r>
        <w:rPr>
          <w:rFonts w:ascii="Book Antiqua" w:hAnsi="Book Antiqua"/>
          <w:b/>
          <w:bCs/>
        </w:rPr>
        <w:t>Hua YL</w:t>
      </w:r>
      <w:r>
        <w:rPr>
          <w:rFonts w:ascii="Book Antiqua" w:hAnsi="Book Antiqua"/>
        </w:rPr>
        <w:t xml:space="preserve">, Jia YQ, Zhang XS, Yuan ZW, Ji P, Hu JJ, Wei YM. Baitouweng Tang ameliorates DSS-induced ulcerative colitis through the regulation of the gut microbiota and bile acids via pathways involving FXR and TGR5. </w:t>
      </w:r>
      <w:r>
        <w:rPr>
          <w:rFonts w:ascii="Book Antiqua" w:hAnsi="Book Antiqua"/>
          <w:i/>
          <w:iCs/>
        </w:rPr>
        <w:t>Biomed Pharmacother</w:t>
      </w:r>
      <w:r>
        <w:rPr>
          <w:rFonts w:ascii="Book Antiqua" w:hAnsi="Book Antiqua"/>
        </w:rPr>
        <w:t xml:space="preserve"> 2021; </w:t>
      </w:r>
      <w:r>
        <w:rPr>
          <w:rFonts w:ascii="Book Antiqua" w:hAnsi="Book Antiqua"/>
          <w:b/>
          <w:bCs/>
        </w:rPr>
        <w:t>137</w:t>
      </w:r>
      <w:r>
        <w:rPr>
          <w:rFonts w:ascii="Book Antiqua" w:hAnsi="Book Antiqua"/>
        </w:rPr>
        <w:t>: 111320 [PMID: 33578232 DOI: 10.1016/j.biopha.2021.111320]</w:t>
      </w:r>
    </w:p>
    <w:p w14:paraId="6FBFF0B7" w14:textId="77777777" w:rsidR="00E45927" w:rsidRDefault="00000000">
      <w:pPr>
        <w:spacing w:line="360" w:lineRule="auto"/>
        <w:jc w:val="both"/>
        <w:rPr>
          <w:rFonts w:ascii="Book Antiqua" w:hAnsi="Book Antiqua"/>
        </w:rPr>
      </w:pPr>
      <w:r>
        <w:rPr>
          <w:rFonts w:ascii="Book Antiqua" w:hAnsi="Book Antiqua"/>
        </w:rPr>
        <w:t xml:space="preserve">123 </w:t>
      </w:r>
      <w:r>
        <w:rPr>
          <w:rFonts w:ascii="Book Antiqua" w:hAnsi="Book Antiqua"/>
          <w:b/>
          <w:bCs/>
        </w:rPr>
        <w:t>Su J</w:t>
      </w:r>
      <w:r>
        <w:rPr>
          <w:rFonts w:ascii="Book Antiqua" w:hAnsi="Book Antiqua"/>
        </w:rPr>
        <w:t xml:space="preserve">, He Z, Yu Y, Lu M, Wu Z, Zhang D. Gualou Xiebai Decoction ameliorates increased Caco-2 monolayer permeability induced by bile acids via tight junction regulation, oxidative stress suppression and apoptosis reduction. </w:t>
      </w:r>
      <w:r>
        <w:rPr>
          <w:rFonts w:ascii="Book Antiqua" w:hAnsi="Book Antiqua"/>
          <w:i/>
          <w:iCs/>
        </w:rPr>
        <w:t>J Bioenerg Biomembr</w:t>
      </w:r>
      <w:r>
        <w:rPr>
          <w:rFonts w:ascii="Book Antiqua" w:hAnsi="Book Antiqua"/>
        </w:rPr>
        <w:t xml:space="preserve"> 2022; </w:t>
      </w:r>
      <w:r>
        <w:rPr>
          <w:rFonts w:ascii="Book Antiqua" w:hAnsi="Book Antiqua"/>
          <w:b/>
          <w:bCs/>
        </w:rPr>
        <w:t>54</w:t>
      </w:r>
      <w:r>
        <w:rPr>
          <w:rFonts w:ascii="Book Antiqua" w:hAnsi="Book Antiqua"/>
        </w:rPr>
        <w:t>: 45-57 [PMID: 34718922 DOI: 10.1007/s10863-021-09927-y]</w:t>
      </w:r>
    </w:p>
    <w:p w14:paraId="31827C8A" w14:textId="77777777" w:rsidR="00E45927" w:rsidRDefault="00000000">
      <w:pPr>
        <w:spacing w:line="360" w:lineRule="auto"/>
        <w:jc w:val="both"/>
        <w:rPr>
          <w:rFonts w:ascii="Book Antiqua" w:hAnsi="Book Antiqua"/>
        </w:rPr>
      </w:pPr>
      <w:r>
        <w:rPr>
          <w:rFonts w:ascii="Book Antiqua" w:hAnsi="Book Antiqua"/>
        </w:rPr>
        <w:t xml:space="preserve">124 </w:t>
      </w:r>
      <w:r>
        <w:rPr>
          <w:rFonts w:ascii="Book Antiqua" w:hAnsi="Book Antiqua"/>
          <w:b/>
          <w:bCs/>
        </w:rPr>
        <w:t>Chen L</w:t>
      </w:r>
      <w:r>
        <w:rPr>
          <w:rFonts w:ascii="Book Antiqua" w:hAnsi="Book Antiqua"/>
        </w:rPr>
        <w:t xml:space="preserve">, Shao J, Luo Y, Zhao L, Zhao K, Gao Y, Wang S, Liu Y. An integrated metabolism in vivo analysis and network pharmacology in UC rats reveal anti-ulcerative colitis effects from Sophora flavescens EtOAc extract. </w:t>
      </w:r>
      <w:r>
        <w:rPr>
          <w:rFonts w:ascii="Book Antiqua" w:hAnsi="Book Antiqua"/>
          <w:i/>
          <w:iCs/>
        </w:rPr>
        <w:t>J Pharm Biomed Anal</w:t>
      </w:r>
      <w:r>
        <w:rPr>
          <w:rFonts w:ascii="Book Antiqua" w:hAnsi="Book Antiqua"/>
        </w:rPr>
        <w:t xml:space="preserve"> 2020; </w:t>
      </w:r>
      <w:r>
        <w:rPr>
          <w:rFonts w:ascii="Book Antiqua" w:hAnsi="Book Antiqua"/>
          <w:b/>
          <w:bCs/>
        </w:rPr>
        <w:t>186</w:t>
      </w:r>
      <w:r>
        <w:rPr>
          <w:rFonts w:ascii="Book Antiqua" w:hAnsi="Book Antiqua"/>
        </w:rPr>
        <w:t>: 113306 [PMID: 32371325 DOI: 10.1016/j.jpba.2020.113306]</w:t>
      </w:r>
    </w:p>
    <w:p w14:paraId="75F08EE0" w14:textId="77777777" w:rsidR="00E45927" w:rsidRDefault="00000000">
      <w:pPr>
        <w:spacing w:line="360" w:lineRule="auto"/>
        <w:jc w:val="both"/>
        <w:rPr>
          <w:rFonts w:ascii="Book Antiqua" w:hAnsi="Book Antiqua"/>
        </w:rPr>
      </w:pPr>
      <w:r>
        <w:rPr>
          <w:rFonts w:ascii="Book Antiqua" w:hAnsi="Book Antiqua"/>
        </w:rPr>
        <w:t xml:space="preserve">125 </w:t>
      </w:r>
      <w:r>
        <w:rPr>
          <w:rFonts w:ascii="Book Antiqua" w:hAnsi="Book Antiqua"/>
          <w:b/>
          <w:bCs/>
        </w:rPr>
        <w:t>Li Z</w:t>
      </w:r>
      <w:r>
        <w:rPr>
          <w:rFonts w:ascii="Book Antiqua" w:hAnsi="Book Antiqua"/>
        </w:rPr>
        <w:t xml:space="preserve">, Lin M, Li Y, Shao J, Huang R, Qiu Y, Liu Y, Chen L. Total flavonoids of Sophora flavescens and kurarinone ameliorated ulcerative colitis by regulating Th17/Treg cell homeostasis. </w:t>
      </w:r>
      <w:r>
        <w:rPr>
          <w:rFonts w:ascii="Book Antiqua" w:hAnsi="Book Antiqua"/>
          <w:i/>
          <w:iCs/>
        </w:rPr>
        <w:t>J Ethnopharmacol</w:t>
      </w:r>
      <w:r>
        <w:rPr>
          <w:rFonts w:ascii="Book Antiqua" w:hAnsi="Book Antiqua"/>
        </w:rPr>
        <w:t xml:space="preserve"> 2022; </w:t>
      </w:r>
      <w:r>
        <w:rPr>
          <w:rFonts w:ascii="Book Antiqua" w:hAnsi="Book Antiqua"/>
          <w:b/>
          <w:bCs/>
        </w:rPr>
        <w:t>297</w:t>
      </w:r>
      <w:r>
        <w:rPr>
          <w:rFonts w:ascii="Book Antiqua" w:hAnsi="Book Antiqua"/>
        </w:rPr>
        <w:t>: 115500 [PMID: 35863614 DOI: 10.1016/j.jep.2022.115500]</w:t>
      </w:r>
    </w:p>
    <w:p w14:paraId="28A611ED" w14:textId="77777777" w:rsidR="00E45927" w:rsidRDefault="00000000">
      <w:pPr>
        <w:spacing w:line="360" w:lineRule="auto"/>
        <w:jc w:val="both"/>
        <w:rPr>
          <w:rFonts w:ascii="Book Antiqua" w:hAnsi="Book Antiqua"/>
        </w:rPr>
      </w:pPr>
      <w:r>
        <w:rPr>
          <w:rFonts w:ascii="Book Antiqua" w:hAnsi="Book Antiqua"/>
        </w:rPr>
        <w:t xml:space="preserve">126 </w:t>
      </w:r>
      <w:r>
        <w:rPr>
          <w:rFonts w:ascii="Book Antiqua" w:hAnsi="Book Antiqua"/>
          <w:b/>
          <w:bCs/>
        </w:rPr>
        <w:t>Shi G</w:t>
      </w:r>
      <w:r>
        <w:rPr>
          <w:rFonts w:ascii="Book Antiqua" w:hAnsi="Book Antiqua"/>
        </w:rPr>
        <w:t xml:space="preserve">, Kong J, Wang Y, Xuan Z, Xu F. Glycyrrhiza uralensis Fisch. alleviates dextran sulfate sodium-induced colitis in mice through inhibiting of NF-κB signaling pathways and modulating intestinal microbiota. </w:t>
      </w:r>
      <w:r>
        <w:rPr>
          <w:rFonts w:ascii="Book Antiqua" w:hAnsi="Book Antiqua"/>
          <w:i/>
          <w:iCs/>
        </w:rPr>
        <w:t>J Ethnopharmacol</w:t>
      </w:r>
      <w:r>
        <w:rPr>
          <w:rFonts w:ascii="Book Antiqua" w:hAnsi="Book Antiqua"/>
        </w:rPr>
        <w:t xml:space="preserve"> 2022; </w:t>
      </w:r>
      <w:r>
        <w:rPr>
          <w:rFonts w:ascii="Book Antiqua" w:hAnsi="Book Antiqua"/>
          <w:b/>
          <w:bCs/>
        </w:rPr>
        <w:t>298</w:t>
      </w:r>
      <w:r>
        <w:rPr>
          <w:rFonts w:ascii="Book Antiqua" w:hAnsi="Book Antiqua"/>
        </w:rPr>
        <w:t>: 115640 [PMID: 36030029 DOI: 10.1016/j.jep.2022.115640]</w:t>
      </w:r>
    </w:p>
    <w:p w14:paraId="060A6FF7" w14:textId="77777777" w:rsidR="00E45927" w:rsidRDefault="00000000">
      <w:pPr>
        <w:spacing w:line="360" w:lineRule="auto"/>
        <w:jc w:val="both"/>
        <w:rPr>
          <w:rFonts w:ascii="Book Antiqua" w:hAnsi="Book Antiqua"/>
        </w:rPr>
      </w:pPr>
      <w:r>
        <w:rPr>
          <w:rFonts w:ascii="Book Antiqua" w:hAnsi="Book Antiqua"/>
        </w:rPr>
        <w:lastRenderedPageBreak/>
        <w:t xml:space="preserve">127 </w:t>
      </w:r>
      <w:r>
        <w:rPr>
          <w:rFonts w:ascii="Book Antiqua" w:hAnsi="Book Antiqua"/>
          <w:b/>
          <w:bCs/>
        </w:rPr>
        <w:t>Xia S</w:t>
      </w:r>
      <w:r>
        <w:rPr>
          <w:rFonts w:ascii="Book Antiqua" w:hAnsi="Book Antiqua"/>
        </w:rPr>
        <w:t xml:space="preserve">, Chen L, Li Z, Li Y, Zhou Y, Sun S, Su Y, Xu X, Shao J, Zhang Z, Kong D, Zhang F, Zheng S. Qingchang Wenzhong Decoction reduce ulcerative colitis in mice by inhibiting Th17 lymphocyte differentiation. </w:t>
      </w:r>
      <w:r>
        <w:rPr>
          <w:rFonts w:ascii="Book Antiqua" w:hAnsi="Book Antiqua"/>
          <w:i/>
          <w:iCs/>
        </w:rPr>
        <w:t>Phytomedicine</w:t>
      </w:r>
      <w:r>
        <w:rPr>
          <w:rFonts w:ascii="Book Antiqua" w:hAnsi="Book Antiqua"/>
        </w:rPr>
        <w:t xml:space="preserve"> 2022; </w:t>
      </w:r>
      <w:r>
        <w:rPr>
          <w:rFonts w:ascii="Book Antiqua" w:hAnsi="Book Antiqua"/>
          <w:b/>
          <w:bCs/>
        </w:rPr>
        <w:t>107</w:t>
      </w:r>
      <w:r>
        <w:rPr>
          <w:rFonts w:ascii="Book Antiqua" w:hAnsi="Book Antiqua"/>
        </w:rPr>
        <w:t>: 154460 [PMID: 36182798 DOI: 10.1016/j.phymed.2022.154460]</w:t>
      </w:r>
    </w:p>
    <w:p w14:paraId="5976196A" w14:textId="77777777" w:rsidR="00E45927" w:rsidRDefault="00000000">
      <w:pPr>
        <w:spacing w:line="360" w:lineRule="auto"/>
        <w:jc w:val="both"/>
        <w:rPr>
          <w:rFonts w:ascii="Book Antiqua" w:hAnsi="Book Antiqua"/>
        </w:rPr>
      </w:pPr>
      <w:r>
        <w:rPr>
          <w:rFonts w:ascii="Book Antiqua" w:hAnsi="Book Antiqua"/>
        </w:rPr>
        <w:t xml:space="preserve">128 </w:t>
      </w:r>
      <w:r>
        <w:rPr>
          <w:rFonts w:ascii="Book Antiqua" w:hAnsi="Book Antiqua"/>
          <w:b/>
          <w:bCs/>
        </w:rPr>
        <w:t>Xiong X</w:t>
      </w:r>
      <w:r>
        <w:rPr>
          <w:rFonts w:ascii="Book Antiqua" w:hAnsi="Book Antiqua"/>
        </w:rPr>
        <w:t xml:space="preserve">, Cheng Z, Zhou Y, Wu F, Xie L, Lawless L, Dong R, Zhao Y, Yu L, Chen G. HuanglianGanjiang Tang alleviates DSS-induced colitis in mice by inhibiting necroptosis through vitamin D receptor. </w:t>
      </w:r>
      <w:r>
        <w:rPr>
          <w:rFonts w:ascii="Book Antiqua" w:hAnsi="Book Antiqua"/>
          <w:i/>
          <w:iCs/>
        </w:rPr>
        <w:t>J Ethnopharmacol</w:t>
      </w:r>
      <w:r>
        <w:rPr>
          <w:rFonts w:ascii="Book Antiqua" w:hAnsi="Book Antiqua"/>
        </w:rPr>
        <w:t xml:space="preserve"> 2022; </w:t>
      </w:r>
      <w:r>
        <w:rPr>
          <w:rFonts w:ascii="Book Antiqua" w:hAnsi="Book Antiqua"/>
          <w:b/>
          <w:bCs/>
        </w:rPr>
        <w:t>298</w:t>
      </w:r>
      <w:r>
        <w:rPr>
          <w:rFonts w:ascii="Book Antiqua" w:hAnsi="Book Antiqua"/>
        </w:rPr>
        <w:t>: 115655 [PMID: 35988837 DOI: 10.1016/j.jep.2022.115655]</w:t>
      </w:r>
    </w:p>
    <w:p w14:paraId="22B9EAAD" w14:textId="77777777" w:rsidR="00E45927" w:rsidRDefault="00000000">
      <w:pPr>
        <w:spacing w:line="360" w:lineRule="auto"/>
        <w:jc w:val="both"/>
        <w:rPr>
          <w:rFonts w:ascii="Book Antiqua" w:hAnsi="Book Antiqua"/>
        </w:rPr>
      </w:pPr>
      <w:r>
        <w:rPr>
          <w:rFonts w:ascii="Book Antiqua" w:hAnsi="Book Antiqua"/>
        </w:rPr>
        <w:t xml:space="preserve">129 </w:t>
      </w:r>
      <w:r>
        <w:rPr>
          <w:rFonts w:ascii="Book Antiqua" w:hAnsi="Book Antiqua"/>
          <w:b/>
          <w:bCs/>
        </w:rPr>
        <w:t>Zhang G</w:t>
      </w:r>
      <w:r>
        <w:rPr>
          <w:rFonts w:ascii="Book Antiqua" w:hAnsi="Book Antiqua"/>
        </w:rPr>
        <w:t xml:space="preserve">, Liu M, Song M, Wang J, Cai J, Lin C, Li Y, Jin X, Shen C, Chen Z, Cai D, Gao Y, Zhu C, Lin C, Liu C. Patchouli alcohol activates PXR and suppresses the NF-κB-mediated intestinal inflammatory. </w:t>
      </w:r>
      <w:r>
        <w:rPr>
          <w:rFonts w:ascii="Book Antiqua" w:hAnsi="Book Antiqua"/>
          <w:i/>
          <w:iCs/>
        </w:rPr>
        <w:t>J Ethnopharmacol</w:t>
      </w:r>
      <w:r>
        <w:rPr>
          <w:rFonts w:ascii="Book Antiqua" w:hAnsi="Book Antiqua"/>
        </w:rPr>
        <w:t xml:space="preserve"> 2020; </w:t>
      </w:r>
      <w:r>
        <w:rPr>
          <w:rFonts w:ascii="Book Antiqua" w:hAnsi="Book Antiqua"/>
          <w:b/>
          <w:bCs/>
        </w:rPr>
        <w:t>248</w:t>
      </w:r>
      <w:r>
        <w:rPr>
          <w:rFonts w:ascii="Book Antiqua" w:hAnsi="Book Antiqua"/>
        </w:rPr>
        <w:t>: 112302 [PMID: 31614203 DOI: 10.1016/j.jep.2019.112302]</w:t>
      </w:r>
    </w:p>
    <w:p w14:paraId="516CA94A" w14:textId="77777777" w:rsidR="00E45927" w:rsidRDefault="00000000">
      <w:pPr>
        <w:spacing w:line="360" w:lineRule="auto"/>
        <w:jc w:val="both"/>
        <w:rPr>
          <w:rFonts w:ascii="Book Antiqua" w:hAnsi="Book Antiqua"/>
        </w:rPr>
      </w:pPr>
      <w:r>
        <w:rPr>
          <w:rFonts w:ascii="Book Antiqua" w:hAnsi="Book Antiqua"/>
        </w:rPr>
        <w:t xml:space="preserve">130 </w:t>
      </w:r>
      <w:r>
        <w:rPr>
          <w:rFonts w:ascii="Book Antiqua" w:hAnsi="Book Antiqua"/>
          <w:b/>
          <w:bCs/>
        </w:rPr>
        <w:t>Yu Z</w:t>
      </w:r>
      <w:r>
        <w:rPr>
          <w:rFonts w:ascii="Book Antiqua" w:hAnsi="Book Antiqua"/>
        </w:rPr>
        <w:t xml:space="preserve">, Yue B, Ding L, Luo X, Ren Y, Zhang J, Mani S, Wang Z, Dou W. Activation of PXR by Alpinetin Contributes to Abrogate Chemically Induced Inflammatory Bowel Disease. </w:t>
      </w:r>
      <w:r>
        <w:rPr>
          <w:rFonts w:ascii="Book Antiqua" w:hAnsi="Book Antiqua"/>
          <w:i/>
          <w:iCs/>
        </w:rPr>
        <w:t>Front Pharmacol</w:t>
      </w:r>
      <w:r>
        <w:rPr>
          <w:rFonts w:ascii="Book Antiqua" w:hAnsi="Book Antiqua"/>
        </w:rPr>
        <w:t xml:space="preserve"> 2020; </w:t>
      </w:r>
      <w:r>
        <w:rPr>
          <w:rFonts w:ascii="Book Antiqua" w:hAnsi="Book Antiqua"/>
          <w:b/>
          <w:bCs/>
        </w:rPr>
        <w:t>11</w:t>
      </w:r>
      <w:r>
        <w:rPr>
          <w:rFonts w:ascii="Book Antiqua" w:hAnsi="Book Antiqua"/>
        </w:rPr>
        <w:t>: 474 [PMID: 32372959 DOI: 10.3389/fphar.2020.00474]</w:t>
      </w:r>
    </w:p>
    <w:p w14:paraId="50A76FCC" w14:textId="77777777" w:rsidR="00E45927" w:rsidRDefault="00000000">
      <w:pPr>
        <w:spacing w:line="360" w:lineRule="auto"/>
        <w:jc w:val="both"/>
        <w:rPr>
          <w:rFonts w:ascii="Book Antiqua" w:hAnsi="Book Antiqua"/>
        </w:rPr>
      </w:pPr>
      <w:r>
        <w:rPr>
          <w:rFonts w:ascii="Book Antiqua" w:hAnsi="Book Antiqua"/>
        </w:rPr>
        <w:t xml:space="preserve">131 </w:t>
      </w:r>
      <w:r>
        <w:rPr>
          <w:rFonts w:ascii="Book Antiqua" w:hAnsi="Book Antiqua"/>
          <w:b/>
          <w:bCs/>
        </w:rPr>
        <w:t>Mroz MS</w:t>
      </w:r>
      <w:r>
        <w:rPr>
          <w:rFonts w:ascii="Book Antiqua" w:hAnsi="Book Antiqua"/>
        </w:rPr>
        <w:t xml:space="preserve">, Lajczak NK, Goggins BJ, Keely S, Keely SJ. The bile acids, deoxycholic acid and ursodeoxycholic acid, regulate colonic epithelial wound healing. </w:t>
      </w:r>
      <w:r>
        <w:rPr>
          <w:rFonts w:ascii="Book Antiqua" w:hAnsi="Book Antiqua"/>
          <w:i/>
          <w:iCs/>
        </w:rPr>
        <w:t>Am J Physiol Gastrointest Liver Physiol</w:t>
      </w:r>
      <w:r>
        <w:rPr>
          <w:rFonts w:ascii="Book Antiqua" w:hAnsi="Book Antiqua"/>
        </w:rPr>
        <w:t xml:space="preserve"> 2018; </w:t>
      </w:r>
      <w:r>
        <w:rPr>
          <w:rFonts w:ascii="Book Antiqua" w:hAnsi="Book Antiqua"/>
          <w:b/>
          <w:bCs/>
        </w:rPr>
        <w:t>314</w:t>
      </w:r>
      <w:r>
        <w:rPr>
          <w:rFonts w:ascii="Book Antiqua" w:hAnsi="Book Antiqua"/>
        </w:rPr>
        <w:t>: G378-G387 [PMID: 29351391 DOI: 10.1152/ajpgi.00435.2016]</w:t>
      </w:r>
    </w:p>
    <w:p w14:paraId="4278BEE0" w14:textId="77777777" w:rsidR="00E45927" w:rsidRDefault="00000000">
      <w:pPr>
        <w:spacing w:line="360" w:lineRule="auto"/>
        <w:jc w:val="both"/>
        <w:rPr>
          <w:rFonts w:ascii="Book Antiqua" w:hAnsi="Book Antiqua"/>
        </w:rPr>
      </w:pPr>
      <w:r>
        <w:rPr>
          <w:rFonts w:ascii="Book Antiqua" w:hAnsi="Book Antiqua"/>
        </w:rPr>
        <w:t xml:space="preserve">132 </w:t>
      </w:r>
      <w:r>
        <w:rPr>
          <w:rFonts w:ascii="Book Antiqua" w:hAnsi="Book Antiqua"/>
          <w:b/>
          <w:bCs/>
        </w:rPr>
        <w:t>Pi Y</w:t>
      </w:r>
      <w:r>
        <w:rPr>
          <w:rFonts w:ascii="Book Antiqua" w:hAnsi="Book Antiqua"/>
        </w:rPr>
        <w:t xml:space="preserve">, Wu Y, Zhang X, Lu D, Han D, Zhao J, Zheng X, Zhang S, Ye H, Lian S, Bai Y, Wang Z, Tao S, Ni D, Zou X, Jia W, Zhang G, Li D, Wang J. Gut microbiota-derived ursodeoxycholic acid alleviates low birth weight-induced colonic inflammation by enhancing M2 macrophage polarization. </w:t>
      </w:r>
      <w:r>
        <w:rPr>
          <w:rFonts w:ascii="Book Antiqua" w:hAnsi="Book Antiqua"/>
          <w:i/>
          <w:iCs/>
        </w:rPr>
        <w:t>Microbiome</w:t>
      </w:r>
      <w:r>
        <w:rPr>
          <w:rFonts w:ascii="Book Antiqua" w:hAnsi="Book Antiqua"/>
        </w:rPr>
        <w:t xml:space="preserve"> 2023; </w:t>
      </w:r>
      <w:r>
        <w:rPr>
          <w:rFonts w:ascii="Book Antiqua" w:hAnsi="Book Antiqua"/>
          <w:b/>
          <w:bCs/>
        </w:rPr>
        <w:t>11</w:t>
      </w:r>
      <w:r>
        <w:rPr>
          <w:rFonts w:ascii="Book Antiqua" w:hAnsi="Book Antiqua"/>
        </w:rPr>
        <w:t>: 19 [PMID: 36721210 DOI: 10.1186/s40168-022-01458-x]</w:t>
      </w:r>
    </w:p>
    <w:p w14:paraId="2D3F6214" w14:textId="77777777" w:rsidR="00E45927" w:rsidRDefault="00000000">
      <w:pPr>
        <w:spacing w:line="360" w:lineRule="auto"/>
        <w:jc w:val="both"/>
        <w:rPr>
          <w:rFonts w:ascii="Book Antiqua" w:hAnsi="Book Antiqua"/>
        </w:rPr>
      </w:pPr>
      <w:r>
        <w:rPr>
          <w:rFonts w:ascii="Book Antiqua" w:hAnsi="Book Antiqua"/>
        </w:rPr>
        <w:t xml:space="preserve">133 </w:t>
      </w:r>
      <w:r>
        <w:rPr>
          <w:rFonts w:ascii="Book Antiqua" w:hAnsi="Book Antiqua"/>
          <w:b/>
          <w:bCs/>
        </w:rPr>
        <w:t>Streeter PR</w:t>
      </w:r>
      <w:r>
        <w:rPr>
          <w:rFonts w:ascii="Book Antiqua" w:hAnsi="Book Antiqua"/>
        </w:rPr>
        <w:t xml:space="preserve">, Berg EL, Rouse BT, Bargatze RF, Butcher EC. A tissue-specific endothelial cell molecule involved in lymphocyte homing. </w:t>
      </w:r>
      <w:r>
        <w:rPr>
          <w:rFonts w:ascii="Book Antiqua" w:hAnsi="Book Antiqua"/>
          <w:i/>
          <w:iCs/>
        </w:rPr>
        <w:t>Nature</w:t>
      </w:r>
      <w:r>
        <w:rPr>
          <w:rFonts w:ascii="Book Antiqua" w:hAnsi="Book Antiqua"/>
        </w:rPr>
        <w:t xml:space="preserve"> 1988; </w:t>
      </w:r>
      <w:r>
        <w:rPr>
          <w:rFonts w:ascii="Book Antiqua" w:hAnsi="Book Antiqua"/>
          <w:b/>
          <w:bCs/>
        </w:rPr>
        <w:t>331</w:t>
      </w:r>
      <w:r>
        <w:rPr>
          <w:rFonts w:ascii="Book Antiqua" w:hAnsi="Book Antiqua"/>
        </w:rPr>
        <w:t>: 41-46 [PMID: 3340147 DOI: 10.1038/331041a0]</w:t>
      </w:r>
    </w:p>
    <w:p w14:paraId="73A276C6" w14:textId="77777777" w:rsidR="00E45927" w:rsidRDefault="00000000">
      <w:pPr>
        <w:spacing w:line="360" w:lineRule="auto"/>
        <w:jc w:val="both"/>
        <w:rPr>
          <w:rFonts w:ascii="Book Antiqua" w:hAnsi="Book Antiqua"/>
        </w:rPr>
      </w:pPr>
      <w:r>
        <w:rPr>
          <w:rFonts w:ascii="Book Antiqua" w:hAnsi="Book Antiqua"/>
        </w:rPr>
        <w:t xml:space="preserve">134 </w:t>
      </w:r>
      <w:r>
        <w:rPr>
          <w:rFonts w:ascii="Book Antiqua" w:hAnsi="Book Antiqua"/>
          <w:b/>
          <w:bCs/>
        </w:rPr>
        <w:t>Gao RY</w:t>
      </w:r>
      <w:r>
        <w:rPr>
          <w:rFonts w:ascii="Book Antiqua" w:hAnsi="Book Antiqua"/>
        </w:rPr>
        <w:t xml:space="preserve">, Shearn CT, Orlicky DJ, Battista KD, Alexeev EE, Cartwright IM, Lanis JM, Kostelecky RE, Ju C, Colgan SP, Fennimore BP. Bile acids modulate colonic MAdCAM-1 </w:t>
      </w:r>
      <w:r>
        <w:rPr>
          <w:rFonts w:ascii="Book Antiqua" w:hAnsi="Book Antiqua"/>
        </w:rPr>
        <w:lastRenderedPageBreak/>
        <w:t xml:space="preserve">expression in a murine model of combined cholestasis and colitis. </w:t>
      </w:r>
      <w:r>
        <w:rPr>
          <w:rFonts w:ascii="Book Antiqua" w:hAnsi="Book Antiqua"/>
          <w:i/>
          <w:iCs/>
        </w:rPr>
        <w:t>Mucosal Immunol</w:t>
      </w:r>
      <w:r>
        <w:rPr>
          <w:rFonts w:ascii="Book Antiqua" w:hAnsi="Book Antiqua"/>
        </w:rPr>
        <w:t xml:space="preserve"> 2021; </w:t>
      </w:r>
      <w:r>
        <w:rPr>
          <w:rFonts w:ascii="Book Antiqua" w:hAnsi="Book Antiqua"/>
          <w:b/>
          <w:bCs/>
        </w:rPr>
        <w:t>14</w:t>
      </w:r>
      <w:r>
        <w:rPr>
          <w:rFonts w:ascii="Book Antiqua" w:hAnsi="Book Antiqua"/>
        </w:rPr>
        <w:t>: 479-490 [PMID: 33004979 DOI: 10.1038/s41385-020-00347-6]</w:t>
      </w:r>
    </w:p>
    <w:p w14:paraId="3AB37E25" w14:textId="77777777" w:rsidR="00E45927" w:rsidRDefault="00000000">
      <w:pPr>
        <w:spacing w:line="360" w:lineRule="auto"/>
        <w:jc w:val="both"/>
        <w:rPr>
          <w:rFonts w:ascii="Book Antiqua" w:hAnsi="Book Antiqua"/>
        </w:rPr>
      </w:pPr>
      <w:r>
        <w:rPr>
          <w:rFonts w:ascii="Book Antiqua" w:hAnsi="Book Antiqua"/>
        </w:rPr>
        <w:t xml:space="preserve">135 </w:t>
      </w:r>
      <w:r>
        <w:rPr>
          <w:rFonts w:ascii="Book Antiqua" w:hAnsi="Book Antiqua"/>
          <w:b/>
          <w:bCs/>
        </w:rPr>
        <w:t>Lajczak-McGinley NK</w:t>
      </w:r>
      <w:r>
        <w:rPr>
          <w:rFonts w:ascii="Book Antiqua" w:hAnsi="Book Antiqua"/>
        </w:rPr>
        <w:t xml:space="preserve">, Porru E, Fallon CM, Smyth J, Curley C, McCarron PA, Tambuwala MM, Roda A, Keely SJ. The secondary bile acids, ursodeoxycholic acid and lithocholic acid, protect against intestinal inflammation by inhibition of epithelial apoptosis. </w:t>
      </w:r>
      <w:r>
        <w:rPr>
          <w:rFonts w:ascii="Book Antiqua" w:hAnsi="Book Antiqua"/>
          <w:i/>
          <w:iCs/>
        </w:rPr>
        <w:t>Physiol Rep</w:t>
      </w:r>
      <w:r>
        <w:rPr>
          <w:rFonts w:ascii="Book Antiqua" w:hAnsi="Book Antiqua"/>
        </w:rPr>
        <w:t xml:space="preserve"> 2020; </w:t>
      </w:r>
      <w:r>
        <w:rPr>
          <w:rFonts w:ascii="Book Antiqua" w:hAnsi="Book Antiqua"/>
          <w:b/>
          <w:bCs/>
        </w:rPr>
        <w:t>8</w:t>
      </w:r>
      <w:r>
        <w:rPr>
          <w:rFonts w:ascii="Book Antiqua" w:hAnsi="Book Antiqua"/>
        </w:rPr>
        <w:t>: e14456 [PMID: 32562381 DOI: 10.14814/phy2.14456]</w:t>
      </w:r>
    </w:p>
    <w:p w14:paraId="12FB20CB" w14:textId="77777777" w:rsidR="00E45927" w:rsidRDefault="00000000">
      <w:pPr>
        <w:spacing w:line="360" w:lineRule="auto"/>
        <w:jc w:val="both"/>
        <w:rPr>
          <w:rFonts w:ascii="Book Antiqua" w:hAnsi="Book Antiqua"/>
        </w:rPr>
      </w:pPr>
      <w:r>
        <w:rPr>
          <w:rFonts w:ascii="Book Antiqua" w:hAnsi="Book Antiqua"/>
        </w:rPr>
        <w:t xml:space="preserve">136 </w:t>
      </w:r>
      <w:r>
        <w:rPr>
          <w:rFonts w:ascii="Book Antiqua" w:hAnsi="Book Antiqua"/>
          <w:b/>
          <w:bCs/>
        </w:rPr>
        <w:t>Ward JBJ</w:t>
      </w:r>
      <w:r>
        <w:rPr>
          <w:rFonts w:ascii="Book Antiqua" w:hAnsi="Book Antiqua"/>
        </w:rPr>
        <w:t xml:space="preserve">, Lajczak NK, Kelly OB, O'Dwyer AM, Giddam AK, Ní Gabhann J, Franco P, Tambuwala MM, Jefferies CA, Keely S, Roda A, Keely SJ. Ursodeoxycholic acid and lithocholic acid exert anti-inflammatory actions in the colon. </w:t>
      </w:r>
      <w:r>
        <w:rPr>
          <w:rFonts w:ascii="Book Antiqua" w:hAnsi="Book Antiqua"/>
          <w:i/>
          <w:iCs/>
        </w:rPr>
        <w:t>Am J Physiol Gastrointest Liver Physiol</w:t>
      </w:r>
      <w:r>
        <w:rPr>
          <w:rFonts w:ascii="Book Antiqua" w:hAnsi="Book Antiqua"/>
        </w:rPr>
        <w:t xml:space="preserve"> 2017; </w:t>
      </w:r>
      <w:r>
        <w:rPr>
          <w:rFonts w:ascii="Book Antiqua" w:hAnsi="Book Antiqua"/>
          <w:b/>
          <w:bCs/>
        </w:rPr>
        <w:t>312</w:t>
      </w:r>
      <w:r>
        <w:rPr>
          <w:rFonts w:ascii="Book Antiqua" w:hAnsi="Book Antiqua"/>
        </w:rPr>
        <w:t>: G550-G558 [PMID: 28360029 DOI: 10.1152/ajpgi.00256.2016]</w:t>
      </w:r>
    </w:p>
    <w:p w14:paraId="4725CCEF" w14:textId="77777777" w:rsidR="00E45927" w:rsidRDefault="00000000">
      <w:pPr>
        <w:spacing w:line="360" w:lineRule="auto"/>
        <w:jc w:val="both"/>
        <w:rPr>
          <w:rFonts w:ascii="Book Antiqua" w:hAnsi="Book Antiqua"/>
        </w:rPr>
      </w:pPr>
      <w:r>
        <w:rPr>
          <w:rFonts w:ascii="Book Antiqua" w:hAnsi="Book Antiqua"/>
        </w:rPr>
        <w:t xml:space="preserve">137 </w:t>
      </w:r>
      <w:r>
        <w:rPr>
          <w:rFonts w:ascii="Book Antiqua" w:hAnsi="Book Antiqua"/>
          <w:b/>
          <w:bCs/>
        </w:rPr>
        <w:t>Barberio B</w:t>
      </w:r>
      <w:r>
        <w:rPr>
          <w:rFonts w:ascii="Book Antiqua" w:hAnsi="Book Antiqua"/>
        </w:rPr>
        <w:t xml:space="preserve">, Segal JP, Quraishi MN, Black CJ, Savarino EV, Ford AC. Efficacy of Oral, Topical, or Combined Oral and Topical 5-Aminosalicylates, in Ulcerative Colitis: Systematic Review and Network Meta-analysis. </w:t>
      </w:r>
      <w:r>
        <w:rPr>
          <w:rFonts w:ascii="Book Antiqua" w:hAnsi="Book Antiqua"/>
          <w:i/>
          <w:iCs/>
        </w:rPr>
        <w:t>J Crohns Colitis</w:t>
      </w:r>
      <w:r>
        <w:rPr>
          <w:rFonts w:ascii="Book Antiqua" w:hAnsi="Book Antiqua"/>
        </w:rPr>
        <w:t xml:space="preserve"> 2021; </w:t>
      </w:r>
      <w:r>
        <w:rPr>
          <w:rFonts w:ascii="Book Antiqua" w:hAnsi="Book Antiqua"/>
          <w:b/>
          <w:bCs/>
        </w:rPr>
        <w:t>15</w:t>
      </w:r>
      <w:r>
        <w:rPr>
          <w:rFonts w:ascii="Book Antiqua" w:hAnsi="Book Antiqua"/>
        </w:rPr>
        <w:t>: 1184-1196 [PMID: 33433562 DOI: 10.1093/ecco-jcc/jjab010]</w:t>
      </w:r>
    </w:p>
    <w:p w14:paraId="1033C7B7" w14:textId="77777777" w:rsidR="00E45927" w:rsidRDefault="00000000">
      <w:pPr>
        <w:spacing w:line="360" w:lineRule="auto"/>
        <w:jc w:val="both"/>
        <w:rPr>
          <w:rFonts w:ascii="Book Antiqua" w:hAnsi="Book Antiqua"/>
        </w:rPr>
      </w:pPr>
      <w:r>
        <w:rPr>
          <w:rFonts w:ascii="Book Antiqua" w:hAnsi="Book Antiqua"/>
        </w:rPr>
        <w:t xml:space="preserve">138 </w:t>
      </w:r>
      <w:r>
        <w:rPr>
          <w:rFonts w:ascii="Book Antiqua" w:hAnsi="Book Antiqua"/>
          <w:b/>
          <w:bCs/>
        </w:rPr>
        <w:t>Wang Z</w:t>
      </w:r>
      <w:r>
        <w:rPr>
          <w:rFonts w:ascii="Book Antiqua" w:hAnsi="Book Antiqua"/>
        </w:rPr>
        <w:t xml:space="preserve">, Chen J, Chen Z, Xie L, Wang W. Clinical effects of ursodeoxycholic acid on patients with ulcerative colitis may improve via the regulation of IL-23-IL-17 axis and the changes of the proportion of intestinal microflora. </w:t>
      </w:r>
      <w:r>
        <w:rPr>
          <w:rFonts w:ascii="Book Antiqua" w:hAnsi="Book Antiqua"/>
          <w:i/>
          <w:iCs/>
        </w:rPr>
        <w:t>Saudi J Gastroenterol</w:t>
      </w:r>
      <w:r>
        <w:rPr>
          <w:rFonts w:ascii="Book Antiqua" w:hAnsi="Book Antiqua"/>
        </w:rPr>
        <w:t xml:space="preserve"> 2021; </w:t>
      </w:r>
      <w:r>
        <w:rPr>
          <w:rFonts w:ascii="Book Antiqua" w:hAnsi="Book Antiqua"/>
          <w:b/>
          <w:bCs/>
        </w:rPr>
        <w:t>27</w:t>
      </w:r>
      <w:r>
        <w:rPr>
          <w:rFonts w:ascii="Book Antiqua" w:hAnsi="Book Antiqua"/>
        </w:rPr>
        <w:t>: 149-157 [PMID: 33835051 DOI: 10.4103/sjg.SJG_462_20]</w:t>
      </w:r>
    </w:p>
    <w:p w14:paraId="2D81779F" w14:textId="77777777" w:rsidR="00E45927" w:rsidRDefault="00000000">
      <w:pPr>
        <w:spacing w:line="360" w:lineRule="auto"/>
        <w:jc w:val="both"/>
        <w:rPr>
          <w:rFonts w:ascii="Book Antiqua" w:hAnsi="Book Antiqua"/>
        </w:rPr>
      </w:pPr>
      <w:r>
        <w:rPr>
          <w:rFonts w:ascii="Book Antiqua" w:hAnsi="Book Antiqua"/>
        </w:rPr>
        <w:t xml:space="preserve">139 </w:t>
      </w:r>
      <w:r>
        <w:rPr>
          <w:rFonts w:ascii="Book Antiqua" w:hAnsi="Book Antiqua"/>
          <w:b/>
          <w:bCs/>
        </w:rPr>
        <w:t>Van den Bossche L</w:t>
      </w:r>
      <w:r>
        <w:rPr>
          <w:rFonts w:ascii="Book Antiqua" w:hAnsi="Book Antiqua"/>
        </w:rPr>
        <w:t xml:space="preserve">, Borsboom D, Devriese S, Van Welden S, Holvoet T, Devisscher L, Hindryckx P, De Vos M, Laukens D. Tauroursodeoxycholic acid protects bile acid homeostasis under inflammatory conditions and dampens Crohn's disease-like ileitis. </w:t>
      </w:r>
      <w:r>
        <w:rPr>
          <w:rFonts w:ascii="Book Antiqua" w:hAnsi="Book Antiqua"/>
          <w:i/>
          <w:iCs/>
        </w:rPr>
        <w:t>Lab Invest</w:t>
      </w:r>
      <w:r>
        <w:rPr>
          <w:rFonts w:ascii="Book Antiqua" w:hAnsi="Book Antiqua"/>
        </w:rPr>
        <w:t xml:space="preserve"> 2017; </w:t>
      </w:r>
      <w:r>
        <w:rPr>
          <w:rFonts w:ascii="Book Antiqua" w:hAnsi="Book Antiqua"/>
          <w:b/>
          <w:bCs/>
        </w:rPr>
        <w:t>97</w:t>
      </w:r>
      <w:r>
        <w:rPr>
          <w:rFonts w:ascii="Book Antiqua" w:hAnsi="Book Antiqua"/>
        </w:rPr>
        <w:t>: 519-529 [PMID: 28165466 DOI: 10.1038/labinvest.2017.6]</w:t>
      </w:r>
    </w:p>
    <w:p w14:paraId="5AD6D4D2" w14:textId="77777777" w:rsidR="00E45927" w:rsidRDefault="00000000">
      <w:pPr>
        <w:spacing w:line="360" w:lineRule="auto"/>
        <w:jc w:val="both"/>
        <w:rPr>
          <w:rFonts w:ascii="Book Antiqua" w:hAnsi="Book Antiqua"/>
        </w:rPr>
      </w:pPr>
      <w:r>
        <w:rPr>
          <w:rFonts w:ascii="Book Antiqua" w:hAnsi="Book Antiqua"/>
        </w:rPr>
        <w:t xml:space="preserve">140 </w:t>
      </w:r>
      <w:r>
        <w:rPr>
          <w:rFonts w:ascii="Book Antiqua" w:hAnsi="Book Antiqua"/>
          <w:b/>
          <w:bCs/>
        </w:rPr>
        <w:t>Yang Y</w:t>
      </w:r>
      <w:r>
        <w:rPr>
          <w:rFonts w:ascii="Book Antiqua" w:hAnsi="Book Antiqua"/>
        </w:rPr>
        <w:t xml:space="preserve">, He J, Suo Y, Zheng Z, Wang J, Lv L, Huo C, Wang Z, Li J, Sun W, Zhang Y. Tauroursodeoxycholate improves 2,4,6-trinitrobenzenesulfonic acid-induced experimental acute ulcerative colitis in mice. </w:t>
      </w:r>
      <w:r>
        <w:rPr>
          <w:rFonts w:ascii="Book Antiqua" w:hAnsi="Book Antiqua"/>
          <w:i/>
          <w:iCs/>
        </w:rPr>
        <w:t>Int Immunopharmacol</w:t>
      </w:r>
      <w:r>
        <w:rPr>
          <w:rFonts w:ascii="Book Antiqua" w:hAnsi="Book Antiqua"/>
        </w:rPr>
        <w:t xml:space="preserve"> 2016; </w:t>
      </w:r>
      <w:r>
        <w:rPr>
          <w:rFonts w:ascii="Book Antiqua" w:hAnsi="Book Antiqua"/>
          <w:b/>
          <w:bCs/>
        </w:rPr>
        <w:t>36</w:t>
      </w:r>
      <w:r>
        <w:rPr>
          <w:rFonts w:ascii="Book Antiqua" w:hAnsi="Book Antiqua"/>
        </w:rPr>
        <w:t>: 271-276 [PMID: 27179450 DOI: 10.1016/j.intimp.2016.04.037]</w:t>
      </w:r>
    </w:p>
    <w:p w14:paraId="7EAF4FC1" w14:textId="77777777" w:rsidR="00E45927" w:rsidRDefault="00000000">
      <w:pPr>
        <w:spacing w:line="360" w:lineRule="auto"/>
        <w:jc w:val="both"/>
        <w:rPr>
          <w:rFonts w:ascii="Book Antiqua" w:hAnsi="Book Antiqua"/>
        </w:rPr>
      </w:pPr>
      <w:r>
        <w:rPr>
          <w:rFonts w:ascii="Book Antiqua" w:hAnsi="Book Antiqua"/>
        </w:rPr>
        <w:t xml:space="preserve">141 </w:t>
      </w:r>
      <w:r>
        <w:rPr>
          <w:rFonts w:ascii="Book Antiqua" w:hAnsi="Book Antiqua"/>
          <w:b/>
          <w:bCs/>
        </w:rPr>
        <w:t>Van den Bossche L</w:t>
      </w:r>
      <w:r>
        <w:rPr>
          <w:rFonts w:ascii="Book Antiqua" w:hAnsi="Book Antiqua"/>
        </w:rPr>
        <w:t xml:space="preserve">, Hindryckx P, Devisscher L, Devriese S, Van Welden S, Holvoet T, Vilchez-Vargas R, Vital M, Pieper DH, Vanden Bussche J, Vanhaecke L, Van de Wiele T, De Vos M, Laukens D. Ursodeoxycholic Acid and Its Taurine- or Glycine-Conjugated </w:t>
      </w:r>
      <w:r>
        <w:rPr>
          <w:rFonts w:ascii="Book Antiqua" w:hAnsi="Book Antiqua"/>
        </w:rPr>
        <w:lastRenderedPageBreak/>
        <w:t xml:space="preserve">Species Reduce Colitogenic Dysbiosis and Equally Suppress Experimental Colitis in Mice. </w:t>
      </w:r>
      <w:r>
        <w:rPr>
          <w:rFonts w:ascii="Book Antiqua" w:hAnsi="Book Antiqua"/>
          <w:i/>
          <w:iCs/>
        </w:rPr>
        <w:t>Appl Environ Microbiol</w:t>
      </w:r>
      <w:r>
        <w:rPr>
          <w:rFonts w:ascii="Book Antiqua" w:hAnsi="Book Antiqua"/>
        </w:rPr>
        <w:t xml:space="preserve"> 2017; </w:t>
      </w:r>
      <w:r>
        <w:rPr>
          <w:rFonts w:ascii="Book Antiqua" w:hAnsi="Book Antiqua"/>
          <w:b/>
          <w:bCs/>
        </w:rPr>
        <w:t>83</w:t>
      </w:r>
      <w:r>
        <w:rPr>
          <w:rFonts w:ascii="Book Antiqua" w:hAnsi="Book Antiqua"/>
        </w:rPr>
        <w:t xml:space="preserve"> [PMID: 28115375 DOI: 10.1128/AEM.02766-16]</w:t>
      </w:r>
    </w:p>
    <w:p w14:paraId="2693ACA8" w14:textId="77777777" w:rsidR="00E45927" w:rsidRDefault="00000000">
      <w:pPr>
        <w:spacing w:line="360" w:lineRule="auto"/>
        <w:jc w:val="both"/>
        <w:rPr>
          <w:rFonts w:ascii="Book Antiqua" w:hAnsi="Book Antiqua"/>
        </w:rPr>
      </w:pPr>
      <w:r>
        <w:rPr>
          <w:rFonts w:ascii="Book Antiqua" w:hAnsi="Book Antiqua"/>
        </w:rPr>
        <w:t xml:space="preserve">142 </w:t>
      </w:r>
      <w:r>
        <w:rPr>
          <w:rFonts w:ascii="Book Antiqua" w:hAnsi="Book Antiqua"/>
          <w:b/>
          <w:bCs/>
        </w:rPr>
        <w:t>Yang Y</w:t>
      </w:r>
      <w:r>
        <w:rPr>
          <w:rFonts w:ascii="Book Antiqua" w:hAnsi="Book Antiqua"/>
        </w:rPr>
        <w:t xml:space="preserve">, He J, Suo Y, Lv L, Wang J, Huo C, Zheng Z, Wang Z, Li J, Sun W, Zhang Y. Anti-inflammatory effect of taurocholate on TNBS-induced ulcerative colitis in mice. </w:t>
      </w:r>
      <w:r>
        <w:rPr>
          <w:rFonts w:ascii="Book Antiqua" w:hAnsi="Book Antiqua"/>
          <w:i/>
          <w:iCs/>
        </w:rPr>
        <w:t>Biomed Pharmacother</w:t>
      </w:r>
      <w:r>
        <w:rPr>
          <w:rFonts w:ascii="Book Antiqua" w:hAnsi="Book Antiqua"/>
        </w:rPr>
        <w:t xml:space="preserve"> 2016; </w:t>
      </w:r>
      <w:r>
        <w:rPr>
          <w:rFonts w:ascii="Book Antiqua" w:hAnsi="Book Antiqua"/>
          <w:b/>
          <w:bCs/>
        </w:rPr>
        <w:t>81</w:t>
      </w:r>
      <w:r>
        <w:rPr>
          <w:rFonts w:ascii="Book Antiqua" w:hAnsi="Book Antiqua"/>
        </w:rPr>
        <w:t>: 424-430 [PMID: 27261622 DOI: 10.1016/j.biopha.2016.04.037]</w:t>
      </w:r>
    </w:p>
    <w:p w14:paraId="0A536128" w14:textId="77777777" w:rsidR="00E45927" w:rsidRDefault="00000000">
      <w:pPr>
        <w:spacing w:line="360" w:lineRule="auto"/>
        <w:jc w:val="both"/>
        <w:rPr>
          <w:rFonts w:ascii="Book Antiqua" w:hAnsi="Book Antiqua"/>
        </w:rPr>
      </w:pPr>
      <w:r>
        <w:rPr>
          <w:rFonts w:ascii="Book Antiqua" w:hAnsi="Book Antiqua"/>
        </w:rPr>
        <w:t xml:space="preserve">143 </w:t>
      </w:r>
      <w:r>
        <w:rPr>
          <w:rFonts w:ascii="Book Antiqua" w:hAnsi="Book Antiqua"/>
          <w:b/>
          <w:bCs/>
        </w:rPr>
        <w:t>Watanabe S</w:t>
      </w:r>
      <w:r>
        <w:rPr>
          <w:rFonts w:ascii="Book Antiqua" w:hAnsi="Book Antiqua"/>
        </w:rPr>
        <w:t xml:space="preserve">, Chen Z, Fujita K, Nishikawa M, Ueda H, Iguchi Y, Une M, Nishida T, Imura J. Hyodeoxycholic Acid (HDCA) Prevents Development of Dextran Sulfate Sodium (DSS)-Induced Colitis in Mice: Possible Role of Synergism between DSS and HDCA in Increasing Fecal Bile Acid Levels. </w:t>
      </w:r>
      <w:r>
        <w:rPr>
          <w:rFonts w:ascii="Book Antiqua" w:hAnsi="Book Antiqua"/>
          <w:i/>
          <w:iCs/>
        </w:rPr>
        <w:t>Biol Pharm Bull</w:t>
      </w:r>
      <w:r>
        <w:rPr>
          <w:rFonts w:ascii="Book Antiqua" w:hAnsi="Book Antiqua"/>
        </w:rPr>
        <w:t xml:space="preserve"> 2022; </w:t>
      </w:r>
      <w:r>
        <w:rPr>
          <w:rFonts w:ascii="Book Antiqua" w:hAnsi="Book Antiqua"/>
          <w:b/>
          <w:bCs/>
        </w:rPr>
        <w:t>45</w:t>
      </w:r>
      <w:r>
        <w:rPr>
          <w:rFonts w:ascii="Book Antiqua" w:hAnsi="Book Antiqua"/>
        </w:rPr>
        <w:t>: 1503-1509 [PMID: 36184509 DOI: 10.1248/bpb.b22-00373]</w:t>
      </w:r>
    </w:p>
    <w:p w14:paraId="3BC2F0E1" w14:textId="77777777" w:rsidR="00E45927" w:rsidRDefault="00000000">
      <w:pPr>
        <w:spacing w:line="360" w:lineRule="auto"/>
        <w:jc w:val="both"/>
        <w:rPr>
          <w:rFonts w:ascii="Book Antiqua" w:hAnsi="Book Antiqua"/>
        </w:rPr>
      </w:pPr>
      <w:r>
        <w:rPr>
          <w:rFonts w:ascii="Book Antiqua" w:hAnsi="Book Antiqua"/>
        </w:rPr>
        <w:t xml:space="preserve">144 </w:t>
      </w:r>
      <w:r>
        <w:rPr>
          <w:rFonts w:ascii="Book Antiqua" w:hAnsi="Book Antiqua"/>
          <w:b/>
          <w:bCs/>
        </w:rPr>
        <w:t>Eaton JE</w:t>
      </w:r>
      <w:r>
        <w:rPr>
          <w:rFonts w:ascii="Book Antiqua" w:hAnsi="Book Antiqua"/>
        </w:rPr>
        <w:t xml:space="preserve">, Silveira MG, Pardi DS, Sinakos E, Kowdley KV, Luketic VA, Harrison ME, McCashland T, Befeler AS, Harnois D, Jorgensen R, Petz J, Lindor KD. High-dose ursodeoxycholic acid is associated with the development of colorectal neoplasia in patients with ulcerative colitis and primary sclerosing cholangitis. </w:t>
      </w:r>
      <w:r>
        <w:rPr>
          <w:rFonts w:ascii="Book Antiqua" w:hAnsi="Book Antiqua"/>
          <w:i/>
          <w:iCs/>
        </w:rPr>
        <w:t>Am J Gastroenterol</w:t>
      </w:r>
      <w:r>
        <w:rPr>
          <w:rFonts w:ascii="Book Antiqua" w:hAnsi="Book Antiqua"/>
        </w:rPr>
        <w:t xml:space="preserve"> 2011; </w:t>
      </w:r>
      <w:r>
        <w:rPr>
          <w:rFonts w:ascii="Book Antiqua" w:hAnsi="Book Antiqua"/>
          <w:b/>
          <w:bCs/>
        </w:rPr>
        <w:t>106</w:t>
      </w:r>
      <w:r>
        <w:rPr>
          <w:rFonts w:ascii="Book Antiqua" w:hAnsi="Book Antiqua"/>
        </w:rPr>
        <w:t>: 1638-1645 [PMID: 21556038 DOI: 10.1038/ajg.2011.156]</w:t>
      </w:r>
    </w:p>
    <w:p w14:paraId="409FCE2A" w14:textId="77777777" w:rsidR="00E45927" w:rsidRDefault="00000000">
      <w:pPr>
        <w:spacing w:line="360" w:lineRule="auto"/>
        <w:jc w:val="both"/>
        <w:rPr>
          <w:rFonts w:ascii="Book Antiqua" w:hAnsi="Book Antiqua"/>
        </w:rPr>
      </w:pPr>
      <w:r>
        <w:rPr>
          <w:rFonts w:ascii="Book Antiqua" w:hAnsi="Book Antiqua"/>
        </w:rPr>
        <w:t xml:space="preserve">145 </w:t>
      </w:r>
      <w:r>
        <w:rPr>
          <w:rFonts w:ascii="Book Antiqua" w:hAnsi="Book Antiqua"/>
          <w:b/>
          <w:bCs/>
        </w:rPr>
        <w:t>Li L</w:t>
      </w:r>
      <w:r>
        <w:rPr>
          <w:rFonts w:ascii="Book Antiqua" w:hAnsi="Book Antiqua"/>
        </w:rPr>
        <w:t xml:space="preserve">, Liu T, Gu Y, Wang X, Xie R, Sun Y, Wang B, Cao H. Regulation of gut microbiota-bile acids axis by probiotics in inflammatory bowel disease. </w:t>
      </w:r>
      <w:r>
        <w:rPr>
          <w:rFonts w:ascii="Book Antiqua" w:hAnsi="Book Antiqua"/>
          <w:i/>
          <w:iCs/>
        </w:rPr>
        <w:t>Front Immunol</w:t>
      </w:r>
      <w:r>
        <w:rPr>
          <w:rFonts w:ascii="Book Antiqua" w:hAnsi="Book Antiqua"/>
        </w:rPr>
        <w:t xml:space="preserve"> 2022; </w:t>
      </w:r>
      <w:r>
        <w:rPr>
          <w:rFonts w:ascii="Book Antiqua" w:hAnsi="Book Antiqua"/>
          <w:b/>
          <w:bCs/>
        </w:rPr>
        <w:t>13</w:t>
      </w:r>
      <w:r>
        <w:rPr>
          <w:rFonts w:ascii="Book Antiqua" w:hAnsi="Book Antiqua"/>
        </w:rPr>
        <w:t>: 974305 [PMID: 36211363 DOI: 10.3389/fimmu.2022.974305]</w:t>
      </w:r>
    </w:p>
    <w:p w14:paraId="4DB506B6" w14:textId="77777777" w:rsidR="00E45927" w:rsidRDefault="00000000">
      <w:pPr>
        <w:spacing w:line="360" w:lineRule="auto"/>
        <w:jc w:val="both"/>
        <w:rPr>
          <w:rFonts w:ascii="Book Antiqua" w:hAnsi="Book Antiqua"/>
        </w:rPr>
      </w:pPr>
      <w:r>
        <w:rPr>
          <w:rFonts w:ascii="Book Antiqua" w:hAnsi="Book Antiqua"/>
        </w:rPr>
        <w:t xml:space="preserve">146 </w:t>
      </w:r>
      <w:r>
        <w:rPr>
          <w:rFonts w:ascii="Book Antiqua" w:hAnsi="Book Antiqua"/>
          <w:b/>
          <w:bCs/>
        </w:rPr>
        <w:t>Jakubczyk D</w:t>
      </w:r>
      <w:r>
        <w:rPr>
          <w:rFonts w:ascii="Book Antiqua" w:hAnsi="Book Antiqua"/>
        </w:rPr>
        <w:t xml:space="preserve">, Leszczyńska K, Górska S. The Effectiveness of Probiotics in the Treatment of Inflammatory Bowel Disease (IBD)-A Critical Review. </w:t>
      </w:r>
      <w:r>
        <w:rPr>
          <w:rFonts w:ascii="Book Antiqua" w:hAnsi="Book Antiqua"/>
          <w:i/>
          <w:iCs/>
        </w:rPr>
        <w:t>Nutrients</w:t>
      </w:r>
      <w:r>
        <w:rPr>
          <w:rFonts w:ascii="Book Antiqua" w:hAnsi="Book Antiqua"/>
        </w:rPr>
        <w:t xml:space="preserve"> 2020; </w:t>
      </w:r>
      <w:r>
        <w:rPr>
          <w:rFonts w:ascii="Book Antiqua" w:hAnsi="Book Antiqua"/>
          <w:b/>
          <w:bCs/>
        </w:rPr>
        <w:t>12</w:t>
      </w:r>
      <w:r>
        <w:rPr>
          <w:rFonts w:ascii="Book Antiqua" w:hAnsi="Book Antiqua"/>
        </w:rPr>
        <w:t xml:space="preserve"> [PMID: 32630805 DOI: 10.3390/nu12071973]</w:t>
      </w:r>
    </w:p>
    <w:p w14:paraId="34CF4BB6" w14:textId="77777777" w:rsidR="00E45927" w:rsidRDefault="00000000">
      <w:pPr>
        <w:spacing w:line="360" w:lineRule="auto"/>
        <w:jc w:val="both"/>
        <w:rPr>
          <w:rFonts w:ascii="Book Antiqua" w:hAnsi="Book Antiqua"/>
        </w:rPr>
      </w:pPr>
      <w:r>
        <w:rPr>
          <w:rFonts w:ascii="Book Antiqua" w:hAnsi="Book Antiqua"/>
        </w:rPr>
        <w:t xml:space="preserve">147 </w:t>
      </w:r>
      <w:r>
        <w:rPr>
          <w:rFonts w:ascii="Book Antiqua" w:hAnsi="Book Antiqua"/>
          <w:b/>
          <w:bCs/>
        </w:rPr>
        <w:t>Binda S</w:t>
      </w:r>
      <w:r>
        <w:rPr>
          <w:rFonts w:ascii="Book Antiqua" w:hAnsi="Book Antiqua"/>
        </w:rPr>
        <w:t xml:space="preserve">, Hill C, Johansen E, Obis D, Pot B, Sanders ME, Tremblay A, Ouwehand AC. Criteria to Qualify Microorganisms as "Probiotic" in Foods and Dietary Supplements. </w:t>
      </w:r>
      <w:r>
        <w:rPr>
          <w:rFonts w:ascii="Book Antiqua" w:hAnsi="Book Antiqua"/>
          <w:i/>
          <w:iCs/>
        </w:rPr>
        <w:t>Front Microbiol</w:t>
      </w:r>
      <w:r>
        <w:rPr>
          <w:rFonts w:ascii="Book Antiqua" w:hAnsi="Book Antiqua"/>
        </w:rPr>
        <w:t xml:space="preserve"> 2020; </w:t>
      </w:r>
      <w:r>
        <w:rPr>
          <w:rFonts w:ascii="Book Antiqua" w:hAnsi="Book Antiqua"/>
          <w:b/>
          <w:bCs/>
        </w:rPr>
        <w:t>11</w:t>
      </w:r>
      <w:r>
        <w:rPr>
          <w:rFonts w:ascii="Book Antiqua" w:hAnsi="Book Antiqua"/>
        </w:rPr>
        <w:t>: 1662 [PMID: 32793153 DOI: 10.3389/fmicb.2020.01662]</w:t>
      </w:r>
    </w:p>
    <w:p w14:paraId="0F98458F" w14:textId="77777777" w:rsidR="00E45927" w:rsidRDefault="00000000">
      <w:pPr>
        <w:spacing w:line="360" w:lineRule="auto"/>
        <w:jc w:val="both"/>
        <w:rPr>
          <w:rFonts w:ascii="Book Antiqua" w:hAnsi="Book Antiqua"/>
        </w:rPr>
      </w:pPr>
      <w:r>
        <w:rPr>
          <w:rFonts w:ascii="Book Antiqua" w:hAnsi="Book Antiqua"/>
        </w:rPr>
        <w:t xml:space="preserve">148 </w:t>
      </w:r>
      <w:r>
        <w:rPr>
          <w:rFonts w:ascii="Book Antiqua" w:hAnsi="Book Antiqua"/>
          <w:b/>
          <w:bCs/>
        </w:rPr>
        <w:t>Wong WY</w:t>
      </w:r>
      <w:r>
        <w:rPr>
          <w:rFonts w:ascii="Book Antiqua" w:hAnsi="Book Antiqua"/>
        </w:rPr>
        <w:t xml:space="preserve">, Chan BD, Sham TT, Lee MM, Chan CO, Chau CT, Mok DK, Kwan YW, Tai WC. Lactobacillus casei Strain Shirota Ameliorates Dextran Sulfate Sodium-Induced Colitis in Mice by Increasing Taurine-Conjugated Bile Acids and Inhibiting NF-κB </w:t>
      </w:r>
      <w:r>
        <w:rPr>
          <w:rFonts w:ascii="Book Antiqua" w:hAnsi="Book Antiqua"/>
        </w:rPr>
        <w:lastRenderedPageBreak/>
        <w:t xml:space="preserve">Signaling via Stabilization of IκBα. </w:t>
      </w:r>
      <w:r>
        <w:rPr>
          <w:rFonts w:ascii="Book Antiqua" w:hAnsi="Book Antiqua"/>
          <w:i/>
          <w:iCs/>
        </w:rPr>
        <w:t>Front Nutr</w:t>
      </w:r>
      <w:r>
        <w:rPr>
          <w:rFonts w:ascii="Book Antiqua" w:hAnsi="Book Antiqua"/>
        </w:rPr>
        <w:t xml:space="preserve"> 2022; </w:t>
      </w:r>
      <w:r>
        <w:rPr>
          <w:rFonts w:ascii="Book Antiqua" w:hAnsi="Book Antiqua"/>
          <w:b/>
          <w:bCs/>
        </w:rPr>
        <w:t>9</w:t>
      </w:r>
      <w:r>
        <w:rPr>
          <w:rFonts w:ascii="Book Antiqua" w:hAnsi="Book Antiqua"/>
        </w:rPr>
        <w:t>: 816836 [PMID: 35529468 DOI: 10.3389/fnut.2022.816836]</w:t>
      </w:r>
    </w:p>
    <w:p w14:paraId="5FB13A84" w14:textId="77777777" w:rsidR="00E45927" w:rsidRDefault="00000000">
      <w:pPr>
        <w:spacing w:line="360" w:lineRule="auto"/>
        <w:jc w:val="both"/>
        <w:rPr>
          <w:rFonts w:ascii="Book Antiqua" w:hAnsi="Book Antiqua"/>
        </w:rPr>
      </w:pPr>
      <w:r>
        <w:rPr>
          <w:rFonts w:ascii="Book Antiqua" w:hAnsi="Book Antiqua"/>
        </w:rPr>
        <w:t xml:space="preserve">149 </w:t>
      </w:r>
      <w:r>
        <w:rPr>
          <w:rFonts w:ascii="Book Antiqua" w:hAnsi="Book Antiqua"/>
          <w:b/>
          <w:bCs/>
        </w:rPr>
        <w:t>Liu Z</w:t>
      </w:r>
      <w:r>
        <w:rPr>
          <w:rFonts w:ascii="Book Antiqua" w:hAnsi="Book Antiqua"/>
        </w:rPr>
        <w:t xml:space="preserve">, Wang H. Probiotics alleviate inflammatory bowel disease in mice by regulating intestinal microorganisms-bile acid-NLRP3 inflammasome pathway. </w:t>
      </w:r>
      <w:r>
        <w:rPr>
          <w:rFonts w:ascii="Book Antiqua" w:hAnsi="Book Antiqua"/>
          <w:i/>
          <w:iCs/>
        </w:rPr>
        <w:t>Acta Biochim Pol</w:t>
      </w:r>
      <w:r>
        <w:rPr>
          <w:rFonts w:ascii="Book Antiqua" w:hAnsi="Book Antiqua"/>
        </w:rPr>
        <w:t xml:space="preserve"> 2021; </w:t>
      </w:r>
      <w:r>
        <w:rPr>
          <w:rFonts w:ascii="Book Antiqua" w:hAnsi="Book Antiqua"/>
          <w:b/>
          <w:bCs/>
        </w:rPr>
        <w:t>68</w:t>
      </w:r>
      <w:r>
        <w:rPr>
          <w:rFonts w:ascii="Book Antiqua" w:hAnsi="Book Antiqua"/>
        </w:rPr>
        <w:t>: 687-693 [PMID: 34648252 DOI: 10.18388/abp.2020_5597]</w:t>
      </w:r>
    </w:p>
    <w:p w14:paraId="2D1EC34E" w14:textId="77777777" w:rsidR="00E45927" w:rsidRDefault="00000000">
      <w:pPr>
        <w:spacing w:line="360" w:lineRule="auto"/>
        <w:jc w:val="both"/>
        <w:rPr>
          <w:rFonts w:ascii="Book Antiqua" w:hAnsi="Book Antiqua"/>
        </w:rPr>
      </w:pPr>
      <w:r>
        <w:rPr>
          <w:rFonts w:ascii="Book Antiqua" w:hAnsi="Book Antiqua"/>
        </w:rPr>
        <w:t xml:space="preserve">150 </w:t>
      </w:r>
      <w:r>
        <w:rPr>
          <w:rFonts w:ascii="Book Antiqua" w:hAnsi="Book Antiqua"/>
          <w:b/>
          <w:bCs/>
        </w:rPr>
        <w:t>Lu R</w:t>
      </w:r>
      <w:r>
        <w:rPr>
          <w:rFonts w:ascii="Book Antiqua" w:hAnsi="Book Antiqua"/>
        </w:rPr>
        <w:t xml:space="preserve">, Shang M, Zhang YG, Jiao Y, Xia Y, Garrett S, Bakke D, Bäuerl C, Martinez GP, Kim CH, Kang SM, Sun J. Lactic Acid Bacteria Isolated From Korean Kimchi Activate the Vitamin D Receptor-autophagy Signaling Pathways. </w:t>
      </w:r>
      <w:r>
        <w:rPr>
          <w:rFonts w:ascii="Book Antiqua" w:hAnsi="Book Antiqua"/>
          <w:i/>
          <w:iCs/>
        </w:rPr>
        <w:t>Inflamm Bowel Dis</w:t>
      </w:r>
      <w:r>
        <w:rPr>
          <w:rFonts w:ascii="Book Antiqua" w:hAnsi="Book Antiqua"/>
        </w:rPr>
        <w:t xml:space="preserve"> 2020; </w:t>
      </w:r>
      <w:r>
        <w:rPr>
          <w:rFonts w:ascii="Book Antiqua" w:hAnsi="Book Antiqua"/>
          <w:b/>
          <w:bCs/>
        </w:rPr>
        <w:t>26</w:t>
      </w:r>
      <w:r>
        <w:rPr>
          <w:rFonts w:ascii="Book Antiqua" w:hAnsi="Book Antiqua"/>
        </w:rPr>
        <w:t>: 1199-1211 [PMID: 32170938 DOI: 10.1093/ibd/izaa049]</w:t>
      </w:r>
    </w:p>
    <w:p w14:paraId="103749A7" w14:textId="77777777" w:rsidR="00E45927" w:rsidRDefault="00000000">
      <w:pPr>
        <w:spacing w:line="360" w:lineRule="auto"/>
        <w:jc w:val="both"/>
        <w:rPr>
          <w:rFonts w:ascii="Book Antiqua" w:hAnsi="Book Antiqua"/>
        </w:rPr>
      </w:pPr>
      <w:r>
        <w:rPr>
          <w:rFonts w:ascii="Book Antiqua" w:hAnsi="Book Antiqua"/>
        </w:rPr>
        <w:t xml:space="preserve">151 </w:t>
      </w:r>
      <w:r>
        <w:rPr>
          <w:rFonts w:ascii="Book Antiqua" w:hAnsi="Book Antiqua"/>
          <w:b/>
          <w:bCs/>
        </w:rPr>
        <w:t>Zhou C</w:t>
      </w:r>
      <w:r>
        <w:rPr>
          <w:rFonts w:ascii="Book Antiqua" w:hAnsi="Book Antiqua"/>
        </w:rPr>
        <w:t xml:space="preserve">, Wang Y, Li C, Xie Z, Dai L. Amelioration of Colitis by a Gut Bacterial Consortium Producing Anti-Inflammatory Secondary Bile Acids. </w:t>
      </w:r>
      <w:r>
        <w:rPr>
          <w:rFonts w:ascii="Book Antiqua" w:hAnsi="Book Antiqua"/>
          <w:i/>
          <w:iCs/>
        </w:rPr>
        <w:t>Microbiol Spectr</w:t>
      </w:r>
      <w:r>
        <w:rPr>
          <w:rFonts w:ascii="Book Antiqua" w:hAnsi="Book Antiqua"/>
        </w:rPr>
        <w:t xml:space="preserve"> 2023; </w:t>
      </w:r>
      <w:r>
        <w:rPr>
          <w:rFonts w:ascii="Book Antiqua" w:hAnsi="Book Antiqua"/>
          <w:b/>
          <w:bCs/>
        </w:rPr>
        <w:t>11</w:t>
      </w:r>
      <w:r>
        <w:rPr>
          <w:rFonts w:ascii="Book Antiqua" w:hAnsi="Book Antiqua"/>
        </w:rPr>
        <w:t>: e0333022 [PMID: 36943054 DOI: 10.1128/spectrum.03330-22]</w:t>
      </w:r>
    </w:p>
    <w:p w14:paraId="341135A1" w14:textId="77777777" w:rsidR="00E45927" w:rsidRDefault="00000000">
      <w:pPr>
        <w:spacing w:line="360" w:lineRule="auto"/>
        <w:jc w:val="both"/>
        <w:rPr>
          <w:rFonts w:ascii="Book Antiqua" w:hAnsi="Book Antiqua"/>
        </w:rPr>
      </w:pPr>
      <w:r>
        <w:rPr>
          <w:rFonts w:ascii="Book Antiqua" w:hAnsi="Book Antiqua"/>
        </w:rPr>
        <w:t xml:space="preserve">152 </w:t>
      </w:r>
      <w:r>
        <w:rPr>
          <w:rFonts w:ascii="Book Antiqua" w:hAnsi="Book Antiqua"/>
          <w:b/>
          <w:bCs/>
        </w:rPr>
        <w:t>Xiao F</w:t>
      </w:r>
      <w:r>
        <w:rPr>
          <w:rFonts w:ascii="Book Antiqua" w:hAnsi="Book Antiqua"/>
        </w:rPr>
        <w:t xml:space="preserve">, Dong F, Li X, Li Y, Yu G, Liu Z, Wang Y, Zhang T. Bifidobacterium longum CECT 7894 Improves the Efficacy of Infliximab for DSS-Induced Colitis via Regulating the Gut Microbiota and Bile Acid Metabolism. </w:t>
      </w:r>
      <w:r>
        <w:rPr>
          <w:rFonts w:ascii="Book Antiqua" w:hAnsi="Book Antiqua"/>
          <w:i/>
          <w:iCs/>
        </w:rPr>
        <w:t>Front Pharmacol</w:t>
      </w:r>
      <w:r>
        <w:rPr>
          <w:rFonts w:ascii="Book Antiqua" w:hAnsi="Book Antiqua"/>
        </w:rPr>
        <w:t xml:space="preserve"> 2022; </w:t>
      </w:r>
      <w:r>
        <w:rPr>
          <w:rFonts w:ascii="Book Antiqua" w:hAnsi="Book Antiqua"/>
          <w:b/>
          <w:bCs/>
        </w:rPr>
        <w:t>13</w:t>
      </w:r>
      <w:r>
        <w:rPr>
          <w:rFonts w:ascii="Book Antiqua" w:hAnsi="Book Antiqua"/>
        </w:rPr>
        <w:t>: 902337 [PMID: 35979230 DOI: 10.3389/fphar.2022.902337]</w:t>
      </w:r>
    </w:p>
    <w:p w14:paraId="1343308A" w14:textId="77777777" w:rsidR="00E45927" w:rsidRDefault="00000000">
      <w:pPr>
        <w:spacing w:line="360" w:lineRule="auto"/>
        <w:jc w:val="both"/>
        <w:rPr>
          <w:rFonts w:ascii="Book Antiqua" w:hAnsi="Book Antiqua"/>
        </w:rPr>
      </w:pPr>
      <w:r>
        <w:rPr>
          <w:rFonts w:ascii="Book Antiqua" w:hAnsi="Book Antiqua"/>
        </w:rPr>
        <w:t xml:space="preserve">153 </w:t>
      </w:r>
      <w:r>
        <w:rPr>
          <w:rFonts w:ascii="Book Antiqua" w:hAnsi="Book Antiqua"/>
          <w:b/>
          <w:bCs/>
        </w:rPr>
        <w:t>Costello SP</w:t>
      </w:r>
      <w:r>
        <w:rPr>
          <w:rFonts w:ascii="Book Antiqua" w:hAnsi="Book Antiqua"/>
        </w:rPr>
        <w:t xml:space="preserve">, Hughes PA, Waters O, Bryant RV, Vincent AD, Blatchford P, Katsikeros R, Makanyanga J, Campaniello MA, Mavrangelos C, Rosewarne CP, Bickley C, Peters C, Schoeman MN, Conlon MA, Roberts-Thomson IC, Andrews JM. Effect of Fecal Microbiota Transplantation on 8-Week Remission in Patients With Ulcerative Colitis: A Randomized Clinical Trial. </w:t>
      </w:r>
      <w:r>
        <w:rPr>
          <w:rFonts w:ascii="Book Antiqua" w:hAnsi="Book Antiqua"/>
          <w:i/>
          <w:iCs/>
        </w:rPr>
        <w:t>JAMA</w:t>
      </w:r>
      <w:r>
        <w:rPr>
          <w:rFonts w:ascii="Book Antiqua" w:hAnsi="Book Antiqua"/>
        </w:rPr>
        <w:t xml:space="preserve"> 2019; </w:t>
      </w:r>
      <w:r>
        <w:rPr>
          <w:rFonts w:ascii="Book Antiqua" w:hAnsi="Book Antiqua"/>
          <w:b/>
          <w:bCs/>
        </w:rPr>
        <w:t>321</w:t>
      </w:r>
      <w:r>
        <w:rPr>
          <w:rFonts w:ascii="Book Antiqua" w:hAnsi="Book Antiqua"/>
        </w:rPr>
        <w:t>: 156-164 [PMID: 30644982 DOI: 10.1001/jama.2018.20046]</w:t>
      </w:r>
    </w:p>
    <w:p w14:paraId="13A9E9D0" w14:textId="77777777" w:rsidR="00E45927" w:rsidRDefault="00000000">
      <w:pPr>
        <w:spacing w:line="360" w:lineRule="auto"/>
        <w:jc w:val="both"/>
        <w:rPr>
          <w:rFonts w:ascii="Book Antiqua" w:hAnsi="Book Antiqua"/>
        </w:rPr>
      </w:pPr>
      <w:r>
        <w:rPr>
          <w:rFonts w:ascii="Book Antiqua" w:hAnsi="Book Antiqua"/>
        </w:rPr>
        <w:t xml:space="preserve">154 </w:t>
      </w:r>
      <w:r>
        <w:rPr>
          <w:rFonts w:ascii="Book Antiqua" w:hAnsi="Book Antiqua"/>
          <w:b/>
          <w:bCs/>
        </w:rPr>
        <w:t>Kelly CR</w:t>
      </w:r>
      <w:r>
        <w:rPr>
          <w:rFonts w:ascii="Book Antiqua" w:hAnsi="Book Antiqua"/>
        </w:rPr>
        <w:t xml:space="preserve">, Yen EF, Grinspan AM, Kahn SA, Atreja A, Lewis JD, Moore TA, Rubin DT, Kim AM, Serra S, Nersesova Y, Fredell L, Hunsicker D, McDonald D, Knight R, Allegretti JR, Pekow J, Absah I, Hsu R, Vincent J, Khanna S, Tangen L, Crawford CV, Mattar MC, Chen LA, Fischer M, Arsenescu RI, Feuerstadt P, Goldstein J, Kerman D, Ehrlich AC, Wu GD, Laine L. Fecal Microbiota Transplantation Is Highly Effective in Real-World Practice: Initial Results From the FMT National Registry. </w:t>
      </w:r>
      <w:r>
        <w:rPr>
          <w:rFonts w:ascii="Book Antiqua" w:hAnsi="Book Antiqua"/>
          <w:i/>
          <w:iCs/>
        </w:rPr>
        <w:t>Gastroenterology</w:t>
      </w:r>
      <w:r>
        <w:rPr>
          <w:rFonts w:ascii="Book Antiqua" w:hAnsi="Book Antiqua"/>
        </w:rPr>
        <w:t xml:space="preserve"> 2021; </w:t>
      </w:r>
      <w:r>
        <w:rPr>
          <w:rFonts w:ascii="Book Antiqua" w:hAnsi="Book Antiqua"/>
          <w:b/>
          <w:bCs/>
        </w:rPr>
        <w:t>160</w:t>
      </w:r>
      <w:r>
        <w:rPr>
          <w:rFonts w:ascii="Book Antiqua" w:hAnsi="Book Antiqua"/>
        </w:rPr>
        <w:t>: 183-192.e3 [PMID: 33011173 DOI: 10.1053/j.gastro.2020.09.038]</w:t>
      </w:r>
    </w:p>
    <w:p w14:paraId="787B9591" w14:textId="77777777" w:rsidR="00E45927" w:rsidRDefault="00000000">
      <w:pPr>
        <w:spacing w:line="360" w:lineRule="auto"/>
        <w:jc w:val="both"/>
        <w:rPr>
          <w:rFonts w:ascii="Book Antiqua" w:hAnsi="Book Antiqua"/>
        </w:rPr>
      </w:pPr>
      <w:r>
        <w:rPr>
          <w:rFonts w:ascii="Book Antiqua" w:hAnsi="Book Antiqua"/>
        </w:rPr>
        <w:lastRenderedPageBreak/>
        <w:t xml:space="preserve">155 </w:t>
      </w:r>
      <w:r>
        <w:rPr>
          <w:rFonts w:ascii="Book Antiqua" w:hAnsi="Book Antiqua"/>
          <w:b/>
          <w:bCs/>
        </w:rPr>
        <w:t>Lima SF</w:t>
      </w:r>
      <w:r>
        <w:rPr>
          <w:rFonts w:ascii="Book Antiqua" w:hAnsi="Book Antiqua"/>
        </w:rPr>
        <w:t xml:space="preserve">, Gogokhia L, Viladomiu M, Chou L, Putzel G, Jin WB, Pires S, Guo CJ, Gerardin Y, Crawford CV, Jacob V, Scherl E, Brown SE, Hambor J, Longman RS. Transferable Immunoglobulin A-Coated Odoribacter splanchnicus in Responders to Fecal Microbiota Transplantation for Ulcerative Colitis Limits Colonic Inflammation. </w:t>
      </w:r>
      <w:r>
        <w:rPr>
          <w:rFonts w:ascii="Book Antiqua" w:hAnsi="Book Antiqua"/>
          <w:i/>
          <w:iCs/>
        </w:rPr>
        <w:t>Gastroenterology</w:t>
      </w:r>
      <w:r>
        <w:rPr>
          <w:rFonts w:ascii="Book Antiqua" w:hAnsi="Book Antiqua"/>
        </w:rPr>
        <w:t xml:space="preserve"> 2022; </w:t>
      </w:r>
      <w:r>
        <w:rPr>
          <w:rFonts w:ascii="Book Antiqua" w:hAnsi="Book Antiqua"/>
          <w:b/>
          <w:bCs/>
        </w:rPr>
        <w:t>162</w:t>
      </w:r>
      <w:r>
        <w:rPr>
          <w:rFonts w:ascii="Book Antiqua" w:hAnsi="Book Antiqua"/>
        </w:rPr>
        <w:t>: 166-178 [PMID: 34606847 DOI: 10.1053/j.gastro.2021.09.061]</w:t>
      </w:r>
    </w:p>
    <w:p w14:paraId="3825E70B" w14:textId="77777777" w:rsidR="00E45927" w:rsidRDefault="00000000">
      <w:pPr>
        <w:spacing w:line="360" w:lineRule="auto"/>
        <w:jc w:val="both"/>
        <w:rPr>
          <w:rFonts w:ascii="Book Antiqua" w:hAnsi="Book Antiqua"/>
        </w:rPr>
      </w:pPr>
      <w:r>
        <w:rPr>
          <w:rFonts w:ascii="Book Antiqua" w:hAnsi="Book Antiqua"/>
        </w:rPr>
        <w:t xml:space="preserve">156 </w:t>
      </w:r>
      <w:r>
        <w:rPr>
          <w:rFonts w:ascii="Book Antiqua" w:hAnsi="Book Antiqua"/>
          <w:b/>
          <w:bCs/>
        </w:rPr>
        <w:t>Huang C</w:t>
      </w:r>
      <w:r>
        <w:rPr>
          <w:rFonts w:ascii="Book Antiqua" w:hAnsi="Book Antiqua"/>
        </w:rPr>
        <w:t xml:space="preserve">, Mei Q, Lou L, Huang Z, Fu Y, Fan J, Wang J, Yin N, Zheng Y, Lu Y, Zeng Y. Ulcerative Colitis in Response to Fecal Microbiota Transplantation via Modulation of Gut Microbiota and Th17/Treg Cell Balance. </w:t>
      </w:r>
      <w:r>
        <w:rPr>
          <w:rFonts w:ascii="Book Antiqua" w:hAnsi="Book Antiqua"/>
          <w:i/>
          <w:iCs/>
        </w:rPr>
        <w:t>Cells</w:t>
      </w:r>
      <w:r>
        <w:rPr>
          <w:rFonts w:ascii="Book Antiqua" w:hAnsi="Book Antiqua"/>
        </w:rPr>
        <w:t xml:space="preserve"> 2022; </w:t>
      </w:r>
      <w:r>
        <w:rPr>
          <w:rFonts w:ascii="Book Antiqua" w:hAnsi="Book Antiqua"/>
          <w:b/>
          <w:bCs/>
        </w:rPr>
        <w:t>11</w:t>
      </w:r>
      <w:r>
        <w:rPr>
          <w:rFonts w:ascii="Book Antiqua" w:hAnsi="Book Antiqua"/>
        </w:rPr>
        <w:t xml:space="preserve"> [PMID: 35681546 DOI: 10.3390/cells11111851]</w:t>
      </w:r>
    </w:p>
    <w:p w14:paraId="211D6525" w14:textId="77777777" w:rsidR="00E45927" w:rsidRDefault="00000000">
      <w:pPr>
        <w:spacing w:line="360" w:lineRule="auto"/>
        <w:jc w:val="both"/>
        <w:rPr>
          <w:rFonts w:ascii="Book Antiqua" w:hAnsi="Book Antiqua"/>
        </w:rPr>
      </w:pPr>
      <w:r>
        <w:rPr>
          <w:rFonts w:ascii="Book Antiqua" w:hAnsi="Book Antiqua"/>
        </w:rPr>
        <w:t xml:space="preserve">157 </w:t>
      </w:r>
      <w:r>
        <w:rPr>
          <w:rFonts w:ascii="Book Antiqua" w:hAnsi="Book Antiqua"/>
          <w:b/>
          <w:bCs/>
        </w:rPr>
        <w:t>Huo X</w:t>
      </w:r>
      <w:r>
        <w:rPr>
          <w:rFonts w:ascii="Book Antiqua" w:hAnsi="Book Antiqua"/>
        </w:rPr>
        <w:t xml:space="preserve">, Li D, Wu F, Li S, Qiao Y, Wang C, Wang Y, Zhou C, Sun L, Luan Z, Yan Q, Wang J, Zhang Y, Zhao T, An Y, Zhang B, Tian X, Yu Z, Ma X. Cultivated human intestinal fungus Candida metapsilosis M2006B attenuates colitis by secreting acyclic sesquiterpenoids as FXR agonists. </w:t>
      </w:r>
      <w:r>
        <w:rPr>
          <w:rFonts w:ascii="Book Antiqua" w:hAnsi="Book Antiqua"/>
          <w:i/>
          <w:iCs/>
        </w:rPr>
        <w:t>Gut</w:t>
      </w:r>
      <w:r>
        <w:rPr>
          <w:rFonts w:ascii="Book Antiqua" w:hAnsi="Book Antiqua"/>
        </w:rPr>
        <w:t xml:space="preserve"> 2022; </w:t>
      </w:r>
      <w:r>
        <w:rPr>
          <w:rFonts w:ascii="Book Antiqua" w:hAnsi="Book Antiqua"/>
          <w:b/>
          <w:bCs/>
        </w:rPr>
        <w:t>71</w:t>
      </w:r>
      <w:r>
        <w:rPr>
          <w:rFonts w:ascii="Book Antiqua" w:hAnsi="Book Antiqua"/>
        </w:rPr>
        <w:t>: 2205-2217 [PMID: 35173042 DOI: 10.1136/gutjnl-2021-325413]</w:t>
      </w:r>
    </w:p>
    <w:p w14:paraId="7FBDEF3D" w14:textId="77777777" w:rsidR="00E45927" w:rsidRDefault="00000000">
      <w:pPr>
        <w:spacing w:line="360" w:lineRule="auto"/>
        <w:jc w:val="both"/>
        <w:rPr>
          <w:rFonts w:ascii="Book Antiqua" w:hAnsi="Book Antiqua"/>
        </w:rPr>
      </w:pPr>
      <w:r>
        <w:rPr>
          <w:rFonts w:ascii="Book Antiqua" w:hAnsi="Book Antiqua"/>
        </w:rPr>
        <w:t xml:space="preserve">158 </w:t>
      </w:r>
      <w:r>
        <w:rPr>
          <w:rFonts w:ascii="Book Antiqua" w:hAnsi="Book Antiqua"/>
          <w:b/>
          <w:bCs/>
        </w:rPr>
        <w:t>Smith BJ</w:t>
      </w:r>
      <w:r>
        <w:rPr>
          <w:rFonts w:ascii="Book Antiqua" w:hAnsi="Book Antiqua"/>
        </w:rPr>
        <w:t xml:space="preserve">, Piceno Y, Zydek M, Zhang B, Syriani LA, Terdiman JP, Kassam Z, Ma A, Lynch SV, Pollard KS, El-Nachef N. Strain-resolved analysis in a randomized trial of antibiotic pretreatment and maintenance dose delivery mode with fecal microbiota transplant for ulcerative colitis. </w:t>
      </w:r>
      <w:r>
        <w:rPr>
          <w:rFonts w:ascii="Book Antiqua" w:hAnsi="Book Antiqua"/>
          <w:i/>
          <w:iCs/>
        </w:rPr>
        <w:t>Sci Rep</w:t>
      </w:r>
      <w:r>
        <w:rPr>
          <w:rFonts w:ascii="Book Antiqua" w:hAnsi="Book Antiqua"/>
        </w:rPr>
        <w:t xml:space="preserve"> 2022; </w:t>
      </w:r>
      <w:r>
        <w:rPr>
          <w:rFonts w:ascii="Book Antiqua" w:hAnsi="Book Antiqua"/>
          <w:b/>
          <w:bCs/>
        </w:rPr>
        <w:t>12</w:t>
      </w:r>
      <w:r>
        <w:rPr>
          <w:rFonts w:ascii="Book Antiqua" w:hAnsi="Book Antiqua"/>
        </w:rPr>
        <w:t>: 5517 [PMID: 35365713 DOI: 10.1038/s41598-022-09307-5]</w:t>
      </w:r>
    </w:p>
    <w:p w14:paraId="348FFD35" w14:textId="77777777" w:rsidR="00E45927" w:rsidRDefault="00000000">
      <w:pPr>
        <w:spacing w:line="360" w:lineRule="auto"/>
        <w:jc w:val="both"/>
        <w:rPr>
          <w:rFonts w:ascii="Book Antiqua" w:hAnsi="Book Antiqua"/>
        </w:rPr>
      </w:pPr>
      <w:r>
        <w:rPr>
          <w:rFonts w:ascii="Book Antiqua" w:hAnsi="Book Antiqua"/>
        </w:rPr>
        <w:t xml:space="preserve">159 </w:t>
      </w:r>
      <w:r>
        <w:rPr>
          <w:rFonts w:ascii="Book Antiqua" w:hAnsi="Book Antiqua"/>
          <w:b/>
          <w:bCs/>
        </w:rPr>
        <w:t>Staels B</w:t>
      </w:r>
      <w:r>
        <w:rPr>
          <w:rFonts w:ascii="Book Antiqua" w:hAnsi="Book Antiqua"/>
        </w:rPr>
        <w:t xml:space="preserve">, Kuipers F. Bile acid sequestrants and the treatment of type 2 diabetes mellitus. </w:t>
      </w:r>
      <w:r>
        <w:rPr>
          <w:rFonts w:ascii="Book Antiqua" w:hAnsi="Book Antiqua"/>
          <w:i/>
          <w:iCs/>
        </w:rPr>
        <w:t>Drugs</w:t>
      </w:r>
      <w:r>
        <w:rPr>
          <w:rFonts w:ascii="Book Antiqua" w:hAnsi="Book Antiqua"/>
        </w:rPr>
        <w:t xml:space="preserve"> 2007; </w:t>
      </w:r>
      <w:r>
        <w:rPr>
          <w:rFonts w:ascii="Book Antiqua" w:hAnsi="Book Antiqua"/>
          <w:b/>
          <w:bCs/>
        </w:rPr>
        <w:t>67</w:t>
      </w:r>
      <w:r>
        <w:rPr>
          <w:rFonts w:ascii="Book Antiqua" w:hAnsi="Book Antiqua"/>
        </w:rPr>
        <w:t>: 1383-1392 [PMID: 17600387 DOI: 10.2165/00003495-200767100-00001]</w:t>
      </w:r>
    </w:p>
    <w:p w14:paraId="12F1B273" w14:textId="77777777" w:rsidR="00E45927" w:rsidRDefault="00000000">
      <w:pPr>
        <w:spacing w:line="360" w:lineRule="auto"/>
        <w:jc w:val="both"/>
        <w:rPr>
          <w:rFonts w:ascii="Book Antiqua" w:hAnsi="Book Antiqua"/>
        </w:rPr>
      </w:pPr>
      <w:r>
        <w:rPr>
          <w:rFonts w:ascii="Book Antiqua" w:hAnsi="Book Antiqua"/>
        </w:rPr>
        <w:t xml:space="preserve">160 </w:t>
      </w:r>
      <w:r>
        <w:rPr>
          <w:rFonts w:ascii="Book Antiqua" w:hAnsi="Book Antiqua"/>
          <w:b/>
          <w:bCs/>
        </w:rPr>
        <w:t>Islam MS</w:t>
      </w:r>
      <w:r>
        <w:rPr>
          <w:rFonts w:ascii="Book Antiqua" w:hAnsi="Book Antiqua"/>
        </w:rPr>
        <w:t xml:space="preserve">, Sharif A, Kwan N, Tam KC. Bile Acid Sequestrants for Hypercholesterolemia Treatment Using Sustainable Biopolymers: Recent Advances and Future Perspectives. </w:t>
      </w:r>
      <w:r>
        <w:rPr>
          <w:rFonts w:ascii="Book Antiqua" w:hAnsi="Book Antiqua"/>
          <w:i/>
          <w:iCs/>
        </w:rPr>
        <w:t>Mol Pharm</w:t>
      </w:r>
      <w:r>
        <w:rPr>
          <w:rFonts w:ascii="Book Antiqua" w:hAnsi="Book Antiqua"/>
        </w:rPr>
        <w:t xml:space="preserve"> 2022; </w:t>
      </w:r>
      <w:r>
        <w:rPr>
          <w:rFonts w:ascii="Book Antiqua" w:hAnsi="Book Antiqua"/>
          <w:b/>
          <w:bCs/>
        </w:rPr>
        <w:t>19</w:t>
      </w:r>
      <w:r>
        <w:rPr>
          <w:rFonts w:ascii="Book Antiqua" w:hAnsi="Book Antiqua"/>
        </w:rPr>
        <w:t>: 1248-1272 [PMID: 35333534 DOI: 10.1021/acs.molpharmaceut.2c00007]</w:t>
      </w:r>
    </w:p>
    <w:p w14:paraId="5D57913C" w14:textId="77777777" w:rsidR="00E45927" w:rsidRDefault="00000000">
      <w:pPr>
        <w:spacing w:line="360" w:lineRule="auto"/>
        <w:jc w:val="both"/>
        <w:rPr>
          <w:rFonts w:ascii="Book Antiqua" w:hAnsi="Book Antiqua"/>
        </w:rPr>
      </w:pPr>
      <w:r>
        <w:rPr>
          <w:rFonts w:ascii="Book Antiqua" w:hAnsi="Book Antiqua"/>
        </w:rPr>
        <w:t xml:space="preserve">161 </w:t>
      </w:r>
      <w:r>
        <w:rPr>
          <w:rFonts w:ascii="Book Antiqua" w:hAnsi="Book Antiqua"/>
          <w:b/>
          <w:bCs/>
        </w:rPr>
        <w:t>Vítek L</w:t>
      </w:r>
      <w:r>
        <w:rPr>
          <w:rFonts w:ascii="Book Antiqua" w:hAnsi="Book Antiqua"/>
        </w:rPr>
        <w:t xml:space="preserve">. Bile acid malabsorption in inflammatory bowel disease. </w:t>
      </w:r>
      <w:r>
        <w:rPr>
          <w:rFonts w:ascii="Book Antiqua" w:hAnsi="Book Antiqua"/>
          <w:i/>
          <w:iCs/>
        </w:rPr>
        <w:t>Inflamm Bowel Dis</w:t>
      </w:r>
      <w:r>
        <w:rPr>
          <w:rFonts w:ascii="Book Antiqua" w:hAnsi="Book Antiqua"/>
        </w:rPr>
        <w:t xml:space="preserve"> 2015; </w:t>
      </w:r>
      <w:r>
        <w:rPr>
          <w:rFonts w:ascii="Book Antiqua" w:hAnsi="Book Antiqua"/>
          <w:b/>
          <w:bCs/>
        </w:rPr>
        <w:t>21</w:t>
      </w:r>
      <w:r>
        <w:rPr>
          <w:rFonts w:ascii="Book Antiqua" w:hAnsi="Book Antiqua"/>
        </w:rPr>
        <w:t>: 476-483 [PMID: 25248001 DOI: 10.1097/MIB.0000000000000193]</w:t>
      </w:r>
    </w:p>
    <w:p w14:paraId="036B9221" w14:textId="77777777" w:rsidR="00E45927" w:rsidRDefault="00000000">
      <w:pPr>
        <w:spacing w:line="360" w:lineRule="auto"/>
        <w:jc w:val="both"/>
        <w:rPr>
          <w:rFonts w:ascii="Book Antiqua" w:hAnsi="Book Antiqua"/>
        </w:rPr>
      </w:pPr>
      <w:r>
        <w:rPr>
          <w:rFonts w:ascii="Book Antiqua" w:hAnsi="Book Antiqua"/>
        </w:rPr>
        <w:lastRenderedPageBreak/>
        <w:t xml:space="preserve">162 </w:t>
      </w:r>
      <w:r>
        <w:rPr>
          <w:rFonts w:ascii="Book Antiqua" w:hAnsi="Book Antiqua"/>
          <w:b/>
          <w:bCs/>
        </w:rPr>
        <w:t>Mena Bares LMª</w:t>
      </w:r>
      <w:r>
        <w:rPr>
          <w:rFonts w:ascii="Book Antiqua" w:hAnsi="Book Antiqua"/>
        </w:rPr>
        <w:t xml:space="preserve">, Benítez Cantero JM, Iglesias Flores E, Gros Alcalde B, Moreno Ortega E, Maza Muret FR, Carmona Asenjo E, García Sánchez MªV, Vallejo Casas JA. Bile acid malabsorption in patients with chronic diarrhea and Crohn's disease. </w:t>
      </w:r>
      <w:r>
        <w:rPr>
          <w:rFonts w:ascii="Book Antiqua" w:hAnsi="Book Antiqua"/>
          <w:i/>
          <w:iCs/>
        </w:rPr>
        <w:t>Rev Esp Enferm Dig</w:t>
      </w:r>
      <w:r>
        <w:rPr>
          <w:rFonts w:ascii="Book Antiqua" w:hAnsi="Book Antiqua"/>
        </w:rPr>
        <w:t xml:space="preserve"> 2019; </w:t>
      </w:r>
      <w:r>
        <w:rPr>
          <w:rFonts w:ascii="Book Antiqua" w:hAnsi="Book Antiqua"/>
          <w:b/>
          <w:bCs/>
        </w:rPr>
        <w:t>111</w:t>
      </w:r>
      <w:r>
        <w:rPr>
          <w:rFonts w:ascii="Book Antiqua" w:hAnsi="Book Antiqua"/>
        </w:rPr>
        <w:t>: 40-45 [PMID: 30284903 DOI: 10.17235/reed.2018.5376/2017]</w:t>
      </w:r>
    </w:p>
    <w:p w14:paraId="50D19B9B" w14:textId="77777777" w:rsidR="00E45927" w:rsidRDefault="00000000">
      <w:pPr>
        <w:spacing w:line="360" w:lineRule="auto"/>
        <w:jc w:val="both"/>
        <w:rPr>
          <w:rFonts w:ascii="Book Antiqua" w:hAnsi="Book Antiqua"/>
        </w:rPr>
      </w:pPr>
      <w:r>
        <w:rPr>
          <w:rFonts w:ascii="Book Antiqua" w:hAnsi="Book Antiqua"/>
        </w:rPr>
        <w:t xml:space="preserve">163 </w:t>
      </w:r>
      <w:r>
        <w:rPr>
          <w:rFonts w:ascii="Book Antiqua" w:hAnsi="Book Antiqua"/>
          <w:b/>
          <w:bCs/>
        </w:rPr>
        <w:t>Kumar A</w:t>
      </w:r>
      <w:r>
        <w:rPr>
          <w:rFonts w:ascii="Book Antiqua" w:hAnsi="Book Antiqua"/>
        </w:rPr>
        <w:t xml:space="preserve">, Galbraith N, Al-Hassi HO, Jain M, Phipps O, Butterworth J, Steed H, McLaughlin J, Brookes MJ. The impact of treatment with bile acid sequestrants on quality of life in patients with bile acid diarrhoea. </w:t>
      </w:r>
      <w:r>
        <w:rPr>
          <w:rFonts w:ascii="Book Antiqua" w:hAnsi="Book Antiqua"/>
          <w:i/>
          <w:iCs/>
        </w:rPr>
        <w:t>BMC Gastroenterol</w:t>
      </w:r>
      <w:r>
        <w:rPr>
          <w:rFonts w:ascii="Book Antiqua" w:hAnsi="Book Antiqua"/>
        </w:rPr>
        <w:t xml:space="preserve"> 2022; </w:t>
      </w:r>
      <w:r>
        <w:rPr>
          <w:rFonts w:ascii="Book Antiqua" w:hAnsi="Book Antiqua"/>
          <w:b/>
          <w:bCs/>
        </w:rPr>
        <w:t>22</w:t>
      </w:r>
      <w:r>
        <w:rPr>
          <w:rFonts w:ascii="Book Antiqua" w:hAnsi="Book Antiqua"/>
        </w:rPr>
        <w:t>: 325 [PMID: 35778677 DOI: 10.1186/s12876-022-02404-9]</w:t>
      </w:r>
      <w:bookmarkEnd w:id="252"/>
      <w:bookmarkEnd w:id="253"/>
      <w:bookmarkEnd w:id="254"/>
      <w:bookmarkEnd w:id="255"/>
    </w:p>
    <w:bookmarkEnd w:id="256"/>
    <w:bookmarkEnd w:id="257"/>
    <w:p w14:paraId="144B7C2D" w14:textId="77777777" w:rsidR="00E45927" w:rsidRDefault="00E45927">
      <w:pPr>
        <w:spacing w:line="360" w:lineRule="auto"/>
        <w:jc w:val="both"/>
        <w:rPr>
          <w:rFonts w:ascii="Book Antiqua" w:eastAsia="Book Antiqua" w:hAnsi="Book Antiqua" w:cs="Book Antiqua"/>
        </w:rPr>
      </w:pPr>
    </w:p>
    <w:p w14:paraId="2EE78F48" w14:textId="77777777" w:rsidR="00E45927" w:rsidRDefault="00E45927">
      <w:pPr>
        <w:spacing w:line="360" w:lineRule="auto"/>
        <w:jc w:val="both"/>
        <w:rPr>
          <w:rFonts w:ascii="Book Antiqua" w:hAnsi="Book Antiqua"/>
        </w:rPr>
        <w:sectPr w:rsidR="00E45927">
          <w:pgSz w:w="12240" w:h="15840"/>
          <w:pgMar w:top="1440" w:right="1440" w:bottom="1440" w:left="1440" w:header="720" w:footer="720" w:gutter="0"/>
          <w:cols w:space="720"/>
          <w:docGrid w:linePitch="360"/>
        </w:sectPr>
      </w:pPr>
    </w:p>
    <w:p w14:paraId="04709B32" w14:textId="77777777" w:rsidR="00E45927"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EFE7F10" w14:textId="77777777" w:rsidR="00E45927"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bookmarkStart w:id="260" w:name="OLE_LINK6730"/>
      <w:bookmarkStart w:id="261" w:name="OLE_LINK6732"/>
      <w:bookmarkStart w:id="262" w:name="OLE_LINK6731"/>
      <w:r>
        <w:rPr>
          <w:rFonts w:ascii="Book Antiqua" w:eastAsia="Book Antiqua" w:hAnsi="Book Antiqua" w:cs="Book Antiqua"/>
        </w:rPr>
        <w:t>All the authors report no relevant conflicts of interest for this article.</w:t>
      </w:r>
    </w:p>
    <w:bookmarkEnd w:id="260"/>
    <w:bookmarkEnd w:id="261"/>
    <w:bookmarkEnd w:id="262"/>
    <w:p w14:paraId="345D87F8" w14:textId="77777777" w:rsidR="00E45927" w:rsidRDefault="00E45927">
      <w:pPr>
        <w:spacing w:line="360" w:lineRule="auto"/>
        <w:jc w:val="both"/>
        <w:rPr>
          <w:rFonts w:ascii="Book Antiqua" w:hAnsi="Book Antiqua"/>
        </w:rPr>
      </w:pPr>
    </w:p>
    <w:p w14:paraId="0335F204" w14:textId="77777777" w:rsidR="00E45927"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7922A6A" w14:textId="77777777" w:rsidR="00E45927" w:rsidRDefault="00E45927">
      <w:pPr>
        <w:spacing w:line="360" w:lineRule="auto"/>
        <w:jc w:val="both"/>
        <w:rPr>
          <w:rFonts w:ascii="Book Antiqua" w:hAnsi="Book Antiqua"/>
        </w:rPr>
      </w:pPr>
    </w:p>
    <w:p w14:paraId="4D720FBB" w14:textId="77777777" w:rsidR="00E45927"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BD26701" w14:textId="77777777" w:rsidR="00E45927"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1C664AF" w14:textId="77777777" w:rsidR="00E45927" w:rsidRDefault="00E45927">
      <w:pPr>
        <w:spacing w:line="360" w:lineRule="auto"/>
        <w:jc w:val="both"/>
        <w:rPr>
          <w:rFonts w:ascii="Book Antiqua" w:hAnsi="Book Antiqua"/>
        </w:rPr>
      </w:pPr>
    </w:p>
    <w:p w14:paraId="731166D0" w14:textId="77777777" w:rsidR="00E45927"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April 8, 2023</w:t>
      </w:r>
    </w:p>
    <w:p w14:paraId="7DA22036" w14:textId="77777777" w:rsidR="00E45927"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May 12, 2023</w:t>
      </w:r>
    </w:p>
    <w:p w14:paraId="4FBAB220" w14:textId="6AD20837" w:rsidR="00E45927"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8C0269">
        <w:rPr>
          <w:rFonts w:ascii="Book Antiqua" w:eastAsia="Book Antiqua" w:hAnsi="Book Antiqua" w:cs="Book Antiqua"/>
        </w:rPr>
        <w:t>June 21, 2023</w:t>
      </w:r>
    </w:p>
    <w:p w14:paraId="48504EDD" w14:textId="77777777" w:rsidR="00E45927" w:rsidRDefault="00E45927">
      <w:pPr>
        <w:spacing w:line="360" w:lineRule="auto"/>
        <w:jc w:val="both"/>
        <w:rPr>
          <w:rFonts w:ascii="Book Antiqua" w:hAnsi="Book Antiqua"/>
        </w:rPr>
      </w:pPr>
    </w:p>
    <w:p w14:paraId="4BEE5AF0" w14:textId="77777777" w:rsidR="00E45927"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12237D2F" w14:textId="77777777" w:rsidR="00E45927"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6863F4D" w14:textId="77777777" w:rsidR="00E45927"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73754E7" w14:textId="77777777" w:rsidR="00E45927" w:rsidRDefault="00000000">
      <w:pPr>
        <w:spacing w:line="360" w:lineRule="auto"/>
        <w:jc w:val="both"/>
        <w:rPr>
          <w:rFonts w:ascii="Book Antiqua" w:hAnsi="Book Antiqua"/>
        </w:rPr>
      </w:pPr>
      <w:r>
        <w:rPr>
          <w:rFonts w:ascii="Book Antiqua" w:eastAsia="Book Antiqua" w:hAnsi="Book Antiqua" w:cs="Book Antiqua"/>
        </w:rPr>
        <w:t>Grade A (Excellent): 0</w:t>
      </w:r>
    </w:p>
    <w:p w14:paraId="40C0D2FF" w14:textId="77777777" w:rsidR="00E45927" w:rsidRDefault="00000000">
      <w:pPr>
        <w:spacing w:line="360" w:lineRule="auto"/>
        <w:jc w:val="both"/>
        <w:rPr>
          <w:rFonts w:ascii="Book Antiqua" w:hAnsi="Book Antiqua"/>
        </w:rPr>
      </w:pPr>
      <w:r>
        <w:rPr>
          <w:rFonts w:ascii="Book Antiqua" w:eastAsia="Book Antiqua" w:hAnsi="Book Antiqua" w:cs="Book Antiqua"/>
        </w:rPr>
        <w:t>Grade B (Very good): B, B</w:t>
      </w:r>
    </w:p>
    <w:p w14:paraId="406B5981" w14:textId="77777777" w:rsidR="00E45927" w:rsidRDefault="00000000">
      <w:pPr>
        <w:spacing w:line="360" w:lineRule="auto"/>
        <w:jc w:val="both"/>
        <w:rPr>
          <w:rFonts w:ascii="Book Antiqua" w:hAnsi="Book Antiqua"/>
        </w:rPr>
      </w:pPr>
      <w:r>
        <w:rPr>
          <w:rFonts w:ascii="Book Antiqua" w:eastAsia="Book Antiqua" w:hAnsi="Book Antiqua" w:cs="Book Antiqua"/>
        </w:rPr>
        <w:t>Grade C (Good): 0</w:t>
      </w:r>
    </w:p>
    <w:p w14:paraId="71556DAC" w14:textId="77777777" w:rsidR="00E45927" w:rsidRDefault="00000000">
      <w:pPr>
        <w:spacing w:line="360" w:lineRule="auto"/>
        <w:jc w:val="both"/>
        <w:rPr>
          <w:rFonts w:ascii="Book Antiqua" w:hAnsi="Book Antiqua"/>
        </w:rPr>
      </w:pPr>
      <w:r>
        <w:rPr>
          <w:rFonts w:ascii="Book Antiqua" w:eastAsia="Book Antiqua" w:hAnsi="Book Antiqua" w:cs="Book Antiqua"/>
        </w:rPr>
        <w:t>Grade D (Fair): 0</w:t>
      </w:r>
    </w:p>
    <w:p w14:paraId="755D4815" w14:textId="77777777" w:rsidR="00E45927" w:rsidRDefault="00000000">
      <w:pPr>
        <w:spacing w:line="360" w:lineRule="auto"/>
        <w:jc w:val="both"/>
        <w:rPr>
          <w:rFonts w:ascii="Book Antiqua" w:hAnsi="Book Antiqua"/>
        </w:rPr>
      </w:pPr>
      <w:r>
        <w:rPr>
          <w:rFonts w:ascii="Book Antiqua" w:eastAsia="Book Antiqua" w:hAnsi="Book Antiqua" w:cs="Book Antiqua"/>
        </w:rPr>
        <w:t>Grade E (Poor): 0</w:t>
      </w:r>
    </w:p>
    <w:p w14:paraId="16A33D5A" w14:textId="77777777" w:rsidR="00E45927" w:rsidRDefault="00E45927">
      <w:pPr>
        <w:spacing w:line="360" w:lineRule="auto"/>
        <w:jc w:val="both"/>
        <w:rPr>
          <w:rFonts w:ascii="Book Antiqua" w:hAnsi="Book Antiqua"/>
        </w:rPr>
      </w:pPr>
    </w:p>
    <w:p w14:paraId="0F755295" w14:textId="77777777" w:rsidR="00E45927" w:rsidRDefault="00000000">
      <w:pPr>
        <w:spacing w:line="360" w:lineRule="auto"/>
        <w:jc w:val="both"/>
        <w:rPr>
          <w:rFonts w:ascii="Book Antiqua" w:hAnsi="Book Antiqua"/>
        </w:rPr>
        <w:sectPr w:rsidR="00E4592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Makishima M, Japan; Rodriguez JC, Spain</w:t>
      </w:r>
      <w:r>
        <w:rPr>
          <w:rFonts w:ascii="Book Antiqua" w:eastAsia="Book Antiqua" w:hAnsi="Book Antiqua" w:cs="Book Antiqua"/>
          <w:b/>
          <w:color w:val="000000"/>
        </w:rPr>
        <w:t xml:space="preserve"> S-Editor: </w:t>
      </w:r>
      <w:bookmarkStart w:id="263" w:name="OLE_LINK6982"/>
      <w:bookmarkStart w:id="264" w:name="OLE_LINK6983"/>
      <w:r>
        <w:rPr>
          <w:rFonts w:ascii="Book Antiqua" w:eastAsia="Book Antiqua" w:hAnsi="Book Antiqua" w:cs="Book Antiqua"/>
          <w:bCs/>
          <w:color w:val="000000"/>
        </w:rPr>
        <w:t>Yan JP</w:t>
      </w:r>
      <w:bookmarkEnd w:id="263"/>
      <w:bookmarkEnd w:id="264"/>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Yan JP</w:t>
      </w:r>
    </w:p>
    <w:p w14:paraId="22EDCA0A" w14:textId="77777777" w:rsidR="00E45927"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76CA60C" w14:textId="5F927BFB" w:rsidR="00E45927" w:rsidRDefault="00895E2B">
      <w:pPr>
        <w:spacing w:line="360" w:lineRule="auto"/>
        <w:jc w:val="both"/>
        <w:rPr>
          <w:rFonts w:ascii="Book Antiqua" w:eastAsia="Book Antiqua" w:hAnsi="Book Antiqua" w:cs="Book Antiqua"/>
          <w:b/>
          <w:color w:val="000000"/>
        </w:rPr>
      </w:pPr>
      <w:r>
        <w:rPr>
          <w:noProof/>
        </w:rPr>
        <w:drawing>
          <wp:inline distT="0" distB="0" distL="0" distR="0" wp14:anchorId="085E3ECC" wp14:editId="472E8AE0">
            <wp:extent cx="5403215" cy="3796665"/>
            <wp:effectExtent l="0" t="0" r="6985" b="0"/>
            <wp:docPr id="2617698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3215" cy="3796665"/>
                    </a:xfrm>
                    <a:prstGeom prst="rect">
                      <a:avLst/>
                    </a:prstGeom>
                    <a:noFill/>
                    <a:ln>
                      <a:noFill/>
                    </a:ln>
                  </pic:spPr>
                </pic:pic>
              </a:graphicData>
            </a:graphic>
          </wp:inline>
        </w:drawing>
      </w:r>
    </w:p>
    <w:p w14:paraId="3E2AC79E" w14:textId="77777777" w:rsidR="00E4592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1 Synthesis, recirculation</w:t>
      </w:r>
      <w:r>
        <w:rPr>
          <w:rFonts w:ascii="Book Antiqua" w:eastAsia="宋体" w:hAnsi="Book Antiqua" w:cs="Book Antiqua" w:hint="eastAsia"/>
          <w:b/>
          <w:bCs/>
          <w:lang w:eastAsia="zh-CN"/>
        </w:rPr>
        <w:t>,</w:t>
      </w:r>
      <w:r>
        <w:rPr>
          <w:rFonts w:ascii="Book Antiqua" w:eastAsia="Book Antiqua" w:hAnsi="Book Antiqua" w:cs="Book Antiqua"/>
          <w:b/>
          <w:bCs/>
        </w:rPr>
        <w:t xml:space="preserve"> and microbial modification of bile acids in the gut. </w:t>
      </w:r>
      <w:r>
        <w:rPr>
          <w:rFonts w:ascii="Book Antiqua" w:eastAsia="Book Antiqua" w:hAnsi="Book Antiqua" w:cs="Book Antiqua"/>
        </w:rPr>
        <w:t xml:space="preserve">Bile acids are synthesized from cholesterol in the liver. In the classical pathway, cholesterol-7α-hydroxylase converts cholesterol to 7α-hydroxycholesterol, which is then metabolized to cholic acid </w:t>
      </w:r>
      <w:r>
        <w:rPr>
          <w:rFonts w:ascii="Book Antiqua" w:eastAsia="Book Antiqua" w:hAnsi="Book Antiqua" w:cs="Book Antiqua"/>
          <w:i/>
          <w:iCs/>
        </w:rPr>
        <w:t>via</w:t>
      </w:r>
      <w:r>
        <w:rPr>
          <w:rFonts w:ascii="Book Antiqua" w:eastAsia="Book Antiqua" w:hAnsi="Book Antiqua" w:cs="Book Antiqua"/>
        </w:rPr>
        <w:t xml:space="preserve"> mitochondrial sterol-27-hydroxylase (CYP27A1) or </w:t>
      </w:r>
      <w:bookmarkStart w:id="265" w:name="OLE_LINK7000"/>
      <w:bookmarkStart w:id="266" w:name="OLE_LINK7001"/>
      <w:r>
        <w:rPr>
          <w:rFonts w:ascii="Book Antiqua" w:eastAsia="Book Antiqua" w:hAnsi="Book Antiqua" w:cs="Book Antiqua"/>
        </w:rPr>
        <w:t>CYP8</w:t>
      </w:r>
      <w:bookmarkEnd w:id="265"/>
      <w:bookmarkEnd w:id="266"/>
      <w:r>
        <w:rPr>
          <w:rFonts w:ascii="Book Antiqua" w:eastAsia="Book Antiqua" w:hAnsi="Book Antiqua" w:cs="Book Antiqua"/>
        </w:rPr>
        <w:t xml:space="preserve">A1, or to chenodeoxycholic acid (CDCA) </w:t>
      </w:r>
      <w:r>
        <w:rPr>
          <w:rFonts w:ascii="Book Antiqua" w:eastAsia="Book Antiqua" w:hAnsi="Book Antiqua" w:cs="Book Antiqua"/>
          <w:i/>
          <w:iCs/>
        </w:rPr>
        <w:t>via</w:t>
      </w:r>
      <w:r>
        <w:rPr>
          <w:rFonts w:ascii="Book Antiqua" w:eastAsia="Book Antiqua" w:hAnsi="Book Antiqua" w:cs="Book Antiqua"/>
        </w:rPr>
        <w:t xml:space="preserve"> CYP27A1. In the alternative pathway, CYP27A1 begins the conversion of cholesterol to 27-hydroxycholesterol, which is then metabolized to CDCA by oxysterol 7α-hydroxylase. These </w:t>
      </w:r>
      <w:r>
        <w:rPr>
          <w:rFonts w:ascii="Book Antiqua" w:eastAsia="Book Antiqua" w:hAnsi="Book Antiqua" w:cs="Book Antiqua"/>
          <w:color w:val="000000"/>
        </w:rPr>
        <w:t>primary bile acids</w:t>
      </w:r>
      <w:r>
        <w:rPr>
          <w:rFonts w:ascii="Book Antiqua" w:eastAsia="Book Antiqua" w:hAnsi="Book Antiqua" w:cs="Book Antiqua"/>
        </w:rPr>
        <w:t xml:space="preserve"> are then conjugated with taurine or glycine and then released into the bile for secretion into the duodenum. At the end of the ileum, 95% of the conjugated bile acids (BA</w:t>
      </w:r>
      <w:r>
        <w:rPr>
          <w:rFonts w:ascii="Book Antiqua" w:eastAsia="Book Antiqua" w:hAnsi="Book Antiqua" w:cs="Book Antiqua" w:hint="eastAsia"/>
          <w:lang w:eastAsia="zh-CN"/>
        </w:rPr>
        <w:t>s</w:t>
      </w:r>
      <w:r>
        <w:rPr>
          <w:rFonts w:ascii="Book Antiqua" w:eastAsia="Book Antiqua" w:hAnsi="Book Antiqua" w:cs="Book Antiqua"/>
        </w:rPr>
        <w:t>) are reabsorbed through the enterohepatic circulation</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w</w:t>
      </w:r>
      <w:r>
        <w:rPr>
          <w:rFonts w:ascii="Book Antiqua" w:eastAsia="Book Antiqua" w:hAnsi="Book Antiqua" w:cs="Book Antiqua"/>
        </w:rPr>
        <w:t>hile the remaining 5% depolymerizes and enters the colon, where BAs undergo a series of chemical modifications by intestinal bacteria, including catabolism, desulfurization, dehydrogenation, dehydroxylation</w:t>
      </w:r>
      <w:r>
        <w:rPr>
          <w:rFonts w:ascii="Book Antiqua" w:eastAsia="宋体" w:hAnsi="Book Antiqua" w:cs="Book Antiqua" w:hint="eastAsia"/>
          <w:lang w:eastAsia="zh-CN"/>
        </w:rPr>
        <w:t>,</w:t>
      </w:r>
      <w:r>
        <w:rPr>
          <w:rFonts w:ascii="Book Antiqua" w:eastAsia="Book Antiqua" w:hAnsi="Book Antiqua" w:cs="Book Antiqua"/>
        </w:rPr>
        <w:t xml:space="preserve"> and exo-embedding reactions to form </w:t>
      </w:r>
      <w:r>
        <w:rPr>
          <w:rFonts w:ascii="Book Antiqua" w:eastAsia="Book Antiqua" w:hAnsi="Book Antiqua" w:cs="Book Antiqua"/>
          <w:color w:val="000000"/>
        </w:rPr>
        <w:t>secondary bile acids</w:t>
      </w:r>
      <w:r>
        <w:rPr>
          <w:rFonts w:ascii="Book Antiqua" w:eastAsia="Book Antiqua" w:hAnsi="Book Antiqua" w:cs="Book Antiqua"/>
        </w:rPr>
        <w:t xml:space="preserve"> (mainly lithocholic acid and deoxycholic acid) and their oxidative, isomeric</w:t>
      </w:r>
      <w:r>
        <w:rPr>
          <w:rFonts w:ascii="Book Antiqua" w:eastAsia="宋体" w:hAnsi="Book Antiqua" w:cs="Book Antiqua" w:hint="eastAsia"/>
          <w:lang w:eastAsia="zh-CN"/>
        </w:rPr>
        <w:t>,</w:t>
      </w:r>
      <w:r>
        <w:rPr>
          <w:rFonts w:ascii="Book Antiqua" w:eastAsia="Book Antiqua" w:hAnsi="Book Antiqua" w:cs="Book Antiqua"/>
        </w:rPr>
        <w:t xml:space="preserve"> and exo-derivatives. IBD: Inflammatory </w:t>
      </w:r>
      <w:r>
        <w:rPr>
          <w:rFonts w:ascii="Book Antiqua" w:eastAsia="Book Antiqua" w:hAnsi="Book Antiqua" w:cs="Book Antiqua"/>
        </w:rPr>
        <w:lastRenderedPageBreak/>
        <w:t xml:space="preserve">bowel disease; CA: </w:t>
      </w:r>
      <w:bookmarkStart w:id="267" w:name="OLE_LINK6988"/>
      <w:bookmarkStart w:id="268" w:name="OLE_LINK6987"/>
      <w:r>
        <w:rPr>
          <w:rFonts w:ascii="Book Antiqua" w:eastAsia="Book Antiqua" w:hAnsi="Book Antiqua" w:cs="Book Antiqua"/>
        </w:rPr>
        <w:t>Cholic acid</w:t>
      </w:r>
      <w:bookmarkEnd w:id="267"/>
      <w:bookmarkEnd w:id="268"/>
      <w:r>
        <w:rPr>
          <w:rFonts w:ascii="Book Antiqua" w:eastAsia="Book Antiqua" w:hAnsi="Book Antiqua" w:cs="Book Antiqua"/>
        </w:rPr>
        <w:t xml:space="preserve">; CDCA: </w:t>
      </w:r>
      <w:bookmarkStart w:id="269" w:name="OLE_LINK6992"/>
      <w:bookmarkStart w:id="270" w:name="OLE_LINK6993"/>
      <w:bookmarkStart w:id="271" w:name="OLE_LINK6995"/>
      <w:bookmarkStart w:id="272" w:name="OLE_LINK6994"/>
      <w:r>
        <w:rPr>
          <w:rFonts w:ascii="Book Antiqua" w:eastAsia="Book Antiqua" w:hAnsi="Book Antiqua" w:cs="Book Antiqua"/>
        </w:rPr>
        <w:t>Chenodeoxycholic aci</w:t>
      </w:r>
      <w:bookmarkEnd w:id="269"/>
      <w:bookmarkEnd w:id="270"/>
      <w:r>
        <w:rPr>
          <w:rFonts w:ascii="Book Antiqua" w:eastAsia="Book Antiqua" w:hAnsi="Book Antiqua" w:cs="Book Antiqua"/>
        </w:rPr>
        <w:t>d</w:t>
      </w:r>
      <w:bookmarkEnd w:id="271"/>
      <w:bookmarkEnd w:id="272"/>
      <w:r>
        <w:rPr>
          <w:rFonts w:ascii="Book Antiqua" w:eastAsia="Book Antiqua" w:hAnsi="Book Antiqua" w:cs="Book Antiqua"/>
        </w:rPr>
        <w:t xml:space="preserve">; </w:t>
      </w:r>
      <w:bookmarkStart w:id="273" w:name="OLE_LINK7046"/>
      <w:bookmarkStart w:id="274" w:name="OLE_LINK7047"/>
      <w:r>
        <w:rPr>
          <w:rFonts w:ascii="Book Antiqua" w:eastAsia="Book Antiqua" w:hAnsi="Book Antiqua" w:cs="Book Antiqua"/>
        </w:rPr>
        <w:t>GCA: Glycocholic acid; TCA: Taurocholic acid; GCDCA: Glycochenodeoxycholic acid; TCDCA: Taurochenodeoxycholic acid;</w:t>
      </w:r>
      <w:bookmarkEnd w:id="273"/>
      <w:bookmarkEnd w:id="274"/>
      <w:r>
        <w:rPr>
          <w:rFonts w:ascii="Book Antiqua" w:eastAsia="Book Antiqua" w:hAnsi="Book Antiqua" w:cs="Book Antiqua"/>
        </w:rPr>
        <w:t xml:space="preserve"> DCA: </w:t>
      </w:r>
      <w:bookmarkStart w:id="275" w:name="OLE_LINK7010"/>
      <w:bookmarkStart w:id="276" w:name="OLE_LINK7011"/>
      <w:r>
        <w:rPr>
          <w:rFonts w:ascii="Book Antiqua" w:eastAsia="Book Antiqua" w:hAnsi="Book Antiqua" w:cs="Book Antiqua"/>
        </w:rPr>
        <w:t>Deoxycholic acid</w:t>
      </w:r>
      <w:bookmarkEnd w:id="275"/>
      <w:bookmarkEnd w:id="276"/>
      <w:r>
        <w:rPr>
          <w:rFonts w:ascii="Book Antiqua" w:eastAsia="Book Antiqua" w:hAnsi="Book Antiqua" w:cs="Book Antiqua"/>
        </w:rPr>
        <w:t xml:space="preserve">; LCA: </w:t>
      </w:r>
      <w:bookmarkStart w:id="277" w:name="OLE_LINK7007"/>
      <w:bookmarkStart w:id="278" w:name="OLE_LINK7009"/>
      <w:bookmarkStart w:id="279" w:name="OLE_LINK7008"/>
      <w:r>
        <w:rPr>
          <w:rFonts w:ascii="Book Antiqua" w:eastAsia="Book Antiqua" w:hAnsi="Book Antiqua" w:cs="Book Antiqua"/>
        </w:rPr>
        <w:t>Lithocholic acid</w:t>
      </w:r>
      <w:bookmarkEnd w:id="277"/>
      <w:bookmarkEnd w:id="278"/>
      <w:bookmarkEnd w:id="279"/>
      <w:r>
        <w:rPr>
          <w:rFonts w:ascii="Book Antiqua" w:eastAsia="Book Antiqua" w:hAnsi="Book Antiqua" w:cs="Book Antiqua"/>
        </w:rPr>
        <w:t xml:space="preserve">; BA: </w:t>
      </w:r>
      <w:bookmarkStart w:id="280" w:name="OLE_LINK7012"/>
      <w:bookmarkStart w:id="281" w:name="OLE_LINK7013"/>
      <w:bookmarkStart w:id="282" w:name="OLE_LINK7014"/>
      <w:r>
        <w:rPr>
          <w:rFonts w:ascii="Book Antiqua" w:eastAsia="Book Antiqua" w:hAnsi="Book Antiqua" w:cs="Book Antiqua"/>
        </w:rPr>
        <w:t>Bile acid</w:t>
      </w:r>
      <w:bookmarkEnd w:id="280"/>
      <w:bookmarkEnd w:id="281"/>
      <w:bookmarkEnd w:id="282"/>
      <w:r>
        <w:rPr>
          <w:rFonts w:ascii="Book Antiqua" w:eastAsia="Book Antiqua" w:hAnsi="Book Antiqua" w:cs="Book Antiqua"/>
        </w:rPr>
        <w:t xml:space="preserve">; CYP7A1: </w:t>
      </w:r>
      <w:bookmarkStart w:id="283" w:name="OLE_LINK6989"/>
      <w:bookmarkStart w:id="284" w:name="OLE_LINK6990"/>
      <w:r>
        <w:rPr>
          <w:rFonts w:ascii="Book Antiqua" w:eastAsia="Book Antiqua" w:hAnsi="Book Antiqua" w:cs="Book Antiqua"/>
        </w:rPr>
        <w:t>Cholesterol-7α-hydroxylase</w:t>
      </w:r>
      <w:bookmarkEnd w:id="283"/>
      <w:bookmarkEnd w:id="284"/>
      <w:r>
        <w:rPr>
          <w:rFonts w:ascii="Book Antiqua" w:eastAsia="Book Antiqua" w:hAnsi="Book Antiqua" w:cs="Book Antiqua"/>
        </w:rPr>
        <w:t xml:space="preserve">; CYP27A1: </w:t>
      </w:r>
      <w:bookmarkStart w:id="285" w:name="OLE_LINK6986"/>
      <w:bookmarkStart w:id="286" w:name="OLE_LINK6991"/>
      <w:bookmarkStart w:id="287" w:name="OLE_LINK6985"/>
      <w:bookmarkStart w:id="288" w:name="OLE_LINK6984"/>
      <w:r>
        <w:rPr>
          <w:rFonts w:ascii="Book Antiqua" w:eastAsia="Book Antiqua" w:hAnsi="Book Antiqua" w:cs="Book Antiqua"/>
        </w:rPr>
        <w:t>Mitochondrial sterol-27-hydroxylase</w:t>
      </w:r>
      <w:bookmarkEnd w:id="285"/>
      <w:bookmarkEnd w:id="286"/>
      <w:bookmarkEnd w:id="287"/>
      <w:bookmarkEnd w:id="288"/>
      <w:r>
        <w:rPr>
          <w:rFonts w:ascii="Book Antiqua" w:eastAsia="Book Antiqua" w:hAnsi="Book Antiqua" w:cs="Book Antiqua"/>
        </w:rPr>
        <w:t xml:space="preserve">; </w:t>
      </w:r>
      <w:bookmarkStart w:id="289" w:name="OLE_LINK7003"/>
      <w:bookmarkStart w:id="290" w:name="OLE_LINK7002"/>
      <w:r>
        <w:rPr>
          <w:rFonts w:ascii="Book Antiqua" w:eastAsia="Book Antiqua" w:hAnsi="Book Antiqua" w:cs="Book Antiqua"/>
        </w:rPr>
        <w:t>CYP8</w:t>
      </w:r>
      <w:bookmarkEnd w:id="289"/>
      <w:bookmarkEnd w:id="290"/>
      <w:r>
        <w:rPr>
          <w:rFonts w:ascii="Book Antiqua" w:eastAsia="Book Antiqua" w:hAnsi="Book Antiqua" w:cs="Book Antiqua"/>
        </w:rPr>
        <w:t xml:space="preserve">B1: Sterol-12α-hydroxylase; CYP7B1: </w:t>
      </w:r>
      <w:bookmarkStart w:id="291" w:name="OLE_LINK7005"/>
      <w:bookmarkStart w:id="292" w:name="OLE_LINK7004"/>
      <w:bookmarkStart w:id="293" w:name="OLE_LINK7006"/>
      <w:r>
        <w:rPr>
          <w:rFonts w:ascii="Book Antiqua" w:eastAsia="Book Antiqua" w:hAnsi="Book Antiqua" w:cs="Book Antiqua"/>
        </w:rPr>
        <w:t>Oxysterol 7α-hydroxylase</w:t>
      </w:r>
      <w:bookmarkEnd w:id="291"/>
      <w:bookmarkEnd w:id="292"/>
      <w:bookmarkEnd w:id="293"/>
      <w:r>
        <w:rPr>
          <w:rFonts w:ascii="Book Antiqua" w:eastAsia="Book Antiqua" w:hAnsi="Book Antiqua" w:cs="Book Antiqua"/>
        </w:rPr>
        <w:t xml:space="preserve">; BSHs: Bile salt hydrolases; FXR: </w:t>
      </w:r>
      <w:r>
        <w:rPr>
          <w:rFonts w:ascii="Book Antiqua" w:eastAsia="Book Antiqua" w:hAnsi="Book Antiqua" w:cs="Book Antiqua"/>
          <w:color w:val="000000"/>
        </w:rPr>
        <w:t>Farnesol X receptor; FGF</w:t>
      </w:r>
      <w:r>
        <w:rPr>
          <w:rFonts w:ascii="Book Antiqua" w:eastAsia="Book Antiqua" w:hAnsi="Book Antiqua" w:cs="Book Antiqua"/>
        </w:rPr>
        <w:t xml:space="preserve">: </w:t>
      </w:r>
      <w:r>
        <w:rPr>
          <w:rFonts w:ascii="Book Antiqua" w:eastAsia="Book Antiqua" w:hAnsi="Book Antiqua" w:cs="Book Antiqua"/>
          <w:color w:val="000000"/>
        </w:rPr>
        <w:t>Fibroblast growth factor; SHP</w:t>
      </w:r>
      <w:r>
        <w:rPr>
          <w:rFonts w:ascii="Book Antiqua" w:eastAsia="Book Antiqua" w:hAnsi="Book Antiqua" w:cs="Book Antiqua"/>
        </w:rPr>
        <w:t xml:space="preserve">: </w:t>
      </w:r>
      <w:r>
        <w:rPr>
          <w:rFonts w:ascii="Book Antiqua" w:eastAsia="Book Antiqua" w:hAnsi="Book Antiqua" w:cs="Book Antiqua"/>
          <w:color w:val="000000"/>
        </w:rPr>
        <w:t>Small isomeric partner.</w:t>
      </w:r>
    </w:p>
    <w:p w14:paraId="0A38C727" w14:textId="77777777" w:rsidR="00E45927" w:rsidRDefault="00E45927">
      <w:pPr>
        <w:spacing w:line="360" w:lineRule="auto"/>
        <w:jc w:val="both"/>
        <w:rPr>
          <w:rFonts w:ascii="Book Antiqua" w:hAnsi="Book Antiqua"/>
        </w:rPr>
        <w:sectPr w:rsidR="00E45927">
          <w:pgSz w:w="12240" w:h="15840"/>
          <w:pgMar w:top="1440" w:right="1440" w:bottom="1440" w:left="1440" w:header="720" w:footer="720" w:gutter="0"/>
          <w:cols w:space="720"/>
          <w:docGrid w:linePitch="360"/>
        </w:sectPr>
      </w:pPr>
    </w:p>
    <w:p w14:paraId="3F3CD2F9" w14:textId="703BADFB" w:rsidR="00E45927" w:rsidRDefault="00895E2B">
      <w:pPr>
        <w:spacing w:line="360" w:lineRule="auto"/>
        <w:jc w:val="both"/>
        <w:rPr>
          <w:rFonts w:ascii="Book Antiqua" w:hAnsi="Book Antiqua"/>
        </w:rPr>
      </w:pPr>
      <w:r>
        <w:rPr>
          <w:noProof/>
        </w:rPr>
        <w:lastRenderedPageBreak/>
        <w:drawing>
          <wp:inline distT="0" distB="0" distL="0" distR="0" wp14:anchorId="6AED8672" wp14:editId="5E2944A7">
            <wp:extent cx="5919470" cy="3108960"/>
            <wp:effectExtent l="0" t="0" r="5080" b="0"/>
            <wp:docPr id="20636296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9470" cy="3108960"/>
                    </a:xfrm>
                    <a:prstGeom prst="rect">
                      <a:avLst/>
                    </a:prstGeom>
                    <a:noFill/>
                    <a:ln>
                      <a:noFill/>
                    </a:ln>
                  </pic:spPr>
                </pic:pic>
              </a:graphicData>
            </a:graphic>
          </wp:inline>
        </w:drawing>
      </w:r>
    </w:p>
    <w:p w14:paraId="1B766FF4" w14:textId="77777777" w:rsidR="00E4592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2 Emerging role of bile acids and their receptors. </w:t>
      </w:r>
      <w:bookmarkStart w:id="294" w:name="OLE_LINK7033"/>
      <w:bookmarkStart w:id="295" w:name="OLE_LINK7034"/>
      <w:bookmarkStart w:id="296" w:name="OLE_LINK7032"/>
      <w:r>
        <w:rPr>
          <w:rFonts w:ascii="Book Antiqua" w:eastAsia="Book Antiqua" w:hAnsi="Book Antiqua" w:cs="Book Antiqua"/>
        </w:rPr>
        <w:t xml:space="preserve">DCA: Deoxycholic acid; LCA: Lithocholic acid; CA: Cholic acid; CDCA: Chenodeoxycholic acid; isoLCA: Isolithocholic acid; </w:t>
      </w:r>
      <w:bookmarkStart w:id="297" w:name="OLE_LINK7039"/>
      <w:bookmarkStart w:id="298" w:name="OLE_LINK7038"/>
      <w:bookmarkStart w:id="299" w:name="OLE_LINK7037"/>
      <w:bookmarkEnd w:id="294"/>
      <w:bookmarkEnd w:id="295"/>
      <w:bookmarkEnd w:id="296"/>
      <w:r>
        <w:rPr>
          <w:rFonts w:ascii="Book Antiqua" w:eastAsia="Book Antiqua" w:hAnsi="Book Antiqua" w:cs="Book Antiqua"/>
        </w:rPr>
        <w:t xml:space="preserve">isoalloLCA: Isoallolithocholic acid; </w:t>
      </w:r>
      <w:bookmarkStart w:id="300" w:name="OLE_LINK7036"/>
      <w:bookmarkStart w:id="301" w:name="OLE_LINK7035"/>
      <w:r>
        <w:rPr>
          <w:rFonts w:ascii="Book Antiqua" w:eastAsia="Book Antiqua" w:hAnsi="Book Antiqua" w:cs="Book Antiqua"/>
        </w:rPr>
        <w:t>3-</w:t>
      </w:r>
      <w:bookmarkEnd w:id="300"/>
      <w:bookmarkEnd w:id="301"/>
      <w:r>
        <w:rPr>
          <w:rFonts w:ascii="Book Antiqua" w:eastAsia="Book Antiqua" w:hAnsi="Book Antiqua" w:cs="Book Antiqua"/>
        </w:rPr>
        <w:t xml:space="preserve">oxoLCA: 3-oxolithocholic acid; </w:t>
      </w:r>
      <w:bookmarkEnd w:id="297"/>
      <w:bookmarkEnd w:id="298"/>
      <w:bookmarkEnd w:id="299"/>
      <w:r>
        <w:rPr>
          <w:rFonts w:ascii="Book Antiqua" w:eastAsia="Book Antiqua" w:hAnsi="Book Antiqua" w:cs="Book Antiqua"/>
        </w:rPr>
        <w:t xml:space="preserve">isoDCA: 3β-hydroxydeoxycholic acid; THDCA: Taurohyodeoxycholic acid; LPS: Lipopolysaccharide; </w:t>
      </w:r>
      <w:bookmarkStart w:id="302" w:name="OLE_LINK7040"/>
      <w:bookmarkStart w:id="303" w:name="OLE_LINK7042"/>
      <w:bookmarkStart w:id="304" w:name="OLE_LINK7041"/>
      <w:r>
        <w:rPr>
          <w:rFonts w:ascii="Book Antiqua" w:eastAsia="Book Antiqua" w:hAnsi="Book Antiqua" w:cs="Book Antiqua"/>
        </w:rPr>
        <w:t xml:space="preserve">FXR: Farnesoid X receptor; GPABR1: </w:t>
      </w:r>
      <w:r>
        <w:rPr>
          <w:rFonts w:ascii="Book Antiqua" w:eastAsia="Book Antiqua" w:hAnsi="Book Antiqua" w:cs="Book Antiqua"/>
          <w:color w:val="000000"/>
        </w:rPr>
        <w:t>G protein-coupled bile acid receptor 1</w:t>
      </w:r>
      <w:r>
        <w:rPr>
          <w:rFonts w:ascii="Book Antiqua" w:eastAsia="Book Antiqua" w:hAnsi="Book Antiqua" w:cs="Book Antiqua"/>
        </w:rPr>
        <w:t>; PXR: Pregnane X receptor; VDR: Vitamin D receptor; RORγt:</w:t>
      </w:r>
      <w:r>
        <w:rPr>
          <w:rFonts w:ascii="Book Antiqua" w:eastAsia="Book Antiqua" w:hAnsi="Book Antiqua" w:cs="Book Antiqua"/>
          <w:color w:val="000000"/>
        </w:rPr>
        <w:t xml:space="preserve"> Retinoid-related orphan receptor γt; </w:t>
      </w:r>
      <w:bookmarkStart w:id="305" w:name="OLE_LINK7043"/>
      <w:bookmarkStart w:id="306" w:name="OLE_LINK7045"/>
      <w:bookmarkStart w:id="307" w:name="OLE_LINK7044"/>
      <w:bookmarkEnd w:id="302"/>
      <w:bookmarkEnd w:id="303"/>
      <w:bookmarkEnd w:id="304"/>
      <w:r>
        <w:rPr>
          <w:rFonts w:ascii="Book Antiqua" w:eastAsia="Book Antiqua" w:hAnsi="Book Antiqua" w:cs="Book Antiqua"/>
          <w:color w:val="000000"/>
        </w:rPr>
        <w:t>CAR</w:t>
      </w:r>
      <w:r>
        <w:rPr>
          <w:rFonts w:ascii="Book Antiqua" w:eastAsia="Book Antiqua" w:hAnsi="Book Antiqua" w:cs="Book Antiqua"/>
        </w:rPr>
        <w:t>:</w:t>
      </w:r>
      <w:r>
        <w:rPr>
          <w:rFonts w:ascii="Book Antiqua" w:eastAsia="Book Antiqua" w:hAnsi="Book Antiqua" w:cs="Book Antiqua"/>
          <w:color w:val="000000"/>
        </w:rPr>
        <w:t xml:space="preserve"> Costitutive androstane receptor; </w:t>
      </w:r>
      <w:r>
        <w:rPr>
          <w:rFonts w:ascii="Book Antiqua" w:eastAsia="Book Antiqua" w:hAnsi="Book Antiqua" w:cs="Book Antiqua"/>
        </w:rPr>
        <w:t xml:space="preserve">S1PR2: </w:t>
      </w:r>
      <w:r>
        <w:rPr>
          <w:rFonts w:ascii="Book Antiqua" w:eastAsia="Book Antiqua" w:hAnsi="Book Antiqua" w:cs="Book Antiqua"/>
          <w:color w:val="000000"/>
        </w:rPr>
        <w:t xml:space="preserve">Sphingosine-1-phosphate receptor 2; </w:t>
      </w:r>
      <w:bookmarkEnd w:id="305"/>
      <w:bookmarkEnd w:id="306"/>
      <w:bookmarkEnd w:id="307"/>
      <w:r>
        <w:rPr>
          <w:rFonts w:ascii="Book Antiqua" w:eastAsia="Book Antiqua" w:hAnsi="Book Antiqua" w:cs="Book Antiqua"/>
        </w:rPr>
        <w:t xml:space="preserve">Th17 cells: T helper 17 cells; Treg cells: Regulatory T cells; ILC3: Innate lymphocyte type 3; DCs: Dendritic cells; ISC: Intestinal stem cell; YBX-1: Y box binding protein 1; ACE2: Angiotensin-converting enzyme 2; NLRP3: The NACHT, LRR, and PYD domains-containing protein 3; mitoROS: Mitochondrial reactive oxygen species; </w:t>
      </w:r>
      <w:r>
        <w:rPr>
          <w:rFonts w:ascii="Book Antiqua" w:eastAsia="Book Antiqua" w:hAnsi="Book Antiqua" w:cs="Book Antiqua"/>
          <w:color w:val="000000"/>
        </w:rPr>
        <w:t>EMT</w:t>
      </w:r>
      <w:r>
        <w:rPr>
          <w:rFonts w:ascii="Book Antiqua" w:eastAsia="Book Antiqua" w:hAnsi="Book Antiqua" w:cs="Book Antiqua"/>
        </w:rPr>
        <w:t xml:space="preserve">: </w:t>
      </w:r>
      <w:r>
        <w:rPr>
          <w:rFonts w:ascii="Book Antiqua" w:eastAsia="Book Antiqua" w:hAnsi="Book Antiqua" w:cs="Book Antiqua"/>
          <w:color w:val="000000"/>
        </w:rPr>
        <w:t>Epithelial-mesenchymal transition; FAO</w:t>
      </w:r>
      <w:r>
        <w:rPr>
          <w:rFonts w:ascii="Book Antiqua" w:eastAsia="Book Antiqua" w:hAnsi="Book Antiqua" w:cs="Book Antiqua"/>
        </w:rPr>
        <w:t>:</w:t>
      </w:r>
      <w:r>
        <w:rPr>
          <w:rFonts w:ascii="Book Antiqua" w:eastAsia="Book Antiqua" w:hAnsi="Book Antiqua" w:cs="Book Antiqua"/>
          <w:color w:val="000000"/>
        </w:rPr>
        <w:t xml:space="preserve"> Fatty acid oxidation; PPARα</w:t>
      </w:r>
      <w:r>
        <w:rPr>
          <w:rFonts w:ascii="Book Antiqua" w:eastAsia="Book Antiqua" w:hAnsi="Book Antiqua" w:cs="Book Antiqua"/>
        </w:rPr>
        <w:t>:</w:t>
      </w:r>
      <w:r>
        <w:rPr>
          <w:rFonts w:ascii="Book Antiqua" w:eastAsia="Book Antiqua" w:hAnsi="Book Antiqua" w:cs="Book Antiqua"/>
          <w:color w:val="000000"/>
        </w:rPr>
        <w:t xml:space="preserve"> Peroxisome proliferator-activated receptor alpha; TLR4</w:t>
      </w:r>
      <w:r>
        <w:rPr>
          <w:rFonts w:ascii="Book Antiqua" w:eastAsia="Book Antiqua" w:hAnsi="Book Antiqua" w:cs="Book Antiqua"/>
        </w:rPr>
        <w:t xml:space="preserve">: </w:t>
      </w:r>
      <w:r>
        <w:rPr>
          <w:rFonts w:ascii="Book Antiqua" w:eastAsia="Book Antiqua" w:hAnsi="Book Antiqua" w:cs="Book Antiqua"/>
          <w:color w:val="000000"/>
        </w:rPr>
        <w:t>Toll-like receptor 4</w:t>
      </w:r>
      <w:r>
        <w:rPr>
          <w:rFonts w:ascii="Book Antiqua" w:eastAsia="Book Antiqua" w:hAnsi="Book Antiqua" w:cs="Book Antiqua"/>
        </w:rPr>
        <w:t xml:space="preserve">; </w:t>
      </w:r>
      <w:r>
        <w:rPr>
          <w:rFonts w:ascii="Book Antiqua" w:eastAsia="Book Antiqua" w:hAnsi="Book Antiqua" w:cs="Book Antiqua"/>
          <w:color w:val="000000"/>
        </w:rPr>
        <w:t>TJ</w:t>
      </w:r>
      <w:r>
        <w:rPr>
          <w:rFonts w:ascii="Book Antiqua" w:eastAsia="Book Antiqua" w:hAnsi="Book Antiqua" w:cs="Book Antiqua"/>
        </w:rPr>
        <w:t>:</w:t>
      </w:r>
      <w:r>
        <w:rPr>
          <w:rFonts w:ascii="Book Antiqua" w:eastAsia="Book Antiqua" w:hAnsi="Book Antiqua" w:cs="Book Antiqua"/>
          <w:color w:val="000000"/>
        </w:rPr>
        <w:t xml:space="preserve"> Tight junction; TEER</w:t>
      </w:r>
      <w:r>
        <w:rPr>
          <w:rFonts w:ascii="Book Antiqua" w:eastAsia="Book Antiqua" w:hAnsi="Book Antiqua" w:cs="Book Antiqua"/>
        </w:rPr>
        <w:t>:</w:t>
      </w:r>
      <w:r>
        <w:rPr>
          <w:rFonts w:ascii="Book Antiqua" w:eastAsia="Book Antiqua" w:hAnsi="Book Antiqua" w:cs="Book Antiqua"/>
          <w:color w:val="000000"/>
        </w:rPr>
        <w:t xml:space="preserve"> Trans-epithelial electrical resistance; TLR4</w:t>
      </w:r>
      <w:r>
        <w:rPr>
          <w:rFonts w:ascii="Book Antiqua" w:eastAsia="Book Antiqua" w:hAnsi="Book Antiqua" w:cs="Book Antiqua"/>
        </w:rPr>
        <w:t xml:space="preserve">: </w:t>
      </w:r>
      <w:r>
        <w:rPr>
          <w:rFonts w:ascii="Book Antiqua" w:eastAsia="Book Antiqua" w:hAnsi="Book Antiqua" w:cs="Book Antiqua"/>
          <w:color w:val="000000"/>
        </w:rPr>
        <w:t>Toll-like receptor 4</w:t>
      </w:r>
      <w:r>
        <w:rPr>
          <w:rFonts w:ascii="Book Antiqua" w:eastAsia="Book Antiqua" w:hAnsi="Book Antiqua" w:cs="Book Antiqua"/>
        </w:rPr>
        <w:t>.</w:t>
      </w:r>
      <w:bookmarkEnd w:id="0"/>
      <w:bookmarkEnd w:id="1"/>
      <w:bookmarkEnd w:id="2"/>
      <w:bookmarkEnd w:id="3"/>
      <w:bookmarkEnd w:id="4"/>
      <w:bookmarkEnd w:id="5"/>
    </w:p>
    <w:p w14:paraId="29B1A0C9" w14:textId="77777777" w:rsidR="00E45927" w:rsidRDefault="00E45927">
      <w:pPr>
        <w:spacing w:line="360" w:lineRule="auto"/>
        <w:jc w:val="both"/>
        <w:rPr>
          <w:rFonts w:ascii="Book Antiqua" w:eastAsia="Book Antiqua" w:hAnsi="Book Antiqua" w:cs="Book Antiqua"/>
        </w:rPr>
      </w:pPr>
    </w:p>
    <w:p w14:paraId="1E71FAE4" w14:textId="77777777" w:rsidR="00E45927" w:rsidRDefault="00E45927">
      <w:pPr>
        <w:spacing w:line="360" w:lineRule="auto"/>
        <w:jc w:val="both"/>
        <w:rPr>
          <w:rFonts w:ascii="Book Antiqua" w:hAnsi="Book Antiqua"/>
        </w:rPr>
        <w:sectPr w:rsidR="00E45927">
          <w:pgSz w:w="12240" w:h="15840"/>
          <w:pgMar w:top="1440" w:right="1440" w:bottom="1440" w:left="1440" w:header="720" w:footer="720" w:gutter="0"/>
          <w:cols w:space="720"/>
          <w:docGrid w:linePitch="360"/>
        </w:sectPr>
      </w:pPr>
    </w:p>
    <w:p w14:paraId="15B2B554" w14:textId="77777777" w:rsidR="00E45927" w:rsidRDefault="00000000">
      <w:pPr>
        <w:spacing w:line="360" w:lineRule="auto"/>
        <w:jc w:val="both"/>
        <w:rPr>
          <w:rFonts w:ascii="Book Antiqua" w:eastAsia="宋体" w:hAnsi="Book Antiqua"/>
          <w:b/>
          <w:bCs/>
        </w:rPr>
      </w:pPr>
      <w:bookmarkStart w:id="308" w:name="OLE_LINK7028"/>
      <w:bookmarkStart w:id="309" w:name="OLE_LINK7029"/>
      <w:bookmarkStart w:id="310" w:name="OLE_LINK7026"/>
      <w:bookmarkStart w:id="311" w:name="OLE_LINK7025"/>
      <w:bookmarkStart w:id="312" w:name="OLE_LINK7024"/>
      <w:r>
        <w:rPr>
          <w:rFonts w:ascii="Book Antiqua" w:eastAsia="宋体" w:hAnsi="Book Antiqua"/>
          <w:b/>
          <w:bCs/>
        </w:rPr>
        <w:lastRenderedPageBreak/>
        <w:t>Table 1 Nuclear and membrane receptors of bile acids</w:t>
      </w:r>
    </w:p>
    <w:tbl>
      <w:tblPr>
        <w:tblStyle w:val="1"/>
        <w:tblW w:w="9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3"/>
        <w:gridCol w:w="1331"/>
        <w:gridCol w:w="1711"/>
        <w:gridCol w:w="2165"/>
        <w:gridCol w:w="2189"/>
      </w:tblGrid>
      <w:tr w:rsidR="00E45927" w14:paraId="7079EA49" w14:textId="77777777">
        <w:trPr>
          <w:trHeight w:val="877"/>
        </w:trPr>
        <w:tc>
          <w:tcPr>
            <w:tcW w:w="2183" w:type="dxa"/>
            <w:tcBorders>
              <w:top w:val="single" w:sz="4" w:space="0" w:color="auto"/>
              <w:bottom w:val="single" w:sz="4" w:space="0" w:color="auto"/>
            </w:tcBorders>
          </w:tcPr>
          <w:p w14:paraId="03E30959" w14:textId="77777777" w:rsidR="00E45927" w:rsidRDefault="00000000">
            <w:pPr>
              <w:spacing w:line="360" w:lineRule="auto"/>
              <w:jc w:val="both"/>
              <w:rPr>
                <w:rFonts w:ascii="Book Antiqua" w:eastAsia="宋体" w:hAnsi="Book Antiqua"/>
                <w:b/>
                <w:bCs/>
                <w:lang w:eastAsia="zh-CN"/>
              </w:rPr>
            </w:pPr>
            <w:bookmarkStart w:id="313" w:name="_Hlk137565954"/>
            <w:bookmarkEnd w:id="308"/>
            <w:bookmarkEnd w:id="309"/>
            <w:r>
              <w:rPr>
                <w:rFonts w:ascii="Book Antiqua" w:eastAsia="宋体" w:hAnsi="Book Antiqua"/>
                <w:b/>
                <w:bCs/>
                <w:lang w:eastAsia="zh-CN"/>
              </w:rPr>
              <w:t xml:space="preserve">Bile acid receptor </w:t>
            </w:r>
          </w:p>
        </w:tc>
        <w:tc>
          <w:tcPr>
            <w:tcW w:w="1331" w:type="dxa"/>
            <w:tcBorders>
              <w:top w:val="single" w:sz="4" w:space="0" w:color="auto"/>
              <w:bottom w:val="single" w:sz="4" w:space="0" w:color="auto"/>
            </w:tcBorders>
          </w:tcPr>
          <w:p w14:paraId="37EA46CB" w14:textId="77777777" w:rsidR="00E45927"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Abbreviation</w:t>
            </w:r>
          </w:p>
        </w:tc>
        <w:tc>
          <w:tcPr>
            <w:tcW w:w="1711" w:type="dxa"/>
            <w:tcBorders>
              <w:top w:val="single" w:sz="4" w:space="0" w:color="auto"/>
              <w:bottom w:val="single" w:sz="4" w:space="0" w:color="auto"/>
            </w:tcBorders>
          </w:tcPr>
          <w:p w14:paraId="31AA9AB6" w14:textId="77777777" w:rsidR="00E45927"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Type</w:t>
            </w:r>
          </w:p>
        </w:tc>
        <w:tc>
          <w:tcPr>
            <w:tcW w:w="2165" w:type="dxa"/>
            <w:tcBorders>
              <w:top w:val="single" w:sz="4" w:space="0" w:color="auto"/>
              <w:bottom w:val="single" w:sz="4" w:space="0" w:color="auto"/>
            </w:tcBorders>
          </w:tcPr>
          <w:p w14:paraId="78FDFE19" w14:textId="77777777" w:rsidR="00E45927"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Bile acid agonists</w:t>
            </w:r>
          </w:p>
        </w:tc>
        <w:tc>
          <w:tcPr>
            <w:tcW w:w="2189" w:type="dxa"/>
            <w:tcBorders>
              <w:top w:val="single" w:sz="4" w:space="0" w:color="auto"/>
              <w:bottom w:val="single" w:sz="4" w:space="0" w:color="auto"/>
            </w:tcBorders>
          </w:tcPr>
          <w:p w14:paraId="4309F7F2" w14:textId="77777777" w:rsidR="00E45927"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Main tissue distribution</w:t>
            </w:r>
          </w:p>
        </w:tc>
      </w:tr>
      <w:bookmarkEnd w:id="313"/>
      <w:tr w:rsidR="00E45927" w14:paraId="1115871C" w14:textId="77777777">
        <w:trPr>
          <w:trHeight w:val="1301"/>
        </w:trPr>
        <w:tc>
          <w:tcPr>
            <w:tcW w:w="2183" w:type="dxa"/>
            <w:tcBorders>
              <w:top w:val="single" w:sz="4" w:space="0" w:color="auto"/>
            </w:tcBorders>
          </w:tcPr>
          <w:p w14:paraId="101DD787" w14:textId="77777777" w:rsidR="00E45927" w:rsidRDefault="00000000">
            <w:pPr>
              <w:spacing w:line="360" w:lineRule="auto"/>
              <w:jc w:val="both"/>
              <w:rPr>
                <w:rFonts w:ascii="Book Antiqua" w:eastAsia="宋体" w:hAnsi="Book Antiqua"/>
                <w:lang w:eastAsia="zh-CN"/>
              </w:rPr>
            </w:pPr>
            <w:r>
              <w:rPr>
                <w:rFonts w:ascii="Book Antiqua" w:eastAsia="宋体" w:hAnsi="Book Antiqua"/>
                <w:color w:val="000000"/>
                <w:spacing w:val="15"/>
                <w:lang w:eastAsia="zh-CN"/>
              </w:rPr>
              <w:t>Farnesol X receptor</w:t>
            </w:r>
          </w:p>
        </w:tc>
        <w:tc>
          <w:tcPr>
            <w:tcW w:w="1331" w:type="dxa"/>
            <w:tcBorders>
              <w:top w:val="single" w:sz="4" w:space="0" w:color="auto"/>
            </w:tcBorders>
          </w:tcPr>
          <w:p w14:paraId="63E203D3"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FXR</w:t>
            </w:r>
          </w:p>
        </w:tc>
        <w:tc>
          <w:tcPr>
            <w:tcW w:w="1711" w:type="dxa"/>
            <w:tcBorders>
              <w:top w:val="single" w:sz="4" w:space="0" w:color="auto"/>
            </w:tcBorders>
          </w:tcPr>
          <w:p w14:paraId="70B98ED0"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Nuclear hormone receptor</w:t>
            </w:r>
          </w:p>
        </w:tc>
        <w:tc>
          <w:tcPr>
            <w:tcW w:w="2165" w:type="dxa"/>
            <w:tcBorders>
              <w:top w:val="single" w:sz="4" w:space="0" w:color="auto"/>
            </w:tcBorders>
          </w:tcPr>
          <w:p w14:paraId="19A8C79D"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CDCA &gt; DCA &gt; LCA &gt; CA</w:t>
            </w:r>
          </w:p>
        </w:tc>
        <w:tc>
          <w:tcPr>
            <w:tcW w:w="2189" w:type="dxa"/>
            <w:tcBorders>
              <w:top w:val="single" w:sz="4" w:space="0" w:color="auto"/>
            </w:tcBorders>
          </w:tcPr>
          <w:p w14:paraId="7AFE83DC"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Intestinal epithelial cells, hepatocytes</w:t>
            </w:r>
          </w:p>
        </w:tc>
      </w:tr>
      <w:tr w:rsidR="00E45927" w14:paraId="039CAE6E" w14:textId="77777777">
        <w:trPr>
          <w:trHeight w:val="1311"/>
        </w:trPr>
        <w:tc>
          <w:tcPr>
            <w:tcW w:w="2183" w:type="dxa"/>
          </w:tcPr>
          <w:p w14:paraId="01ECFE24" w14:textId="77777777" w:rsidR="00E45927" w:rsidRDefault="00000000">
            <w:pPr>
              <w:spacing w:line="360" w:lineRule="auto"/>
              <w:jc w:val="both"/>
              <w:rPr>
                <w:rFonts w:ascii="Book Antiqua" w:eastAsia="宋体" w:hAnsi="Book Antiqua"/>
                <w:color w:val="000000"/>
                <w:spacing w:val="15"/>
                <w:lang w:eastAsia="zh-CN"/>
              </w:rPr>
            </w:pPr>
            <w:r>
              <w:rPr>
                <w:rFonts w:ascii="Book Antiqua" w:eastAsia="宋体" w:hAnsi="Book Antiqua"/>
                <w:color w:val="000000"/>
                <w:spacing w:val="15"/>
                <w:lang w:eastAsia="zh-CN"/>
              </w:rPr>
              <w:t>Retinoid-related orphan receptor γt</w:t>
            </w:r>
          </w:p>
        </w:tc>
        <w:tc>
          <w:tcPr>
            <w:tcW w:w="1331" w:type="dxa"/>
          </w:tcPr>
          <w:p w14:paraId="7BDE4AB2"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RORγt</w:t>
            </w:r>
          </w:p>
        </w:tc>
        <w:tc>
          <w:tcPr>
            <w:tcW w:w="1711" w:type="dxa"/>
          </w:tcPr>
          <w:p w14:paraId="19E48189"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Nuclear hormone receptor</w:t>
            </w:r>
          </w:p>
        </w:tc>
        <w:tc>
          <w:tcPr>
            <w:tcW w:w="2165" w:type="dxa"/>
          </w:tcPr>
          <w:p w14:paraId="6E4A1A57"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3oxo-LCA,</w:t>
            </w:r>
            <w:r>
              <w:rPr>
                <w:rFonts w:ascii="Book Antiqua" w:hAnsi="Book Antiqua"/>
                <w:lang w:eastAsia="zh-CN"/>
              </w:rPr>
              <w:t xml:space="preserve"> </w:t>
            </w:r>
            <w:r>
              <w:rPr>
                <w:rFonts w:ascii="Book Antiqua" w:eastAsia="宋体" w:hAnsi="Book Antiqua"/>
                <w:lang w:eastAsia="zh-CN"/>
              </w:rPr>
              <w:t>isoLCA</w:t>
            </w:r>
          </w:p>
        </w:tc>
        <w:tc>
          <w:tcPr>
            <w:tcW w:w="2189" w:type="dxa"/>
          </w:tcPr>
          <w:p w14:paraId="2BE176F0"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Th17 cells, ILC3 and γδT cells</w:t>
            </w:r>
          </w:p>
        </w:tc>
      </w:tr>
      <w:tr w:rsidR="00E45927" w14:paraId="7E52CED7" w14:textId="77777777">
        <w:trPr>
          <w:trHeight w:val="2190"/>
        </w:trPr>
        <w:tc>
          <w:tcPr>
            <w:tcW w:w="2183" w:type="dxa"/>
          </w:tcPr>
          <w:p w14:paraId="2CDC7240" w14:textId="77777777" w:rsidR="00E45927" w:rsidRDefault="00000000">
            <w:pPr>
              <w:spacing w:line="360" w:lineRule="auto"/>
              <w:jc w:val="both"/>
              <w:rPr>
                <w:rFonts w:ascii="Book Antiqua" w:eastAsia="宋体" w:hAnsi="Book Antiqua"/>
                <w:color w:val="000000"/>
                <w:spacing w:val="15"/>
                <w:lang w:eastAsia="zh-CN"/>
              </w:rPr>
            </w:pPr>
            <w:r>
              <w:rPr>
                <w:rFonts w:ascii="Book Antiqua" w:eastAsia="宋体" w:hAnsi="Book Antiqua"/>
                <w:color w:val="000000"/>
                <w:spacing w:val="15"/>
                <w:lang w:eastAsia="zh-CN"/>
              </w:rPr>
              <w:t>G protein-coupled bile acid receptor 1</w:t>
            </w:r>
          </w:p>
        </w:tc>
        <w:tc>
          <w:tcPr>
            <w:tcW w:w="1331" w:type="dxa"/>
          </w:tcPr>
          <w:p w14:paraId="2017D53F"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GPBAR1 or TGR5</w:t>
            </w:r>
          </w:p>
        </w:tc>
        <w:tc>
          <w:tcPr>
            <w:tcW w:w="1711" w:type="dxa"/>
          </w:tcPr>
          <w:p w14:paraId="4D5C9D1D"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Membrane-bound receptor</w:t>
            </w:r>
          </w:p>
        </w:tc>
        <w:tc>
          <w:tcPr>
            <w:tcW w:w="2165" w:type="dxa"/>
          </w:tcPr>
          <w:p w14:paraId="75044975"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LCA &gt; DCA &gt; CDCA &gt; UDCA &gt; CA</w:t>
            </w:r>
          </w:p>
        </w:tc>
        <w:tc>
          <w:tcPr>
            <w:tcW w:w="2189" w:type="dxa"/>
          </w:tcPr>
          <w:p w14:paraId="40830B3C"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Epithelial cells, immune cells, and intestinal nerves in the gut and biliary tract</w:t>
            </w:r>
          </w:p>
        </w:tc>
      </w:tr>
      <w:tr w:rsidR="00E45927" w14:paraId="43D10CD7" w14:textId="77777777">
        <w:trPr>
          <w:trHeight w:val="1301"/>
        </w:trPr>
        <w:tc>
          <w:tcPr>
            <w:tcW w:w="2183" w:type="dxa"/>
          </w:tcPr>
          <w:p w14:paraId="49D60A56" w14:textId="77777777" w:rsidR="00E45927" w:rsidRDefault="00000000">
            <w:pPr>
              <w:spacing w:line="360" w:lineRule="auto"/>
              <w:jc w:val="both"/>
              <w:rPr>
                <w:rFonts w:ascii="Book Antiqua" w:eastAsia="宋体" w:hAnsi="Book Antiqua"/>
                <w:color w:val="000000"/>
                <w:spacing w:val="15"/>
                <w:lang w:eastAsia="zh-CN"/>
              </w:rPr>
            </w:pPr>
            <w:r>
              <w:rPr>
                <w:rFonts w:ascii="Book Antiqua" w:eastAsia="宋体" w:hAnsi="Book Antiqua"/>
                <w:color w:val="000000"/>
                <w:spacing w:val="15"/>
                <w:lang w:eastAsia="zh-CN"/>
              </w:rPr>
              <w:t>Vitamin D receptor</w:t>
            </w:r>
          </w:p>
        </w:tc>
        <w:tc>
          <w:tcPr>
            <w:tcW w:w="1331" w:type="dxa"/>
          </w:tcPr>
          <w:p w14:paraId="33576560"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VDR</w:t>
            </w:r>
          </w:p>
        </w:tc>
        <w:tc>
          <w:tcPr>
            <w:tcW w:w="1711" w:type="dxa"/>
          </w:tcPr>
          <w:p w14:paraId="3AD8EF70"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Nuclear hormone receptor</w:t>
            </w:r>
          </w:p>
        </w:tc>
        <w:tc>
          <w:tcPr>
            <w:tcW w:w="2165" w:type="dxa"/>
          </w:tcPr>
          <w:p w14:paraId="2F66742E"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LCA, 3-oxoLCA</w:t>
            </w:r>
            <w:r>
              <w:rPr>
                <w:rFonts w:ascii="Book Antiqua" w:eastAsia="宋体" w:hAnsi="Book Antiqua" w:hint="eastAsia"/>
                <w:lang w:eastAsia="zh-CN"/>
              </w:rPr>
              <w:t>,</w:t>
            </w:r>
            <w:r>
              <w:rPr>
                <w:rFonts w:ascii="Book Antiqua" w:eastAsia="宋体" w:hAnsi="Book Antiqua"/>
                <w:lang w:eastAsia="zh-CN"/>
              </w:rPr>
              <w:t xml:space="preserve"> and isoalloLCA</w:t>
            </w:r>
          </w:p>
        </w:tc>
        <w:tc>
          <w:tcPr>
            <w:tcW w:w="2189" w:type="dxa"/>
          </w:tcPr>
          <w:p w14:paraId="0883D00C"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Intestinal epithelial cells</w:t>
            </w:r>
          </w:p>
        </w:tc>
      </w:tr>
      <w:tr w:rsidR="00E45927" w14:paraId="2F0B6DF8" w14:textId="77777777">
        <w:trPr>
          <w:trHeight w:val="1311"/>
        </w:trPr>
        <w:tc>
          <w:tcPr>
            <w:tcW w:w="2183" w:type="dxa"/>
          </w:tcPr>
          <w:p w14:paraId="45E65B96" w14:textId="77777777" w:rsidR="00E45927" w:rsidRDefault="00000000">
            <w:pPr>
              <w:spacing w:line="360" w:lineRule="auto"/>
              <w:jc w:val="both"/>
              <w:rPr>
                <w:rFonts w:ascii="Book Antiqua" w:eastAsia="宋体" w:hAnsi="Book Antiqua"/>
                <w:color w:val="000000"/>
                <w:spacing w:val="15"/>
                <w:lang w:eastAsia="zh-CN"/>
              </w:rPr>
            </w:pPr>
            <w:r>
              <w:rPr>
                <w:rFonts w:ascii="Book Antiqua" w:eastAsia="宋体" w:hAnsi="Book Antiqua"/>
                <w:color w:val="000000"/>
                <w:spacing w:val="15"/>
                <w:lang w:eastAsia="zh-CN"/>
              </w:rPr>
              <w:t>Pregnane X receptor</w:t>
            </w:r>
          </w:p>
        </w:tc>
        <w:tc>
          <w:tcPr>
            <w:tcW w:w="1331" w:type="dxa"/>
          </w:tcPr>
          <w:p w14:paraId="31546E46"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PXR</w:t>
            </w:r>
          </w:p>
        </w:tc>
        <w:tc>
          <w:tcPr>
            <w:tcW w:w="1711" w:type="dxa"/>
          </w:tcPr>
          <w:p w14:paraId="0F1732AC"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Nuclear hormone receptor</w:t>
            </w:r>
          </w:p>
        </w:tc>
        <w:tc>
          <w:tcPr>
            <w:tcW w:w="2165" w:type="dxa"/>
          </w:tcPr>
          <w:p w14:paraId="07FFAFA7"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CDCA, LCA</w:t>
            </w:r>
          </w:p>
        </w:tc>
        <w:tc>
          <w:tcPr>
            <w:tcW w:w="2189" w:type="dxa"/>
          </w:tcPr>
          <w:p w14:paraId="770251DC"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Intestinal epithelial cells, hepatocytes</w:t>
            </w:r>
          </w:p>
        </w:tc>
      </w:tr>
      <w:tr w:rsidR="00E45927" w14:paraId="13B67D3F" w14:textId="77777777">
        <w:trPr>
          <w:trHeight w:val="1311"/>
        </w:trPr>
        <w:tc>
          <w:tcPr>
            <w:tcW w:w="2183" w:type="dxa"/>
          </w:tcPr>
          <w:p w14:paraId="64867F1C" w14:textId="77777777" w:rsidR="00E45927" w:rsidRDefault="00000000">
            <w:pPr>
              <w:spacing w:line="360" w:lineRule="auto"/>
              <w:jc w:val="both"/>
              <w:rPr>
                <w:rFonts w:ascii="Book Antiqua" w:eastAsia="宋体" w:hAnsi="Book Antiqua"/>
                <w:color w:val="000000"/>
                <w:spacing w:val="15"/>
                <w:lang w:eastAsia="zh-CN"/>
              </w:rPr>
            </w:pPr>
            <w:r>
              <w:rPr>
                <w:rFonts w:ascii="Book Antiqua" w:eastAsia="宋体" w:hAnsi="Book Antiqua"/>
                <w:color w:val="000000"/>
                <w:spacing w:val="15"/>
                <w:lang w:eastAsia="zh-CN"/>
              </w:rPr>
              <w:t>Costitutive androstane receptor</w:t>
            </w:r>
          </w:p>
        </w:tc>
        <w:tc>
          <w:tcPr>
            <w:tcW w:w="1331" w:type="dxa"/>
          </w:tcPr>
          <w:p w14:paraId="16C741F8"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CAR</w:t>
            </w:r>
          </w:p>
        </w:tc>
        <w:tc>
          <w:tcPr>
            <w:tcW w:w="1711" w:type="dxa"/>
          </w:tcPr>
          <w:p w14:paraId="753A970A"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Nuclear hormone receptor</w:t>
            </w:r>
          </w:p>
        </w:tc>
        <w:tc>
          <w:tcPr>
            <w:tcW w:w="2165" w:type="dxa"/>
          </w:tcPr>
          <w:p w14:paraId="63C15391"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CDCA, LCA</w:t>
            </w:r>
          </w:p>
        </w:tc>
        <w:tc>
          <w:tcPr>
            <w:tcW w:w="2189" w:type="dxa"/>
          </w:tcPr>
          <w:p w14:paraId="0AAFC21D"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Hepatocytes</w:t>
            </w:r>
          </w:p>
        </w:tc>
      </w:tr>
      <w:tr w:rsidR="00E45927" w14:paraId="289BBC78" w14:textId="77777777">
        <w:trPr>
          <w:trHeight w:val="1311"/>
        </w:trPr>
        <w:tc>
          <w:tcPr>
            <w:tcW w:w="2183" w:type="dxa"/>
            <w:tcBorders>
              <w:bottom w:val="single" w:sz="4" w:space="0" w:color="auto"/>
            </w:tcBorders>
          </w:tcPr>
          <w:p w14:paraId="5AEFA1E4" w14:textId="77777777" w:rsidR="00E45927" w:rsidRDefault="00000000">
            <w:pPr>
              <w:spacing w:line="360" w:lineRule="auto"/>
              <w:jc w:val="both"/>
              <w:rPr>
                <w:rFonts w:ascii="Book Antiqua" w:eastAsia="宋体" w:hAnsi="Book Antiqua"/>
                <w:color w:val="000000"/>
                <w:spacing w:val="15"/>
                <w:lang w:eastAsia="zh-CN"/>
              </w:rPr>
            </w:pPr>
            <w:r>
              <w:rPr>
                <w:rFonts w:ascii="Book Antiqua" w:eastAsia="宋体" w:hAnsi="Book Antiqua"/>
                <w:color w:val="000000"/>
                <w:spacing w:val="15"/>
                <w:lang w:eastAsia="zh-CN"/>
              </w:rPr>
              <w:t>Sphingosine-1-phosphate receptor 2</w:t>
            </w:r>
          </w:p>
        </w:tc>
        <w:tc>
          <w:tcPr>
            <w:tcW w:w="1331" w:type="dxa"/>
            <w:tcBorders>
              <w:bottom w:val="single" w:sz="4" w:space="0" w:color="auto"/>
            </w:tcBorders>
          </w:tcPr>
          <w:p w14:paraId="36229706"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S1PR2</w:t>
            </w:r>
          </w:p>
        </w:tc>
        <w:tc>
          <w:tcPr>
            <w:tcW w:w="1711" w:type="dxa"/>
            <w:tcBorders>
              <w:bottom w:val="single" w:sz="4" w:space="0" w:color="auto"/>
            </w:tcBorders>
          </w:tcPr>
          <w:p w14:paraId="680889EF"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Membrane-bound receptor</w:t>
            </w:r>
          </w:p>
        </w:tc>
        <w:tc>
          <w:tcPr>
            <w:tcW w:w="2165" w:type="dxa"/>
            <w:tcBorders>
              <w:bottom w:val="single" w:sz="4" w:space="0" w:color="auto"/>
            </w:tcBorders>
          </w:tcPr>
          <w:p w14:paraId="2AA07DFA"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GCA, TCA, GCDCA and TCDCA</w:t>
            </w:r>
          </w:p>
        </w:tc>
        <w:tc>
          <w:tcPr>
            <w:tcW w:w="2189" w:type="dxa"/>
            <w:tcBorders>
              <w:bottom w:val="single" w:sz="4" w:space="0" w:color="auto"/>
            </w:tcBorders>
          </w:tcPr>
          <w:p w14:paraId="6A0DA5BA" w14:textId="77777777" w:rsidR="00E45927" w:rsidRDefault="00000000">
            <w:pPr>
              <w:spacing w:line="360" w:lineRule="auto"/>
              <w:jc w:val="both"/>
              <w:rPr>
                <w:rFonts w:ascii="Book Antiqua" w:eastAsia="宋体" w:hAnsi="Book Antiqua"/>
                <w:lang w:eastAsia="zh-CN"/>
              </w:rPr>
            </w:pPr>
            <w:r>
              <w:rPr>
                <w:rFonts w:ascii="Book Antiqua" w:eastAsia="宋体" w:hAnsi="Book Antiqua"/>
                <w:lang w:eastAsia="zh-CN"/>
              </w:rPr>
              <w:t>Intestinal epithelial cells, hepatocytes</w:t>
            </w:r>
          </w:p>
        </w:tc>
      </w:tr>
    </w:tbl>
    <w:p w14:paraId="799A10A5" w14:textId="77777777" w:rsidR="00E4592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rPr>
        <w:t>DCA: Deoxycholic acid; LCA: Lithocholic acid; CA: Cholic acid; CDCA: Chenodeoxycholic acid; isoLCA: Isolithocholic acid; isoalloLCA: Isoallolithocholic acid; 3-oxoLCA: 3-oxolithocholic acid;</w:t>
      </w:r>
      <w:r>
        <w:rPr>
          <w:rFonts w:ascii="Book Antiqua" w:eastAsia="宋体" w:hAnsi="Book Antiqua" w:hint="eastAsia"/>
        </w:rPr>
        <w:t xml:space="preserve"> </w:t>
      </w:r>
      <w:r>
        <w:rPr>
          <w:rFonts w:ascii="Book Antiqua" w:eastAsia="Book Antiqua" w:hAnsi="Book Antiqua" w:cs="Book Antiqua"/>
        </w:rPr>
        <w:t xml:space="preserve">FXR: Farnesoid X receptor; GPABR1: </w:t>
      </w:r>
      <w:r>
        <w:rPr>
          <w:rFonts w:ascii="Book Antiqua" w:eastAsia="Book Antiqua" w:hAnsi="Book Antiqua" w:cs="Book Antiqua"/>
          <w:color w:val="000000"/>
        </w:rPr>
        <w:t>G protein-coupled bile acid receptor 1</w:t>
      </w:r>
      <w:r>
        <w:rPr>
          <w:rFonts w:ascii="Book Antiqua" w:eastAsia="Book Antiqua" w:hAnsi="Book Antiqua" w:cs="Book Antiqua"/>
        </w:rPr>
        <w:t>; PXR: Pregnane X receptor; VDR: Vitamin D receptor; RORγt:</w:t>
      </w:r>
      <w:r>
        <w:rPr>
          <w:rFonts w:ascii="Book Antiqua" w:eastAsia="Book Antiqua" w:hAnsi="Book Antiqua" w:cs="Book Antiqua"/>
          <w:color w:val="000000"/>
        </w:rPr>
        <w:t xml:space="preserve"> Retinoid-related orphan receptor γt; CAR</w:t>
      </w:r>
      <w:r>
        <w:rPr>
          <w:rFonts w:ascii="Book Antiqua" w:eastAsia="Book Antiqua" w:hAnsi="Book Antiqua" w:cs="Book Antiqua"/>
        </w:rPr>
        <w:t>:</w:t>
      </w:r>
      <w:r>
        <w:rPr>
          <w:rFonts w:ascii="Book Antiqua" w:eastAsia="Book Antiqua" w:hAnsi="Book Antiqua" w:cs="Book Antiqua"/>
          <w:color w:val="000000"/>
        </w:rPr>
        <w:t xml:space="preserve"> Costitutive androstane receptor; </w:t>
      </w:r>
      <w:r>
        <w:rPr>
          <w:rFonts w:ascii="Book Antiqua" w:eastAsia="Book Antiqua" w:hAnsi="Book Antiqua" w:cs="Book Antiqua"/>
        </w:rPr>
        <w:t xml:space="preserve">S1PR2: </w:t>
      </w:r>
      <w:r>
        <w:rPr>
          <w:rFonts w:ascii="Book Antiqua" w:eastAsia="Book Antiqua" w:hAnsi="Book Antiqua" w:cs="Book Antiqua"/>
          <w:color w:val="000000"/>
        </w:rPr>
        <w:t xml:space="preserve">Sphingosine-1-phosphate </w:t>
      </w:r>
      <w:r>
        <w:rPr>
          <w:rFonts w:ascii="Book Antiqua" w:eastAsia="Book Antiqua" w:hAnsi="Book Antiqua" w:cs="Book Antiqua"/>
          <w:color w:val="000000"/>
        </w:rPr>
        <w:lastRenderedPageBreak/>
        <w:t xml:space="preserve">receptor 2; </w:t>
      </w:r>
      <w:r>
        <w:rPr>
          <w:rFonts w:ascii="Book Antiqua" w:eastAsia="Book Antiqua" w:hAnsi="Book Antiqua" w:cs="Book Antiqua"/>
        </w:rPr>
        <w:t>GCA: Glycocholic acid; TCA: Taurocholic acid; GCDCA: Glycochenodeoxycholic acid; TCDCA: Taurochenodeoxycholic acid.</w:t>
      </w:r>
    </w:p>
    <w:p w14:paraId="267D8DF8" w14:textId="77777777" w:rsidR="00E45927" w:rsidRDefault="00E45927">
      <w:pPr>
        <w:spacing w:line="360" w:lineRule="auto"/>
        <w:jc w:val="both"/>
        <w:rPr>
          <w:rFonts w:ascii="Book Antiqua" w:eastAsia="Book Antiqua" w:hAnsi="Book Antiqua" w:cs="Book Antiqua"/>
          <w:color w:val="000000"/>
        </w:rPr>
      </w:pPr>
    </w:p>
    <w:p w14:paraId="39BC18AB" w14:textId="77777777" w:rsidR="00E45927" w:rsidRDefault="00E45927">
      <w:pPr>
        <w:spacing w:line="360" w:lineRule="auto"/>
        <w:jc w:val="both"/>
        <w:rPr>
          <w:rFonts w:ascii="Book Antiqua" w:eastAsia="宋体" w:hAnsi="Book Antiqua"/>
        </w:rPr>
        <w:sectPr w:rsidR="00E45927">
          <w:pgSz w:w="11906" w:h="16838"/>
          <w:pgMar w:top="1134" w:right="1134" w:bottom="1134" w:left="1134" w:header="851" w:footer="992" w:gutter="0"/>
          <w:cols w:space="425"/>
          <w:docGrid w:type="lines" w:linePitch="312"/>
        </w:sectPr>
      </w:pPr>
    </w:p>
    <w:p w14:paraId="000B2D18" w14:textId="77777777" w:rsidR="00E45927" w:rsidRDefault="00000000">
      <w:pPr>
        <w:spacing w:line="360" w:lineRule="auto"/>
        <w:jc w:val="both"/>
        <w:rPr>
          <w:rFonts w:ascii="Book Antiqua" w:eastAsia="宋体" w:hAnsi="Book Antiqua"/>
          <w:b/>
          <w:bCs/>
        </w:rPr>
      </w:pPr>
      <w:bookmarkStart w:id="314" w:name="OLE_LINK7052"/>
      <w:bookmarkStart w:id="315" w:name="OLE_LINK7053"/>
      <w:bookmarkStart w:id="316" w:name="OLE_LINK7051"/>
      <w:r>
        <w:rPr>
          <w:rFonts w:ascii="Book Antiqua" w:eastAsia="宋体" w:hAnsi="Book Antiqua"/>
          <w:b/>
          <w:bCs/>
        </w:rPr>
        <w:lastRenderedPageBreak/>
        <w:t xml:space="preserve">Table 2 </w:t>
      </w:r>
      <w:bookmarkStart w:id="317" w:name="OLE_LINK7054"/>
      <w:bookmarkStart w:id="318" w:name="OLE_LINK7055"/>
      <w:r>
        <w:rPr>
          <w:rFonts w:ascii="Book Antiqua" w:eastAsia="宋体" w:hAnsi="Book Antiqua"/>
          <w:b/>
          <w:bCs/>
        </w:rPr>
        <w:t xml:space="preserve">Potential </w:t>
      </w:r>
      <w:bookmarkEnd w:id="317"/>
      <w:bookmarkEnd w:id="318"/>
      <w:r>
        <w:rPr>
          <w:rFonts w:ascii="Book Antiqua" w:eastAsia="宋体" w:hAnsi="Book Antiqua"/>
          <w:b/>
          <w:bCs/>
        </w:rPr>
        <w:t xml:space="preserve">applications of bile acids and their receptors in </w:t>
      </w:r>
      <w:bookmarkStart w:id="319" w:name="OLE_LINK7131"/>
      <w:bookmarkStart w:id="320" w:name="OLE_LINK7130"/>
      <w:r>
        <w:rPr>
          <w:rFonts w:ascii="Book Antiqua" w:eastAsia="Book Antiqua" w:hAnsi="Book Antiqua" w:cs="Book Antiqua" w:hint="eastAsia"/>
          <w:b/>
          <w:bCs/>
          <w:color w:val="000000"/>
          <w:lang w:eastAsia="zh-CN"/>
        </w:rPr>
        <w:t>i</w:t>
      </w:r>
      <w:r>
        <w:rPr>
          <w:rFonts w:ascii="Book Antiqua" w:eastAsia="Book Antiqua" w:hAnsi="Book Antiqua" w:cs="Book Antiqua"/>
          <w:b/>
          <w:bCs/>
          <w:color w:val="000000"/>
        </w:rPr>
        <w:t>nflammatory bowel disease</w:t>
      </w:r>
      <w:bookmarkEnd w:id="319"/>
      <w:bookmarkEnd w:id="320"/>
    </w:p>
    <w:tbl>
      <w:tblPr>
        <w:tblStyle w:val="ab"/>
        <w:tblW w:w="15735"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2"/>
        <w:gridCol w:w="1830"/>
        <w:gridCol w:w="2227"/>
        <w:gridCol w:w="3034"/>
        <w:gridCol w:w="6812"/>
      </w:tblGrid>
      <w:tr w:rsidR="00E45927" w14:paraId="5A4D0422" w14:textId="77777777">
        <w:trPr>
          <w:trHeight w:val="334"/>
        </w:trPr>
        <w:tc>
          <w:tcPr>
            <w:tcW w:w="1832" w:type="dxa"/>
            <w:tcBorders>
              <w:top w:val="single" w:sz="4" w:space="0" w:color="auto"/>
              <w:bottom w:val="single" w:sz="4" w:space="0" w:color="auto"/>
            </w:tcBorders>
          </w:tcPr>
          <w:p w14:paraId="47CDA472" w14:textId="77777777" w:rsidR="00E45927" w:rsidRDefault="00000000">
            <w:pPr>
              <w:spacing w:line="360" w:lineRule="auto"/>
              <w:jc w:val="both"/>
              <w:rPr>
                <w:rFonts w:ascii="Book Antiqua" w:hAnsi="Book Antiqua"/>
                <w:b/>
                <w:bCs/>
                <w:lang w:eastAsia="zh-CN"/>
              </w:rPr>
            </w:pPr>
            <w:bookmarkStart w:id="321" w:name="_Hlk137567408"/>
            <w:bookmarkStart w:id="322" w:name="OLE_LINK7175"/>
            <w:bookmarkStart w:id="323" w:name="OLE_LINK7176"/>
            <w:bookmarkEnd w:id="314"/>
            <w:bookmarkEnd w:id="315"/>
            <w:bookmarkEnd w:id="316"/>
            <w:r>
              <w:rPr>
                <w:rFonts w:ascii="Book Antiqua" w:hAnsi="Book Antiqua"/>
                <w:b/>
                <w:bCs/>
                <w:lang w:eastAsia="zh-CN"/>
              </w:rPr>
              <w:t>Types</w:t>
            </w:r>
          </w:p>
        </w:tc>
        <w:tc>
          <w:tcPr>
            <w:tcW w:w="1830" w:type="dxa"/>
            <w:tcBorders>
              <w:top w:val="single" w:sz="4" w:space="0" w:color="auto"/>
              <w:bottom w:val="single" w:sz="4" w:space="0" w:color="auto"/>
            </w:tcBorders>
          </w:tcPr>
          <w:p w14:paraId="372A8222" w14:textId="77777777" w:rsidR="00E45927" w:rsidRDefault="00000000">
            <w:pPr>
              <w:spacing w:line="360" w:lineRule="auto"/>
              <w:jc w:val="both"/>
              <w:rPr>
                <w:rFonts w:ascii="Book Antiqua" w:hAnsi="Book Antiqua"/>
                <w:b/>
                <w:bCs/>
                <w:lang w:eastAsia="zh-CN"/>
              </w:rPr>
            </w:pPr>
            <w:r>
              <w:rPr>
                <w:rFonts w:ascii="Book Antiqua" w:hAnsi="Book Antiqua"/>
                <w:b/>
                <w:bCs/>
                <w:lang w:eastAsia="zh-CN"/>
              </w:rPr>
              <w:t>Ref.</w:t>
            </w:r>
          </w:p>
        </w:tc>
        <w:tc>
          <w:tcPr>
            <w:tcW w:w="2227" w:type="dxa"/>
            <w:tcBorders>
              <w:top w:val="single" w:sz="4" w:space="0" w:color="auto"/>
              <w:bottom w:val="single" w:sz="4" w:space="0" w:color="auto"/>
            </w:tcBorders>
          </w:tcPr>
          <w:p w14:paraId="74CF15DC" w14:textId="77777777" w:rsidR="00E45927" w:rsidRDefault="00000000">
            <w:pPr>
              <w:spacing w:line="360" w:lineRule="auto"/>
              <w:jc w:val="both"/>
              <w:rPr>
                <w:rFonts w:ascii="Book Antiqua" w:hAnsi="Book Antiqua"/>
                <w:b/>
                <w:bCs/>
                <w:lang w:eastAsia="zh-CN"/>
              </w:rPr>
            </w:pPr>
            <w:r>
              <w:rPr>
                <w:rFonts w:ascii="Book Antiqua" w:hAnsi="Book Antiqua"/>
                <w:b/>
                <w:bCs/>
                <w:lang w:eastAsia="zh-CN"/>
              </w:rPr>
              <w:t>Subjects</w:t>
            </w:r>
          </w:p>
        </w:tc>
        <w:tc>
          <w:tcPr>
            <w:tcW w:w="3034" w:type="dxa"/>
            <w:tcBorders>
              <w:top w:val="single" w:sz="4" w:space="0" w:color="auto"/>
              <w:bottom w:val="single" w:sz="4" w:space="0" w:color="auto"/>
            </w:tcBorders>
          </w:tcPr>
          <w:p w14:paraId="47868C03" w14:textId="77777777" w:rsidR="00E45927" w:rsidRDefault="00000000">
            <w:pPr>
              <w:spacing w:line="360" w:lineRule="auto"/>
              <w:jc w:val="both"/>
              <w:rPr>
                <w:rFonts w:ascii="Book Antiqua" w:hAnsi="Book Antiqua"/>
                <w:b/>
                <w:bCs/>
                <w:lang w:eastAsia="zh-CN"/>
              </w:rPr>
            </w:pPr>
            <w:r>
              <w:rPr>
                <w:rFonts w:ascii="Book Antiqua" w:hAnsi="Book Antiqua"/>
                <w:b/>
                <w:bCs/>
                <w:lang w:eastAsia="zh-CN"/>
              </w:rPr>
              <w:t>Treatment</w:t>
            </w:r>
          </w:p>
        </w:tc>
        <w:tc>
          <w:tcPr>
            <w:tcW w:w="6812" w:type="dxa"/>
            <w:tcBorders>
              <w:top w:val="single" w:sz="4" w:space="0" w:color="auto"/>
              <w:bottom w:val="single" w:sz="4" w:space="0" w:color="auto"/>
            </w:tcBorders>
          </w:tcPr>
          <w:p w14:paraId="0FB628EF" w14:textId="77777777" w:rsidR="00E45927" w:rsidRDefault="00000000">
            <w:pPr>
              <w:spacing w:line="360" w:lineRule="auto"/>
              <w:jc w:val="both"/>
              <w:rPr>
                <w:rFonts w:ascii="Book Antiqua" w:hAnsi="Book Antiqua"/>
                <w:b/>
                <w:bCs/>
                <w:lang w:eastAsia="zh-CN"/>
              </w:rPr>
            </w:pPr>
            <w:r>
              <w:rPr>
                <w:rFonts w:ascii="Book Antiqua" w:hAnsi="Book Antiqua"/>
                <w:b/>
                <w:bCs/>
                <w:lang w:eastAsia="zh-CN"/>
              </w:rPr>
              <w:t>Major findings</w:t>
            </w:r>
          </w:p>
        </w:tc>
      </w:tr>
      <w:bookmarkEnd w:id="321"/>
      <w:tr w:rsidR="00E45927" w14:paraId="6F82FB00" w14:textId="77777777">
        <w:trPr>
          <w:trHeight w:val="386"/>
        </w:trPr>
        <w:tc>
          <w:tcPr>
            <w:tcW w:w="1832" w:type="dxa"/>
            <w:vMerge w:val="restart"/>
            <w:tcBorders>
              <w:top w:val="single" w:sz="4" w:space="0" w:color="auto"/>
            </w:tcBorders>
            <w:vAlign w:val="center"/>
          </w:tcPr>
          <w:p w14:paraId="57A465BD" w14:textId="77777777" w:rsidR="00E45927" w:rsidRDefault="00000000">
            <w:pPr>
              <w:spacing w:line="360" w:lineRule="auto"/>
              <w:jc w:val="both"/>
              <w:rPr>
                <w:rFonts w:ascii="Book Antiqua" w:hAnsi="Book Antiqua"/>
                <w:lang w:eastAsia="zh-CN"/>
              </w:rPr>
            </w:pPr>
            <w:r>
              <w:rPr>
                <w:rFonts w:ascii="Book Antiqua" w:hAnsi="Book Antiqua"/>
                <w:lang w:eastAsia="zh-CN"/>
              </w:rPr>
              <w:t>Bile acid receptor agonists or inhibitors</w:t>
            </w:r>
          </w:p>
        </w:tc>
        <w:tc>
          <w:tcPr>
            <w:tcW w:w="1830" w:type="dxa"/>
            <w:tcBorders>
              <w:top w:val="single" w:sz="4" w:space="0" w:color="auto"/>
            </w:tcBorders>
            <w:vAlign w:val="center"/>
          </w:tcPr>
          <w:p w14:paraId="58DFF83F" w14:textId="77777777" w:rsidR="00E45927" w:rsidRDefault="00000000">
            <w:pPr>
              <w:spacing w:line="360" w:lineRule="auto"/>
              <w:jc w:val="both"/>
              <w:rPr>
                <w:rFonts w:ascii="Book Antiqua" w:hAnsi="Book Antiqua"/>
                <w:lang w:eastAsia="zh-CN"/>
              </w:rPr>
            </w:pPr>
            <w:bookmarkStart w:id="324" w:name="OLE_LINK7072"/>
            <w:bookmarkStart w:id="325" w:name="OLE_LINK7073"/>
            <w:bookmarkStart w:id="326" w:name="OLE_LINK7081"/>
            <w:bookmarkStart w:id="327" w:name="OLE_LINK7074"/>
            <w:r>
              <w:rPr>
                <w:rFonts w:ascii="Book Antiqua" w:hAnsi="Book Antiqua"/>
                <w:lang w:eastAsia="zh-CN"/>
              </w:rPr>
              <w:t>Miyazaki</w:t>
            </w:r>
            <w:bookmarkEnd w:id="324"/>
            <w:bookmarkEnd w:id="325"/>
            <w:bookmarkEnd w:id="326"/>
            <w:bookmarkEnd w:id="327"/>
            <w:r>
              <w:rPr>
                <w:rFonts w:ascii="Book Antiqua" w:hAnsi="Book Antiqua"/>
                <w:lang w:eastAsia="zh-CN"/>
              </w:rPr>
              <w:t xml:space="preserve"> </w:t>
            </w:r>
            <w:bookmarkStart w:id="328" w:name="OLE_LINK7078"/>
            <w:bookmarkStart w:id="329" w:name="OLE_LINK7079"/>
            <w:r>
              <w:rPr>
                <w:rFonts w:ascii="Book Antiqua" w:hAnsi="Book Antiqua"/>
                <w:i/>
                <w:iCs/>
                <w:lang w:eastAsia="zh-CN"/>
              </w:rPr>
              <w:t>et al</w:t>
            </w:r>
            <w:bookmarkStart w:id="330" w:name="OLE_LINK7076"/>
            <w:bookmarkStart w:id="331" w:name="OLE_LINK7077"/>
            <w:bookmarkEnd w:id="328"/>
            <w:bookmarkEnd w:id="329"/>
            <w:r>
              <w:rPr>
                <w:rFonts w:ascii="Book Antiqua" w:hAnsi="Book Antiqua"/>
                <w:vertAlign w:val="superscript"/>
                <w:lang w:eastAsia="zh-CN"/>
              </w:rPr>
              <w:t>[109]</w:t>
            </w:r>
            <w:bookmarkEnd w:id="330"/>
            <w:bookmarkEnd w:id="331"/>
            <w:r>
              <w:rPr>
                <w:rFonts w:ascii="Book Antiqua" w:hAnsi="Book Antiqua"/>
                <w:lang w:eastAsia="zh-CN"/>
              </w:rPr>
              <w:t>, 2021</w:t>
            </w:r>
          </w:p>
        </w:tc>
        <w:tc>
          <w:tcPr>
            <w:tcW w:w="2227" w:type="dxa"/>
            <w:tcBorders>
              <w:top w:val="single" w:sz="4" w:space="0" w:color="auto"/>
            </w:tcBorders>
            <w:vAlign w:val="center"/>
          </w:tcPr>
          <w:p w14:paraId="23437B01" w14:textId="77777777" w:rsidR="00E45927" w:rsidRDefault="00000000">
            <w:pPr>
              <w:spacing w:line="360" w:lineRule="auto"/>
              <w:jc w:val="both"/>
              <w:rPr>
                <w:rFonts w:ascii="Book Antiqua" w:hAnsi="Book Antiqua"/>
                <w:lang w:eastAsia="zh-CN"/>
              </w:rPr>
            </w:pPr>
            <w:r>
              <w:rPr>
                <w:rFonts w:ascii="Book Antiqua" w:hAnsi="Book Antiqua"/>
                <w:lang w:eastAsia="zh-CN"/>
              </w:rPr>
              <w:t>Mice with AOM/DSS-induced colitis</w:t>
            </w:r>
          </w:p>
        </w:tc>
        <w:tc>
          <w:tcPr>
            <w:tcW w:w="3034" w:type="dxa"/>
            <w:tcBorders>
              <w:top w:val="single" w:sz="4" w:space="0" w:color="auto"/>
            </w:tcBorders>
            <w:vAlign w:val="center"/>
          </w:tcPr>
          <w:p w14:paraId="6ED2A157" w14:textId="77777777" w:rsidR="00E45927" w:rsidRDefault="00000000">
            <w:pPr>
              <w:spacing w:line="360" w:lineRule="auto"/>
              <w:jc w:val="both"/>
              <w:rPr>
                <w:rFonts w:ascii="Book Antiqua" w:hAnsi="Book Antiqua"/>
                <w:lang w:eastAsia="zh-CN"/>
              </w:rPr>
            </w:pPr>
            <w:r>
              <w:rPr>
                <w:rFonts w:ascii="Book Antiqua" w:hAnsi="Book Antiqua"/>
                <w:lang w:eastAsia="zh-CN"/>
              </w:rPr>
              <w:t>Fed nelumal A for 15 wk</w:t>
            </w:r>
          </w:p>
        </w:tc>
        <w:tc>
          <w:tcPr>
            <w:tcW w:w="6812" w:type="dxa"/>
            <w:tcBorders>
              <w:top w:val="single" w:sz="4" w:space="0" w:color="auto"/>
            </w:tcBorders>
          </w:tcPr>
          <w:p w14:paraId="2184677D" w14:textId="77777777" w:rsidR="00E45927" w:rsidRDefault="00000000">
            <w:pPr>
              <w:pStyle w:val="ad"/>
              <w:spacing w:line="360" w:lineRule="auto"/>
              <w:ind w:firstLineChars="0" w:firstLine="0"/>
              <w:rPr>
                <w:rFonts w:ascii="Book Antiqua" w:hAnsi="Book Antiqua" w:cs="Times New Roman"/>
                <w:sz w:val="24"/>
                <w:szCs w:val="24"/>
              </w:rPr>
            </w:pPr>
            <w:r>
              <w:rPr>
                <w:rFonts w:ascii="Book Antiqua" w:hAnsi="Book Antiqua" w:cs="Times New Roman"/>
                <w:sz w:val="24"/>
                <w:szCs w:val="24"/>
              </w:rPr>
              <w:t>Nelumal A induced the expression of FXR target genes and tight junction proteins in the intestine; Nelumal A decreased the expression of hepatic bile acid synthesis genes</w:t>
            </w:r>
          </w:p>
        </w:tc>
      </w:tr>
      <w:tr w:rsidR="00E45927" w14:paraId="796583AE" w14:textId="77777777">
        <w:trPr>
          <w:trHeight w:val="386"/>
        </w:trPr>
        <w:tc>
          <w:tcPr>
            <w:tcW w:w="1832" w:type="dxa"/>
            <w:vMerge/>
            <w:vAlign w:val="center"/>
          </w:tcPr>
          <w:p w14:paraId="0EE431FA" w14:textId="77777777" w:rsidR="00E45927" w:rsidRDefault="00E45927">
            <w:pPr>
              <w:spacing w:line="360" w:lineRule="auto"/>
              <w:jc w:val="both"/>
              <w:rPr>
                <w:rFonts w:ascii="Book Antiqua" w:hAnsi="Book Antiqua"/>
                <w:lang w:eastAsia="zh-CN"/>
              </w:rPr>
            </w:pPr>
          </w:p>
        </w:tc>
        <w:tc>
          <w:tcPr>
            <w:tcW w:w="1830" w:type="dxa"/>
            <w:vAlign w:val="center"/>
          </w:tcPr>
          <w:p w14:paraId="635E0AC7" w14:textId="77777777" w:rsidR="00E45927" w:rsidRDefault="00000000">
            <w:pPr>
              <w:spacing w:line="360" w:lineRule="auto"/>
              <w:jc w:val="both"/>
              <w:rPr>
                <w:rFonts w:ascii="Book Antiqua" w:hAnsi="Book Antiqua"/>
                <w:lang w:eastAsia="zh-CN"/>
              </w:rPr>
            </w:pPr>
            <w:r>
              <w:rPr>
                <w:rFonts w:ascii="Book Antiqua" w:hAnsi="Book Antiqua"/>
                <w:lang w:eastAsia="zh-CN"/>
              </w:rPr>
              <w:t xml:space="preserve">Liu </w:t>
            </w:r>
            <w:bookmarkStart w:id="332" w:name="OLE_LINK7083"/>
            <w:bookmarkStart w:id="333" w:name="OLE_LINK7082"/>
            <w:r>
              <w:rPr>
                <w:rFonts w:ascii="Book Antiqua" w:hAnsi="Book Antiqua"/>
                <w:i/>
                <w:iCs/>
                <w:lang w:eastAsia="zh-CN"/>
              </w:rPr>
              <w:t>et al</w:t>
            </w:r>
            <w:bookmarkStart w:id="334" w:name="OLE_LINK7084"/>
            <w:bookmarkStart w:id="335" w:name="OLE_LINK7085"/>
            <w:bookmarkEnd w:id="332"/>
            <w:bookmarkEnd w:id="333"/>
            <w:r>
              <w:rPr>
                <w:rFonts w:ascii="Book Antiqua" w:hAnsi="Book Antiqua"/>
                <w:vertAlign w:val="superscript"/>
                <w:lang w:eastAsia="zh-CN"/>
              </w:rPr>
              <w:t>[110]</w:t>
            </w:r>
            <w:bookmarkEnd w:id="334"/>
            <w:bookmarkEnd w:id="335"/>
            <w:r>
              <w:rPr>
                <w:rFonts w:ascii="Book Antiqua" w:hAnsi="Book Antiqua"/>
                <w:lang w:eastAsia="zh-CN"/>
              </w:rPr>
              <w:t xml:space="preserve">, 2023 </w:t>
            </w:r>
          </w:p>
        </w:tc>
        <w:tc>
          <w:tcPr>
            <w:tcW w:w="2227" w:type="dxa"/>
            <w:vAlign w:val="center"/>
          </w:tcPr>
          <w:p w14:paraId="29D04EA8" w14:textId="77777777" w:rsidR="00E45927" w:rsidRDefault="00000000">
            <w:pPr>
              <w:spacing w:line="360" w:lineRule="auto"/>
              <w:jc w:val="both"/>
              <w:rPr>
                <w:rFonts w:ascii="Book Antiqua" w:hAnsi="Book Antiqua"/>
                <w:lang w:eastAsia="zh-CN"/>
              </w:rPr>
            </w:pPr>
            <w:r>
              <w:rPr>
                <w:rFonts w:ascii="Book Antiqua" w:hAnsi="Book Antiqua"/>
                <w:lang w:eastAsia="zh-CN"/>
              </w:rPr>
              <w:t>Mice with DSS-induced colitis</w:t>
            </w:r>
          </w:p>
        </w:tc>
        <w:tc>
          <w:tcPr>
            <w:tcW w:w="3034" w:type="dxa"/>
            <w:vAlign w:val="center"/>
          </w:tcPr>
          <w:p w14:paraId="37665F1E" w14:textId="77777777" w:rsidR="00E45927" w:rsidRDefault="00000000">
            <w:pPr>
              <w:spacing w:line="360" w:lineRule="auto"/>
              <w:jc w:val="both"/>
              <w:rPr>
                <w:rFonts w:ascii="Book Antiqua" w:hAnsi="Book Antiqua"/>
                <w:lang w:eastAsia="zh-CN"/>
              </w:rPr>
            </w:pPr>
            <w:r>
              <w:rPr>
                <w:rFonts w:ascii="Book Antiqua" w:hAnsi="Book Antiqua"/>
                <w:lang w:eastAsia="zh-CN"/>
              </w:rPr>
              <w:t>Fed nigakinone for 9 d</w:t>
            </w:r>
          </w:p>
        </w:tc>
        <w:tc>
          <w:tcPr>
            <w:tcW w:w="6812" w:type="dxa"/>
          </w:tcPr>
          <w:p w14:paraId="6D5BE4CD" w14:textId="77777777" w:rsidR="00E45927" w:rsidRDefault="00000000">
            <w:pPr>
              <w:pStyle w:val="ad"/>
              <w:spacing w:line="360" w:lineRule="auto"/>
              <w:ind w:firstLineChars="0" w:firstLine="0"/>
              <w:rPr>
                <w:rFonts w:ascii="Book Antiqua" w:hAnsi="Book Antiqua" w:cs="Times New Roman"/>
                <w:sz w:val="24"/>
                <w:szCs w:val="24"/>
              </w:rPr>
            </w:pPr>
            <w:r>
              <w:rPr>
                <w:rFonts w:ascii="Book Antiqua" w:hAnsi="Book Antiqua" w:cs="Times New Roman"/>
                <w:sz w:val="24"/>
                <w:szCs w:val="24"/>
              </w:rPr>
              <w:t>Nigakinone inhibited inflammatory cytokine production by activating the FXR/NLRP3 signaling pathway;</w:t>
            </w:r>
            <w:r>
              <w:rPr>
                <w:rFonts w:ascii="Book Antiqua" w:hAnsi="Book Antiqua" w:cs="Times New Roman" w:hint="eastAsia"/>
                <w:sz w:val="24"/>
                <w:szCs w:val="24"/>
              </w:rPr>
              <w:t xml:space="preserve"> </w:t>
            </w:r>
            <w:r>
              <w:rPr>
                <w:rFonts w:ascii="Book Antiqua" w:hAnsi="Book Antiqua" w:cs="Times New Roman"/>
                <w:sz w:val="24"/>
                <w:szCs w:val="24"/>
              </w:rPr>
              <w:t>Nigakinone regulated bile acid metabolism by controlling cholesterol hydroxylase and FXR-mediated transporter proteins</w:t>
            </w:r>
          </w:p>
        </w:tc>
      </w:tr>
      <w:tr w:rsidR="00E45927" w14:paraId="183B3CC1" w14:textId="77777777">
        <w:trPr>
          <w:trHeight w:val="395"/>
        </w:trPr>
        <w:tc>
          <w:tcPr>
            <w:tcW w:w="1832" w:type="dxa"/>
            <w:vMerge/>
            <w:vAlign w:val="center"/>
          </w:tcPr>
          <w:p w14:paraId="4679AA1D" w14:textId="77777777" w:rsidR="00E45927" w:rsidRDefault="00E45927">
            <w:pPr>
              <w:spacing w:line="360" w:lineRule="auto"/>
              <w:jc w:val="both"/>
              <w:rPr>
                <w:rFonts w:ascii="Book Antiqua" w:hAnsi="Book Antiqua"/>
                <w:b/>
                <w:bCs/>
                <w:lang w:eastAsia="zh-CN"/>
              </w:rPr>
            </w:pPr>
            <w:bookmarkStart w:id="336" w:name="_Hlk137566299"/>
          </w:p>
        </w:tc>
        <w:tc>
          <w:tcPr>
            <w:tcW w:w="1830" w:type="dxa"/>
            <w:vAlign w:val="center"/>
          </w:tcPr>
          <w:p w14:paraId="447FF6C6" w14:textId="77777777" w:rsidR="00E45927" w:rsidRDefault="00000000">
            <w:pPr>
              <w:spacing w:line="360" w:lineRule="auto"/>
              <w:jc w:val="both"/>
              <w:rPr>
                <w:rFonts w:ascii="Book Antiqua" w:hAnsi="Book Antiqua"/>
                <w:lang w:eastAsia="zh-CN"/>
              </w:rPr>
            </w:pPr>
            <w:r>
              <w:rPr>
                <w:rFonts w:ascii="Book Antiqua" w:hAnsi="Book Antiqua"/>
                <w:lang w:eastAsia="zh-CN"/>
              </w:rPr>
              <w:t xml:space="preserve">Qi </w:t>
            </w:r>
            <w:bookmarkStart w:id="337" w:name="OLE_LINK7087"/>
            <w:bookmarkStart w:id="338" w:name="OLE_LINK7086"/>
            <w:r>
              <w:rPr>
                <w:rFonts w:ascii="Book Antiqua" w:hAnsi="Book Antiqua"/>
                <w:i/>
                <w:iCs/>
                <w:lang w:eastAsia="zh-CN"/>
              </w:rPr>
              <w:t>et al</w:t>
            </w:r>
            <w:bookmarkEnd w:id="337"/>
            <w:bookmarkEnd w:id="338"/>
            <w:r>
              <w:rPr>
                <w:rFonts w:ascii="Book Antiqua" w:hAnsi="Book Antiqua"/>
                <w:vertAlign w:val="superscript"/>
                <w:lang w:eastAsia="zh-CN"/>
              </w:rPr>
              <w:t>[112]</w:t>
            </w:r>
            <w:r>
              <w:rPr>
                <w:rFonts w:ascii="Book Antiqua" w:hAnsi="Book Antiqua"/>
                <w:lang w:eastAsia="zh-CN"/>
              </w:rPr>
              <w:t>, 2022</w:t>
            </w:r>
          </w:p>
        </w:tc>
        <w:tc>
          <w:tcPr>
            <w:tcW w:w="2227" w:type="dxa"/>
            <w:vAlign w:val="center"/>
          </w:tcPr>
          <w:p w14:paraId="7C2AD468" w14:textId="77777777" w:rsidR="00E45927" w:rsidRDefault="00000000">
            <w:pPr>
              <w:spacing w:line="360" w:lineRule="auto"/>
              <w:jc w:val="both"/>
              <w:rPr>
                <w:rFonts w:ascii="Book Antiqua" w:hAnsi="Book Antiqua"/>
                <w:lang w:eastAsia="zh-CN"/>
              </w:rPr>
            </w:pPr>
            <w:r>
              <w:rPr>
                <w:rFonts w:ascii="Book Antiqua" w:hAnsi="Book Antiqua"/>
                <w:lang w:eastAsia="zh-CN"/>
              </w:rPr>
              <w:t>Mice with DSS-induced colitis</w:t>
            </w:r>
          </w:p>
        </w:tc>
        <w:tc>
          <w:tcPr>
            <w:tcW w:w="3034" w:type="dxa"/>
            <w:vAlign w:val="center"/>
          </w:tcPr>
          <w:p w14:paraId="122388C1" w14:textId="77777777" w:rsidR="00E45927" w:rsidRDefault="00000000">
            <w:pPr>
              <w:spacing w:line="360" w:lineRule="auto"/>
              <w:jc w:val="both"/>
              <w:rPr>
                <w:rFonts w:ascii="Book Antiqua" w:hAnsi="Book Antiqua"/>
                <w:lang w:eastAsia="zh-CN"/>
              </w:rPr>
            </w:pPr>
            <w:r>
              <w:rPr>
                <w:rFonts w:ascii="Book Antiqua" w:hAnsi="Book Antiqua"/>
                <w:lang w:eastAsia="zh-CN"/>
              </w:rPr>
              <w:t>DDC gavage treatment for a week</w:t>
            </w:r>
          </w:p>
        </w:tc>
        <w:tc>
          <w:tcPr>
            <w:tcW w:w="6812" w:type="dxa"/>
          </w:tcPr>
          <w:p w14:paraId="78420809" w14:textId="77777777" w:rsidR="00E45927" w:rsidRDefault="00000000">
            <w:pPr>
              <w:pStyle w:val="ad"/>
              <w:spacing w:line="360" w:lineRule="auto"/>
              <w:ind w:firstLineChars="0" w:firstLine="0"/>
              <w:rPr>
                <w:rFonts w:ascii="Book Antiqua" w:hAnsi="Book Antiqua" w:cs="Times New Roman"/>
                <w:sz w:val="24"/>
                <w:szCs w:val="24"/>
              </w:rPr>
            </w:pPr>
            <w:r>
              <w:rPr>
                <w:rFonts w:ascii="Book Antiqua" w:hAnsi="Book Antiqua" w:cs="Times New Roman"/>
                <w:sz w:val="24"/>
                <w:szCs w:val="24"/>
              </w:rPr>
              <w:t>DDC targeted and inhibited RORγt activity, thereby indirectly stabilizing Foxp 3 expression and achieving regulation of Th17/Treg homeostasis</w:t>
            </w:r>
          </w:p>
        </w:tc>
      </w:tr>
      <w:tr w:rsidR="00E45927" w14:paraId="54907355" w14:textId="77777777">
        <w:trPr>
          <w:trHeight w:val="386"/>
        </w:trPr>
        <w:tc>
          <w:tcPr>
            <w:tcW w:w="1832" w:type="dxa"/>
            <w:vMerge/>
            <w:vAlign w:val="center"/>
          </w:tcPr>
          <w:p w14:paraId="339678C7" w14:textId="77777777" w:rsidR="00E45927" w:rsidRDefault="00E45927">
            <w:pPr>
              <w:spacing w:line="360" w:lineRule="auto"/>
              <w:jc w:val="both"/>
              <w:rPr>
                <w:rFonts w:ascii="Book Antiqua" w:hAnsi="Book Antiqua"/>
                <w:lang w:eastAsia="zh-CN"/>
              </w:rPr>
            </w:pPr>
          </w:p>
        </w:tc>
        <w:tc>
          <w:tcPr>
            <w:tcW w:w="1830" w:type="dxa"/>
            <w:vAlign w:val="center"/>
          </w:tcPr>
          <w:p w14:paraId="2EA43AC4" w14:textId="77777777" w:rsidR="00E45927" w:rsidRDefault="00000000">
            <w:pPr>
              <w:spacing w:line="360" w:lineRule="auto"/>
              <w:jc w:val="both"/>
              <w:rPr>
                <w:rFonts w:ascii="Book Antiqua" w:hAnsi="Book Antiqua"/>
                <w:lang w:eastAsia="zh-CN"/>
              </w:rPr>
            </w:pPr>
            <w:r>
              <w:rPr>
                <w:rFonts w:ascii="Book Antiqua" w:hAnsi="Book Antiqua"/>
                <w:lang w:eastAsia="zh-CN"/>
              </w:rPr>
              <w:t xml:space="preserve">Chen </w:t>
            </w:r>
            <w:bookmarkStart w:id="339" w:name="OLE_LINK7088"/>
            <w:bookmarkStart w:id="340" w:name="OLE_LINK7089"/>
            <w:r>
              <w:rPr>
                <w:rFonts w:ascii="Book Antiqua" w:hAnsi="Book Antiqua"/>
                <w:i/>
                <w:iCs/>
                <w:lang w:eastAsia="zh-CN"/>
              </w:rPr>
              <w:t>et al</w:t>
            </w:r>
            <w:bookmarkEnd w:id="339"/>
            <w:bookmarkEnd w:id="340"/>
            <w:r>
              <w:rPr>
                <w:rFonts w:ascii="Book Antiqua" w:hAnsi="Book Antiqua"/>
                <w:vertAlign w:val="superscript"/>
                <w:lang w:eastAsia="zh-CN"/>
              </w:rPr>
              <w:t>[113]</w:t>
            </w:r>
            <w:r>
              <w:rPr>
                <w:rFonts w:ascii="Book Antiqua" w:hAnsi="Book Antiqua"/>
                <w:lang w:eastAsia="zh-CN"/>
              </w:rPr>
              <w:t>, 2022</w:t>
            </w:r>
          </w:p>
        </w:tc>
        <w:tc>
          <w:tcPr>
            <w:tcW w:w="2227" w:type="dxa"/>
            <w:vAlign w:val="center"/>
          </w:tcPr>
          <w:p w14:paraId="6D6F4E30" w14:textId="77777777" w:rsidR="00E45927" w:rsidRDefault="00000000">
            <w:pPr>
              <w:spacing w:line="360" w:lineRule="auto"/>
              <w:jc w:val="both"/>
              <w:rPr>
                <w:rFonts w:ascii="Book Antiqua" w:hAnsi="Book Antiqua"/>
                <w:lang w:eastAsia="zh-CN"/>
              </w:rPr>
            </w:pPr>
            <w:r>
              <w:rPr>
                <w:rFonts w:ascii="Book Antiqua" w:hAnsi="Book Antiqua"/>
                <w:lang w:eastAsia="zh-CN"/>
              </w:rPr>
              <w:t>Mice with DSS-induced colitis</w:t>
            </w:r>
          </w:p>
        </w:tc>
        <w:tc>
          <w:tcPr>
            <w:tcW w:w="3034" w:type="dxa"/>
            <w:vAlign w:val="center"/>
          </w:tcPr>
          <w:p w14:paraId="6217713C" w14:textId="77777777" w:rsidR="00E45927" w:rsidRDefault="00000000">
            <w:pPr>
              <w:spacing w:line="360" w:lineRule="auto"/>
              <w:jc w:val="both"/>
              <w:rPr>
                <w:rFonts w:ascii="Book Antiqua" w:hAnsi="Book Antiqua"/>
                <w:lang w:eastAsia="zh-CN"/>
              </w:rPr>
            </w:pPr>
            <w:r>
              <w:rPr>
                <w:rFonts w:ascii="Book Antiqua" w:hAnsi="Book Antiqua"/>
                <w:lang w:eastAsia="zh-CN"/>
              </w:rPr>
              <w:t>Fed compound 14d for 9 d</w:t>
            </w:r>
          </w:p>
        </w:tc>
        <w:tc>
          <w:tcPr>
            <w:tcW w:w="6812" w:type="dxa"/>
          </w:tcPr>
          <w:p w14:paraId="385FF6EB" w14:textId="77777777" w:rsidR="00E45927" w:rsidRDefault="00000000">
            <w:pPr>
              <w:pStyle w:val="ad"/>
              <w:spacing w:line="360" w:lineRule="auto"/>
              <w:ind w:firstLineChars="0" w:firstLine="0"/>
              <w:rPr>
                <w:rFonts w:ascii="Book Antiqua" w:hAnsi="Book Antiqua" w:cs="Times New Roman"/>
                <w:sz w:val="24"/>
                <w:szCs w:val="24"/>
              </w:rPr>
            </w:pPr>
            <w:r>
              <w:rPr>
                <w:rFonts w:ascii="Book Antiqua" w:hAnsi="Book Antiqua" w:cs="Times New Roman"/>
                <w:sz w:val="24"/>
                <w:szCs w:val="24"/>
              </w:rPr>
              <w:t>Compound 14d reduced RORγt-driven Th17 cell differentiation;</w:t>
            </w:r>
            <w:r>
              <w:rPr>
                <w:rFonts w:ascii="Book Antiqua" w:hAnsi="Book Antiqua" w:cs="Times New Roman" w:hint="eastAsia"/>
                <w:sz w:val="24"/>
                <w:szCs w:val="24"/>
              </w:rPr>
              <w:t xml:space="preserve"> </w:t>
            </w:r>
            <w:r>
              <w:rPr>
                <w:rFonts w:ascii="Book Antiqua" w:hAnsi="Book Antiqua" w:cs="Times New Roman"/>
                <w:sz w:val="24"/>
                <w:szCs w:val="24"/>
              </w:rPr>
              <w:t>Compound 14d attenuated T cell expansion and activation</w:t>
            </w:r>
          </w:p>
        </w:tc>
      </w:tr>
      <w:tr w:rsidR="00E45927" w14:paraId="08CD0D05" w14:textId="77777777">
        <w:trPr>
          <w:trHeight w:val="386"/>
        </w:trPr>
        <w:tc>
          <w:tcPr>
            <w:tcW w:w="1832" w:type="dxa"/>
            <w:vMerge/>
            <w:vAlign w:val="center"/>
          </w:tcPr>
          <w:p w14:paraId="44A5552D" w14:textId="77777777" w:rsidR="00E45927" w:rsidRDefault="00E45927">
            <w:pPr>
              <w:spacing w:line="360" w:lineRule="auto"/>
              <w:jc w:val="both"/>
              <w:rPr>
                <w:rFonts w:ascii="Book Antiqua" w:hAnsi="Book Antiqua"/>
                <w:lang w:eastAsia="zh-CN"/>
              </w:rPr>
            </w:pPr>
          </w:p>
        </w:tc>
        <w:tc>
          <w:tcPr>
            <w:tcW w:w="1830" w:type="dxa"/>
            <w:vAlign w:val="center"/>
          </w:tcPr>
          <w:p w14:paraId="15C17C43" w14:textId="77777777" w:rsidR="00E45927" w:rsidRDefault="00000000">
            <w:pPr>
              <w:spacing w:line="360" w:lineRule="auto"/>
              <w:jc w:val="both"/>
              <w:rPr>
                <w:rFonts w:ascii="Book Antiqua" w:hAnsi="Book Antiqua"/>
                <w:lang w:eastAsia="zh-CN"/>
              </w:rPr>
            </w:pPr>
            <w:r>
              <w:rPr>
                <w:rFonts w:ascii="Book Antiqua" w:hAnsi="Book Antiqua"/>
                <w:lang w:eastAsia="zh-CN"/>
              </w:rPr>
              <w:t xml:space="preserve">Chen </w:t>
            </w:r>
            <w:bookmarkStart w:id="341" w:name="OLE_LINK7091"/>
            <w:bookmarkStart w:id="342" w:name="OLE_LINK7090"/>
            <w:r>
              <w:rPr>
                <w:rFonts w:ascii="Book Antiqua" w:hAnsi="Book Antiqua"/>
                <w:i/>
                <w:iCs/>
                <w:lang w:eastAsia="zh-CN"/>
              </w:rPr>
              <w:t>et al</w:t>
            </w:r>
            <w:bookmarkEnd w:id="341"/>
            <w:bookmarkEnd w:id="342"/>
            <w:r>
              <w:rPr>
                <w:rFonts w:ascii="Book Antiqua" w:hAnsi="Book Antiqua"/>
                <w:vertAlign w:val="superscript"/>
                <w:lang w:eastAsia="zh-CN"/>
              </w:rPr>
              <w:t>[115]</w:t>
            </w:r>
            <w:r>
              <w:rPr>
                <w:rFonts w:ascii="Book Antiqua" w:hAnsi="Book Antiqua"/>
                <w:lang w:eastAsia="zh-CN"/>
              </w:rPr>
              <w:t>, 2019</w:t>
            </w:r>
          </w:p>
        </w:tc>
        <w:tc>
          <w:tcPr>
            <w:tcW w:w="2227" w:type="dxa"/>
            <w:vAlign w:val="center"/>
          </w:tcPr>
          <w:p w14:paraId="3AC8D2CF" w14:textId="77777777" w:rsidR="00E45927" w:rsidRDefault="00000000">
            <w:pPr>
              <w:spacing w:line="360" w:lineRule="auto"/>
              <w:jc w:val="both"/>
              <w:rPr>
                <w:rFonts w:ascii="Book Antiqua" w:hAnsi="Book Antiqua"/>
                <w:lang w:eastAsia="zh-CN"/>
              </w:rPr>
            </w:pPr>
            <w:r>
              <w:rPr>
                <w:rFonts w:ascii="Book Antiqua" w:hAnsi="Book Antiqua"/>
                <w:lang w:eastAsia="zh-CN"/>
              </w:rPr>
              <w:t>Mice with DSS-induced colitis</w:t>
            </w:r>
          </w:p>
        </w:tc>
        <w:tc>
          <w:tcPr>
            <w:tcW w:w="3034" w:type="dxa"/>
            <w:vAlign w:val="center"/>
          </w:tcPr>
          <w:p w14:paraId="454C1914" w14:textId="77777777" w:rsidR="00E45927" w:rsidRDefault="00000000">
            <w:pPr>
              <w:spacing w:line="360" w:lineRule="auto"/>
              <w:jc w:val="both"/>
              <w:rPr>
                <w:rFonts w:ascii="Book Antiqua" w:hAnsi="Book Antiqua"/>
                <w:lang w:eastAsia="zh-CN"/>
              </w:rPr>
            </w:pPr>
            <w:r>
              <w:rPr>
                <w:rFonts w:ascii="Book Antiqua" w:hAnsi="Book Antiqua"/>
                <w:lang w:eastAsia="zh-CN"/>
              </w:rPr>
              <w:t>Fed genistein 14d for 9 d</w:t>
            </w:r>
          </w:p>
        </w:tc>
        <w:tc>
          <w:tcPr>
            <w:tcW w:w="6812" w:type="dxa"/>
          </w:tcPr>
          <w:p w14:paraId="136AF1DB" w14:textId="77777777" w:rsidR="00E45927" w:rsidRDefault="00000000">
            <w:pPr>
              <w:pStyle w:val="ad"/>
              <w:spacing w:line="360" w:lineRule="auto"/>
              <w:ind w:firstLineChars="0" w:firstLine="0"/>
              <w:rPr>
                <w:rFonts w:ascii="Book Antiqua" w:hAnsi="Book Antiqua" w:cs="Times New Roman"/>
                <w:sz w:val="24"/>
                <w:szCs w:val="24"/>
              </w:rPr>
            </w:pPr>
            <w:r>
              <w:rPr>
                <w:rFonts w:ascii="Book Antiqua" w:hAnsi="Book Antiqua" w:cs="Times New Roman"/>
                <w:sz w:val="24"/>
                <w:szCs w:val="24"/>
              </w:rPr>
              <w:t>Genistein lowered inflammatory cell infiltration and generation of pro-inflammatory mediators in the blood</w:t>
            </w:r>
            <w:r>
              <w:rPr>
                <w:rFonts w:ascii="Book Antiqua" w:hAnsi="Book Antiqua"/>
                <w:sz w:val="24"/>
                <w:szCs w:val="24"/>
              </w:rPr>
              <w:t xml:space="preserve"> </w:t>
            </w:r>
            <w:r>
              <w:rPr>
                <w:rFonts w:ascii="Book Antiqua" w:hAnsi="Book Antiqua" w:cs="Times New Roman"/>
                <w:sz w:val="24"/>
                <w:szCs w:val="24"/>
              </w:rPr>
              <w:t>and colon;</w:t>
            </w:r>
            <w:r>
              <w:rPr>
                <w:rFonts w:ascii="Book Antiqua" w:hAnsi="Book Antiqua" w:cs="Times New Roman" w:hint="eastAsia"/>
                <w:sz w:val="24"/>
                <w:szCs w:val="24"/>
              </w:rPr>
              <w:t xml:space="preserve"> </w:t>
            </w:r>
            <w:r>
              <w:rPr>
                <w:rFonts w:ascii="Book Antiqua" w:hAnsi="Book Antiqua" w:cs="Times New Roman"/>
                <w:sz w:val="24"/>
                <w:szCs w:val="24"/>
              </w:rPr>
              <w:t>Genistein reduced weight loss and increased colon length in mice</w:t>
            </w:r>
          </w:p>
        </w:tc>
      </w:tr>
      <w:tr w:rsidR="00E45927" w14:paraId="7ABFD0C6" w14:textId="77777777">
        <w:trPr>
          <w:trHeight w:val="386"/>
        </w:trPr>
        <w:tc>
          <w:tcPr>
            <w:tcW w:w="1832" w:type="dxa"/>
            <w:vMerge/>
            <w:vAlign w:val="center"/>
          </w:tcPr>
          <w:p w14:paraId="3D791D9B" w14:textId="77777777" w:rsidR="00E45927" w:rsidRDefault="00E45927">
            <w:pPr>
              <w:spacing w:line="360" w:lineRule="auto"/>
              <w:jc w:val="both"/>
              <w:rPr>
                <w:rFonts w:ascii="Book Antiqua" w:hAnsi="Book Antiqua"/>
                <w:lang w:eastAsia="zh-CN"/>
              </w:rPr>
            </w:pPr>
            <w:bookmarkStart w:id="343" w:name="_Hlk137566301"/>
            <w:bookmarkEnd w:id="336"/>
          </w:p>
        </w:tc>
        <w:tc>
          <w:tcPr>
            <w:tcW w:w="1830" w:type="dxa"/>
            <w:vAlign w:val="center"/>
          </w:tcPr>
          <w:p w14:paraId="6A71A443" w14:textId="77777777" w:rsidR="00E45927" w:rsidRDefault="00000000">
            <w:pPr>
              <w:spacing w:line="360" w:lineRule="auto"/>
              <w:jc w:val="both"/>
              <w:rPr>
                <w:rFonts w:ascii="Book Antiqua" w:hAnsi="Book Antiqua"/>
                <w:lang w:eastAsia="zh-CN"/>
              </w:rPr>
            </w:pPr>
            <w:r>
              <w:rPr>
                <w:rFonts w:ascii="Book Antiqua" w:hAnsi="Book Antiqua"/>
                <w:lang w:eastAsia="zh-CN"/>
              </w:rPr>
              <w:t xml:space="preserve">Han </w:t>
            </w:r>
            <w:bookmarkStart w:id="344" w:name="OLE_LINK7092"/>
            <w:bookmarkStart w:id="345" w:name="OLE_LINK7093"/>
            <w:r>
              <w:rPr>
                <w:rFonts w:ascii="Book Antiqua" w:hAnsi="Book Antiqua"/>
                <w:i/>
                <w:iCs/>
                <w:lang w:eastAsia="zh-CN"/>
              </w:rPr>
              <w:t>et al</w:t>
            </w:r>
            <w:bookmarkEnd w:id="344"/>
            <w:bookmarkEnd w:id="345"/>
            <w:r>
              <w:rPr>
                <w:rFonts w:ascii="Book Antiqua" w:hAnsi="Book Antiqua"/>
                <w:vertAlign w:val="superscript"/>
                <w:lang w:eastAsia="zh-CN"/>
              </w:rPr>
              <w:t>[118]</w:t>
            </w:r>
            <w:r>
              <w:rPr>
                <w:rFonts w:ascii="Book Antiqua" w:hAnsi="Book Antiqua"/>
                <w:lang w:eastAsia="zh-CN"/>
              </w:rPr>
              <w:t>, 2022</w:t>
            </w:r>
          </w:p>
        </w:tc>
        <w:tc>
          <w:tcPr>
            <w:tcW w:w="2227" w:type="dxa"/>
            <w:vAlign w:val="center"/>
          </w:tcPr>
          <w:p w14:paraId="24B7A031" w14:textId="77777777" w:rsidR="00E45927" w:rsidRDefault="00000000">
            <w:pPr>
              <w:spacing w:line="360" w:lineRule="auto"/>
              <w:jc w:val="both"/>
              <w:rPr>
                <w:rFonts w:ascii="Book Antiqua" w:hAnsi="Book Antiqua"/>
                <w:lang w:eastAsia="zh-CN"/>
              </w:rPr>
            </w:pPr>
            <w:r>
              <w:rPr>
                <w:rFonts w:ascii="Book Antiqua" w:hAnsi="Book Antiqua"/>
                <w:lang w:eastAsia="zh-CN"/>
              </w:rPr>
              <w:t>Mice with DSS-induced colitis</w:t>
            </w:r>
          </w:p>
        </w:tc>
        <w:tc>
          <w:tcPr>
            <w:tcW w:w="3034" w:type="dxa"/>
            <w:vAlign w:val="center"/>
          </w:tcPr>
          <w:p w14:paraId="33894953" w14:textId="77777777" w:rsidR="00E45927" w:rsidRDefault="00000000">
            <w:pPr>
              <w:spacing w:line="360" w:lineRule="auto"/>
              <w:jc w:val="both"/>
              <w:rPr>
                <w:rFonts w:ascii="Book Antiqua" w:hAnsi="Book Antiqua"/>
                <w:lang w:eastAsia="zh-CN"/>
              </w:rPr>
            </w:pPr>
            <w:r>
              <w:rPr>
                <w:rFonts w:ascii="Book Antiqua" w:hAnsi="Book Antiqua"/>
                <w:lang w:eastAsia="zh-CN"/>
              </w:rPr>
              <w:t>Fed racemic compound 15 for 9 d</w:t>
            </w:r>
          </w:p>
        </w:tc>
        <w:tc>
          <w:tcPr>
            <w:tcW w:w="6812" w:type="dxa"/>
          </w:tcPr>
          <w:p w14:paraId="34CEC09B" w14:textId="77777777" w:rsidR="00E45927" w:rsidRDefault="00000000">
            <w:pPr>
              <w:pStyle w:val="ad"/>
              <w:spacing w:line="360" w:lineRule="auto"/>
              <w:ind w:firstLineChars="0" w:firstLine="0"/>
              <w:rPr>
                <w:rFonts w:ascii="Book Antiqua" w:hAnsi="Book Antiqua" w:cs="Times New Roman"/>
                <w:sz w:val="24"/>
                <w:szCs w:val="24"/>
              </w:rPr>
            </w:pPr>
            <w:r>
              <w:rPr>
                <w:rFonts w:ascii="Book Antiqua" w:hAnsi="Book Antiqua" w:cs="Times New Roman"/>
                <w:sz w:val="24"/>
                <w:szCs w:val="24"/>
              </w:rPr>
              <w:t>Racemic compound 15 showed good intestinal distribution and efficacy;</w:t>
            </w:r>
            <w:r>
              <w:rPr>
                <w:rFonts w:ascii="Book Antiqua" w:hAnsi="Book Antiqua" w:cs="Times New Roman" w:hint="eastAsia"/>
                <w:sz w:val="24"/>
                <w:szCs w:val="24"/>
              </w:rPr>
              <w:t xml:space="preserve"> </w:t>
            </w:r>
            <w:r>
              <w:rPr>
                <w:rFonts w:ascii="Book Antiqua" w:hAnsi="Book Antiqua" w:cs="Times New Roman"/>
                <w:sz w:val="24"/>
                <w:szCs w:val="24"/>
              </w:rPr>
              <w:t>Racemic compound 15 avoided unwanted systemic effects and showed better gallbladder safety</w:t>
            </w:r>
          </w:p>
        </w:tc>
      </w:tr>
      <w:tr w:rsidR="00E45927" w14:paraId="68A6B086" w14:textId="77777777">
        <w:trPr>
          <w:trHeight w:val="386"/>
        </w:trPr>
        <w:tc>
          <w:tcPr>
            <w:tcW w:w="1832" w:type="dxa"/>
            <w:vMerge/>
            <w:vAlign w:val="center"/>
          </w:tcPr>
          <w:p w14:paraId="2BB92D4C" w14:textId="77777777" w:rsidR="00E45927" w:rsidRDefault="00E45927">
            <w:pPr>
              <w:spacing w:line="360" w:lineRule="auto"/>
              <w:jc w:val="both"/>
              <w:rPr>
                <w:rFonts w:ascii="Book Antiqua" w:hAnsi="Book Antiqua"/>
                <w:lang w:eastAsia="zh-CN"/>
              </w:rPr>
            </w:pPr>
          </w:p>
        </w:tc>
        <w:tc>
          <w:tcPr>
            <w:tcW w:w="1830" w:type="dxa"/>
            <w:vAlign w:val="center"/>
          </w:tcPr>
          <w:p w14:paraId="7A0B8FB4" w14:textId="77777777" w:rsidR="00E45927" w:rsidRDefault="00000000">
            <w:pPr>
              <w:spacing w:line="360" w:lineRule="auto"/>
              <w:jc w:val="both"/>
              <w:rPr>
                <w:rFonts w:ascii="Book Antiqua" w:hAnsi="Book Antiqua"/>
                <w:lang w:eastAsia="zh-CN"/>
              </w:rPr>
            </w:pPr>
            <w:r>
              <w:rPr>
                <w:rFonts w:ascii="Book Antiqua" w:hAnsi="Book Antiqua"/>
                <w:lang w:eastAsia="zh-CN"/>
              </w:rPr>
              <w:t xml:space="preserve">Chen </w:t>
            </w:r>
            <w:r>
              <w:rPr>
                <w:rFonts w:ascii="Book Antiqua" w:hAnsi="Book Antiqua"/>
                <w:i/>
                <w:iCs/>
                <w:lang w:eastAsia="zh-CN"/>
              </w:rPr>
              <w:t>et al</w:t>
            </w:r>
            <w:bookmarkStart w:id="346" w:name="OLE_LINK7094"/>
            <w:bookmarkStart w:id="347" w:name="OLE_LINK7095"/>
            <w:r>
              <w:rPr>
                <w:rFonts w:ascii="Book Antiqua" w:hAnsi="Book Antiqua"/>
                <w:vertAlign w:val="superscript"/>
                <w:lang w:eastAsia="zh-CN"/>
              </w:rPr>
              <w:t>[119]</w:t>
            </w:r>
            <w:bookmarkEnd w:id="346"/>
            <w:bookmarkEnd w:id="347"/>
            <w:r>
              <w:rPr>
                <w:rFonts w:ascii="Book Antiqua" w:hAnsi="Book Antiqua"/>
                <w:lang w:eastAsia="zh-CN"/>
              </w:rPr>
              <w:t>, 2018</w:t>
            </w:r>
          </w:p>
        </w:tc>
        <w:tc>
          <w:tcPr>
            <w:tcW w:w="2227" w:type="dxa"/>
            <w:vAlign w:val="center"/>
          </w:tcPr>
          <w:p w14:paraId="2894D717" w14:textId="77777777" w:rsidR="00E45927" w:rsidRDefault="00000000">
            <w:pPr>
              <w:spacing w:line="360" w:lineRule="auto"/>
              <w:jc w:val="both"/>
              <w:rPr>
                <w:rFonts w:ascii="Book Antiqua" w:hAnsi="Book Antiqua"/>
                <w:lang w:eastAsia="zh-CN"/>
              </w:rPr>
            </w:pPr>
            <w:r>
              <w:rPr>
                <w:rFonts w:ascii="Book Antiqua" w:hAnsi="Book Antiqua"/>
                <w:lang w:eastAsia="zh-CN"/>
              </w:rPr>
              <w:t>Diet-induced obese mice</w:t>
            </w:r>
          </w:p>
        </w:tc>
        <w:tc>
          <w:tcPr>
            <w:tcW w:w="3034" w:type="dxa"/>
            <w:vAlign w:val="center"/>
          </w:tcPr>
          <w:p w14:paraId="710C5A01" w14:textId="77777777" w:rsidR="00E45927" w:rsidRDefault="00000000">
            <w:pPr>
              <w:spacing w:line="360" w:lineRule="auto"/>
              <w:jc w:val="both"/>
              <w:rPr>
                <w:rFonts w:ascii="Book Antiqua" w:hAnsi="Book Antiqua"/>
                <w:lang w:eastAsia="zh-CN"/>
              </w:rPr>
            </w:pPr>
            <w:r>
              <w:rPr>
                <w:rFonts w:ascii="Book Antiqua" w:hAnsi="Book Antiqua"/>
                <w:lang w:eastAsia="zh-CN"/>
              </w:rPr>
              <w:t>Fed compound 12 for 4, 8, 12</w:t>
            </w:r>
            <w:r>
              <w:rPr>
                <w:rFonts w:ascii="Book Antiqua" w:hAnsi="Book Antiqua" w:hint="eastAsia"/>
                <w:lang w:eastAsia="zh-CN"/>
              </w:rPr>
              <w:t>,</w:t>
            </w:r>
            <w:r>
              <w:rPr>
                <w:rFonts w:ascii="Book Antiqua" w:hAnsi="Book Antiqua"/>
                <w:lang w:eastAsia="zh-CN"/>
              </w:rPr>
              <w:t xml:space="preserve"> or 16 h</w:t>
            </w:r>
          </w:p>
        </w:tc>
        <w:tc>
          <w:tcPr>
            <w:tcW w:w="6812" w:type="dxa"/>
          </w:tcPr>
          <w:p w14:paraId="01E5D19A" w14:textId="77777777" w:rsidR="00E45927" w:rsidRDefault="00000000">
            <w:pPr>
              <w:pStyle w:val="ad"/>
              <w:spacing w:line="360" w:lineRule="auto"/>
              <w:ind w:firstLineChars="0" w:firstLine="0"/>
              <w:rPr>
                <w:rFonts w:ascii="Book Antiqua" w:hAnsi="Book Antiqua" w:cs="Times New Roman"/>
                <w:sz w:val="24"/>
                <w:szCs w:val="24"/>
              </w:rPr>
            </w:pPr>
            <w:r>
              <w:rPr>
                <w:rFonts w:ascii="Book Antiqua" w:hAnsi="Book Antiqua" w:cs="Times New Roman"/>
                <w:sz w:val="24"/>
                <w:szCs w:val="24"/>
              </w:rPr>
              <w:t>Compound 12 elicited a potent response with minimal effects on the gallbladder;</w:t>
            </w:r>
            <w:r>
              <w:rPr>
                <w:rFonts w:ascii="Book Antiqua" w:hAnsi="Book Antiqua" w:cs="Times New Roman" w:hint="eastAsia"/>
                <w:sz w:val="24"/>
                <w:szCs w:val="24"/>
              </w:rPr>
              <w:t xml:space="preserve"> </w:t>
            </w:r>
            <w:r>
              <w:rPr>
                <w:rFonts w:ascii="Book Antiqua" w:hAnsi="Book Antiqua" w:cs="Times New Roman"/>
                <w:sz w:val="24"/>
                <w:szCs w:val="24"/>
              </w:rPr>
              <w:t>Compound 12 stimulated prolonged and potent tGLP-1 secretion</w:t>
            </w:r>
          </w:p>
        </w:tc>
      </w:tr>
      <w:tr w:rsidR="00E45927" w14:paraId="1579A51F" w14:textId="77777777">
        <w:trPr>
          <w:trHeight w:val="395"/>
        </w:trPr>
        <w:tc>
          <w:tcPr>
            <w:tcW w:w="1832" w:type="dxa"/>
            <w:vMerge/>
            <w:vAlign w:val="center"/>
          </w:tcPr>
          <w:p w14:paraId="5DCEEBA2" w14:textId="77777777" w:rsidR="00E45927" w:rsidRDefault="00E45927">
            <w:pPr>
              <w:spacing w:line="360" w:lineRule="auto"/>
              <w:jc w:val="both"/>
              <w:rPr>
                <w:rFonts w:ascii="Book Antiqua" w:hAnsi="Book Antiqua"/>
                <w:lang w:eastAsia="zh-CN"/>
              </w:rPr>
            </w:pPr>
          </w:p>
        </w:tc>
        <w:tc>
          <w:tcPr>
            <w:tcW w:w="1830" w:type="dxa"/>
            <w:vAlign w:val="center"/>
          </w:tcPr>
          <w:p w14:paraId="6632865B" w14:textId="77777777" w:rsidR="00E45927" w:rsidRDefault="00000000">
            <w:pPr>
              <w:spacing w:line="360" w:lineRule="auto"/>
              <w:jc w:val="both"/>
              <w:rPr>
                <w:rFonts w:ascii="Book Antiqua" w:hAnsi="Book Antiqua"/>
                <w:lang w:eastAsia="zh-CN"/>
              </w:rPr>
            </w:pPr>
            <w:bookmarkStart w:id="348" w:name="OLE_LINK7097"/>
            <w:bookmarkStart w:id="349" w:name="OLE_LINK7099"/>
            <w:bookmarkStart w:id="350" w:name="OLE_LINK7096"/>
            <w:bookmarkStart w:id="351" w:name="OLE_LINK7098"/>
            <w:r>
              <w:rPr>
                <w:rFonts w:ascii="Book Antiqua" w:hAnsi="Book Antiqua"/>
                <w:lang w:eastAsia="zh-CN"/>
              </w:rPr>
              <w:t xml:space="preserve">Dvořák </w:t>
            </w:r>
            <w:bookmarkEnd w:id="348"/>
            <w:bookmarkEnd w:id="349"/>
            <w:bookmarkEnd w:id="350"/>
            <w:bookmarkEnd w:id="351"/>
            <w:r>
              <w:rPr>
                <w:rFonts w:ascii="Book Antiqua" w:hAnsi="Book Antiqua"/>
                <w:i/>
                <w:iCs/>
                <w:lang w:eastAsia="zh-CN"/>
              </w:rPr>
              <w:t>et al</w:t>
            </w:r>
            <w:bookmarkStart w:id="352" w:name="OLE_LINK7102"/>
            <w:bookmarkStart w:id="353" w:name="OLE_LINK7103"/>
            <w:r>
              <w:rPr>
                <w:rFonts w:ascii="Book Antiqua" w:hAnsi="Book Antiqua"/>
                <w:vertAlign w:val="superscript"/>
                <w:lang w:eastAsia="zh-CN"/>
              </w:rPr>
              <w:t>[120]</w:t>
            </w:r>
            <w:bookmarkEnd w:id="352"/>
            <w:bookmarkEnd w:id="353"/>
            <w:r>
              <w:rPr>
                <w:rFonts w:ascii="Book Antiqua" w:hAnsi="Book Antiqua"/>
                <w:lang w:eastAsia="zh-CN"/>
              </w:rPr>
              <w:t>, 2020</w:t>
            </w:r>
          </w:p>
        </w:tc>
        <w:tc>
          <w:tcPr>
            <w:tcW w:w="2227" w:type="dxa"/>
            <w:vAlign w:val="center"/>
          </w:tcPr>
          <w:p w14:paraId="3B594F77" w14:textId="77777777" w:rsidR="00E45927" w:rsidRDefault="00000000">
            <w:pPr>
              <w:spacing w:line="360" w:lineRule="auto"/>
              <w:jc w:val="both"/>
              <w:rPr>
                <w:rFonts w:ascii="Book Antiqua" w:hAnsi="Book Antiqua"/>
                <w:lang w:eastAsia="zh-CN"/>
              </w:rPr>
            </w:pPr>
            <w:r>
              <w:rPr>
                <w:rFonts w:ascii="Book Antiqua" w:hAnsi="Book Antiqua"/>
                <w:lang w:eastAsia="zh-CN"/>
              </w:rPr>
              <w:t>Mice with DSS-induced colitis</w:t>
            </w:r>
          </w:p>
        </w:tc>
        <w:tc>
          <w:tcPr>
            <w:tcW w:w="3034" w:type="dxa"/>
            <w:vAlign w:val="center"/>
          </w:tcPr>
          <w:p w14:paraId="6C4A4C1D" w14:textId="77777777" w:rsidR="00E45927" w:rsidRDefault="00000000">
            <w:pPr>
              <w:spacing w:line="360" w:lineRule="auto"/>
              <w:jc w:val="both"/>
              <w:rPr>
                <w:rFonts w:ascii="Book Antiqua" w:hAnsi="Book Antiqua"/>
                <w:lang w:eastAsia="zh-CN"/>
              </w:rPr>
            </w:pPr>
            <w:r>
              <w:rPr>
                <w:rFonts w:ascii="Book Antiqua" w:hAnsi="Book Antiqua"/>
                <w:lang w:eastAsia="zh-CN"/>
              </w:rPr>
              <w:t>FKK6 oral gavage plus FKK6 intrarectal bolus for 10 d</w:t>
            </w:r>
          </w:p>
        </w:tc>
        <w:tc>
          <w:tcPr>
            <w:tcW w:w="6812" w:type="dxa"/>
          </w:tcPr>
          <w:p w14:paraId="7956E41A" w14:textId="77777777" w:rsidR="00E45927" w:rsidRDefault="00000000">
            <w:pPr>
              <w:pStyle w:val="ad"/>
              <w:spacing w:line="360" w:lineRule="auto"/>
              <w:ind w:firstLineChars="0" w:firstLine="0"/>
              <w:rPr>
                <w:rFonts w:ascii="Book Antiqua" w:hAnsi="Book Antiqua" w:cs="Times New Roman"/>
                <w:sz w:val="24"/>
                <w:szCs w:val="24"/>
              </w:rPr>
            </w:pPr>
            <w:r>
              <w:rPr>
                <w:rFonts w:ascii="Book Antiqua" w:hAnsi="Book Antiqua" w:cs="Times New Roman"/>
                <w:sz w:val="24"/>
                <w:szCs w:val="24"/>
              </w:rPr>
              <w:t>FKK6 dramatically suppressed the production of pro-inflammatory cytokines and prevented inflammation;</w:t>
            </w:r>
            <w:r>
              <w:rPr>
                <w:rFonts w:ascii="Book Antiqua" w:hAnsi="Book Antiqua" w:cs="Times New Roman" w:hint="eastAsia"/>
                <w:sz w:val="24"/>
                <w:szCs w:val="24"/>
              </w:rPr>
              <w:t xml:space="preserve"> </w:t>
            </w:r>
            <w:r>
              <w:rPr>
                <w:rFonts w:ascii="Book Antiqua" w:hAnsi="Book Antiqua" w:cs="Times New Roman"/>
                <w:sz w:val="24"/>
                <w:szCs w:val="24"/>
              </w:rPr>
              <w:t>FKK6 provided the first evidence that microbial metabolite mimicry is a viable drug discovery strategy</w:t>
            </w:r>
          </w:p>
        </w:tc>
      </w:tr>
      <w:tr w:rsidR="00E45927" w14:paraId="72FBA20A" w14:textId="77777777">
        <w:trPr>
          <w:trHeight w:val="395"/>
        </w:trPr>
        <w:tc>
          <w:tcPr>
            <w:tcW w:w="1832" w:type="dxa"/>
            <w:vMerge w:val="restart"/>
            <w:tcBorders>
              <w:bottom w:val="single" w:sz="4" w:space="0" w:color="auto"/>
            </w:tcBorders>
            <w:vAlign w:val="center"/>
          </w:tcPr>
          <w:p w14:paraId="76C04A7C" w14:textId="77777777" w:rsidR="00E45927" w:rsidRDefault="00000000">
            <w:pPr>
              <w:spacing w:line="360" w:lineRule="auto"/>
              <w:jc w:val="both"/>
              <w:rPr>
                <w:rFonts w:ascii="Book Antiqua" w:hAnsi="Book Antiqua"/>
                <w:lang w:eastAsia="zh-CN"/>
              </w:rPr>
            </w:pPr>
            <w:bookmarkStart w:id="354" w:name="OLE_LINK7070"/>
            <w:bookmarkStart w:id="355" w:name="OLE_LINK7071"/>
            <w:r>
              <w:rPr>
                <w:rFonts w:ascii="Book Antiqua" w:hAnsi="Book Antiqua"/>
                <w:lang w:eastAsia="zh-CN"/>
              </w:rPr>
              <w:lastRenderedPageBreak/>
              <w:t>Traditional Chinese medicine</w:t>
            </w:r>
            <w:bookmarkEnd w:id="354"/>
            <w:bookmarkEnd w:id="355"/>
          </w:p>
        </w:tc>
        <w:tc>
          <w:tcPr>
            <w:tcW w:w="1830" w:type="dxa"/>
            <w:vAlign w:val="center"/>
          </w:tcPr>
          <w:p w14:paraId="49F6680A" w14:textId="77777777" w:rsidR="00E45927" w:rsidRDefault="00000000">
            <w:pPr>
              <w:spacing w:line="360" w:lineRule="auto"/>
              <w:jc w:val="both"/>
              <w:rPr>
                <w:rFonts w:ascii="Book Antiqua" w:hAnsi="Book Antiqua"/>
                <w:lang w:eastAsia="zh-CN"/>
              </w:rPr>
            </w:pPr>
            <w:r>
              <w:rPr>
                <w:rFonts w:ascii="Book Antiqua" w:hAnsi="Book Antiqua"/>
                <w:lang w:eastAsia="zh-CN"/>
              </w:rPr>
              <w:t xml:space="preserve">Hua </w:t>
            </w:r>
            <w:bookmarkStart w:id="356" w:name="OLE_LINK7105"/>
            <w:bookmarkStart w:id="357" w:name="OLE_LINK7104"/>
            <w:r>
              <w:rPr>
                <w:rFonts w:ascii="Book Antiqua" w:hAnsi="Book Antiqua"/>
                <w:i/>
                <w:iCs/>
                <w:lang w:eastAsia="zh-CN"/>
              </w:rPr>
              <w:t>et al</w:t>
            </w:r>
            <w:bookmarkStart w:id="358" w:name="OLE_LINK7107"/>
            <w:bookmarkStart w:id="359" w:name="OLE_LINK7106"/>
            <w:bookmarkEnd w:id="356"/>
            <w:bookmarkEnd w:id="357"/>
            <w:r>
              <w:rPr>
                <w:rFonts w:ascii="Book Antiqua" w:hAnsi="Book Antiqua"/>
                <w:vertAlign w:val="superscript"/>
                <w:lang w:eastAsia="zh-CN"/>
              </w:rPr>
              <w:t>[122]</w:t>
            </w:r>
            <w:bookmarkEnd w:id="358"/>
            <w:bookmarkEnd w:id="359"/>
            <w:r>
              <w:rPr>
                <w:rFonts w:ascii="Book Antiqua" w:hAnsi="Book Antiqua"/>
                <w:lang w:eastAsia="zh-CN"/>
              </w:rPr>
              <w:t>, 2021</w:t>
            </w:r>
          </w:p>
        </w:tc>
        <w:tc>
          <w:tcPr>
            <w:tcW w:w="2227" w:type="dxa"/>
            <w:vAlign w:val="center"/>
          </w:tcPr>
          <w:p w14:paraId="0D021E2E" w14:textId="77777777" w:rsidR="00E45927" w:rsidRDefault="00000000">
            <w:pPr>
              <w:spacing w:line="360" w:lineRule="auto"/>
              <w:jc w:val="both"/>
              <w:rPr>
                <w:rFonts w:ascii="Book Antiqua" w:hAnsi="Book Antiqua"/>
                <w:lang w:eastAsia="zh-CN"/>
              </w:rPr>
            </w:pPr>
            <w:r>
              <w:rPr>
                <w:rFonts w:ascii="Book Antiqua" w:hAnsi="Book Antiqua"/>
                <w:lang w:eastAsia="zh-CN"/>
              </w:rPr>
              <w:t>Mice with DSS-induced colitis</w:t>
            </w:r>
          </w:p>
        </w:tc>
        <w:tc>
          <w:tcPr>
            <w:tcW w:w="3034" w:type="dxa"/>
            <w:vAlign w:val="center"/>
          </w:tcPr>
          <w:p w14:paraId="254C7652" w14:textId="77777777" w:rsidR="00E45927" w:rsidRDefault="00000000">
            <w:pPr>
              <w:spacing w:line="360" w:lineRule="auto"/>
              <w:jc w:val="both"/>
              <w:rPr>
                <w:rFonts w:ascii="Book Antiqua" w:hAnsi="Book Antiqua"/>
                <w:lang w:eastAsia="zh-CN"/>
              </w:rPr>
            </w:pPr>
            <w:r>
              <w:rPr>
                <w:rFonts w:ascii="Book Antiqua" w:hAnsi="Book Antiqua"/>
                <w:lang w:eastAsia="zh-CN"/>
              </w:rPr>
              <w:t>Administrated with BTWT for 7 d</w:t>
            </w:r>
          </w:p>
        </w:tc>
        <w:tc>
          <w:tcPr>
            <w:tcW w:w="6812" w:type="dxa"/>
          </w:tcPr>
          <w:p w14:paraId="0163F6B1" w14:textId="77777777" w:rsidR="00E45927" w:rsidRDefault="00000000">
            <w:pPr>
              <w:pStyle w:val="ad"/>
              <w:spacing w:line="360" w:lineRule="auto"/>
              <w:ind w:firstLineChars="0" w:firstLine="0"/>
              <w:rPr>
                <w:rFonts w:ascii="Book Antiqua" w:hAnsi="Book Antiqua" w:cs="Times New Roman"/>
                <w:sz w:val="24"/>
                <w:szCs w:val="24"/>
              </w:rPr>
            </w:pPr>
            <w:r>
              <w:rPr>
                <w:rFonts w:ascii="Book Antiqua" w:hAnsi="Book Antiqua" w:cs="Times New Roman"/>
                <w:sz w:val="24"/>
                <w:szCs w:val="24"/>
              </w:rPr>
              <w:t>BTWT normalized the levels of some bile acids, especially CA and MCA;</w:t>
            </w:r>
            <w:r>
              <w:rPr>
                <w:rFonts w:ascii="Book Antiqua" w:hAnsi="Book Antiqua" w:cs="Times New Roman" w:hint="eastAsia"/>
                <w:sz w:val="24"/>
                <w:szCs w:val="24"/>
              </w:rPr>
              <w:t xml:space="preserve"> </w:t>
            </w:r>
            <w:r>
              <w:rPr>
                <w:rFonts w:ascii="Book Antiqua" w:hAnsi="Book Antiqua" w:cs="Times New Roman"/>
                <w:sz w:val="24"/>
                <w:szCs w:val="24"/>
              </w:rPr>
              <w:t>BTWT increased the expression of FXR and TGR5 in the liver</w:t>
            </w:r>
            <w:r>
              <w:rPr>
                <w:rFonts w:ascii="Book Antiqua" w:hAnsi="Book Antiqua" w:cs="Times New Roman" w:hint="eastAsia"/>
                <w:sz w:val="24"/>
                <w:szCs w:val="24"/>
              </w:rPr>
              <w:t>;</w:t>
            </w:r>
            <w:r>
              <w:rPr>
                <w:rFonts w:ascii="Book Antiqua" w:hAnsi="Book Antiqua" w:cs="Times New Roman"/>
                <w:sz w:val="24"/>
                <w:szCs w:val="24"/>
              </w:rPr>
              <w:t xml:space="preserve"> Relative species abundance and gut microbiota diversity were significantly higher in the BTWT-exposed group;</w:t>
            </w:r>
            <w:r>
              <w:rPr>
                <w:rFonts w:ascii="Book Antiqua" w:hAnsi="Book Antiqua" w:cs="Times New Roman" w:hint="eastAsia"/>
                <w:sz w:val="24"/>
                <w:szCs w:val="24"/>
              </w:rPr>
              <w:t xml:space="preserve"> </w:t>
            </w:r>
            <w:bookmarkStart w:id="360" w:name="OLE_LINK7143"/>
            <w:bookmarkStart w:id="361" w:name="OLE_LINK7141"/>
            <w:bookmarkStart w:id="362" w:name="OLE_LINK7142"/>
            <w:r>
              <w:rPr>
                <w:rFonts w:ascii="Book Antiqua" w:hAnsi="Book Antiqua" w:cs="Times New Roman"/>
                <w:sz w:val="24"/>
                <w:szCs w:val="24"/>
              </w:rPr>
              <w:t>BTWT</w:t>
            </w:r>
            <w:bookmarkEnd w:id="360"/>
            <w:bookmarkEnd w:id="361"/>
            <w:bookmarkEnd w:id="362"/>
            <w:r>
              <w:rPr>
                <w:rFonts w:ascii="Book Antiqua" w:hAnsi="Book Antiqua" w:cs="Times New Roman"/>
                <w:sz w:val="24"/>
                <w:szCs w:val="24"/>
              </w:rPr>
              <w:t xml:space="preserve"> significantly ameliorated colonic inflammation and clinical signs</w:t>
            </w:r>
          </w:p>
        </w:tc>
      </w:tr>
      <w:tr w:rsidR="00E45927" w14:paraId="234E9240" w14:textId="77777777">
        <w:trPr>
          <w:trHeight w:val="395"/>
        </w:trPr>
        <w:tc>
          <w:tcPr>
            <w:tcW w:w="1832" w:type="dxa"/>
            <w:vMerge/>
            <w:tcBorders>
              <w:bottom w:val="single" w:sz="4" w:space="0" w:color="auto"/>
            </w:tcBorders>
            <w:vAlign w:val="center"/>
          </w:tcPr>
          <w:p w14:paraId="3A844D40" w14:textId="77777777" w:rsidR="00E45927" w:rsidRDefault="00E45927">
            <w:pPr>
              <w:spacing w:line="360" w:lineRule="auto"/>
              <w:jc w:val="both"/>
              <w:rPr>
                <w:rFonts w:ascii="Book Antiqua" w:hAnsi="Book Antiqua"/>
                <w:lang w:eastAsia="zh-CN"/>
              </w:rPr>
            </w:pPr>
            <w:bookmarkStart w:id="363" w:name="_Hlk137566306"/>
            <w:bookmarkEnd w:id="343"/>
          </w:p>
        </w:tc>
        <w:tc>
          <w:tcPr>
            <w:tcW w:w="1830" w:type="dxa"/>
            <w:vAlign w:val="center"/>
          </w:tcPr>
          <w:p w14:paraId="009459C2" w14:textId="77777777" w:rsidR="00E45927" w:rsidRDefault="00000000">
            <w:pPr>
              <w:spacing w:line="360" w:lineRule="auto"/>
              <w:jc w:val="both"/>
              <w:rPr>
                <w:rFonts w:ascii="Book Antiqua" w:hAnsi="Book Antiqua"/>
                <w:lang w:eastAsia="zh-CN"/>
              </w:rPr>
            </w:pPr>
            <w:r>
              <w:rPr>
                <w:rFonts w:ascii="Book Antiqua" w:hAnsi="Book Antiqua"/>
                <w:lang w:eastAsia="zh-CN"/>
              </w:rPr>
              <w:t xml:space="preserve">Su </w:t>
            </w:r>
            <w:bookmarkStart w:id="364" w:name="OLE_LINK7108"/>
            <w:bookmarkStart w:id="365" w:name="OLE_LINK7109"/>
            <w:r>
              <w:rPr>
                <w:rFonts w:ascii="Book Antiqua" w:hAnsi="Book Antiqua"/>
                <w:i/>
                <w:iCs/>
                <w:lang w:eastAsia="zh-CN"/>
              </w:rPr>
              <w:t>et al</w:t>
            </w:r>
            <w:bookmarkStart w:id="366" w:name="OLE_LINK7110"/>
            <w:bookmarkStart w:id="367" w:name="OLE_LINK7111"/>
            <w:bookmarkEnd w:id="364"/>
            <w:bookmarkEnd w:id="365"/>
            <w:r>
              <w:rPr>
                <w:rFonts w:ascii="Book Antiqua" w:hAnsi="Book Antiqua"/>
                <w:vertAlign w:val="superscript"/>
                <w:lang w:eastAsia="zh-CN"/>
              </w:rPr>
              <w:t>[123]</w:t>
            </w:r>
            <w:bookmarkEnd w:id="366"/>
            <w:bookmarkEnd w:id="367"/>
            <w:r>
              <w:rPr>
                <w:rFonts w:ascii="Book Antiqua" w:hAnsi="Book Antiqua"/>
                <w:lang w:eastAsia="zh-CN"/>
              </w:rPr>
              <w:t>, 2022</w:t>
            </w:r>
          </w:p>
        </w:tc>
        <w:tc>
          <w:tcPr>
            <w:tcW w:w="2227" w:type="dxa"/>
            <w:vAlign w:val="center"/>
          </w:tcPr>
          <w:p w14:paraId="56442238" w14:textId="77777777" w:rsidR="00E45927" w:rsidRDefault="00000000">
            <w:pPr>
              <w:spacing w:line="360" w:lineRule="auto"/>
              <w:jc w:val="both"/>
              <w:rPr>
                <w:rFonts w:ascii="Book Antiqua" w:hAnsi="Book Antiqua"/>
                <w:lang w:eastAsia="zh-CN"/>
              </w:rPr>
            </w:pPr>
            <w:r>
              <w:rPr>
                <w:rFonts w:ascii="Book Antiqua" w:hAnsi="Book Antiqua"/>
                <w:lang w:eastAsia="zh-CN"/>
              </w:rPr>
              <w:t>Caco-2 cells treated with bile acids</w:t>
            </w:r>
          </w:p>
        </w:tc>
        <w:tc>
          <w:tcPr>
            <w:tcW w:w="3034" w:type="dxa"/>
            <w:vAlign w:val="center"/>
          </w:tcPr>
          <w:p w14:paraId="0EE1A7C6" w14:textId="77777777" w:rsidR="00E45927" w:rsidRDefault="00000000">
            <w:pPr>
              <w:spacing w:line="360" w:lineRule="auto"/>
              <w:jc w:val="both"/>
              <w:rPr>
                <w:rFonts w:ascii="Book Antiqua" w:hAnsi="Book Antiqua"/>
                <w:lang w:eastAsia="zh-CN"/>
              </w:rPr>
            </w:pPr>
            <w:r>
              <w:rPr>
                <w:rFonts w:ascii="Book Antiqua" w:hAnsi="Book Antiqua"/>
                <w:lang w:eastAsia="zh-CN"/>
              </w:rPr>
              <w:t>Pre-incubated with GXD at subtoxic concentration for 24 h before treat</w:t>
            </w:r>
            <w:r>
              <w:rPr>
                <w:rFonts w:ascii="Book Antiqua" w:hAnsi="Book Antiqua" w:hint="eastAsia"/>
                <w:lang w:eastAsia="zh-CN"/>
              </w:rPr>
              <w:t>ment</w:t>
            </w:r>
            <w:r>
              <w:rPr>
                <w:rFonts w:ascii="Book Antiqua" w:hAnsi="Book Antiqua"/>
                <w:lang w:eastAsia="zh-CN"/>
              </w:rPr>
              <w:t xml:space="preserve"> with BAs</w:t>
            </w:r>
          </w:p>
        </w:tc>
        <w:tc>
          <w:tcPr>
            <w:tcW w:w="6812" w:type="dxa"/>
          </w:tcPr>
          <w:p w14:paraId="01EE0550" w14:textId="77777777" w:rsidR="00E45927" w:rsidRDefault="00000000">
            <w:pPr>
              <w:pStyle w:val="ad"/>
              <w:spacing w:line="360" w:lineRule="auto"/>
              <w:ind w:firstLineChars="0" w:firstLine="0"/>
              <w:rPr>
                <w:rFonts w:ascii="Book Antiqua" w:hAnsi="Book Antiqua" w:cs="Times New Roman"/>
                <w:sz w:val="24"/>
                <w:szCs w:val="24"/>
              </w:rPr>
            </w:pPr>
            <w:r>
              <w:rPr>
                <w:rFonts w:ascii="Book Antiqua" w:hAnsi="Book Antiqua" w:cs="Times New Roman"/>
                <w:sz w:val="24"/>
                <w:szCs w:val="24"/>
              </w:rPr>
              <w:t>GXD improved intestinal barrier dysfunction caused by abnormal bile acid metabolism in IBD by regulating tight junction protein expression levels, inhibiting oxidative stress, and reducing apoptosis</w:t>
            </w:r>
          </w:p>
        </w:tc>
      </w:tr>
      <w:tr w:rsidR="00E45927" w14:paraId="32F52B2D" w14:textId="77777777">
        <w:trPr>
          <w:trHeight w:val="395"/>
        </w:trPr>
        <w:tc>
          <w:tcPr>
            <w:tcW w:w="1832" w:type="dxa"/>
            <w:vMerge/>
            <w:tcBorders>
              <w:bottom w:val="single" w:sz="4" w:space="0" w:color="auto"/>
            </w:tcBorders>
            <w:vAlign w:val="center"/>
          </w:tcPr>
          <w:p w14:paraId="184D5FF8" w14:textId="77777777" w:rsidR="00E45927" w:rsidRDefault="00E45927">
            <w:pPr>
              <w:spacing w:line="360" w:lineRule="auto"/>
              <w:jc w:val="both"/>
              <w:rPr>
                <w:rFonts w:ascii="Book Antiqua" w:hAnsi="Book Antiqua"/>
                <w:lang w:eastAsia="zh-CN"/>
              </w:rPr>
            </w:pPr>
          </w:p>
        </w:tc>
        <w:tc>
          <w:tcPr>
            <w:tcW w:w="1830" w:type="dxa"/>
            <w:vAlign w:val="center"/>
          </w:tcPr>
          <w:p w14:paraId="6B6778D8" w14:textId="77777777" w:rsidR="00E45927" w:rsidRDefault="00000000">
            <w:pPr>
              <w:spacing w:line="360" w:lineRule="auto"/>
              <w:jc w:val="both"/>
              <w:rPr>
                <w:rFonts w:ascii="Book Antiqua" w:hAnsi="Book Antiqua"/>
                <w:lang w:eastAsia="zh-CN"/>
              </w:rPr>
            </w:pPr>
            <w:r>
              <w:rPr>
                <w:rFonts w:ascii="Book Antiqua" w:hAnsi="Book Antiqua"/>
                <w:lang w:eastAsia="zh-CN"/>
              </w:rPr>
              <w:t xml:space="preserve">Li </w:t>
            </w:r>
            <w:bookmarkStart w:id="368" w:name="OLE_LINK7112"/>
            <w:bookmarkStart w:id="369" w:name="OLE_LINK7113"/>
            <w:r>
              <w:rPr>
                <w:rFonts w:ascii="Book Antiqua" w:hAnsi="Book Antiqua"/>
                <w:i/>
                <w:iCs/>
                <w:lang w:eastAsia="zh-CN"/>
              </w:rPr>
              <w:t>et al</w:t>
            </w:r>
            <w:bookmarkStart w:id="370" w:name="OLE_LINK7114"/>
            <w:bookmarkStart w:id="371" w:name="OLE_LINK7115"/>
            <w:bookmarkEnd w:id="368"/>
            <w:bookmarkEnd w:id="369"/>
            <w:r>
              <w:rPr>
                <w:rFonts w:ascii="Book Antiqua" w:hAnsi="Book Antiqua"/>
                <w:vertAlign w:val="superscript"/>
                <w:lang w:eastAsia="zh-CN"/>
              </w:rPr>
              <w:t>[125]</w:t>
            </w:r>
            <w:bookmarkEnd w:id="370"/>
            <w:bookmarkEnd w:id="371"/>
            <w:r>
              <w:rPr>
                <w:rFonts w:ascii="Book Antiqua" w:hAnsi="Book Antiqua"/>
                <w:lang w:eastAsia="zh-CN"/>
              </w:rPr>
              <w:t>, 2022</w:t>
            </w:r>
          </w:p>
        </w:tc>
        <w:tc>
          <w:tcPr>
            <w:tcW w:w="2227" w:type="dxa"/>
            <w:vAlign w:val="center"/>
          </w:tcPr>
          <w:p w14:paraId="7B93E8CE" w14:textId="77777777" w:rsidR="00E45927" w:rsidRDefault="00000000">
            <w:pPr>
              <w:spacing w:line="360" w:lineRule="auto"/>
              <w:jc w:val="both"/>
              <w:rPr>
                <w:rFonts w:ascii="Book Antiqua" w:hAnsi="Book Antiqua"/>
                <w:lang w:eastAsia="zh-CN"/>
              </w:rPr>
            </w:pPr>
            <w:r>
              <w:rPr>
                <w:rFonts w:ascii="Book Antiqua" w:hAnsi="Book Antiqua"/>
                <w:lang w:eastAsia="zh-CN"/>
              </w:rPr>
              <w:t>Mice with DSS-induced colitis</w:t>
            </w:r>
          </w:p>
        </w:tc>
        <w:tc>
          <w:tcPr>
            <w:tcW w:w="3034" w:type="dxa"/>
            <w:vAlign w:val="center"/>
          </w:tcPr>
          <w:p w14:paraId="74572E3A" w14:textId="77777777" w:rsidR="00E45927" w:rsidRDefault="00000000">
            <w:pPr>
              <w:spacing w:line="360" w:lineRule="auto"/>
              <w:jc w:val="both"/>
              <w:rPr>
                <w:rFonts w:ascii="Book Antiqua" w:hAnsi="Book Antiqua"/>
                <w:lang w:eastAsia="zh-CN"/>
              </w:rPr>
            </w:pPr>
            <w:r>
              <w:rPr>
                <w:rFonts w:ascii="Book Antiqua" w:hAnsi="Book Antiqua"/>
                <w:lang w:eastAsia="zh-CN"/>
              </w:rPr>
              <w:t>Fed SFE for 11 d</w:t>
            </w:r>
          </w:p>
        </w:tc>
        <w:tc>
          <w:tcPr>
            <w:tcW w:w="6812" w:type="dxa"/>
          </w:tcPr>
          <w:p w14:paraId="4F956FF7" w14:textId="77777777" w:rsidR="00E45927" w:rsidRDefault="00000000">
            <w:pPr>
              <w:pStyle w:val="ad"/>
              <w:spacing w:line="360" w:lineRule="auto"/>
              <w:ind w:firstLineChars="0" w:firstLine="0"/>
              <w:rPr>
                <w:rFonts w:ascii="Book Antiqua" w:hAnsi="Book Antiqua" w:cs="Times New Roman"/>
                <w:sz w:val="24"/>
                <w:szCs w:val="24"/>
              </w:rPr>
            </w:pPr>
            <w:r>
              <w:rPr>
                <w:rFonts w:ascii="Book Antiqua" w:hAnsi="Book Antiqua" w:cs="Times New Roman"/>
                <w:sz w:val="24"/>
                <w:szCs w:val="24"/>
              </w:rPr>
              <w:t>SFE regulated the transcriptional levels of RORγt and Foxp 3 in the colon and down-regulating the expression of the pro-inflammatory factor IL-17 A in colon tissue</w:t>
            </w:r>
          </w:p>
        </w:tc>
      </w:tr>
      <w:tr w:rsidR="00E45927" w14:paraId="7FF6C1B4" w14:textId="77777777">
        <w:trPr>
          <w:trHeight w:val="395"/>
        </w:trPr>
        <w:tc>
          <w:tcPr>
            <w:tcW w:w="1832" w:type="dxa"/>
            <w:vMerge/>
            <w:tcBorders>
              <w:bottom w:val="single" w:sz="4" w:space="0" w:color="auto"/>
            </w:tcBorders>
            <w:vAlign w:val="center"/>
          </w:tcPr>
          <w:p w14:paraId="02862C07" w14:textId="77777777" w:rsidR="00E45927" w:rsidRDefault="00E45927">
            <w:pPr>
              <w:spacing w:line="360" w:lineRule="auto"/>
              <w:jc w:val="both"/>
              <w:rPr>
                <w:rFonts w:ascii="Book Antiqua" w:hAnsi="Book Antiqua"/>
                <w:lang w:eastAsia="zh-CN"/>
              </w:rPr>
            </w:pPr>
          </w:p>
        </w:tc>
        <w:tc>
          <w:tcPr>
            <w:tcW w:w="1830" w:type="dxa"/>
            <w:vAlign w:val="center"/>
          </w:tcPr>
          <w:p w14:paraId="7053B160" w14:textId="77777777" w:rsidR="00E45927" w:rsidRDefault="00000000">
            <w:pPr>
              <w:spacing w:line="360" w:lineRule="auto"/>
              <w:jc w:val="both"/>
              <w:rPr>
                <w:rFonts w:ascii="Book Antiqua" w:hAnsi="Book Antiqua"/>
                <w:lang w:eastAsia="zh-CN"/>
              </w:rPr>
            </w:pPr>
            <w:r>
              <w:rPr>
                <w:rFonts w:ascii="Book Antiqua" w:hAnsi="Book Antiqua"/>
                <w:lang w:eastAsia="zh-CN"/>
              </w:rPr>
              <w:t xml:space="preserve">Shi </w:t>
            </w:r>
            <w:r>
              <w:rPr>
                <w:rFonts w:ascii="Book Antiqua" w:hAnsi="Book Antiqua"/>
                <w:i/>
                <w:iCs/>
                <w:lang w:eastAsia="zh-CN"/>
              </w:rPr>
              <w:t>et al</w:t>
            </w:r>
            <w:r>
              <w:rPr>
                <w:rFonts w:ascii="Book Antiqua" w:hAnsi="Book Antiqua"/>
                <w:vertAlign w:val="superscript"/>
                <w:lang w:eastAsia="zh-CN"/>
              </w:rPr>
              <w:t>[126]</w:t>
            </w:r>
            <w:r>
              <w:rPr>
                <w:rFonts w:ascii="Book Antiqua" w:hAnsi="Book Antiqua"/>
                <w:lang w:eastAsia="zh-CN"/>
              </w:rPr>
              <w:t>, 2022</w:t>
            </w:r>
          </w:p>
        </w:tc>
        <w:tc>
          <w:tcPr>
            <w:tcW w:w="2227" w:type="dxa"/>
            <w:vAlign w:val="center"/>
          </w:tcPr>
          <w:p w14:paraId="55C8AFDB" w14:textId="77777777" w:rsidR="00E45927" w:rsidRDefault="00000000">
            <w:pPr>
              <w:spacing w:line="360" w:lineRule="auto"/>
              <w:jc w:val="both"/>
              <w:rPr>
                <w:rFonts w:ascii="Book Antiqua" w:hAnsi="Book Antiqua"/>
                <w:lang w:eastAsia="zh-CN"/>
              </w:rPr>
            </w:pPr>
            <w:r>
              <w:rPr>
                <w:rFonts w:ascii="Book Antiqua" w:hAnsi="Book Antiqua"/>
                <w:lang w:eastAsia="zh-CN"/>
              </w:rPr>
              <w:t>Mice with DSS-induced colitis</w:t>
            </w:r>
          </w:p>
        </w:tc>
        <w:tc>
          <w:tcPr>
            <w:tcW w:w="3034" w:type="dxa"/>
            <w:vAlign w:val="center"/>
          </w:tcPr>
          <w:p w14:paraId="0F0F3868" w14:textId="77777777" w:rsidR="00E45927" w:rsidRDefault="00000000">
            <w:pPr>
              <w:spacing w:line="360" w:lineRule="auto"/>
              <w:jc w:val="both"/>
              <w:rPr>
                <w:rFonts w:ascii="Book Antiqua" w:hAnsi="Book Antiqua"/>
                <w:lang w:eastAsia="zh-CN"/>
              </w:rPr>
            </w:pPr>
            <w:r>
              <w:rPr>
                <w:rFonts w:ascii="Book Antiqua" w:hAnsi="Book Antiqua"/>
                <w:lang w:eastAsia="zh-CN"/>
              </w:rPr>
              <w:t>Fed LWE for a week</w:t>
            </w:r>
          </w:p>
        </w:tc>
        <w:tc>
          <w:tcPr>
            <w:tcW w:w="6812" w:type="dxa"/>
          </w:tcPr>
          <w:p w14:paraId="55F3AB12" w14:textId="77777777" w:rsidR="00E45927" w:rsidRDefault="00000000">
            <w:pPr>
              <w:pStyle w:val="ad"/>
              <w:spacing w:line="360" w:lineRule="auto"/>
              <w:ind w:firstLineChars="0" w:firstLine="0"/>
              <w:rPr>
                <w:rFonts w:ascii="Book Antiqua" w:hAnsi="Book Antiqua" w:cs="Times New Roman"/>
                <w:sz w:val="24"/>
                <w:szCs w:val="24"/>
              </w:rPr>
            </w:pPr>
            <w:r>
              <w:rPr>
                <w:rFonts w:ascii="Book Antiqua" w:hAnsi="Book Antiqua" w:cs="Times New Roman"/>
                <w:sz w:val="24"/>
                <w:szCs w:val="24"/>
              </w:rPr>
              <w:t xml:space="preserve">LWE inhibited the transcriptional activation of RORγT and IL-17A, thereby suppressing the differentiation of Th17 lymphocytes; LWE reduced inflammation and increased the protective action of the intestinal mucosal barrier </w:t>
            </w:r>
            <w:r>
              <w:rPr>
                <w:rFonts w:ascii="Book Antiqua" w:hAnsi="Book Antiqua" w:cs="Times New Roman"/>
                <w:i/>
                <w:iCs/>
                <w:sz w:val="24"/>
                <w:szCs w:val="24"/>
              </w:rPr>
              <w:t>via</w:t>
            </w:r>
            <w:r>
              <w:rPr>
                <w:rFonts w:ascii="Book Antiqua" w:hAnsi="Book Antiqua" w:cs="Times New Roman"/>
                <w:sz w:val="24"/>
                <w:szCs w:val="24"/>
              </w:rPr>
              <w:t xml:space="preserve"> the TLR4/MyD88/NF-κB signal transduction pathway</w:t>
            </w:r>
          </w:p>
        </w:tc>
      </w:tr>
      <w:tr w:rsidR="00E45927" w14:paraId="31B542BF" w14:textId="77777777">
        <w:trPr>
          <w:trHeight w:val="395"/>
        </w:trPr>
        <w:tc>
          <w:tcPr>
            <w:tcW w:w="1832" w:type="dxa"/>
            <w:vMerge/>
            <w:tcBorders>
              <w:bottom w:val="single" w:sz="4" w:space="0" w:color="auto"/>
            </w:tcBorders>
            <w:vAlign w:val="center"/>
          </w:tcPr>
          <w:p w14:paraId="3872135F" w14:textId="77777777" w:rsidR="00E45927" w:rsidRDefault="00E45927">
            <w:pPr>
              <w:spacing w:line="360" w:lineRule="auto"/>
              <w:jc w:val="both"/>
              <w:rPr>
                <w:rFonts w:ascii="Book Antiqua" w:hAnsi="Book Antiqua"/>
                <w:lang w:eastAsia="zh-CN"/>
              </w:rPr>
            </w:pPr>
            <w:bookmarkStart w:id="372" w:name="_Hlk137566311"/>
            <w:bookmarkEnd w:id="363"/>
          </w:p>
        </w:tc>
        <w:tc>
          <w:tcPr>
            <w:tcW w:w="1830" w:type="dxa"/>
            <w:vAlign w:val="center"/>
          </w:tcPr>
          <w:p w14:paraId="0B5DFC75" w14:textId="77777777" w:rsidR="00E45927" w:rsidRDefault="00000000">
            <w:pPr>
              <w:spacing w:line="360" w:lineRule="auto"/>
              <w:jc w:val="both"/>
              <w:rPr>
                <w:rFonts w:ascii="Book Antiqua" w:hAnsi="Book Antiqua"/>
                <w:lang w:eastAsia="zh-CN"/>
              </w:rPr>
            </w:pPr>
            <w:r>
              <w:rPr>
                <w:rFonts w:ascii="Book Antiqua" w:hAnsi="Book Antiqua"/>
                <w:lang w:eastAsia="zh-CN"/>
              </w:rPr>
              <w:t xml:space="preserve">Xia </w:t>
            </w:r>
            <w:bookmarkStart w:id="373" w:name="OLE_LINK7117"/>
            <w:bookmarkStart w:id="374" w:name="OLE_LINK7116"/>
            <w:r>
              <w:rPr>
                <w:rFonts w:ascii="Book Antiqua" w:hAnsi="Book Antiqua"/>
                <w:i/>
                <w:iCs/>
                <w:lang w:eastAsia="zh-CN"/>
              </w:rPr>
              <w:t>et al</w:t>
            </w:r>
            <w:bookmarkStart w:id="375" w:name="OLE_LINK7119"/>
            <w:bookmarkStart w:id="376" w:name="OLE_LINK7118"/>
            <w:bookmarkEnd w:id="373"/>
            <w:bookmarkEnd w:id="374"/>
            <w:r>
              <w:rPr>
                <w:rFonts w:ascii="Book Antiqua" w:hAnsi="Book Antiqua"/>
                <w:vertAlign w:val="superscript"/>
                <w:lang w:eastAsia="zh-CN"/>
              </w:rPr>
              <w:t>[127]</w:t>
            </w:r>
            <w:bookmarkEnd w:id="375"/>
            <w:bookmarkEnd w:id="376"/>
            <w:r>
              <w:rPr>
                <w:rFonts w:ascii="Book Antiqua" w:hAnsi="Book Antiqua"/>
                <w:lang w:eastAsia="zh-CN"/>
              </w:rPr>
              <w:t>, 2022</w:t>
            </w:r>
          </w:p>
        </w:tc>
        <w:tc>
          <w:tcPr>
            <w:tcW w:w="2227" w:type="dxa"/>
            <w:vAlign w:val="center"/>
          </w:tcPr>
          <w:p w14:paraId="2FAAB8EC" w14:textId="77777777" w:rsidR="00E45927" w:rsidRDefault="00000000">
            <w:pPr>
              <w:spacing w:line="360" w:lineRule="auto"/>
              <w:jc w:val="both"/>
              <w:rPr>
                <w:rFonts w:ascii="Book Antiqua" w:hAnsi="Book Antiqua"/>
                <w:lang w:eastAsia="zh-CN"/>
              </w:rPr>
            </w:pPr>
            <w:r>
              <w:rPr>
                <w:rFonts w:ascii="Book Antiqua" w:hAnsi="Book Antiqua"/>
                <w:lang w:eastAsia="zh-CN"/>
              </w:rPr>
              <w:t>Mice with DSS-induced colitis</w:t>
            </w:r>
          </w:p>
        </w:tc>
        <w:tc>
          <w:tcPr>
            <w:tcW w:w="3034" w:type="dxa"/>
            <w:vAlign w:val="center"/>
          </w:tcPr>
          <w:p w14:paraId="4384F3DA" w14:textId="77777777" w:rsidR="00E45927" w:rsidRDefault="00000000">
            <w:pPr>
              <w:spacing w:line="360" w:lineRule="auto"/>
              <w:jc w:val="both"/>
              <w:rPr>
                <w:rFonts w:ascii="Book Antiqua" w:hAnsi="Book Antiqua"/>
                <w:lang w:eastAsia="zh-CN"/>
              </w:rPr>
            </w:pPr>
            <w:r>
              <w:rPr>
                <w:rFonts w:ascii="Book Antiqua" w:hAnsi="Book Antiqua"/>
                <w:lang w:eastAsia="zh-CN"/>
              </w:rPr>
              <w:t>QCWZD gavage for a week</w:t>
            </w:r>
          </w:p>
        </w:tc>
        <w:tc>
          <w:tcPr>
            <w:tcW w:w="6812" w:type="dxa"/>
          </w:tcPr>
          <w:p w14:paraId="5E8BBBEC" w14:textId="77777777" w:rsidR="00E45927" w:rsidRDefault="00000000">
            <w:pPr>
              <w:pStyle w:val="ad"/>
              <w:spacing w:line="360" w:lineRule="auto"/>
              <w:ind w:firstLineChars="0" w:firstLine="0"/>
              <w:rPr>
                <w:rFonts w:ascii="Book Antiqua" w:hAnsi="Book Antiqua" w:cs="Times New Roman"/>
                <w:sz w:val="24"/>
                <w:szCs w:val="24"/>
              </w:rPr>
            </w:pPr>
            <w:bookmarkStart w:id="377" w:name="OLE_LINK7138"/>
            <w:bookmarkStart w:id="378" w:name="OLE_LINK7140"/>
            <w:bookmarkStart w:id="379" w:name="OLE_LINK7139"/>
            <w:r>
              <w:rPr>
                <w:rFonts w:ascii="Book Antiqua" w:hAnsi="Book Antiqua" w:cs="Times New Roman"/>
                <w:sz w:val="24"/>
                <w:szCs w:val="24"/>
              </w:rPr>
              <w:t>QCWZD</w:t>
            </w:r>
            <w:bookmarkEnd w:id="377"/>
            <w:bookmarkEnd w:id="378"/>
            <w:bookmarkEnd w:id="379"/>
            <w:r>
              <w:rPr>
                <w:rFonts w:ascii="Book Antiqua" w:hAnsi="Book Antiqua" w:cs="Times New Roman"/>
                <w:sz w:val="24"/>
                <w:szCs w:val="24"/>
              </w:rPr>
              <w:t xml:space="preserve"> inhibited the phosphorylation of JAK2-STAT3 pathway, reducing the transcriptional activation of RORγT and IL-17A</w:t>
            </w:r>
          </w:p>
        </w:tc>
      </w:tr>
      <w:tr w:rsidR="00E45927" w14:paraId="2AB476AE" w14:textId="77777777">
        <w:trPr>
          <w:trHeight w:val="395"/>
        </w:trPr>
        <w:tc>
          <w:tcPr>
            <w:tcW w:w="1832" w:type="dxa"/>
            <w:vMerge/>
            <w:tcBorders>
              <w:bottom w:val="single" w:sz="4" w:space="0" w:color="auto"/>
            </w:tcBorders>
            <w:vAlign w:val="center"/>
          </w:tcPr>
          <w:p w14:paraId="11CE7673" w14:textId="77777777" w:rsidR="00E45927" w:rsidRDefault="00E45927">
            <w:pPr>
              <w:spacing w:line="360" w:lineRule="auto"/>
              <w:jc w:val="both"/>
              <w:rPr>
                <w:rFonts w:ascii="Book Antiqua" w:hAnsi="Book Antiqua"/>
                <w:lang w:eastAsia="zh-CN"/>
              </w:rPr>
            </w:pPr>
          </w:p>
        </w:tc>
        <w:tc>
          <w:tcPr>
            <w:tcW w:w="1830" w:type="dxa"/>
            <w:vAlign w:val="center"/>
          </w:tcPr>
          <w:p w14:paraId="38A2E42F" w14:textId="77777777" w:rsidR="00E45927" w:rsidRDefault="00000000">
            <w:pPr>
              <w:spacing w:line="360" w:lineRule="auto"/>
              <w:jc w:val="both"/>
              <w:rPr>
                <w:rFonts w:ascii="Book Antiqua" w:hAnsi="Book Antiqua"/>
                <w:lang w:eastAsia="zh-CN"/>
              </w:rPr>
            </w:pPr>
            <w:r>
              <w:rPr>
                <w:rFonts w:ascii="Book Antiqua" w:hAnsi="Book Antiqua"/>
                <w:lang w:eastAsia="zh-CN"/>
              </w:rPr>
              <w:t xml:space="preserve">Xiong </w:t>
            </w:r>
            <w:bookmarkStart w:id="380" w:name="OLE_LINK7123"/>
            <w:bookmarkStart w:id="381" w:name="OLE_LINK7122"/>
            <w:r>
              <w:rPr>
                <w:rFonts w:ascii="Book Antiqua" w:hAnsi="Book Antiqua"/>
                <w:i/>
                <w:iCs/>
                <w:lang w:eastAsia="zh-CN"/>
              </w:rPr>
              <w:t>et al</w:t>
            </w:r>
            <w:bookmarkStart w:id="382" w:name="OLE_LINK7120"/>
            <w:bookmarkStart w:id="383" w:name="OLE_LINK7121"/>
            <w:bookmarkEnd w:id="380"/>
            <w:bookmarkEnd w:id="381"/>
            <w:r>
              <w:rPr>
                <w:rFonts w:ascii="Book Antiqua" w:hAnsi="Book Antiqua"/>
                <w:vertAlign w:val="superscript"/>
                <w:lang w:eastAsia="zh-CN"/>
              </w:rPr>
              <w:t>[128]</w:t>
            </w:r>
            <w:bookmarkEnd w:id="382"/>
            <w:bookmarkEnd w:id="383"/>
            <w:r>
              <w:rPr>
                <w:rFonts w:ascii="Book Antiqua" w:hAnsi="Book Antiqua"/>
                <w:lang w:eastAsia="zh-CN"/>
              </w:rPr>
              <w:t>, 2022</w:t>
            </w:r>
          </w:p>
        </w:tc>
        <w:tc>
          <w:tcPr>
            <w:tcW w:w="2227" w:type="dxa"/>
            <w:vAlign w:val="center"/>
          </w:tcPr>
          <w:p w14:paraId="5C18A0B6" w14:textId="77777777" w:rsidR="00E45927" w:rsidRDefault="00000000">
            <w:pPr>
              <w:spacing w:line="360" w:lineRule="auto"/>
              <w:jc w:val="both"/>
              <w:rPr>
                <w:rFonts w:ascii="Book Antiqua" w:hAnsi="Book Antiqua"/>
                <w:lang w:eastAsia="zh-CN"/>
              </w:rPr>
            </w:pPr>
            <w:r>
              <w:rPr>
                <w:rFonts w:ascii="Book Antiqua" w:hAnsi="Book Antiqua"/>
                <w:lang w:eastAsia="zh-CN"/>
              </w:rPr>
              <w:t>Mice with DSS-induced colitis</w:t>
            </w:r>
          </w:p>
        </w:tc>
        <w:tc>
          <w:tcPr>
            <w:tcW w:w="3034" w:type="dxa"/>
            <w:vAlign w:val="center"/>
          </w:tcPr>
          <w:p w14:paraId="37DA4474" w14:textId="77777777" w:rsidR="00E45927" w:rsidRDefault="00000000">
            <w:pPr>
              <w:spacing w:line="360" w:lineRule="auto"/>
              <w:jc w:val="both"/>
              <w:rPr>
                <w:rFonts w:ascii="Book Antiqua" w:hAnsi="Book Antiqua"/>
                <w:lang w:eastAsia="zh-CN"/>
              </w:rPr>
            </w:pPr>
            <w:r>
              <w:rPr>
                <w:rFonts w:ascii="Book Antiqua" w:hAnsi="Book Antiqua"/>
                <w:lang w:eastAsia="zh-CN"/>
              </w:rPr>
              <w:t>Fed HGT for 10 d</w:t>
            </w:r>
          </w:p>
        </w:tc>
        <w:tc>
          <w:tcPr>
            <w:tcW w:w="6812" w:type="dxa"/>
          </w:tcPr>
          <w:p w14:paraId="4B80E3EA" w14:textId="77777777" w:rsidR="00E45927" w:rsidRDefault="00000000">
            <w:pPr>
              <w:pStyle w:val="ad"/>
              <w:spacing w:line="360" w:lineRule="auto"/>
              <w:ind w:firstLineChars="0" w:firstLine="0"/>
              <w:rPr>
                <w:rFonts w:ascii="Book Antiqua" w:hAnsi="Book Antiqua" w:cs="Times New Roman"/>
                <w:sz w:val="24"/>
                <w:szCs w:val="24"/>
              </w:rPr>
            </w:pPr>
            <w:r>
              <w:rPr>
                <w:rFonts w:ascii="Book Antiqua" w:hAnsi="Book Antiqua" w:cs="Times New Roman"/>
                <w:sz w:val="24"/>
                <w:szCs w:val="24"/>
              </w:rPr>
              <w:t>HGT inhibited DSS-induced necrotizing lesions in the colon through up</w:t>
            </w:r>
            <w:r>
              <w:rPr>
                <w:rFonts w:ascii="Book Antiqua" w:hAnsi="Book Antiqua" w:cs="Times New Roman" w:hint="eastAsia"/>
                <w:sz w:val="24"/>
                <w:szCs w:val="24"/>
              </w:rPr>
              <w:t>-</w:t>
            </w:r>
            <w:r>
              <w:rPr>
                <w:rFonts w:ascii="Book Antiqua" w:hAnsi="Book Antiqua" w:cs="Times New Roman"/>
                <w:sz w:val="24"/>
                <w:szCs w:val="24"/>
              </w:rPr>
              <w:t>regulation VDR levels</w:t>
            </w:r>
          </w:p>
        </w:tc>
      </w:tr>
      <w:tr w:rsidR="00E45927" w14:paraId="5139713F" w14:textId="77777777">
        <w:trPr>
          <w:trHeight w:val="395"/>
        </w:trPr>
        <w:tc>
          <w:tcPr>
            <w:tcW w:w="1832" w:type="dxa"/>
            <w:vMerge/>
            <w:tcBorders>
              <w:bottom w:val="single" w:sz="4" w:space="0" w:color="auto"/>
            </w:tcBorders>
            <w:vAlign w:val="center"/>
          </w:tcPr>
          <w:p w14:paraId="6839AF8D" w14:textId="77777777" w:rsidR="00E45927" w:rsidRDefault="00E45927">
            <w:pPr>
              <w:spacing w:line="360" w:lineRule="auto"/>
              <w:jc w:val="both"/>
              <w:rPr>
                <w:rFonts w:ascii="Book Antiqua" w:hAnsi="Book Antiqua"/>
                <w:lang w:eastAsia="zh-CN"/>
              </w:rPr>
            </w:pPr>
          </w:p>
        </w:tc>
        <w:tc>
          <w:tcPr>
            <w:tcW w:w="1830" w:type="dxa"/>
            <w:vAlign w:val="center"/>
          </w:tcPr>
          <w:p w14:paraId="081092DC" w14:textId="77777777" w:rsidR="00E45927" w:rsidRDefault="00000000">
            <w:pPr>
              <w:spacing w:line="360" w:lineRule="auto"/>
              <w:jc w:val="both"/>
              <w:rPr>
                <w:rFonts w:ascii="Book Antiqua" w:hAnsi="Book Antiqua"/>
                <w:lang w:eastAsia="zh-CN"/>
              </w:rPr>
            </w:pPr>
            <w:r>
              <w:rPr>
                <w:rFonts w:ascii="Book Antiqua" w:hAnsi="Book Antiqua"/>
                <w:lang w:eastAsia="zh-CN"/>
              </w:rPr>
              <w:t xml:space="preserve">Zhang </w:t>
            </w:r>
            <w:bookmarkStart w:id="384" w:name="OLE_LINK7125"/>
            <w:bookmarkStart w:id="385" w:name="OLE_LINK7124"/>
            <w:r>
              <w:rPr>
                <w:rFonts w:ascii="Book Antiqua" w:hAnsi="Book Antiqua"/>
                <w:i/>
                <w:iCs/>
                <w:lang w:eastAsia="zh-CN"/>
              </w:rPr>
              <w:t>et al</w:t>
            </w:r>
            <w:bookmarkEnd w:id="384"/>
            <w:bookmarkEnd w:id="385"/>
            <w:r>
              <w:rPr>
                <w:rFonts w:ascii="Book Antiqua" w:hAnsi="Book Antiqua"/>
                <w:vertAlign w:val="superscript"/>
                <w:lang w:eastAsia="zh-CN"/>
              </w:rPr>
              <w:t>[129]</w:t>
            </w:r>
            <w:r>
              <w:rPr>
                <w:rFonts w:ascii="Book Antiqua" w:hAnsi="Book Antiqua"/>
                <w:lang w:eastAsia="zh-CN"/>
              </w:rPr>
              <w:t>, 2020</w:t>
            </w:r>
          </w:p>
        </w:tc>
        <w:tc>
          <w:tcPr>
            <w:tcW w:w="2227" w:type="dxa"/>
            <w:vAlign w:val="center"/>
          </w:tcPr>
          <w:p w14:paraId="7EDEC534" w14:textId="77777777" w:rsidR="00E45927" w:rsidRDefault="00000000">
            <w:pPr>
              <w:spacing w:line="360" w:lineRule="auto"/>
              <w:jc w:val="both"/>
              <w:rPr>
                <w:rFonts w:ascii="Book Antiqua" w:hAnsi="Book Antiqua"/>
                <w:lang w:eastAsia="zh-CN"/>
              </w:rPr>
            </w:pPr>
            <w:r>
              <w:rPr>
                <w:rFonts w:ascii="Book Antiqua" w:hAnsi="Book Antiqua"/>
                <w:lang w:eastAsia="zh-CN"/>
              </w:rPr>
              <w:t>Mice with DSS-induced colitis</w:t>
            </w:r>
          </w:p>
        </w:tc>
        <w:tc>
          <w:tcPr>
            <w:tcW w:w="3034" w:type="dxa"/>
            <w:vAlign w:val="center"/>
          </w:tcPr>
          <w:p w14:paraId="43406070" w14:textId="77777777" w:rsidR="00E45927" w:rsidRDefault="00000000">
            <w:pPr>
              <w:spacing w:line="360" w:lineRule="auto"/>
              <w:jc w:val="both"/>
              <w:rPr>
                <w:rFonts w:ascii="Book Antiqua" w:hAnsi="Book Antiqua"/>
                <w:lang w:eastAsia="zh-CN"/>
              </w:rPr>
            </w:pPr>
            <w:r>
              <w:rPr>
                <w:rFonts w:ascii="Book Antiqua" w:hAnsi="Book Antiqua"/>
                <w:lang w:eastAsia="zh-CN"/>
              </w:rPr>
              <w:t xml:space="preserve">PA administered </w:t>
            </w:r>
            <w:bookmarkStart w:id="386" w:name="OLE_LINK7128"/>
            <w:bookmarkStart w:id="387" w:name="OLE_LINK7129"/>
            <w:r>
              <w:rPr>
                <w:rFonts w:ascii="Book Antiqua" w:hAnsi="Book Antiqua"/>
                <w:lang w:eastAsia="zh-CN"/>
              </w:rPr>
              <w:t>intragastrically</w:t>
            </w:r>
            <w:bookmarkEnd w:id="386"/>
            <w:bookmarkEnd w:id="387"/>
            <w:r>
              <w:rPr>
                <w:rFonts w:ascii="Book Antiqua" w:hAnsi="Book Antiqua"/>
                <w:lang w:eastAsia="zh-CN"/>
              </w:rPr>
              <w:t xml:space="preserve"> for 10 d</w:t>
            </w:r>
          </w:p>
        </w:tc>
        <w:tc>
          <w:tcPr>
            <w:tcW w:w="6812" w:type="dxa"/>
          </w:tcPr>
          <w:p w14:paraId="17C08EF8" w14:textId="77777777" w:rsidR="00E45927" w:rsidRDefault="00000000">
            <w:pPr>
              <w:pStyle w:val="ad"/>
              <w:spacing w:line="360" w:lineRule="auto"/>
              <w:ind w:firstLineChars="0" w:firstLine="0"/>
              <w:rPr>
                <w:rFonts w:ascii="Book Antiqua" w:hAnsi="Book Antiqua" w:cs="Times New Roman"/>
                <w:sz w:val="24"/>
                <w:szCs w:val="24"/>
              </w:rPr>
            </w:pPr>
            <w:r>
              <w:rPr>
                <w:rFonts w:ascii="Book Antiqua" w:hAnsi="Book Antiqua" w:cs="Times New Roman"/>
                <w:sz w:val="24"/>
                <w:szCs w:val="24"/>
              </w:rPr>
              <w:t>PA activated PXR signaling and inhibited NF-κB signaling, thereby ameliorating inflammation</w:t>
            </w:r>
          </w:p>
        </w:tc>
      </w:tr>
      <w:tr w:rsidR="00E45927" w14:paraId="43ACC3B8" w14:textId="77777777">
        <w:trPr>
          <w:trHeight w:val="395"/>
        </w:trPr>
        <w:tc>
          <w:tcPr>
            <w:tcW w:w="1832" w:type="dxa"/>
            <w:vMerge/>
            <w:tcBorders>
              <w:bottom w:val="single" w:sz="4" w:space="0" w:color="auto"/>
            </w:tcBorders>
            <w:vAlign w:val="center"/>
          </w:tcPr>
          <w:p w14:paraId="23BA5DB9" w14:textId="77777777" w:rsidR="00E45927" w:rsidRDefault="00E45927">
            <w:pPr>
              <w:spacing w:line="360" w:lineRule="auto"/>
              <w:jc w:val="both"/>
              <w:rPr>
                <w:rFonts w:ascii="Book Antiqua" w:hAnsi="Book Antiqua"/>
                <w:lang w:eastAsia="zh-CN"/>
              </w:rPr>
            </w:pPr>
            <w:bookmarkStart w:id="388" w:name="_Hlk137566316"/>
            <w:bookmarkEnd w:id="372"/>
          </w:p>
        </w:tc>
        <w:tc>
          <w:tcPr>
            <w:tcW w:w="1830" w:type="dxa"/>
            <w:tcBorders>
              <w:bottom w:val="single" w:sz="4" w:space="0" w:color="auto"/>
            </w:tcBorders>
            <w:vAlign w:val="center"/>
          </w:tcPr>
          <w:p w14:paraId="3FAA41E5" w14:textId="77777777" w:rsidR="00E45927" w:rsidRDefault="00000000">
            <w:pPr>
              <w:spacing w:line="360" w:lineRule="auto"/>
              <w:jc w:val="both"/>
              <w:rPr>
                <w:rFonts w:ascii="Book Antiqua" w:hAnsi="Book Antiqua"/>
                <w:lang w:eastAsia="zh-CN"/>
              </w:rPr>
            </w:pPr>
            <w:r>
              <w:rPr>
                <w:rFonts w:ascii="Book Antiqua" w:hAnsi="Book Antiqua"/>
                <w:lang w:eastAsia="zh-CN"/>
              </w:rPr>
              <w:t xml:space="preserve">Yu </w:t>
            </w:r>
            <w:bookmarkStart w:id="389" w:name="OLE_LINK7126"/>
            <w:bookmarkStart w:id="390" w:name="OLE_LINK7127"/>
            <w:r>
              <w:rPr>
                <w:rFonts w:ascii="Book Antiqua" w:hAnsi="Book Antiqua"/>
                <w:i/>
                <w:iCs/>
                <w:lang w:eastAsia="zh-CN"/>
              </w:rPr>
              <w:t>et al</w:t>
            </w:r>
            <w:bookmarkEnd w:id="389"/>
            <w:bookmarkEnd w:id="390"/>
            <w:r>
              <w:rPr>
                <w:rFonts w:ascii="Book Antiqua" w:hAnsi="Book Antiqua"/>
                <w:vertAlign w:val="superscript"/>
                <w:lang w:eastAsia="zh-CN"/>
              </w:rPr>
              <w:t>[130]</w:t>
            </w:r>
            <w:r>
              <w:rPr>
                <w:rFonts w:ascii="Book Antiqua" w:hAnsi="Book Antiqua"/>
                <w:lang w:eastAsia="zh-CN"/>
              </w:rPr>
              <w:t>, 2020</w:t>
            </w:r>
          </w:p>
        </w:tc>
        <w:tc>
          <w:tcPr>
            <w:tcW w:w="2227" w:type="dxa"/>
            <w:tcBorders>
              <w:bottom w:val="single" w:sz="4" w:space="0" w:color="auto"/>
            </w:tcBorders>
            <w:vAlign w:val="center"/>
          </w:tcPr>
          <w:p w14:paraId="01AED72C" w14:textId="77777777" w:rsidR="00E45927" w:rsidRDefault="00000000">
            <w:pPr>
              <w:spacing w:line="360" w:lineRule="auto"/>
              <w:jc w:val="both"/>
              <w:rPr>
                <w:rFonts w:ascii="Book Antiqua" w:hAnsi="Book Antiqua"/>
                <w:lang w:eastAsia="zh-CN"/>
              </w:rPr>
            </w:pPr>
            <w:r>
              <w:rPr>
                <w:rFonts w:ascii="Book Antiqua" w:hAnsi="Book Antiqua"/>
                <w:lang w:eastAsia="zh-CN"/>
              </w:rPr>
              <w:t>Mice with DSS-induced colitis</w:t>
            </w:r>
          </w:p>
        </w:tc>
        <w:tc>
          <w:tcPr>
            <w:tcW w:w="3034" w:type="dxa"/>
            <w:tcBorders>
              <w:bottom w:val="single" w:sz="4" w:space="0" w:color="auto"/>
            </w:tcBorders>
            <w:vAlign w:val="center"/>
          </w:tcPr>
          <w:p w14:paraId="2B815275" w14:textId="77777777" w:rsidR="00E45927" w:rsidRDefault="00000000">
            <w:pPr>
              <w:spacing w:line="360" w:lineRule="auto"/>
              <w:jc w:val="both"/>
              <w:rPr>
                <w:rFonts w:ascii="Book Antiqua" w:hAnsi="Book Antiqua"/>
                <w:lang w:eastAsia="zh-CN"/>
              </w:rPr>
            </w:pPr>
            <w:r>
              <w:rPr>
                <w:rFonts w:ascii="Book Antiqua" w:hAnsi="Book Antiqua"/>
                <w:lang w:eastAsia="zh-CN"/>
              </w:rPr>
              <w:t>Fed Alpinetin for 9 d</w:t>
            </w:r>
          </w:p>
        </w:tc>
        <w:tc>
          <w:tcPr>
            <w:tcW w:w="6812" w:type="dxa"/>
            <w:tcBorders>
              <w:bottom w:val="single" w:sz="4" w:space="0" w:color="auto"/>
            </w:tcBorders>
          </w:tcPr>
          <w:p w14:paraId="1B451113" w14:textId="77777777" w:rsidR="00E45927" w:rsidRDefault="00000000">
            <w:pPr>
              <w:pStyle w:val="ad"/>
              <w:spacing w:line="360" w:lineRule="auto"/>
              <w:ind w:firstLineChars="0" w:firstLine="0"/>
              <w:rPr>
                <w:rFonts w:ascii="Book Antiqua" w:hAnsi="Book Antiqua" w:cs="Times New Roman"/>
                <w:sz w:val="24"/>
                <w:szCs w:val="24"/>
              </w:rPr>
            </w:pPr>
            <w:r>
              <w:rPr>
                <w:rFonts w:ascii="Book Antiqua" w:hAnsi="Book Antiqua" w:cs="Times New Roman"/>
                <w:sz w:val="24"/>
                <w:szCs w:val="24"/>
              </w:rPr>
              <w:t>Alpinetin activated PXR/NF-kB, thereby ameliorating inflammation</w:t>
            </w:r>
          </w:p>
        </w:tc>
      </w:tr>
    </w:tbl>
    <w:bookmarkEnd w:id="310"/>
    <w:bookmarkEnd w:id="311"/>
    <w:bookmarkEnd w:id="312"/>
    <w:bookmarkEnd w:id="322"/>
    <w:bookmarkEnd w:id="323"/>
    <w:bookmarkEnd w:id="388"/>
    <w:p w14:paraId="55DD3E10" w14:textId="2735C446" w:rsidR="007D29DF" w:rsidRDefault="00000000">
      <w:pPr>
        <w:spacing w:line="360" w:lineRule="auto"/>
        <w:jc w:val="both"/>
        <w:rPr>
          <w:rFonts w:ascii="Book Antiqua" w:eastAsia="Book Antiqua" w:hAnsi="Book Antiqua" w:cs="Book Antiqua"/>
          <w:color w:val="000000"/>
        </w:rPr>
      </w:pPr>
      <w:r>
        <w:rPr>
          <w:rFonts w:ascii="Book Antiqua" w:hAnsi="Book Antiqua" w:hint="eastAsia"/>
        </w:rPr>
        <w:t>I</w:t>
      </w:r>
      <w:r>
        <w:rPr>
          <w:rFonts w:ascii="Book Antiqua" w:hAnsi="Book Antiqua"/>
        </w:rPr>
        <w:t xml:space="preserve">BD: </w:t>
      </w:r>
      <w:r>
        <w:rPr>
          <w:rFonts w:ascii="Book Antiqua" w:eastAsia="Book Antiqua" w:hAnsi="Book Antiqua" w:cs="Book Antiqua"/>
          <w:color w:val="000000"/>
          <w:lang w:eastAsia="zh-CN"/>
        </w:rPr>
        <w:t>I</w:t>
      </w:r>
      <w:r>
        <w:rPr>
          <w:rFonts w:ascii="Book Antiqua" w:eastAsia="Book Antiqua" w:hAnsi="Book Antiqua" w:cs="Book Antiqua"/>
          <w:color w:val="000000"/>
        </w:rPr>
        <w:t xml:space="preserve">nflammatory bowel disease; </w:t>
      </w:r>
      <w:r>
        <w:rPr>
          <w:rFonts w:ascii="Book Antiqua" w:eastAsia="Book Antiqua" w:hAnsi="Book Antiqua" w:cs="Book Antiqua"/>
        </w:rPr>
        <w:t>FXR: Farnesoid X receptor; PXR: Pregnane X receptor; VDR: Vitamin D receptor; RORγt:</w:t>
      </w:r>
      <w:r>
        <w:rPr>
          <w:rFonts w:ascii="Book Antiqua" w:eastAsia="Book Antiqua" w:hAnsi="Book Antiqua" w:cs="Book Antiqua"/>
          <w:color w:val="000000"/>
        </w:rPr>
        <w:t xml:space="preserve"> Retinoid-related orphan receptor γt; DSS: Dextran sodium sulfate; HGT: Huanglian Ganjiang Tang</w:t>
      </w:r>
      <w:r>
        <w:rPr>
          <w:rFonts w:ascii="Book Antiqua" w:eastAsia="宋体" w:hAnsi="Book Antiqua"/>
        </w:rPr>
        <w:t xml:space="preserve">; QCWZD: </w:t>
      </w:r>
      <w:r>
        <w:rPr>
          <w:rFonts w:ascii="Book Antiqua" w:eastAsia="Book Antiqua" w:hAnsi="Book Antiqua" w:cs="Book Antiqua"/>
          <w:color w:val="000000"/>
        </w:rPr>
        <w:t xml:space="preserve">Chingchang Wenzhong </w:t>
      </w:r>
      <w:r>
        <w:rPr>
          <w:rFonts w:ascii="Book Antiqua" w:eastAsia="Book Antiqua" w:hAnsi="Book Antiqua" w:cs="Book Antiqua"/>
          <w:color w:val="000000"/>
        </w:rPr>
        <w:lastRenderedPageBreak/>
        <w:t>Decoction</w:t>
      </w:r>
      <w:r>
        <w:rPr>
          <w:rFonts w:ascii="Book Antiqua" w:eastAsia="宋体" w:hAnsi="Book Antiqua"/>
        </w:rPr>
        <w:t xml:space="preserve">; LWE: </w:t>
      </w:r>
      <w:r>
        <w:rPr>
          <w:rFonts w:ascii="Book Antiqua" w:eastAsia="Book Antiqua" w:hAnsi="Book Antiqua" w:cs="Book Antiqua"/>
          <w:color w:val="000000"/>
        </w:rPr>
        <w:t>Licorice water extraction</w:t>
      </w:r>
      <w:r>
        <w:rPr>
          <w:rFonts w:ascii="Book Antiqua" w:eastAsia="宋体" w:hAnsi="Book Antiqua"/>
        </w:rPr>
        <w:t xml:space="preserve">; SFE: </w:t>
      </w:r>
      <w:r>
        <w:rPr>
          <w:rFonts w:ascii="Book Antiqua" w:eastAsia="Book Antiqua" w:hAnsi="Book Antiqua" w:cs="Book Antiqua"/>
          <w:i/>
          <w:iCs/>
          <w:color w:val="000000"/>
        </w:rPr>
        <w:t>Sophora flavescens</w:t>
      </w:r>
      <w:r>
        <w:rPr>
          <w:rFonts w:ascii="Book Antiqua" w:eastAsia="Book Antiqua" w:hAnsi="Book Antiqua" w:cs="Book Antiqua"/>
          <w:color w:val="000000"/>
        </w:rPr>
        <w:t xml:space="preserve"> Aiton total flavonoids extracts</w:t>
      </w:r>
      <w:r>
        <w:rPr>
          <w:rFonts w:ascii="Book Antiqua" w:eastAsia="宋体" w:hAnsi="Book Antiqua"/>
        </w:rPr>
        <w:t xml:space="preserve">; BTWT: </w:t>
      </w:r>
      <w:r>
        <w:rPr>
          <w:rFonts w:ascii="Book Antiqua" w:eastAsia="Book Antiqua" w:hAnsi="Book Antiqua" w:cs="Book Antiqua"/>
          <w:color w:val="000000"/>
        </w:rPr>
        <w:t>Baitouweng Tang</w:t>
      </w:r>
      <w:r>
        <w:rPr>
          <w:rFonts w:ascii="Book Antiqua" w:eastAsia="宋体" w:hAnsi="Book Antiqua"/>
        </w:rPr>
        <w:t>; GXD:</w:t>
      </w:r>
      <w:r>
        <w:rPr>
          <w:rFonts w:ascii="Book Antiqua" w:eastAsia="Book Antiqua" w:hAnsi="Book Antiqua" w:cs="Book Antiqua"/>
          <w:color w:val="000000"/>
        </w:rPr>
        <w:t xml:space="preserve"> Gualou Xiebai Decoctio;</w:t>
      </w:r>
      <w:r>
        <w:rPr>
          <w:rFonts w:ascii="Book Antiqua" w:eastAsia="宋体" w:hAnsi="Book Antiqua"/>
        </w:rPr>
        <w:t xml:space="preserve"> MCA: </w:t>
      </w:r>
      <w:r>
        <w:rPr>
          <w:rFonts w:ascii="Book Antiqua" w:eastAsia="Book Antiqua" w:hAnsi="Book Antiqua" w:cs="Book Antiqua"/>
          <w:color w:val="000000"/>
        </w:rPr>
        <w:t>Muricholic acid.</w:t>
      </w:r>
    </w:p>
    <w:p w14:paraId="54B789C5" w14:textId="77777777" w:rsidR="007D29DF" w:rsidRDefault="007D29DF">
      <w:pPr>
        <w:rPr>
          <w:rFonts w:ascii="Book Antiqua" w:eastAsia="Book Antiqua" w:hAnsi="Book Antiqua" w:cs="Book Antiqua"/>
          <w:color w:val="000000"/>
        </w:rPr>
      </w:pPr>
      <w:r>
        <w:rPr>
          <w:rFonts w:ascii="Book Antiqua" w:eastAsia="Book Antiqua" w:hAnsi="Book Antiqua" w:cs="Book Antiqua"/>
          <w:color w:val="000000"/>
        </w:rPr>
        <w:br w:type="page"/>
      </w:r>
    </w:p>
    <w:p w14:paraId="7FBD913C" w14:textId="77777777" w:rsidR="007D29DF" w:rsidRDefault="007D29DF" w:rsidP="007D29DF">
      <w:pPr>
        <w:snapToGrid w:val="0"/>
        <w:ind w:leftChars="100" w:left="240"/>
        <w:jc w:val="center"/>
        <w:rPr>
          <w:rFonts w:ascii="Book Antiqua" w:hAnsi="Book Antiqua"/>
        </w:rPr>
      </w:pPr>
      <w:bookmarkStart w:id="391" w:name="_Hlk139982174"/>
    </w:p>
    <w:p w14:paraId="267997E5" w14:textId="77777777" w:rsidR="007D29DF" w:rsidRDefault="007D29DF" w:rsidP="007D29DF">
      <w:pPr>
        <w:snapToGrid w:val="0"/>
        <w:ind w:leftChars="100" w:left="240"/>
        <w:jc w:val="center"/>
        <w:rPr>
          <w:rFonts w:ascii="Book Antiqua" w:hAnsi="Book Antiqua"/>
        </w:rPr>
      </w:pPr>
    </w:p>
    <w:p w14:paraId="21C4F1A7" w14:textId="77777777" w:rsidR="007D29DF" w:rsidRDefault="007D29DF" w:rsidP="007D29DF">
      <w:pPr>
        <w:snapToGrid w:val="0"/>
        <w:ind w:leftChars="100" w:left="240"/>
        <w:jc w:val="center"/>
        <w:rPr>
          <w:rFonts w:ascii="Book Antiqua" w:hAnsi="Book Antiqua"/>
        </w:rPr>
      </w:pPr>
    </w:p>
    <w:p w14:paraId="1B7755C2" w14:textId="77777777" w:rsidR="007D29DF" w:rsidRDefault="007D29DF" w:rsidP="007D29DF">
      <w:pPr>
        <w:snapToGrid w:val="0"/>
        <w:ind w:leftChars="100" w:left="240"/>
        <w:jc w:val="center"/>
        <w:rPr>
          <w:rFonts w:ascii="Book Antiqua" w:hAnsi="Book Antiqua"/>
        </w:rPr>
      </w:pPr>
    </w:p>
    <w:p w14:paraId="4C21AEE5" w14:textId="77777777" w:rsidR="007D29DF" w:rsidRDefault="007D29DF" w:rsidP="007D29DF">
      <w:pPr>
        <w:snapToGrid w:val="0"/>
        <w:ind w:leftChars="100" w:left="240"/>
        <w:jc w:val="center"/>
        <w:rPr>
          <w:rFonts w:ascii="Book Antiqua" w:hAnsi="Book Antiqua"/>
        </w:rPr>
      </w:pPr>
      <w:r>
        <w:rPr>
          <w:rFonts w:ascii="Book Antiqua" w:hAnsi="Book Antiqua"/>
          <w:noProof/>
        </w:rPr>
        <w:drawing>
          <wp:inline distT="0" distB="0" distL="0" distR="0" wp14:anchorId="1CB5F9F7" wp14:editId="0C4334D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33F629B" w14:textId="77777777" w:rsidR="007D29DF" w:rsidRDefault="007D29DF" w:rsidP="007D29DF">
      <w:pPr>
        <w:snapToGrid w:val="0"/>
        <w:ind w:leftChars="100" w:left="240"/>
        <w:jc w:val="center"/>
        <w:rPr>
          <w:rFonts w:ascii="Book Antiqua" w:hAnsi="Book Antiqua"/>
        </w:rPr>
      </w:pPr>
    </w:p>
    <w:p w14:paraId="71B69EDC" w14:textId="77777777" w:rsidR="007D29DF" w:rsidRDefault="007D29DF" w:rsidP="007D29D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5F953DD" w14:textId="77777777" w:rsidR="007D29DF" w:rsidRDefault="007D29DF" w:rsidP="007D29D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912F52A" w14:textId="77777777" w:rsidR="007D29DF" w:rsidRDefault="007D29DF" w:rsidP="007D29D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75428B7" w14:textId="77777777" w:rsidR="007D29DF" w:rsidRDefault="007D29DF" w:rsidP="007D29D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2AAFA3A" w14:textId="77777777" w:rsidR="007D29DF" w:rsidRDefault="007D29DF" w:rsidP="007D29D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44E65C1" w14:textId="77777777" w:rsidR="007D29DF" w:rsidRDefault="007D29DF" w:rsidP="007D29D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EA25921" w14:textId="77777777" w:rsidR="007D29DF" w:rsidRDefault="007D29DF" w:rsidP="007D29DF">
      <w:pPr>
        <w:snapToGrid w:val="0"/>
        <w:ind w:leftChars="100" w:left="240"/>
        <w:jc w:val="center"/>
        <w:rPr>
          <w:rFonts w:ascii="Book Antiqua" w:hAnsi="Book Antiqua"/>
        </w:rPr>
      </w:pPr>
    </w:p>
    <w:p w14:paraId="654233C8" w14:textId="77777777" w:rsidR="007D29DF" w:rsidRDefault="007D29DF" w:rsidP="007D29DF">
      <w:pPr>
        <w:snapToGrid w:val="0"/>
        <w:ind w:leftChars="100" w:left="240"/>
        <w:jc w:val="center"/>
        <w:rPr>
          <w:rFonts w:ascii="Book Antiqua" w:hAnsi="Book Antiqua"/>
        </w:rPr>
      </w:pPr>
    </w:p>
    <w:p w14:paraId="37C975F8" w14:textId="77777777" w:rsidR="007D29DF" w:rsidRDefault="007D29DF" w:rsidP="007D29DF">
      <w:pPr>
        <w:snapToGrid w:val="0"/>
        <w:ind w:leftChars="100" w:left="240"/>
        <w:jc w:val="center"/>
        <w:rPr>
          <w:rFonts w:ascii="Book Antiqua" w:hAnsi="Book Antiqua"/>
        </w:rPr>
      </w:pPr>
    </w:p>
    <w:p w14:paraId="46BF7DAA" w14:textId="77777777" w:rsidR="007D29DF" w:rsidRDefault="007D29DF" w:rsidP="007D29DF">
      <w:pPr>
        <w:snapToGrid w:val="0"/>
        <w:ind w:leftChars="100" w:left="240"/>
        <w:jc w:val="center"/>
        <w:rPr>
          <w:rFonts w:ascii="Book Antiqua" w:hAnsi="Book Antiqua"/>
        </w:rPr>
      </w:pPr>
      <w:r>
        <w:rPr>
          <w:rFonts w:ascii="Book Antiqua" w:hAnsi="Book Antiqua"/>
          <w:noProof/>
        </w:rPr>
        <w:drawing>
          <wp:inline distT="0" distB="0" distL="0" distR="0" wp14:anchorId="094E500F" wp14:editId="1C61F4E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B44C30B" w14:textId="77777777" w:rsidR="007D29DF" w:rsidRDefault="007D29DF" w:rsidP="007D29DF">
      <w:pPr>
        <w:snapToGrid w:val="0"/>
        <w:ind w:leftChars="100" w:left="240"/>
        <w:jc w:val="center"/>
        <w:rPr>
          <w:rFonts w:ascii="Book Antiqua" w:hAnsi="Book Antiqua"/>
        </w:rPr>
      </w:pPr>
    </w:p>
    <w:p w14:paraId="57FB4021" w14:textId="77777777" w:rsidR="007D29DF" w:rsidRDefault="007D29DF" w:rsidP="007D29DF">
      <w:pPr>
        <w:snapToGrid w:val="0"/>
        <w:ind w:leftChars="100" w:left="240"/>
        <w:jc w:val="center"/>
        <w:rPr>
          <w:rFonts w:ascii="Book Antiqua" w:hAnsi="Book Antiqua"/>
        </w:rPr>
      </w:pPr>
    </w:p>
    <w:p w14:paraId="5CD82899" w14:textId="77777777" w:rsidR="007D29DF" w:rsidRDefault="007D29DF" w:rsidP="007D29DF">
      <w:pPr>
        <w:snapToGrid w:val="0"/>
        <w:ind w:leftChars="100" w:left="240"/>
        <w:jc w:val="center"/>
        <w:rPr>
          <w:rFonts w:ascii="Book Antiqua" w:hAnsi="Book Antiqua"/>
        </w:rPr>
      </w:pPr>
    </w:p>
    <w:p w14:paraId="6B9A6406" w14:textId="77777777" w:rsidR="007D29DF" w:rsidRDefault="007D29DF" w:rsidP="007D29DF">
      <w:pPr>
        <w:snapToGrid w:val="0"/>
        <w:ind w:leftChars="100" w:left="240"/>
        <w:jc w:val="center"/>
        <w:rPr>
          <w:rFonts w:ascii="Book Antiqua" w:hAnsi="Book Antiqua"/>
        </w:rPr>
      </w:pPr>
    </w:p>
    <w:p w14:paraId="1CFC3058" w14:textId="77777777" w:rsidR="007D29DF" w:rsidRDefault="007D29DF" w:rsidP="007D29DF">
      <w:pPr>
        <w:snapToGrid w:val="0"/>
        <w:ind w:leftChars="100" w:left="240"/>
        <w:jc w:val="center"/>
        <w:rPr>
          <w:rFonts w:ascii="Book Antiqua" w:hAnsi="Book Antiqua"/>
        </w:rPr>
      </w:pPr>
    </w:p>
    <w:p w14:paraId="11D764AE" w14:textId="77777777" w:rsidR="007D29DF" w:rsidRDefault="007D29DF" w:rsidP="007D29DF">
      <w:pPr>
        <w:snapToGrid w:val="0"/>
        <w:ind w:leftChars="100" w:left="240"/>
        <w:jc w:val="center"/>
        <w:rPr>
          <w:rFonts w:ascii="Book Antiqua" w:hAnsi="Book Antiqua"/>
        </w:rPr>
      </w:pPr>
    </w:p>
    <w:p w14:paraId="0F3E3058" w14:textId="77777777" w:rsidR="007D29DF" w:rsidRDefault="007D29DF" w:rsidP="007D29DF">
      <w:pPr>
        <w:snapToGrid w:val="0"/>
        <w:ind w:leftChars="100" w:left="240"/>
        <w:jc w:val="center"/>
        <w:rPr>
          <w:rFonts w:ascii="Book Antiqua" w:hAnsi="Book Antiqua"/>
        </w:rPr>
      </w:pPr>
    </w:p>
    <w:p w14:paraId="5FD15E3C" w14:textId="77777777" w:rsidR="007D29DF" w:rsidRDefault="007D29DF" w:rsidP="007D29DF">
      <w:pPr>
        <w:snapToGrid w:val="0"/>
        <w:ind w:leftChars="100" w:left="240"/>
        <w:jc w:val="center"/>
        <w:rPr>
          <w:rFonts w:ascii="Book Antiqua" w:hAnsi="Book Antiqua"/>
        </w:rPr>
      </w:pPr>
    </w:p>
    <w:p w14:paraId="7E18FB76" w14:textId="77777777" w:rsidR="007D29DF" w:rsidRDefault="007D29DF" w:rsidP="007D29DF">
      <w:pPr>
        <w:snapToGrid w:val="0"/>
        <w:ind w:leftChars="100" w:left="240"/>
        <w:jc w:val="center"/>
        <w:rPr>
          <w:rFonts w:ascii="Book Antiqua" w:hAnsi="Book Antiqua"/>
        </w:rPr>
      </w:pPr>
    </w:p>
    <w:p w14:paraId="1F73CBA4" w14:textId="77777777" w:rsidR="007D29DF" w:rsidRDefault="007D29DF" w:rsidP="007D29DF">
      <w:pPr>
        <w:snapToGrid w:val="0"/>
        <w:ind w:leftChars="100" w:left="240"/>
        <w:jc w:val="right"/>
        <w:rPr>
          <w:rFonts w:ascii="Book Antiqua" w:hAnsi="Book Antiqua"/>
          <w:color w:val="000000" w:themeColor="text1"/>
        </w:rPr>
      </w:pPr>
    </w:p>
    <w:p w14:paraId="38580A1A" w14:textId="77777777" w:rsidR="007D29DF" w:rsidRDefault="007D29DF" w:rsidP="007D29D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391"/>
    <w:p w14:paraId="248851C7" w14:textId="77777777" w:rsidR="007D29DF" w:rsidRDefault="007D29DF" w:rsidP="007D29DF">
      <w:pPr>
        <w:rPr>
          <w:rFonts w:ascii="Book Antiqua" w:hAnsi="Book Antiqua" w:cs="Book Antiqua"/>
          <w:b/>
          <w:bCs/>
          <w:color w:val="000000"/>
        </w:rPr>
      </w:pPr>
    </w:p>
    <w:p w14:paraId="715A1071" w14:textId="77777777" w:rsidR="00E45927" w:rsidRDefault="00E45927">
      <w:pPr>
        <w:spacing w:line="360" w:lineRule="auto"/>
        <w:jc w:val="both"/>
        <w:rPr>
          <w:rFonts w:ascii="Book Antiqua" w:hAnsi="Book Antiqua"/>
        </w:rPr>
      </w:pPr>
    </w:p>
    <w:sectPr w:rsidR="00E45927" w:rsidSect="007D29DF">
      <w:headerReference w:type="default" r:id="rId11"/>
      <w:pgSz w:w="11906" w:h="16838"/>
      <w:pgMar w:top="1134" w:right="1134" w:bottom="1134" w:left="1134"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D08FD" w14:textId="77777777" w:rsidR="00594EAB" w:rsidRDefault="00594EAB">
      <w:r>
        <w:separator/>
      </w:r>
    </w:p>
  </w:endnote>
  <w:endnote w:type="continuationSeparator" w:id="0">
    <w:p w14:paraId="38F5CD2F" w14:textId="77777777" w:rsidR="00594EAB" w:rsidRDefault="00594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0C8B" w14:textId="77777777" w:rsidR="00E45927"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p w14:paraId="074304A5" w14:textId="77777777" w:rsidR="00E45927" w:rsidRDefault="00E4592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C13A1" w14:textId="77777777" w:rsidR="00594EAB" w:rsidRDefault="00594EAB">
      <w:r>
        <w:separator/>
      </w:r>
    </w:p>
  </w:footnote>
  <w:footnote w:type="continuationSeparator" w:id="0">
    <w:p w14:paraId="4D24CB02" w14:textId="77777777" w:rsidR="00594EAB" w:rsidRDefault="00594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BB8B5" w14:textId="77777777" w:rsidR="00E45927" w:rsidRDefault="00E45927">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67164"/>
    <w:rsid w:val="00075433"/>
    <w:rsid w:val="000A3BBC"/>
    <w:rsid w:val="000C6D68"/>
    <w:rsid w:val="001273E4"/>
    <w:rsid w:val="00147353"/>
    <w:rsid w:val="00154CDE"/>
    <w:rsid w:val="00177CBC"/>
    <w:rsid w:val="001956D7"/>
    <w:rsid w:val="001C058E"/>
    <w:rsid w:val="001C482C"/>
    <w:rsid w:val="001C58E5"/>
    <w:rsid w:val="001C7B89"/>
    <w:rsid w:val="001F09A2"/>
    <w:rsid w:val="00205A3F"/>
    <w:rsid w:val="00280138"/>
    <w:rsid w:val="002A304A"/>
    <w:rsid w:val="002A4883"/>
    <w:rsid w:val="002D4483"/>
    <w:rsid w:val="00301E3E"/>
    <w:rsid w:val="003264C1"/>
    <w:rsid w:val="00372D73"/>
    <w:rsid w:val="003E63D2"/>
    <w:rsid w:val="003F1071"/>
    <w:rsid w:val="00401684"/>
    <w:rsid w:val="0041242A"/>
    <w:rsid w:val="004135E2"/>
    <w:rsid w:val="004140F1"/>
    <w:rsid w:val="0042705F"/>
    <w:rsid w:val="004C228D"/>
    <w:rsid w:val="0051147E"/>
    <w:rsid w:val="005174A4"/>
    <w:rsid w:val="00523897"/>
    <w:rsid w:val="00594EAB"/>
    <w:rsid w:val="005D1414"/>
    <w:rsid w:val="005E77A9"/>
    <w:rsid w:val="00644E32"/>
    <w:rsid w:val="0066133A"/>
    <w:rsid w:val="00666857"/>
    <w:rsid w:val="006B5D0E"/>
    <w:rsid w:val="006D0086"/>
    <w:rsid w:val="00773AD9"/>
    <w:rsid w:val="00786637"/>
    <w:rsid w:val="00787DF9"/>
    <w:rsid w:val="007B6ACB"/>
    <w:rsid w:val="007D0571"/>
    <w:rsid w:val="007D29DF"/>
    <w:rsid w:val="007E42B6"/>
    <w:rsid w:val="007E72C1"/>
    <w:rsid w:val="00840E4B"/>
    <w:rsid w:val="00870CD6"/>
    <w:rsid w:val="00881369"/>
    <w:rsid w:val="00895E2B"/>
    <w:rsid w:val="008A154A"/>
    <w:rsid w:val="008C0269"/>
    <w:rsid w:val="008C11E1"/>
    <w:rsid w:val="008C4E5A"/>
    <w:rsid w:val="00904011"/>
    <w:rsid w:val="0095211A"/>
    <w:rsid w:val="009979EA"/>
    <w:rsid w:val="009C011C"/>
    <w:rsid w:val="009C0E8A"/>
    <w:rsid w:val="009C13B2"/>
    <w:rsid w:val="009C26E4"/>
    <w:rsid w:val="009E0B12"/>
    <w:rsid w:val="009F5DD6"/>
    <w:rsid w:val="00A05547"/>
    <w:rsid w:val="00A77B3E"/>
    <w:rsid w:val="00AA224A"/>
    <w:rsid w:val="00AA7521"/>
    <w:rsid w:val="00AC439F"/>
    <w:rsid w:val="00AD49C0"/>
    <w:rsid w:val="00AD5498"/>
    <w:rsid w:val="00B076D1"/>
    <w:rsid w:val="00B37C17"/>
    <w:rsid w:val="00B464D9"/>
    <w:rsid w:val="00C27E68"/>
    <w:rsid w:val="00C3099A"/>
    <w:rsid w:val="00C71F56"/>
    <w:rsid w:val="00C86EA8"/>
    <w:rsid w:val="00CA2A55"/>
    <w:rsid w:val="00CB32FC"/>
    <w:rsid w:val="00CD29CB"/>
    <w:rsid w:val="00D04C7D"/>
    <w:rsid w:val="00D218CE"/>
    <w:rsid w:val="00DD7956"/>
    <w:rsid w:val="00E45927"/>
    <w:rsid w:val="00E841D3"/>
    <w:rsid w:val="00EC0743"/>
    <w:rsid w:val="00ED39C9"/>
    <w:rsid w:val="00ED5A16"/>
    <w:rsid w:val="00EE4AD8"/>
    <w:rsid w:val="00F731F9"/>
    <w:rsid w:val="00F81D5C"/>
    <w:rsid w:val="00F83B8B"/>
    <w:rsid w:val="00FA5080"/>
    <w:rsid w:val="00FB44AD"/>
    <w:rsid w:val="00FB6AEC"/>
    <w:rsid w:val="01133993"/>
    <w:rsid w:val="177A288B"/>
    <w:rsid w:val="372D3572"/>
    <w:rsid w:val="4ADB7BCB"/>
    <w:rsid w:val="4F443CAE"/>
    <w:rsid w:val="4F8B6503"/>
    <w:rsid w:val="580A3D24"/>
    <w:rsid w:val="5D2538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4CBEC7"/>
  <w15:docId w15:val="{0B4BB6BB-A0A9-41C0-A234-BBD3F9EF0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table" w:styleId="ab">
    <w:name w:val="Table Grid"/>
    <w:basedOn w:val="a1"/>
    <w:uiPriority w:val="39"/>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paragraph" w:styleId="ad">
    <w:name w:val="List Paragraph"/>
    <w:basedOn w:val="a"/>
    <w:uiPriority w:val="34"/>
    <w:qFormat/>
    <w:pPr>
      <w:widowControl w:val="0"/>
      <w:ind w:firstLineChars="200" w:firstLine="420"/>
      <w:jc w:val="both"/>
    </w:pPr>
    <w:rPr>
      <w:rFonts w:asciiTheme="minorHAnsi" w:hAnsiTheme="minorHAnsi" w:cstheme="minorBidi"/>
      <w:kern w:val="2"/>
      <w:sz w:val="21"/>
      <w:szCs w:val="22"/>
      <w:lang w:eastAsia="zh-CN"/>
    </w:rPr>
  </w:style>
  <w:style w:type="table" w:customStyle="1" w:styleId="1">
    <w:name w:val="网格型1"/>
    <w:basedOn w:val="a1"/>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修订1"/>
    <w:hidden/>
    <w:uiPriority w:val="99"/>
    <w:semiHidden/>
    <w:qFormat/>
    <w:rPr>
      <w:sz w:val="24"/>
      <w:szCs w:val="24"/>
      <w:lang w:eastAsia="en-US"/>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paragraph" w:styleId="ae">
    <w:name w:val="Revision"/>
    <w:hidden/>
    <w:uiPriority w:val="99"/>
    <w:unhideWhenUsed/>
    <w:rsid w:val="002A304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61</Pages>
  <Words>17776</Words>
  <Characters>101325</Characters>
  <Application>Microsoft Office Word</Application>
  <DocSecurity>0</DocSecurity>
  <Lines>844</Lines>
  <Paragraphs>237</Paragraphs>
  <ScaleCrop>false</ScaleCrop>
  <Company/>
  <LinksUpToDate>false</LinksUpToDate>
  <CharactersWithSpaces>118864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龙雄权</dc:creator>
  <cp:lastModifiedBy>蔡 一瑄</cp:lastModifiedBy>
  <cp:revision>23</cp:revision>
  <dcterms:created xsi:type="dcterms:W3CDTF">2023-06-13T13:48:00Z</dcterms:created>
  <dcterms:modified xsi:type="dcterms:W3CDTF">2023-07-13T02:10:00Z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CBBF53D4120D4073869ECE890CCCE0A7_13</vt:lpwstr>
  </property>
</Properties>
</file>