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D3638"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rPr>
        <w:t xml:space="preserve">Name of Journal: </w:t>
      </w:r>
      <w:r w:rsidRPr="00FD1252">
        <w:rPr>
          <w:rFonts w:ascii="Book Antiqua" w:eastAsia="Book Antiqua" w:hAnsi="Book Antiqua" w:cs="Book Antiqua"/>
          <w:i/>
        </w:rPr>
        <w:t>World Journal of Transplantation</w:t>
      </w:r>
    </w:p>
    <w:p w14:paraId="35C5EF11"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rPr>
        <w:t xml:space="preserve">Manuscript NO: </w:t>
      </w:r>
      <w:r w:rsidRPr="00FD1252">
        <w:rPr>
          <w:rFonts w:ascii="Book Antiqua" w:eastAsia="Book Antiqua" w:hAnsi="Book Antiqua" w:cs="Book Antiqua"/>
        </w:rPr>
        <w:t>85069</w:t>
      </w:r>
    </w:p>
    <w:p w14:paraId="05712829"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rPr>
        <w:t xml:space="preserve">Manuscript Type: </w:t>
      </w:r>
      <w:r w:rsidRPr="00FD1252">
        <w:rPr>
          <w:rFonts w:ascii="Book Antiqua" w:eastAsia="Book Antiqua" w:hAnsi="Book Antiqua" w:cs="Book Antiqua"/>
        </w:rPr>
        <w:t>REVIEW</w:t>
      </w:r>
    </w:p>
    <w:p w14:paraId="611E5D39" w14:textId="77777777" w:rsidR="00A77B3E" w:rsidRPr="00FD1252" w:rsidRDefault="00A77B3E" w:rsidP="00FD1252">
      <w:pPr>
        <w:spacing w:line="360" w:lineRule="auto"/>
        <w:jc w:val="both"/>
        <w:rPr>
          <w:rFonts w:ascii="Book Antiqua" w:hAnsi="Book Antiqua"/>
        </w:rPr>
      </w:pPr>
    </w:p>
    <w:p w14:paraId="64EB339D"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bCs/>
          <w:color w:val="000000"/>
        </w:rPr>
        <w:t>Evolution of human kidney allograft pathology diagnostics through 30 years of the Banff classification process</w:t>
      </w:r>
    </w:p>
    <w:p w14:paraId="2E27FB0F" w14:textId="77777777" w:rsidR="00A77B3E" w:rsidRPr="00FD1252" w:rsidRDefault="00A77B3E" w:rsidP="00FD1252">
      <w:pPr>
        <w:spacing w:line="360" w:lineRule="auto"/>
        <w:jc w:val="both"/>
        <w:rPr>
          <w:rFonts w:ascii="Book Antiqua" w:hAnsi="Book Antiqua"/>
        </w:rPr>
      </w:pPr>
    </w:p>
    <w:p w14:paraId="4ED72CF0" w14:textId="6E5AF63F" w:rsidR="00A77B3E" w:rsidRPr="00FD1252" w:rsidRDefault="00F15982" w:rsidP="00FD1252">
      <w:pPr>
        <w:spacing w:line="360" w:lineRule="auto"/>
        <w:jc w:val="both"/>
        <w:rPr>
          <w:rFonts w:ascii="Book Antiqua" w:hAnsi="Book Antiqua"/>
        </w:rPr>
      </w:pPr>
      <w:r w:rsidRPr="00FD1252">
        <w:rPr>
          <w:rFonts w:ascii="Book Antiqua" w:eastAsia="Book Antiqua" w:hAnsi="Book Antiqua" w:cs="Book Antiqua"/>
          <w:color w:val="000000"/>
        </w:rPr>
        <w:t xml:space="preserve">Mubarak M </w:t>
      </w:r>
      <w:r w:rsidRPr="00FD1252">
        <w:rPr>
          <w:rFonts w:ascii="Book Antiqua" w:eastAsia="Book Antiqua" w:hAnsi="Book Antiqua" w:cs="Book Antiqua"/>
          <w:i/>
          <w:iCs/>
          <w:color w:val="000000"/>
        </w:rPr>
        <w:t>et al</w:t>
      </w:r>
      <w:r w:rsidRPr="00FD1252">
        <w:rPr>
          <w:rFonts w:ascii="Book Antiqua" w:eastAsia="Book Antiqua" w:hAnsi="Book Antiqua" w:cs="Book Antiqua"/>
          <w:color w:val="000000"/>
        </w:rPr>
        <w:t>. Banff kidney pathology classification</w:t>
      </w:r>
      <w:r w:rsidR="009A41DE">
        <w:rPr>
          <w:rFonts w:ascii="Book Antiqua" w:eastAsia="Book Antiqua" w:hAnsi="Book Antiqua" w:cs="Book Antiqua"/>
          <w:color w:val="000000"/>
        </w:rPr>
        <w:t xml:space="preserve"> evolution</w:t>
      </w:r>
    </w:p>
    <w:p w14:paraId="2FE3DFC3" w14:textId="77777777" w:rsidR="00A77B3E" w:rsidRPr="00FD1252" w:rsidRDefault="00A77B3E" w:rsidP="00FD1252">
      <w:pPr>
        <w:spacing w:line="360" w:lineRule="auto"/>
        <w:jc w:val="both"/>
        <w:rPr>
          <w:rFonts w:ascii="Book Antiqua" w:hAnsi="Book Antiqua"/>
        </w:rPr>
      </w:pPr>
    </w:p>
    <w:p w14:paraId="540BF6E2"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color w:val="000000"/>
        </w:rPr>
        <w:t>Muhammed Mubarak, Amber Raza, Rahma Rashid, Shaheera Shakeel</w:t>
      </w:r>
    </w:p>
    <w:p w14:paraId="6A0B1B09" w14:textId="77777777" w:rsidR="00A77B3E" w:rsidRPr="00FD1252" w:rsidRDefault="00A77B3E" w:rsidP="00FD1252">
      <w:pPr>
        <w:spacing w:line="360" w:lineRule="auto"/>
        <w:jc w:val="both"/>
        <w:rPr>
          <w:rFonts w:ascii="Book Antiqua" w:hAnsi="Book Antiqua"/>
        </w:rPr>
      </w:pPr>
    </w:p>
    <w:p w14:paraId="4719076E"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bCs/>
          <w:color w:val="000000"/>
        </w:rPr>
        <w:t xml:space="preserve">Muhammed Mubarak, Rahma Rashid, Shaheera Shakeel, </w:t>
      </w:r>
      <w:r w:rsidRPr="00FD1252">
        <w:rPr>
          <w:rFonts w:ascii="Book Antiqua" w:eastAsia="Book Antiqua" w:hAnsi="Book Antiqua" w:cs="Book Antiqua"/>
          <w:color w:val="000000"/>
        </w:rPr>
        <w:t>Department of Histopathology, Sindh Institute of Urology and Transplantation, Karachi 74200, Sindh, Pakistan</w:t>
      </w:r>
    </w:p>
    <w:p w14:paraId="263ED4AA" w14:textId="77777777" w:rsidR="00A77B3E" w:rsidRPr="00FD1252" w:rsidRDefault="00A77B3E" w:rsidP="00FD1252">
      <w:pPr>
        <w:spacing w:line="360" w:lineRule="auto"/>
        <w:jc w:val="both"/>
        <w:rPr>
          <w:rFonts w:ascii="Book Antiqua" w:hAnsi="Book Antiqua"/>
        </w:rPr>
      </w:pPr>
    </w:p>
    <w:p w14:paraId="53713F18"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bCs/>
          <w:color w:val="000000"/>
        </w:rPr>
        <w:t xml:space="preserve">Amber Raza, </w:t>
      </w:r>
      <w:r w:rsidRPr="00FD1252">
        <w:rPr>
          <w:rFonts w:ascii="Book Antiqua" w:eastAsia="Book Antiqua" w:hAnsi="Book Antiqua" w:cs="Book Antiqua"/>
          <w:color w:val="000000"/>
        </w:rPr>
        <w:t>Department of Nephrology, Sindh Institute of Urology and Transplantation, Karachi 74200, Sindh, Pakistan</w:t>
      </w:r>
    </w:p>
    <w:p w14:paraId="3A8E648B" w14:textId="77777777" w:rsidR="00A77B3E" w:rsidRPr="00FD1252" w:rsidRDefault="00A77B3E" w:rsidP="00FD1252">
      <w:pPr>
        <w:spacing w:line="360" w:lineRule="auto"/>
        <w:jc w:val="both"/>
        <w:rPr>
          <w:rFonts w:ascii="Book Antiqua" w:hAnsi="Book Antiqua"/>
        </w:rPr>
      </w:pPr>
    </w:p>
    <w:p w14:paraId="03B406C3" w14:textId="4DCFD636"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bCs/>
          <w:color w:val="000000"/>
        </w:rPr>
        <w:t xml:space="preserve">Author contributions: </w:t>
      </w:r>
      <w:r w:rsidR="009A41DE" w:rsidRPr="00FD1252">
        <w:rPr>
          <w:rFonts w:ascii="Book Antiqua" w:eastAsia="Book Antiqua" w:hAnsi="Book Antiqua" w:cs="Book Antiqua"/>
          <w:color w:val="000000"/>
        </w:rPr>
        <w:t>Mubarak</w:t>
      </w:r>
      <w:r w:rsidR="009A41DE">
        <w:rPr>
          <w:rFonts w:ascii="Book Antiqua" w:eastAsia="Book Antiqua" w:hAnsi="Book Antiqua" w:cs="Book Antiqua"/>
          <w:color w:val="000000"/>
        </w:rPr>
        <w:t xml:space="preserve"> M</w:t>
      </w:r>
      <w:r w:rsidR="009A41DE" w:rsidRPr="00FD1252">
        <w:rPr>
          <w:rFonts w:ascii="Book Antiqua" w:eastAsia="Book Antiqua" w:hAnsi="Book Antiqua" w:cs="Book Antiqua"/>
          <w:color w:val="000000"/>
        </w:rPr>
        <w:t>, Raza</w:t>
      </w:r>
      <w:r w:rsidR="009A41DE">
        <w:rPr>
          <w:rFonts w:ascii="Book Antiqua" w:eastAsia="Book Antiqua" w:hAnsi="Book Antiqua" w:cs="Book Antiqua"/>
          <w:color w:val="000000"/>
        </w:rPr>
        <w:t xml:space="preserve"> A</w:t>
      </w:r>
      <w:r w:rsidR="009A41DE" w:rsidRPr="00FD1252">
        <w:rPr>
          <w:rFonts w:ascii="Book Antiqua" w:eastAsia="Book Antiqua" w:hAnsi="Book Antiqua" w:cs="Book Antiqua"/>
          <w:color w:val="000000"/>
        </w:rPr>
        <w:t>, Rashid</w:t>
      </w:r>
      <w:r w:rsidR="009A41DE">
        <w:rPr>
          <w:rFonts w:ascii="Book Antiqua" w:eastAsia="Book Antiqua" w:hAnsi="Book Antiqua" w:cs="Book Antiqua"/>
          <w:color w:val="000000"/>
        </w:rPr>
        <w:t xml:space="preserve"> R and</w:t>
      </w:r>
      <w:r w:rsidR="009A41DE" w:rsidRPr="00FD1252">
        <w:rPr>
          <w:rFonts w:ascii="Book Antiqua" w:eastAsia="Book Antiqua" w:hAnsi="Book Antiqua" w:cs="Book Antiqua"/>
          <w:color w:val="000000"/>
        </w:rPr>
        <w:t xml:space="preserve"> Shakeel</w:t>
      </w:r>
      <w:r w:rsidR="009A41DE" w:rsidRPr="00FD1252" w:rsidDel="009A41DE">
        <w:rPr>
          <w:rFonts w:ascii="Book Antiqua" w:eastAsia="Book Antiqua" w:hAnsi="Book Antiqua" w:cs="Book Antiqua"/>
          <w:color w:val="000000"/>
        </w:rPr>
        <w:t xml:space="preserve"> </w:t>
      </w:r>
      <w:r w:rsidR="009A41DE">
        <w:rPr>
          <w:rFonts w:ascii="Book Antiqua" w:eastAsia="Book Antiqua" w:hAnsi="Book Antiqua" w:cs="Book Antiqua"/>
          <w:color w:val="000000"/>
        </w:rPr>
        <w:t xml:space="preserve">S </w:t>
      </w:r>
      <w:r w:rsidRPr="00FD1252">
        <w:rPr>
          <w:rFonts w:ascii="Book Antiqua" w:eastAsia="Book Antiqua" w:hAnsi="Book Antiqua" w:cs="Book Antiqua"/>
          <w:color w:val="000000"/>
        </w:rPr>
        <w:t>contributed significantly and equally to the preparation of the manuscript</w:t>
      </w:r>
      <w:r w:rsidR="009A41DE">
        <w:rPr>
          <w:rFonts w:ascii="Book Antiqua" w:eastAsia="Book Antiqua" w:hAnsi="Book Antiqua" w:cs="Book Antiqua"/>
          <w:color w:val="000000"/>
        </w:rPr>
        <w:t>, including primary and final drafting;</w:t>
      </w:r>
      <w:r w:rsidRPr="00FD1252">
        <w:rPr>
          <w:rFonts w:ascii="Book Antiqua" w:eastAsia="Book Antiqua" w:hAnsi="Book Antiqua" w:cs="Book Antiqua"/>
          <w:color w:val="000000"/>
        </w:rPr>
        <w:t xml:space="preserve"> Mubarak M and Raza A conceived and designed the study, and performed the research; </w:t>
      </w:r>
      <w:r w:rsidR="009A41DE">
        <w:rPr>
          <w:rFonts w:ascii="Book Antiqua" w:eastAsia="Book Antiqua" w:hAnsi="Book Antiqua" w:cs="Book Antiqua"/>
          <w:color w:val="000000"/>
        </w:rPr>
        <w:t>A</w:t>
      </w:r>
      <w:r w:rsidRPr="00FD1252">
        <w:rPr>
          <w:rFonts w:ascii="Book Antiqua" w:eastAsia="Book Antiqua" w:hAnsi="Book Antiqua" w:cs="Book Antiqua"/>
          <w:color w:val="000000"/>
        </w:rPr>
        <w:t>ll authors read and approved the final manuscript.</w:t>
      </w:r>
    </w:p>
    <w:p w14:paraId="2C740749" w14:textId="77777777" w:rsidR="00A77B3E" w:rsidRPr="00FD1252" w:rsidRDefault="00A77B3E" w:rsidP="00FD1252">
      <w:pPr>
        <w:spacing w:line="360" w:lineRule="auto"/>
        <w:jc w:val="both"/>
        <w:rPr>
          <w:rFonts w:ascii="Book Antiqua" w:hAnsi="Book Antiqua"/>
        </w:rPr>
      </w:pPr>
    </w:p>
    <w:p w14:paraId="7A4847F1" w14:textId="2B336FD3"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bCs/>
          <w:color w:val="000000"/>
        </w:rPr>
        <w:t xml:space="preserve">Corresponding author: Muhammed Mubarak, MD, Professor, </w:t>
      </w:r>
      <w:r w:rsidRPr="00FD1252">
        <w:rPr>
          <w:rFonts w:ascii="Book Antiqua" w:eastAsia="Book Antiqua" w:hAnsi="Book Antiqua" w:cs="Book Antiqua"/>
          <w:color w:val="000000"/>
        </w:rPr>
        <w:t>Department of Histopathology, Sindh Institute of Urology and Transplantation, Dewan Farooque Medical Complex, Karachi 74200, Sindh, Pakistan. drmubaraksiut@yahoo.com</w:t>
      </w:r>
    </w:p>
    <w:p w14:paraId="41FCF33E" w14:textId="77777777" w:rsidR="00A77B3E" w:rsidRPr="00FD1252" w:rsidRDefault="00A77B3E" w:rsidP="00FD1252">
      <w:pPr>
        <w:spacing w:line="360" w:lineRule="auto"/>
        <w:jc w:val="both"/>
        <w:rPr>
          <w:rFonts w:ascii="Book Antiqua" w:hAnsi="Book Antiqua"/>
        </w:rPr>
      </w:pPr>
    </w:p>
    <w:p w14:paraId="200C73C2"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bCs/>
        </w:rPr>
        <w:t xml:space="preserve">Received: </w:t>
      </w:r>
      <w:r w:rsidRPr="00FD1252">
        <w:rPr>
          <w:rFonts w:ascii="Book Antiqua" w:eastAsia="Book Antiqua" w:hAnsi="Book Antiqua" w:cs="Book Antiqua"/>
        </w:rPr>
        <w:t>April 10, 2023</w:t>
      </w:r>
    </w:p>
    <w:p w14:paraId="18C191FA"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bCs/>
        </w:rPr>
        <w:t xml:space="preserve">Revised: </w:t>
      </w:r>
      <w:r w:rsidRPr="00FD1252">
        <w:rPr>
          <w:rFonts w:ascii="Book Antiqua" w:eastAsia="Book Antiqua" w:hAnsi="Book Antiqua" w:cs="Book Antiqua"/>
        </w:rPr>
        <w:t>June 5, 2023</w:t>
      </w:r>
    </w:p>
    <w:p w14:paraId="5509D5A6" w14:textId="17A2BBA5"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bCs/>
        </w:rPr>
        <w:t xml:space="preserve">Accepted: </w:t>
      </w:r>
      <w:r w:rsidR="00B64EF8" w:rsidRPr="00B64EF8">
        <w:rPr>
          <w:rFonts w:ascii="Book Antiqua" w:eastAsia="Book Antiqua" w:hAnsi="Book Antiqua" w:cs="Book Antiqua"/>
        </w:rPr>
        <w:t>June 12, 2023</w:t>
      </w:r>
    </w:p>
    <w:p w14:paraId="75561320"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bCs/>
        </w:rPr>
        <w:lastRenderedPageBreak/>
        <w:t xml:space="preserve">Published online: </w:t>
      </w:r>
    </w:p>
    <w:p w14:paraId="49C1860C" w14:textId="77777777" w:rsidR="00F15982" w:rsidRPr="00FD1252" w:rsidRDefault="00F15982" w:rsidP="00FD1252">
      <w:pPr>
        <w:spacing w:line="360" w:lineRule="auto"/>
        <w:jc w:val="both"/>
        <w:rPr>
          <w:rFonts w:ascii="Book Antiqua" w:eastAsia="Book Antiqua" w:hAnsi="Book Antiqua" w:cs="Book Antiqua"/>
          <w:b/>
          <w:color w:val="000000"/>
        </w:rPr>
      </w:pPr>
    </w:p>
    <w:p w14:paraId="6AA6EBB2" w14:textId="01162622"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color w:val="000000"/>
        </w:rPr>
        <w:t>Abstract</w:t>
      </w:r>
    </w:p>
    <w:p w14:paraId="20AD0581" w14:textId="3959B321"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rPr>
        <w:t xml:space="preserve">The second half of the previous century witnessed a tremendous rise in the number of clinical kidney transplants worldwide. This activity was, however, accompanied by many issues and challenges. An accurate diagnosis and appropriate management of causes of graft dysfunction were and still are, a big challenge. Kidney allograft biopsy played a vital role in addressing the above challenge. However, its interpretation was not standardized for many years until, in 1991, the Banff process was started to fill this void. Thereafter, regular Banff meetings took place every </w:t>
      </w:r>
      <w:r w:rsidR="00D450CA">
        <w:rPr>
          <w:rFonts w:ascii="Book Antiqua" w:eastAsia="Book Antiqua" w:hAnsi="Book Antiqua" w:cs="Book Antiqua"/>
        </w:rPr>
        <w:t>2</w:t>
      </w:r>
      <w:r w:rsidR="00D450CA" w:rsidRPr="00FD1252">
        <w:rPr>
          <w:rFonts w:ascii="Book Antiqua" w:eastAsia="Book Antiqua" w:hAnsi="Book Antiqua" w:cs="Book Antiqua"/>
        </w:rPr>
        <w:t xml:space="preserve"> </w:t>
      </w:r>
      <w:r w:rsidRPr="00FD1252">
        <w:rPr>
          <w:rFonts w:ascii="Book Antiqua" w:eastAsia="Book Antiqua" w:hAnsi="Book Antiqua" w:cs="Book Antiqua"/>
        </w:rPr>
        <w:t>years for the past 30 years. Marked changes have taken place in the interpretation of kidney allograft biopsies, diagnosis, and classification of rejection and other non-rejection pathologies from the original Banff 93 classification. This review attempts to summarize those changes for increasing the awareness and understanding of kidney allograft pathology through the eyes of the Banff process. It will interest the transplant surgeons, physicians, pathologists, and allied professionals associated with the care of kidney transplant patients.</w:t>
      </w:r>
    </w:p>
    <w:p w14:paraId="28B8D751" w14:textId="77777777" w:rsidR="00A77B3E" w:rsidRPr="00FD1252" w:rsidRDefault="00A77B3E" w:rsidP="00FD1252">
      <w:pPr>
        <w:spacing w:line="360" w:lineRule="auto"/>
        <w:jc w:val="both"/>
        <w:rPr>
          <w:rFonts w:ascii="Book Antiqua" w:hAnsi="Book Antiqua"/>
        </w:rPr>
      </w:pPr>
    </w:p>
    <w:p w14:paraId="562913C5" w14:textId="65A32890"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bCs/>
        </w:rPr>
        <w:t xml:space="preserve">Key Words: </w:t>
      </w:r>
      <w:r w:rsidRPr="00FD1252">
        <w:rPr>
          <w:rFonts w:ascii="Book Antiqua" w:eastAsia="Book Antiqua" w:hAnsi="Book Antiqua" w:cs="Book Antiqua"/>
        </w:rPr>
        <w:t>Banff process; Rejection; Kidney allograft biopsy; Transplant pathology</w:t>
      </w:r>
      <w:r w:rsidR="00B7209F">
        <w:rPr>
          <w:rFonts w:ascii="Book Antiqua" w:eastAsia="Book Antiqua" w:hAnsi="Book Antiqua" w:cs="Book Antiqua"/>
        </w:rPr>
        <w:t>; Review</w:t>
      </w:r>
    </w:p>
    <w:p w14:paraId="00E84224" w14:textId="77777777" w:rsidR="00A77B3E" w:rsidRPr="00FD1252" w:rsidRDefault="00A77B3E" w:rsidP="00FD1252">
      <w:pPr>
        <w:spacing w:line="360" w:lineRule="auto"/>
        <w:jc w:val="both"/>
        <w:rPr>
          <w:rFonts w:ascii="Book Antiqua" w:hAnsi="Book Antiqua"/>
        </w:rPr>
      </w:pPr>
    </w:p>
    <w:p w14:paraId="693DFCD3"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rPr>
        <w:t xml:space="preserve">Mubarak M, Raza A, Rashid R, Shakeel S. Evolution of human kidney allograft pathology diagnostics through 30 years of the Banff classification process. </w:t>
      </w:r>
      <w:r w:rsidRPr="00FD1252">
        <w:rPr>
          <w:rFonts w:ascii="Book Antiqua" w:eastAsia="Book Antiqua" w:hAnsi="Book Antiqua" w:cs="Book Antiqua"/>
          <w:i/>
          <w:iCs/>
        </w:rPr>
        <w:t>World J Transplant</w:t>
      </w:r>
      <w:r w:rsidRPr="00FD1252">
        <w:rPr>
          <w:rFonts w:ascii="Book Antiqua" w:eastAsia="Book Antiqua" w:hAnsi="Book Antiqua" w:cs="Book Antiqua"/>
        </w:rPr>
        <w:t xml:space="preserve"> 2023; In press</w:t>
      </w:r>
    </w:p>
    <w:p w14:paraId="0A1908C4" w14:textId="77777777" w:rsidR="00A77B3E" w:rsidRPr="00FD1252" w:rsidRDefault="00A77B3E" w:rsidP="00FD1252">
      <w:pPr>
        <w:spacing w:line="360" w:lineRule="auto"/>
        <w:jc w:val="both"/>
        <w:rPr>
          <w:rFonts w:ascii="Book Antiqua" w:hAnsi="Book Antiqua"/>
        </w:rPr>
      </w:pPr>
    </w:p>
    <w:p w14:paraId="7D720B89" w14:textId="4139C6D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bCs/>
        </w:rPr>
        <w:t xml:space="preserve">Core Tip: </w:t>
      </w:r>
      <w:r w:rsidRPr="00FD1252">
        <w:rPr>
          <w:rFonts w:ascii="Book Antiqua" w:eastAsia="Book Antiqua" w:hAnsi="Book Antiqua" w:cs="Book Antiqua"/>
        </w:rPr>
        <w:t xml:space="preserve">The efforts to standardize the nomenclature, classification, and reporting of kidney allograft biopsies were initiated in 1991 by a small group of renal pathologists, transplant physicians, and surgeons at a meeting in Banff, Alberta, Canada. Thereafter, regular meetings of the now ever-expanding, multidisciplinary, and international Banff community have been held every </w:t>
      </w:r>
      <w:r w:rsidR="00D450CA">
        <w:rPr>
          <w:rFonts w:ascii="Book Antiqua" w:eastAsia="Book Antiqua" w:hAnsi="Book Antiqua" w:cs="Book Antiqua"/>
        </w:rPr>
        <w:t>2</w:t>
      </w:r>
      <w:r w:rsidR="00D450CA" w:rsidRPr="00FD1252">
        <w:rPr>
          <w:rFonts w:ascii="Book Antiqua" w:eastAsia="Book Antiqua" w:hAnsi="Book Antiqua" w:cs="Book Antiqua"/>
        </w:rPr>
        <w:t xml:space="preserve"> </w:t>
      </w:r>
      <w:r w:rsidRPr="00FD1252">
        <w:rPr>
          <w:rFonts w:ascii="Book Antiqua" w:eastAsia="Book Antiqua" w:hAnsi="Book Antiqua" w:cs="Book Antiqua"/>
        </w:rPr>
        <w:t xml:space="preserve">years at different places around the world to revise, update and refine the classification. Major and frequent changes have occurred in the </w:t>
      </w:r>
      <w:r w:rsidRPr="00FD1252">
        <w:rPr>
          <w:rFonts w:ascii="Book Antiqua" w:eastAsia="Book Antiqua" w:hAnsi="Book Antiqua" w:cs="Book Antiqua"/>
        </w:rPr>
        <w:lastRenderedPageBreak/>
        <w:t>classification over the three decades of its evolution, making it extremely complex and difficult to comprehend, particularly for beginners in the field. The classification has essentially changed from pathology-based to pathogenesis-based classification and has become clinician-friendly and treatment-friendly. This review is an attempt to summarize the changes in the classification in an easily understandable manner and describe the rationale behind these changes for easy assimilation by both neophytes and practicing renal pathologists, transplant physicians, surgeons, and other relevant stakeholders.</w:t>
      </w:r>
    </w:p>
    <w:p w14:paraId="1B3179C9" w14:textId="77777777" w:rsidR="00A77B3E" w:rsidRPr="00FD1252" w:rsidRDefault="00A77B3E" w:rsidP="00FD1252">
      <w:pPr>
        <w:spacing w:line="360" w:lineRule="auto"/>
        <w:jc w:val="both"/>
        <w:rPr>
          <w:rFonts w:ascii="Book Antiqua" w:hAnsi="Book Antiqua"/>
        </w:rPr>
      </w:pPr>
    </w:p>
    <w:p w14:paraId="5419E6F7"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caps/>
          <w:color w:val="000000"/>
          <w:u w:val="single"/>
        </w:rPr>
        <w:t>INTRODUCTION</w:t>
      </w:r>
    </w:p>
    <w:p w14:paraId="00BE6E7F" w14:textId="55E3023B"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color w:val="000000"/>
        </w:rPr>
        <w:t>Kidney transplantation is the preferred type of treatment for end-stage kidney disease patients throughout the world. Advancements in surgical techniques, immunosuppressive regimens, and infection control during the second half of the previous century markedly improved the short- and medium-term outcomes of kidney allografts. However, the long-term results are still poor and little progress has been made in this area</w:t>
      </w:r>
      <w:r w:rsidRPr="00FD1252">
        <w:rPr>
          <w:rFonts w:ascii="Book Antiqua" w:eastAsia="Book Antiqua" w:hAnsi="Book Antiqua" w:cs="Book Antiqua"/>
          <w:color w:val="000000"/>
          <w:vertAlign w:val="superscript"/>
        </w:rPr>
        <w:t>[1,2]</w:t>
      </w:r>
      <w:r w:rsidRPr="00FD1252">
        <w:rPr>
          <w:rFonts w:ascii="Book Antiqua" w:eastAsia="Book Antiqua" w:hAnsi="Book Antiqua" w:cs="Book Antiqua"/>
          <w:color w:val="000000"/>
        </w:rPr>
        <w:t>. Although highly effective, kidney transplantation is not completely immune to complications. Kidney allograft dysfunction can occur at any time after transplantation. It has been reported that kidney allograft dysfunction occurs in 50</w:t>
      </w:r>
      <w:r w:rsidR="00E874B7" w:rsidRPr="00FD1252">
        <w:rPr>
          <w:rFonts w:ascii="Book Antiqua" w:eastAsia="Book Antiqua" w:hAnsi="Book Antiqua" w:cs="Book Antiqua"/>
          <w:color w:val="000000"/>
        </w:rPr>
        <w:t>%</w:t>
      </w:r>
      <w:r w:rsidRPr="00FD1252">
        <w:rPr>
          <w:rFonts w:ascii="Book Antiqua" w:eastAsia="Book Antiqua" w:hAnsi="Book Antiqua" w:cs="Book Antiqua"/>
          <w:color w:val="000000"/>
        </w:rPr>
        <w:t>-60% of cases after transplantation and there are many causes. Among the most important and prevalent causes of kidney allograft dysfunction are rejection, infection, and drug toxicity</w:t>
      </w:r>
      <w:r w:rsidRPr="00FD1252">
        <w:rPr>
          <w:rFonts w:ascii="Book Antiqua" w:eastAsia="Book Antiqua" w:hAnsi="Book Antiqua" w:cs="Book Antiqua"/>
          <w:color w:val="000000"/>
          <w:vertAlign w:val="superscript"/>
        </w:rPr>
        <w:t>[3]</w:t>
      </w:r>
      <w:r w:rsidRPr="00FD1252">
        <w:rPr>
          <w:rFonts w:ascii="Book Antiqua" w:eastAsia="Book Antiqua" w:hAnsi="Book Antiqua" w:cs="Book Antiqua"/>
          <w:color w:val="000000"/>
        </w:rPr>
        <w:t>.</w:t>
      </w:r>
    </w:p>
    <w:p w14:paraId="24A1ACAB" w14:textId="75E0BC0A"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The Banff classification schema for kidney allograft pathology was developed in 1991 and is an ongoing process with an international approach</w:t>
      </w:r>
      <w:r w:rsidRPr="00FD1252">
        <w:rPr>
          <w:rFonts w:ascii="Book Antiqua" w:eastAsia="Book Antiqua" w:hAnsi="Book Antiqua" w:cs="Book Antiqua"/>
          <w:color w:val="000000"/>
          <w:vertAlign w:val="superscript"/>
        </w:rPr>
        <w:t>[4</w:t>
      </w:r>
      <w:r w:rsidR="00E874B7" w:rsidRPr="00FD1252">
        <w:rPr>
          <w:rFonts w:ascii="Book Antiqua" w:eastAsia="Book Antiqua" w:hAnsi="Book Antiqua" w:cs="Book Antiqua"/>
          <w:color w:val="000000"/>
          <w:vertAlign w:val="superscript"/>
        </w:rPr>
        <w:t>-</w:t>
      </w:r>
      <w:r w:rsidRPr="00FD1252">
        <w:rPr>
          <w:rFonts w:ascii="Book Antiqua" w:eastAsia="Book Antiqua" w:hAnsi="Book Antiqua" w:cs="Book Antiqua"/>
          <w:color w:val="000000"/>
          <w:vertAlign w:val="superscript"/>
        </w:rPr>
        <w:t>9]</w:t>
      </w:r>
      <w:r w:rsidRPr="00FD1252">
        <w:rPr>
          <w:rFonts w:ascii="Book Antiqua" w:eastAsia="Book Antiqua" w:hAnsi="Book Antiqua" w:cs="Book Antiqua"/>
          <w:color w:val="000000"/>
        </w:rPr>
        <w:t>. The first Banff meeting was held at the small town of Banff in Alberta, Canada in August 1991, which was attended by a group of 12 nephropathologists and transplant clinicians with a common interest in kidney transplantation with the goal of standardizing the reporting of kidney allograft biopsies</w:t>
      </w:r>
      <w:r w:rsidRPr="00FD1252">
        <w:rPr>
          <w:rFonts w:ascii="Book Antiqua" w:eastAsia="Book Antiqua" w:hAnsi="Book Antiqua" w:cs="Book Antiqua"/>
          <w:color w:val="000000"/>
          <w:vertAlign w:val="superscript"/>
        </w:rPr>
        <w:t>[10]</w:t>
      </w:r>
      <w:r w:rsidRPr="00FD1252">
        <w:rPr>
          <w:rFonts w:ascii="Book Antiqua" w:eastAsia="Book Antiqua" w:hAnsi="Book Antiqua" w:cs="Book Antiqua"/>
          <w:color w:val="000000"/>
        </w:rPr>
        <w:t xml:space="preserve">. The objectives were two-fold: </w:t>
      </w:r>
      <w:r w:rsidR="00E874B7" w:rsidRPr="00FD1252">
        <w:rPr>
          <w:rFonts w:ascii="Book Antiqua" w:eastAsia="Book Antiqua" w:hAnsi="Book Antiqua" w:cs="Book Antiqua"/>
          <w:color w:val="000000"/>
        </w:rPr>
        <w:t>T</w:t>
      </w:r>
      <w:r w:rsidRPr="00FD1252">
        <w:rPr>
          <w:rFonts w:ascii="Book Antiqua" w:eastAsia="Book Antiqua" w:hAnsi="Book Antiqua" w:cs="Book Antiqua"/>
          <w:color w:val="000000"/>
        </w:rPr>
        <w:t>o guide therapy and to establish an objective endpoint for clinical trials. The first report in full paper form was published in 1993 after several cross-consultations and follow-up discussions</w:t>
      </w:r>
      <w:r w:rsidRPr="00FD1252">
        <w:rPr>
          <w:rFonts w:ascii="Book Antiqua" w:eastAsia="Book Antiqua" w:hAnsi="Book Antiqua" w:cs="Book Antiqua"/>
          <w:color w:val="000000"/>
          <w:vertAlign w:val="superscript"/>
        </w:rPr>
        <w:t>[10]</w:t>
      </w:r>
      <w:r w:rsidRPr="00FD1252">
        <w:rPr>
          <w:rFonts w:ascii="Book Antiqua" w:eastAsia="Book Antiqua" w:hAnsi="Book Antiqua" w:cs="Book Antiqua"/>
          <w:color w:val="000000"/>
        </w:rPr>
        <w:t xml:space="preserve">. These meetings have subsequently taken place biennially, initially at Banff and later on, in other parts of the world but have been named the Banff meetings after their original place of meeting to </w:t>
      </w:r>
      <w:r w:rsidRPr="00FD1252">
        <w:rPr>
          <w:rFonts w:ascii="Book Antiqua" w:eastAsia="Book Antiqua" w:hAnsi="Book Antiqua" w:cs="Book Antiqua"/>
          <w:color w:val="000000"/>
        </w:rPr>
        <w:lastRenderedPageBreak/>
        <w:t>revisit, revise and update the Banff classification. Our understanding of kidney transplant pathology, and particularly, rejections has grown and improved with discourses and publications emerging out of these meetings</w:t>
      </w:r>
      <w:r w:rsidRPr="00FD1252">
        <w:rPr>
          <w:rFonts w:ascii="Book Antiqua" w:eastAsia="Book Antiqua" w:hAnsi="Book Antiqua" w:cs="Book Antiqua"/>
          <w:color w:val="000000"/>
          <w:vertAlign w:val="superscript"/>
        </w:rPr>
        <w:t>[4-6,9]</w:t>
      </w:r>
      <w:r w:rsidRPr="00FD1252">
        <w:rPr>
          <w:rFonts w:ascii="Book Antiqua" w:eastAsia="Book Antiqua" w:hAnsi="Book Antiqua" w:cs="Book Antiqua"/>
          <w:color w:val="000000"/>
        </w:rPr>
        <w:t>. At the same time, the classification has become more complex and difficult to assimilate, particularly for novices in the field.</w:t>
      </w:r>
    </w:p>
    <w:p w14:paraId="6969EE3E" w14:textId="0E32961B"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The Banff schema is distinctive as the classification criteria are developed based on a consensus approach. Although the original Banff classification was developed based on expert opinion, its subsequent revisions and refinements have been made based on published sound scientific studies, multicenter studies by the Banff working groups</w:t>
      </w:r>
      <w:r w:rsidR="001634BD" w:rsidRPr="00FD1252">
        <w:rPr>
          <w:rFonts w:ascii="Book Antiqua" w:eastAsia="Book Antiqua" w:hAnsi="Book Antiqua" w:cs="Book Antiqua"/>
          <w:color w:val="000000"/>
        </w:rPr>
        <w:t xml:space="preserve"> (BWGs)</w:t>
      </w:r>
      <w:r w:rsidRPr="00FD1252">
        <w:rPr>
          <w:rFonts w:ascii="Book Antiqua" w:eastAsia="Book Antiqua" w:hAnsi="Book Antiqua" w:cs="Book Antiqua"/>
          <w:color w:val="000000"/>
        </w:rPr>
        <w:t xml:space="preserve"> on problematic areas, and consensus among the experts</w:t>
      </w:r>
      <w:r w:rsidRPr="00FD1252">
        <w:rPr>
          <w:rFonts w:ascii="Book Antiqua" w:eastAsia="Book Antiqua" w:hAnsi="Book Antiqua" w:cs="Book Antiqua"/>
          <w:color w:val="000000"/>
          <w:vertAlign w:val="superscript"/>
        </w:rPr>
        <w:t>[6]</w:t>
      </w:r>
      <w:r w:rsidRPr="00FD1252">
        <w:rPr>
          <w:rFonts w:ascii="Book Antiqua" w:eastAsia="Book Antiqua" w:hAnsi="Book Antiqua" w:cs="Book Antiqua"/>
          <w:color w:val="000000"/>
        </w:rPr>
        <w:t>. In this review, we summarize the major changes in the Banff classification and the rationale behind these changes. This will help the neophytes and practicing nephropathologists, nephrologists, and other stakeholders to better understand this classification.</w:t>
      </w:r>
    </w:p>
    <w:p w14:paraId="1FE5A8DD" w14:textId="77777777" w:rsidR="00A77B3E" w:rsidRPr="00FD1252" w:rsidRDefault="00A77B3E" w:rsidP="00FD1252">
      <w:pPr>
        <w:spacing w:line="360" w:lineRule="auto"/>
        <w:jc w:val="both"/>
        <w:rPr>
          <w:rFonts w:ascii="Book Antiqua" w:hAnsi="Book Antiqua"/>
        </w:rPr>
      </w:pPr>
    </w:p>
    <w:p w14:paraId="488BEA78"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bCs/>
          <w:caps/>
          <w:color w:val="000000"/>
          <w:u w:val="single"/>
        </w:rPr>
        <w:t>TECHNICAL CONSIDERATIONS AND TISSUE ADEQUACY</w:t>
      </w:r>
    </w:p>
    <w:p w14:paraId="3AAEE2AC" w14:textId="410B6AD2"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color w:val="000000"/>
        </w:rPr>
        <w:t>For a kidney allograft biopsy to fulfill its role as the gold standard for accurate diagnosis, it needs to be adequate and as representative as possible of the whole kidney allograft and be prepared according to recommended protocols. With the evolution in the diagnostic criteria of the Banff categories, changes have also taken place in the tissue adequacy criteria, technical preparation guidelines, and the extent of the workup of kidney allograft biopsies (Table 1). In the first Banff meeting, the biopsy adequacy criteria were less stringent, particularly with regard to the number of blood vessels required. The first major change in adequacy criteria was made in 1997 when two cylinders of kidney allograft parenchyma including both cortex and medulla with 10 glomeruli and two arteries were recommended to fulfill adequacy criteria</w:t>
      </w:r>
      <w:r w:rsidRPr="00FD1252">
        <w:rPr>
          <w:rFonts w:ascii="Book Antiqua" w:eastAsia="Book Antiqua" w:hAnsi="Book Antiqua" w:cs="Book Antiqua"/>
          <w:color w:val="000000"/>
          <w:vertAlign w:val="superscript"/>
        </w:rPr>
        <w:t>[11]</w:t>
      </w:r>
      <w:r w:rsidRPr="00FD1252">
        <w:rPr>
          <w:rFonts w:ascii="Book Antiqua" w:eastAsia="Book Antiqua" w:hAnsi="Book Antiqua" w:cs="Book Antiqua"/>
          <w:color w:val="000000"/>
        </w:rPr>
        <w:t xml:space="preserve">. As the process of rejection is often focal and patchy in distribution, particularly during the early phase, a generous sampling of the kidney cortex from different areas is desirable for an accurate diagnosis, necessitating the recommendation for two cores of allograft tissue. During the first decade of the Banff process, the study of kidney allograft biopsy was based only on morphologic evaluation, </w:t>
      </w:r>
      <w:r w:rsidRPr="00FD1252">
        <w:rPr>
          <w:rFonts w:ascii="Book Antiqua" w:eastAsia="Book Antiqua" w:hAnsi="Book Antiqua" w:cs="Book Antiqua"/>
          <w:i/>
          <w:iCs/>
          <w:color w:val="000000"/>
        </w:rPr>
        <w:t>i.e.</w:t>
      </w:r>
      <w:r w:rsidRPr="00FD1252">
        <w:rPr>
          <w:rFonts w:ascii="Book Antiqua" w:eastAsia="Book Antiqua" w:hAnsi="Book Antiqua" w:cs="Book Antiqua"/>
          <w:color w:val="000000"/>
        </w:rPr>
        <w:t xml:space="preserve"> </w:t>
      </w:r>
      <w:bookmarkStart w:id="0" w:name="_Hlk137304696"/>
      <w:r w:rsidRPr="00FD1252">
        <w:rPr>
          <w:rFonts w:ascii="Book Antiqua" w:eastAsia="Book Antiqua" w:hAnsi="Book Antiqua" w:cs="Book Antiqua"/>
          <w:color w:val="000000"/>
        </w:rPr>
        <w:t>light microscopy</w:t>
      </w:r>
      <w:bookmarkEnd w:id="0"/>
      <w:r w:rsidRPr="00FD1252">
        <w:rPr>
          <w:rFonts w:ascii="Book Antiqua" w:eastAsia="Book Antiqua" w:hAnsi="Book Antiqua" w:cs="Book Antiqua"/>
          <w:color w:val="000000"/>
        </w:rPr>
        <w:t xml:space="preserve"> (LM). From the 2001 meeting onwards, a </w:t>
      </w:r>
      <w:r w:rsidRPr="00FD1252">
        <w:rPr>
          <w:rFonts w:ascii="Book Antiqua" w:eastAsia="Book Antiqua" w:hAnsi="Book Antiqua" w:cs="Book Antiqua"/>
          <w:color w:val="000000"/>
        </w:rPr>
        <w:lastRenderedPageBreak/>
        <w:t>piece of frozen tissue for C4d was made mandatory for the complete evaluation of allograft pathologic lesions</w:t>
      </w:r>
      <w:r w:rsidRPr="00FD1252">
        <w:rPr>
          <w:rFonts w:ascii="Book Antiqua" w:eastAsia="Book Antiqua" w:hAnsi="Book Antiqua" w:cs="Book Antiqua"/>
          <w:color w:val="000000"/>
          <w:vertAlign w:val="superscript"/>
        </w:rPr>
        <w:t>[12,13]</w:t>
      </w:r>
      <w:r w:rsidRPr="00FD1252">
        <w:rPr>
          <w:rFonts w:ascii="Book Antiqua" w:eastAsia="Book Antiqua" w:hAnsi="Book Antiqua" w:cs="Book Antiqua"/>
          <w:color w:val="000000"/>
        </w:rPr>
        <w:t>. C4d staining should be done on all kidney allograft biopsies, preferably by immunofluorescence (IF), or by immunohistochemistry (IHC) technique, if the former is not available</w:t>
      </w:r>
      <w:r w:rsidRPr="00FD1252">
        <w:rPr>
          <w:rFonts w:ascii="Book Antiqua" w:eastAsia="Book Antiqua" w:hAnsi="Book Antiqua" w:cs="Book Antiqua"/>
          <w:color w:val="000000"/>
          <w:vertAlign w:val="superscript"/>
        </w:rPr>
        <w:t>[13]</w:t>
      </w:r>
      <w:r w:rsidRPr="00FD1252">
        <w:rPr>
          <w:rFonts w:ascii="Book Antiqua" w:eastAsia="Book Antiqua" w:hAnsi="Book Antiqua" w:cs="Book Antiqua"/>
          <w:color w:val="000000"/>
        </w:rPr>
        <w:t>. The threshold of C4d staining intensity is one grade level lower with the IHC technique. In the Banff 2013 meeting, conditional use of electron microscopy (EM) was recommended in certain situations</w:t>
      </w:r>
      <w:r w:rsidRPr="00FD1252">
        <w:rPr>
          <w:rFonts w:ascii="Book Antiqua" w:eastAsia="Book Antiqua" w:hAnsi="Book Antiqua" w:cs="Book Antiqua"/>
          <w:color w:val="000000"/>
          <w:vertAlign w:val="superscript"/>
        </w:rPr>
        <w:t>[14-16]</w:t>
      </w:r>
      <w:r w:rsidRPr="00FD1252">
        <w:rPr>
          <w:rFonts w:ascii="Book Antiqua" w:eastAsia="Book Antiqua" w:hAnsi="Book Antiqua" w:cs="Book Antiqua"/>
          <w:color w:val="000000"/>
        </w:rPr>
        <w:t xml:space="preserve">. EM study is not done routinely on all kidney allograft biopsies at all centers, but is performed in the case of suspected recurrent or </w:t>
      </w:r>
      <w:r w:rsidRPr="00FD1252">
        <w:rPr>
          <w:rFonts w:ascii="Book Antiqua" w:eastAsia="Book Antiqua" w:hAnsi="Book Antiqua" w:cs="Book Antiqua"/>
          <w:i/>
          <w:iCs/>
          <w:color w:val="000000"/>
        </w:rPr>
        <w:t>de novo</w:t>
      </w:r>
      <w:r w:rsidRPr="00FD1252">
        <w:rPr>
          <w:rFonts w:ascii="Book Antiqua" w:eastAsia="Book Antiqua" w:hAnsi="Book Antiqua" w:cs="Book Antiqua"/>
          <w:color w:val="000000"/>
        </w:rPr>
        <w:t xml:space="preserve"> </w:t>
      </w:r>
      <w:r w:rsidR="009378AA" w:rsidRPr="00FD1252">
        <w:rPr>
          <w:rFonts w:ascii="Book Antiqua" w:eastAsia="Book Antiqua" w:hAnsi="Book Antiqua" w:cs="Book Antiqua"/>
          <w:color w:val="000000"/>
        </w:rPr>
        <w:t>glomerulonephritis</w:t>
      </w:r>
      <w:r w:rsidRPr="00FD1252">
        <w:rPr>
          <w:rFonts w:ascii="Book Antiqua" w:eastAsia="Book Antiqua" w:hAnsi="Book Antiqua" w:cs="Book Antiqua"/>
          <w:color w:val="000000"/>
        </w:rPr>
        <w:t>, persistent significant but unexplained proteinuria, and for the diagnosis of early chronic changes of allograft rejection such as transplant glomerulopathy and sometimes peritubular capillaries</w:t>
      </w:r>
      <w:r w:rsidR="001634BD" w:rsidRPr="00FD1252">
        <w:rPr>
          <w:rFonts w:ascii="Book Antiqua" w:eastAsia="Book Antiqua" w:hAnsi="Book Antiqua" w:cs="Book Antiqua"/>
          <w:color w:val="000000"/>
        </w:rPr>
        <w:t xml:space="preserve"> (PTCs)</w:t>
      </w:r>
      <w:r w:rsidRPr="00FD1252">
        <w:rPr>
          <w:rFonts w:ascii="Book Antiqua" w:eastAsia="Book Antiqua" w:hAnsi="Book Antiqua" w:cs="Book Antiqua"/>
          <w:color w:val="000000"/>
        </w:rPr>
        <w:t xml:space="preserve">. Tissue fixed in 2.5% glutaraldehyde provides optimum results for transmission EM. Standard techniques are employed for the preparation and interpretation of EM. For the above-mentioned ancillary investigations, the biopsy needs to be divided in such a manner that a minimum number of glomeruli and/or </w:t>
      </w:r>
      <w:r w:rsidR="001634BD" w:rsidRPr="00FD1252">
        <w:rPr>
          <w:rFonts w:ascii="Book Antiqua" w:eastAsia="Book Antiqua" w:hAnsi="Book Antiqua" w:cs="Book Antiqua"/>
          <w:color w:val="000000"/>
        </w:rPr>
        <w:t>PTCs</w:t>
      </w:r>
      <w:r w:rsidRPr="00FD1252">
        <w:rPr>
          <w:rFonts w:ascii="Book Antiqua" w:eastAsia="Book Antiqua" w:hAnsi="Book Antiqua" w:cs="Book Antiqua"/>
          <w:color w:val="000000"/>
        </w:rPr>
        <w:t xml:space="preserve"> be present in specimens apportioned for IF and EM to maximize their utility. Ideally, this should be done in the biopsy suite under the dissection microscope while the specimen is fresh. Tissue samples should then be placed in appropriate fixatives for respective studies. Although not mandatory, IHC for polyomavirus is recommended on all renal allograft biopsies to help detect early viral lesions. In brief, the pathologic evaluation of kidney allograft biopsies has evolved from pure LM to ancillary techniques of IHC, IF, EM, and more recently, molecular studies to accurately diagnose transplant pathology lesions.</w:t>
      </w:r>
    </w:p>
    <w:p w14:paraId="623ABB98" w14:textId="77777777" w:rsidR="00A77B3E" w:rsidRPr="00FD1252" w:rsidRDefault="00A77B3E" w:rsidP="00FD1252">
      <w:pPr>
        <w:spacing w:line="360" w:lineRule="auto"/>
        <w:jc w:val="both"/>
        <w:rPr>
          <w:rFonts w:ascii="Book Antiqua" w:hAnsi="Book Antiqua"/>
        </w:rPr>
      </w:pPr>
    </w:p>
    <w:p w14:paraId="023BB1A1"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bCs/>
          <w:caps/>
          <w:color w:val="000000"/>
          <w:u w:val="single"/>
        </w:rPr>
        <w:t>COMPONENTS OF THE BANFF CLASSIFICATION SYSTEM</w:t>
      </w:r>
    </w:p>
    <w:p w14:paraId="471A272F" w14:textId="4A7750A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color w:val="000000"/>
        </w:rPr>
        <w:t>The foundation of the Banff classification system is centered on the morphological evaluation of kidney allograft tissue comprising four basic components. Each of these components can be involved in either the acute or chronic disease processes, particularly the rejection process. The Banff process identified and defined the lesions of the allograft parenchyma in a systemic and semi-quantitative way (Table 2). Thus, the components of the Banff classification system can conveniently be grouped as</w:t>
      </w:r>
      <w:r w:rsidR="00E874B7" w:rsidRPr="00FD1252">
        <w:rPr>
          <w:rFonts w:ascii="Book Antiqua" w:eastAsia="Book Antiqua" w:hAnsi="Book Antiqua" w:cs="Book Antiqua"/>
          <w:color w:val="000000"/>
        </w:rPr>
        <w:t>:</w:t>
      </w:r>
      <w:r w:rsidRPr="00FD1252">
        <w:rPr>
          <w:rFonts w:ascii="Book Antiqua" w:eastAsia="Book Antiqua" w:hAnsi="Book Antiqua" w:cs="Book Antiqua"/>
          <w:color w:val="000000"/>
        </w:rPr>
        <w:t xml:space="preserve"> </w:t>
      </w:r>
      <w:r w:rsidR="00E874B7" w:rsidRPr="00FD1252">
        <w:rPr>
          <w:rFonts w:ascii="Book Antiqua" w:eastAsia="Book Antiqua" w:hAnsi="Book Antiqua" w:cs="Book Antiqua"/>
          <w:color w:val="000000"/>
        </w:rPr>
        <w:t>(1</w:t>
      </w:r>
      <w:r w:rsidRPr="00FD1252">
        <w:rPr>
          <w:rFonts w:ascii="Book Antiqua" w:eastAsia="Book Antiqua" w:hAnsi="Book Antiqua" w:cs="Book Antiqua"/>
          <w:color w:val="000000"/>
        </w:rPr>
        <w:t xml:space="preserve">) </w:t>
      </w:r>
      <w:r w:rsidR="00E874B7" w:rsidRPr="00FD1252">
        <w:rPr>
          <w:rFonts w:ascii="Book Antiqua" w:eastAsia="Book Antiqua" w:hAnsi="Book Antiqua" w:cs="Book Antiqua"/>
          <w:color w:val="000000"/>
        </w:rPr>
        <w:t>D</w:t>
      </w:r>
      <w:r w:rsidRPr="00FD1252">
        <w:rPr>
          <w:rFonts w:ascii="Book Antiqua" w:eastAsia="Book Antiqua" w:hAnsi="Book Antiqua" w:cs="Book Antiqua"/>
          <w:color w:val="000000"/>
        </w:rPr>
        <w:t>efinitions of various components or lesions</w:t>
      </w:r>
      <w:r w:rsidR="00E874B7" w:rsidRPr="00FD1252">
        <w:rPr>
          <w:rFonts w:ascii="Book Antiqua" w:eastAsia="Book Antiqua" w:hAnsi="Book Antiqua" w:cs="Book Antiqua"/>
          <w:color w:val="000000"/>
        </w:rPr>
        <w:t>;</w:t>
      </w:r>
      <w:r w:rsidRPr="00FD1252">
        <w:rPr>
          <w:rFonts w:ascii="Book Antiqua" w:eastAsia="Book Antiqua" w:hAnsi="Book Antiqua" w:cs="Book Antiqua"/>
          <w:color w:val="000000"/>
        </w:rPr>
        <w:t xml:space="preserve"> </w:t>
      </w:r>
      <w:r w:rsidR="00E874B7" w:rsidRPr="00FD1252">
        <w:rPr>
          <w:rFonts w:ascii="Book Antiqua" w:eastAsia="Book Antiqua" w:hAnsi="Book Antiqua" w:cs="Book Antiqua"/>
          <w:color w:val="000000"/>
        </w:rPr>
        <w:t>(2</w:t>
      </w:r>
      <w:r w:rsidRPr="00FD1252">
        <w:rPr>
          <w:rFonts w:ascii="Book Antiqua" w:eastAsia="Book Antiqua" w:hAnsi="Book Antiqua" w:cs="Book Antiqua"/>
          <w:color w:val="000000"/>
        </w:rPr>
        <w:t xml:space="preserve">) </w:t>
      </w:r>
      <w:r w:rsidR="00E874B7" w:rsidRPr="00FD1252">
        <w:rPr>
          <w:rFonts w:ascii="Book Antiqua" w:eastAsia="Book Antiqua" w:hAnsi="Book Antiqua" w:cs="Book Antiqua"/>
          <w:color w:val="000000"/>
        </w:rPr>
        <w:t>D</w:t>
      </w:r>
      <w:r w:rsidRPr="00FD1252">
        <w:rPr>
          <w:rFonts w:ascii="Book Antiqua" w:eastAsia="Book Antiqua" w:hAnsi="Book Antiqua" w:cs="Book Antiqua"/>
          <w:color w:val="000000"/>
        </w:rPr>
        <w:t>iagnostic lesions</w:t>
      </w:r>
      <w:r w:rsidR="00E874B7" w:rsidRPr="00FD1252">
        <w:rPr>
          <w:rFonts w:ascii="Book Antiqua" w:eastAsia="Book Antiqua" w:hAnsi="Book Antiqua" w:cs="Book Antiqua"/>
          <w:color w:val="000000"/>
        </w:rPr>
        <w:t>;</w:t>
      </w:r>
      <w:r w:rsidRPr="00FD1252">
        <w:rPr>
          <w:rFonts w:ascii="Book Antiqua" w:eastAsia="Book Antiqua" w:hAnsi="Book Antiqua" w:cs="Book Antiqua"/>
          <w:color w:val="000000"/>
        </w:rPr>
        <w:t xml:space="preserve"> </w:t>
      </w:r>
      <w:r w:rsidR="00E874B7" w:rsidRPr="00FD1252">
        <w:rPr>
          <w:rFonts w:ascii="Book Antiqua" w:eastAsia="Book Antiqua" w:hAnsi="Book Antiqua" w:cs="Book Antiqua"/>
          <w:color w:val="000000"/>
        </w:rPr>
        <w:t>(3</w:t>
      </w:r>
      <w:r w:rsidRPr="00FD1252">
        <w:rPr>
          <w:rFonts w:ascii="Book Antiqua" w:eastAsia="Book Antiqua" w:hAnsi="Book Antiqua" w:cs="Book Antiqua"/>
          <w:color w:val="000000"/>
        </w:rPr>
        <w:t xml:space="preserve">) </w:t>
      </w:r>
      <w:r w:rsidR="00E874B7" w:rsidRPr="00FD1252">
        <w:rPr>
          <w:rFonts w:ascii="Book Antiqua" w:eastAsia="Book Antiqua" w:hAnsi="Book Antiqua" w:cs="Book Antiqua"/>
          <w:color w:val="000000"/>
        </w:rPr>
        <w:t>S</w:t>
      </w:r>
      <w:r w:rsidRPr="00FD1252">
        <w:rPr>
          <w:rFonts w:ascii="Book Antiqua" w:eastAsia="Book Antiqua" w:hAnsi="Book Antiqua" w:cs="Book Antiqua"/>
          <w:color w:val="000000"/>
        </w:rPr>
        <w:t>emi-quantitative scoring of the lesions</w:t>
      </w:r>
      <w:r w:rsidR="00E874B7" w:rsidRPr="00FD1252">
        <w:rPr>
          <w:rFonts w:ascii="Book Antiqua" w:eastAsia="Book Antiqua" w:hAnsi="Book Antiqua" w:cs="Book Antiqua"/>
          <w:color w:val="000000"/>
        </w:rPr>
        <w:t>;</w:t>
      </w:r>
      <w:r w:rsidRPr="00FD1252">
        <w:rPr>
          <w:rFonts w:ascii="Book Antiqua" w:eastAsia="Book Antiqua" w:hAnsi="Book Antiqua" w:cs="Book Antiqua"/>
          <w:color w:val="000000"/>
        </w:rPr>
        <w:t xml:space="preserve"> </w:t>
      </w:r>
      <w:r w:rsidR="00E874B7" w:rsidRPr="00FD1252">
        <w:rPr>
          <w:rFonts w:ascii="Book Antiqua" w:eastAsia="Book Antiqua" w:hAnsi="Book Antiqua" w:cs="Book Antiqua"/>
          <w:color w:val="000000"/>
        </w:rPr>
        <w:lastRenderedPageBreak/>
        <w:t>(4</w:t>
      </w:r>
      <w:r w:rsidRPr="00FD1252">
        <w:rPr>
          <w:rFonts w:ascii="Book Antiqua" w:eastAsia="Book Antiqua" w:hAnsi="Book Antiqua" w:cs="Book Antiqua"/>
          <w:color w:val="000000"/>
        </w:rPr>
        <w:t xml:space="preserve">) </w:t>
      </w:r>
      <w:r w:rsidR="00E874B7" w:rsidRPr="00FD1252">
        <w:rPr>
          <w:rFonts w:ascii="Book Antiqua" w:eastAsia="Book Antiqua" w:hAnsi="Book Antiqua" w:cs="Book Antiqua"/>
          <w:color w:val="000000"/>
        </w:rPr>
        <w:t>A</w:t>
      </w:r>
      <w:r w:rsidRPr="00FD1252">
        <w:rPr>
          <w:rFonts w:ascii="Book Antiqua" w:eastAsia="Book Antiqua" w:hAnsi="Book Antiqua" w:cs="Book Antiqua"/>
          <w:color w:val="000000"/>
        </w:rPr>
        <w:t>dditional diagnostic features</w:t>
      </w:r>
      <w:r w:rsidR="00E874B7" w:rsidRPr="00FD1252">
        <w:rPr>
          <w:rFonts w:ascii="Book Antiqua" w:eastAsia="Book Antiqua" w:hAnsi="Book Antiqua" w:cs="Book Antiqua"/>
          <w:color w:val="000000"/>
        </w:rPr>
        <w:t>;</w:t>
      </w:r>
      <w:r w:rsidRPr="00FD1252">
        <w:rPr>
          <w:rFonts w:ascii="Book Antiqua" w:eastAsia="Book Antiqua" w:hAnsi="Book Antiqua" w:cs="Book Antiqua"/>
          <w:color w:val="000000"/>
        </w:rPr>
        <w:t xml:space="preserve"> and </w:t>
      </w:r>
      <w:r w:rsidR="00E874B7" w:rsidRPr="00FD1252">
        <w:rPr>
          <w:rFonts w:ascii="Book Antiqua" w:eastAsia="Book Antiqua" w:hAnsi="Book Antiqua" w:cs="Book Antiqua"/>
          <w:color w:val="000000"/>
        </w:rPr>
        <w:t>(5</w:t>
      </w:r>
      <w:r w:rsidRPr="00FD1252">
        <w:rPr>
          <w:rFonts w:ascii="Book Antiqua" w:eastAsia="Book Antiqua" w:hAnsi="Book Antiqua" w:cs="Book Antiqua"/>
          <w:color w:val="000000"/>
        </w:rPr>
        <w:t xml:space="preserve">) </w:t>
      </w:r>
      <w:r w:rsidR="00E874B7" w:rsidRPr="00FD1252">
        <w:rPr>
          <w:rFonts w:ascii="Book Antiqua" w:eastAsia="Book Antiqua" w:hAnsi="Book Antiqua" w:cs="Book Antiqua"/>
          <w:color w:val="000000"/>
        </w:rPr>
        <w:t>T</w:t>
      </w:r>
      <w:r w:rsidRPr="00FD1252">
        <w:rPr>
          <w:rFonts w:ascii="Book Antiqua" w:eastAsia="Book Antiqua" w:hAnsi="Book Antiqua" w:cs="Book Antiqua"/>
          <w:color w:val="000000"/>
        </w:rPr>
        <w:t>he diagnostic categories (Figure 1). None of the individual lesions, in isolation, except possibly for intimal arteritis, is diagnostic of the rejection process. A combination of the lesions along with scores above some threshold value is needed to make a specific diagnosis. It is important to be thoroughly familiar with all these components of the Banff classification in order to reliably and precisely apply it in clinical or research settings</w:t>
      </w:r>
      <w:r w:rsidRPr="00FD1252">
        <w:rPr>
          <w:rFonts w:ascii="Book Antiqua" w:eastAsia="Book Antiqua" w:hAnsi="Book Antiqua" w:cs="Book Antiqua"/>
          <w:color w:val="000000"/>
          <w:vertAlign w:val="superscript"/>
        </w:rPr>
        <w:t>[9]</w:t>
      </w:r>
      <w:r w:rsidRPr="00FD1252">
        <w:rPr>
          <w:rFonts w:ascii="Book Antiqua" w:eastAsia="Book Antiqua" w:hAnsi="Book Antiqua" w:cs="Book Antiqua"/>
          <w:color w:val="000000"/>
        </w:rPr>
        <w:t xml:space="preserve">. </w:t>
      </w:r>
      <w:bookmarkStart w:id="1" w:name="_Hlk137301989"/>
      <w:r w:rsidRPr="00FD1252">
        <w:rPr>
          <w:rFonts w:ascii="Book Antiqua" w:eastAsia="Book Antiqua" w:hAnsi="Book Antiqua" w:cs="Book Antiqua"/>
          <w:color w:val="000000"/>
        </w:rPr>
        <w:t>Some important diagnostic lesions are illustrated</w:t>
      </w:r>
      <w:bookmarkEnd w:id="1"/>
      <w:r w:rsidRPr="00FD1252">
        <w:rPr>
          <w:rFonts w:ascii="Book Antiqua" w:eastAsia="Book Antiqua" w:hAnsi="Book Antiqua" w:cs="Book Antiqua"/>
          <w:color w:val="000000"/>
        </w:rPr>
        <w:t xml:space="preserve"> in Figures 2</w:t>
      </w:r>
      <w:r w:rsidR="001634BD" w:rsidRPr="00FD1252">
        <w:rPr>
          <w:rFonts w:ascii="Book Antiqua" w:eastAsia="Book Antiqua" w:hAnsi="Book Antiqua" w:cs="Book Antiqua"/>
          <w:color w:val="000000"/>
        </w:rPr>
        <w:t>-</w:t>
      </w:r>
      <w:r w:rsidR="003474F9" w:rsidRPr="00FD1252">
        <w:rPr>
          <w:rFonts w:ascii="Book Antiqua" w:eastAsia="Book Antiqua" w:hAnsi="Book Antiqua" w:cs="Book Antiqua"/>
          <w:color w:val="000000"/>
        </w:rPr>
        <w:t>4</w:t>
      </w:r>
      <w:r w:rsidRPr="00FD1252">
        <w:rPr>
          <w:rFonts w:ascii="Book Antiqua" w:eastAsia="Book Antiqua" w:hAnsi="Book Antiqua" w:cs="Book Antiqua"/>
          <w:color w:val="000000"/>
        </w:rPr>
        <w:t>.</w:t>
      </w:r>
    </w:p>
    <w:p w14:paraId="515E0AAB" w14:textId="77777777" w:rsidR="00A77B3E" w:rsidRPr="00FD1252" w:rsidRDefault="00A77B3E" w:rsidP="00FD1252">
      <w:pPr>
        <w:spacing w:line="360" w:lineRule="auto"/>
        <w:jc w:val="both"/>
        <w:rPr>
          <w:rFonts w:ascii="Book Antiqua" w:hAnsi="Book Antiqua"/>
        </w:rPr>
      </w:pPr>
    </w:p>
    <w:p w14:paraId="1FCC35BD"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bCs/>
          <w:caps/>
          <w:color w:val="000000"/>
          <w:u w:val="single"/>
        </w:rPr>
        <w:t>TIMELINE OF THE EVOLUTIONARY CHANGES IN THE BANFF CLASSIFICATION</w:t>
      </w:r>
    </w:p>
    <w:p w14:paraId="7836518C" w14:textId="08D1B614"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color w:val="000000"/>
        </w:rPr>
        <w:t>The year 2021 marked the 30</w:t>
      </w:r>
      <w:r w:rsidRPr="00FD1252">
        <w:rPr>
          <w:rFonts w:ascii="Book Antiqua" w:eastAsia="Book Antiqua" w:hAnsi="Book Antiqua" w:cs="Book Antiqua"/>
          <w:color w:val="000000"/>
          <w:vertAlign w:val="superscript"/>
        </w:rPr>
        <w:t>th</w:t>
      </w:r>
      <w:r w:rsidRPr="00FD1252">
        <w:rPr>
          <w:rFonts w:ascii="Book Antiqua" w:eastAsia="Book Antiqua" w:hAnsi="Book Antiqua" w:cs="Book Antiqua"/>
          <w:color w:val="000000"/>
        </w:rPr>
        <w:t xml:space="preserve"> anniversary of the beginning of the Banff classification process for standardized reporting of renal allograft pathological lesions. However, XV</w:t>
      </w:r>
      <w:r w:rsidRPr="00FD1252">
        <w:rPr>
          <w:rFonts w:ascii="Book Antiqua" w:eastAsia="Book Antiqua" w:hAnsi="Book Antiqua" w:cs="Book Antiqua"/>
          <w:color w:val="000000"/>
          <w:vertAlign w:val="superscript"/>
        </w:rPr>
        <w:t>th</w:t>
      </w:r>
      <w:r w:rsidRPr="00FD1252">
        <w:rPr>
          <w:rFonts w:ascii="Book Antiqua" w:eastAsia="Book Antiqua" w:hAnsi="Book Antiqua" w:cs="Book Antiqua"/>
          <w:color w:val="000000"/>
        </w:rPr>
        <w:t xml:space="preserve"> biennial Banff meeting that was to be held that year was postponed and held in 2022 due to the </w:t>
      </w:r>
      <w:r w:rsidR="001634BD" w:rsidRPr="00FD1252">
        <w:rPr>
          <w:rFonts w:ascii="Book Antiqua" w:eastAsia="Book Antiqua" w:hAnsi="Book Antiqua" w:cs="Book Antiqua"/>
          <w:color w:val="000000"/>
        </w:rPr>
        <w:t>coronavirus disease 2019</w:t>
      </w:r>
      <w:r w:rsidRPr="00FD1252">
        <w:rPr>
          <w:rFonts w:ascii="Book Antiqua" w:eastAsia="Book Antiqua" w:hAnsi="Book Antiqua" w:cs="Book Antiqua"/>
          <w:color w:val="000000"/>
        </w:rPr>
        <w:t xml:space="preserve"> situation</w:t>
      </w:r>
      <w:r w:rsidRPr="00FD1252">
        <w:rPr>
          <w:rFonts w:ascii="Book Antiqua" w:eastAsia="Book Antiqua" w:hAnsi="Book Antiqua" w:cs="Book Antiqua"/>
          <w:color w:val="000000"/>
          <w:vertAlign w:val="superscript"/>
        </w:rPr>
        <w:t>[6]</w:t>
      </w:r>
      <w:r w:rsidRPr="00FD1252">
        <w:rPr>
          <w:rFonts w:ascii="Book Antiqua" w:eastAsia="Book Antiqua" w:hAnsi="Book Antiqua" w:cs="Book Antiqua"/>
          <w:color w:val="000000"/>
        </w:rPr>
        <w:t>. It is befitting to review the evolution of the Banff classification, its strengths and limitations, future prospects, and opportunities. It will be more convenient if we divide the evolution of the Banff classification into three decade-wise eras, as below.</w:t>
      </w:r>
    </w:p>
    <w:p w14:paraId="56E36969" w14:textId="77777777" w:rsidR="00A77B3E" w:rsidRPr="00FD1252" w:rsidRDefault="00A77B3E" w:rsidP="00FD1252">
      <w:pPr>
        <w:spacing w:line="360" w:lineRule="auto"/>
        <w:jc w:val="both"/>
        <w:rPr>
          <w:rFonts w:ascii="Book Antiqua" w:hAnsi="Book Antiqua"/>
        </w:rPr>
      </w:pPr>
    </w:p>
    <w:p w14:paraId="6D4FBD3B"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bCs/>
          <w:caps/>
          <w:color w:val="000000"/>
          <w:u w:val="single"/>
        </w:rPr>
        <w:t>FIRST DECADE: DEVELOPMENT AND RECONCILIATION</w:t>
      </w:r>
    </w:p>
    <w:p w14:paraId="271B6357" w14:textId="74F99185"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color w:val="000000"/>
        </w:rPr>
        <w:t>The first decade may be called the decade of development and reconciliation/integration of the Banff classification, the latter with a rival classification developed in the U</w:t>
      </w:r>
      <w:r w:rsidR="001634BD" w:rsidRPr="00FD1252">
        <w:rPr>
          <w:rFonts w:ascii="Book Antiqua" w:eastAsia="Book Antiqua" w:hAnsi="Book Antiqua" w:cs="Book Antiqua"/>
          <w:color w:val="000000"/>
        </w:rPr>
        <w:t xml:space="preserve">nited </w:t>
      </w:r>
      <w:r w:rsidRPr="00FD1252">
        <w:rPr>
          <w:rFonts w:ascii="Book Antiqua" w:eastAsia="Book Antiqua" w:hAnsi="Book Antiqua" w:cs="Book Antiqua"/>
          <w:color w:val="000000"/>
        </w:rPr>
        <w:t>S</w:t>
      </w:r>
      <w:r w:rsidR="001634BD" w:rsidRPr="00FD1252">
        <w:rPr>
          <w:rFonts w:ascii="Book Antiqua" w:eastAsia="Book Antiqua" w:hAnsi="Book Antiqua" w:cs="Book Antiqua"/>
          <w:color w:val="000000"/>
        </w:rPr>
        <w:t>tates</w:t>
      </w:r>
      <w:r w:rsidRPr="00FD1252">
        <w:rPr>
          <w:rFonts w:ascii="Book Antiqua" w:eastAsia="Book Antiqua" w:hAnsi="Book Antiqua" w:cs="Book Antiqua"/>
          <w:color w:val="000000"/>
        </w:rPr>
        <w:t xml:space="preserve"> called the Collaborative Clinical Trials in Transplantation (CCTT) modification of the classification</w:t>
      </w:r>
      <w:r w:rsidRPr="00FD1252">
        <w:rPr>
          <w:rFonts w:ascii="Book Antiqua" w:eastAsia="Book Antiqua" w:hAnsi="Book Antiqua" w:cs="Book Antiqua"/>
          <w:color w:val="000000"/>
          <w:vertAlign w:val="superscript"/>
        </w:rPr>
        <w:t>[17]</w:t>
      </w:r>
      <w:r w:rsidRPr="00FD1252">
        <w:rPr>
          <w:rFonts w:ascii="Book Antiqua" w:eastAsia="Book Antiqua" w:hAnsi="Book Antiqua" w:cs="Book Antiqua"/>
          <w:color w:val="000000"/>
        </w:rPr>
        <w:t>. This merger was the most significant achievement during the first decade as it paved the way for a single uniformly agreed-upon international classification for renal allograft pathology</w:t>
      </w:r>
      <w:r w:rsidRPr="00FD1252">
        <w:rPr>
          <w:rFonts w:ascii="Book Antiqua" w:eastAsia="Book Antiqua" w:hAnsi="Book Antiqua" w:cs="Book Antiqua"/>
          <w:color w:val="000000"/>
          <w:vertAlign w:val="superscript"/>
        </w:rPr>
        <w:t>[6]</w:t>
      </w:r>
      <w:r w:rsidRPr="00FD1252">
        <w:rPr>
          <w:rFonts w:ascii="Book Antiqua" w:eastAsia="Book Antiqua" w:hAnsi="Book Antiqua" w:cs="Book Antiqua"/>
          <w:color w:val="000000"/>
        </w:rPr>
        <w:t>. Three main and full papers on the classification were published during this decade, two of which became popular, the first was published in 1993 and the second in 1999. During this decade, the main focus of classification schema was on the cellular part of the rejection</w:t>
      </w:r>
      <w:r w:rsidRPr="00FD1252">
        <w:rPr>
          <w:rFonts w:ascii="Book Antiqua" w:eastAsia="Book Antiqua" w:hAnsi="Book Antiqua" w:cs="Book Antiqua"/>
          <w:color w:val="000000"/>
          <w:vertAlign w:val="superscript"/>
        </w:rPr>
        <w:t>[18-20]</w:t>
      </w:r>
      <w:r w:rsidRPr="00FD1252">
        <w:rPr>
          <w:rFonts w:ascii="Book Antiqua" w:eastAsia="Book Antiqua" w:hAnsi="Book Antiqua" w:cs="Book Antiqua"/>
          <w:color w:val="000000"/>
        </w:rPr>
        <w:t xml:space="preserve">. In fact, this category was named acute rejection without further qualification. Later on, it was changed to acute/active cellular and still later, acute/active T-cell mediated rejection (TCMR). The role of antibodies </w:t>
      </w:r>
      <w:r w:rsidRPr="00FD1252">
        <w:rPr>
          <w:rFonts w:ascii="Book Antiqua" w:eastAsia="Book Antiqua" w:hAnsi="Book Antiqua" w:cs="Book Antiqua"/>
          <w:color w:val="000000"/>
        </w:rPr>
        <w:lastRenderedPageBreak/>
        <w:t>beyond the immediate post-transplant period was not formally recognized during this decade, although studies were going on this subject. The workup of renal allograft biopsy was based on morphologic examination alone. The adequacy criteria for renal allograft biopsy were made more stringent in Banff 1997 classification but were still limited to the morphological study of the biopsy material.</w:t>
      </w:r>
    </w:p>
    <w:p w14:paraId="60BED174" w14:textId="77777777" w:rsidR="00A77B3E" w:rsidRPr="00FD1252" w:rsidRDefault="00A77B3E" w:rsidP="00FD1252">
      <w:pPr>
        <w:spacing w:line="360" w:lineRule="auto"/>
        <w:jc w:val="both"/>
        <w:rPr>
          <w:rFonts w:ascii="Book Antiqua" w:hAnsi="Book Antiqua"/>
        </w:rPr>
      </w:pPr>
    </w:p>
    <w:p w14:paraId="1376289C" w14:textId="255095FA"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bCs/>
          <w:caps/>
          <w:color w:val="000000"/>
          <w:u w:val="single"/>
        </w:rPr>
        <w:t>SECOND DECADE: ANTIBODY-MEDIATED REJECTION</w:t>
      </w:r>
    </w:p>
    <w:p w14:paraId="37009781" w14:textId="24561EBD"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color w:val="000000"/>
        </w:rPr>
        <w:t xml:space="preserve">During this decade, the focus of the Banff classification was shifted to the development of the pathologic criteria and their refinement for a conclusive diagnosis of antibody-mediated rejection (AMR) beyond the immediate post-transplant period. Starting from the 2001 Banff meeting, the attention of the transplant community was shifted to the increasing recognition of the role of alloantibodies in causing allograft rejection. During the 2001 Banff meeting, pathologic criteria were formulated for the first time for a definitive diagnosis of AMR in the acute setting, </w:t>
      </w:r>
      <w:r w:rsidRPr="00FD1252">
        <w:rPr>
          <w:rFonts w:ascii="Book Antiqua" w:eastAsia="Book Antiqua" w:hAnsi="Book Antiqua" w:cs="Book Antiqua"/>
          <w:i/>
          <w:iCs/>
          <w:color w:val="000000"/>
        </w:rPr>
        <w:t>i.e.</w:t>
      </w:r>
      <w:r w:rsidRPr="00FD1252">
        <w:rPr>
          <w:rFonts w:ascii="Book Antiqua" w:eastAsia="Book Antiqua" w:hAnsi="Book Antiqua" w:cs="Book Antiqua"/>
          <w:color w:val="000000"/>
        </w:rPr>
        <w:t xml:space="preserve"> beyond the immediate post-transplant period</w:t>
      </w:r>
      <w:r w:rsidRPr="00FD1252">
        <w:rPr>
          <w:rFonts w:ascii="Book Antiqua" w:eastAsia="Book Antiqua" w:hAnsi="Book Antiqua" w:cs="Book Antiqua"/>
          <w:color w:val="000000"/>
          <w:vertAlign w:val="superscript"/>
        </w:rPr>
        <w:t>[12]</w:t>
      </w:r>
      <w:r w:rsidRPr="00FD1252">
        <w:rPr>
          <w:rFonts w:ascii="Book Antiqua" w:eastAsia="Book Antiqua" w:hAnsi="Book Antiqua" w:cs="Book Antiqua"/>
          <w:color w:val="000000"/>
        </w:rPr>
        <w:t>. These included not only the morphologic criteria but also immunopathologic and serologic criteria. This led to the evolution of the Banff classification to a multidisciplinary schema. The adequacy of tissue was expanded to a portion of tissue for C4d staining and an optional tissue sample for EM study. In the 2005 Banff meeting, criteria for the diagnosis of chronic active AMR were formulated, thus recognizing the full spectrum of antibody-mediated injury</w:t>
      </w:r>
      <w:r w:rsidRPr="00FD1252">
        <w:rPr>
          <w:rFonts w:ascii="Book Antiqua" w:eastAsia="Book Antiqua" w:hAnsi="Book Antiqua" w:cs="Book Antiqua"/>
          <w:color w:val="000000"/>
          <w:vertAlign w:val="superscript"/>
        </w:rPr>
        <w:t>[21]</w:t>
      </w:r>
      <w:r w:rsidRPr="00FD1252">
        <w:rPr>
          <w:rFonts w:ascii="Book Antiqua" w:eastAsia="Book Antiqua" w:hAnsi="Book Antiqua" w:cs="Book Antiqua"/>
          <w:color w:val="000000"/>
        </w:rPr>
        <w:t xml:space="preserve">. With the widespread application of these criteria in clinical practice, it became obvious that not all forms of AMR are C4d positive. Hence, the need arose for a subtype of AMR to be introduced in the Banff classification, </w:t>
      </w:r>
      <w:r w:rsidRPr="00FD1252">
        <w:rPr>
          <w:rFonts w:ascii="Book Antiqua" w:eastAsia="Book Antiqua" w:hAnsi="Book Antiqua" w:cs="Book Antiqua"/>
          <w:i/>
          <w:iCs/>
          <w:color w:val="000000"/>
        </w:rPr>
        <w:t>i.e.</w:t>
      </w:r>
      <w:r w:rsidRPr="00FD1252">
        <w:rPr>
          <w:rFonts w:ascii="Book Antiqua" w:eastAsia="Book Antiqua" w:hAnsi="Book Antiqua" w:cs="Book Antiqua"/>
          <w:color w:val="000000"/>
        </w:rPr>
        <w:t xml:space="preserve"> C4d-negative AMR, which was introduced in the Banff 2009 meeting</w:t>
      </w:r>
      <w:r w:rsidRPr="00FD1252">
        <w:rPr>
          <w:rFonts w:ascii="Book Antiqua" w:eastAsia="Book Antiqua" w:hAnsi="Book Antiqua" w:cs="Book Antiqua"/>
          <w:color w:val="000000"/>
          <w:vertAlign w:val="superscript"/>
        </w:rPr>
        <w:t>[22]</w:t>
      </w:r>
      <w:r w:rsidRPr="00FD1252">
        <w:rPr>
          <w:rFonts w:ascii="Book Antiqua" w:eastAsia="Book Antiqua" w:hAnsi="Book Antiqua" w:cs="Book Antiqua"/>
          <w:color w:val="000000"/>
        </w:rPr>
        <w:t>. From Banff 2001 to Banff 2011 meetings, only diffuse C4d staining (C4d3), involving more than 50% of PTCs, was recognized as fulfilling the immunopathologic criterion for AMR</w:t>
      </w:r>
      <w:r w:rsidRPr="00FD1252">
        <w:rPr>
          <w:rFonts w:ascii="Book Antiqua" w:eastAsia="Book Antiqua" w:hAnsi="Book Antiqua" w:cs="Book Antiqua"/>
          <w:color w:val="000000"/>
          <w:vertAlign w:val="superscript"/>
        </w:rPr>
        <w:t>[23]</w:t>
      </w:r>
      <w:r w:rsidRPr="00FD1252">
        <w:rPr>
          <w:rFonts w:ascii="Book Antiqua" w:eastAsia="Book Antiqua" w:hAnsi="Book Antiqua" w:cs="Book Antiqua"/>
          <w:color w:val="000000"/>
        </w:rPr>
        <w:t>. In the Banff 2013 meeting, focal (c4d2: 10%</w:t>
      </w:r>
      <w:r w:rsidR="001634BD" w:rsidRPr="00FD1252">
        <w:rPr>
          <w:rFonts w:ascii="Book Antiqua" w:eastAsia="Book Antiqua" w:hAnsi="Book Antiqua" w:cs="Book Antiqua"/>
          <w:color w:val="000000"/>
        </w:rPr>
        <w:t>-</w:t>
      </w:r>
      <w:r w:rsidRPr="00FD1252">
        <w:rPr>
          <w:rFonts w:ascii="Book Antiqua" w:eastAsia="Book Antiqua" w:hAnsi="Book Antiqua" w:cs="Book Antiqua"/>
          <w:color w:val="000000"/>
        </w:rPr>
        <w:t>50%) staining of PTCs for C4d was also accepted, as it was also associated with donor-specific antibodies (DSAs) and reduced allograft survival</w:t>
      </w:r>
      <w:r w:rsidRPr="00FD1252">
        <w:rPr>
          <w:rFonts w:ascii="Book Antiqua" w:eastAsia="Book Antiqua" w:hAnsi="Book Antiqua" w:cs="Book Antiqua"/>
          <w:color w:val="000000"/>
          <w:vertAlign w:val="superscript"/>
        </w:rPr>
        <w:t>[14]</w:t>
      </w:r>
      <w:r w:rsidRPr="00FD1252">
        <w:rPr>
          <w:rFonts w:ascii="Book Antiqua" w:eastAsia="Book Antiqua" w:hAnsi="Book Antiqua" w:cs="Book Antiqua"/>
          <w:color w:val="000000"/>
        </w:rPr>
        <w:t>. BWGs were also created during the 2009 Banff meeting for addressing the problematic areas of the Banff classification for evidence-based investigations and solutions</w:t>
      </w:r>
      <w:r w:rsidRPr="00FD1252">
        <w:rPr>
          <w:rFonts w:ascii="Book Antiqua" w:eastAsia="Book Antiqua" w:hAnsi="Book Antiqua" w:cs="Book Antiqua"/>
          <w:color w:val="000000"/>
          <w:vertAlign w:val="superscript"/>
        </w:rPr>
        <w:t>[22]</w:t>
      </w:r>
      <w:r w:rsidRPr="00FD1252">
        <w:rPr>
          <w:rFonts w:ascii="Book Antiqua" w:eastAsia="Book Antiqua" w:hAnsi="Book Antiqua" w:cs="Book Antiqua"/>
          <w:color w:val="000000"/>
        </w:rPr>
        <w:t>.</w:t>
      </w:r>
    </w:p>
    <w:p w14:paraId="2CC0F77F" w14:textId="77777777" w:rsidR="00A77B3E" w:rsidRPr="00FD1252" w:rsidRDefault="00A77B3E" w:rsidP="00FD1252">
      <w:pPr>
        <w:spacing w:line="360" w:lineRule="auto"/>
        <w:jc w:val="both"/>
        <w:rPr>
          <w:rFonts w:ascii="Book Antiqua" w:hAnsi="Book Antiqua"/>
        </w:rPr>
      </w:pPr>
    </w:p>
    <w:p w14:paraId="01E38F7E"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bCs/>
          <w:caps/>
          <w:color w:val="000000"/>
          <w:u w:val="single"/>
        </w:rPr>
        <w:t>THIRD DECADE: REFINEMENTS AND INTEGRATIONS</w:t>
      </w:r>
    </w:p>
    <w:p w14:paraId="12048BC6" w14:textId="59C6CA78"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color w:val="000000"/>
        </w:rPr>
        <w:t>During this decade, further clarifications and refinements were made in the diagnostic criteria and classification of chronic active AMR and TCMR</w:t>
      </w:r>
      <w:r w:rsidRPr="00FD1252">
        <w:rPr>
          <w:rFonts w:ascii="Book Antiqua" w:eastAsia="Book Antiqua" w:hAnsi="Book Antiqua" w:cs="Book Antiqua"/>
          <w:color w:val="000000"/>
          <w:vertAlign w:val="superscript"/>
        </w:rPr>
        <w:t>[14,24</w:t>
      </w:r>
      <w:r w:rsidR="001634BD" w:rsidRPr="00FD1252">
        <w:rPr>
          <w:rFonts w:ascii="Book Antiqua" w:eastAsia="Book Antiqua" w:hAnsi="Book Antiqua" w:cs="Book Antiqua"/>
          <w:color w:val="000000"/>
          <w:vertAlign w:val="superscript"/>
        </w:rPr>
        <w:t>-</w:t>
      </w:r>
      <w:r w:rsidRPr="00FD1252">
        <w:rPr>
          <w:rFonts w:ascii="Book Antiqua" w:eastAsia="Book Antiqua" w:hAnsi="Book Antiqua" w:cs="Book Antiqua"/>
          <w:color w:val="000000"/>
          <w:vertAlign w:val="superscript"/>
        </w:rPr>
        <w:t>27]</w:t>
      </w:r>
      <w:r w:rsidRPr="00FD1252">
        <w:rPr>
          <w:rFonts w:ascii="Book Antiqua" w:eastAsia="Book Antiqua" w:hAnsi="Book Antiqua" w:cs="Book Antiqua"/>
          <w:color w:val="000000"/>
        </w:rPr>
        <w:t>. The thresholds of some of the lesions were re-defined</w:t>
      </w:r>
      <w:r w:rsidRPr="00FD1252">
        <w:rPr>
          <w:rFonts w:ascii="Book Antiqua" w:eastAsia="Book Antiqua" w:hAnsi="Book Antiqua" w:cs="Book Antiqua"/>
          <w:color w:val="000000"/>
          <w:vertAlign w:val="superscript"/>
        </w:rPr>
        <w:t>[14]</w:t>
      </w:r>
      <w:r w:rsidRPr="00FD1252">
        <w:rPr>
          <w:rFonts w:ascii="Book Antiqua" w:eastAsia="Book Antiqua" w:hAnsi="Book Antiqua" w:cs="Book Antiqua"/>
          <w:color w:val="000000"/>
        </w:rPr>
        <w:t>. Integrations of ancillary techniques of IHC, EM, and molecular studies were recommended for an accurate diagnosis and classification of rejection processes. Digital pathology (DP) and artificial intelligence (AI) tools were explored for their possible role in predicting, diagnosing, and prognosticating kidney allograft pathology</w:t>
      </w:r>
      <w:r w:rsidRPr="00FD1252">
        <w:rPr>
          <w:rFonts w:ascii="Book Antiqua" w:eastAsia="Book Antiqua" w:hAnsi="Book Antiqua" w:cs="Book Antiqua"/>
          <w:color w:val="000000"/>
          <w:vertAlign w:val="superscript"/>
        </w:rPr>
        <w:t>[25,26]</w:t>
      </w:r>
      <w:r w:rsidRPr="00FD1252">
        <w:rPr>
          <w:rFonts w:ascii="Book Antiqua" w:eastAsia="Book Antiqua" w:hAnsi="Book Antiqua" w:cs="Book Antiqua"/>
          <w:color w:val="000000"/>
        </w:rPr>
        <w:t>.</w:t>
      </w:r>
    </w:p>
    <w:p w14:paraId="5372EAD8" w14:textId="77777777"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Following a brief overview of the decade-wise evolution of the overall classification schema, it is now appropriate to discuss the evolutionary changes of the Banff classification according to individual diagnostic categories in some detail. The names of categories have changed many times. Here, we use the most representative name of the category, which may not be necessarily the same as in the latest Banff classification, the 2019 Banff classification.</w:t>
      </w:r>
    </w:p>
    <w:p w14:paraId="7AA84EFC" w14:textId="77777777" w:rsidR="00A77B3E" w:rsidRPr="00FD1252" w:rsidRDefault="00A77B3E" w:rsidP="00FD1252">
      <w:pPr>
        <w:spacing w:line="360" w:lineRule="auto"/>
        <w:ind w:firstLine="240"/>
        <w:jc w:val="both"/>
        <w:rPr>
          <w:rFonts w:ascii="Book Antiqua" w:hAnsi="Book Antiqua"/>
        </w:rPr>
      </w:pPr>
    </w:p>
    <w:p w14:paraId="25EB16AE" w14:textId="687A851A" w:rsidR="00A77B3E" w:rsidRPr="00FD1252" w:rsidRDefault="006E5779" w:rsidP="00FD1252">
      <w:pPr>
        <w:spacing w:line="360" w:lineRule="auto"/>
        <w:jc w:val="both"/>
        <w:rPr>
          <w:rFonts w:ascii="Book Antiqua" w:hAnsi="Book Antiqua"/>
          <w:i/>
          <w:iCs/>
        </w:rPr>
      </w:pPr>
      <w:r w:rsidRPr="00FD1252">
        <w:rPr>
          <w:rFonts w:ascii="Book Antiqua" w:eastAsia="Book Antiqua" w:hAnsi="Book Antiqua" w:cs="Book Antiqua"/>
          <w:b/>
          <w:bCs/>
          <w:i/>
          <w:iCs/>
          <w:caps/>
          <w:color w:val="000000"/>
        </w:rPr>
        <w:t>B</w:t>
      </w:r>
      <w:r w:rsidR="001634BD" w:rsidRPr="00FD1252">
        <w:rPr>
          <w:rFonts w:ascii="Book Antiqua" w:eastAsia="Book Antiqua" w:hAnsi="Book Antiqua" w:cs="Book Antiqua"/>
          <w:b/>
          <w:bCs/>
          <w:i/>
          <w:iCs/>
          <w:color w:val="000000"/>
        </w:rPr>
        <w:t>anff category 1</w:t>
      </w:r>
      <w:r w:rsidR="001634BD" w:rsidRPr="00FD1252">
        <w:rPr>
          <w:rFonts w:ascii="Book Antiqua" w:eastAsia="Book Antiqua" w:hAnsi="Book Antiqua" w:cs="Book Antiqua"/>
          <w:b/>
          <w:bCs/>
          <w:i/>
          <w:iCs/>
          <w:caps/>
          <w:color w:val="000000"/>
        </w:rPr>
        <w:t>:</w:t>
      </w:r>
      <w:r w:rsidRPr="00FD1252">
        <w:rPr>
          <w:rFonts w:ascii="Book Antiqua" w:eastAsia="Book Antiqua" w:hAnsi="Book Antiqua" w:cs="Book Antiqua"/>
          <w:b/>
          <w:bCs/>
          <w:i/>
          <w:iCs/>
          <w:caps/>
          <w:color w:val="000000"/>
        </w:rPr>
        <w:t xml:space="preserve"> N</w:t>
      </w:r>
      <w:r w:rsidR="001634BD" w:rsidRPr="00FD1252">
        <w:rPr>
          <w:rFonts w:ascii="Book Antiqua" w:eastAsia="Book Antiqua" w:hAnsi="Book Antiqua" w:cs="Book Antiqua"/>
          <w:b/>
          <w:bCs/>
          <w:i/>
          <w:iCs/>
          <w:color w:val="000000"/>
        </w:rPr>
        <w:t>ormal biopsy or nonspecific changes</w:t>
      </w:r>
    </w:p>
    <w:p w14:paraId="46D1D1E0" w14:textId="33FBB3AA"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color w:val="000000"/>
        </w:rPr>
        <w:t>This is the first category of the original Banff construct and is still so. The definition of this category is self-explanatory. In fact, this category is a diagnosis of exclusion, which implies that not only the graft parenchyma should be free of inflammatory cell infiltration, but it should also show no features of acute tubular injury (ATI) or acute tubular necrosis. Taken at its face value, this category appears superfluous. The rationale behind using and retaining this category seems to be the unavoidable consequence of an overenthusiastic biopsy approach. In some centers, allograft biopsies are performed too quickly or for transient rises in serum creatinine, such that the morphological lesions are either not fully expressed or there is a cause of allograft dysfunction outside of the graft parenchyma. In some instances, sampling error may account for the normal appearances of the sampled cores, especially when the rise in serum creatinine is of an appreciable degree. This is the only category of the Banff classification that cannot be diagnosed in concurrence with any other category.</w:t>
      </w:r>
    </w:p>
    <w:p w14:paraId="7A6D4ED8" w14:textId="17D5B20E"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lastRenderedPageBreak/>
        <w:t>No significant changes have occurred in this category except for a name change from the “Normal” in the 1993 report through to the 2013 paper to the “Normal biopsy or nonspecific changes” in the 2015 Banff report</w:t>
      </w:r>
      <w:r w:rsidRPr="00FD1252">
        <w:rPr>
          <w:rFonts w:ascii="Book Antiqua" w:eastAsia="Book Antiqua" w:hAnsi="Book Antiqua" w:cs="Book Antiqua"/>
          <w:color w:val="000000"/>
          <w:vertAlign w:val="superscript"/>
        </w:rPr>
        <w:t>[10,23,24]</w:t>
      </w:r>
      <w:r w:rsidRPr="00FD1252">
        <w:rPr>
          <w:rFonts w:ascii="Book Antiqua" w:eastAsia="Book Antiqua" w:hAnsi="Book Antiqua" w:cs="Book Antiqua"/>
          <w:color w:val="000000"/>
        </w:rPr>
        <w:t>. The prevalence of this category in renal allograft biopsies should ideally be low.</w:t>
      </w:r>
    </w:p>
    <w:p w14:paraId="4E76B7D1" w14:textId="77777777" w:rsidR="00A77B3E" w:rsidRPr="00FD1252" w:rsidRDefault="00A77B3E" w:rsidP="00FD1252">
      <w:pPr>
        <w:spacing w:line="360" w:lineRule="auto"/>
        <w:ind w:firstLine="240"/>
        <w:jc w:val="both"/>
        <w:rPr>
          <w:rFonts w:ascii="Book Antiqua" w:hAnsi="Book Antiqua"/>
        </w:rPr>
      </w:pPr>
    </w:p>
    <w:p w14:paraId="3B76B6CD" w14:textId="566ADFE1" w:rsidR="00A77B3E" w:rsidRPr="00FD1252" w:rsidRDefault="006E5779" w:rsidP="00FD1252">
      <w:pPr>
        <w:spacing w:line="360" w:lineRule="auto"/>
        <w:jc w:val="both"/>
        <w:rPr>
          <w:rFonts w:ascii="Book Antiqua" w:hAnsi="Book Antiqua"/>
          <w:i/>
          <w:iCs/>
        </w:rPr>
      </w:pPr>
      <w:r w:rsidRPr="00FD1252">
        <w:rPr>
          <w:rFonts w:ascii="Book Antiqua" w:eastAsia="Book Antiqua" w:hAnsi="Book Antiqua" w:cs="Book Antiqua"/>
          <w:b/>
          <w:bCs/>
          <w:i/>
          <w:iCs/>
          <w:caps/>
          <w:color w:val="000000"/>
        </w:rPr>
        <w:t>B</w:t>
      </w:r>
      <w:r w:rsidR="001634BD" w:rsidRPr="00FD1252">
        <w:rPr>
          <w:rFonts w:ascii="Book Antiqua" w:eastAsia="Book Antiqua" w:hAnsi="Book Antiqua" w:cs="Book Antiqua"/>
          <w:b/>
          <w:bCs/>
          <w:i/>
          <w:iCs/>
          <w:color w:val="000000"/>
        </w:rPr>
        <w:t>anff category 2: Antibody-mediated changes</w:t>
      </w:r>
    </w:p>
    <w:p w14:paraId="544FA333" w14:textId="73019F69"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color w:val="000000"/>
        </w:rPr>
        <w:t>Although the founders of the Banff classification recognized the importance of alloantibodies in causing allograft injury right from the beginning of the development of the classification and category 2 was devoted to alloantibodies in the original classification, their full scope was not fully known at that time</w:t>
      </w:r>
      <w:r w:rsidRPr="00FD1252">
        <w:rPr>
          <w:rFonts w:ascii="Book Antiqua" w:eastAsia="Book Antiqua" w:hAnsi="Book Antiqua" w:cs="Book Antiqua"/>
          <w:color w:val="000000"/>
          <w:vertAlign w:val="superscript"/>
        </w:rPr>
        <w:t>[28-31]</w:t>
      </w:r>
      <w:r w:rsidRPr="00FD1252">
        <w:rPr>
          <w:rFonts w:ascii="Book Antiqua" w:eastAsia="Book Antiqua" w:hAnsi="Book Antiqua" w:cs="Book Antiqua"/>
          <w:color w:val="000000"/>
        </w:rPr>
        <w:t>. The role of antibodies was initially thought to be limited only to the immediate post-transplant period</w:t>
      </w:r>
      <w:r w:rsidRPr="00FD1252">
        <w:rPr>
          <w:rFonts w:ascii="Book Antiqua" w:eastAsia="Book Antiqua" w:hAnsi="Book Antiqua" w:cs="Book Antiqua"/>
          <w:color w:val="000000"/>
          <w:vertAlign w:val="superscript"/>
        </w:rPr>
        <w:t>[10,11]</w:t>
      </w:r>
      <w:r w:rsidRPr="00FD1252">
        <w:rPr>
          <w:rFonts w:ascii="Book Antiqua" w:eastAsia="Book Antiqua" w:hAnsi="Book Antiqua" w:cs="Book Antiqua"/>
          <w:color w:val="000000"/>
        </w:rPr>
        <w:t xml:space="preserve">. With increasing experience and the resulting accumulating evidence, this notion proved to be incorrect and this category has undergone dramatic changes including its nomenclature during the three decades of the evolution of the Banff classification (Figure </w:t>
      </w:r>
      <w:r w:rsidR="003474F9" w:rsidRPr="00FD1252">
        <w:rPr>
          <w:rFonts w:ascii="Book Antiqua" w:eastAsia="Book Antiqua" w:hAnsi="Book Antiqua" w:cs="Book Antiqua"/>
          <w:color w:val="000000"/>
        </w:rPr>
        <w:t>5A</w:t>
      </w:r>
      <w:r w:rsidRPr="00FD1252">
        <w:rPr>
          <w:rFonts w:ascii="Book Antiqua" w:eastAsia="Book Antiqua" w:hAnsi="Book Antiqua" w:cs="Book Antiqua"/>
          <w:color w:val="000000"/>
        </w:rPr>
        <w:t>).</w:t>
      </w:r>
    </w:p>
    <w:p w14:paraId="0E34B55F" w14:textId="10F3A61C"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A number of factors contributed to this increased focus on AMR: (</w:t>
      </w:r>
      <w:r w:rsidR="001634BD" w:rsidRPr="00FD1252">
        <w:rPr>
          <w:rFonts w:ascii="Book Antiqua" w:eastAsia="Book Antiqua" w:hAnsi="Book Antiqua" w:cs="Book Antiqua"/>
          <w:color w:val="000000"/>
        </w:rPr>
        <w:t>1</w:t>
      </w:r>
      <w:r w:rsidRPr="00FD1252">
        <w:rPr>
          <w:rFonts w:ascii="Book Antiqua" w:eastAsia="Book Antiqua" w:hAnsi="Book Antiqua" w:cs="Book Antiqua"/>
          <w:color w:val="000000"/>
        </w:rPr>
        <w:t xml:space="preserve">) </w:t>
      </w:r>
      <w:r w:rsidR="001634BD" w:rsidRPr="00FD1252">
        <w:rPr>
          <w:rFonts w:ascii="Book Antiqua" w:eastAsia="Book Antiqua" w:hAnsi="Book Antiqua" w:cs="Book Antiqua"/>
          <w:color w:val="000000"/>
        </w:rPr>
        <w:t>I</w:t>
      </w:r>
      <w:r w:rsidRPr="00FD1252">
        <w:rPr>
          <w:rFonts w:ascii="Book Antiqua" w:eastAsia="Book Antiqua" w:hAnsi="Book Antiqua" w:cs="Book Antiqua"/>
          <w:color w:val="000000"/>
        </w:rPr>
        <w:t xml:space="preserve">ncreased recognition of the condition as a result of identification of a highly sensitive and equally specific biomarker of AMR, </w:t>
      </w:r>
      <w:r w:rsidRPr="00FD1252">
        <w:rPr>
          <w:rFonts w:ascii="Book Antiqua" w:eastAsia="Book Antiqua" w:hAnsi="Book Antiqua" w:cs="Book Antiqua"/>
          <w:i/>
          <w:iCs/>
          <w:color w:val="000000"/>
        </w:rPr>
        <w:t>i.e.</w:t>
      </w:r>
      <w:r w:rsidRPr="00FD1252">
        <w:rPr>
          <w:rFonts w:ascii="Book Antiqua" w:eastAsia="Book Antiqua" w:hAnsi="Book Antiqua" w:cs="Book Antiqua"/>
          <w:color w:val="000000"/>
        </w:rPr>
        <w:t xml:space="preserve"> C4d and subsequently some relatively specific pathological features of AMR</w:t>
      </w:r>
      <w:r w:rsidR="001634BD" w:rsidRPr="00FD1252">
        <w:rPr>
          <w:rFonts w:ascii="Book Antiqua" w:eastAsia="Book Antiqua" w:hAnsi="Book Antiqua" w:cs="Book Antiqua"/>
          <w:color w:val="000000"/>
        </w:rPr>
        <w:t>;</w:t>
      </w:r>
      <w:r w:rsidRPr="00FD1252">
        <w:rPr>
          <w:rFonts w:ascii="Book Antiqua" w:eastAsia="Book Antiqua" w:hAnsi="Book Antiqua" w:cs="Book Antiqua"/>
          <w:color w:val="000000"/>
        </w:rPr>
        <w:t xml:space="preserve"> (</w:t>
      </w:r>
      <w:r w:rsidR="001634BD" w:rsidRPr="00FD1252">
        <w:rPr>
          <w:rFonts w:ascii="Book Antiqua" w:eastAsia="Book Antiqua" w:hAnsi="Book Antiqua" w:cs="Book Antiqua"/>
          <w:color w:val="000000"/>
        </w:rPr>
        <w:t>2</w:t>
      </w:r>
      <w:r w:rsidRPr="00FD1252">
        <w:rPr>
          <w:rFonts w:ascii="Book Antiqua" w:eastAsia="Book Antiqua" w:hAnsi="Book Antiqua" w:cs="Book Antiqua"/>
          <w:color w:val="000000"/>
        </w:rPr>
        <w:t xml:space="preserve">) </w:t>
      </w:r>
      <w:r w:rsidR="001634BD" w:rsidRPr="00FD1252">
        <w:rPr>
          <w:rFonts w:ascii="Book Antiqua" w:eastAsia="Book Antiqua" w:hAnsi="Book Antiqua" w:cs="Book Antiqua"/>
          <w:color w:val="000000"/>
        </w:rPr>
        <w:t>A</w:t>
      </w:r>
      <w:r w:rsidRPr="00FD1252">
        <w:rPr>
          <w:rFonts w:ascii="Book Antiqua" w:eastAsia="Book Antiqua" w:hAnsi="Book Antiqua" w:cs="Book Antiqua"/>
          <w:color w:val="000000"/>
        </w:rPr>
        <w:t xml:space="preserve"> better understanding of the roles and techniques for the detection of anti-donor antibodies</w:t>
      </w:r>
      <w:r w:rsidR="001634BD" w:rsidRPr="00FD1252">
        <w:rPr>
          <w:rFonts w:ascii="Book Antiqua" w:eastAsia="Book Antiqua" w:hAnsi="Book Antiqua" w:cs="Book Antiqua"/>
          <w:color w:val="000000"/>
        </w:rPr>
        <w:t>;</w:t>
      </w:r>
      <w:r w:rsidRPr="00FD1252">
        <w:rPr>
          <w:rFonts w:ascii="Book Antiqua" w:eastAsia="Book Antiqua" w:hAnsi="Book Antiqua" w:cs="Book Antiqua"/>
          <w:color w:val="000000"/>
        </w:rPr>
        <w:t xml:space="preserve"> (</w:t>
      </w:r>
      <w:r w:rsidR="001634BD" w:rsidRPr="00FD1252">
        <w:rPr>
          <w:rFonts w:ascii="Book Antiqua" w:eastAsia="Book Antiqua" w:hAnsi="Book Antiqua" w:cs="Book Antiqua"/>
          <w:color w:val="000000"/>
        </w:rPr>
        <w:t>3</w:t>
      </w:r>
      <w:r w:rsidRPr="00FD1252">
        <w:rPr>
          <w:rFonts w:ascii="Book Antiqua" w:eastAsia="Book Antiqua" w:hAnsi="Book Antiqua" w:cs="Book Antiqua"/>
          <w:color w:val="000000"/>
        </w:rPr>
        <w:t xml:space="preserve">) </w:t>
      </w:r>
      <w:r w:rsidR="001634BD" w:rsidRPr="00FD1252">
        <w:rPr>
          <w:rFonts w:ascii="Book Antiqua" w:eastAsia="Book Antiqua" w:hAnsi="Book Antiqua" w:cs="Book Antiqua"/>
          <w:color w:val="000000"/>
        </w:rPr>
        <w:t>I</w:t>
      </w:r>
      <w:r w:rsidRPr="00FD1252">
        <w:rPr>
          <w:rFonts w:ascii="Book Antiqua" w:eastAsia="Book Antiqua" w:hAnsi="Book Antiqua" w:cs="Book Antiqua"/>
          <w:color w:val="000000"/>
        </w:rPr>
        <w:t xml:space="preserve">ncreasing numbers of re-transplants, </w:t>
      </w:r>
      <w:r w:rsidRPr="00FD1252">
        <w:rPr>
          <w:rFonts w:ascii="Book Antiqua" w:eastAsia="Book Antiqua" w:hAnsi="Book Antiqua" w:cs="Book Antiqua"/>
          <w:i/>
          <w:iCs/>
          <w:color w:val="000000"/>
        </w:rPr>
        <w:t>i.e.</w:t>
      </w:r>
      <w:r w:rsidRPr="00FD1252">
        <w:rPr>
          <w:rFonts w:ascii="Book Antiqua" w:eastAsia="Book Antiqua" w:hAnsi="Book Antiqua" w:cs="Book Antiqua"/>
          <w:color w:val="000000"/>
        </w:rPr>
        <w:t xml:space="preserve"> second or third transplants</w:t>
      </w:r>
      <w:r w:rsidR="001634BD" w:rsidRPr="00FD1252">
        <w:rPr>
          <w:rFonts w:ascii="Book Antiqua" w:eastAsia="Book Antiqua" w:hAnsi="Book Antiqua" w:cs="Book Antiqua"/>
          <w:color w:val="000000"/>
        </w:rPr>
        <w:t>;</w:t>
      </w:r>
      <w:r w:rsidRPr="00FD1252">
        <w:rPr>
          <w:rFonts w:ascii="Book Antiqua" w:eastAsia="Book Antiqua" w:hAnsi="Book Antiqua" w:cs="Book Antiqua"/>
          <w:color w:val="000000"/>
        </w:rPr>
        <w:t xml:space="preserve"> and (</w:t>
      </w:r>
      <w:r w:rsidR="001634BD" w:rsidRPr="00FD1252">
        <w:rPr>
          <w:rFonts w:ascii="Book Antiqua" w:eastAsia="Book Antiqua" w:hAnsi="Book Antiqua" w:cs="Book Antiqua"/>
          <w:color w:val="000000"/>
        </w:rPr>
        <w:t>4</w:t>
      </w:r>
      <w:r w:rsidRPr="00FD1252">
        <w:rPr>
          <w:rFonts w:ascii="Book Antiqua" w:eastAsia="Book Antiqua" w:hAnsi="Book Antiqua" w:cs="Book Antiqua"/>
          <w:color w:val="000000"/>
        </w:rPr>
        <w:t xml:space="preserve">) </w:t>
      </w:r>
      <w:r w:rsidR="001634BD" w:rsidRPr="00FD1252">
        <w:rPr>
          <w:rFonts w:ascii="Book Antiqua" w:eastAsia="Book Antiqua" w:hAnsi="Book Antiqua" w:cs="Book Antiqua"/>
          <w:color w:val="000000"/>
        </w:rPr>
        <w:t>I</w:t>
      </w:r>
      <w:r w:rsidRPr="00FD1252">
        <w:rPr>
          <w:rFonts w:ascii="Book Antiqua" w:eastAsia="Book Antiqua" w:hAnsi="Book Antiqua" w:cs="Book Antiqua"/>
          <w:color w:val="000000"/>
        </w:rPr>
        <w:t>ncreased rates of transplantations across ABO and other immunologic barriers as a result of a shortage of donor organs.</w:t>
      </w:r>
    </w:p>
    <w:p w14:paraId="171EA8D3" w14:textId="3A4A9A8A"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Before discussing the changes in the Banff category of AMR at length, it seems prudent to discuss briefly the pathophysiology of AMR. The main target of AMR is the endothelial cell lining the vascular system, most notably those lining the microcirculation (glomeruli and PTCs in the kidney), but larger arteries may also be targeted. This is comprehensible as the alloantibodies are found in the bloodstream and they first encounter the endothelium of the blood vessels and interact with it. The intensity and nature of the subsequent pathological lesions are variable and depend on many factors including antibody type</w:t>
      </w:r>
      <w:r w:rsidRPr="00FD1252">
        <w:rPr>
          <w:rFonts w:ascii="Book Antiqua" w:eastAsia="Book Antiqua" w:hAnsi="Book Antiqua" w:cs="Book Antiqua"/>
          <w:color w:val="000000"/>
          <w:vertAlign w:val="superscript"/>
        </w:rPr>
        <w:t>[32]</w:t>
      </w:r>
      <w:r w:rsidRPr="00FD1252">
        <w:rPr>
          <w:rFonts w:ascii="Book Antiqua" w:eastAsia="Book Antiqua" w:hAnsi="Book Antiqua" w:cs="Book Antiqua"/>
          <w:color w:val="000000"/>
        </w:rPr>
        <w:t>.</w:t>
      </w:r>
    </w:p>
    <w:p w14:paraId="0E3F59AF" w14:textId="6E383AFD"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lastRenderedPageBreak/>
        <w:t>The terminology of the category has changed many times, as depicted in Table 3. These changes were necessitated by changing knowledge and accumulating evidence of the role of antibodies in causing allograft injury. In the Banff 93 classification, the category was named hyperacute rejection (HAR). The reason behind this was that, at that time, antibodies were thought to be responsible for causing only this particular type of rejection. In the Banff 97 classification, the category was renamed “antibody-mediated rejection” and divided on clinical grounds into two categories depending on their presentation, as shown in Table 3. HAR and accelerated acute rejections have fortunately become exceedingly rare nowadays. As a result, the Banff classification dropped these terms from the subsequent revised versions. In contrast to cellular rejection, antibodies themselves are not easily visualized in the kidney allograft biopsy tissue. Hence, identification of their role beyond the immediate post-transplant period required the discovery and use of some biomarkers of antibody action. The discovery of C4d in 1993 was such a transformative marker, which prompted research into the role of alloantibodies in allograft rejection</w:t>
      </w:r>
      <w:r w:rsidRPr="00FD1252">
        <w:rPr>
          <w:rFonts w:ascii="Book Antiqua" w:eastAsia="Book Antiqua" w:hAnsi="Book Antiqua" w:cs="Book Antiqua"/>
          <w:color w:val="000000"/>
          <w:vertAlign w:val="superscript"/>
        </w:rPr>
        <w:t>[33-39]</w:t>
      </w:r>
      <w:r w:rsidRPr="00FD1252">
        <w:rPr>
          <w:rFonts w:ascii="Book Antiqua" w:eastAsia="Book Antiqua" w:hAnsi="Book Antiqua" w:cs="Book Antiqua"/>
          <w:color w:val="000000"/>
        </w:rPr>
        <w:t xml:space="preserve">. In the Banff 2001 meeting, the role of antibodies was recognized in acute settings also, </w:t>
      </w:r>
      <w:r w:rsidRPr="00FD1252">
        <w:rPr>
          <w:rFonts w:ascii="Book Antiqua" w:eastAsia="Book Antiqua" w:hAnsi="Book Antiqua" w:cs="Book Antiqua"/>
          <w:i/>
          <w:iCs/>
          <w:color w:val="000000"/>
        </w:rPr>
        <w:t>i.e.</w:t>
      </w:r>
      <w:r w:rsidRPr="00FD1252">
        <w:rPr>
          <w:rFonts w:ascii="Book Antiqua" w:eastAsia="Book Antiqua" w:hAnsi="Book Antiqua" w:cs="Book Antiqua"/>
          <w:color w:val="000000"/>
        </w:rPr>
        <w:t xml:space="preserve"> beyond the immediate post-transplant period</w:t>
      </w:r>
      <w:r w:rsidRPr="00FD1252">
        <w:rPr>
          <w:rFonts w:ascii="Book Antiqua" w:eastAsia="Book Antiqua" w:hAnsi="Book Antiqua" w:cs="Book Antiqua"/>
          <w:color w:val="000000"/>
          <w:vertAlign w:val="superscript"/>
        </w:rPr>
        <w:t>[12]</w:t>
      </w:r>
      <w:r w:rsidRPr="00FD1252">
        <w:rPr>
          <w:rFonts w:ascii="Book Antiqua" w:eastAsia="Book Antiqua" w:hAnsi="Book Antiqua" w:cs="Book Antiqua"/>
          <w:color w:val="000000"/>
        </w:rPr>
        <w:t>. In this meeting, for the first time, the pathological criteria were developed for the diagnosis of acute AMR and types of AMR were described. This marked the debut of not only the ancillary technique of C4d staining but also incorporated serology in the Banff classification system, making it a multidisciplinary classification</w:t>
      </w:r>
      <w:r w:rsidRPr="00FD1252">
        <w:rPr>
          <w:rFonts w:ascii="Book Antiqua" w:eastAsia="Book Antiqua" w:hAnsi="Book Antiqua" w:cs="Book Antiqua"/>
          <w:color w:val="000000"/>
          <w:vertAlign w:val="superscript"/>
        </w:rPr>
        <w:t>[12]</w:t>
      </w:r>
      <w:r w:rsidRPr="00FD1252">
        <w:rPr>
          <w:rFonts w:ascii="Book Antiqua" w:eastAsia="Book Antiqua" w:hAnsi="Book Antiqua" w:cs="Book Antiqua"/>
          <w:color w:val="000000"/>
        </w:rPr>
        <w:t>. In the Banff 2005 meeting, diagnostic criteria were developed for chronic AMR including the lesions of transplant glomerulopathy (cg), PTC basement membrane multilayering (ptcml), and transplant arteriopathy (cv)</w:t>
      </w:r>
      <w:r w:rsidRPr="00FD1252">
        <w:rPr>
          <w:rFonts w:ascii="Book Antiqua" w:eastAsia="Book Antiqua" w:hAnsi="Book Antiqua" w:cs="Book Antiqua"/>
          <w:color w:val="000000"/>
          <w:vertAlign w:val="superscript"/>
        </w:rPr>
        <w:t>[21]</w:t>
      </w:r>
      <w:r w:rsidRPr="00FD1252">
        <w:rPr>
          <w:rFonts w:ascii="Book Antiqua" w:eastAsia="Book Antiqua" w:hAnsi="Book Antiqua" w:cs="Book Antiqua"/>
          <w:color w:val="000000"/>
        </w:rPr>
        <w:t>. From the Banff 2007 meeting onwards, the name of this category was changed to antibody-mediated changes, instead of AMR, as it had been shown in experimental studies that not all antibodies cause rejection but some of the antibodies may be involved in accommodation and the full spectrum of antibody actions and outcome on graft tissue was being explored</w:t>
      </w:r>
      <w:r w:rsidRPr="00FD1252">
        <w:rPr>
          <w:rFonts w:ascii="Book Antiqua" w:eastAsia="Book Antiqua" w:hAnsi="Book Antiqua" w:cs="Book Antiqua"/>
          <w:color w:val="000000"/>
          <w:vertAlign w:val="superscript"/>
        </w:rPr>
        <w:t>[40,41]</w:t>
      </w:r>
      <w:r w:rsidRPr="00FD1252">
        <w:rPr>
          <w:rFonts w:ascii="Book Antiqua" w:eastAsia="Book Antiqua" w:hAnsi="Book Antiqua" w:cs="Book Antiqua"/>
          <w:color w:val="000000"/>
        </w:rPr>
        <w:t>. Thus, the present terminology reflects the broad spectrum of actions that can be mediated by antibodies in the graft, many of which still remain to be explored.</w:t>
      </w:r>
    </w:p>
    <w:p w14:paraId="2F603670" w14:textId="1F90EA88"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lastRenderedPageBreak/>
        <w:t>With extensive use of c4d in clinical practice, particularly in the protocol biopsies, it was observed that a small number of graft biopsies show c4d positivity in the absence of morphological or clinical features of acute or chronic AMR. Thus, a new subcategory of “C4d deposition without morphologic evidence of active rejection“</w:t>
      </w:r>
      <w:r w:rsidRPr="00FD1252">
        <w:rPr>
          <w:rFonts w:ascii="Book Antiqua" w:eastAsia="Book Antiqua" w:hAnsi="Book Antiqua" w:cs="Book Antiqua"/>
          <w:i/>
          <w:iCs/>
          <w:color w:val="000000"/>
        </w:rPr>
        <w:t xml:space="preserve"> </w:t>
      </w:r>
      <w:r w:rsidRPr="00FD1252">
        <w:rPr>
          <w:rFonts w:ascii="Book Antiqua" w:eastAsia="Book Antiqua" w:hAnsi="Book Antiqua" w:cs="Book Antiqua"/>
          <w:color w:val="000000"/>
        </w:rPr>
        <w:t>was added to the Banff classification in 2007</w:t>
      </w:r>
      <w:r w:rsidRPr="00FD1252">
        <w:rPr>
          <w:rFonts w:ascii="Book Antiqua" w:eastAsia="Book Antiqua" w:hAnsi="Book Antiqua" w:cs="Book Antiqua"/>
          <w:color w:val="000000"/>
          <w:vertAlign w:val="superscript"/>
        </w:rPr>
        <w:t>[40,41]</w:t>
      </w:r>
      <w:r w:rsidRPr="00FD1252">
        <w:rPr>
          <w:rFonts w:ascii="Book Antiqua" w:eastAsia="Book Antiqua" w:hAnsi="Book Antiqua" w:cs="Book Antiqua"/>
          <w:color w:val="000000"/>
        </w:rPr>
        <w:t xml:space="preserve">. Two new lesions of C4d and </w:t>
      </w:r>
      <w:r w:rsidR="00B2007C" w:rsidRPr="00FD1252">
        <w:rPr>
          <w:rFonts w:ascii="Book Antiqua" w:eastAsia="Book Antiqua" w:hAnsi="Book Antiqua" w:cs="Book Antiqua"/>
          <w:color w:val="000000"/>
        </w:rPr>
        <w:t>PTC</w:t>
      </w:r>
      <w:r w:rsidRPr="00FD1252">
        <w:rPr>
          <w:rFonts w:ascii="Book Antiqua" w:eastAsia="Book Antiqua" w:hAnsi="Book Antiqua" w:cs="Book Antiqua"/>
          <w:color w:val="000000"/>
        </w:rPr>
        <w:t xml:space="preserve"> were also introduced and presented at the 2007 Banff meeting for validation and future incorporation</w:t>
      </w:r>
      <w:r w:rsidRPr="00FD1252">
        <w:rPr>
          <w:rFonts w:ascii="Book Antiqua" w:eastAsia="Book Antiqua" w:hAnsi="Book Antiqua" w:cs="Book Antiqua"/>
          <w:color w:val="000000"/>
          <w:vertAlign w:val="superscript"/>
        </w:rPr>
        <w:t>[42]</w:t>
      </w:r>
      <w:r w:rsidRPr="00FD1252">
        <w:rPr>
          <w:rFonts w:ascii="Book Antiqua" w:eastAsia="Book Antiqua" w:hAnsi="Book Antiqua" w:cs="Book Antiqua"/>
          <w:color w:val="000000"/>
        </w:rPr>
        <w:t>.</w:t>
      </w:r>
    </w:p>
    <w:p w14:paraId="19153271" w14:textId="5B2E66F9"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 xml:space="preserve">From Banff 2001 to Banff 2011, only diffuse C4d staining (c4d3) on IF, involving more than 50% of PTCs, was recognized as fulfilling the immunopathologic requirement for AMR, which was amended in the Banff 2013 meeting to accept focal (c4d2: </w:t>
      </w:r>
      <w:r w:rsidR="00B2007C" w:rsidRPr="00FD1252">
        <w:rPr>
          <w:rFonts w:ascii="Book Antiqua" w:eastAsia="Book Antiqua" w:hAnsi="Book Antiqua" w:cs="Book Antiqua"/>
          <w:color w:val="000000"/>
        </w:rPr>
        <w:t>S</w:t>
      </w:r>
      <w:r w:rsidRPr="00FD1252">
        <w:rPr>
          <w:rFonts w:ascii="Book Antiqua" w:eastAsia="Book Antiqua" w:hAnsi="Book Antiqua" w:cs="Book Antiqua"/>
          <w:color w:val="000000"/>
        </w:rPr>
        <w:t>taining 10%</w:t>
      </w:r>
      <w:r w:rsidR="00B2007C" w:rsidRPr="00FD1252">
        <w:rPr>
          <w:rFonts w:ascii="Book Antiqua" w:eastAsia="Book Antiqua" w:hAnsi="Book Antiqua" w:cs="Book Antiqua"/>
          <w:color w:val="000000"/>
        </w:rPr>
        <w:t>-</w:t>
      </w:r>
      <w:r w:rsidRPr="00FD1252">
        <w:rPr>
          <w:rFonts w:ascii="Book Antiqua" w:eastAsia="Book Antiqua" w:hAnsi="Book Antiqua" w:cs="Book Antiqua"/>
          <w:color w:val="000000"/>
        </w:rPr>
        <w:t>50% of PTCs) PTC staining as it was shown to correlate with DSA and decreased allograft survival</w:t>
      </w:r>
      <w:r w:rsidRPr="00FD1252">
        <w:rPr>
          <w:rFonts w:ascii="Book Antiqua" w:eastAsia="Book Antiqua" w:hAnsi="Book Antiqua" w:cs="Book Antiqua"/>
          <w:color w:val="000000"/>
          <w:vertAlign w:val="superscript"/>
        </w:rPr>
        <w:t>[14]</w:t>
      </w:r>
      <w:r w:rsidRPr="00FD1252">
        <w:rPr>
          <w:rFonts w:ascii="Book Antiqua" w:eastAsia="Book Antiqua" w:hAnsi="Book Antiqua" w:cs="Book Antiqua"/>
          <w:color w:val="000000"/>
        </w:rPr>
        <w:t>.</w:t>
      </w:r>
    </w:p>
    <w:p w14:paraId="5D3CE507" w14:textId="2C5F7E3F"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The second major modification in the AMR category took place in the Banff 2013 meeting</w:t>
      </w:r>
      <w:r w:rsidRPr="00FD1252">
        <w:rPr>
          <w:rFonts w:ascii="Book Antiqua" w:eastAsia="Book Antiqua" w:hAnsi="Book Antiqua" w:cs="Book Antiqua"/>
          <w:color w:val="000000"/>
          <w:vertAlign w:val="superscript"/>
        </w:rPr>
        <w:t>[13]</w:t>
      </w:r>
      <w:r w:rsidRPr="00FD1252">
        <w:rPr>
          <w:rFonts w:ascii="Book Antiqua" w:eastAsia="Book Antiqua" w:hAnsi="Book Antiqua" w:cs="Book Antiqua"/>
          <w:color w:val="000000"/>
        </w:rPr>
        <w:t>. Any degree of v (v</w:t>
      </w:r>
      <w:r w:rsidR="00B2007C" w:rsidRPr="00FD1252">
        <w:rPr>
          <w:rFonts w:ascii="Book Antiqua" w:eastAsia="Book Antiqua" w:hAnsi="Book Antiqua" w:cs="Book Antiqua"/>
          <w:color w:val="000000"/>
        </w:rPr>
        <w:t xml:space="preserve"> </w:t>
      </w:r>
      <w:r w:rsidRPr="00FD1252">
        <w:rPr>
          <w:rFonts w:ascii="Book Antiqua" w:eastAsia="Book Antiqua" w:hAnsi="Book Antiqua" w:cs="Book Antiqua"/>
          <w:color w:val="000000"/>
        </w:rPr>
        <w:t>&gt;</w:t>
      </w:r>
      <w:r w:rsidR="00B2007C" w:rsidRPr="00FD1252">
        <w:rPr>
          <w:rFonts w:ascii="Book Antiqua" w:eastAsia="Book Antiqua" w:hAnsi="Book Antiqua" w:cs="Book Antiqua"/>
          <w:color w:val="000000"/>
        </w:rPr>
        <w:t xml:space="preserve"> </w:t>
      </w:r>
      <w:r w:rsidRPr="00FD1252">
        <w:rPr>
          <w:rFonts w:ascii="Book Antiqua" w:eastAsia="Book Antiqua" w:hAnsi="Book Antiqua" w:cs="Book Antiqua"/>
          <w:color w:val="000000"/>
        </w:rPr>
        <w:t>0) was incorporated in the morphologic criteria for active AMR in contrast to the previous requirement of v3 in light of new studies</w:t>
      </w:r>
      <w:r w:rsidRPr="00FD1252">
        <w:rPr>
          <w:rFonts w:ascii="Book Antiqua" w:eastAsia="Book Antiqua" w:hAnsi="Book Antiqua" w:cs="Book Antiqua"/>
          <w:color w:val="000000"/>
          <w:vertAlign w:val="superscript"/>
        </w:rPr>
        <w:t>[43,44]</w:t>
      </w:r>
      <w:r w:rsidRPr="00FD1252">
        <w:rPr>
          <w:rFonts w:ascii="Book Antiqua" w:eastAsia="Book Antiqua" w:hAnsi="Book Antiqua" w:cs="Book Antiqua"/>
          <w:color w:val="000000"/>
        </w:rPr>
        <w:t>. The absolute condition (criterion 2) for PTC C4d staining for the definite diagnosis of active and chronic active AMR, was supplanted by the criterion of “Evidence of the recent/current interaction of alloantibody with the microvascular endothelium”, the latter including C4d but alternatively a minimum of moderate microvascular inflammation (g + ptc ≥ 2) or amplified expression of validated gene transcripts in the biopsy material suggestive of endothelial injury</w:t>
      </w:r>
      <w:r w:rsidRPr="00FD1252">
        <w:rPr>
          <w:rFonts w:ascii="Book Antiqua" w:eastAsia="Book Antiqua" w:hAnsi="Book Antiqua" w:cs="Book Antiqua"/>
          <w:color w:val="000000"/>
          <w:vertAlign w:val="superscript"/>
        </w:rPr>
        <w:t>[45-50]</w:t>
      </w:r>
      <w:r w:rsidRPr="00FD1252">
        <w:rPr>
          <w:rFonts w:ascii="Book Antiqua" w:eastAsia="Book Antiqua" w:hAnsi="Book Antiqua" w:cs="Book Antiqua"/>
          <w:color w:val="000000"/>
        </w:rPr>
        <w:t>. This signaled the first incorporation of molecular diagnostics into the Banff classification</w:t>
      </w:r>
      <w:r w:rsidRPr="00FD1252">
        <w:rPr>
          <w:rFonts w:ascii="Book Antiqua" w:eastAsia="Book Antiqua" w:hAnsi="Book Antiqua" w:cs="Book Antiqua"/>
          <w:color w:val="000000"/>
          <w:vertAlign w:val="superscript"/>
        </w:rPr>
        <w:t>[13]</w:t>
      </w:r>
      <w:r w:rsidRPr="00FD1252">
        <w:rPr>
          <w:rFonts w:ascii="Book Antiqua" w:eastAsia="Book Antiqua" w:hAnsi="Book Antiqua" w:cs="Book Antiqua"/>
          <w:color w:val="000000"/>
        </w:rPr>
        <w:t>. With these additional criteria, many studies showed that a substantial number of AMR cases were C4d negative</w:t>
      </w:r>
      <w:r w:rsidRPr="00FD1252">
        <w:rPr>
          <w:rFonts w:ascii="Book Antiqua" w:eastAsia="Book Antiqua" w:hAnsi="Book Antiqua" w:cs="Book Antiqua"/>
          <w:color w:val="000000"/>
          <w:vertAlign w:val="superscript"/>
        </w:rPr>
        <w:t>[51,52]</w:t>
      </w:r>
      <w:r w:rsidRPr="00FD1252">
        <w:rPr>
          <w:rFonts w:ascii="Book Antiqua" w:eastAsia="Book Antiqua" w:hAnsi="Book Antiqua" w:cs="Book Antiqua"/>
          <w:color w:val="000000"/>
        </w:rPr>
        <w:t>. Thus, the subcategory of C4d-negative AMR was included in the classification at this meeting. The significance of this change can be judged by the fact that this inclusion was incorporated in the title of the paper of the 2013 Banff meeting</w:t>
      </w:r>
      <w:r w:rsidRPr="00FD1252">
        <w:rPr>
          <w:rFonts w:ascii="Book Antiqua" w:eastAsia="Book Antiqua" w:hAnsi="Book Antiqua" w:cs="Book Antiqua"/>
          <w:color w:val="000000"/>
          <w:vertAlign w:val="superscript"/>
        </w:rPr>
        <w:t>[13]</w:t>
      </w:r>
      <w:r w:rsidRPr="00FD1252">
        <w:rPr>
          <w:rFonts w:ascii="Book Antiqua" w:eastAsia="Book Antiqua" w:hAnsi="Book Antiqua" w:cs="Book Antiqua"/>
          <w:color w:val="000000"/>
        </w:rPr>
        <w:t xml:space="preserve">. In addition, at the Banff 2013 meeting, the minimum thresholds for glomerulitis score (g1) and chronic glomerulopathy by LM (cg1) were revisited based on results of BWG data showing better interobserver reproducibility with the revised criteria. The potential role of EM in the diagnostic evaluation of kidney allograft biopsies was also emphasized, with the </w:t>
      </w:r>
      <w:r w:rsidRPr="00FD1252">
        <w:rPr>
          <w:rFonts w:ascii="Book Antiqua" w:eastAsia="Book Antiqua" w:hAnsi="Book Antiqua" w:cs="Book Antiqua"/>
          <w:color w:val="000000"/>
        </w:rPr>
        <w:lastRenderedPageBreak/>
        <w:t>inclusion of precise criteria for ptcml to augment the specificity of this pattern for chronic AMR and the inclusion of a new subtype of cg by EM exclusively (cg1a)</w:t>
      </w:r>
      <w:r w:rsidRPr="00FD1252">
        <w:rPr>
          <w:rFonts w:ascii="Book Antiqua" w:eastAsia="Book Antiqua" w:hAnsi="Book Antiqua" w:cs="Book Antiqua"/>
          <w:color w:val="000000"/>
          <w:vertAlign w:val="superscript"/>
        </w:rPr>
        <w:t>[53,54]</w:t>
      </w:r>
      <w:r w:rsidRPr="00FD1252">
        <w:rPr>
          <w:rFonts w:ascii="Book Antiqua" w:eastAsia="Book Antiqua" w:hAnsi="Book Antiqua" w:cs="Book Antiqua"/>
          <w:color w:val="000000"/>
        </w:rPr>
        <w:t>.</w:t>
      </w:r>
    </w:p>
    <w:p w14:paraId="042B1E6E" w14:textId="7E3BEC4D"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 xml:space="preserve">In the Banff 2019 meeting, a subtype of chronic AMR, </w:t>
      </w:r>
      <w:r w:rsidRPr="00FD1252">
        <w:rPr>
          <w:rFonts w:ascii="Book Antiqua" w:eastAsia="Book Antiqua" w:hAnsi="Book Antiqua" w:cs="Book Antiqua"/>
          <w:i/>
          <w:iCs/>
          <w:color w:val="000000"/>
        </w:rPr>
        <w:t>i.e.</w:t>
      </w:r>
      <w:r w:rsidRPr="00FD1252">
        <w:rPr>
          <w:rFonts w:ascii="Book Antiqua" w:eastAsia="Book Antiqua" w:hAnsi="Book Antiqua" w:cs="Book Antiqua"/>
          <w:color w:val="000000"/>
        </w:rPr>
        <w:t xml:space="preserve"> chronic inactive AMR was also introduced, as it could be diagnosed on kidney allograft biopsies</w:t>
      </w:r>
      <w:r w:rsidRPr="00FD1252">
        <w:rPr>
          <w:rFonts w:ascii="Book Antiqua" w:eastAsia="Book Antiqua" w:hAnsi="Book Antiqua" w:cs="Book Antiqua"/>
          <w:color w:val="000000"/>
          <w:vertAlign w:val="superscript"/>
        </w:rPr>
        <w:t>[26]</w:t>
      </w:r>
      <w:r w:rsidRPr="00FD1252">
        <w:rPr>
          <w:rFonts w:ascii="Book Antiqua" w:eastAsia="Book Antiqua" w:hAnsi="Book Antiqua" w:cs="Book Antiqua"/>
          <w:color w:val="000000"/>
        </w:rPr>
        <w:t>. Of note, there is no category of chronic (inactive) in TCMR. There is no provision for borderline changes</w:t>
      </w:r>
      <w:r w:rsidR="00B2007C" w:rsidRPr="00FD1252">
        <w:rPr>
          <w:rFonts w:ascii="Book Antiqua" w:eastAsia="Book Antiqua" w:hAnsi="Book Antiqua" w:cs="Book Antiqua"/>
          <w:color w:val="000000"/>
        </w:rPr>
        <w:t xml:space="preserve"> (BCs)</w:t>
      </w:r>
      <w:r w:rsidRPr="00FD1252">
        <w:rPr>
          <w:rFonts w:ascii="Book Antiqua" w:eastAsia="Book Antiqua" w:hAnsi="Book Antiqua" w:cs="Book Antiqua"/>
          <w:color w:val="000000"/>
        </w:rPr>
        <w:t xml:space="preserve"> in the AMR category, but diagnostic thresholds do apply. The diagnosis of “suspicious for AMR (sAMR)” was finally removed from the Banff 2017 classification.</w:t>
      </w:r>
    </w:p>
    <w:p w14:paraId="053B101F" w14:textId="77777777"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In summary, considerable progress has been made in the category of AMR. Molecular studies have been officially incorporated in the Banff classification for diagnosis of this category only. The absolute requirement for C4d its diagnosis has been eliminated. The requirement of DSA is also not absolute. sAMR has been removed from the classification.</w:t>
      </w:r>
    </w:p>
    <w:p w14:paraId="45E6248B" w14:textId="77777777" w:rsidR="00A77B3E" w:rsidRPr="00FD1252" w:rsidRDefault="00A77B3E" w:rsidP="00FD1252">
      <w:pPr>
        <w:spacing w:line="360" w:lineRule="auto"/>
        <w:jc w:val="both"/>
        <w:rPr>
          <w:rFonts w:ascii="Book Antiqua" w:hAnsi="Book Antiqua"/>
        </w:rPr>
      </w:pPr>
    </w:p>
    <w:p w14:paraId="2914B393" w14:textId="414E604D" w:rsidR="00A77B3E" w:rsidRPr="00FD1252" w:rsidRDefault="006E5779" w:rsidP="00FD1252">
      <w:pPr>
        <w:spacing w:line="360" w:lineRule="auto"/>
        <w:jc w:val="both"/>
        <w:rPr>
          <w:rFonts w:ascii="Book Antiqua" w:hAnsi="Book Antiqua"/>
          <w:i/>
          <w:iCs/>
        </w:rPr>
      </w:pPr>
      <w:r w:rsidRPr="00FD1252">
        <w:rPr>
          <w:rFonts w:ascii="Book Antiqua" w:eastAsia="Book Antiqua" w:hAnsi="Book Antiqua" w:cs="Book Antiqua"/>
          <w:b/>
          <w:bCs/>
          <w:i/>
          <w:iCs/>
          <w:caps/>
          <w:color w:val="000000"/>
        </w:rPr>
        <w:t>B</w:t>
      </w:r>
      <w:r w:rsidR="00B2007C" w:rsidRPr="00FD1252">
        <w:rPr>
          <w:rFonts w:ascii="Book Antiqua" w:eastAsia="Book Antiqua" w:hAnsi="Book Antiqua" w:cs="Book Antiqua"/>
          <w:b/>
          <w:bCs/>
          <w:i/>
          <w:iCs/>
          <w:color w:val="000000"/>
        </w:rPr>
        <w:t>anff category 3: BCs</w:t>
      </w:r>
    </w:p>
    <w:p w14:paraId="1A39E865" w14:textId="7B6F4F1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color w:val="000000"/>
        </w:rPr>
        <w:t>The original Banff classification recognized a category of BCs in reporting the renal allograft pathological lesions and the category is still there even after 30 years of refinements and evolution of the classification. This category encompasses only the tubulointerstitial type of rejection and is used when there is mild (i1) to severe (i3) interstitial inflammation but the tubulitis is of mild degree only (t1) or vice versa and no arteritis is present (v0). The true clinical significance of this lesion is still contentious and is largely determined by the clinical context of the case</w:t>
      </w:r>
      <w:r w:rsidRPr="00FD1252">
        <w:rPr>
          <w:rFonts w:ascii="Book Antiqua" w:eastAsia="Book Antiqua" w:hAnsi="Book Antiqua" w:cs="Book Antiqua"/>
          <w:color w:val="000000"/>
          <w:vertAlign w:val="superscript"/>
        </w:rPr>
        <w:t>[55-62]</w:t>
      </w:r>
      <w:r w:rsidRPr="00FD1252">
        <w:rPr>
          <w:rFonts w:ascii="Book Antiqua" w:eastAsia="Book Antiqua" w:hAnsi="Book Antiqua" w:cs="Book Antiqua"/>
          <w:color w:val="000000"/>
        </w:rPr>
        <w:t>. Some of the factors that may determine its clinical relevance include the source of the donor organ, time post-transplant, and the indication and timing of kidney allograft biopsies. Most of the studies on this category have been carried out in deceased donor transplantation programs</w:t>
      </w:r>
      <w:r w:rsidRPr="00FD1252">
        <w:rPr>
          <w:rFonts w:ascii="Book Antiqua" w:eastAsia="Book Antiqua" w:hAnsi="Book Antiqua" w:cs="Book Antiqua"/>
          <w:color w:val="000000"/>
          <w:vertAlign w:val="superscript"/>
        </w:rPr>
        <w:t>[56-62]</w:t>
      </w:r>
      <w:r w:rsidRPr="00FD1252">
        <w:rPr>
          <w:rFonts w:ascii="Book Antiqua" w:eastAsia="Book Antiqua" w:hAnsi="Book Antiqua" w:cs="Book Antiqua"/>
          <w:color w:val="000000"/>
        </w:rPr>
        <w:t>. Only a few studies are available on the clinical relevance of this finding in the live-related renal transplant setting</w:t>
      </w:r>
      <w:r w:rsidRPr="00FD1252">
        <w:rPr>
          <w:rFonts w:ascii="Book Antiqua" w:eastAsia="Book Antiqua" w:hAnsi="Book Antiqua" w:cs="Book Antiqua"/>
          <w:color w:val="000000"/>
          <w:vertAlign w:val="superscript"/>
        </w:rPr>
        <w:t>[63,64]</w:t>
      </w:r>
      <w:r w:rsidRPr="00FD1252">
        <w:rPr>
          <w:rFonts w:ascii="Book Antiqua" w:eastAsia="Book Antiqua" w:hAnsi="Book Antiqua" w:cs="Book Antiqua"/>
          <w:color w:val="000000"/>
        </w:rPr>
        <w:t>.</w:t>
      </w:r>
    </w:p>
    <w:p w14:paraId="3A9523F0" w14:textId="5BE5317E"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 xml:space="preserve">The criteria for the diagnosis of BCs have changed little over time and essentially consist of any combination of interstitial inflammation (i) and tubulitis (t) scores below the threshold level required for the diagnosis of rejection, </w:t>
      </w:r>
      <w:r w:rsidRPr="00FD1252">
        <w:rPr>
          <w:rFonts w:ascii="Book Antiqua" w:eastAsia="Book Antiqua" w:hAnsi="Book Antiqua" w:cs="Book Antiqua"/>
          <w:i/>
          <w:iCs/>
          <w:color w:val="000000"/>
        </w:rPr>
        <w:t>i.e.</w:t>
      </w:r>
      <w:r w:rsidRPr="00FD1252">
        <w:rPr>
          <w:rFonts w:ascii="Book Antiqua" w:eastAsia="Book Antiqua" w:hAnsi="Book Antiqua" w:cs="Book Antiqua"/>
          <w:color w:val="000000"/>
        </w:rPr>
        <w:t xml:space="preserve"> “i2, t2”. The original criteria for the borderline category were developed at the Banff 1991 meeting, describing it as a “very mild” form of acute rejection lacking intimal arteritis (v0) and having only mild to </w:t>
      </w:r>
      <w:r w:rsidRPr="00FD1252">
        <w:rPr>
          <w:rFonts w:ascii="Book Antiqua" w:eastAsia="Book Antiqua" w:hAnsi="Book Antiqua" w:cs="Book Antiqua"/>
          <w:color w:val="000000"/>
        </w:rPr>
        <w:lastRenderedPageBreak/>
        <w:t>moderate patchy mononuclear interstitial inflammatory cell infiltration (i1 or i2) with foci of mild tubulitis (t1; 1 to 4 mononuclear cells per tubular cross-section). In this initial classification, “no treatment” was suggested</w:t>
      </w:r>
      <w:r w:rsidRPr="00FD1252">
        <w:rPr>
          <w:rFonts w:ascii="Book Antiqua" w:eastAsia="Book Antiqua" w:hAnsi="Book Antiqua" w:cs="Book Antiqua"/>
          <w:color w:val="000000"/>
          <w:vertAlign w:val="superscript"/>
        </w:rPr>
        <w:t>[10]</w:t>
      </w:r>
      <w:r w:rsidRPr="00FD1252">
        <w:rPr>
          <w:rFonts w:ascii="Book Antiqua" w:eastAsia="Book Antiqua" w:hAnsi="Book Antiqua" w:cs="Book Antiqua"/>
          <w:color w:val="000000"/>
        </w:rPr>
        <w:t xml:space="preserve">. In 2005, the Banff group suggested the expansion of the </w:t>
      </w:r>
      <w:r w:rsidR="00B2007C" w:rsidRPr="00FD1252">
        <w:rPr>
          <w:rFonts w:ascii="Book Antiqua" w:eastAsia="Book Antiqua" w:hAnsi="Book Antiqua" w:cs="Book Antiqua"/>
          <w:color w:val="000000"/>
        </w:rPr>
        <w:t>“</w:t>
      </w:r>
      <w:r w:rsidRPr="00FD1252">
        <w:rPr>
          <w:rFonts w:ascii="Book Antiqua" w:eastAsia="Book Antiqua" w:hAnsi="Book Antiqua" w:cs="Book Antiqua"/>
          <w:color w:val="000000"/>
        </w:rPr>
        <w:t>BC” category to include lesions with minimal interstitial inflammatory cell infiltration (i0) to i3 with t0 or t1 or t2, t3 with i0, i1</w:t>
      </w:r>
      <w:r w:rsidRPr="00FD1252">
        <w:rPr>
          <w:rFonts w:ascii="Book Antiqua" w:eastAsia="Book Antiqua" w:hAnsi="Book Antiqua" w:cs="Book Antiqua"/>
          <w:color w:val="000000"/>
          <w:vertAlign w:val="superscript"/>
        </w:rPr>
        <w:t>[21]</w:t>
      </w:r>
      <w:r w:rsidRPr="00FD1252">
        <w:rPr>
          <w:rFonts w:ascii="Book Antiqua" w:eastAsia="Book Antiqua" w:hAnsi="Book Antiqua" w:cs="Book Antiqua"/>
          <w:color w:val="000000"/>
        </w:rPr>
        <w:t>. This was further confirmed in the Banff 2007 meeting</w:t>
      </w:r>
      <w:r w:rsidRPr="00FD1252">
        <w:rPr>
          <w:rFonts w:ascii="Book Antiqua" w:eastAsia="Book Antiqua" w:hAnsi="Book Antiqua" w:cs="Book Antiqua"/>
          <w:color w:val="000000"/>
          <w:vertAlign w:val="superscript"/>
        </w:rPr>
        <w:t>[42]</w:t>
      </w:r>
      <w:r w:rsidRPr="00FD1252">
        <w:rPr>
          <w:rFonts w:ascii="Book Antiqua" w:eastAsia="Book Antiqua" w:hAnsi="Book Antiqua" w:cs="Book Antiqua"/>
          <w:color w:val="000000"/>
        </w:rPr>
        <w:t xml:space="preserve">. However, the minimum threshold of BC was restored to “i1, t1” in the Banff 2019 meeting, as longitudinal studies by Nankivell </w:t>
      </w:r>
      <w:r w:rsidRPr="00FD1252">
        <w:rPr>
          <w:rFonts w:ascii="Book Antiqua" w:eastAsia="Book Antiqua" w:hAnsi="Book Antiqua" w:cs="Book Antiqua"/>
          <w:i/>
          <w:iCs/>
          <w:color w:val="000000"/>
        </w:rPr>
        <w:t>et al</w:t>
      </w:r>
      <w:r w:rsidR="00B2007C" w:rsidRPr="00FD1252">
        <w:rPr>
          <w:rFonts w:ascii="Book Antiqua" w:eastAsia="Book Antiqua" w:hAnsi="Book Antiqua" w:cs="Book Antiqua"/>
          <w:color w:val="000000"/>
          <w:vertAlign w:val="superscript"/>
        </w:rPr>
        <w:t>[65]</w:t>
      </w:r>
      <w:r w:rsidRPr="00FD1252">
        <w:rPr>
          <w:rFonts w:ascii="Book Antiqua" w:eastAsia="Book Antiqua" w:hAnsi="Book Antiqua" w:cs="Book Antiqua"/>
          <w:color w:val="000000"/>
        </w:rPr>
        <w:t xml:space="preserve"> showed no effect of isolated “t” on allograft survival.</w:t>
      </w:r>
    </w:p>
    <w:p w14:paraId="06907F57" w14:textId="6E02D1C0"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The reported frequency of this category varies widely and ranges from 46</w:t>
      </w:r>
      <w:r w:rsidR="00B2007C" w:rsidRPr="00FD1252">
        <w:rPr>
          <w:rFonts w:ascii="Book Antiqua" w:eastAsia="Book Antiqua" w:hAnsi="Book Antiqua" w:cs="Book Antiqua"/>
          <w:color w:val="000000"/>
        </w:rPr>
        <w:t>%</w:t>
      </w:r>
      <w:r w:rsidRPr="00FD1252">
        <w:rPr>
          <w:rFonts w:ascii="Book Antiqua" w:eastAsia="Book Antiqua" w:hAnsi="Book Antiqua" w:cs="Book Antiqua"/>
          <w:color w:val="000000"/>
        </w:rPr>
        <w:t xml:space="preserve"> to 74 % on dysfunctional kidney allograft biopsies performed at different time points after transplantation</w:t>
      </w:r>
      <w:r w:rsidRPr="00FD1252">
        <w:rPr>
          <w:rFonts w:ascii="Book Antiqua" w:eastAsia="Book Antiqua" w:hAnsi="Book Antiqua" w:cs="Book Antiqua"/>
          <w:color w:val="000000"/>
          <w:vertAlign w:val="superscript"/>
        </w:rPr>
        <w:t>[66,67]</w:t>
      </w:r>
      <w:r w:rsidRPr="00FD1252">
        <w:rPr>
          <w:rFonts w:ascii="Book Antiqua" w:eastAsia="Book Antiqua" w:hAnsi="Book Antiqua" w:cs="Book Antiqua"/>
          <w:color w:val="000000"/>
        </w:rPr>
        <w:t>. This category is also most problematic from the point of view of the treatment. In reality, this category does not represent a true pathophysiological phenomenon. It represents a heterogeneous category of lesions encompassing pathophysiological processes with minimal, nonspecific, insignificant inflammation to clinically important TCMR, capable of immune-mediated allograft injury resulting in poor immunological, functional, and histological outcomes if not treated</w:t>
      </w:r>
      <w:r w:rsidRPr="00FD1252">
        <w:rPr>
          <w:rFonts w:ascii="Book Antiqua" w:eastAsia="Book Antiqua" w:hAnsi="Book Antiqua" w:cs="Book Antiqua"/>
          <w:color w:val="000000"/>
          <w:vertAlign w:val="superscript"/>
        </w:rPr>
        <w:t>[55-58]</w:t>
      </w:r>
      <w:r w:rsidRPr="00FD1252">
        <w:rPr>
          <w:rFonts w:ascii="Book Antiqua" w:eastAsia="Book Antiqua" w:hAnsi="Book Antiqua" w:cs="Book Antiqua"/>
          <w:color w:val="000000"/>
        </w:rPr>
        <w:t>. This category has been created primarily because of varying clinical criteria and the timing of kidney allograft biopsies. In an ideal world, an allograft biopsy should be categorized as rejection or no rejection, but in practice, it is not always so clear-cut. As the biological process of rejection is a gradual and patchy process, it takes time to develop full-blown features of rejection. If a biopsy is performed very early during the development of rejection, the pathological lesions will not have reached the threshold of diagnosis of rejection, and will inevitably be classified as a BC category. It is hoped that in near future this category will be eliminated with the incorporation of better diagnostic markers, particularly, molecular markers.</w:t>
      </w:r>
    </w:p>
    <w:p w14:paraId="7071D537" w14:textId="77777777" w:rsidR="00A77B3E" w:rsidRPr="00FD1252" w:rsidRDefault="00A77B3E" w:rsidP="00FD1252">
      <w:pPr>
        <w:spacing w:line="360" w:lineRule="auto"/>
        <w:ind w:firstLine="240"/>
        <w:jc w:val="both"/>
        <w:rPr>
          <w:rFonts w:ascii="Book Antiqua" w:hAnsi="Book Antiqua"/>
        </w:rPr>
      </w:pPr>
    </w:p>
    <w:p w14:paraId="5A0D8A0D" w14:textId="38AFDB7B" w:rsidR="00A77B3E" w:rsidRPr="002F352C" w:rsidRDefault="00B2007C" w:rsidP="00FD1252">
      <w:pPr>
        <w:spacing w:line="360" w:lineRule="auto"/>
        <w:jc w:val="both"/>
        <w:rPr>
          <w:rFonts w:ascii="Book Antiqua" w:hAnsi="Book Antiqua"/>
          <w:i/>
          <w:iCs/>
        </w:rPr>
      </w:pPr>
      <w:r w:rsidRPr="002F352C">
        <w:rPr>
          <w:rFonts w:ascii="Book Antiqua" w:eastAsia="Book Antiqua" w:hAnsi="Book Antiqua" w:cs="Book Antiqua"/>
          <w:b/>
          <w:bCs/>
          <w:i/>
          <w:iCs/>
          <w:color w:val="000000"/>
        </w:rPr>
        <w:t>Banff category 4: Acute rejection (acute/active TCMR)</w:t>
      </w:r>
    </w:p>
    <w:p w14:paraId="5476044A" w14:textId="2E9463BE"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color w:val="000000"/>
        </w:rPr>
        <w:t xml:space="preserve">The spectrum of TCMR, as it is now officially called, was defined from the origin of the classification as the Banff diagnostic category 4 and now includes acute TCMR, </w:t>
      </w:r>
      <w:r w:rsidR="00B2007C" w:rsidRPr="00FD1252">
        <w:rPr>
          <w:rFonts w:ascii="Book Antiqua" w:eastAsia="Book Antiqua" w:hAnsi="Book Antiqua" w:cs="Book Antiqua"/>
          <w:color w:val="000000"/>
        </w:rPr>
        <w:t>g</w:t>
      </w:r>
      <w:r w:rsidRPr="00FD1252">
        <w:rPr>
          <w:rFonts w:ascii="Book Antiqua" w:eastAsia="Book Antiqua" w:hAnsi="Book Antiqua" w:cs="Book Antiqua"/>
          <w:color w:val="000000"/>
        </w:rPr>
        <w:t xml:space="preserve">rades IA, IB, IIA, IIB, and III, and chronic active TCMR (CA TCMR), </w:t>
      </w:r>
      <w:r w:rsidR="00B2007C" w:rsidRPr="00FD1252">
        <w:rPr>
          <w:rFonts w:ascii="Book Antiqua" w:eastAsia="Book Antiqua" w:hAnsi="Book Antiqua" w:cs="Book Antiqua"/>
          <w:color w:val="000000"/>
        </w:rPr>
        <w:t>g</w:t>
      </w:r>
      <w:r w:rsidRPr="00FD1252">
        <w:rPr>
          <w:rFonts w:ascii="Book Antiqua" w:eastAsia="Book Antiqua" w:hAnsi="Book Antiqua" w:cs="Book Antiqua"/>
          <w:color w:val="000000"/>
        </w:rPr>
        <w:t xml:space="preserve">rades IA, IB and II. There </w:t>
      </w:r>
      <w:r w:rsidRPr="00FD1252">
        <w:rPr>
          <w:rFonts w:ascii="Book Antiqua" w:eastAsia="Book Antiqua" w:hAnsi="Book Antiqua" w:cs="Book Antiqua"/>
          <w:color w:val="000000"/>
        </w:rPr>
        <w:lastRenderedPageBreak/>
        <w:t>are no subgrades of grade II and no grade III in CA TCMR</w:t>
      </w:r>
      <w:r w:rsidRPr="00FD1252">
        <w:rPr>
          <w:rFonts w:ascii="Book Antiqua" w:eastAsia="Book Antiqua" w:hAnsi="Book Antiqua" w:cs="Book Antiqua"/>
          <w:color w:val="000000"/>
          <w:vertAlign w:val="superscript"/>
        </w:rPr>
        <w:t>[26]</w:t>
      </w:r>
      <w:r w:rsidRPr="00FD1252">
        <w:rPr>
          <w:rFonts w:ascii="Book Antiqua" w:eastAsia="Book Antiqua" w:hAnsi="Book Antiqua" w:cs="Book Antiqua"/>
          <w:color w:val="000000"/>
        </w:rPr>
        <w:t>. In addition, there is no subtype of chronic (inactive) in the category of TCMR, as is true for AMR. Category 4 is separated from category 3 by a threshold of i2, t2 and any v. Banff diagnostic categories 3 and 4 are mutually exclusive but can be diagnosed concurrently with other lesions from categories 2, 5, and 6.</w:t>
      </w:r>
    </w:p>
    <w:p w14:paraId="4E8F767B" w14:textId="1AFAB665"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 xml:space="preserve">In the previous iterations of the Banff schema, the main emphasis was on the diagnosis and classification of acute rejection, which essentially implied TCMR. This focus on cellular rejection dominated the transplant pathology field and subdued the recognition and characterization of AMR for quite some time during the earlier period of the Banff classification. On the other contrary, the category of cellular rejection lagged behind AMR in undergoing modifications till the very recent past. The most important changes in this category took place during the 1997 Banff meeting (Table 4). Thereafter, this category remained fairly stable and immune to changes except for minor nomenclature changes. More recent Banff updates have made some modifications to the morphological criteria and subdivision of this category (Figure </w:t>
      </w:r>
      <w:r w:rsidR="003474F9" w:rsidRPr="00FD1252">
        <w:rPr>
          <w:rFonts w:ascii="Book Antiqua" w:eastAsia="Book Antiqua" w:hAnsi="Book Antiqua" w:cs="Book Antiqua"/>
          <w:color w:val="000000"/>
        </w:rPr>
        <w:t>5B</w:t>
      </w:r>
      <w:r w:rsidRPr="00FD1252">
        <w:rPr>
          <w:rFonts w:ascii="Book Antiqua" w:eastAsia="Book Antiqua" w:hAnsi="Book Antiqua" w:cs="Book Antiqua"/>
          <w:color w:val="000000"/>
        </w:rPr>
        <w:t>).</w:t>
      </w:r>
    </w:p>
    <w:p w14:paraId="70C1203A" w14:textId="02A8A1CB"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As alluded to earlier, the main emphasis of the first Banff classification was on the accurate diagnosis and classification of acute rejection, which essentially included acute cellular rejection. As this type of rejection is characterized by the infiltration of mononuclear cells into the allograft parenchyma, its diagnosis was relatively easy and obvious in most cases. The main targets of cellular rejection are the tubules, interstitium, and larger blood vessels. Microcirculation inflammation is rarely observed in this type of rejection</w:t>
      </w:r>
      <w:r w:rsidRPr="00FD1252">
        <w:rPr>
          <w:rFonts w:ascii="Book Antiqua" w:eastAsia="Book Antiqua" w:hAnsi="Book Antiqua" w:cs="Book Antiqua"/>
          <w:color w:val="000000"/>
          <w:vertAlign w:val="superscript"/>
        </w:rPr>
        <w:t>[10,11,68-75]</w:t>
      </w:r>
      <w:r w:rsidRPr="00FD1252">
        <w:rPr>
          <w:rFonts w:ascii="Book Antiqua" w:eastAsia="Book Antiqua" w:hAnsi="Book Antiqua" w:cs="Book Antiqua"/>
          <w:color w:val="000000"/>
        </w:rPr>
        <w:t>. The Banff classification introduced for the first time a minimum threshold (</w:t>
      </w:r>
      <w:r w:rsidRPr="00FD1252">
        <w:rPr>
          <w:rFonts w:ascii="Book Antiqua" w:eastAsia="Book Antiqua" w:hAnsi="Book Antiqua" w:cs="Book Antiqua"/>
          <w:i/>
          <w:iCs/>
          <w:color w:val="000000"/>
        </w:rPr>
        <w:t>i.e.</w:t>
      </w:r>
      <w:r w:rsidRPr="00FD1252">
        <w:rPr>
          <w:rFonts w:ascii="Book Antiqua" w:eastAsia="Book Antiqua" w:hAnsi="Book Antiqua" w:cs="Book Antiqua"/>
          <w:color w:val="000000"/>
        </w:rPr>
        <w:t xml:space="preserve"> i2, t2) for the definitive diagnosis of acute cellular rejection of tubulointerstitial type or type I rejection. This separated it from the category of BCs in the cellular alloimmune lesions. There is no BC category for vascular or type II and type III rejections and the presence of even one lymphocyte in the intima is sufficient to diagnose vascular rejection. Early Banff classifications also emphasized the importance of the topographic location of the inflammatory cell infiltrate in the biopsy</w:t>
      </w:r>
      <w:r w:rsidRPr="00FD1252">
        <w:rPr>
          <w:rFonts w:ascii="Book Antiqua" w:eastAsia="Book Antiqua" w:hAnsi="Book Antiqua" w:cs="Book Antiqua"/>
          <w:color w:val="000000"/>
          <w:vertAlign w:val="superscript"/>
        </w:rPr>
        <w:t>[10,11]</w:t>
      </w:r>
      <w:r w:rsidRPr="00FD1252">
        <w:rPr>
          <w:rFonts w:ascii="Book Antiqua" w:eastAsia="Book Antiqua" w:hAnsi="Book Antiqua" w:cs="Book Antiqua"/>
          <w:color w:val="000000"/>
        </w:rPr>
        <w:t>.</w:t>
      </w:r>
    </w:p>
    <w:p w14:paraId="3BFE3F37" w14:textId="6BCF4FD2"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 xml:space="preserve">The nomenclature of this category has changed from acute rejection to acute cellular rejection to TCMR over the years reciprocating the changes in category 2 of AMR, as </w:t>
      </w:r>
      <w:r w:rsidRPr="00FD1252">
        <w:rPr>
          <w:rFonts w:ascii="Book Antiqua" w:eastAsia="Book Antiqua" w:hAnsi="Book Antiqua" w:cs="Book Antiqua"/>
          <w:color w:val="000000"/>
        </w:rPr>
        <w:lastRenderedPageBreak/>
        <w:t xml:space="preserve">shown in Table 4 and Figure 3. With regard to the classification of TCMR, the first Banff classification divided acute rejection into three “grades” based on the increasing severity of the allograft damage, as shown in Table 4. These were: </w:t>
      </w:r>
      <w:r w:rsidR="00B2007C" w:rsidRPr="00FD1252">
        <w:rPr>
          <w:rFonts w:ascii="Book Antiqua" w:eastAsia="Book Antiqua" w:hAnsi="Book Antiqua" w:cs="Book Antiqua"/>
          <w:color w:val="000000"/>
        </w:rPr>
        <w:t>G</w:t>
      </w:r>
      <w:r w:rsidRPr="00FD1252">
        <w:rPr>
          <w:rFonts w:ascii="Book Antiqua" w:eastAsia="Book Antiqua" w:hAnsi="Book Antiqua" w:cs="Book Antiqua"/>
          <w:color w:val="000000"/>
        </w:rPr>
        <w:t>rade I (mild), grade II (moderate), and grade III (severe) (Table 4). This classification lumped together both the tubulointerstitial and vascular rejections in grade II. It may be noted that this subdivision was based purely on a morphological or pathological basis with little consideration of the underlying pathogenetic basis of rejection. As mentioned earlier, the first main change in this category was effected in the Banff 97 meeting, when pathologists using the original Banff 93 classification and its CCTT modification got together and merged the two classifications to develop a unified and international consensus-based Banff 97 classification with substantial input from the CCTT classification, which stressed the pathogenetic foundation for the categorization of cellular rejection</w:t>
      </w:r>
      <w:r w:rsidRPr="00FD1252">
        <w:rPr>
          <w:rFonts w:ascii="Book Antiqua" w:eastAsia="Book Antiqua" w:hAnsi="Book Antiqua" w:cs="Book Antiqua"/>
          <w:color w:val="000000"/>
          <w:vertAlign w:val="superscript"/>
        </w:rPr>
        <w:t>[4,5,10,11]</w:t>
      </w:r>
      <w:r w:rsidRPr="00FD1252">
        <w:rPr>
          <w:rFonts w:ascii="Book Antiqua" w:eastAsia="Book Antiqua" w:hAnsi="Book Antiqua" w:cs="Book Antiqua"/>
          <w:color w:val="000000"/>
        </w:rPr>
        <w:t>. The Banff 97 classification divided acute/active rejection into “types” and subtypes rather than grades (Table 4). The main modifications in the Banff 97 classification included the segregation of type I (tubulointerstitial) rejection from vascular (type II) rejection. Type III rejection was categorized separately as in the Banff 93 classification (Table 4). This merger signified the adaptability of the Banff group to incorporate the observations of pathologists using CCTT modification and also embrace the emerging evidence from newer investigations showing that vasculitis per se has significant consequences for the response to treatment and/or graft survival</w:t>
      </w:r>
      <w:r w:rsidRPr="00FD1252">
        <w:rPr>
          <w:rFonts w:ascii="Book Antiqua" w:eastAsia="Book Antiqua" w:hAnsi="Book Antiqua" w:cs="Book Antiqua"/>
          <w:color w:val="000000"/>
          <w:vertAlign w:val="superscript"/>
        </w:rPr>
        <w:t>[35,36]</w:t>
      </w:r>
      <w:r w:rsidRPr="00FD1252">
        <w:rPr>
          <w:rFonts w:ascii="Book Antiqua" w:eastAsia="Book Antiqua" w:hAnsi="Book Antiqua" w:cs="Book Antiqua"/>
          <w:color w:val="000000"/>
        </w:rPr>
        <w:t>.</w:t>
      </w:r>
    </w:p>
    <w:p w14:paraId="23CBFB6C" w14:textId="1A539542"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 xml:space="preserve">In the Banff 97-update published in 2003 (from the Banff 2001 meeting), with profound and far-reaching changes in the category of </w:t>
      </w:r>
      <w:r w:rsidR="00B021B7" w:rsidRPr="00FD1252">
        <w:rPr>
          <w:rFonts w:ascii="Book Antiqua" w:eastAsia="Book Antiqua" w:hAnsi="Book Antiqua" w:cs="Book Antiqua"/>
          <w:color w:val="000000"/>
        </w:rPr>
        <w:t>A</w:t>
      </w:r>
      <w:r w:rsidRPr="00FD1252">
        <w:rPr>
          <w:rFonts w:ascii="Book Antiqua" w:eastAsia="Book Antiqua" w:hAnsi="Book Antiqua" w:cs="Book Antiqua"/>
          <w:color w:val="000000"/>
        </w:rPr>
        <w:t xml:space="preserve">MR, the category of acute/active rejection was rechristened as acute/active cellular rejection (ACR), to underscore its distinction from AMR. Its types and subtypes, however, remained unchanged from the Banff 97 classification. The name of the category was again changed to TCMR in the Banff 2005 update (Table 4). On this occasion, it was further categorized into acute TCMR, which now encompassed all the subtypes of ACR of the Banff 97-update, and CA TCMR. The latter was diagnosed by the presence of chronic allograft arteriopathy only till the 2017 Banff meeting, characterized by new-onset arterial fibrointimal thickening with mononuclear cell infiltration in fibrosis, and the creation of neo-intima. Compared to </w:t>
      </w:r>
      <w:r w:rsidRPr="00FD1252">
        <w:rPr>
          <w:rFonts w:ascii="Book Antiqua" w:eastAsia="Book Antiqua" w:hAnsi="Book Antiqua" w:cs="Book Antiqua"/>
          <w:color w:val="000000"/>
        </w:rPr>
        <w:lastRenderedPageBreak/>
        <w:t>previous iterations of the Banff classification, the Banff 2007 classification added a new “i” lesion score, labeled as “ti” (total interstitial inflammation score) to the schema</w:t>
      </w:r>
      <w:r w:rsidRPr="00FD1252">
        <w:rPr>
          <w:rFonts w:ascii="Book Antiqua" w:eastAsia="Book Antiqua" w:hAnsi="Book Antiqua" w:cs="Book Antiqua"/>
          <w:color w:val="000000"/>
          <w:vertAlign w:val="superscript"/>
        </w:rPr>
        <w:t>[34,76-81]</w:t>
      </w:r>
      <w:r w:rsidRPr="00FD1252">
        <w:rPr>
          <w:rFonts w:ascii="Book Antiqua" w:eastAsia="Book Antiqua" w:hAnsi="Book Antiqua" w:cs="Book Antiqua"/>
          <w:color w:val="000000"/>
        </w:rPr>
        <w:t xml:space="preserve">. Not much was changed in the criteria for diagnosis or classification of cellular rejection during the Banff </w:t>
      </w:r>
      <w:r w:rsidR="00B2007C" w:rsidRPr="00FD1252">
        <w:rPr>
          <w:rFonts w:ascii="Book Antiqua" w:eastAsia="Book Antiqua" w:hAnsi="Book Antiqua" w:cs="Book Antiqua"/>
          <w:color w:val="000000"/>
        </w:rPr>
        <w:t>20</w:t>
      </w:r>
      <w:r w:rsidRPr="00FD1252">
        <w:rPr>
          <w:rFonts w:ascii="Book Antiqua" w:eastAsia="Book Antiqua" w:hAnsi="Book Antiqua" w:cs="Book Antiqua"/>
          <w:color w:val="000000"/>
        </w:rPr>
        <w:t xml:space="preserve">09, Banff 2011, and Banff 2013 meetings. In the Banff meeting of 2015, it was realized and acknowledged that CA TCMR may manifest itself with tubulointerstitial inflammation in the form of </w:t>
      </w:r>
      <w:r w:rsidR="00B2007C" w:rsidRPr="00FD1252">
        <w:rPr>
          <w:rFonts w:ascii="Book Antiqua" w:eastAsia="Book Antiqua" w:hAnsi="Book Antiqua" w:cs="Book Antiqua"/>
          <w:color w:val="000000"/>
        </w:rPr>
        <w:t xml:space="preserve">inflammation in areas of scarred cortex </w:t>
      </w:r>
      <w:r w:rsidRPr="00FD1252">
        <w:rPr>
          <w:rFonts w:ascii="Book Antiqua" w:eastAsia="Book Antiqua" w:hAnsi="Book Antiqua" w:cs="Book Antiqua"/>
          <w:color w:val="000000"/>
        </w:rPr>
        <w:t>(</w:t>
      </w:r>
      <w:r w:rsidR="00B2007C" w:rsidRPr="00FD1252">
        <w:rPr>
          <w:rFonts w:ascii="Book Antiqua" w:eastAsia="Book Antiqua" w:hAnsi="Book Antiqua" w:cs="Book Antiqua"/>
          <w:color w:val="000000"/>
        </w:rPr>
        <w:t>i-IFTA</w:t>
      </w:r>
      <w:r w:rsidRPr="00FD1252">
        <w:rPr>
          <w:rFonts w:ascii="Book Antiqua" w:eastAsia="Book Antiqua" w:hAnsi="Book Antiqua" w:cs="Book Antiqua"/>
          <w:color w:val="000000"/>
        </w:rPr>
        <w:t>) in addition to arterial lesions</w:t>
      </w:r>
      <w:r w:rsidRPr="00FD1252">
        <w:rPr>
          <w:rFonts w:ascii="Book Antiqua" w:eastAsia="Book Antiqua" w:hAnsi="Book Antiqua" w:cs="Book Antiqua"/>
          <w:color w:val="000000"/>
          <w:vertAlign w:val="superscript"/>
        </w:rPr>
        <w:t>[24]</w:t>
      </w:r>
      <w:r w:rsidRPr="00FD1252">
        <w:rPr>
          <w:rFonts w:ascii="Book Antiqua" w:eastAsia="Book Antiqua" w:hAnsi="Book Antiqua" w:cs="Book Antiqua"/>
          <w:color w:val="000000"/>
        </w:rPr>
        <w:t xml:space="preserve">. However, detailed criteria and formal inclusion of CA TCMR were not </w:t>
      </w:r>
      <w:r w:rsidR="009378AA" w:rsidRPr="00FD1252">
        <w:rPr>
          <w:rFonts w:ascii="Book Antiqua" w:eastAsia="Book Antiqua" w:hAnsi="Book Antiqua" w:cs="Book Antiqua"/>
          <w:color w:val="000000"/>
        </w:rPr>
        <w:t>affected</w:t>
      </w:r>
      <w:r w:rsidRPr="00FD1252">
        <w:rPr>
          <w:rFonts w:ascii="Book Antiqua" w:eastAsia="Book Antiqua" w:hAnsi="Book Antiqua" w:cs="Book Antiqua"/>
          <w:color w:val="000000"/>
        </w:rPr>
        <w:t xml:space="preserve"> till the 2017 meeting</w:t>
      </w:r>
      <w:r w:rsidRPr="00FD1252">
        <w:rPr>
          <w:rFonts w:ascii="Book Antiqua" w:eastAsia="Book Antiqua" w:hAnsi="Book Antiqua" w:cs="Book Antiqua"/>
          <w:color w:val="000000"/>
          <w:vertAlign w:val="superscript"/>
        </w:rPr>
        <w:t>[25]</w:t>
      </w:r>
      <w:r w:rsidRPr="00FD1252">
        <w:rPr>
          <w:rFonts w:ascii="Book Antiqua" w:eastAsia="Book Antiqua" w:hAnsi="Book Antiqua" w:cs="Book Antiqua"/>
          <w:color w:val="000000"/>
        </w:rPr>
        <w:t xml:space="preserve">. In the 2019 meeting, </w:t>
      </w:r>
      <w:r w:rsidR="00B2007C" w:rsidRPr="00FD1252">
        <w:rPr>
          <w:rFonts w:ascii="Book Antiqua" w:hAnsi="Book Antiqua"/>
          <w:bCs/>
        </w:rPr>
        <w:t>tubulitis in mildly to moderately atrophic tubules within the scarred cortex</w:t>
      </w:r>
      <w:r w:rsidR="00B2007C" w:rsidRPr="00FD1252">
        <w:rPr>
          <w:rFonts w:ascii="Book Antiqua" w:eastAsia="Book Antiqua" w:hAnsi="Book Antiqua" w:cs="Book Antiqua"/>
          <w:color w:val="000000"/>
        </w:rPr>
        <w:t xml:space="preserve"> (</w:t>
      </w:r>
      <w:r w:rsidRPr="00FD1252">
        <w:rPr>
          <w:rFonts w:ascii="Book Antiqua" w:eastAsia="Book Antiqua" w:hAnsi="Book Antiqua" w:cs="Book Antiqua"/>
          <w:color w:val="000000"/>
        </w:rPr>
        <w:t>t-IFTA</w:t>
      </w:r>
      <w:r w:rsidR="00B2007C" w:rsidRPr="00FD1252">
        <w:rPr>
          <w:rFonts w:ascii="Book Antiqua" w:eastAsia="Book Antiqua" w:hAnsi="Book Antiqua" w:cs="Book Antiqua"/>
          <w:color w:val="000000"/>
        </w:rPr>
        <w:t>)</w:t>
      </w:r>
      <w:r w:rsidRPr="00FD1252">
        <w:rPr>
          <w:rFonts w:ascii="Book Antiqua" w:eastAsia="Book Antiqua" w:hAnsi="Book Antiqua" w:cs="Book Antiqua"/>
          <w:color w:val="000000"/>
        </w:rPr>
        <w:t xml:space="preserve"> was also added as the diagnostic criterion for CA TCMR in addition to i-IFTA and ti scores. Thus, CA TCMR was divided into two types, in contrast to three types in acute TCMR. These types were: Types IA and IB and </w:t>
      </w:r>
      <w:r w:rsidR="00740235" w:rsidRPr="00FD1252">
        <w:rPr>
          <w:rFonts w:ascii="Book Antiqua" w:eastAsia="Book Antiqua" w:hAnsi="Book Antiqua" w:cs="Book Antiqua"/>
          <w:color w:val="000000"/>
        </w:rPr>
        <w:t>t</w:t>
      </w:r>
      <w:r w:rsidRPr="00FD1252">
        <w:rPr>
          <w:rFonts w:ascii="Book Antiqua" w:eastAsia="Book Antiqua" w:hAnsi="Book Antiqua" w:cs="Book Antiqua"/>
          <w:color w:val="000000"/>
        </w:rPr>
        <w:t>ype II. A provision was also made for the diagnosis of borderline CA TCMR if the diagnostic criteria of CA TCMR types IA and IB were not fulfilled</w:t>
      </w:r>
      <w:r w:rsidRPr="00FD1252">
        <w:rPr>
          <w:rFonts w:ascii="Book Antiqua" w:eastAsia="Book Antiqua" w:hAnsi="Book Antiqua" w:cs="Book Antiqua"/>
          <w:color w:val="000000"/>
          <w:vertAlign w:val="superscript"/>
        </w:rPr>
        <w:t>[26]</w:t>
      </w:r>
      <w:r w:rsidRPr="00FD1252">
        <w:rPr>
          <w:rFonts w:ascii="Book Antiqua" w:eastAsia="Book Antiqua" w:hAnsi="Book Antiqua" w:cs="Book Antiqua"/>
          <w:color w:val="000000"/>
        </w:rPr>
        <w:t>. Banff 2019 also allows concurrent diagnosis of acute and CA TCMR, especially in the presence of intimal arteritis in association with acute TCMR types IA and IB</w:t>
      </w:r>
      <w:r w:rsidRPr="00FD1252">
        <w:rPr>
          <w:rFonts w:ascii="Book Antiqua" w:eastAsia="Book Antiqua" w:hAnsi="Book Antiqua" w:cs="Book Antiqua"/>
          <w:color w:val="000000"/>
          <w:vertAlign w:val="superscript"/>
        </w:rPr>
        <w:t>[6,26]</w:t>
      </w:r>
      <w:r w:rsidRPr="00FD1252">
        <w:rPr>
          <w:rFonts w:ascii="Book Antiqua" w:eastAsia="Book Antiqua" w:hAnsi="Book Antiqua" w:cs="Book Antiqua"/>
          <w:color w:val="000000"/>
        </w:rPr>
        <w:t>.</w:t>
      </w:r>
    </w:p>
    <w:p w14:paraId="63791AED" w14:textId="53B4094A"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It is obvious from the above deliberations that the mainstay for the diagnosis and classification of cellular rejection has remained and is still so the LM evaluation of allograft biopsy material with little help from the ancillary techniques of IHC or EM. More recently, molecular markers have shown promising results for a conclusive diagnosis of acute cellular rejection in single-center studies</w:t>
      </w:r>
      <w:r w:rsidRPr="00FD1252">
        <w:rPr>
          <w:rFonts w:ascii="Book Antiqua" w:eastAsia="Book Antiqua" w:hAnsi="Book Antiqua" w:cs="Book Antiqua"/>
          <w:color w:val="000000"/>
          <w:vertAlign w:val="superscript"/>
        </w:rPr>
        <w:t>[82-84]</w:t>
      </w:r>
      <w:r w:rsidRPr="00FD1252">
        <w:rPr>
          <w:rFonts w:ascii="Book Antiqua" w:eastAsia="Book Antiqua" w:hAnsi="Book Antiqua" w:cs="Book Antiqua"/>
          <w:color w:val="000000"/>
        </w:rPr>
        <w:t>. These need to be validated in large, multicenter trials and the methodology needs to be standardized before they can be used widely in clinical practice. These represent the current challenges for the Banff classification system. The molecular information may be integrated with the histomorphological findings in the Banff classification in the future to improve the accuracy of diagnosis and classification of rejection, particularly borderline and CA TCMR cases</w:t>
      </w:r>
      <w:r w:rsidRPr="00FD1252">
        <w:rPr>
          <w:rFonts w:ascii="Book Antiqua" w:eastAsia="Book Antiqua" w:hAnsi="Book Antiqua" w:cs="Book Antiqua"/>
          <w:color w:val="000000"/>
          <w:vertAlign w:val="superscript"/>
        </w:rPr>
        <w:t>[85-93]</w:t>
      </w:r>
      <w:r w:rsidRPr="00FD1252">
        <w:rPr>
          <w:rFonts w:ascii="Book Antiqua" w:eastAsia="Book Antiqua" w:hAnsi="Book Antiqua" w:cs="Book Antiqua"/>
          <w:color w:val="000000"/>
        </w:rPr>
        <w:t>.</w:t>
      </w:r>
    </w:p>
    <w:p w14:paraId="380AD4E2" w14:textId="77777777" w:rsidR="00A77B3E" w:rsidRPr="00FD1252" w:rsidRDefault="00A77B3E" w:rsidP="00FD1252">
      <w:pPr>
        <w:spacing w:line="360" w:lineRule="auto"/>
        <w:ind w:firstLine="240"/>
        <w:jc w:val="both"/>
        <w:rPr>
          <w:rFonts w:ascii="Book Antiqua" w:hAnsi="Book Antiqua"/>
        </w:rPr>
      </w:pPr>
    </w:p>
    <w:p w14:paraId="1295B354" w14:textId="3653FECC" w:rsidR="00A77B3E" w:rsidRPr="00FD1252" w:rsidRDefault="006E5779" w:rsidP="00FD1252">
      <w:pPr>
        <w:spacing w:line="360" w:lineRule="auto"/>
        <w:jc w:val="both"/>
        <w:rPr>
          <w:rFonts w:ascii="Book Antiqua" w:hAnsi="Book Antiqua"/>
          <w:i/>
          <w:iCs/>
        </w:rPr>
      </w:pPr>
      <w:r w:rsidRPr="00FD1252">
        <w:rPr>
          <w:rFonts w:ascii="Book Antiqua" w:eastAsia="Book Antiqua" w:hAnsi="Book Antiqua" w:cs="Book Antiqua"/>
          <w:b/>
          <w:bCs/>
          <w:i/>
          <w:iCs/>
          <w:caps/>
          <w:color w:val="000000"/>
        </w:rPr>
        <w:t>B</w:t>
      </w:r>
      <w:r w:rsidR="00740235" w:rsidRPr="00FD1252">
        <w:rPr>
          <w:rFonts w:ascii="Book Antiqua" w:eastAsia="Book Antiqua" w:hAnsi="Book Antiqua" w:cs="Book Antiqua"/>
          <w:b/>
          <w:bCs/>
          <w:i/>
          <w:iCs/>
          <w:color w:val="000000"/>
        </w:rPr>
        <w:t>anff category 5: Interstitial fibrosis and tubular atrophy, no evidence of any specific etiology</w:t>
      </w:r>
    </w:p>
    <w:p w14:paraId="140D4D19" w14:textId="6652FE82"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color w:val="000000"/>
        </w:rPr>
        <w:lastRenderedPageBreak/>
        <w:t>This category of Banff classification of kidney allograft pathology was created to diagnose, classify, and grade (or stage) chronic fibrosing changes of kidney allografts resulting from a variety of causes</w:t>
      </w:r>
      <w:r w:rsidRPr="00FD1252">
        <w:rPr>
          <w:rFonts w:ascii="Book Antiqua" w:eastAsia="Book Antiqua" w:hAnsi="Book Antiqua" w:cs="Book Antiqua"/>
          <w:color w:val="000000"/>
          <w:vertAlign w:val="superscript"/>
        </w:rPr>
        <w:t>[94]</w:t>
      </w:r>
      <w:r w:rsidRPr="00FD1252">
        <w:rPr>
          <w:rFonts w:ascii="Book Antiqua" w:eastAsia="Book Antiqua" w:hAnsi="Book Antiqua" w:cs="Book Antiqua"/>
          <w:color w:val="000000"/>
        </w:rPr>
        <w:t>. Historically, many important changes took place in this category over the past three decades of the evolution of the Banff classification process. In the Banff 2019 meeting, this category has been replaced by polyomavirus nephropathy</w:t>
      </w:r>
      <w:r w:rsidRPr="00FD1252">
        <w:rPr>
          <w:rFonts w:ascii="Book Antiqua" w:eastAsia="Book Antiqua" w:hAnsi="Book Antiqua" w:cs="Book Antiqua"/>
          <w:color w:val="000000"/>
          <w:vertAlign w:val="superscript"/>
        </w:rPr>
        <w:t>[26]</w:t>
      </w:r>
      <w:r w:rsidRPr="00FD1252">
        <w:rPr>
          <w:rFonts w:ascii="Book Antiqua" w:eastAsia="Book Antiqua" w:hAnsi="Book Antiqua" w:cs="Book Antiqua"/>
          <w:color w:val="000000"/>
        </w:rPr>
        <w:t>. The rationale behind this change is that this category seems to be redundant in the absence of a plausible cause. The Banff schema stresses the need to determine the etiology of chronic changes whenever possible</w:t>
      </w:r>
      <w:r w:rsidRPr="00FD1252">
        <w:rPr>
          <w:rFonts w:ascii="Book Antiqua" w:eastAsia="Book Antiqua" w:hAnsi="Book Antiqua" w:cs="Book Antiqua"/>
          <w:color w:val="000000"/>
          <w:vertAlign w:val="superscript"/>
        </w:rPr>
        <w:t>[21]</w:t>
      </w:r>
      <w:r w:rsidRPr="00FD1252">
        <w:rPr>
          <w:rFonts w:ascii="Book Antiqua" w:eastAsia="Book Antiqua" w:hAnsi="Book Antiqua" w:cs="Book Antiqua"/>
          <w:color w:val="000000"/>
        </w:rPr>
        <w:t>. Moreover, chronic subtypes have been added to both types of rejection over the last two decades of evolution.</w:t>
      </w:r>
    </w:p>
    <w:p w14:paraId="5D5378AB" w14:textId="1EA9F3AC"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It seems appropriate to briefly summarize the evolution of the nomenclature and classification of chronic sclerosing lesions in the Banff schema, which are reflective of a continued and improved understanding of the pathophysiology of these lesions (Table 5). During the pre-Banff era, the term “chronic rejection” was utilized for all forms of chronic allograft dysfunction. This approach was an oversimplification, in that chronic changes in the allograft parenchyma are caused not only by alloimmune factors but also by non-immune factors and a distinction among these is important for tailored treatment. The Banff system put forward the nomenclature of “chronic allograft nephropathy (CAN)” in 1991 as a non-committal alternative to the then prevalent and confusing designation of “chronic rejection”. The Banff 93 schema categorized CAN into three grades of increasing severity based on the degree of interstitial fibrosis and tubular atrophy</w:t>
      </w:r>
      <w:r w:rsidR="00740235" w:rsidRPr="00FD1252">
        <w:rPr>
          <w:rFonts w:ascii="Book Antiqua" w:eastAsia="Book Antiqua" w:hAnsi="Book Antiqua" w:cs="Book Antiqua"/>
          <w:color w:val="000000"/>
        </w:rPr>
        <w:t xml:space="preserve"> (IFTA)</w:t>
      </w:r>
      <w:r w:rsidRPr="00FD1252">
        <w:rPr>
          <w:rFonts w:ascii="Book Antiqua" w:eastAsia="Book Antiqua" w:hAnsi="Book Antiqua" w:cs="Book Antiqua"/>
          <w:color w:val="000000"/>
          <w:vertAlign w:val="superscript"/>
        </w:rPr>
        <w:t>[10]</w:t>
      </w:r>
      <w:r w:rsidRPr="00FD1252">
        <w:rPr>
          <w:rFonts w:ascii="Book Antiqua" w:eastAsia="Book Antiqua" w:hAnsi="Book Antiqua" w:cs="Book Antiqua"/>
          <w:color w:val="000000"/>
        </w:rPr>
        <w:t xml:space="preserve">. No subdivision of the CAN grades was made and all etiologies of chronic changes were combined together in this unified category. In addition, many histomorphological patterns of, for example, chronic AMR, were not discovered at that time. In the Banff 1995 meeting, the chronic allograft damage index was merged with the CAN group to grade the severity of chronic changes. However, no subdivision of CAN was made in this update of the classification. In the Banff 97 meeting, an effort was made toward subclassifying chronic changes in the allograft and identifying and documenting the changes caused by the rejection processes. A subclassification of each of the grades of chronic changes into “a” and “b” categories was attempted depending on the absence or </w:t>
      </w:r>
      <w:r w:rsidRPr="00FD1252">
        <w:rPr>
          <w:rFonts w:ascii="Book Antiqua" w:eastAsia="Book Antiqua" w:hAnsi="Book Antiqua" w:cs="Book Antiqua"/>
          <w:color w:val="000000"/>
        </w:rPr>
        <w:lastRenderedPageBreak/>
        <w:t>presence of obvious features associated with “chronic rejection”, respectively. The 3-tier grading of the CAN entity remained the same as in previous classifications</w:t>
      </w:r>
      <w:r w:rsidRPr="00FD1252">
        <w:rPr>
          <w:rFonts w:ascii="Book Antiqua" w:eastAsia="Book Antiqua" w:hAnsi="Book Antiqua" w:cs="Book Antiqua"/>
          <w:color w:val="000000"/>
          <w:vertAlign w:val="superscript"/>
        </w:rPr>
        <w:t>[11]</w:t>
      </w:r>
      <w:r w:rsidRPr="00FD1252">
        <w:rPr>
          <w:rFonts w:ascii="Book Antiqua" w:eastAsia="Book Antiqua" w:hAnsi="Book Antiqua" w:cs="Book Antiqua"/>
          <w:color w:val="000000"/>
        </w:rPr>
        <w:t>. No modifications in the terminology or grading of CAN were attempted in the 97-update classification (Banff 2001 meeting) or the Banff 2003 meeting reports</w:t>
      </w:r>
      <w:r w:rsidRPr="00FD1252">
        <w:rPr>
          <w:rFonts w:ascii="Book Antiqua" w:eastAsia="Book Antiqua" w:hAnsi="Book Antiqua" w:cs="Book Antiqua"/>
          <w:color w:val="000000"/>
          <w:vertAlign w:val="superscript"/>
        </w:rPr>
        <w:t>[12]</w:t>
      </w:r>
      <w:r w:rsidRPr="00FD1252">
        <w:rPr>
          <w:rFonts w:ascii="Book Antiqua" w:eastAsia="Book Antiqua" w:hAnsi="Book Antiqua" w:cs="Book Antiqua"/>
          <w:color w:val="000000"/>
        </w:rPr>
        <w:t>.</w:t>
      </w:r>
    </w:p>
    <w:p w14:paraId="664927FD" w14:textId="78F5C561"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A significant modification in the category of chronic sclerosing changes was effected in the Banff 2005 meeting when the terminology of CAN was abolished and substituted by the term “interstitial fibrosis/tubular atrophy (IFTA)”, with no evidence of specific etiology</w:t>
      </w:r>
      <w:r w:rsidRPr="00FD1252">
        <w:rPr>
          <w:rFonts w:ascii="Book Antiqua" w:eastAsia="Book Antiqua" w:hAnsi="Book Antiqua" w:cs="Book Antiqua"/>
          <w:color w:val="000000"/>
          <w:vertAlign w:val="superscript"/>
        </w:rPr>
        <w:t>[21]</w:t>
      </w:r>
      <w:r w:rsidRPr="00FD1252">
        <w:rPr>
          <w:rFonts w:ascii="Book Antiqua" w:eastAsia="Book Antiqua" w:hAnsi="Book Antiqua" w:cs="Book Antiqua"/>
          <w:color w:val="000000"/>
        </w:rPr>
        <w:t>. The etiologic groups of “a” subcategory of CAN in the previous classifications were relocated to the “other” category, while the chronic allo-immune causes were moved to the respective categories of AMR and TCMR as chronic active or chronic (inactive) types. Thus, category 5 in the Banff 2005 report and all succeeding updates (till 2019), included only those forms of chronic changes for which no specific etiological findings were found on the biopsy (Table 5). In the 2019 Banff classification, the category of IFTA has been eliminated and replaced by polyomavirus nephropathy, as shown in Table 5.</w:t>
      </w:r>
    </w:p>
    <w:p w14:paraId="1F8FF605" w14:textId="6E0313A5"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It is worth highlighting here that category 5 of the Banff classification can co</w:t>
      </w:r>
      <w:r w:rsidR="00740235" w:rsidRPr="00FD1252">
        <w:rPr>
          <w:rFonts w:ascii="Book Antiqua" w:eastAsia="Book Antiqua" w:hAnsi="Book Antiqua" w:cs="Book Antiqua"/>
          <w:color w:val="000000"/>
        </w:rPr>
        <w:t>-</w:t>
      </w:r>
      <w:r w:rsidRPr="00FD1252">
        <w:rPr>
          <w:rFonts w:ascii="Book Antiqua" w:eastAsia="Book Antiqua" w:hAnsi="Book Antiqua" w:cs="Book Antiqua"/>
          <w:color w:val="000000"/>
        </w:rPr>
        <w:t>exist with any other types of renal allograft pathology, except category 1, which is normal. It is important to record and report both the acute and chronic pathological changes on the biopsies to guide therapy and determine the prognosis.</w:t>
      </w:r>
    </w:p>
    <w:p w14:paraId="70DDE0E0" w14:textId="77777777"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In summary, the nomenclature, categorization, and subcategorization of chronic changes have undergone substantial alterations over the past three decades of the Banff consensus classification. Of late, the focus was on identifying the early specific features relevant to causes of chronic allograft damage, so that their progression may be halted with intervention. This was somewhat facilitated by the ancillary techniques of IHC and EM. In the latest published 2019 Banff meeting report, this category has been eliminated altogether.</w:t>
      </w:r>
    </w:p>
    <w:p w14:paraId="0B08E106" w14:textId="77777777" w:rsidR="00A77B3E" w:rsidRPr="00FD1252" w:rsidRDefault="00A77B3E" w:rsidP="00FD1252">
      <w:pPr>
        <w:spacing w:line="360" w:lineRule="auto"/>
        <w:jc w:val="both"/>
        <w:rPr>
          <w:rFonts w:ascii="Book Antiqua" w:hAnsi="Book Antiqua"/>
        </w:rPr>
      </w:pPr>
    </w:p>
    <w:p w14:paraId="6EAD492A"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bCs/>
          <w:caps/>
          <w:color w:val="000000"/>
          <w:u w:val="single"/>
        </w:rPr>
        <w:t>IMPLICATIONS OF ALLOGRAFT BIOPSY FOR CLINICIANS AND OTHER TRANSPLANT CARE TEAM MEMBERS</w:t>
      </w:r>
    </w:p>
    <w:p w14:paraId="08DCD3FC" w14:textId="007969C5"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color w:val="000000"/>
        </w:rPr>
        <w:lastRenderedPageBreak/>
        <w:t>Renal allograft biopsy is a valuable diagnostic and prognostic tool in the hands of clinicians for evaluating the structural and functional status of the kidney allograft. It can provide important information about the underlying cause of graft dysfunction or rejection. Studies have shown that renal allograft biopsies change the clinical diagnosis in an average of 36% (24</w:t>
      </w:r>
      <w:r w:rsidR="00740235" w:rsidRPr="00FD1252">
        <w:rPr>
          <w:rFonts w:ascii="Book Antiqua" w:eastAsia="Book Antiqua" w:hAnsi="Book Antiqua" w:cs="Book Antiqua"/>
          <w:color w:val="000000"/>
        </w:rPr>
        <w:t>%-</w:t>
      </w:r>
      <w:r w:rsidRPr="00FD1252">
        <w:rPr>
          <w:rFonts w:ascii="Book Antiqua" w:eastAsia="Book Antiqua" w:hAnsi="Book Antiqua" w:cs="Book Antiqua"/>
          <w:color w:val="000000"/>
        </w:rPr>
        <w:t>47%) of cases and treatment in 59% of cases. However, because only a tiny amount of kidney tissue is obtained during the biopsy, several limitations and shortcomings exist in the extent to which renal allograft biopsies can prove useful. A close liaison between the clinicians and nephropathology laboratory will go a long way in overcoming many of these shortcomings</w:t>
      </w:r>
      <w:r w:rsidRPr="00FD1252">
        <w:rPr>
          <w:rFonts w:ascii="Book Antiqua" w:eastAsia="Book Antiqua" w:hAnsi="Book Antiqua" w:cs="Book Antiqua"/>
          <w:color w:val="000000"/>
          <w:vertAlign w:val="superscript"/>
        </w:rPr>
        <w:t>[13]</w:t>
      </w:r>
      <w:r w:rsidRPr="00FD1252">
        <w:rPr>
          <w:rFonts w:ascii="Book Antiqua" w:eastAsia="Book Antiqua" w:hAnsi="Book Antiqua" w:cs="Book Antiqua"/>
          <w:color w:val="000000"/>
        </w:rPr>
        <w:t>. According to studies, the sensitivity of diagnosis of rejection is 90% with one core of tissue and it increases to 99% when two cores are obtained</w:t>
      </w:r>
      <w:r w:rsidRPr="00FD1252">
        <w:rPr>
          <w:rFonts w:ascii="Book Antiqua" w:eastAsia="Book Antiqua" w:hAnsi="Book Antiqua" w:cs="Book Antiqua"/>
          <w:color w:val="000000"/>
          <w:vertAlign w:val="superscript"/>
        </w:rPr>
        <w:t>[95-102]</w:t>
      </w:r>
      <w:r w:rsidRPr="00FD1252">
        <w:rPr>
          <w:rFonts w:ascii="Book Antiqua" w:eastAsia="Book Antiqua" w:hAnsi="Book Antiqua" w:cs="Book Antiqua"/>
          <w:color w:val="000000"/>
        </w:rPr>
        <w:t>. Apart from the above-mentioned inherent sampling error, it is well known that there can be interobserver variability among nephropathologists in interpreting renal allograft biopsies. It can arise due to variations in individual expertise, experience, training, and personal judgment. Many studies have documented the occurrence of interobserver variability in renal pathology, including the interpretation of allograft biopsies</w:t>
      </w:r>
      <w:r w:rsidRPr="00FD1252">
        <w:rPr>
          <w:rFonts w:ascii="Book Antiqua" w:eastAsia="Book Antiqua" w:hAnsi="Book Antiqua" w:cs="Book Antiqua"/>
          <w:color w:val="000000"/>
          <w:vertAlign w:val="superscript"/>
        </w:rPr>
        <w:t>[103-112]</w:t>
      </w:r>
      <w:r w:rsidRPr="00FD1252">
        <w:rPr>
          <w:rFonts w:ascii="Book Antiqua" w:eastAsia="Book Antiqua" w:hAnsi="Book Antiqua" w:cs="Book Antiqua"/>
          <w:color w:val="000000"/>
        </w:rPr>
        <w:t xml:space="preserve">. Sometimes, the biopsy has to be repeated in view of the above considerations, particularly when the biopsy findings do not match the clinical picture. Furthermore, it is to be noted that the interobserver variability is not uniform for all the pathological lesions observed on renal allograft biopsies. For some lesions, the interobserver agreement is good, </w:t>
      </w:r>
      <w:r w:rsidRPr="00FD1252">
        <w:rPr>
          <w:rFonts w:ascii="Book Antiqua" w:eastAsia="Book Antiqua" w:hAnsi="Book Antiqua" w:cs="Book Antiqua"/>
          <w:i/>
          <w:iCs/>
          <w:color w:val="000000"/>
        </w:rPr>
        <w:t>e.g.</w:t>
      </w:r>
      <w:r w:rsidR="00740235" w:rsidRPr="00FD1252">
        <w:rPr>
          <w:rFonts w:ascii="Book Antiqua" w:eastAsia="Book Antiqua" w:hAnsi="Book Antiqua" w:cs="Book Antiqua"/>
          <w:i/>
          <w:iCs/>
          <w:color w:val="000000"/>
        </w:rPr>
        <w:t>,</w:t>
      </w:r>
      <w:r w:rsidRPr="00FD1252">
        <w:rPr>
          <w:rFonts w:ascii="Book Antiqua" w:eastAsia="Book Antiqua" w:hAnsi="Book Antiqua" w:cs="Book Antiqua"/>
          <w:color w:val="000000"/>
        </w:rPr>
        <w:t xml:space="preserve"> </w:t>
      </w:r>
      <w:r w:rsidR="001634BD" w:rsidRPr="00FD1252">
        <w:rPr>
          <w:rFonts w:ascii="Book Antiqua" w:eastAsia="Book Antiqua" w:hAnsi="Book Antiqua" w:cs="Book Antiqua"/>
          <w:color w:val="000000"/>
        </w:rPr>
        <w:t>ATI</w:t>
      </w:r>
      <w:r w:rsidRPr="00FD1252">
        <w:rPr>
          <w:rFonts w:ascii="Book Antiqua" w:eastAsia="Book Antiqua" w:hAnsi="Book Antiqua" w:cs="Book Antiqua"/>
          <w:color w:val="000000"/>
        </w:rPr>
        <w:t xml:space="preserve">, interstitial fibrosis, and vascular changes are often more easily recognized and agreed upon by pathologists, leading to higher concordance in their interpretation. On the other hand, certain pathological patterns may be more challenging and prone to interobserver variability. For instance, the diagnosis and grading of TCMR, AMR, or </w:t>
      </w:r>
      <w:r w:rsidR="00B2007C" w:rsidRPr="00FD1252">
        <w:rPr>
          <w:rFonts w:ascii="Book Antiqua" w:eastAsia="Book Antiqua" w:hAnsi="Book Antiqua" w:cs="Book Antiqua"/>
          <w:color w:val="000000"/>
        </w:rPr>
        <w:t>BC</w:t>
      </w:r>
      <w:r w:rsidRPr="00FD1252">
        <w:rPr>
          <w:rFonts w:ascii="Book Antiqua" w:eastAsia="Book Antiqua" w:hAnsi="Book Antiqua" w:cs="Book Antiqua"/>
          <w:color w:val="000000"/>
        </w:rPr>
        <w:t>s can sometimes be subjective and require expert judgment. These categories of pathological lesions often involve evaluating subtle changes in cellular infiltrates, glomerular lesions, or peritubular capillaritis, which can lead to differences in interpretation among pathologists.</w:t>
      </w:r>
    </w:p>
    <w:p w14:paraId="1ABD2A9D" w14:textId="163AE31B"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 xml:space="preserve">It is important to recognize that considerable efforts have been made to minimize this variability. Quality control measures such as consensus conferences, panel discussions, and standardized reporting systems have been implemented to improve agreement </w:t>
      </w:r>
      <w:r w:rsidRPr="00FD1252">
        <w:rPr>
          <w:rFonts w:ascii="Book Antiqua" w:eastAsia="Book Antiqua" w:hAnsi="Book Antiqua" w:cs="Book Antiqua"/>
          <w:color w:val="000000"/>
        </w:rPr>
        <w:lastRenderedPageBreak/>
        <w:t xml:space="preserve">among pathologists. For instance, the Banff classification system is widely used to grade and classify various pathological findings in renal allograft biopsies. This standardized approach helps in enhancing the reproducibility and consistency of pathological interpretations. In addition, advancements in ancillary diagnostic tests, morphometry, </w:t>
      </w:r>
      <w:r w:rsidR="001634BD" w:rsidRPr="00FD1252">
        <w:rPr>
          <w:rFonts w:ascii="Book Antiqua" w:eastAsia="Book Antiqua" w:hAnsi="Book Antiqua" w:cs="Book Antiqua"/>
          <w:color w:val="000000"/>
        </w:rPr>
        <w:t>DP</w:t>
      </w:r>
      <w:r w:rsidRPr="00FD1252">
        <w:rPr>
          <w:rFonts w:ascii="Book Antiqua" w:eastAsia="Book Antiqua" w:hAnsi="Book Antiqua" w:cs="Book Antiqua"/>
          <w:color w:val="000000"/>
        </w:rPr>
        <w:t>, and telepathology have allowed for remote consultation and collaboration among experts, further reducing the impact of interobserver variability</w:t>
      </w:r>
      <w:r w:rsidRPr="00FD1252">
        <w:rPr>
          <w:rFonts w:ascii="Book Antiqua" w:eastAsia="Book Antiqua" w:hAnsi="Book Antiqua" w:cs="Book Antiqua"/>
          <w:color w:val="000000"/>
          <w:vertAlign w:val="superscript"/>
        </w:rPr>
        <w:t>[113,114]</w:t>
      </w:r>
      <w:r w:rsidRPr="00FD1252">
        <w:rPr>
          <w:rFonts w:ascii="Book Antiqua" w:eastAsia="Book Antiqua" w:hAnsi="Book Antiqua" w:cs="Book Antiqua"/>
          <w:color w:val="000000"/>
        </w:rPr>
        <w:t>.</w:t>
      </w:r>
    </w:p>
    <w:p w14:paraId="6618881F" w14:textId="77777777"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While interobserver variability remains a consideration, renal allograft biopsy continues to be an essential diagnostic tool in clinical practice. It provides valuable information for guiding treatment decisions, assessing the severity of graft dysfunction, monitoring for rejection, and identifying other causes of kidney dysfunction. Collaborative efforts, standardized criteria, and ongoing advancements in the field aim to improve the reliability and credibility of renal allograft biopsy interpretations.</w:t>
      </w:r>
    </w:p>
    <w:p w14:paraId="562B0B37" w14:textId="6BD3EE02"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The turnaround time for reporting a renal allograft biopsy varies depending on several factors, including the urgency of the clinical situation, the workload of the pathology laboratory, and the complexity of the biopsy specimen. In general, the time frame for reporting renal allograft biopsies can range from a few hours to a few days. However, it</w:t>
      </w:r>
      <w:r w:rsidR="00740235" w:rsidRPr="00FD1252">
        <w:rPr>
          <w:rFonts w:ascii="Book Antiqua" w:eastAsia="Book Antiqua" w:hAnsi="Book Antiqua" w:cs="Book Antiqua"/>
          <w:color w:val="000000"/>
        </w:rPr>
        <w:t>’</w:t>
      </w:r>
      <w:r w:rsidRPr="00FD1252">
        <w:rPr>
          <w:rFonts w:ascii="Book Antiqua" w:eastAsia="Book Antiqua" w:hAnsi="Book Antiqua" w:cs="Book Antiqua"/>
          <w:color w:val="000000"/>
        </w:rPr>
        <w:t>s important to note that this is a general estimate and the actual turnaround time varies among different institutions and laboratories. In urgent or critical cases, such as suspected acute rejection or severe graft dysfunction, the pathology laboratory may prioritize the processing and reporting of the biopsy to expedite the diagnosis and facilitate prompt clinical decision-making. In such situations, the reporting time is typically shorter, ranging from a few hours (as short as 2-3 h) to 24-48 h, and is based on LM interpretation alone. In the authors’ laboratory, LM findings of all renal allograft biopsies are reported within 4-8 h’ time. For those cases, where there is no immediate need for urgent intervention, the reporting time is typically longer. This allows pathologists to carefully evaluate the biopsy specimen, conduct any necessary additional testing or staining such as IF, IHC, or EM, and provide a detailed and accurate report.</w:t>
      </w:r>
    </w:p>
    <w:p w14:paraId="4C5A23C8" w14:textId="77777777" w:rsidR="00A77B3E" w:rsidRPr="00FD1252" w:rsidRDefault="006E5779" w:rsidP="00FD1252">
      <w:pPr>
        <w:spacing w:line="360" w:lineRule="auto"/>
        <w:ind w:firstLine="240"/>
        <w:jc w:val="both"/>
        <w:rPr>
          <w:rFonts w:ascii="Book Antiqua" w:hAnsi="Book Antiqua"/>
        </w:rPr>
      </w:pPr>
      <w:r w:rsidRPr="00FD1252">
        <w:rPr>
          <w:rFonts w:ascii="Book Antiqua" w:eastAsia="Book Antiqua" w:hAnsi="Book Antiqua" w:cs="Book Antiqua"/>
          <w:color w:val="000000"/>
        </w:rPr>
        <w:t xml:space="preserve">It is important to note that the clinical decision-making process based on renal allograft biopsy requires a multidisciplinary approach, involving nephrologists, transplant surgeons, pathologists, and other healthcare professionals. In particular, making a clinical </w:t>
      </w:r>
      <w:r w:rsidRPr="00FD1252">
        <w:rPr>
          <w:rFonts w:ascii="Book Antiqua" w:eastAsia="Book Antiqua" w:hAnsi="Book Antiqua" w:cs="Book Antiqua"/>
          <w:color w:val="000000"/>
        </w:rPr>
        <w:lastRenderedPageBreak/>
        <w:t>decision based on renal allograft biopsy involves a comprehensive evaluation that integrates the pathological findings with clinical information and other relevant diagnostic tests such as imaging studies, drug levels, urine culture, and other laboratory tests. Collaboration and communication among the healthcare team members is the key to providing optimal patient care.</w:t>
      </w:r>
    </w:p>
    <w:p w14:paraId="391B9197" w14:textId="77777777" w:rsidR="00A77B3E" w:rsidRPr="00FD1252" w:rsidRDefault="00A77B3E" w:rsidP="00FD1252">
      <w:pPr>
        <w:spacing w:line="360" w:lineRule="auto"/>
        <w:ind w:firstLine="240"/>
        <w:jc w:val="both"/>
        <w:rPr>
          <w:rFonts w:ascii="Book Antiqua" w:hAnsi="Book Antiqua"/>
        </w:rPr>
      </w:pPr>
    </w:p>
    <w:p w14:paraId="71AD10D7"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bCs/>
          <w:caps/>
          <w:color w:val="000000"/>
          <w:u w:val="single"/>
        </w:rPr>
        <w:t>FUTURE DIRECTIONS</w:t>
      </w:r>
    </w:p>
    <w:p w14:paraId="176BF0C8" w14:textId="6FE31B96"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color w:val="000000"/>
        </w:rPr>
        <w:t>Although major advances have been made in understanding and categorizing kidney allograft pathology during the last three decades, there are still many problematic areas that remain to be addressed. Issues of sampling errors, reproducibility, borderline category, subclinical rejection, global training and competence, and lack of sensitivity and specificity of morphological features are some such areas</w:t>
      </w:r>
      <w:r w:rsidRPr="00FD1252">
        <w:rPr>
          <w:rFonts w:ascii="Book Antiqua" w:eastAsia="Book Antiqua" w:hAnsi="Book Antiqua" w:cs="Book Antiqua"/>
          <w:color w:val="000000"/>
          <w:vertAlign w:val="superscript"/>
        </w:rPr>
        <w:t>[115-118]</w:t>
      </w:r>
      <w:r w:rsidRPr="00FD1252">
        <w:rPr>
          <w:rFonts w:ascii="Book Antiqua" w:eastAsia="Book Antiqua" w:hAnsi="Book Antiqua" w:cs="Book Antiqua"/>
          <w:color w:val="000000"/>
        </w:rPr>
        <w:t xml:space="preserve">. Many gaps remain from the diagnostic accuracy and precision point of view, </w:t>
      </w:r>
      <w:r w:rsidRPr="00FD1252">
        <w:rPr>
          <w:rFonts w:ascii="Book Antiqua" w:eastAsia="Book Antiqua" w:hAnsi="Book Antiqua" w:cs="Book Antiqua"/>
          <w:i/>
          <w:iCs/>
          <w:color w:val="000000"/>
        </w:rPr>
        <w:t>e.g.</w:t>
      </w:r>
      <w:r w:rsidRPr="00FD1252">
        <w:rPr>
          <w:rFonts w:ascii="Book Antiqua" w:eastAsia="Book Antiqua" w:hAnsi="Book Antiqua" w:cs="Book Antiqua"/>
          <w:color w:val="000000"/>
        </w:rPr>
        <w:t xml:space="preserve">, diagnostic thresholds and </w:t>
      </w:r>
      <w:r w:rsidR="00B2007C" w:rsidRPr="00FD1252">
        <w:rPr>
          <w:rFonts w:ascii="Book Antiqua" w:eastAsia="Book Antiqua" w:hAnsi="Book Antiqua" w:cs="Book Antiqua"/>
          <w:color w:val="000000"/>
        </w:rPr>
        <w:t>BC</w:t>
      </w:r>
      <w:r w:rsidRPr="00FD1252">
        <w:rPr>
          <w:rFonts w:ascii="Book Antiqua" w:eastAsia="Book Antiqua" w:hAnsi="Book Antiqua" w:cs="Book Antiqua"/>
          <w:color w:val="000000"/>
        </w:rPr>
        <w:t xml:space="preserve">s. Focused research on molecular diagnostics, </w:t>
      </w:r>
      <w:r w:rsidR="001634BD" w:rsidRPr="00FD1252">
        <w:rPr>
          <w:rFonts w:ascii="Book Antiqua" w:eastAsia="Book Antiqua" w:hAnsi="Book Antiqua" w:cs="Book Antiqua"/>
          <w:color w:val="000000"/>
        </w:rPr>
        <w:t>DP</w:t>
      </w:r>
      <w:r w:rsidRPr="00FD1252">
        <w:rPr>
          <w:rFonts w:ascii="Book Antiqua" w:eastAsia="Book Antiqua" w:hAnsi="Book Antiqua" w:cs="Book Antiqua"/>
          <w:color w:val="000000"/>
        </w:rPr>
        <w:t>, AI, machine learning, and deep learning are some of the tools being actively investigated to address these problems</w:t>
      </w:r>
      <w:r w:rsidRPr="00FD1252">
        <w:rPr>
          <w:rFonts w:ascii="Book Antiqua" w:eastAsia="Book Antiqua" w:hAnsi="Book Antiqua" w:cs="Book Antiqua"/>
          <w:color w:val="000000"/>
          <w:vertAlign w:val="superscript"/>
        </w:rPr>
        <w:t>[119-123]</w:t>
      </w:r>
      <w:r w:rsidRPr="00FD1252">
        <w:rPr>
          <w:rFonts w:ascii="Book Antiqua" w:eastAsia="Book Antiqua" w:hAnsi="Book Antiqua" w:cs="Book Antiqua"/>
          <w:color w:val="000000"/>
        </w:rPr>
        <w:t>. Non-invasive serum and urinary molecular markers are also being actively sought for early and reliable identification of the rejection process right from the inception of the injury</w:t>
      </w:r>
      <w:r w:rsidRPr="00FD1252">
        <w:rPr>
          <w:rFonts w:ascii="Book Antiqua" w:eastAsia="Book Antiqua" w:hAnsi="Book Antiqua" w:cs="Book Antiqua"/>
          <w:color w:val="000000"/>
          <w:vertAlign w:val="superscript"/>
        </w:rPr>
        <w:t>[124-127]</w:t>
      </w:r>
      <w:r w:rsidRPr="00FD1252">
        <w:rPr>
          <w:rFonts w:ascii="Book Antiqua" w:eastAsia="Book Antiqua" w:hAnsi="Book Antiqua" w:cs="Book Antiqua"/>
          <w:color w:val="000000"/>
        </w:rPr>
        <w:t>. Integration of these with clinical, laboratory, and biopsy-based investigations may lead to a multimodal diagnostic algorithm for quick and accurate diagnosis for optimal treatment outcomes. Translation of the advancements in pathology diagnostics has yet not been realized into improved long-term graft outcomes.</w:t>
      </w:r>
    </w:p>
    <w:p w14:paraId="2300F90E" w14:textId="77777777" w:rsidR="00A77B3E" w:rsidRPr="00FD1252" w:rsidRDefault="00A77B3E" w:rsidP="00FD1252">
      <w:pPr>
        <w:spacing w:line="360" w:lineRule="auto"/>
        <w:jc w:val="both"/>
        <w:rPr>
          <w:rFonts w:ascii="Book Antiqua" w:hAnsi="Book Antiqua"/>
        </w:rPr>
      </w:pPr>
    </w:p>
    <w:p w14:paraId="775F641A"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caps/>
          <w:color w:val="000000"/>
          <w:u w:val="single"/>
        </w:rPr>
        <w:t>CONCLUSION</w:t>
      </w:r>
    </w:p>
    <w:p w14:paraId="2190275E" w14:textId="64676D42"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color w:val="000000"/>
        </w:rPr>
        <w:t xml:space="preserve">The first 30 years of the Banff classification system have witnessed tremendous progress in understanding, streamlining, and classifying kidney allograft pathology, particularly the rejection. Essentially, the classification has changed from pathology-based to pathogenesis-based and has become clinician-friendly and treatment-friendly. However, many gaps remain from the diagnostic sensitivity point of view, </w:t>
      </w:r>
      <w:r w:rsidRPr="00FD1252">
        <w:rPr>
          <w:rFonts w:ascii="Book Antiqua" w:eastAsia="Book Antiqua" w:hAnsi="Book Antiqua" w:cs="Book Antiqua"/>
          <w:i/>
          <w:iCs/>
          <w:color w:val="000000"/>
        </w:rPr>
        <w:t>e.g.</w:t>
      </w:r>
      <w:r w:rsidRPr="00FD1252">
        <w:rPr>
          <w:rFonts w:ascii="Book Antiqua" w:eastAsia="Book Antiqua" w:hAnsi="Book Antiqua" w:cs="Book Antiqua"/>
          <w:color w:val="000000"/>
        </w:rPr>
        <w:t xml:space="preserve">, diagnostic thresholds and </w:t>
      </w:r>
      <w:r w:rsidR="00B2007C" w:rsidRPr="00FD1252">
        <w:rPr>
          <w:rFonts w:ascii="Book Antiqua" w:eastAsia="Book Antiqua" w:hAnsi="Book Antiqua" w:cs="Book Antiqua"/>
          <w:color w:val="000000"/>
        </w:rPr>
        <w:t>BC</w:t>
      </w:r>
      <w:r w:rsidRPr="00FD1252">
        <w:rPr>
          <w:rFonts w:ascii="Book Antiqua" w:eastAsia="Book Antiqua" w:hAnsi="Book Antiqua" w:cs="Book Antiqua"/>
          <w:color w:val="000000"/>
        </w:rPr>
        <w:t xml:space="preserve">s. More sophisticated techniques and digital and computational </w:t>
      </w:r>
      <w:r w:rsidRPr="00FD1252">
        <w:rPr>
          <w:rFonts w:ascii="Book Antiqua" w:eastAsia="Book Antiqua" w:hAnsi="Book Antiqua" w:cs="Book Antiqua"/>
          <w:color w:val="000000"/>
        </w:rPr>
        <w:lastRenderedPageBreak/>
        <w:t>approaches are being actively researched at present to further improve diagnostic accuracy and precision of the classification.</w:t>
      </w:r>
    </w:p>
    <w:p w14:paraId="3243069C" w14:textId="77777777" w:rsidR="00A77B3E" w:rsidRPr="00FD1252" w:rsidRDefault="00A77B3E" w:rsidP="00FD1252">
      <w:pPr>
        <w:spacing w:line="360" w:lineRule="auto"/>
        <w:jc w:val="both"/>
        <w:rPr>
          <w:rFonts w:ascii="Book Antiqua" w:hAnsi="Book Antiqua"/>
        </w:rPr>
      </w:pPr>
    </w:p>
    <w:p w14:paraId="506150C2"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color w:val="000000"/>
        </w:rPr>
        <w:t>REFERENCES</w:t>
      </w:r>
    </w:p>
    <w:p w14:paraId="20404DD5"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 </w:t>
      </w:r>
      <w:r w:rsidRPr="00FD1252">
        <w:rPr>
          <w:rFonts w:ascii="Book Antiqua" w:hAnsi="Book Antiqua"/>
          <w:b/>
          <w:bCs/>
        </w:rPr>
        <w:t>Anyszek A</w:t>
      </w:r>
      <w:r w:rsidRPr="00FD1252">
        <w:rPr>
          <w:rFonts w:ascii="Book Antiqua" w:hAnsi="Book Antiqua"/>
        </w:rPr>
        <w:t xml:space="preserve">, Wyzgał J, Czyżewski Ł. Long-term Results of Kidney Transplantation: Analysis of Selected Factors. </w:t>
      </w:r>
      <w:r w:rsidRPr="00FD1252">
        <w:rPr>
          <w:rFonts w:ascii="Book Antiqua" w:hAnsi="Book Antiqua"/>
          <w:i/>
          <w:iCs/>
        </w:rPr>
        <w:t>Transplant Proc</w:t>
      </w:r>
      <w:r w:rsidRPr="00FD1252">
        <w:rPr>
          <w:rFonts w:ascii="Book Antiqua" w:hAnsi="Book Antiqua"/>
        </w:rPr>
        <w:t xml:space="preserve"> 2020; </w:t>
      </w:r>
      <w:r w:rsidRPr="00FD1252">
        <w:rPr>
          <w:rFonts w:ascii="Book Antiqua" w:hAnsi="Book Antiqua"/>
          <w:b/>
          <w:bCs/>
        </w:rPr>
        <w:t>52</w:t>
      </w:r>
      <w:r w:rsidRPr="00FD1252">
        <w:rPr>
          <w:rFonts w:ascii="Book Antiqua" w:hAnsi="Book Antiqua"/>
        </w:rPr>
        <w:t>: 2305-2309 [PMID: 32507485 DOI: 10.1016/j.transproceed.2020.03.035]</w:t>
      </w:r>
    </w:p>
    <w:p w14:paraId="5DF6B0A8"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2 </w:t>
      </w:r>
      <w:r w:rsidRPr="00FD1252">
        <w:rPr>
          <w:rFonts w:ascii="Book Antiqua" w:hAnsi="Book Antiqua"/>
          <w:b/>
          <w:bCs/>
        </w:rPr>
        <w:t>Wang JH</w:t>
      </w:r>
      <w:r w:rsidRPr="00FD1252">
        <w:rPr>
          <w:rFonts w:ascii="Book Antiqua" w:hAnsi="Book Antiqua"/>
        </w:rPr>
        <w:t xml:space="preserve">, Skeans MA, Israni AK. Current Status of Kidney Transplant Outcomes: Dying to Survive. </w:t>
      </w:r>
      <w:r w:rsidRPr="00FD1252">
        <w:rPr>
          <w:rFonts w:ascii="Book Antiqua" w:hAnsi="Book Antiqua"/>
          <w:i/>
          <w:iCs/>
        </w:rPr>
        <w:t>Adv Chronic Kidney Dis</w:t>
      </w:r>
      <w:r w:rsidRPr="00FD1252">
        <w:rPr>
          <w:rFonts w:ascii="Book Antiqua" w:hAnsi="Book Antiqua"/>
        </w:rPr>
        <w:t xml:space="preserve"> 2016; </w:t>
      </w:r>
      <w:r w:rsidRPr="00FD1252">
        <w:rPr>
          <w:rFonts w:ascii="Book Antiqua" w:hAnsi="Book Antiqua"/>
          <w:b/>
          <w:bCs/>
        </w:rPr>
        <w:t>23</w:t>
      </w:r>
      <w:r w:rsidRPr="00FD1252">
        <w:rPr>
          <w:rFonts w:ascii="Book Antiqua" w:hAnsi="Book Antiqua"/>
        </w:rPr>
        <w:t>: 281-286 [PMID: 27742381 DOI: 10.1053/j.ackd.2016.07.001]</w:t>
      </w:r>
    </w:p>
    <w:p w14:paraId="5BE3F36C"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3 </w:t>
      </w:r>
      <w:r w:rsidRPr="00FD1252">
        <w:rPr>
          <w:rFonts w:ascii="Book Antiqua" w:hAnsi="Book Antiqua"/>
          <w:b/>
          <w:bCs/>
        </w:rPr>
        <w:t>Zhang J</w:t>
      </w:r>
      <w:r w:rsidRPr="00FD1252">
        <w:rPr>
          <w:rFonts w:ascii="Book Antiqua" w:hAnsi="Book Antiqua"/>
        </w:rPr>
        <w:t xml:space="preserve">, Qiu J, Chen GD, Wang CX, Wang C, Yu SJ, Chen LZ. Etiological analysis of graft dysfunction following living kidney transplantation: a report of 366 biopsies. </w:t>
      </w:r>
      <w:r w:rsidRPr="00FD1252">
        <w:rPr>
          <w:rFonts w:ascii="Book Antiqua" w:hAnsi="Book Antiqua"/>
          <w:i/>
          <w:iCs/>
        </w:rPr>
        <w:t>Ren Fail</w:t>
      </w:r>
      <w:r w:rsidRPr="00FD1252">
        <w:rPr>
          <w:rFonts w:ascii="Book Antiqua" w:hAnsi="Book Antiqua"/>
        </w:rPr>
        <w:t xml:space="preserve"> 2018; </w:t>
      </w:r>
      <w:r w:rsidRPr="00FD1252">
        <w:rPr>
          <w:rFonts w:ascii="Book Antiqua" w:hAnsi="Book Antiqua"/>
          <w:b/>
          <w:bCs/>
        </w:rPr>
        <w:t>40</w:t>
      </w:r>
      <w:r w:rsidRPr="00FD1252">
        <w:rPr>
          <w:rFonts w:ascii="Book Antiqua" w:hAnsi="Book Antiqua"/>
        </w:rPr>
        <w:t>: 219-225 [PMID: 29619905 DOI: 10.1080/0886022X.2018.1455592]</w:t>
      </w:r>
    </w:p>
    <w:p w14:paraId="52FE60A2"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4 </w:t>
      </w:r>
      <w:r w:rsidRPr="00FD1252">
        <w:rPr>
          <w:rFonts w:ascii="Book Antiqua" w:hAnsi="Book Antiqua"/>
          <w:b/>
          <w:bCs/>
        </w:rPr>
        <w:t>Solez K</w:t>
      </w:r>
      <w:r w:rsidRPr="00FD1252">
        <w:rPr>
          <w:rFonts w:ascii="Book Antiqua" w:hAnsi="Book Antiqua"/>
        </w:rPr>
        <w:t xml:space="preserve">. History of the Banff classification of allograft pathology as it approaches its 20th year. </w:t>
      </w:r>
      <w:r w:rsidRPr="00FD1252">
        <w:rPr>
          <w:rFonts w:ascii="Book Antiqua" w:hAnsi="Book Antiqua"/>
          <w:i/>
          <w:iCs/>
        </w:rPr>
        <w:t>Curr Opin Organ Transplant</w:t>
      </w:r>
      <w:r w:rsidRPr="00FD1252">
        <w:rPr>
          <w:rFonts w:ascii="Book Antiqua" w:hAnsi="Book Antiqua"/>
        </w:rPr>
        <w:t xml:space="preserve"> 2010; </w:t>
      </w:r>
      <w:r w:rsidRPr="00FD1252">
        <w:rPr>
          <w:rFonts w:ascii="Book Antiqua" w:hAnsi="Book Antiqua"/>
          <w:b/>
          <w:bCs/>
        </w:rPr>
        <w:t>15</w:t>
      </w:r>
      <w:r w:rsidRPr="00FD1252">
        <w:rPr>
          <w:rFonts w:ascii="Book Antiqua" w:hAnsi="Book Antiqua"/>
        </w:rPr>
        <w:t>: 49-51 [PMID: 19949334 DOI: 10.1097/MOT.0b013e328334fedb]</w:t>
      </w:r>
    </w:p>
    <w:p w14:paraId="03CDFDFF"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5 </w:t>
      </w:r>
      <w:r w:rsidRPr="00FD1252">
        <w:rPr>
          <w:rFonts w:ascii="Book Antiqua" w:hAnsi="Book Antiqua"/>
          <w:b/>
          <w:bCs/>
        </w:rPr>
        <w:t>Solez K</w:t>
      </w:r>
      <w:r w:rsidRPr="00FD1252">
        <w:rPr>
          <w:rFonts w:ascii="Book Antiqua" w:hAnsi="Book Antiqua"/>
        </w:rPr>
        <w:t xml:space="preserve">, Racusen LC. The Banff classification revisited. </w:t>
      </w:r>
      <w:r w:rsidRPr="00FD1252">
        <w:rPr>
          <w:rFonts w:ascii="Book Antiqua" w:hAnsi="Book Antiqua"/>
          <w:i/>
          <w:iCs/>
        </w:rPr>
        <w:t>Kidney Int</w:t>
      </w:r>
      <w:r w:rsidRPr="00FD1252">
        <w:rPr>
          <w:rFonts w:ascii="Book Antiqua" w:hAnsi="Book Antiqua"/>
        </w:rPr>
        <w:t xml:space="preserve"> 2013; </w:t>
      </w:r>
      <w:r w:rsidRPr="00FD1252">
        <w:rPr>
          <w:rFonts w:ascii="Book Antiqua" w:hAnsi="Book Antiqua"/>
          <w:b/>
          <w:bCs/>
        </w:rPr>
        <w:t>83</w:t>
      </w:r>
      <w:r w:rsidRPr="00FD1252">
        <w:rPr>
          <w:rFonts w:ascii="Book Antiqua" w:hAnsi="Book Antiqua"/>
        </w:rPr>
        <w:t>: 201-206 [PMID: 23235566 DOI: 10.1038/ki.2012.395]</w:t>
      </w:r>
    </w:p>
    <w:p w14:paraId="1095DCA2"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6 </w:t>
      </w:r>
      <w:r w:rsidRPr="00FD1252">
        <w:rPr>
          <w:rFonts w:ascii="Book Antiqua" w:hAnsi="Book Antiqua"/>
          <w:b/>
          <w:bCs/>
        </w:rPr>
        <w:t>Loupy A</w:t>
      </w:r>
      <w:r w:rsidRPr="00FD1252">
        <w:rPr>
          <w:rFonts w:ascii="Book Antiqua" w:hAnsi="Book Antiqua"/>
        </w:rPr>
        <w:t xml:space="preserve">, Mengel M, Haas M. Thirty years of the International Banff Classification for Allograft Pathology: the past, present, and future of kidney transplant diagnostics. </w:t>
      </w:r>
      <w:r w:rsidRPr="00FD1252">
        <w:rPr>
          <w:rFonts w:ascii="Book Antiqua" w:hAnsi="Book Antiqua"/>
          <w:i/>
          <w:iCs/>
        </w:rPr>
        <w:t>Kidney Int</w:t>
      </w:r>
      <w:r w:rsidRPr="00FD1252">
        <w:rPr>
          <w:rFonts w:ascii="Book Antiqua" w:hAnsi="Book Antiqua"/>
        </w:rPr>
        <w:t xml:space="preserve"> 2022; </w:t>
      </w:r>
      <w:r w:rsidRPr="00FD1252">
        <w:rPr>
          <w:rFonts w:ascii="Book Antiqua" w:hAnsi="Book Antiqua"/>
          <w:b/>
          <w:bCs/>
        </w:rPr>
        <w:t>101</w:t>
      </w:r>
      <w:r w:rsidRPr="00FD1252">
        <w:rPr>
          <w:rFonts w:ascii="Book Antiqua" w:hAnsi="Book Antiqua"/>
        </w:rPr>
        <w:t>: 678-691 [PMID: 34922989 DOI: 10.1016/j.kint.2021.11.028]</w:t>
      </w:r>
    </w:p>
    <w:p w14:paraId="603DE0C8"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7 </w:t>
      </w:r>
      <w:r w:rsidRPr="00FD1252">
        <w:rPr>
          <w:rFonts w:ascii="Book Antiqua" w:hAnsi="Book Antiqua"/>
          <w:b/>
          <w:bCs/>
        </w:rPr>
        <w:t>Gowrishankar S</w:t>
      </w:r>
      <w:r w:rsidRPr="00FD1252">
        <w:rPr>
          <w:rFonts w:ascii="Book Antiqua" w:hAnsi="Book Antiqua"/>
        </w:rPr>
        <w:t xml:space="preserve">. Banff Classification from 1991 to 2019. A Significant Contribution to Our Understanding and Reporting of Allograft Renal Biopsies. </w:t>
      </w:r>
      <w:r w:rsidRPr="00FD1252">
        <w:rPr>
          <w:rFonts w:ascii="Book Antiqua" w:hAnsi="Book Antiqua"/>
          <w:i/>
          <w:iCs/>
        </w:rPr>
        <w:t>Indian J Nephrol</w:t>
      </w:r>
      <w:r w:rsidRPr="00FD1252">
        <w:rPr>
          <w:rFonts w:ascii="Book Antiqua" w:hAnsi="Book Antiqua"/>
        </w:rPr>
        <w:t xml:space="preserve"> 2022; </w:t>
      </w:r>
      <w:r w:rsidRPr="00FD1252">
        <w:rPr>
          <w:rFonts w:ascii="Book Antiqua" w:hAnsi="Book Antiqua"/>
          <w:b/>
          <w:bCs/>
        </w:rPr>
        <w:t>32</w:t>
      </w:r>
      <w:r w:rsidRPr="00FD1252">
        <w:rPr>
          <w:rFonts w:ascii="Book Antiqua" w:hAnsi="Book Antiqua"/>
        </w:rPr>
        <w:t>: 1-7 [PMID: 35283563 DOI: 10.4103/ijn.IJN_270_20]</w:t>
      </w:r>
    </w:p>
    <w:p w14:paraId="40E53FC2"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8 </w:t>
      </w:r>
      <w:r w:rsidRPr="00FD1252">
        <w:rPr>
          <w:rFonts w:ascii="Book Antiqua" w:hAnsi="Book Antiqua"/>
          <w:b/>
          <w:bCs/>
        </w:rPr>
        <w:t>Dhrolia M</w:t>
      </w:r>
      <w:r w:rsidRPr="00FD1252">
        <w:rPr>
          <w:rFonts w:ascii="Book Antiqua" w:hAnsi="Book Antiqua"/>
        </w:rPr>
        <w:t xml:space="preserve">, Ahmad A. Development of Banff Classification from 1991 to 2019 for identifying renal allograft rejection: A narrative review for nephrologists. </w:t>
      </w:r>
      <w:r w:rsidRPr="00FD1252">
        <w:rPr>
          <w:rFonts w:ascii="Book Antiqua" w:hAnsi="Book Antiqua"/>
          <w:i/>
          <w:iCs/>
        </w:rPr>
        <w:t>J Pak Med Assoc</w:t>
      </w:r>
      <w:r w:rsidRPr="00FD1252">
        <w:rPr>
          <w:rFonts w:ascii="Book Antiqua" w:hAnsi="Book Antiqua"/>
        </w:rPr>
        <w:t xml:space="preserve"> 2022; </w:t>
      </w:r>
      <w:r w:rsidRPr="00FD1252">
        <w:rPr>
          <w:rFonts w:ascii="Book Antiqua" w:hAnsi="Book Antiqua"/>
          <w:b/>
          <w:bCs/>
        </w:rPr>
        <w:t>72</w:t>
      </w:r>
      <w:r w:rsidRPr="00FD1252">
        <w:rPr>
          <w:rFonts w:ascii="Book Antiqua" w:hAnsi="Book Antiqua"/>
        </w:rPr>
        <w:t>: 1615-1621 [PMID: 36280929 DOI: 10.47391/JPMA.3987]</w:t>
      </w:r>
    </w:p>
    <w:p w14:paraId="35CBCCEB"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9 </w:t>
      </w:r>
      <w:r w:rsidRPr="00FD1252">
        <w:rPr>
          <w:rFonts w:ascii="Book Antiqua" w:hAnsi="Book Antiqua"/>
          <w:b/>
          <w:bCs/>
        </w:rPr>
        <w:t>Roufosse C</w:t>
      </w:r>
      <w:r w:rsidRPr="00FD1252">
        <w:rPr>
          <w:rFonts w:ascii="Book Antiqua" w:hAnsi="Book Antiqua"/>
        </w:rPr>
        <w:t xml:space="preserve">, Simmonds N, Clahsen-van Groningen M, Haas M, Henriksen KJ, Horsfield C, Loupy A, Mengel M, Perkowska-Ptasińska A, Rabant M, Racusen LC, Solez K, Becker JU. A 2018 Reference Guide to the Banff Classification of Renal Allograft Pathology. </w:t>
      </w:r>
      <w:r w:rsidRPr="00FD1252">
        <w:rPr>
          <w:rFonts w:ascii="Book Antiqua" w:hAnsi="Book Antiqua"/>
          <w:i/>
          <w:iCs/>
        </w:rPr>
        <w:lastRenderedPageBreak/>
        <w:t>Transplantation</w:t>
      </w:r>
      <w:r w:rsidRPr="00FD1252">
        <w:rPr>
          <w:rFonts w:ascii="Book Antiqua" w:hAnsi="Book Antiqua"/>
        </w:rPr>
        <w:t xml:space="preserve"> 2018; </w:t>
      </w:r>
      <w:r w:rsidRPr="00FD1252">
        <w:rPr>
          <w:rFonts w:ascii="Book Antiqua" w:hAnsi="Book Antiqua"/>
          <w:b/>
          <w:bCs/>
        </w:rPr>
        <w:t>102</w:t>
      </w:r>
      <w:r w:rsidRPr="00FD1252">
        <w:rPr>
          <w:rFonts w:ascii="Book Antiqua" w:hAnsi="Book Antiqua"/>
        </w:rPr>
        <w:t>: 1795-1814 [PMID: 30028786 DOI: 10.1097/TP.0000000000002366]</w:t>
      </w:r>
    </w:p>
    <w:p w14:paraId="66812C3C"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10 </w:t>
      </w:r>
      <w:r w:rsidRPr="00FD1252">
        <w:rPr>
          <w:rFonts w:ascii="Book Antiqua" w:hAnsi="Book Antiqua"/>
          <w:b/>
          <w:bCs/>
        </w:rPr>
        <w:t>Solez K</w:t>
      </w:r>
      <w:r w:rsidRPr="00FD1252">
        <w:rPr>
          <w:rFonts w:ascii="Book Antiqua" w:hAnsi="Book Antiqua"/>
        </w:rPr>
        <w:t xml:space="preserve">, Axelsen RA, Benediktsson H, Burdick JF, Cohen AH, Colvin RB, Croker BP, Droz D, Dunnill MS, Halloran PF. International standardization of criteria for the histologic diagnosis of renal allograft rejection: the Banff working classification of kidney transplant pathology. </w:t>
      </w:r>
      <w:r w:rsidRPr="00FD1252">
        <w:rPr>
          <w:rFonts w:ascii="Book Antiqua" w:hAnsi="Book Antiqua"/>
          <w:i/>
          <w:iCs/>
        </w:rPr>
        <w:t>Kidney Int</w:t>
      </w:r>
      <w:r w:rsidRPr="00FD1252">
        <w:rPr>
          <w:rFonts w:ascii="Book Antiqua" w:hAnsi="Book Antiqua"/>
        </w:rPr>
        <w:t xml:space="preserve"> 1993; </w:t>
      </w:r>
      <w:r w:rsidRPr="00FD1252">
        <w:rPr>
          <w:rFonts w:ascii="Book Antiqua" w:hAnsi="Book Antiqua"/>
          <w:b/>
          <w:bCs/>
        </w:rPr>
        <w:t>44</w:t>
      </w:r>
      <w:r w:rsidRPr="00FD1252">
        <w:rPr>
          <w:rFonts w:ascii="Book Antiqua" w:hAnsi="Book Antiqua"/>
        </w:rPr>
        <w:t>: 411-422 [PMID: 8377384 DOI: 10.1038/ki.1993.259]</w:t>
      </w:r>
    </w:p>
    <w:p w14:paraId="048AE3F9"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11 </w:t>
      </w:r>
      <w:r w:rsidRPr="00FD1252">
        <w:rPr>
          <w:rFonts w:ascii="Book Antiqua" w:hAnsi="Book Antiqua"/>
          <w:b/>
          <w:bCs/>
        </w:rPr>
        <w:t>Racusen LC</w:t>
      </w:r>
      <w:r w:rsidRPr="00FD1252">
        <w:rPr>
          <w:rFonts w:ascii="Book Antiqua" w:hAnsi="Book Antiqua"/>
        </w:rPr>
        <w:t xml:space="preserve">, Solez K, Colvin RB, Bonsib SM, Castro MC, Cavallo T, Croker BP, Demetris AJ, Drachenberg CB, Fogo AB, Furness P, Gaber LW, Gibson IW, Glotz D, Goldberg JC, Grande J, Halloran PF, Hansen HE, Hartley B, Hayry PJ, Hill CM, Hoffman EO, Hunsicker LG, Lindblad AS, Yamaguchi Y. The Banff 97 working classification of renal allograft pathology. </w:t>
      </w:r>
      <w:r w:rsidRPr="00FD1252">
        <w:rPr>
          <w:rFonts w:ascii="Book Antiqua" w:hAnsi="Book Antiqua"/>
          <w:i/>
          <w:iCs/>
        </w:rPr>
        <w:t>Kidney Int</w:t>
      </w:r>
      <w:r w:rsidRPr="00FD1252">
        <w:rPr>
          <w:rFonts w:ascii="Book Antiqua" w:hAnsi="Book Antiqua"/>
        </w:rPr>
        <w:t xml:space="preserve"> 1999; </w:t>
      </w:r>
      <w:r w:rsidRPr="00FD1252">
        <w:rPr>
          <w:rFonts w:ascii="Book Antiqua" w:hAnsi="Book Antiqua"/>
          <w:b/>
          <w:bCs/>
        </w:rPr>
        <w:t>55</w:t>
      </w:r>
      <w:r w:rsidRPr="00FD1252">
        <w:rPr>
          <w:rFonts w:ascii="Book Antiqua" w:hAnsi="Book Antiqua"/>
        </w:rPr>
        <w:t>: 713-723 [PMID: 9987096 DOI: 10.1046/j.1523-1755.1999.00299.x]</w:t>
      </w:r>
    </w:p>
    <w:p w14:paraId="5F5889B1"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12 </w:t>
      </w:r>
      <w:r w:rsidRPr="00FD1252">
        <w:rPr>
          <w:rFonts w:ascii="Book Antiqua" w:hAnsi="Book Antiqua"/>
          <w:b/>
          <w:bCs/>
        </w:rPr>
        <w:t>Racusen LC</w:t>
      </w:r>
      <w:r w:rsidRPr="00FD1252">
        <w:rPr>
          <w:rFonts w:ascii="Book Antiqua" w:hAnsi="Book Antiqua"/>
        </w:rPr>
        <w:t xml:space="preserve">, Colvin RB, Solez K, Mihatsch MJ, Halloran PF, Campbell PM, Cecka MJ, Cosyns JP, Demetris AJ, Fishbein MC, Fogo A, Furness P, Gibson IW, Glotz D, Hayry P, Hunsickern L, Kashgarian M, Kerman R, Magil AJ, Montgomery R, Morozumi K, Nickeleit V, Randhawa P, Regele H, Seron D, Seshan S, Sund S, Trpkov K. Antibody-mediated rejection criteria - an addition to the Banff 97 classification of renal allograft rejection. </w:t>
      </w:r>
      <w:r w:rsidRPr="00FD1252">
        <w:rPr>
          <w:rFonts w:ascii="Book Antiqua" w:hAnsi="Book Antiqua"/>
          <w:i/>
          <w:iCs/>
        </w:rPr>
        <w:t>Am J Transplant</w:t>
      </w:r>
      <w:r w:rsidRPr="00FD1252">
        <w:rPr>
          <w:rFonts w:ascii="Book Antiqua" w:hAnsi="Book Antiqua"/>
        </w:rPr>
        <w:t xml:space="preserve"> 2003; </w:t>
      </w:r>
      <w:r w:rsidRPr="00FD1252">
        <w:rPr>
          <w:rFonts w:ascii="Book Antiqua" w:hAnsi="Book Antiqua"/>
          <w:b/>
          <w:bCs/>
        </w:rPr>
        <w:t>3</w:t>
      </w:r>
      <w:r w:rsidRPr="00FD1252">
        <w:rPr>
          <w:rFonts w:ascii="Book Antiqua" w:hAnsi="Book Antiqua"/>
        </w:rPr>
        <w:t>: 708-714 [PMID: 12780562 DOI: 10.1034/j.1600-6143.2003.00072.x]</w:t>
      </w:r>
    </w:p>
    <w:p w14:paraId="62A73B04"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13 </w:t>
      </w:r>
      <w:r w:rsidRPr="00FD1252">
        <w:rPr>
          <w:rFonts w:ascii="Book Antiqua" w:hAnsi="Book Antiqua"/>
          <w:b/>
          <w:bCs/>
        </w:rPr>
        <w:t>Cimen S</w:t>
      </w:r>
      <w:r w:rsidRPr="00FD1252">
        <w:rPr>
          <w:rFonts w:ascii="Book Antiqua" w:hAnsi="Book Antiqua"/>
        </w:rPr>
        <w:t xml:space="preserve">, Geldenhuys L, Guler S, Imamoglu A, Molinari M. Impact of specimen adequacy on the assessment of renal allograft biopsy specimens. </w:t>
      </w:r>
      <w:r w:rsidRPr="00FD1252">
        <w:rPr>
          <w:rFonts w:ascii="Book Antiqua" w:hAnsi="Book Antiqua"/>
          <w:i/>
          <w:iCs/>
        </w:rPr>
        <w:t>Braz J Med Biol Res</w:t>
      </w:r>
      <w:r w:rsidRPr="00FD1252">
        <w:rPr>
          <w:rFonts w:ascii="Book Antiqua" w:hAnsi="Book Antiqua"/>
        </w:rPr>
        <w:t xml:space="preserve"> 2016; </w:t>
      </w:r>
      <w:r w:rsidRPr="00FD1252">
        <w:rPr>
          <w:rFonts w:ascii="Book Antiqua" w:hAnsi="Book Antiqua"/>
          <w:b/>
          <w:bCs/>
        </w:rPr>
        <w:t>49</w:t>
      </w:r>
      <w:r w:rsidRPr="00FD1252">
        <w:rPr>
          <w:rFonts w:ascii="Book Antiqua" w:hAnsi="Book Antiqua"/>
        </w:rPr>
        <w:t>: e5301 [PMID: 27119314 DOI: 10.1590/1414-431X20165301]</w:t>
      </w:r>
    </w:p>
    <w:p w14:paraId="449001FD"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14 </w:t>
      </w:r>
      <w:r w:rsidRPr="00FD1252">
        <w:rPr>
          <w:rFonts w:ascii="Book Antiqua" w:hAnsi="Book Antiqua"/>
          <w:b/>
          <w:bCs/>
        </w:rPr>
        <w:t>Haas M</w:t>
      </w:r>
      <w:r w:rsidRPr="00FD1252">
        <w:rPr>
          <w:rFonts w:ascii="Book Antiqua" w:hAnsi="Book Antiqua"/>
        </w:rPr>
        <w:t xml:space="preserve">, Sis B, Racusen LC, Solez K, Glotz D, Colvin RB, Castro MC, David DS, David-Neto E, Bagnasco SM, Cendales LC, Cornell LD, Demetris AJ, Drachenberg CB, Farver CF, Farris AB 3rd, Gibson IW, Kraus E, Liapis H, Loupy A, Nickeleit V, Randhawa P, Rodriguez ER, Rush D, Smith RN, Tan CD, Wallace WD, Mengel M; Banff meeting report writing committee. Banff 2013 meeting report: inclusion of c4d-negative antibody-mediated rejection and antibody-associated arterial lesions. </w:t>
      </w:r>
      <w:r w:rsidRPr="00FD1252">
        <w:rPr>
          <w:rFonts w:ascii="Book Antiqua" w:hAnsi="Book Antiqua"/>
          <w:i/>
          <w:iCs/>
        </w:rPr>
        <w:t>Am J Transplant</w:t>
      </w:r>
      <w:r w:rsidRPr="00FD1252">
        <w:rPr>
          <w:rFonts w:ascii="Book Antiqua" w:hAnsi="Book Antiqua"/>
        </w:rPr>
        <w:t xml:space="preserve"> 2014; </w:t>
      </w:r>
      <w:r w:rsidRPr="00FD1252">
        <w:rPr>
          <w:rFonts w:ascii="Book Antiqua" w:hAnsi="Book Antiqua"/>
          <w:b/>
          <w:bCs/>
        </w:rPr>
        <w:t>14</w:t>
      </w:r>
      <w:r w:rsidRPr="00FD1252">
        <w:rPr>
          <w:rFonts w:ascii="Book Antiqua" w:hAnsi="Book Antiqua"/>
        </w:rPr>
        <w:t>: 272-283 [PMID: 24472190 DOI: 10.1111/ajt.12590]</w:t>
      </w:r>
    </w:p>
    <w:p w14:paraId="63A91236" w14:textId="77777777" w:rsidR="00F15982" w:rsidRPr="00FD1252" w:rsidRDefault="00F15982" w:rsidP="00FD1252">
      <w:pPr>
        <w:spacing w:line="360" w:lineRule="auto"/>
        <w:jc w:val="both"/>
        <w:rPr>
          <w:rFonts w:ascii="Book Antiqua" w:hAnsi="Book Antiqua"/>
        </w:rPr>
      </w:pPr>
      <w:r w:rsidRPr="00FD1252">
        <w:rPr>
          <w:rFonts w:ascii="Book Antiqua" w:hAnsi="Book Antiqua"/>
        </w:rPr>
        <w:lastRenderedPageBreak/>
        <w:t xml:space="preserve">15 </w:t>
      </w:r>
      <w:r w:rsidRPr="00FD1252">
        <w:rPr>
          <w:rFonts w:ascii="Book Antiqua" w:hAnsi="Book Antiqua"/>
          <w:b/>
          <w:bCs/>
        </w:rPr>
        <w:t>Haas M</w:t>
      </w:r>
      <w:r w:rsidRPr="00FD1252">
        <w:rPr>
          <w:rFonts w:ascii="Book Antiqua" w:hAnsi="Book Antiqua"/>
        </w:rPr>
        <w:t xml:space="preserve">. The Revised (2013) Banff Classification for Antibody-Mediated Rejection of Renal Allografts: Update, Difficulties, and Future Considerations. </w:t>
      </w:r>
      <w:r w:rsidRPr="00FD1252">
        <w:rPr>
          <w:rFonts w:ascii="Book Antiqua" w:hAnsi="Book Antiqua"/>
          <w:i/>
          <w:iCs/>
        </w:rPr>
        <w:t>Am J Transplant</w:t>
      </w:r>
      <w:r w:rsidRPr="00FD1252">
        <w:rPr>
          <w:rFonts w:ascii="Book Antiqua" w:hAnsi="Book Antiqua"/>
        </w:rPr>
        <w:t xml:space="preserve"> 2016; </w:t>
      </w:r>
      <w:r w:rsidRPr="00FD1252">
        <w:rPr>
          <w:rFonts w:ascii="Book Antiqua" w:hAnsi="Book Antiqua"/>
          <w:b/>
          <w:bCs/>
        </w:rPr>
        <w:t>16</w:t>
      </w:r>
      <w:r w:rsidRPr="00FD1252">
        <w:rPr>
          <w:rFonts w:ascii="Book Antiqua" w:hAnsi="Book Antiqua"/>
        </w:rPr>
        <w:t>: 1352-1357 [PMID: 26696524 DOI: 10.1111/ajt.13661]</w:t>
      </w:r>
    </w:p>
    <w:p w14:paraId="682C9082"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16 </w:t>
      </w:r>
      <w:r w:rsidRPr="00FD1252">
        <w:rPr>
          <w:rFonts w:ascii="Book Antiqua" w:hAnsi="Book Antiqua"/>
          <w:b/>
          <w:bCs/>
        </w:rPr>
        <w:t>Hara S</w:t>
      </w:r>
      <w:r w:rsidRPr="00FD1252">
        <w:rPr>
          <w:rFonts w:ascii="Book Antiqua" w:hAnsi="Book Antiqua"/>
        </w:rPr>
        <w:t xml:space="preserve">. Banff 2013 update: Pearls and pitfalls in transplant renal pathology. </w:t>
      </w:r>
      <w:r w:rsidRPr="00FD1252">
        <w:rPr>
          <w:rFonts w:ascii="Book Antiqua" w:hAnsi="Book Antiqua"/>
          <w:i/>
          <w:iCs/>
        </w:rPr>
        <w:t>Nephrology (Carlton)</w:t>
      </w:r>
      <w:r w:rsidRPr="00FD1252">
        <w:rPr>
          <w:rFonts w:ascii="Book Antiqua" w:hAnsi="Book Antiqua"/>
        </w:rPr>
        <w:t xml:space="preserve"> 2015; </w:t>
      </w:r>
      <w:r w:rsidRPr="00FD1252">
        <w:rPr>
          <w:rFonts w:ascii="Book Antiqua" w:hAnsi="Book Antiqua"/>
          <w:b/>
          <w:bCs/>
        </w:rPr>
        <w:t xml:space="preserve">20 </w:t>
      </w:r>
      <w:r w:rsidRPr="00FD1252">
        <w:rPr>
          <w:rFonts w:ascii="Book Antiqua" w:hAnsi="Book Antiqua"/>
        </w:rPr>
        <w:t>Suppl 2: 2-8 [PMID: 26031578 DOI: 10.1111/nep.12474]</w:t>
      </w:r>
    </w:p>
    <w:p w14:paraId="10B0C4D7"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17 </w:t>
      </w:r>
      <w:r w:rsidRPr="00FD1252">
        <w:rPr>
          <w:rFonts w:ascii="Book Antiqua" w:hAnsi="Book Antiqua"/>
          <w:b/>
          <w:bCs/>
        </w:rPr>
        <w:t>Colvin RB</w:t>
      </w:r>
      <w:r w:rsidRPr="00FD1252">
        <w:rPr>
          <w:rFonts w:ascii="Book Antiqua" w:hAnsi="Book Antiqua"/>
        </w:rPr>
        <w:t xml:space="preserve">, Cohen AH, Saiontz C, Bonsib S, Buick M, Burke B, Carter S, Cavallo T, Haas M, Lindblad A, Manivel JC, Nast CC, Salomon D, Weaver C, Weiss M. Evaluation of pathologic criteria for acute renal allograft rejection: reproducibility, sensitivity, and clinical correlation. </w:t>
      </w:r>
      <w:r w:rsidRPr="00FD1252">
        <w:rPr>
          <w:rFonts w:ascii="Book Antiqua" w:hAnsi="Book Antiqua"/>
          <w:i/>
          <w:iCs/>
        </w:rPr>
        <w:t>J Am Soc Nephrol</w:t>
      </w:r>
      <w:r w:rsidRPr="00FD1252">
        <w:rPr>
          <w:rFonts w:ascii="Book Antiqua" w:hAnsi="Book Antiqua"/>
        </w:rPr>
        <w:t xml:space="preserve"> 1997; </w:t>
      </w:r>
      <w:r w:rsidRPr="00FD1252">
        <w:rPr>
          <w:rFonts w:ascii="Book Antiqua" w:hAnsi="Book Antiqua"/>
          <w:b/>
          <w:bCs/>
        </w:rPr>
        <w:t>8</w:t>
      </w:r>
      <w:r w:rsidRPr="00FD1252">
        <w:rPr>
          <w:rFonts w:ascii="Book Antiqua" w:hAnsi="Book Antiqua"/>
        </w:rPr>
        <w:t>: 1930-1941 [PMID: 9402096 DOI: 10.1681/ASN.V8121930]</w:t>
      </w:r>
    </w:p>
    <w:p w14:paraId="687C1803"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18 </w:t>
      </w:r>
      <w:r w:rsidRPr="00FD1252">
        <w:rPr>
          <w:rFonts w:ascii="Book Antiqua" w:hAnsi="Book Antiqua"/>
          <w:b/>
          <w:bCs/>
        </w:rPr>
        <w:t>Hara S</w:t>
      </w:r>
      <w:r w:rsidRPr="00FD1252">
        <w:rPr>
          <w:rFonts w:ascii="Book Antiqua" w:hAnsi="Book Antiqua"/>
        </w:rPr>
        <w:t xml:space="preserve">. Cell mediated rejection revisited: Past, current, and future directions. </w:t>
      </w:r>
      <w:r w:rsidRPr="00FD1252">
        <w:rPr>
          <w:rFonts w:ascii="Book Antiqua" w:hAnsi="Book Antiqua"/>
          <w:i/>
          <w:iCs/>
        </w:rPr>
        <w:t>Nephrology (Carlton)</w:t>
      </w:r>
      <w:r w:rsidRPr="00FD1252">
        <w:rPr>
          <w:rFonts w:ascii="Book Antiqua" w:hAnsi="Book Antiqua"/>
        </w:rPr>
        <w:t xml:space="preserve"> 2018; </w:t>
      </w:r>
      <w:r w:rsidRPr="00FD1252">
        <w:rPr>
          <w:rFonts w:ascii="Book Antiqua" w:hAnsi="Book Antiqua"/>
          <w:b/>
          <w:bCs/>
        </w:rPr>
        <w:t xml:space="preserve">23 </w:t>
      </w:r>
      <w:r w:rsidRPr="00FD1252">
        <w:rPr>
          <w:rFonts w:ascii="Book Antiqua" w:hAnsi="Book Antiqua"/>
        </w:rPr>
        <w:t>Suppl 2: 45-51 [PMID: 29968416 DOI: 10.1111/nep.13283]</w:t>
      </w:r>
    </w:p>
    <w:p w14:paraId="7BB215DC"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19 </w:t>
      </w:r>
      <w:r w:rsidRPr="00FD1252">
        <w:rPr>
          <w:rFonts w:ascii="Book Antiqua" w:hAnsi="Book Antiqua"/>
          <w:b/>
          <w:bCs/>
        </w:rPr>
        <w:t>Jeong HJ</w:t>
      </w:r>
      <w:r w:rsidRPr="00FD1252">
        <w:rPr>
          <w:rFonts w:ascii="Book Antiqua" w:hAnsi="Book Antiqua"/>
        </w:rPr>
        <w:t xml:space="preserve">. Diagnosis of renal transplant rejection: Banff classification and beyond. </w:t>
      </w:r>
      <w:r w:rsidRPr="00FD1252">
        <w:rPr>
          <w:rFonts w:ascii="Book Antiqua" w:hAnsi="Book Antiqua"/>
          <w:i/>
          <w:iCs/>
        </w:rPr>
        <w:t>Kidney Res Clin Pract</w:t>
      </w:r>
      <w:r w:rsidRPr="00FD1252">
        <w:rPr>
          <w:rFonts w:ascii="Book Antiqua" w:hAnsi="Book Antiqua"/>
        </w:rPr>
        <w:t xml:space="preserve"> 2020; </w:t>
      </w:r>
      <w:r w:rsidRPr="00FD1252">
        <w:rPr>
          <w:rFonts w:ascii="Book Antiqua" w:hAnsi="Book Antiqua"/>
          <w:b/>
          <w:bCs/>
        </w:rPr>
        <w:t>39</w:t>
      </w:r>
      <w:r w:rsidRPr="00FD1252">
        <w:rPr>
          <w:rFonts w:ascii="Book Antiqua" w:hAnsi="Book Antiqua"/>
        </w:rPr>
        <w:t>: 17-31 [PMID: 32164120 DOI: 10.23876/j.krcp.20.003]</w:t>
      </w:r>
    </w:p>
    <w:p w14:paraId="79FD92E7"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20 </w:t>
      </w:r>
      <w:r w:rsidRPr="00FD1252">
        <w:rPr>
          <w:rFonts w:ascii="Book Antiqua" w:hAnsi="Book Antiqua"/>
          <w:b/>
          <w:bCs/>
        </w:rPr>
        <w:t>Metter C</w:t>
      </w:r>
      <w:r w:rsidRPr="00FD1252">
        <w:rPr>
          <w:rFonts w:ascii="Book Antiqua" w:hAnsi="Book Antiqua"/>
        </w:rPr>
        <w:t xml:space="preserve">, Torrealba JR. Pathology of the kidney allograft. </w:t>
      </w:r>
      <w:r w:rsidRPr="00FD1252">
        <w:rPr>
          <w:rFonts w:ascii="Book Antiqua" w:hAnsi="Book Antiqua"/>
          <w:i/>
          <w:iCs/>
        </w:rPr>
        <w:t>Semin Diagn Pathol</w:t>
      </w:r>
      <w:r w:rsidRPr="00FD1252">
        <w:rPr>
          <w:rFonts w:ascii="Book Antiqua" w:hAnsi="Book Antiqua"/>
        </w:rPr>
        <w:t xml:space="preserve"> 2020; </w:t>
      </w:r>
      <w:r w:rsidRPr="00FD1252">
        <w:rPr>
          <w:rFonts w:ascii="Book Antiqua" w:hAnsi="Book Antiqua"/>
          <w:b/>
          <w:bCs/>
        </w:rPr>
        <w:t>37</w:t>
      </w:r>
      <w:r w:rsidRPr="00FD1252">
        <w:rPr>
          <w:rFonts w:ascii="Book Antiqua" w:hAnsi="Book Antiqua"/>
        </w:rPr>
        <w:t>: 148-153 [PMID: 32249077 DOI: 10.1053/j.semdp.2020.03.005]</w:t>
      </w:r>
    </w:p>
    <w:p w14:paraId="0FF99D09"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21 </w:t>
      </w:r>
      <w:r w:rsidRPr="00FD1252">
        <w:rPr>
          <w:rFonts w:ascii="Book Antiqua" w:hAnsi="Book Antiqua"/>
          <w:b/>
          <w:bCs/>
        </w:rPr>
        <w:t>Solez K</w:t>
      </w:r>
      <w:r w:rsidRPr="00FD1252">
        <w:rPr>
          <w:rFonts w:ascii="Book Antiqua" w:hAnsi="Book Antiqua"/>
        </w:rPr>
        <w:t xml:space="preserve">, Colvin RB, Racusen LC, Sis B, Halloran PF, Birk PE, Campbell PM, Cascalho M, Collins AB, Demetris AJ, Drachenberg CB, Gibson IW, Grimm PC, Haas M, Lerut E, Liapis H, Mannon RB, Marcus PB, Mengel M, Mihatsch MJ, Nankivell BJ, Nickeleit V, Papadimitriou JC, Platt JL, Randhawa P, Roberts I, Salinas-Madriga L, Salomon DR, Seron D, Sheaff M, Weening JJ. Banff '05 Meeting Report: differential diagnosis of chronic allograft injury and elimination of chronic allograft nephropathy ('CAN'). </w:t>
      </w:r>
      <w:r w:rsidRPr="00FD1252">
        <w:rPr>
          <w:rFonts w:ascii="Book Antiqua" w:hAnsi="Book Antiqua"/>
          <w:i/>
          <w:iCs/>
        </w:rPr>
        <w:t>Am J Transplant</w:t>
      </w:r>
      <w:r w:rsidRPr="00FD1252">
        <w:rPr>
          <w:rFonts w:ascii="Book Antiqua" w:hAnsi="Book Antiqua"/>
        </w:rPr>
        <w:t xml:space="preserve"> 2007; </w:t>
      </w:r>
      <w:r w:rsidRPr="00FD1252">
        <w:rPr>
          <w:rFonts w:ascii="Book Antiqua" w:hAnsi="Book Antiqua"/>
          <w:b/>
          <w:bCs/>
        </w:rPr>
        <w:t>7</w:t>
      </w:r>
      <w:r w:rsidRPr="00FD1252">
        <w:rPr>
          <w:rFonts w:ascii="Book Antiqua" w:hAnsi="Book Antiqua"/>
        </w:rPr>
        <w:t>: 518-526 [PMID: 17352710 DOI: 10.1111/j.1600-6143.2006.01688.x]</w:t>
      </w:r>
    </w:p>
    <w:p w14:paraId="760A1225"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22 </w:t>
      </w:r>
      <w:r w:rsidRPr="00FD1252">
        <w:rPr>
          <w:rFonts w:ascii="Book Antiqua" w:hAnsi="Book Antiqua"/>
          <w:b/>
          <w:bCs/>
        </w:rPr>
        <w:t>Sis B</w:t>
      </w:r>
      <w:r w:rsidRPr="00FD1252">
        <w:rPr>
          <w:rFonts w:ascii="Book Antiqua" w:hAnsi="Book Antiqua"/>
        </w:rPr>
        <w:t xml:space="preserve">, Mengel M, Haas M, Colvin RB, Halloran PF, Racusen LC, Solez K, Baldwin WM 3rd, Bracamonte ER, Broecker V, Cosio F, Demetris AJ, Drachenberg C, Einecke G, Gloor J, Glotz D, Kraus E, Legendre C, Liapis H, Mannon RB, Nankivell BJ, Nickeleit V, Papadimitriou JC, Randhawa P, Regele H, Renaudin K, Rodriguez ER, Seron D, Seshan S, Suthanthiran M, Wasowska BA, Zachary A, Zeevi A. Banff '09 meeting report: antibody mediated graft deterioration and implementation of Banff working groups. </w:t>
      </w:r>
      <w:r w:rsidRPr="00FD1252">
        <w:rPr>
          <w:rFonts w:ascii="Book Antiqua" w:hAnsi="Book Antiqua"/>
          <w:i/>
          <w:iCs/>
        </w:rPr>
        <w:t>Am J Transplant</w:t>
      </w:r>
      <w:r w:rsidRPr="00FD1252">
        <w:rPr>
          <w:rFonts w:ascii="Book Antiqua" w:hAnsi="Book Antiqua"/>
        </w:rPr>
        <w:t xml:space="preserve"> 2010; </w:t>
      </w:r>
      <w:r w:rsidRPr="00FD1252">
        <w:rPr>
          <w:rFonts w:ascii="Book Antiqua" w:hAnsi="Book Antiqua"/>
          <w:b/>
          <w:bCs/>
        </w:rPr>
        <w:t>10</w:t>
      </w:r>
      <w:r w:rsidRPr="00FD1252">
        <w:rPr>
          <w:rFonts w:ascii="Book Antiqua" w:hAnsi="Book Antiqua"/>
        </w:rPr>
        <w:t>: 464-471 [PMID: 20121738 DOI: 10.1111/j.1600-6143.2009.02987.x]</w:t>
      </w:r>
    </w:p>
    <w:p w14:paraId="7B671843" w14:textId="77777777" w:rsidR="00F15982" w:rsidRPr="00FD1252" w:rsidRDefault="00F15982" w:rsidP="00FD1252">
      <w:pPr>
        <w:spacing w:line="360" w:lineRule="auto"/>
        <w:jc w:val="both"/>
        <w:rPr>
          <w:rFonts w:ascii="Book Antiqua" w:hAnsi="Book Antiqua"/>
        </w:rPr>
      </w:pPr>
      <w:r w:rsidRPr="00FD1252">
        <w:rPr>
          <w:rFonts w:ascii="Book Antiqua" w:hAnsi="Book Antiqua"/>
        </w:rPr>
        <w:lastRenderedPageBreak/>
        <w:t xml:space="preserve">23 </w:t>
      </w:r>
      <w:r w:rsidRPr="00FD1252">
        <w:rPr>
          <w:rFonts w:ascii="Book Antiqua" w:hAnsi="Book Antiqua"/>
          <w:b/>
          <w:bCs/>
        </w:rPr>
        <w:t>Mengel M</w:t>
      </w:r>
      <w:r w:rsidRPr="00FD1252">
        <w:rPr>
          <w:rFonts w:ascii="Book Antiqua" w:hAnsi="Book Antiqua"/>
        </w:rPr>
        <w:t xml:space="preserve">, Sis B, Haas M, Colvin RB, Halloran PF, Racusen LC, Solez K, Cendales L, Demetris AJ, Drachenberg CB, Farver CF, Rodriguez ER, Wallace WD, Glotz D; Banff meeting report writing committee. Banff 2011 Meeting report: new concepts in antibody-mediated rejection. </w:t>
      </w:r>
      <w:r w:rsidRPr="00FD1252">
        <w:rPr>
          <w:rFonts w:ascii="Book Antiqua" w:hAnsi="Book Antiqua"/>
          <w:i/>
          <w:iCs/>
        </w:rPr>
        <w:t>Am J Transplant</w:t>
      </w:r>
      <w:r w:rsidRPr="00FD1252">
        <w:rPr>
          <w:rFonts w:ascii="Book Antiqua" w:hAnsi="Book Antiqua"/>
        </w:rPr>
        <w:t xml:space="preserve"> 2012; </w:t>
      </w:r>
      <w:r w:rsidRPr="00FD1252">
        <w:rPr>
          <w:rFonts w:ascii="Book Antiqua" w:hAnsi="Book Antiqua"/>
          <w:b/>
          <w:bCs/>
        </w:rPr>
        <w:t>12</w:t>
      </w:r>
      <w:r w:rsidRPr="00FD1252">
        <w:rPr>
          <w:rFonts w:ascii="Book Antiqua" w:hAnsi="Book Antiqua"/>
        </w:rPr>
        <w:t>: 563-570 [PMID: 22300494 DOI: 10.1111/j.1600-6143.2011.03926.x]</w:t>
      </w:r>
    </w:p>
    <w:p w14:paraId="3D1AC83D"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24 </w:t>
      </w:r>
      <w:r w:rsidRPr="00FD1252">
        <w:rPr>
          <w:rFonts w:ascii="Book Antiqua" w:hAnsi="Book Antiqua"/>
          <w:b/>
          <w:bCs/>
        </w:rPr>
        <w:t>Loupy A</w:t>
      </w:r>
      <w:r w:rsidRPr="00FD1252">
        <w:rPr>
          <w:rFonts w:ascii="Book Antiqua" w:hAnsi="Book Antiqua"/>
        </w:rPr>
        <w:t xml:space="preserve">, Haas M, Solez K, Racusen L, Glotz D, Seron D, Nankivell BJ, Colvin RB, Afrouzian M, Akalin E, Alachkar N, Bagnasco S, Becker JU, Cornell L, Drachenberg C, Dragun D, de Kort H, Gibson IW, Kraus ES, Lefaucheur C, Legendre C, Liapis H, Muthukumar T, Nickeleit V, Orandi B, Park W, Rabant M, Randhawa P, Reed EF, Roufosse C, Seshan SV, Sis B, Singh HK, Schinstock C, Tambur A, Zeevi A, Mengel M. The Banff 2015 Kidney Meeting Report: Current Challenges in Rejection Classification and Prospects for Adopting Molecular Pathology. </w:t>
      </w:r>
      <w:r w:rsidRPr="00FD1252">
        <w:rPr>
          <w:rFonts w:ascii="Book Antiqua" w:hAnsi="Book Antiqua"/>
          <w:i/>
          <w:iCs/>
        </w:rPr>
        <w:t>Am J Transplant</w:t>
      </w:r>
      <w:r w:rsidRPr="00FD1252">
        <w:rPr>
          <w:rFonts w:ascii="Book Antiqua" w:hAnsi="Book Antiqua"/>
        </w:rPr>
        <w:t xml:space="preserve"> 2017; </w:t>
      </w:r>
      <w:r w:rsidRPr="00FD1252">
        <w:rPr>
          <w:rFonts w:ascii="Book Antiqua" w:hAnsi="Book Antiqua"/>
          <w:b/>
          <w:bCs/>
        </w:rPr>
        <w:t>17</w:t>
      </w:r>
      <w:r w:rsidRPr="00FD1252">
        <w:rPr>
          <w:rFonts w:ascii="Book Antiqua" w:hAnsi="Book Antiqua"/>
        </w:rPr>
        <w:t>: 28-41 [PMID: 27862883 DOI: 10.1111/ajt.14107]</w:t>
      </w:r>
    </w:p>
    <w:p w14:paraId="4780966A"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25 </w:t>
      </w:r>
      <w:r w:rsidRPr="00FD1252">
        <w:rPr>
          <w:rFonts w:ascii="Book Antiqua" w:hAnsi="Book Antiqua"/>
          <w:b/>
          <w:bCs/>
        </w:rPr>
        <w:t>Haas M</w:t>
      </w:r>
      <w:r w:rsidRPr="00FD1252">
        <w:rPr>
          <w:rFonts w:ascii="Book Antiqua" w:hAnsi="Book Antiqua"/>
        </w:rPr>
        <w:t xml:space="preserve">, Loupy A, Lefaucheur C, Roufosse C, Glotz D, Seron D, Nankivell BJ, Halloran PF, Colvin RB, Akalin E, Alachkar N, Bagnasco S, Bouatou Y, Becker JU, Cornell LD, Duong van Huyen JP, Gibson IW, Kraus ES, Mannon RB, Naesens M, Nickeleit V, Nickerson P, Segev DL, Singh HK, Stegall M, Randhawa P, Racusen L, Solez K, Mengel M. The Banff 2017 Kidney Meeting Report: Revised diagnostic criteria for chronic active T cell-mediated rejection, antibody-mediated rejection, and prospects for integrative endpoints for next-generation clinical trials. </w:t>
      </w:r>
      <w:r w:rsidRPr="00FD1252">
        <w:rPr>
          <w:rFonts w:ascii="Book Antiqua" w:hAnsi="Book Antiqua"/>
          <w:i/>
          <w:iCs/>
        </w:rPr>
        <w:t>Am J Transplant</w:t>
      </w:r>
      <w:r w:rsidRPr="00FD1252">
        <w:rPr>
          <w:rFonts w:ascii="Book Antiqua" w:hAnsi="Book Antiqua"/>
        </w:rPr>
        <w:t xml:space="preserve"> 2018; </w:t>
      </w:r>
      <w:r w:rsidRPr="00FD1252">
        <w:rPr>
          <w:rFonts w:ascii="Book Antiqua" w:hAnsi="Book Antiqua"/>
          <w:b/>
          <w:bCs/>
        </w:rPr>
        <w:t>18</w:t>
      </w:r>
      <w:r w:rsidRPr="00FD1252">
        <w:rPr>
          <w:rFonts w:ascii="Book Antiqua" w:hAnsi="Book Antiqua"/>
        </w:rPr>
        <w:t>: 293-307 [PMID: 29243394 DOI: 10.1111/ajt.14625]</w:t>
      </w:r>
    </w:p>
    <w:p w14:paraId="2B173A93"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26 </w:t>
      </w:r>
      <w:r w:rsidRPr="00FD1252">
        <w:rPr>
          <w:rFonts w:ascii="Book Antiqua" w:hAnsi="Book Antiqua"/>
          <w:b/>
          <w:bCs/>
        </w:rPr>
        <w:t>Loupy A</w:t>
      </w:r>
      <w:r w:rsidRPr="00FD1252">
        <w:rPr>
          <w:rFonts w:ascii="Book Antiqua" w:hAnsi="Book Antiqua"/>
        </w:rPr>
        <w:t xml:space="preserve">, Haas M, Roufosse C, Naesens M, Adam B, Afrouzian M, Akalin E, Alachkar N, Bagnasco S, Becker JU, Cornell LD, Clahsen-van Groningen MC, Demetris AJ, Dragun D, Duong van Huyen JP, Farris AB, Fogo AB, Gibson IW, Glotz D, Gueguen J, Kikic Z, Kozakowski N, Kraus E, Lefaucheur C, Liapis H, Mannon RB, Montgomery RA, Nankivell BJ, Nickeleit V, Nickerson P, Rabant M, Racusen L, Randhawa P, Robin B, Rosales IA, Sapir-Pichhadze R, Schinstock CA, Seron D, Singh HK, Smith RN, Stegall MD, Zeevi A, Solez K, Colvin RB, Mengel M. The Banff 2019 Kidney Meeting Report (I): Updates on and clarification of criteria for T cell- and antibody-mediated rejection. </w:t>
      </w:r>
      <w:r w:rsidRPr="00FD1252">
        <w:rPr>
          <w:rFonts w:ascii="Book Antiqua" w:hAnsi="Book Antiqua"/>
          <w:i/>
          <w:iCs/>
        </w:rPr>
        <w:t>Am J Transplant</w:t>
      </w:r>
      <w:r w:rsidRPr="00FD1252">
        <w:rPr>
          <w:rFonts w:ascii="Book Antiqua" w:hAnsi="Book Antiqua"/>
        </w:rPr>
        <w:t xml:space="preserve"> 2020; </w:t>
      </w:r>
      <w:r w:rsidRPr="00FD1252">
        <w:rPr>
          <w:rFonts w:ascii="Book Antiqua" w:hAnsi="Book Antiqua"/>
          <w:b/>
          <w:bCs/>
        </w:rPr>
        <w:t>20</w:t>
      </w:r>
      <w:r w:rsidRPr="00FD1252">
        <w:rPr>
          <w:rFonts w:ascii="Book Antiqua" w:hAnsi="Book Antiqua"/>
        </w:rPr>
        <w:t>: 2318-2331 [PMID: 32463180 DOI: 10.1111/ajt.15898]</w:t>
      </w:r>
    </w:p>
    <w:p w14:paraId="352ED99E" w14:textId="77777777" w:rsidR="00F15982" w:rsidRPr="00FD1252" w:rsidRDefault="00F15982" w:rsidP="00FD1252">
      <w:pPr>
        <w:spacing w:line="360" w:lineRule="auto"/>
        <w:jc w:val="both"/>
        <w:rPr>
          <w:rFonts w:ascii="Book Antiqua" w:hAnsi="Book Antiqua"/>
        </w:rPr>
      </w:pPr>
      <w:r w:rsidRPr="00FD1252">
        <w:rPr>
          <w:rFonts w:ascii="Book Antiqua" w:hAnsi="Book Antiqua"/>
        </w:rPr>
        <w:lastRenderedPageBreak/>
        <w:t xml:space="preserve">27 </w:t>
      </w:r>
      <w:r w:rsidRPr="00FD1252">
        <w:rPr>
          <w:rFonts w:ascii="Book Antiqua" w:hAnsi="Book Antiqua"/>
          <w:b/>
          <w:bCs/>
        </w:rPr>
        <w:t>Bissonnette MLZ</w:t>
      </w:r>
      <w:r w:rsidRPr="00FD1252">
        <w:rPr>
          <w:rFonts w:ascii="Book Antiqua" w:hAnsi="Book Antiqua"/>
        </w:rPr>
        <w:t xml:space="preserve">, Riazy M, Cunningham AM, Gill JS. A Step toward Understanding the Story Behind the Pictures: Molecular Diagnostics and the Banff Classification of Renal Allograft Pathology. </w:t>
      </w:r>
      <w:r w:rsidRPr="00FD1252">
        <w:rPr>
          <w:rFonts w:ascii="Book Antiqua" w:hAnsi="Book Antiqua"/>
          <w:i/>
          <w:iCs/>
        </w:rPr>
        <w:t>J Am Soc Nephrol</w:t>
      </w:r>
      <w:r w:rsidRPr="00FD1252">
        <w:rPr>
          <w:rFonts w:ascii="Book Antiqua" w:hAnsi="Book Antiqua"/>
        </w:rPr>
        <w:t xml:space="preserve"> 2022; </w:t>
      </w:r>
      <w:r w:rsidRPr="00FD1252">
        <w:rPr>
          <w:rFonts w:ascii="Book Antiqua" w:hAnsi="Book Antiqua"/>
          <w:b/>
          <w:bCs/>
        </w:rPr>
        <w:t>33</w:t>
      </w:r>
      <w:r w:rsidRPr="00FD1252">
        <w:rPr>
          <w:rFonts w:ascii="Book Antiqua" w:hAnsi="Book Antiqua"/>
        </w:rPr>
        <w:t>: 2131-2132 [PMID: 36171053 DOI: 10.1681/ASN.2022070847]</w:t>
      </w:r>
    </w:p>
    <w:p w14:paraId="615F4F6C"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28 </w:t>
      </w:r>
      <w:r w:rsidRPr="00FD1252">
        <w:rPr>
          <w:rFonts w:ascii="Book Antiqua" w:hAnsi="Book Antiqua"/>
          <w:b/>
          <w:bCs/>
        </w:rPr>
        <w:t>Haas M</w:t>
      </w:r>
      <w:r w:rsidRPr="00FD1252">
        <w:rPr>
          <w:rFonts w:ascii="Book Antiqua" w:hAnsi="Book Antiqua"/>
        </w:rPr>
        <w:t xml:space="preserve">. Evolving criteria for the diagnosis of antibody-mediated rejection in renal allografts. </w:t>
      </w:r>
      <w:r w:rsidRPr="00FD1252">
        <w:rPr>
          <w:rFonts w:ascii="Book Antiqua" w:hAnsi="Book Antiqua"/>
          <w:i/>
          <w:iCs/>
        </w:rPr>
        <w:t>Curr Opin Nephrol Hypertens</w:t>
      </w:r>
      <w:r w:rsidRPr="00FD1252">
        <w:rPr>
          <w:rFonts w:ascii="Book Antiqua" w:hAnsi="Book Antiqua"/>
        </w:rPr>
        <w:t xml:space="preserve"> 2018; </w:t>
      </w:r>
      <w:r w:rsidRPr="00FD1252">
        <w:rPr>
          <w:rFonts w:ascii="Book Antiqua" w:hAnsi="Book Antiqua"/>
          <w:b/>
          <w:bCs/>
        </w:rPr>
        <w:t>27</w:t>
      </w:r>
      <w:r w:rsidRPr="00FD1252">
        <w:rPr>
          <w:rFonts w:ascii="Book Antiqua" w:hAnsi="Book Antiqua"/>
        </w:rPr>
        <w:t>: 137-143 [PMID: 29300203 DOI: 10.1097/MNH.0000000000000398]</w:t>
      </w:r>
    </w:p>
    <w:p w14:paraId="2076D7F3"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29 </w:t>
      </w:r>
      <w:r w:rsidRPr="00FD1252">
        <w:rPr>
          <w:rFonts w:ascii="Book Antiqua" w:hAnsi="Book Antiqua"/>
          <w:b/>
          <w:bCs/>
        </w:rPr>
        <w:t>Jeong HS</w:t>
      </w:r>
      <w:r w:rsidRPr="00FD1252">
        <w:rPr>
          <w:rFonts w:ascii="Book Antiqua" w:hAnsi="Book Antiqua"/>
        </w:rPr>
        <w:t xml:space="preserve">, Kim DG, Lee ST, Huh KH, Kim YS, Jeong HJ, Lim BJ. Clinical Significance of Revised Banff Criteria in the Diagnosis of Antibody-Mediated Rejection. </w:t>
      </w:r>
      <w:r w:rsidRPr="00FD1252">
        <w:rPr>
          <w:rFonts w:ascii="Book Antiqua" w:hAnsi="Book Antiqua"/>
          <w:i/>
          <w:iCs/>
        </w:rPr>
        <w:t>Transplant Proc</w:t>
      </w:r>
      <w:r w:rsidRPr="00FD1252">
        <w:rPr>
          <w:rFonts w:ascii="Book Antiqua" w:hAnsi="Book Antiqua"/>
        </w:rPr>
        <w:t xml:space="preserve"> 2019; </w:t>
      </w:r>
      <w:r w:rsidRPr="00FD1252">
        <w:rPr>
          <w:rFonts w:ascii="Book Antiqua" w:hAnsi="Book Antiqua"/>
          <w:b/>
          <w:bCs/>
        </w:rPr>
        <w:t>51</w:t>
      </w:r>
      <w:r w:rsidRPr="00FD1252">
        <w:rPr>
          <w:rFonts w:ascii="Book Antiqua" w:hAnsi="Book Antiqua"/>
        </w:rPr>
        <w:t>: 1488-1490 [PMID: 31053345 DOI: 10.1016/j.transproceed.2019.03.012]</w:t>
      </w:r>
    </w:p>
    <w:p w14:paraId="0A474678"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30 </w:t>
      </w:r>
      <w:r w:rsidRPr="00FD1252">
        <w:rPr>
          <w:rFonts w:ascii="Book Antiqua" w:hAnsi="Book Antiqua"/>
          <w:b/>
          <w:bCs/>
        </w:rPr>
        <w:t>Cornell LD</w:t>
      </w:r>
      <w:r w:rsidRPr="00FD1252">
        <w:rPr>
          <w:rFonts w:ascii="Book Antiqua" w:hAnsi="Book Antiqua"/>
        </w:rPr>
        <w:t xml:space="preserve">. Histopathologic Features of Antibody Mediated Rejection: The Banff Classification and Beyond. </w:t>
      </w:r>
      <w:r w:rsidRPr="00FD1252">
        <w:rPr>
          <w:rFonts w:ascii="Book Antiqua" w:hAnsi="Book Antiqua"/>
          <w:i/>
          <w:iCs/>
        </w:rPr>
        <w:t>Front Immunol</w:t>
      </w:r>
      <w:r w:rsidRPr="00FD1252">
        <w:rPr>
          <w:rFonts w:ascii="Book Antiqua" w:hAnsi="Book Antiqua"/>
        </w:rPr>
        <w:t xml:space="preserve"> 2021; </w:t>
      </w:r>
      <w:r w:rsidRPr="00FD1252">
        <w:rPr>
          <w:rFonts w:ascii="Book Antiqua" w:hAnsi="Book Antiqua"/>
          <w:b/>
          <w:bCs/>
        </w:rPr>
        <w:t>12</w:t>
      </w:r>
      <w:r w:rsidRPr="00FD1252">
        <w:rPr>
          <w:rFonts w:ascii="Book Antiqua" w:hAnsi="Book Antiqua"/>
        </w:rPr>
        <w:t>: 718122 [PMID: 34646262 DOI: 10.3389/fimmu.2021.718122]</w:t>
      </w:r>
    </w:p>
    <w:p w14:paraId="6B671E1E"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31 </w:t>
      </w:r>
      <w:r w:rsidRPr="00FD1252">
        <w:rPr>
          <w:rFonts w:ascii="Book Antiqua" w:hAnsi="Book Antiqua"/>
          <w:b/>
          <w:bCs/>
        </w:rPr>
        <w:t>Mauiyyedi S</w:t>
      </w:r>
      <w:r w:rsidRPr="00FD1252">
        <w:rPr>
          <w:rFonts w:ascii="Book Antiqua" w:hAnsi="Book Antiqua"/>
        </w:rPr>
        <w:t xml:space="preserve">, Crespo M, Collins AB, Schneeberger EE, Pascual MA, Saidman SL, Tolkoff-Rubin NE, Williams WW, Delmonico FL, Cosimi AB, Colvin RB. Acute humoral rejection in kidney transplantation: II. Morphology, immunopathology, and pathologic classification. </w:t>
      </w:r>
      <w:r w:rsidRPr="00FD1252">
        <w:rPr>
          <w:rFonts w:ascii="Book Antiqua" w:hAnsi="Book Antiqua"/>
          <w:i/>
          <w:iCs/>
        </w:rPr>
        <w:t>J Am Soc Nephrol</w:t>
      </w:r>
      <w:r w:rsidRPr="00FD1252">
        <w:rPr>
          <w:rFonts w:ascii="Book Antiqua" w:hAnsi="Book Antiqua"/>
        </w:rPr>
        <w:t xml:space="preserve"> 2002; </w:t>
      </w:r>
      <w:r w:rsidRPr="00FD1252">
        <w:rPr>
          <w:rFonts w:ascii="Book Antiqua" w:hAnsi="Book Antiqua"/>
          <w:b/>
          <w:bCs/>
        </w:rPr>
        <w:t>13</w:t>
      </w:r>
      <w:r w:rsidRPr="00FD1252">
        <w:rPr>
          <w:rFonts w:ascii="Book Antiqua" w:hAnsi="Book Antiqua"/>
        </w:rPr>
        <w:t>: 779-787 [PMID: 11856785 DOI: 10.1681/ASN.V133779]</w:t>
      </w:r>
    </w:p>
    <w:p w14:paraId="6DFB4B66"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32 </w:t>
      </w:r>
      <w:r w:rsidRPr="00FD1252">
        <w:rPr>
          <w:rFonts w:ascii="Book Antiqua" w:hAnsi="Book Antiqua"/>
          <w:b/>
          <w:bCs/>
        </w:rPr>
        <w:t>Wang S</w:t>
      </w:r>
      <w:r w:rsidRPr="00FD1252">
        <w:rPr>
          <w:rFonts w:ascii="Book Antiqua" w:hAnsi="Book Antiqua"/>
        </w:rPr>
        <w:t xml:space="preserve">, Zhang C, Wang J, Yang C, Xu M, Rong R, Zhu T, Zhu D. Endothelial Cells in Antibody-Mediated Rejection of Kidney Transplantation: Pathogenesis Mechanisms and Therapeutic Implications. </w:t>
      </w:r>
      <w:r w:rsidRPr="00FD1252">
        <w:rPr>
          <w:rFonts w:ascii="Book Antiqua" w:hAnsi="Book Antiqua"/>
          <w:i/>
          <w:iCs/>
        </w:rPr>
        <w:t>J Immunol Res</w:t>
      </w:r>
      <w:r w:rsidRPr="00FD1252">
        <w:rPr>
          <w:rFonts w:ascii="Book Antiqua" w:hAnsi="Book Antiqua"/>
        </w:rPr>
        <w:t xml:space="preserve"> 2017; </w:t>
      </w:r>
      <w:r w:rsidRPr="00FD1252">
        <w:rPr>
          <w:rFonts w:ascii="Book Antiqua" w:hAnsi="Book Antiqua"/>
          <w:b/>
          <w:bCs/>
        </w:rPr>
        <w:t>2017</w:t>
      </w:r>
      <w:r w:rsidRPr="00FD1252">
        <w:rPr>
          <w:rFonts w:ascii="Book Antiqua" w:hAnsi="Book Antiqua"/>
        </w:rPr>
        <w:t>: 8746303 [PMID: 28255564 DOI: 10.1155/2017/8746303]</w:t>
      </w:r>
    </w:p>
    <w:p w14:paraId="5C887479"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33 </w:t>
      </w:r>
      <w:r w:rsidRPr="00FD1252">
        <w:rPr>
          <w:rFonts w:ascii="Book Antiqua" w:hAnsi="Book Antiqua"/>
          <w:b/>
          <w:bCs/>
        </w:rPr>
        <w:t>Feucht HE</w:t>
      </w:r>
      <w:r w:rsidRPr="00FD1252">
        <w:rPr>
          <w:rFonts w:ascii="Book Antiqua" w:hAnsi="Book Antiqua"/>
        </w:rPr>
        <w:t xml:space="preserve">, Schneeberger H, Hillebrand G, Burkhardt K, Weiss M, Riethmüller G, Land W, Albert E. Capillary deposition of C4d complement fragment and early renal graft loss. </w:t>
      </w:r>
      <w:r w:rsidRPr="00FD1252">
        <w:rPr>
          <w:rFonts w:ascii="Book Antiqua" w:hAnsi="Book Antiqua"/>
          <w:i/>
          <w:iCs/>
        </w:rPr>
        <w:t>Kidney Int</w:t>
      </w:r>
      <w:r w:rsidRPr="00FD1252">
        <w:rPr>
          <w:rFonts w:ascii="Book Antiqua" w:hAnsi="Book Antiqua"/>
        </w:rPr>
        <w:t xml:space="preserve"> 1993; </w:t>
      </w:r>
      <w:r w:rsidRPr="00FD1252">
        <w:rPr>
          <w:rFonts w:ascii="Book Antiqua" w:hAnsi="Book Antiqua"/>
          <w:b/>
          <w:bCs/>
        </w:rPr>
        <w:t>43</w:t>
      </w:r>
      <w:r w:rsidRPr="00FD1252">
        <w:rPr>
          <w:rFonts w:ascii="Book Antiqua" w:hAnsi="Book Antiqua"/>
        </w:rPr>
        <w:t>: 1333-1338 [PMID: 8315947 DOI: 10.1038/ki.1993.187]</w:t>
      </w:r>
    </w:p>
    <w:p w14:paraId="79E93FDD"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34 </w:t>
      </w:r>
      <w:r w:rsidRPr="00FD1252">
        <w:rPr>
          <w:rFonts w:ascii="Book Antiqua" w:hAnsi="Book Antiqua"/>
          <w:b/>
          <w:bCs/>
        </w:rPr>
        <w:t>Böhmig GA</w:t>
      </w:r>
      <w:r w:rsidRPr="00FD1252">
        <w:rPr>
          <w:rFonts w:ascii="Book Antiqua" w:hAnsi="Book Antiqua"/>
        </w:rPr>
        <w:t xml:space="preserve">, Exner M, Habicht A, Schillinger M, Lang U, Kletzmayr J, Säemann MD, Hörl WH, Watschinger B, Regele H. Capillary C4d deposition in kidney allografts: a specific marker of alloantibody-dependent graft injury. </w:t>
      </w:r>
      <w:r w:rsidRPr="00FD1252">
        <w:rPr>
          <w:rFonts w:ascii="Book Antiqua" w:hAnsi="Book Antiqua"/>
          <w:i/>
          <w:iCs/>
        </w:rPr>
        <w:t>J Am Soc Nephrol</w:t>
      </w:r>
      <w:r w:rsidRPr="00FD1252">
        <w:rPr>
          <w:rFonts w:ascii="Book Antiqua" w:hAnsi="Book Antiqua"/>
        </w:rPr>
        <w:t xml:space="preserve"> 2002; </w:t>
      </w:r>
      <w:r w:rsidRPr="00FD1252">
        <w:rPr>
          <w:rFonts w:ascii="Book Antiqua" w:hAnsi="Book Antiqua"/>
          <w:b/>
          <w:bCs/>
        </w:rPr>
        <w:t>13</w:t>
      </w:r>
      <w:r w:rsidRPr="00FD1252">
        <w:rPr>
          <w:rFonts w:ascii="Book Antiqua" w:hAnsi="Book Antiqua"/>
        </w:rPr>
        <w:t>: 1091-1099 [PMID: 11912271 DOI: 10.1681/ASN.V1341091]</w:t>
      </w:r>
    </w:p>
    <w:p w14:paraId="0443EF6F" w14:textId="77777777" w:rsidR="00F15982" w:rsidRPr="00FD1252" w:rsidRDefault="00F15982" w:rsidP="00FD1252">
      <w:pPr>
        <w:spacing w:line="360" w:lineRule="auto"/>
        <w:jc w:val="both"/>
        <w:rPr>
          <w:rFonts w:ascii="Book Antiqua" w:hAnsi="Book Antiqua"/>
        </w:rPr>
      </w:pPr>
      <w:r w:rsidRPr="00FD1252">
        <w:rPr>
          <w:rFonts w:ascii="Book Antiqua" w:hAnsi="Book Antiqua"/>
        </w:rPr>
        <w:lastRenderedPageBreak/>
        <w:t xml:space="preserve">35 </w:t>
      </w:r>
      <w:r w:rsidRPr="00FD1252">
        <w:rPr>
          <w:rFonts w:ascii="Book Antiqua" w:hAnsi="Book Antiqua"/>
          <w:b/>
          <w:bCs/>
        </w:rPr>
        <w:t>Nickeleit V</w:t>
      </w:r>
      <w:r w:rsidRPr="00FD1252">
        <w:rPr>
          <w:rFonts w:ascii="Book Antiqua" w:hAnsi="Book Antiqua"/>
        </w:rPr>
        <w:t xml:space="preserve">, Zeiler M, Gudat F, Thiel G, Mihatsch MJ. Detection of the complement degradation product C4d in renal allografts: diagnostic and therapeutic implications. </w:t>
      </w:r>
      <w:r w:rsidRPr="00FD1252">
        <w:rPr>
          <w:rFonts w:ascii="Book Antiqua" w:hAnsi="Book Antiqua"/>
          <w:i/>
          <w:iCs/>
        </w:rPr>
        <w:t>J Am Soc Nephrol</w:t>
      </w:r>
      <w:r w:rsidRPr="00FD1252">
        <w:rPr>
          <w:rFonts w:ascii="Book Antiqua" w:hAnsi="Book Antiqua"/>
        </w:rPr>
        <w:t xml:space="preserve"> 2002; </w:t>
      </w:r>
      <w:r w:rsidRPr="00FD1252">
        <w:rPr>
          <w:rFonts w:ascii="Book Antiqua" w:hAnsi="Book Antiqua"/>
          <w:b/>
          <w:bCs/>
        </w:rPr>
        <w:t>13</w:t>
      </w:r>
      <w:r w:rsidRPr="00FD1252">
        <w:rPr>
          <w:rFonts w:ascii="Book Antiqua" w:hAnsi="Book Antiqua"/>
        </w:rPr>
        <w:t>: 242-251 [PMID: 11752044 DOI: 10.1681/ASN.V131242]</w:t>
      </w:r>
    </w:p>
    <w:p w14:paraId="3D452966"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36 </w:t>
      </w:r>
      <w:r w:rsidRPr="00FD1252">
        <w:rPr>
          <w:rFonts w:ascii="Book Antiqua" w:hAnsi="Book Antiqua"/>
          <w:b/>
          <w:bCs/>
        </w:rPr>
        <w:t>Kedainis RL</w:t>
      </w:r>
      <w:r w:rsidRPr="00FD1252">
        <w:rPr>
          <w:rFonts w:ascii="Book Antiqua" w:hAnsi="Book Antiqua"/>
        </w:rPr>
        <w:t xml:space="preserve">, Koch MJ, Brennan DC, Liapis H. Focal C4d+ in renal allografts is associated with the presence of donor-specific antibodies and decreased allograft survival. </w:t>
      </w:r>
      <w:r w:rsidRPr="00FD1252">
        <w:rPr>
          <w:rFonts w:ascii="Book Antiqua" w:hAnsi="Book Antiqua"/>
          <w:i/>
          <w:iCs/>
        </w:rPr>
        <w:t>Am J Transplant</w:t>
      </w:r>
      <w:r w:rsidRPr="00FD1252">
        <w:rPr>
          <w:rFonts w:ascii="Book Antiqua" w:hAnsi="Book Antiqua"/>
        </w:rPr>
        <w:t xml:space="preserve"> 2009; </w:t>
      </w:r>
      <w:r w:rsidRPr="00FD1252">
        <w:rPr>
          <w:rFonts w:ascii="Book Antiqua" w:hAnsi="Book Antiqua"/>
          <w:b/>
          <w:bCs/>
        </w:rPr>
        <w:t>9</w:t>
      </w:r>
      <w:r w:rsidRPr="00FD1252">
        <w:rPr>
          <w:rFonts w:ascii="Book Antiqua" w:hAnsi="Book Antiqua"/>
        </w:rPr>
        <w:t>: 812-819 [PMID: 19344468 DOI: 10.1111/j.1600-6143.2009.02555.x]</w:t>
      </w:r>
    </w:p>
    <w:p w14:paraId="2152111D"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37 </w:t>
      </w:r>
      <w:r w:rsidRPr="00FD1252">
        <w:rPr>
          <w:rFonts w:ascii="Book Antiqua" w:hAnsi="Book Antiqua"/>
          <w:b/>
          <w:bCs/>
        </w:rPr>
        <w:t>Seemayer CA</w:t>
      </w:r>
      <w:r w:rsidRPr="00FD1252">
        <w:rPr>
          <w:rFonts w:ascii="Book Antiqua" w:hAnsi="Book Antiqua"/>
        </w:rPr>
        <w:t xml:space="preserve">, Gaspert A, Nickeleit V, Mihatsch MJ. C4d staining of renal allograft biopsies: a comparative analysis of different staining techniques. </w:t>
      </w:r>
      <w:r w:rsidRPr="00FD1252">
        <w:rPr>
          <w:rFonts w:ascii="Book Antiqua" w:hAnsi="Book Antiqua"/>
          <w:i/>
          <w:iCs/>
        </w:rPr>
        <w:t>Nephrol Dial Transplant</w:t>
      </w:r>
      <w:r w:rsidRPr="00FD1252">
        <w:rPr>
          <w:rFonts w:ascii="Book Antiqua" w:hAnsi="Book Antiqua"/>
        </w:rPr>
        <w:t xml:space="preserve"> 2007; </w:t>
      </w:r>
      <w:r w:rsidRPr="00FD1252">
        <w:rPr>
          <w:rFonts w:ascii="Book Antiqua" w:hAnsi="Book Antiqua"/>
          <w:b/>
          <w:bCs/>
        </w:rPr>
        <w:t>22</w:t>
      </w:r>
      <w:r w:rsidRPr="00FD1252">
        <w:rPr>
          <w:rFonts w:ascii="Book Antiqua" w:hAnsi="Book Antiqua"/>
        </w:rPr>
        <w:t>: 568-576 [PMID: 17164320 DOI: 10.1093/ndt/gfl594]</w:t>
      </w:r>
    </w:p>
    <w:p w14:paraId="64673DF4"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38 </w:t>
      </w:r>
      <w:r w:rsidRPr="00FD1252">
        <w:rPr>
          <w:rFonts w:ascii="Book Antiqua" w:hAnsi="Book Antiqua"/>
          <w:b/>
          <w:bCs/>
        </w:rPr>
        <w:t>Mauiyyedi S</w:t>
      </w:r>
      <w:r w:rsidRPr="00FD1252">
        <w:rPr>
          <w:rFonts w:ascii="Book Antiqua" w:hAnsi="Book Antiqua"/>
        </w:rPr>
        <w:t xml:space="preserve">, Pelle PD, Saidman S, Collins AB, Pascual M, Tolkoff-Rubin NE, Williams WW, Cosimi AB, Schneeberger EE, Colvin RB. Chronic humoral rejection: identification of antibody-mediated chronic renal allograft rejection by C4d deposits in peritubular capillaries. </w:t>
      </w:r>
      <w:r w:rsidRPr="00FD1252">
        <w:rPr>
          <w:rFonts w:ascii="Book Antiqua" w:hAnsi="Book Antiqua"/>
          <w:i/>
          <w:iCs/>
        </w:rPr>
        <w:t>J Am Soc Nephrol</w:t>
      </w:r>
      <w:r w:rsidRPr="00FD1252">
        <w:rPr>
          <w:rFonts w:ascii="Book Antiqua" w:hAnsi="Book Antiqua"/>
        </w:rPr>
        <w:t xml:space="preserve"> 2001; </w:t>
      </w:r>
      <w:r w:rsidRPr="00FD1252">
        <w:rPr>
          <w:rFonts w:ascii="Book Antiqua" w:hAnsi="Book Antiqua"/>
          <w:b/>
          <w:bCs/>
        </w:rPr>
        <w:t>12</w:t>
      </w:r>
      <w:r w:rsidRPr="00FD1252">
        <w:rPr>
          <w:rFonts w:ascii="Book Antiqua" w:hAnsi="Book Antiqua"/>
        </w:rPr>
        <w:t>: 574-582 [PMID: 11181806 DOI: 10.1681/ASN.V123574]</w:t>
      </w:r>
    </w:p>
    <w:p w14:paraId="67C0B139"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39 </w:t>
      </w:r>
      <w:r w:rsidRPr="00FD1252">
        <w:rPr>
          <w:rFonts w:ascii="Book Antiqua" w:hAnsi="Book Antiqua"/>
          <w:b/>
          <w:bCs/>
        </w:rPr>
        <w:t>Regele H</w:t>
      </w:r>
      <w:r w:rsidRPr="00FD1252">
        <w:rPr>
          <w:rFonts w:ascii="Book Antiqua" w:hAnsi="Book Antiqua"/>
        </w:rPr>
        <w:t xml:space="preserve">, Böhmig GA, Habicht A, Gollowitzer D, Schillinger M, Rockenschaub S, Watschinger B, Kerjaschki D, Exner M. Capillary deposition of complement split product C4d in renal allografts is associated with basement membrane injury in peritubular and glomerular capillaries: a contribution of humoral immunity to chronic allograft rejection. </w:t>
      </w:r>
      <w:r w:rsidRPr="00FD1252">
        <w:rPr>
          <w:rFonts w:ascii="Book Antiqua" w:hAnsi="Book Antiqua"/>
          <w:i/>
          <w:iCs/>
        </w:rPr>
        <w:t>J Am Soc Nephrol</w:t>
      </w:r>
      <w:r w:rsidRPr="00FD1252">
        <w:rPr>
          <w:rFonts w:ascii="Book Antiqua" w:hAnsi="Book Antiqua"/>
        </w:rPr>
        <w:t xml:space="preserve"> 2002; </w:t>
      </w:r>
      <w:r w:rsidRPr="00FD1252">
        <w:rPr>
          <w:rFonts w:ascii="Book Antiqua" w:hAnsi="Book Antiqua"/>
          <w:b/>
          <w:bCs/>
        </w:rPr>
        <w:t>13</w:t>
      </w:r>
      <w:r w:rsidRPr="00FD1252">
        <w:rPr>
          <w:rFonts w:ascii="Book Antiqua" w:hAnsi="Book Antiqua"/>
        </w:rPr>
        <w:t>: 2371-2380 [PMID: 12191982 DOI: 10.1097/01.asn.0000025780.03790.0f]</w:t>
      </w:r>
    </w:p>
    <w:p w14:paraId="665BD403"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40 </w:t>
      </w:r>
      <w:r w:rsidRPr="00FD1252">
        <w:rPr>
          <w:rFonts w:ascii="Book Antiqua" w:hAnsi="Book Antiqua"/>
          <w:b/>
          <w:bCs/>
        </w:rPr>
        <w:t>Haas M</w:t>
      </w:r>
      <w:r w:rsidRPr="00FD1252">
        <w:rPr>
          <w:rFonts w:ascii="Book Antiqua" w:hAnsi="Book Antiqua"/>
        </w:rPr>
        <w:t xml:space="preserve">. The significance of C4d staining with minimal histologic abnormalities. </w:t>
      </w:r>
      <w:r w:rsidRPr="00FD1252">
        <w:rPr>
          <w:rFonts w:ascii="Book Antiqua" w:hAnsi="Book Antiqua"/>
          <w:i/>
          <w:iCs/>
        </w:rPr>
        <w:t>Curr Opin Organ Transplant</w:t>
      </w:r>
      <w:r w:rsidRPr="00FD1252">
        <w:rPr>
          <w:rFonts w:ascii="Book Antiqua" w:hAnsi="Book Antiqua"/>
        </w:rPr>
        <w:t xml:space="preserve"> 2010; </w:t>
      </w:r>
      <w:r w:rsidRPr="00FD1252">
        <w:rPr>
          <w:rFonts w:ascii="Book Antiqua" w:hAnsi="Book Antiqua"/>
          <w:b/>
          <w:bCs/>
        </w:rPr>
        <w:t>15</w:t>
      </w:r>
      <w:r w:rsidRPr="00FD1252">
        <w:rPr>
          <w:rFonts w:ascii="Book Antiqua" w:hAnsi="Book Antiqua"/>
        </w:rPr>
        <w:t>: 21-27 [PMID: 19907328 DOI: 10.1097/MOT.0b013e3283342ebd]</w:t>
      </w:r>
    </w:p>
    <w:p w14:paraId="6BE15E0A"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41 </w:t>
      </w:r>
      <w:r w:rsidRPr="00FD1252">
        <w:rPr>
          <w:rFonts w:ascii="Book Antiqua" w:hAnsi="Book Antiqua"/>
          <w:b/>
          <w:bCs/>
        </w:rPr>
        <w:t>Dominy KM</w:t>
      </w:r>
      <w:r w:rsidRPr="00FD1252">
        <w:rPr>
          <w:rFonts w:ascii="Book Antiqua" w:hAnsi="Book Antiqua"/>
        </w:rPr>
        <w:t xml:space="preserve">, Willicombe M, Al Johani T, Beckwith H, Goodall D, Brookes P, Cook HT, Cairns T, McLean A, Roufosse C. Molecular Assessment of C4d-Positive Renal Transplant Biopsies Without Evidence of Rejection. </w:t>
      </w:r>
      <w:r w:rsidRPr="00FD1252">
        <w:rPr>
          <w:rFonts w:ascii="Book Antiqua" w:hAnsi="Book Antiqua"/>
          <w:i/>
          <w:iCs/>
        </w:rPr>
        <w:t>Kidney Int Rep</w:t>
      </w:r>
      <w:r w:rsidRPr="00FD1252">
        <w:rPr>
          <w:rFonts w:ascii="Book Antiqua" w:hAnsi="Book Antiqua"/>
        </w:rPr>
        <w:t xml:space="preserve"> 2019; </w:t>
      </w:r>
      <w:r w:rsidRPr="00FD1252">
        <w:rPr>
          <w:rFonts w:ascii="Book Antiqua" w:hAnsi="Book Antiqua"/>
          <w:b/>
          <w:bCs/>
        </w:rPr>
        <w:t>4</w:t>
      </w:r>
      <w:r w:rsidRPr="00FD1252">
        <w:rPr>
          <w:rFonts w:ascii="Book Antiqua" w:hAnsi="Book Antiqua"/>
        </w:rPr>
        <w:t>: 148-158 [PMID: 30596178 DOI: 10.1016/j.ekir.2018.09.005]</w:t>
      </w:r>
    </w:p>
    <w:p w14:paraId="3FE19580"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42 </w:t>
      </w:r>
      <w:r w:rsidRPr="00FD1252">
        <w:rPr>
          <w:rFonts w:ascii="Book Antiqua" w:hAnsi="Book Antiqua"/>
          <w:b/>
          <w:bCs/>
        </w:rPr>
        <w:t>Solez K</w:t>
      </w:r>
      <w:r w:rsidRPr="00FD1252">
        <w:rPr>
          <w:rFonts w:ascii="Book Antiqua" w:hAnsi="Book Antiqua"/>
        </w:rPr>
        <w:t xml:space="preserve">, Colvin RB, Racusen LC, Haas M, Sis B, Mengel M, Halloran PF, Baldwin W, Banfi G, Collins AB, Cosio F, David DS, Drachenberg C, Einecke G, Fogo AB, Gibson IW, </w:t>
      </w:r>
      <w:r w:rsidRPr="00FD1252">
        <w:rPr>
          <w:rFonts w:ascii="Book Antiqua" w:hAnsi="Book Antiqua"/>
        </w:rPr>
        <w:lastRenderedPageBreak/>
        <w:t xml:space="preserve">Glotz D, Iskandar SS, Kraus E, Lerut E, Mannon RB, Mihatsch M, Nankivell BJ, Nickeleit V, Papadimitriou JC, Randhawa P, Regele H, Renaudin K, Roberts I, Seron D, Smith RN, Valente M. Banff 07 classification of renal allograft pathology: updates and future directions. </w:t>
      </w:r>
      <w:r w:rsidRPr="00FD1252">
        <w:rPr>
          <w:rFonts w:ascii="Book Antiqua" w:hAnsi="Book Antiqua"/>
          <w:i/>
          <w:iCs/>
        </w:rPr>
        <w:t>Am J Transplant</w:t>
      </w:r>
      <w:r w:rsidRPr="00FD1252">
        <w:rPr>
          <w:rFonts w:ascii="Book Antiqua" w:hAnsi="Book Antiqua"/>
        </w:rPr>
        <w:t xml:space="preserve"> 2008; </w:t>
      </w:r>
      <w:r w:rsidRPr="00FD1252">
        <w:rPr>
          <w:rFonts w:ascii="Book Antiqua" w:hAnsi="Book Antiqua"/>
          <w:b/>
          <w:bCs/>
        </w:rPr>
        <w:t>8</w:t>
      </w:r>
      <w:r w:rsidRPr="00FD1252">
        <w:rPr>
          <w:rFonts w:ascii="Book Antiqua" w:hAnsi="Book Antiqua"/>
        </w:rPr>
        <w:t>: 753-760 [PMID: 18294345 DOI: 10.1111/j.1600-6143.2008.02159.x]</w:t>
      </w:r>
    </w:p>
    <w:p w14:paraId="4C3130AE"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43 </w:t>
      </w:r>
      <w:r w:rsidRPr="00FD1252">
        <w:rPr>
          <w:rFonts w:ascii="Book Antiqua" w:hAnsi="Book Antiqua"/>
          <w:b/>
          <w:bCs/>
        </w:rPr>
        <w:t>Lefaucheur C</w:t>
      </w:r>
      <w:r w:rsidRPr="00FD1252">
        <w:rPr>
          <w:rFonts w:ascii="Book Antiqua" w:hAnsi="Book Antiqua"/>
        </w:rPr>
        <w:t xml:space="preserve">, Loupy A, Vernerey D, Duong-Van-Huyen JP, Suberbielle C, Anglicheau D, Vérine J, Beuscart T, Nochy D, Bruneval P, Charron D, Delahousse M, Empana JP, Hill GS, Glotz D, Legendre C, Jouven X. Antibody-mediated vascular rejection of kidney allografts: a population-based study. </w:t>
      </w:r>
      <w:r w:rsidRPr="00FD1252">
        <w:rPr>
          <w:rFonts w:ascii="Book Antiqua" w:hAnsi="Book Antiqua"/>
          <w:i/>
          <w:iCs/>
        </w:rPr>
        <w:t>Lancet</w:t>
      </w:r>
      <w:r w:rsidRPr="00FD1252">
        <w:rPr>
          <w:rFonts w:ascii="Book Antiqua" w:hAnsi="Book Antiqua"/>
        </w:rPr>
        <w:t xml:space="preserve"> 2013; </w:t>
      </w:r>
      <w:r w:rsidRPr="00FD1252">
        <w:rPr>
          <w:rFonts w:ascii="Book Antiqua" w:hAnsi="Book Antiqua"/>
          <w:b/>
          <w:bCs/>
        </w:rPr>
        <w:t>381</w:t>
      </w:r>
      <w:r w:rsidRPr="00FD1252">
        <w:rPr>
          <w:rFonts w:ascii="Book Antiqua" w:hAnsi="Book Antiqua"/>
        </w:rPr>
        <w:t>: 313-319 [PMID: 23182298 DOI: 10.1016/S0140-6736(12)61265-3]</w:t>
      </w:r>
    </w:p>
    <w:p w14:paraId="1625739B"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44 </w:t>
      </w:r>
      <w:r w:rsidRPr="00FD1252">
        <w:rPr>
          <w:rFonts w:ascii="Book Antiqua" w:hAnsi="Book Antiqua"/>
          <w:b/>
          <w:bCs/>
        </w:rPr>
        <w:t>Salazar ID</w:t>
      </w:r>
      <w:r w:rsidRPr="00FD1252">
        <w:rPr>
          <w:rFonts w:ascii="Book Antiqua" w:hAnsi="Book Antiqua"/>
        </w:rPr>
        <w:t xml:space="preserve">, Merino López M, Chang J, Halloran PF. Reassessing the Significance of Intimal Arteritis in Kidney Transplant Biopsy Specimens. </w:t>
      </w:r>
      <w:r w:rsidRPr="00FD1252">
        <w:rPr>
          <w:rFonts w:ascii="Book Antiqua" w:hAnsi="Book Antiqua"/>
          <w:i/>
          <w:iCs/>
        </w:rPr>
        <w:t>J Am Soc Nephrol</w:t>
      </w:r>
      <w:r w:rsidRPr="00FD1252">
        <w:rPr>
          <w:rFonts w:ascii="Book Antiqua" w:hAnsi="Book Antiqua"/>
        </w:rPr>
        <w:t xml:space="preserve"> 2015; </w:t>
      </w:r>
      <w:r w:rsidRPr="00FD1252">
        <w:rPr>
          <w:rFonts w:ascii="Book Antiqua" w:hAnsi="Book Antiqua"/>
          <w:b/>
          <w:bCs/>
        </w:rPr>
        <w:t>26</w:t>
      </w:r>
      <w:r w:rsidRPr="00FD1252">
        <w:rPr>
          <w:rFonts w:ascii="Book Antiqua" w:hAnsi="Book Antiqua"/>
        </w:rPr>
        <w:t>: 3190-3198 [PMID: 25918035 DOI: 10.1681/ASN.2014111064]</w:t>
      </w:r>
    </w:p>
    <w:p w14:paraId="35D0C678"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45 </w:t>
      </w:r>
      <w:r w:rsidRPr="00FD1252">
        <w:rPr>
          <w:rFonts w:ascii="Book Antiqua" w:hAnsi="Book Antiqua"/>
          <w:b/>
          <w:bCs/>
        </w:rPr>
        <w:t>Sellarés J</w:t>
      </w:r>
      <w:r w:rsidRPr="00FD1252">
        <w:rPr>
          <w:rFonts w:ascii="Book Antiqua" w:hAnsi="Book Antiqua"/>
        </w:rPr>
        <w:t xml:space="preserve">, Reeve J, Loupy A, Mengel M, Sis B, Skene A, de Freitas DG, Kreepala C, Hidalgo LG, Famulski KS, Halloran PF. Molecular diagnosis of antibody-mediated rejection in human kidney transplants. </w:t>
      </w:r>
      <w:r w:rsidRPr="00FD1252">
        <w:rPr>
          <w:rFonts w:ascii="Book Antiqua" w:hAnsi="Book Antiqua"/>
          <w:i/>
          <w:iCs/>
        </w:rPr>
        <w:t>Am J Transplant</w:t>
      </w:r>
      <w:r w:rsidRPr="00FD1252">
        <w:rPr>
          <w:rFonts w:ascii="Book Antiqua" w:hAnsi="Book Antiqua"/>
        </w:rPr>
        <w:t xml:space="preserve"> 2013; </w:t>
      </w:r>
      <w:r w:rsidRPr="00FD1252">
        <w:rPr>
          <w:rFonts w:ascii="Book Antiqua" w:hAnsi="Book Antiqua"/>
          <w:b/>
          <w:bCs/>
        </w:rPr>
        <w:t>13</w:t>
      </w:r>
      <w:r w:rsidRPr="00FD1252">
        <w:rPr>
          <w:rFonts w:ascii="Book Antiqua" w:hAnsi="Book Antiqua"/>
        </w:rPr>
        <w:t>: 971-983 [PMID: 23414212 DOI: 10.1111/ajt.12150]</w:t>
      </w:r>
    </w:p>
    <w:p w14:paraId="255AB62C"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46 </w:t>
      </w:r>
      <w:r w:rsidRPr="00FD1252">
        <w:rPr>
          <w:rFonts w:ascii="Book Antiqua" w:hAnsi="Book Antiqua"/>
          <w:b/>
          <w:bCs/>
        </w:rPr>
        <w:t>Loupy A</w:t>
      </w:r>
      <w:r w:rsidRPr="00FD1252">
        <w:rPr>
          <w:rFonts w:ascii="Book Antiqua" w:hAnsi="Book Antiqua"/>
        </w:rPr>
        <w:t xml:space="preserve">, Lefaucheur C, Vernerey D, Chang J, Hidalgo LG, Beuscart T, Verine J, Aubert O, Dubleumortier S, Duong van Huyen JP, Jouven X, Glotz D, Legendre C, Halloran PF. Molecular microscope strategy to improve risk stratification in early antibody-mediated kidney allograft rejection. </w:t>
      </w:r>
      <w:r w:rsidRPr="00FD1252">
        <w:rPr>
          <w:rFonts w:ascii="Book Antiqua" w:hAnsi="Book Antiqua"/>
          <w:i/>
          <w:iCs/>
        </w:rPr>
        <w:t>J Am Soc Nephrol</w:t>
      </w:r>
      <w:r w:rsidRPr="00FD1252">
        <w:rPr>
          <w:rFonts w:ascii="Book Antiqua" w:hAnsi="Book Antiqua"/>
        </w:rPr>
        <w:t xml:space="preserve"> 2014; </w:t>
      </w:r>
      <w:r w:rsidRPr="00FD1252">
        <w:rPr>
          <w:rFonts w:ascii="Book Antiqua" w:hAnsi="Book Antiqua"/>
          <w:b/>
          <w:bCs/>
        </w:rPr>
        <w:t>25</w:t>
      </w:r>
      <w:r w:rsidRPr="00FD1252">
        <w:rPr>
          <w:rFonts w:ascii="Book Antiqua" w:hAnsi="Book Antiqua"/>
        </w:rPr>
        <w:t>: 2267-2277 [PMID: 24700874 DOI: 10.1681/ASN.2013111149]</w:t>
      </w:r>
    </w:p>
    <w:p w14:paraId="240B81E4"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47 </w:t>
      </w:r>
      <w:r w:rsidRPr="00FD1252">
        <w:rPr>
          <w:rFonts w:ascii="Book Antiqua" w:hAnsi="Book Antiqua"/>
          <w:b/>
          <w:bCs/>
        </w:rPr>
        <w:t>Adam B</w:t>
      </w:r>
      <w:r w:rsidRPr="00FD1252">
        <w:rPr>
          <w:rFonts w:ascii="Book Antiqua" w:hAnsi="Book Antiqua"/>
        </w:rPr>
        <w:t xml:space="preserve">, Afzali B, Dominy KM, Chapman E, Gill R, Hidalgo LG, Roufosse C, Sis B, Mengel M. Multiplexed color-coded probe-based gene expression assessment for clinical molecular diagnostics in formalin-fixed paraffin-embedded human renal allograft tissue. </w:t>
      </w:r>
      <w:r w:rsidRPr="00FD1252">
        <w:rPr>
          <w:rFonts w:ascii="Book Antiqua" w:hAnsi="Book Antiqua"/>
          <w:i/>
          <w:iCs/>
        </w:rPr>
        <w:t>Clin Transplant</w:t>
      </w:r>
      <w:r w:rsidRPr="00FD1252">
        <w:rPr>
          <w:rFonts w:ascii="Book Antiqua" w:hAnsi="Book Antiqua"/>
        </w:rPr>
        <w:t xml:space="preserve"> 2016; </w:t>
      </w:r>
      <w:r w:rsidRPr="00FD1252">
        <w:rPr>
          <w:rFonts w:ascii="Book Antiqua" w:hAnsi="Book Antiqua"/>
          <w:b/>
          <w:bCs/>
        </w:rPr>
        <w:t>30</w:t>
      </w:r>
      <w:r w:rsidRPr="00FD1252">
        <w:rPr>
          <w:rFonts w:ascii="Book Antiqua" w:hAnsi="Book Antiqua"/>
        </w:rPr>
        <w:t>: 295-305 [PMID: 26729350 DOI: 10.1111/ctr.12689]</w:t>
      </w:r>
    </w:p>
    <w:p w14:paraId="6882BB60"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48 </w:t>
      </w:r>
      <w:r w:rsidRPr="00FD1252">
        <w:rPr>
          <w:rFonts w:ascii="Book Antiqua" w:hAnsi="Book Antiqua"/>
          <w:b/>
          <w:bCs/>
        </w:rPr>
        <w:t>Adam BA</w:t>
      </w:r>
      <w:r w:rsidRPr="00FD1252">
        <w:rPr>
          <w:rFonts w:ascii="Book Antiqua" w:hAnsi="Book Antiqua"/>
        </w:rPr>
        <w:t xml:space="preserve">, Smith RN, Rosales IA, Matsunami M, Afzali B, Oura T, Cosimi AB, Kawai T, Colvin RB, Mengel M. Chronic Antibody-Mediated Rejection in Nonhuman Primate Renal Allografts: Validation of Human Histological and Molecular Phenotypes. </w:t>
      </w:r>
      <w:r w:rsidRPr="00FD1252">
        <w:rPr>
          <w:rFonts w:ascii="Book Antiqua" w:hAnsi="Book Antiqua"/>
          <w:i/>
          <w:iCs/>
        </w:rPr>
        <w:t>Am J Transplant</w:t>
      </w:r>
      <w:r w:rsidRPr="00FD1252">
        <w:rPr>
          <w:rFonts w:ascii="Book Antiqua" w:hAnsi="Book Antiqua"/>
        </w:rPr>
        <w:t xml:space="preserve"> 2017; </w:t>
      </w:r>
      <w:r w:rsidRPr="00FD1252">
        <w:rPr>
          <w:rFonts w:ascii="Book Antiqua" w:hAnsi="Book Antiqua"/>
          <w:b/>
          <w:bCs/>
        </w:rPr>
        <w:t>17</w:t>
      </w:r>
      <w:r w:rsidRPr="00FD1252">
        <w:rPr>
          <w:rFonts w:ascii="Book Antiqua" w:hAnsi="Book Antiqua"/>
        </w:rPr>
        <w:t>: 2841-2850 [PMID: 28444814 DOI: 10.1111/ajt.14327]</w:t>
      </w:r>
    </w:p>
    <w:p w14:paraId="7A5B50E0" w14:textId="77777777" w:rsidR="00F15982" w:rsidRPr="00FD1252" w:rsidRDefault="00F15982" w:rsidP="00FD1252">
      <w:pPr>
        <w:spacing w:line="360" w:lineRule="auto"/>
        <w:jc w:val="both"/>
        <w:rPr>
          <w:rFonts w:ascii="Book Antiqua" w:hAnsi="Book Antiqua"/>
        </w:rPr>
      </w:pPr>
      <w:r w:rsidRPr="00FD1252">
        <w:rPr>
          <w:rFonts w:ascii="Book Antiqua" w:hAnsi="Book Antiqua"/>
        </w:rPr>
        <w:lastRenderedPageBreak/>
        <w:t xml:space="preserve">49 </w:t>
      </w:r>
      <w:r w:rsidRPr="00FD1252">
        <w:rPr>
          <w:rFonts w:ascii="Book Antiqua" w:hAnsi="Book Antiqua"/>
          <w:b/>
          <w:bCs/>
        </w:rPr>
        <w:t>Halloran PF</w:t>
      </w:r>
      <w:r w:rsidRPr="00FD1252">
        <w:rPr>
          <w:rFonts w:ascii="Book Antiqua" w:hAnsi="Book Antiqua"/>
        </w:rPr>
        <w:t xml:space="preserve">, Pereira AB, Chang J, Matas A, Picton M, De Freitas D, Bromberg J, Serón D, Sellarés J, Einecke G, Reeve J. Microarray diagnosis of antibody-mediated rejection in kidney transplant biopsies: an international prospective study (INTERCOM). </w:t>
      </w:r>
      <w:r w:rsidRPr="00FD1252">
        <w:rPr>
          <w:rFonts w:ascii="Book Antiqua" w:hAnsi="Book Antiqua"/>
          <w:i/>
          <w:iCs/>
        </w:rPr>
        <w:t>Am J Transplant</w:t>
      </w:r>
      <w:r w:rsidRPr="00FD1252">
        <w:rPr>
          <w:rFonts w:ascii="Book Antiqua" w:hAnsi="Book Antiqua"/>
        </w:rPr>
        <w:t xml:space="preserve"> 2013; </w:t>
      </w:r>
      <w:r w:rsidRPr="00FD1252">
        <w:rPr>
          <w:rFonts w:ascii="Book Antiqua" w:hAnsi="Book Antiqua"/>
          <w:b/>
          <w:bCs/>
        </w:rPr>
        <w:t>13</w:t>
      </w:r>
      <w:r w:rsidRPr="00FD1252">
        <w:rPr>
          <w:rFonts w:ascii="Book Antiqua" w:hAnsi="Book Antiqua"/>
        </w:rPr>
        <w:t>: 2865-2874 [PMID: 24119109 DOI: 10.1111/ajt.12465]</w:t>
      </w:r>
    </w:p>
    <w:p w14:paraId="1C3A9D02"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50 </w:t>
      </w:r>
      <w:r w:rsidRPr="00FD1252">
        <w:rPr>
          <w:rFonts w:ascii="Book Antiqua" w:hAnsi="Book Antiqua"/>
          <w:b/>
          <w:bCs/>
        </w:rPr>
        <w:t>Loupy A</w:t>
      </w:r>
      <w:r w:rsidRPr="00FD1252">
        <w:rPr>
          <w:rFonts w:ascii="Book Antiqua" w:hAnsi="Book Antiqua"/>
        </w:rPr>
        <w:t xml:space="preserve">, Lefaucheur C. Antibody-Mediated Rejection of Solid-Organ Allografts. </w:t>
      </w:r>
      <w:r w:rsidRPr="00FD1252">
        <w:rPr>
          <w:rFonts w:ascii="Book Antiqua" w:hAnsi="Book Antiqua"/>
          <w:i/>
          <w:iCs/>
        </w:rPr>
        <w:t>N Engl J Med</w:t>
      </w:r>
      <w:r w:rsidRPr="00FD1252">
        <w:rPr>
          <w:rFonts w:ascii="Book Antiqua" w:hAnsi="Book Antiqua"/>
        </w:rPr>
        <w:t xml:space="preserve"> 2018; </w:t>
      </w:r>
      <w:r w:rsidRPr="00FD1252">
        <w:rPr>
          <w:rFonts w:ascii="Book Antiqua" w:hAnsi="Book Antiqua"/>
          <w:b/>
          <w:bCs/>
        </w:rPr>
        <w:t>379</w:t>
      </w:r>
      <w:r w:rsidRPr="00FD1252">
        <w:rPr>
          <w:rFonts w:ascii="Book Antiqua" w:hAnsi="Book Antiqua"/>
        </w:rPr>
        <w:t>: 1150-1160 [PMID: 30231232 DOI: 10.1056/NEJMra1802677]</w:t>
      </w:r>
    </w:p>
    <w:p w14:paraId="0FA6247B"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51 </w:t>
      </w:r>
      <w:r w:rsidRPr="00FD1252">
        <w:rPr>
          <w:rFonts w:ascii="Book Antiqua" w:hAnsi="Book Antiqua"/>
          <w:b/>
          <w:bCs/>
        </w:rPr>
        <w:t>Orandi BJ</w:t>
      </w:r>
      <w:r w:rsidRPr="00FD1252">
        <w:rPr>
          <w:rFonts w:ascii="Book Antiqua" w:hAnsi="Book Antiqua"/>
        </w:rPr>
        <w:t xml:space="preserve">, Alachkar N, Kraus ES, Naqvi F, Lonze BE, Lees L, Van Arendonk KJ, Wickliffe C, Bagnasco SM, Zachary AA, Segev DL, Montgomery RA. Presentation and Outcomes of C4d-Negative Antibody-Mediated Rejection After Kidney Transplantation. </w:t>
      </w:r>
      <w:r w:rsidRPr="00FD1252">
        <w:rPr>
          <w:rFonts w:ascii="Book Antiqua" w:hAnsi="Book Antiqua"/>
          <w:i/>
          <w:iCs/>
        </w:rPr>
        <w:t>Am J Transplant</w:t>
      </w:r>
      <w:r w:rsidRPr="00FD1252">
        <w:rPr>
          <w:rFonts w:ascii="Book Antiqua" w:hAnsi="Book Antiqua"/>
        </w:rPr>
        <w:t xml:space="preserve"> 2016; </w:t>
      </w:r>
      <w:r w:rsidRPr="00FD1252">
        <w:rPr>
          <w:rFonts w:ascii="Book Antiqua" w:hAnsi="Book Antiqua"/>
          <w:b/>
          <w:bCs/>
        </w:rPr>
        <w:t>16</w:t>
      </w:r>
      <w:r w:rsidRPr="00FD1252">
        <w:rPr>
          <w:rFonts w:ascii="Book Antiqua" w:hAnsi="Book Antiqua"/>
        </w:rPr>
        <w:t>: 213-220 [PMID: 26317487 DOI: 10.1111/ajt.13434]</w:t>
      </w:r>
    </w:p>
    <w:p w14:paraId="73D2327C"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52 </w:t>
      </w:r>
      <w:r w:rsidRPr="00FD1252">
        <w:rPr>
          <w:rFonts w:ascii="Book Antiqua" w:hAnsi="Book Antiqua"/>
          <w:b/>
          <w:bCs/>
        </w:rPr>
        <w:t>Haas M</w:t>
      </w:r>
      <w:r w:rsidRPr="00FD1252">
        <w:rPr>
          <w:rFonts w:ascii="Book Antiqua" w:hAnsi="Book Antiqua"/>
        </w:rPr>
        <w:t xml:space="preserve">. Pathology of C4d-negative antibody-mediated rejection in renal allografts. </w:t>
      </w:r>
      <w:r w:rsidRPr="00FD1252">
        <w:rPr>
          <w:rFonts w:ascii="Book Antiqua" w:hAnsi="Book Antiqua"/>
          <w:i/>
          <w:iCs/>
        </w:rPr>
        <w:t>Curr Opin Organ Transplant</w:t>
      </w:r>
      <w:r w:rsidRPr="00FD1252">
        <w:rPr>
          <w:rFonts w:ascii="Book Antiqua" w:hAnsi="Book Antiqua"/>
        </w:rPr>
        <w:t xml:space="preserve"> 2013; </w:t>
      </w:r>
      <w:r w:rsidRPr="00FD1252">
        <w:rPr>
          <w:rFonts w:ascii="Book Antiqua" w:hAnsi="Book Antiqua"/>
          <w:b/>
          <w:bCs/>
        </w:rPr>
        <w:t>18</w:t>
      </w:r>
      <w:r w:rsidRPr="00FD1252">
        <w:rPr>
          <w:rFonts w:ascii="Book Antiqua" w:hAnsi="Book Antiqua"/>
        </w:rPr>
        <w:t>: 319-326 [PMID: 23283250 DOI: 10.1097/MOT.0b013e32835d4daf]</w:t>
      </w:r>
    </w:p>
    <w:p w14:paraId="61E7BAE7"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53 </w:t>
      </w:r>
      <w:r w:rsidRPr="00FD1252">
        <w:rPr>
          <w:rFonts w:ascii="Book Antiqua" w:hAnsi="Book Antiqua"/>
          <w:b/>
          <w:bCs/>
        </w:rPr>
        <w:t>Haas M</w:t>
      </w:r>
      <w:r w:rsidRPr="00FD1252">
        <w:rPr>
          <w:rFonts w:ascii="Book Antiqua" w:hAnsi="Book Antiqua"/>
        </w:rPr>
        <w:t xml:space="preserve">, Mirocha J. Early ultrastructural changes in renal allografts: correlation with antibody-mediated rejection and transplant glomerulopathy. </w:t>
      </w:r>
      <w:r w:rsidRPr="00FD1252">
        <w:rPr>
          <w:rFonts w:ascii="Book Antiqua" w:hAnsi="Book Antiqua"/>
          <w:i/>
          <w:iCs/>
        </w:rPr>
        <w:t>Am J Transplant</w:t>
      </w:r>
      <w:r w:rsidRPr="00FD1252">
        <w:rPr>
          <w:rFonts w:ascii="Book Antiqua" w:hAnsi="Book Antiqua"/>
        </w:rPr>
        <w:t xml:space="preserve"> 2011; </w:t>
      </w:r>
      <w:r w:rsidRPr="00FD1252">
        <w:rPr>
          <w:rFonts w:ascii="Book Antiqua" w:hAnsi="Book Antiqua"/>
          <w:b/>
          <w:bCs/>
        </w:rPr>
        <w:t>11</w:t>
      </w:r>
      <w:r w:rsidRPr="00FD1252">
        <w:rPr>
          <w:rFonts w:ascii="Book Antiqua" w:hAnsi="Book Antiqua"/>
        </w:rPr>
        <w:t>: 2123-2131 [PMID: 21827618 DOI: 10.1111/j.1600-6143.2011.03647.x]</w:t>
      </w:r>
    </w:p>
    <w:p w14:paraId="11FA1380"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54 </w:t>
      </w:r>
      <w:r w:rsidRPr="00FD1252">
        <w:rPr>
          <w:rFonts w:ascii="Book Antiqua" w:hAnsi="Book Antiqua"/>
          <w:b/>
          <w:bCs/>
        </w:rPr>
        <w:t>Wavamunno MD</w:t>
      </w:r>
      <w:r w:rsidRPr="00FD1252">
        <w:rPr>
          <w:rFonts w:ascii="Book Antiqua" w:hAnsi="Book Antiqua"/>
        </w:rPr>
        <w:t xml:space="preserve">, O'Connell PJ, Vitalone M, Fung CL, Allen RD, Chapman JR, Nankivell BJ. Transplant glomerulopathy: ultrastructural abnormalities occur early in longitudinal analysis of protocol biopsies. </w:t>
      </w:r>
      <w:r w:rsidRPr="00FD1252">
        <w:rPr>
          <w:rFonts w:ascii="Book Antiqua" w:hAnsi="Book Antiqua"/>
          <w:i/>
          <w:iCs/>
        </w:rPr>
        <w:t>Am J Transplant</w:t>
      </w:r>
      <w:r w:rsidRPr="00FD1252">
        <w:rPr>
          <w:rFonts w:ascii="Book Antiqua" w:hAnsi="Book Antiqua"/>
        </w:rPr>
        <w:t xml:space="preserve"> 2007; </w:t>
      </w:r>
      <w:r w:rsidRPr="00FD1252">
        <w:rPr>
          <w:rFonts w:ascii="Book Antiqua" w:hAnsi="Book Antiqua"/>
          <w:b/>
          <w:bCs/>
        </w:rPr>
        <w:t>7</w:t>
      </w:r>
      <w:r w:rsidRPr="00FD1252">
        <w:rPr>
          <w:rFonts w:ascii="Book Antiqua" w:hAnsi="Book Antiqua"/>
        </w:rPr>
        <w:t>: 2757-2768 [PMID: 17924997 DOI: 10.1111/j.1600-6143.2007.01995.x]</w:t>
      </w:r>
    </w:p>
    <w:p w14:paraId="41CAD856"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55 </w:t>
      </w:r>
      <w:r w:rsidRPr="00FD1252">
        <w:rPr>
          <w:rFonts w:ascii="Book Antiqua" w:hAnsi="Book Antiqua"/>
          <w:b/>
          <w:bCs/>
        </w:rPr>
        <w:t>Nankivell BJ</w:t>
      </w:r>
      <w:r w:rsidRPr="00FD1252">
        <w:rPr>
          <w:rFonts w:ascii="Book Antiqua" w:hAnsi="Book Antiqua"/>
        </w:rPr>
        <w:t xml:space="preserve">. The meaning of borderline rejection in kidney transplantation. </w:t>
      </w:r>
      <w:r w:rsidRPr="00FD1252">
        <w:rPr>
          <w:rFonts w:ascii="Book Antiqua" w:hAnsi="Book Antiqua"/>
          <w:i/>
          <w:iCs/>
        </w:rPr>
        <w:t>Kidney Int</w:t>
      </w:r>
      <w:r w:rsidRPr="00FD1252">
        <w:rPr>
          <w:rFonts w:ascii="Book Antiqua" w:hAnsi="Book Antiqua"/>
        </w:rPr>
        <w:t xml:space="preserve"> 2020; </w:t>
      </w:r>
      <w:r w:rsidRPr="00FD1252">
        <w:rPr>
          <w:rFonts w:ascii="Book Antiqua" w:hAnsi="Book Antiqua"/>
          <w:b/>
          <w:bCs/>
        </w:rPr>
        <w:t>98</w:t>
      </w:r>
      <w:r w:rsidRPr="00FD1252">
        <w:rPr>
          <w:rFonts w:ascii="Book Antiqua" w:hAnsi="Book Antiqua"/>
        </w:rPr>
        <w:t>: 278-280 [PMID: 32709286 DOI: 10.1016/j.kint.2020.04.052]</w:t>
      </w:r>
    </w:p>
    <w:p w14:paraId="1DDA35FC"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56 </w:t>
      </w:r>
      <w:r w:rsidRPr="00FD1252">
        <w:rPr>
          <w:rFonts w:ascii="Book Antiqua" w:hAnsi="Book Antiqua"/>
          <w:b/>
          <w:bCs/>
        </w:rPr>
        <w:t>de Freitas DG</w:t>
      </w:r>
      <w:r w:rsidRPr="00FD1252">
        <w:rPr>
          <w:rFonts w:ascii="Book Antiqua" w:hAnsi="Book Antiqua"/>
        </w:rPr>
        <w:t xml:space="preserve">, Sellarés J, Mengel M, Chang J, Hidalgo LG, Famulski KS, Sis B, Einecke G, Halloran PF. The nature of biopsies with "borderline rejection" and prospects for eliminating this category. </w:t>
      </w:r>
      <w:r w:rsidRPr="00FD1252">
        <w:rPr>
          <w:rFonts w:ascii="Book Antiqua" w:hAnsi="Book Antiqua"/>
          <w:i/>
          <w:iCs/>
        </w:rPr>
        <w:t>Am J Transplant</w:t>
      </w:r>
      <w:r w:rsidRPr="00FD1252">
        <w:rPr>
          <w:rFonts w:ascii="Book Antiqua" w:hAnsi="Book Antiqua"/>
        </w:rPr>
        <w:t xml:space="preserve"> 2012; </w:t>
      </w:r>
      <w:r w:rsidRPr="00FD1252">
        <w:rPr>
          <w:rFonts w:ascii="Book Antiqua" w:hAnsi="Book Antiqua"/>
          <w:b/>
          <w:bCs/>
        </w:rPr>
        <w:t>12</w:t>
      </w:r>
      <w:r w:rsidRPr="00FD1252">
        <w:rPr>
          <w:rFonts w:ascii="Book Antiqua" w:hAnsi="Book Antiqua"/>
        </w:rPr>
        <w:t>: 191-201 [PMID: 21992503 DOI: 10.1111/j.1600-6143.2011.03784.x]</w:t>
      </w:r>
    </w:p>
    <w:p w14:paraId="5755B6BF"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57 </w:t>
      </w:r>
      <w:r w:rsidRPr="00FD1252">
        <w:rPr>
          <w:rFonts w:ascii="Book Antiqua" w:hAnsi="Book Antiqua"/>
          <w:b/>
          <w:bCs/>
        </w:rPr>
        <w:t>Becker JU</w:t>
      </w:r>
      <w:r w:rsidRPr="00FD1252">
        <w:rPr>
          <w:rFonts w:ascii="Book Antiqua" w:hAnsi="Book Antiqua"/>
        </w:rPr>
        <w:t xml:space="preserve">, Chang A, Nickeleit V, Randhawa P, Roufosse C. Banff Borderline Changes Suspicious for Acute T Cell-Mediated Rejection: Where Do We Stand? </w:t>
      </w:r>
      <w:r w:rsidRPr="00FD1252">
        <w:rPr>
          <w:rFonts w:ascii="Book Antiqua" w:hAnsi="Book Antiqua"/>
          <w:i/>
          <w:iCs/>
        </w:rPr>
        <w:t>Am J Transplant</w:t>
      </w:r>
      <w:r w:rsidRPr="00FD1252">
        <w:rPr>
          <w:rFonts w:ascii="Book Antiqua" w:hAnsi="Book Antiqua"/>
        </w:rPr>
        <w:t xml:space="preserve"> 2016; </w:t>
      </w:r>
      <w:r w:rsidRPr="00FD1252">
        <w:rPr>
          <w:rFonts w:ascii="Book Antiqua" w:hAnsi="Book Antiqua"/>
          <w:b/>
          <w:bCs/>
        </w:rPr>
        <w:t>16</w:t>
      </w:r>
      <w:r w:rsidRPr="00FD1252">
        <w:rPr>
          <w:rFonts w:ascii="Book Antiqua" w:hAnsi="Book Antiqua"/>
        </w:rPr>
        <w:t>: 2654-2660 [PMID: 26988137 DOI: 10.1111/ajt.13784]</w:t>
      </w:r>
    </w:p>
    <w:p w14:paraId="0E50B20E" w14:textId="77777777" w:rsidR="00F15982" w:rsidRPr="00FD1252" w:rsidRDefault="00F15982" w:rsidP="00FD1252">
      <w:pPr>
        <w:spacing w:line="360" w:lineRule="auto"/>
        <w:jc w:val="both"/>
        <w:rPr>
          <w:rFonts w:ascii="Book Antiqua" w:hAnsi="Book Antiqua"/>
        </w:rPr>
      </w:pPr>
      <w:r w:rsidRPr="00FD1252">
        <w:rPr>
          <w:rFonts w:ascii="Book Antiqua" w:hAnsi="Book Antiqua"/>
        </w:rPr>
        <w:lastRenderedPageBreak/>
        <w:t xml:space="preserve">58 </w:t>
      </w:r>
      <w:r w:rsidRPr="00FD1252">
        <w:rPr>
          <w:rFonts w:ascii="Book Antiqua" w:hAnsi="Book Antiqua"/>
          <w:b/>
          <w:bCs/>
        </w:rPr>
        <w:t>Nankivell BJ</w:t>
      </w:r>
      <w:r w:rsidRPr="00FD1252">
        <w:rPr>
          <w:rFonts w:ascii="Book Antiqua" w:hAnsi="Book Antiqua"/>
        </w:rPr>
        <w:t xml:space="preserve">, Agrawal N, Sharma A, Taverniti A, P'Ng CH, Shingde M, Wong G, Chapman JR. The clinical and pathological significance of borderline T cell-mediated rejection. </w:t>
      </w:r>
      <w:r w:rsidRPr="00FD1252">
        <w:rPr>
          <w:rFonts w:ascii="Book Antiqua" w:hAnsi="Book Antiqua"/>
          <w:i/>
          <w:iCs/>
        </w:rPr>
        <w:t>Am J Transplant</w:t>
      </w:r>
      <w:r w:rsidRPr="00FD1252">
        <w:rPr>
          <w:rFonts w:ascii="Book Antiqua" w:hAnsi="Book Antiqua"/>
        </w:rPr>
        <w:t xml:space="preserve"> 2019; </w:t>
      </w:r>
      <w:r w:rsidRPr="00FD1252">
        <w:rPr>
          <w:rFonts w:ascii="Book Antiqua" w:hAnsi="Book Antiqua"/>
          <w:b/>
          <w:bCs/>
        </w:rPr>
        <w:t>19</w:t>
      </w:r>
      <w:r w:rsidRPr="00FD1252">
        <w:rPr>
          <w:rFonts w:ascii="Book Antiqua" w:hAnsi="Book Antiqua"/>
        </w:rPr>
        <w:t>: 1452-1463 [PMID: 30501008 DOI: 10.1111/ajt.15197]</w:t>
      </w:r>
    </w:p>
    <w:p w14:paraId="48CB6F71"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59 </w:t>
      </w:r>
      <w:r w:rsidRPr="00FD1252">
        <w:rPr>
          <w:rFonts w:ascii="Book Antiqua" w:hAnsi="Book Antiqua"/>
          <w:b/>
          <w:bCs/>
        </w:rPr>
        <w:t>McRae M</w:t>
      </w:r>
      <w:r w:rsidRPr="00FD1252">
        <w:rPr>
          <w:rFonts w:ascii="Book Antiqua" w:hAnsi="Book Antiqua"/>
        </w:rPr>
        <w:t xml:space="preserve">, Bouchard-Boivin F, Béland S, Noël R, Côté I, Lapointe I, Lesage J, Latulippe E, Riopel J, Santoriello D, Husain SA, Désy O, Houde I, Batal I, De Serres SA. Impact of the Current Versus the Previous Diagnostic Threshold on the Outcome of Patients With Borderline Changes Suspicious for T Cell-mediated Rejection Diagnosed on Indication Biopsies. </w:t>
      </w:r>
      <w:r w:rsidRPr="00FD1252">
        <w:rPr>
          <w:rFonts w:ascii="Book Antiqua" w:hAnsi="Book Antiqua"/>
          <w:i/>
          <w:iCs/>
        </w:rPr>
        <w:t>Transplantation</w:t>
      </w:r>
      <w:r w:rsidRPr="00FD1252">
        <w:rPr>
          <w:rFonts w:ascii="Book Antiqua" w:hAnsi="Book Antiqua"/>
        </w:rPr>
        <w:t xml:space="preserve"> 2018; </w:t>
      </w:r>
      <w:r w:rsidRPr="00FD1252">
        <w:rPr>
          <w:rFonts w:ascii="Book Antiqua" w:hAnsi="Book Antiqua"/>
          <w:b/>
          <w:bCs/>
        </w:rPr>
        <w:t>102</w:t>
      </w:r>
      <w:r w:rsidRPr="00FD1252">
        <w:rPr>
          <w:rFonts w:ascii="Book Antiqua" w:hAnsi="Book Antiqua"/>
        </w:rPr>
        <w:t>: 2120-2125 [PMID: 29916985 DOI: 10.1097/TP.0000000000002327]</w:t>
      </w:r>
    </w:p>
    <w:p w14:paraId="3F7F3045"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60 </w:t>
      </w:r>
      <w:r w:rsidRPr="00FD1252">
        <w:rPr>
          <w:rFonts w:ascii="Book Antiqua" w:hAnsi="Book Antiqua"/>
          <w:b/>
          <w:bCs/>
        </w:rPr>
        <w:t>Stites E</w:t>
      </w:r>
      <w:r w:rsidRPr="00FD1252">
        <w:rPr>
          <w:rFonts w:ascii="Book Antiqua" w:hAnsi="Book Antiqua"/>
        </w:rPr>
        <w:t xml:space="preserve">, Kumar D, Olaitan O, John Swanson S, Leca N, Weir M, Bromberg J, Melancon J, Agha I, Fattah H, Alhamad T, Qazi Y, Wiseman A, Gupta G. High levels of dd-cfDNA identify patients with TCMR 1A and borderline allograft rejection at elevated risk of graft injury. </w:t>
      </w:r>
      <w:r w:rsidRPr="00FD1252">
        <w:rPr>
          <w:rFonts w:ascii="Book Antiqua" w:hAnsi="Book Antiqua"/>
          <w:i/>
          <w:iCs/>
        </w:rPr>
        <w:t>Am J Transplant</w:t>
      </w:r>
      <w:r w:rsidRPr="00FD1252">
        <w:rPr>
          <w:rFonts w:ascii="Book Antiqua" w:hAnsi="Book Antiqua"/>
        </w:rPr>
        <w:t xml:space="preserve"> 2020; </w:t>
      </w:r>
      <w:r w:rsidRPr="00FD1252">
        <w:rPr>
          <w:rFonts w:ascii="Book Antiqua" w:hAnsi="Book Antiqua"/>
          <w:b/>
          <w:bCs/>
        </w:rPr>
        <w:t>20</w:t>
      </w:r>
      <w:r w:rsidRPr="00FD1252">
        <w:rPr>
          <w:rFonts w:ascii="Book Antiqua" w:hAnsi="Book Antiqua"/>
        </w:rPr>
        <w:t>: 2491-2498 [PMID: 32056331 DOI: 10.1111/ajt.15822]</w:t>
      </w:r>
    </w:p>
    <w:p w14:paraId="0D6BA854"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61 </w:t>
      </w:r>
      <w:r w:rsidRPr="00FD1252">
        <w:rPr>
          <w:rFonts w:ascii="Book Antiqua" w:hAnsi="Book Antiqua"/>
          <w:b/>
          <w:bCs/>
        </w:rPr>
        <w:t>Schweitzer EJ</w:t>
      </w:r>
      <w:r w:rsidRPr="00FD1252">
        <w:rPr>
          <w:rFonts w:ascii="Book Antiqua" w:hAnsi="Book Antiqua"/>
        </w:rPr>
        <w:t xml:space="preserve">, Drachenberg CB, Anderson L, Papadimetriou JC, Kuo PC, Johnson LB, Klassen DK, Hoehn-Saric E, Weir MR, Bartlett ST. Significance of the Banff borderline biopsy. </w:t>
      </w:r>
      <w:r w:rsidRPr="00FD1252">
        <w:rPr>
          <w:rFonts w:ascii="Book Antiqua" w:hAnsi="Book Antiqua"/>
          <w:i/>
          <w:iCs/>
        </w:rPr>
        <w:t>Am J Kidney Dis</w:t>
      </w:r>
      <w:r w:rsidRPr="00FD1252">
        <w:rPr>
          <w:rFonts w:ascii="Book Antiqua" w:hAnsi="Book Antiqua"/>
        </w:rPr>
        <w:t xml:space="preserve"> 1996; </w:t>
      </w:r>
      <w:r w:rsidRPr="00FD1252">
        <w:rPr>
          <w:rFonts w:ascii="Book Antiqua" w:hAnsi="Book Antiqua"/>
          <w:b/>
          <w:bCs/>
        </w:rPr>
        <w:t>28</w:t>
      </w:r>
      <w:r w:rsidRPr="00FD1252">
        <w:rPr>
          <w:rFonts w:ascii="Book Antiqua" w:hAnsi="Book Antiqua"/>
        </w:rPr>
        <w:t>: 585-588 [PMID: 8840950 DOI: 10.1016/s0272-6386(96)90471-0]</w:t>
      </w:r>
    </w:p>
    <w:p w14:paraId="76254926"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62 </w:t>
      </w:r>
      <w:r w:rsidRPr="00FD1252">
        <w:rPr>
          <w:rFonts w:ascii="Book Antiqua" w:hAnsi="Book Antiqua"/>
          <w:b/>
          <w:bCs/>
        </w:rPr>
        <w:t>Meehan SM</w:t>
      </w:r>
      <w:r w:rsidRPr="00FD1252">
        <w:rPr>
          <w:rFonts w:ascii="Book Antiqua" w:hAnsi="Book Antiqua"/>
        </w:rPr>
        <w:t xml:space="preserve">, Siegel CT, Aronson AJ, Bartosh SM, Thistlethwaite JR, Woodle ES, Haas M. The relationship of untreated borderline infiltrates by the Banff criteria to acute rejection in renal allograft biopsies. </w:t>
      </w:r>
      <w:r w:rsidRPr="00FD1252">
        <w:rPr>
          <w:rFonts w:ascii="Book Antiqua" w:hAnsi="Book Antiqua"/>
          <w:i/>
          <w:iCs/>
        </w:rPr>
        <w:t>J Am Soc Nephrol</w:t>
      </w:r>
      <w:r w:rsidRPr="00FD1252">
        <w:rPr>
          <w:rFonts w:ascii="Book Antiqua" w:hAnsi="Book Antiqua"/>
        </w:rPr>
        <w:t xml:space="preserve"> 1999; </w:t>
      </w:r>
      <w:r w:rsidRPr="00FD1252">
        <w:rPr>
          <w:rFonts w:ascii="Book Antiqua" w:hAnsi="Book Antiqua"/>
          <w:b/>
          <w:bCs/>
        </w:rPr>
        <w:t>10</w:t>
      </w:r>
      <w:r w:rsidRPr="00FD1252">
        <w:rPr>
          <w:rFonts w:ascii="Book Antiqua" w:hAnsi="Book Antiqua"/>
        </w:rPr>
        <w:t>: 1806-1814 [PMID: 10446950 DOI: 10.1681/ASN.V1081806]</w:t>
      </w:r>
    </w:p>
    <w:p w14:paraId="0F741E36"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63 </w:t>
      </w:r>
      <w:r w:rsidRPr="00FD1252">
        <w:rPr>
          <w:rFonts w:ascii="Book Antiqua" w:hAnsi="Book Antiqua"/>
          <w:b/>
          <w:bCs/>
        </w:rPr>
        <w:t>El-Agroudy AE</w:t>
      </w:r>
      <w:r w:rsidRPr="00FD1252">
        <w:rPr>
          <w:rFonts w:ascii="Book Antiqua" w:hAnsi="Book Antiqua"/>
        </w:rPr>
        <w:t xml:space="preserve">, Wafa EW, Abbas TM, El-Husseini A, Gheith OA, El-Baz M, Ghoneim MA. Characteristics of patients with Banff borderline changes in renal allograft biopsies. </w:t>
      </w:r>
      <w:r w:rsidRPr="00FD1252">
        <w:rPr>
          <w:rFonts w:ascii="Book Antiqua" w:hAnsi="Book Antiqua"/>
          <w:i/>
          <w:iCs/>
        </w:rPr>
        <w:t>Exp Clin Transplant</w:t>
      </w:r>
      <w:r w:rsidRPr="00FD1252">
        <w:rPr>
          <w:rFonts w:ascii="Book Antiqua" w:hAnsi="Book Antiqua"/>
        </w:rPr>
        <w:t xml:space="preserve"> 2009; </w:t>
      </w:r>
      <w:r w:rsidRPr="00FD1252">
        <w:rPr>
          <w:rFonts w:ascii="Book Antiqua" w:hAnsi="Book Antiqua"/>
          <w:b/>
          <w:bCs/>
        </w:rPr>
        <w:t>7</w:t>
      </w:r>
      <w:r w:rsidRPr="00FD1252">
        <w:rPr>
          <w:rFonts w:ascii="Book Antiqua" w:hAnsi="Book Antiqua"/>
        </w:rPr>
        <w:t>: 228-232 [PMID: 20353372]</w:t>
      </w:r>
    </w:p>
    <w:p w14:paraId="74B7A434"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64 </w:t>
      </w:r>
      <w:r w:rsidRPr="00FD1252">
        <w:rPr>
          <w:rFonts w:ascii="Book Antiqua" w:hAnsi="Book Antiqua"/>
          <w:b/>
          <w:bCs/>
        </w:rPr>
        <w:t>Mubarak M</w:t>
      </w:r>
      <w:r w:rsidRPr="00FD1252">
        <w:rPr>
          <w:rFonts w:ascii="Book Antiqua" w:hAnsi="Book Antiqua"/>
        </w:rPr>
        <w:t xml:space="preserve">, Shakeel S, Abbas K, Aziz T, Zafar MN, Naqvi SA, Rizvi SA. Borderline Changes on Dysfunctional Renal Allograft Biopsies: Clinical Relevance in a Living Related Renal Transplant Setting. </w:t>
      </w:r>
      <w:r w:rsidRPr="00FD1252">
        <w:rPr>
          <w:rFonts w:ascii="Book Antiqua" w:hAnsi="Book Antiqua"/>
          <w:i/>
          <w:iCs/>
        </w:rPr>
        <w:t>Exp Clin Transplant</w:t>
      </w:r>
      <w:r w:rsidRPr="00FD1252">
        <w:rPr>
          <w:rFonts w:ascii="Book Antiqua" w:hAnsi="Book Antiqua"/>
        </w:rPr>
        <w:t xml:space="preserve"> 2017; </w:t>
      </w:r>
      <w:r w:rsidRPr="00FD1252">
        <w:rPr>
          <w:rFonts w:ascii="Book Antiqua" w:hAnsi="Book Antiqua"/>
          <w:b/>
          <w:bCs/>
        </w:rPr>
        <w:t>15</w:t>
      </w:r>
      <w:r w:rsidRPr="00FD1252">
        <w:rPr>
          <w:rFonts w:ascii="Book Antiqua" w:hAnsi="Book Antiqua"/>
        </w:rPr>
        <w:t>: 24-27 [PMID: 28260426 DOI: 10.6002/ect.mesot2016.O7]</w:t>
      </w:r>
    </w:p>
    <w:p w14:paraId="44234DA2" w14:textId="77777777" w:rsidR="00F15982" w:rsidRPr="00FD1252" w:rsidRDefault="00F15982" w:rsidP="00FD1252">
      <w:pPr>
        <w:spacing w:line="360" w:lineRule="auto"/>
        <w:jc w:val="both"/>
        <w:rPr>
          <w:rFonts w:ascii="Book Antiqua" w:hAnsi="Book Antiqua"/>
        </w:rPr>
      </w:pPr>
      <w:r w:rsidRPr="00FD1252">
        <w:rPr>
          <w:rFonts w:ascii="Book Antiqua" w:hAnsi="Book Antiqua"/>
        </w:rPr>
        <w:lastRenderedPageBreak/>
        <w:t xml:space="preserve">65 </w:t>
      </w:r>
      <w:r w:rsidRPr="00FD1252">
        <w:rPr>
          <w:rFonts w:ascii="Book Antiqua" w:hAnsi="Book Antiqua"/>
          <w:b/>
          <w:bCs/>
        </w:rPr>
        <w:t>Nankivell BJ</w:t>
      </w:r>
      <w:r w:rsidRPr="00FD1252">
        <w:rPr>
          <w:rFonts w:ascii="Book Antiqua" w:hAnsi="Book Antiqua"/>
        </w:rPr>
        <w:t xml:space="preserve">, P'Ng CH, Chapman JR. Does tubulitis without interstitial inflammation represent borderline acute T cell mediated rejection? </w:t>
      </w:r>
      <w:r w:rsidRPr="00FD1252">
        <w:rPr>
          <w:rFonts w:ascii="Book Antiqua" w:hAnsi="Book Antiqua"/>
          <w:i/>
          <w:iCs/>
        </w:rPr>
        <w:t>Am J Transplant</w:t>
      </w:r>
      <w:r w:rsidRPr="00FD1252">
        <w:rPr>
          <w:rFonts w:ascii="Book Antiqua" w:hAnsi="Book Antiqua"/>
        </w:rPr>
        <w:t xml:space="preserve"> 2019; </w:t>
      </w:r>
      <w:r w:rsidRPr="00FD1252">
        <w:rPr>
          <w:rFonts w:ascii="Book Antiqua" w:hAnsi="Book Antiqua"/>
          <w:b/>
          <w:bCs/>
        </w:rPr>
        <w:t>19</w:t>
      </w:r>
      <w:r w:rsidRPr="00FD1252">
        <w:rPr>
          <w:rFonts w:ascii="Book Antiqua" w:hAnsi="Book Antiqua"/>
        </w:rPr>
        <w:t>: 132-144 [PMID: 29687946 DOI: 10.1111/ajt.14888]</w:t>
      </w:r>
    </w:p>
    <w:p w14:paraId="19662BAD"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66 </w:t>
      </w:r>
      <w:r w:rsidRPr="00FD1252">
        <w:rPr>
          <w:rFonts w:ascii="Book Antiqua" w:hAnsi="Book Antiqua"/>
          <w:b/>
          <w:bCs/>
        </w:rPr>
        <w:t>Fernández-Camargo DA</w:t>
      </w:r>
      <w:r w:rsidRPr="00FD1252">
        <w:rPr>
          <w:rFonts w:ascii="Book Antiqua" w:hAnsi="Book Antiqua"/>
        </w:rPr>
        <w:t xml:space="preserve">, Marino L, Muñiz-Cuervo E, Aceves-Rodríguez EM, Vargas NJ, Cohen-Bucay A, Alberú J, Uribe-Uribe NO, Morales-Buenrostro LE. Sub-classification of borderline changes into diffuse or focal and its impact on long-term renal transplant outcomes. </w:t>
      </w:r>
      <w:r w:rsidRPr="00FD1252">
        <w:rPr>
          <w:rFonts w:ascii="Book Antiqua" w:hAnsi="Book Antiqua"/>
          <w:i/>
          <w:iCs/>
        </w:rPr>
        <w:t>Transpl Immunol</w:t>
      </w:r>
      <w:r w:rsidRPr="00FD1252">
        <w:rPr>
          <w:rFonts w:ascii="Book Antiqua" w:hAnsi="Book Antiqua"/>
        </w:rPr>
        <w:t xml:space="preserve"> 2022; </w:t>
      </w:r>
      <w:r w:rsidRPr="00FD1252">
        <w:rPr>
          <w:rFonts w:ascii="Book Antiqua" w:hAnsi="Book Antiqua"/>
          <w:b/>
          <w:bCs/>
        </w:rPr>
        <w:t>72</w:t>
      </w:r>
      <w:r w:rsidRPr="00FD1252">
        <w:rPr>
          <w:rFonts w:ascii="Book Antiqua" w:hAnsi="Book Antiqua"/>
        </w:rPr>
        <w:t>: 101594 [PMID: 35378290 DOI: 10.1016/j.trim.2022.101594]</w:t>
      </w:r>
    </w:p>
    <w:p w14:paraId="7FA64DEE"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67 </w:t>
      </w:r>
      <w:r w:rsidRPr="00FD1252">
        <w:rPr>
          <w:rFonts w:ascii="Book Antiqua" w:hAnsi="Book Antiqua"/>
          <w:b/>
          <w:bCs/>
        </w:rPr>
        <w:t>Wiebe C</w:t>
      </w:r>
      <w:r w:rsidRPr="00FD1252">
        <w:rPr>
          <w:rFonts w:ascii="Book Antiqua" w:hAnsi="Book Antiqua"/>
        </w:rPr>
        <w:t xml:space="preserve">, Rush DN, Gibson IW, Pochinco D, Birk PE, Goldberg A, Blydt-Hansen T, Karpinski M, Shaw J, Ho J, Nickerson PW. Evidence for the alloimmune basis and prognostic significance of Borderline T cell-mediated rejection. </w:t>
      </w:r>
      <w:r w:rsidRPr="00FD1252">
        <w:rPr>
          <w:rFonts w:ascii="Book Antiqua" w:hAnsi="Book Antiqua"/>
          <w:i/>
          <w:iCs/>
        </w:rPr>
        <w:t>Am J Transplant</w:t>
      </w:r>
      <w:r w:rsidRPr="00FD1252">
        <w:rPr>
          <w:rFonts w:ascii="Book Antiqua" w:hAnsi="Book Antiqua"/>
        </w:rPr>
        <w:t xml:space="preserve"> 2020; </w:t>
      </w:r>
      <w:r w:rsidRPr="00FD1252">
        <w:rPr>
          <w:rFonts w:ascii="Book Antiqua" w:hAnsi="Book Antiqua"/>
          <w:b/>
          <w:bCs/>
        </w:rPr>
        <w:t>20</w:t>
      </w:r>
      <w:r w:rsidRPr="00FD1252">
        <w:rPr>
          <w:rFonts w:ascii="Book Antiqua" w:hAnsi="Book Antiqua"/>
        </w:rPr>
        <w:t>: 2499-2508 [PMID: 32185878 DOI: 10.1111/ajt.15860]</w:t>
      </w:r>
    </w:p>
    <w:p w14:paraId="2A08AB9B"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68 </w:t>
      </w:r>
      <w:r w:rsidRPr="00FD1252">
        <w:rPr>
          <w:rFonts w:ascii="Book Antiqua" w:hAnsi="Book Antiqua"/>
          <w:b/>
          <w:bCs/>
        </w:rPr>
        <w:t>Minervini MI</w:t>
      </w:r>
      <w:r w:rsidRPr="00FD1252">
        <w:rPr>
          <w:rFonts w:ascii="Book Antiqua" w:hAnsi="Book Antiqua"/>
        </w:rPr>
        <w:t xml:space="preserve">, Torbenson M, Scantlebury V, Vivas C, Jordan M, Shapiro R, Randhawa PS. Acute renal allograft rejection with severe tubulitis (Banff 1997 grade IB). </w:t>
      </w:r>
      <w:r w:rsidRPr="00FD1252">
        <w:rPr>
          <w:rFonts w:ascii="Book Antiqua" w:hAnsi="Book Antiqua"/>
          <w:i/>
          <w:iCs/>
        </w:rPr>
        <w:t>Am J Surg Pathol</w:t>
      </w:r>
      <w:r w:rsidRPr="00FD1252">
        <w:rPr>
          <w:rFonts w:ascii="Book Antiqua" w:hAnsi="Book Antiqua"/>
        </w:rPr>
        <w:t xml:space="preserve"> 2000; </w:t>
      </w:r>
      <w:r w:rsidRPr="00FD1252">
        <w:rPr>
          <w:rFonts w:ascii="Book Antiqua" w:hAnsi="Book Antiqua"/>
          <w:b/>
          <w:bCs/>
        </w:rPr>
        <w:t>24</w:t>
      </w:r>
      <w:r w:rsidRPr="00FD1252">
        <w:rPr>
          <w:rFonts w:ascii="Book Antiqua" w:hAnsi="Book Antiqua"/>
        </w:rPr>
        <w:t>: 553-558 [PMID: 10757402 DOI: 10.1097/00000478-200004000-00009]</w:t>
      </w:r>
    </w:p>
    <w:p w14:paraId="29AC34CC"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69 </w:t>
      </w:r>
      <w:r w:rsidRPr="00FD1252">
        <w:rPr>
          <w:rFonts w:ascii="Book Antiqua" w:hAnsi="Book Antiqua"/>
          <w:b/>
          <w:bCs/>
        </w:rPr>
        <w:t>Filippone EJ</w:t>
      </w:r>
      <w:r w:rsidRPr="00FD1252">
        <w:rPr>
          <w:rFonts w:ascii="Book Antiqua" w:hAnsi="Book Antiqua"/>
        </w:rPr>
        <w:t xml:space="preserve">, Farber JL. The Histological Spectrum and Clinical Significance of T Cell-mediated Rejection of Kidney Allografts. </w:t>
      </w:r>
      <w:r w:rsidRPr="00FD1252">
        <w:rPr>
          <w:rFonts w:ascii="Book Antiqua" w:hAnsi="Book Antiqua"/>
          <w:i/>
          <w:iCs/>
        </w:rPr>
        <w:t>Transplantation</w:t>
      </w:r>
      <w:r w:rsidRPr="00FD1252">
        <w:rPr>
          <w:rFonts w:ascii="Book Antiqua" w:hAnsi="Book Antiqua"/>
        </w:rPr>
        <w:t xml:space="preserve"> 2023; </w:t>
      </w:r>
      <w:r w:rsidRPr="00FD1252">
        <w:rPr>
          <w:rFonts w:ascii="Book Antiqua" w:hAnsi="Book Antiqua"/>
          <w:b/>
          <w:bCs/>
        </w:rPr>
        <w:t>107</w:t>
      </w:r>
      <w:r w:rsidRPr="00FD1252">
        <w:rPr>
          <w:rFonts w:ascii="Book Antiqua" w:hAnsi="Book Antiqua"/>
        </w:rPr>
        <w:t>: 1042-1055 [PMID: 36584369 DOI: 10.1097/TP.0000000000004438]</w:t>
      </w:r>
    </w:p>
    <w:p w14:paraId="4E7247A1"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70 </w:t>
      </w:r>
      <w:r w:rsidRPr="00FD1252">
        <w:rPr>
          <w:rFonts w:ascii="Book Antiqua" w:hAnsi="Book Antiqua"/>
          <w:b/>
          <w:bCs/>
        </w:rPr>
        <w:t>Hoffman W</w:t>
      </w:r>
      <w:r w:rsidRPr="00FD1252">
        <w:rPr>
          <w:rFonts w:ascii="Book Antiqua" w:hAnsi="Book Antiqua"/>
        </w:rPr>
        <w:t xml:space="preserve">, Mehta R, Jorgensen DR, Sood P, Randhawa P, Wu CM, Puttarajappa C, Shah NA, Tevar AD, Hariharan S. The Impact of Early Clinical and Subclinical T Cell-mediated Rejection After Kidney Transplantation. </w:t>
      </w:r>
      <w:r w:rsidRPr="00FD1252">
        <w:rPr>
          <w:rFonts w:ascii="Book Antiqua" w:hAnsi="Book Antiqua"/>
          <w:i/>
          <w:iCs/>
        </w:rPr>
        <w:t>Transplantation</w:t>
      </w:r>
      <w:r w:rsidRPr="00FD1252">
        <w:rPr>
          <w:rFonts w:ascii="Book Antiqua" w:hAnsi="Book Antiqua"/>
        </w:rPr>
        <w:t xml:space="preserve"> 2019; </w:t>
      </w:r>
      <w:r w:rsidRPr="00FD1252">
        <w:rPr>
          <w:rFonts w:ascii="Book Antiqua" w:hAnsi="Book Antiqua"/>
          <w:b/>
          <w:bCs/>
        </w:rPr>
        <w:t>103</w:t>
      </w:r>
      <w:r w:rsidRPr="00FD1252">
        <w:rPr>
          <w:rFonts w:ascii="Book Antiqua" w:hAnsi="Book Antiqua"/>
        </w:rPr>
        <w:t>: 1457-1467 [PMID: 30747837 DOI: 10.1097/TP.0000000000002560]</w:t>
      </w:r>
    </w:p>
    <w:p w14:paraId="1132DD4F"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71 </w:t>
      </w:r>
      <w:r w:rsidRPr="00FD1252">
        <w:rPr>
          <w:rFonts w:ascii="Book Antiqua" w:hAnsi="Book Antiqua"/>
          <w:b/>
          <w:bCs/>
        </w:rPr>
        <w:t>Helanterä I</w:t>
      </w:r>
      <w:r w:rsidRPr="00FD1252">
        <w:rPr>
          <w:rFonts w:ascii="Book Antiqua" w:hAnsi="Book Antiqua"/>
        </w:rPr>
        <w:t xml:space="preserve">, Mengel M. Revisiting acute T cell-mediated rejection in kidney allografts. </w:t>
      </w:r>
      <w:r w:rsidRPr="00FD1252">
        <w:rPr>
          <w:rFonts w:ascii="Book Antiqua" w:hAnsi="Book Antiqua"/>
          <w:i/>
          <w:iCs/>
        </w:rPr>
        <w:t>Am J Transplant</w:t>
      </w:r>
      <w:r w:rsidRPr="00FD1252">
        <w:rPr>
          <w:rFonts w:ascii="Book Antiqua" w:hAnsi="Book Antiqua"/>
        </w:rPr>
        <w:t xml:space="preserve"> 2022; </w:t>
      </w:r>
      <w:r w:rsidRPr="00FD1252">
        <w:rPr>
          <w:rFonts w:ascii="Book Antiqua" w:hAnsi="Book Antiqua"/>
          <w:b/>
          <w:bCs/>
        </w:rPr>
        <w:t>22</w:t>
      </w:r>
      <w:r w:rsidRPr="00FD1252">
        <w:rPr>
          <w:rFonts w:ascii="Book Antiqua" w:hAnsi="Book Antiqua"/>
        </w:rPr>
        <w:t>: 681-682 [PMID: 34897977 DOI: 10.1111/ajt.16923]</w:t>
      </w:r>
    </w:p>
    <w:p w14:paraId="6760CFCD"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72 </w:t>
      </w:r>
      <w:r w:rsidRPr="00FD1252">
        <w:rPr>
          <w:rFonts w:ascii="Book Antiqua" w:hAnsi="Book Antiqua"/>
          <w:b/>
          <w:bCs/>
        </w:rPr>
        <w:t>Naesens M</w:t>
      </w:r>
      <w:r w:rsidRPr="00FD1252">
        <w:rPr>
          <w:rFonts w:ascii="Book Antiqua" w:hAnsi="Book Antiqua"/>
        </w:rPr>
        <w:t xml:space="preserve">, Haas M, Loupy A, Roufosse C, Mengel M. Does the definition of chronic active T cell-mediated rejection need revisiting? </w:t>
      </w:r>
      <w:r w:rsidRPr="00FD1252">
        <w:rPr>
          <w:rFonts w:ascii="Book Antiqua" w:hAnsi="Book Antiqua"/>
          <w:i/>
          <w:iCs/>
        </w:rPr>
        <w:t>Am J Transplant</w:t>
      </w:r>
      <w:r w:rsidRPr="00FD1252">
        <w:rPr>
          <w:rFonts w:ascii="Book Antiqua" w:hAnsi="Book Antiqua"/>
        </w:rPr>
        <w:t xml:space="preserve"> 2021; </w:t>
      </w:r>
      <w:r w:rsidRPr="00FD1252">
        <w:rPr>
          <w:rFonts w:ascii="Book Antiqua" w:hAnsi="Book Antiqua"/>
          <w:b/>
          <w:bCs/>
        </w:rPr>
        <w:t>21</w:t>
      </w:r>
      <w:r w:rsidRPr="00FD1252">
        <w:rPr>
          <w:rFonts w:ascii="Book Antiqua" w:hAnsi="Book Antiqua"/>
        </w:rPr>
        <w:t>: 1689-1690 [PMID: 33249773 DOI: 10.1111/ajt.16419]</w:t>
      </w:r>
    </w:p>
    <w:p w14:paraId="0810DCD8"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73 </w:t>
      </w:r>
      <w:r w:rsidRPr="00FD1252">
        <w:rPr>
          <w:rFonts w:ascii="Book Antiqua" w:hAnsi="Book Antiqua"/>
          <w:b/>
          <w:bCs/>
        </w:rPr>
        <w:t>Yamamoto I</w:t>
      </w:r>
      <w:r w:rsidRPr="00FD1252">
        <w:rPr>
          <w:rFonts w:ascii="Book Antiqua" w:hAnsi="Book Antiqua"/>
        </w:rPr>
        <w:t xml:space="preserve">, Kawabe M, Hayashi A, Kobayashi A, Yamamoto H, Yokoo T. Challenges Posed by the Banff Classification: Diagnosis and Treatment of Chronic active T-cell mediated Rejection. </w:t>
      </w:r>
      <w:r w:rsidRPr="00FD1252">
        <w:rPr>
          <w:rFonts w:ascii="Book Antiqua" w:hAnsi="Book Antiqua"/>
          <w:i/>
          <w:iCs/>
        </w:rPr>
        <w:t>Nephron</w:t>
      </w:r>
      <w:r w:rsidRPr="00FD1252">
        <w:rPr>
          <w:rFonts w:ascii="Book Antiqua" w:hAnsi="Book Antiqua"/>
        </w:rPr>
        <w:t xml:space="preserve"> 2023 [PMID: 36928337 DOI: 10.1159/000530158]</w:t>
      </w:r>
    </w:p>
    <w:p w14:paraId="09F4F721" w14:textId="77777777" w:rsidR="00F15982" w:rsidRPr="00FD1252" w:rsidRDefault="00F15982" w:rsidP="00FD1252">
      <w:pPr>
        <w:spacing w:line="360" w:lineRule="auto"/>
        <w:jc w:val="both"/>
        <w:rPr>
          <w:rFonts w:ascii="Book Antiqua" w:hAnsi="Book Antiqua"/>
        </w:rPr>
      </w:pPr>
      <w:r w:rsidRPr="00FD1252">
        <w:rPr>
          <w:rFonts w:ascii="Book Antiqua" w:hAnsi="Book Antiqua"/>
        </w:rPr>
        <w:lastRenderedPageBreak/>
        <w:t xml:space="preserve">74 </w:t>
      </w:r>
      <w:r w:rsidRPr="00FD1252">
        <w:rPr>
          <w:rFonts w:ascii="Book Antiqua" w:hAnsi="Book Antiqua"/>
          <w:b/>
          <w:bCs/>
        </w:rPr>
        <w:t>Gaber LW</w:t>
      </w:r>
      <w:r w:rsidRPr="00FD1252">
        <w:rPr>
          <w:rFonts w:ascii="Book Antiqua" w:hAnsi="Book Antiqua"/>
        </w:rPr>
        <w:t xml:space="preserve">, Moore LW, Alloway RR, Flax SD, Shokouh-Amiri MH, Schroder T, Gaber AO. Correlation between Banff classification, acute renal rejection scores and reversal of rejection. </w:t>
      </w:r>
      <w:r w:rsidRPr="00FD1252">
        <w:rPr>
          <w:rFonts w:ascii="Book Antiqua" w:hAnsi="Book Antiqua"/>
          <w:i/>
          <w:iCs/>
        </w:rPr>
        <w:t>Kidney Int</w:t>
      </w:r>
      <w:r w:rsidRPr="00FD1252">
        <w:rPr>
          <w:rFonts w:ascii="Book Antiqua" w:hAnsi="Book Antiqua"/>
        </w:rPr>
        <w:t xml:space="preserve"> 1996; </w:t>
      </w:r>
      <w:r w:rsidRPr="00FD1252">
        <w:rPr>
          <w:rFonts w:ascii="Book Antiqua" w:hAnsi="Book Antiqua"/>
          <w:b/>
          <w:bCs/>
        </w:rPr>
        <w:t>49</w:t>
      </w:r>
      <w:r w:rsidRPr="00FD1252">
        <w:rPr>
          <w:rFonts w:ascii="Book Antiqua" w:hAnsi="Book Antiqua"/>
        </w:rPr>
        <w:t>: 481-487 [PMID: 8821833 DOI: 10.1038/ki.1996.68]</w:t>
      </w:r>
    </w:p>
    <w:p w14:paraId="15B96A5C"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75 </w:t>
      </w:r>
      <w:r w:rsidRPr="00FD1252">
        <w:rPr>
          <w:rFonts w:ascii="Book Antiqua" w:hAnsi="Book Antiqua"/>
          <w:b/>
          <w:bCs/>
        </w:rPr>
        <w:t>Seron D</w:t>
      </w:r>
      <w:r w:rsidRPr="00FD1252">
        <w:rPr>
          <w:rFonts w:ascii="Book Antiqua" w:hAnsi="Book Antiqua"/>
        </w:rPr>
        <w:t xml:space="preserve">, Rabant M, Becker JU, Roufosse C, Bellini MI, Böhmig GA, Budde K, Diekmann F, Glotz D, Hilbrands L, Loupy A, Oberbauer R, Pengel L, Schneeberger S, Naesens M. Proposed Definitions of T Cell-Mediated Rejection and Tubulointerstitial Inflammation as Clinical Trial Endpoints in Kidney Transplantation. </w:t>
      </w:r>
      <w:r w:rsidRPr="00FD1252">
        <w:rPr>
          <w:rFonts w:ascii="Book Antiqua" w:hAnsi="Book Antiqua"/>
          <w:i/>
          <w:iCs/>
        </w:rPr>
        <w:t>Transpl Int</w:t>
      </w:r>
      <w:r w:rsidRPr="00FD1252">
        <w:rPr>
          <w:rFonts w:ascii="Book Antiqua" w:hAnsi="Book Antiqua"/>
        </w:rPr>
        <w:t xml:space="preserve"> 2022; </w:t>
      </w:r>
      <w:r w:rsidRPr="00FD1252">
        <w:rPr>
          <w:rFonts w:ascii="Book Antiqua" w:hAnsi="Book Antiqua"/>
          <w:b/>
          <w:bCs/>
        </w:rPr>
        <w:t>35</w:t>
      </w:r>
      <w:r w:rsidRPr="00FD1252">
        <w:rPr>
          <w:rFonts w:ascii="Book Antiqua" w:hAnsi="Book Antiqua"/>
        </w:rPr>
        <w:t>: 10135 [PMID: 35669975 DOI: 10.3389/ti.2022.10135]</w:t>
      </w:r>
    </w:p>
    <w:p w14:paraId="0531F5D6"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76 </w:t>
      </w:r>
      <w:r w:rsidRPr="00FD1252">
        <w:rPr>
          <w:rFonts w:ascii="Book Antiqua" w:hAnsi="Book Antiqua"/>
          <w:b/>
          <w:bCs/>
        </w:rPr>
        <w:t>Mengel M</w:t>
      </w:r>
      <w:r w:rsidRPr="00FD1252">
        <w:rPr>
          <w:rFonts w:ascii="Book Antiqua" w:hAnsi="Book Antiqua"/>
        </w:rPr>
        <w:t xml:space="preserve">, Reeve J, Bunnag S, Einecke G, Jhangri GS, Sis B, Famulski K, Guembes-Hidalgo L, Halloran PF. Scoring total inflammation is superior to the current Banff inflammation score in predicting outcome and the degree of molecular disturbance in renal allografts. </w:t>
      </w:r>
      <w:r w:rsidRPr="00FD1252">
        <w:rPr>
          <w:rFonts w:ascii="Book Antiqua" w:hAnsi="Book Antiqua"/>
          <w:i/>
          <w:iCs/>
        </w:rPr>
        <w:t>Am J Transplant</w:t>
      </w:r>
      <w:r w:rsidRPr="00FD1252">
        <w:rPr>
          <w:rFonts w:ascii="Book Antiqua" w:hAnsi="Book Antiqua"/>
        </w:rPr>
        <w:t xml:space="preserve"> 2009; </w:t>
      </w:r>
      <w:r w:rsidRPr="00FD1252">
        <w:rPr>
          <w:rFonts w:ascii="Book Antiqua" w:hAnsi="Book Antiqua"/>
          <w:b/>
          <w:bCs/>
        </w:rPr>
        <w:t>9</w:t>
      </w:r>
      <w:r w:rsidRPr="00FD1252">
        <w:rPr>
          <w:rFonts w:ascii="Book Antiqua" w:hAnsi="Book Antiqua"/>
        </w:rPr>
        <w:t>: 1859-1867 [PMID: 19563338 DOI: 10.1111/j.1600-6143.2009.02727.x]</w:t>
      </w:r>
    </w:p>
    <w:p w14:paraId="68B0BEDF"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77 </w:t>
      </w:r>
      <w:r w:rsidRPr="00FD1252">
        <w:rPr>
          <w:rFonts w:ascii="Book Antiqua" w:hAnsi="Book Antiqua"/>
          <w:b/>
          <w:bCs/>
        </w:rPr>
        <w:t>Mannon RB</w:t>
      </w:r>
      <w:r w:rsidRPr="00FD1252">
        <w:rPr>
          <w:rFonts w:ascii="Book Antiqua" w:hAnsi="Book Antiqua"/>
        </w:rPr>
        <w:t xml:space="preserve">, Matas AJ, Grande J, Leduc R, Connett J, Kasiske B, Cecka JM, Gaston RS, Cosio F, Gourishankar S, Halloran PF, Hunsicker L, Rush D; DeKAF Investigators. Inflammation in areas of tubular atrophy in kidney allograft biopsies: a potent predictor of allograft failure. </w:t>
      </w:r>
      <w:r w:rsidRPr="00FD1252">
        <w:rPr>
          <w:rFonts w:ascii="Book Antiqua" w:hAnsi="Book Antiqua"/>
          <w:i/>
          <w:iCs/>
        </w:rPr>
        <w:t>Am J Transplant</w:t>
      </w:r>
      <w:r w:rsidRPr="00FD1252">
        <w:rPr>
          <w:rFonts w:ascii="Book Antiqua" w:hAnsi="Book Antiqua"/>
        </w:rPr>
        <w:t xml:space="preserve"> 2010; </w:t>
      </w:r>
      <w:r w:rsidRPr="00FD1252">
        <w:rPr>
          <w:rFonts w:ascii="Book Antiqua" w:hAnsi="Book Antiqua"/>
          <w:b/>
          <w:bCs/>
        </w:rPr>
        <w:t>10</w:t>
      </w:r>
      <w:r w:rsidRPr="00FD1252">
        <w:rPr>
          <w:rFonts w:ascii="Book Antiqua" w:hAnsi="Book Antiqua"/>
        </w:rPr>
        <w:t>: 2066-2073 [PMID: 20883541 DOI: 10.1111/j.1600-6143.2010.03240.x]</w:t>
      </w:r>
    </w:p>
    <w:p w14:paraId="5F9770B0"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78 </w:t>
      </w:r>
      <w:r w:rsidRPr="00FD1252">
        <w:rPr>
          <w:rFonts w:ascii="Book Antiqua" w:hAnsi="Book Antiqua"/>
          <w:b/>
          <w:bCs/>
        </w:rPr>
        <w:t>Lefaucheur C</w:t>
      </w:r>
      <w:r w:rsidRPr="00FD1252">
        <w:rPr>
          <w:rFonts w:ascii="Book Antiqua" w:hAnsi="Book Antiqua"/>
        </w:rPr>
        <w:t xml:space="preserve">, Gosset C, Rabant M, Viglietti D, Verine J, Aubert O, Louis K, Glotz D, Legendre C, Duong Van Huyen JP, Loupy A. T cell-mediated rejection is a major determinant of inflammation in scarred areas in kidney allografts. </w:t>
      </w:r>
      <w:r w:rsidRPr="00FD1252">
        <w:rPr>
          <w:rFonts w:ascii="Book Antiqua" w:hAnsi="Book Antiqua"/>
          <w:i/>
          <w:iCs/>
        </w:rPr>
        <w:t>Am J Transplant</w:t>
      </w:r>
      <w:r w:rsidRPr="00FD1252">
        <w:rPr>
          <w:rFonts w:ascii="Book Antiqua" w:hAnsi="Book Antiqua"/>
        </w:rPr>
        <w:t xml:space="preserve"> 2018; </w:t>
      </w:r>
      <w:r w:rsidRPr="00FD1252">
        <w:rPr>
          <w:rFonts w:ascii="Book Antiqua" w:hAnsi="Book Antiqua"/>
          <w:b/>
          <w:bCs/>
        </w:rPr>
        <w:t>18</w:t>
      </w:r>
      <w:r w:rsidRPr="00FD1252">
        <w:rPr>
          <w:rFonts w:ascii="Book Antiqua" w:hAnsi="Book Antiqua"/>
        </w:rPr>
        <w:t>: 377-390 [PMID: 29086461 DOI: 10.1111/ajt.14565]</w:t>
      </w:r>
    </w:p>
    <w:p w14:paraId="4FCAFD8F"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79 </w:t>
      </w:r>
      <w:r w:rsidRPr="00FD1252">
        <w:rPr>
          <w:rFonts w:ascii="Book Antiqua" w:hAnsi="Book Antiqua"/>
          <w:b/>
          <w:bCs/>
        </w:rPr>
        <w:t>Nankivell BJ</w:t>
      </w:r>
      <w:r w:rsidRPr="00FD1252">
        <w:rPr>
          <w:rFonts w:ascii="Book Antiqua" w:hAnsi="Book Antiqua"/>
        </w:rPr>
        <w:t xml:space="preserve">, Shingde M, Keung KL, Fung CL, Borrows RJ, O'Connell PJ, Chapman JR. The causes, significance and consequences of inflammatory fibrosis in kidney transplantation: The Banff i-IFTA lesion. </w:t>
      </w:r>
      <w:r w:rsidRPr="00FD1252">
        <w:rPr>
          <w:rFonts w:ascii="Book Antiqua" w:hAnsi="Book Antiqua"/>
          <w:i/>
          <w:iCs/>
        </w:rPr>
        <w:t>Am J Transplant</w:t>
      </w:r>
      <w:r w:rsidRPr="00FD1252">
        <w:rPr>
          <w:rFonts w:ascii="Book Antiqua" w:hAnsi="Book Antiqua"/>
        </w:rPr>
        <w:t xml:space="preserve"> 2018; </w:t>
      </w:r>
      <w:r w:rsidRPr="00FD1252">
        <w:rPr>
          <w:rFonts w:ascii="Book Antiqua" w:hAnsi="Book Antiqua"/>
          <w:b/>
          <w:bCs/>
        </w:rPr>
        <w:t>18</w:t>
      </w:r>
      <w:r w:rsidRPr="00FD1252">
        <w:rPr>
          <w:rFonts w:ascii="Book Antiqua" w:hAnsi="Book Antiqua"/>
        </w:rPr>
        <w:t>: 364-376 [PMID: 29194971 DOI: 10.1111/ajt.14609]</w:t>
      </w:r>
    </w:p>
    <w:p w14:paraId="396E26D3"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80 </w:t>
      </w:r>
      <w:r w:rsidRPr="00FD1252">
        <w:rPr>
          <w:rFonts w:ascii="Book Antiqua" w:hAnsi="Book Antiqua"/>
          <w:b/>
          <w:bCs/>
        </w:rPr>
        <w:t>Halloran PF</w:t>
      </w:r>
      <w:r w:rsidRPr="00FD1252">
        <w:rPr>
          <w:rFonts w:ascii="Book Antiqua" w:hAnsi="Book Antiqua"/>
        </w:rPr>
        <w:t xml:space="preserve">, Matas A, Kasiske BL, Madill-Thomsen KS, Mackova M, Famulski KS. Molecular phenotype of kidney transplant indication biopsies with inflammation in scarred areas. </w:t>
      </w:r>
      <w:r w:rsidRPr="00FD1252">
        <w:rPr>
          <w:rFonts w:ascii="Book Antiqua" w:hAnsi="Book Antiqua"/>
          <w:i/>
          <w:iCs/>
        </w:rPr>
        <w:t>Am J Transplant</w:t>
      </w:r>
      <w:r w:rsidRPr="00FD1252">
        <w:rPr>
          <w:rFonts w:ascii="Book Antiqua" w:hAnsi="Book Antiqua"/>
        </w:rPr>
        <w:t xml:space="preserve"> 2019; </w:t>
      </w:r>
      <w:r w:rsidRPr="00FD1252">
        <w:rPr>
          <w:rFonts w:ascii="Book Antiqua" w:hAnsi="Book Antiqua"/>
          <w:b/>
          <w:bCs/>
        </w:rPr>
        <w:t>19</w:t>
      </w:r>
      <w:r w:rsidRPr="00FD1252">
        <w:rPr>
          <w:rFonts w:ascii="Book Antiqua" w:hAnsi="Book Antiqua"/>
        </w:rPr>
        <w:t>: 1356-1370 [PMID: 30417539 DOI: 10.1111/ajt.15178]</w:t>
      </w:r>
    </w:p>
    <w:p w14:paraId="51D43841" w14:textId="77777777" w:rsidR="00F15982" w:rsidRPr="00FD1252" w:rsidRDefault="00F15982" w:rsidP="00FD1252">
      <w:pPr>
        <w:spacing w:line="360" w:lineRule="auto"/>
        <w:jc w:val="both"/>
        <w:rPr>
          <w:rFonts w:ascii="Book Antiqua" w:hAnsi="Book Antiqua"/>
        </w:rPr>
      </w:pPr>
      <w:r w:rsidRPr="00FD1252">
        <w:rPr>
          <w:rFonts w:ascii="Book Antiqua" w:hAnsi="Book Antiqua"/>
        </w:rPr>
        <w:lastRenderedPageBreak/>
        <w:t xml:space="preserve">81 </w:t>
      </w:r>
      <w:r w:rsidRPr="00FD1252">
        <w:rPr>
          <w:rFonts w:ascii="Book Antiqua" w:hAnsi="Book Antiqua"/>
          <w:b/>
          <w:bCs/>
        </w:rPr>
        <w:t>Matas AJ</w:t>
      </w:r>
      <w:r w:rsidRPr="00FD1252">
        <w:rPr>
          <w:rFonts w:ascii="Book Antiqua" w:hAnsi="Book Antiqua"/>
        </w:rPr>
        <w:t xml:space="preserve">, Helgeson ES, Gaston R, Cosio F, Mannon R, Kasiske BL, Hunsicker L, Gourishankar S, Rush D, Michael Cecka J, Connett J, Grande JP. Inflammation in areas of fibrosis: The DeKAF prospective cohort. </w:t>
      </w:r>
      <w:r w:rsidRPr="00FD1252">
        <w:rPr>
          <w:rFonts w:ascii="Book Antiqua" w:hAnsi="Book Antiqua"/>
          <w:i/>
          <w:iCs/>
        </w:rPr>
        <w:t>Am J Transplant</w:t>
      </w:r>
      <w:r w:rsidRPr="00FD1252">
        <w:rPr>
          <w:rFonts w:ascii="Book Antiqua" w:hAnsi="Book Antiqua"/>
        </w:rPr>
        <w:t xml:space="preserve"> 2020; </w:t>
      </w:r>
      <w:r w:rsidRPr="00FD1252">
        <w:rPr>
          <w:rFonts w:ascii="Book Antiqua" w:hAnsi="Book Antiqua"/>
          <w:b/>
          <w:bCs/>
        </w:rPr>
        <w:t>20</w:t>
      </w:r>
      <w:r w:rsidRPr="00FD1252">
        <w:rPr>
          <w:rFonts w:ascii="Book Antiqua" w:hAnsi="Book Antiqua"/>
        </w:rPr>
        <w:t>: 2509-2521 [PMID: 32185865 DOI: 10.1111/ajt.15862]</w:t>
      </w:r>
    </w:p>
    <w:p w14:paraId="557EFA04"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82 </w:t>
      </w:r>
      <w:r w:rsidRPr="00FD1252">
        <w:rPr>
          <w:rFonts w:ascii="Book Antiqua" w:hAnsi="Book Antiqua"/>
          <w:b/>
          <w:bCs/>
        </w:rPr>
        <w:t>Halloran PF</w:t>
      </w:r>
      <w:r w:rsidRPr="00FD1252">
        <w:rPr>
          <w:rFonts w:ascii="Book Antiqua" w:hAnsi="Book Antiqua"/>
        </w:rPr>
        <w:t xml:space="preserve">, Pereira AB, Chang J, Matas A, Picton M, De Freitas D, Bromberg J, Serón D, Sellarés J, Einecke G, Reeve J. Potential impact of microarray diagnosis of T cell-mediated rejection in kidney transplants: The INTERCOM study. </w:t>
      </w:r>
      <w:r w:rsidRPr="00FD1252">
        <w:rPr>
          <w:rFonts w:ascii="Book Antiqua" w:hAnsi="Book Antiqua"/>
          <w:i/>
          <w:iCs/>
        </w:rPr>
        <w:t>Am J Transplant</w:t>
      </w:r>
      <w:r w:rsidRPr="00FD1252">
        <w:rPr>
          <w:rFonts w:ascii="Book Antiqua" w:hAnsi="Book Antiqua"/>
        </w:rPr>
        <w:t xml:space="preserve"> 2013; </w:t>
      </w:r>
      <w:r w:rsidRPr="00FD1252">
        <w:rPr>
          <w:rFonts w:ascii="Book Antiqua" w:hAnsi="Book Antiqua"/>
          <w:b/>
          <w:bCs/>
        </w:rPr>
        <w:t>13</w:t>
      </w:r>
      <w:r w:rsidRPr="00FD1252">
        <w:rPr>
          <w:rFonts w:ascii="Book Antiqua" w:hAnsi="Book Antiqua"/>
        </w:rPr>
        <w:t>: 2352-2363 [PMID: 23915426 DOI: 10.1111/ajt.12387]</w:t>
      </w:r>
    </w:p>
    <w:p w14:paraId="034A5495"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83 </w:t>
      </w:r>
      <w:r w:rsidRPr="00FD1252">
        <w:rPr>
          <w:rFonts w:ascii="Book Antiqua" w:hAnsi="Book Antiqua"/>
          <w:b/>
          <w:bCs/>
        </w:rPr>
        <w:t>Halloran PF</w:t>
      </w:r>
      <w:r w:rsidRPr="00FD1252">
        <w:rPr>
          <w:rFonts w:ascii="Book Antiqua" w:hAnsi="Book Antiqua"/>
        </w:rPr>
        <w:t xml:space="preserve">, Reeve J, Akalin E, Aubert O, Bohmig GA, Brennan D, Bromberg J, Einecke G, Eskandary F, Gosset C, Duong Van Huyen JP, Gupta G, Lefaucheur C, Malone A, Mannon RB, Seron D, Sellares J, Weir M, Loupy A. Real Time Central Assessment of Kidney Transplant Indication Biopsies by Microarrays: The INTERCOMEX Study. </w:t>
      </w:r>
      <w:r w:rsidRPr="00FD1252">
        <w:rPr>
          <w:rFonts w:ascii="Book Antiqua" w:hAnsi="Book Antiqua"/>
          <w:i/>
          <w:iCs/>
        </w:rPr>
        <w:t>Am J Transplant</w:t>
      </w:r>
      <w:r w:rsidRPr="00FD1252">
        <w:rPr>
          <w:rFonts w:ascii="Book Antiqua" w:hAnsi="Book Antiqua"/>
        </w:rPr>
        <w:t xml:space="preserve"> 2017; </w:t>
      </w:r>
      <w:r w:rsidRPr="00FD1252">
        <w:rPr>
          <w:rFonts w:ascii="Book Antiqua" w:hAnsi="Book Antiqua"/>
          <w:b/>
          <w:bCs/>
        </w:rPr>
        <w:t>17</w:t>
      </w:r>
      <w:r w:rsidRPr="00FD1252">
        <w:rPr>
          <w:rFonts w:ascii="Book Antiqua" w:hAnsi="Book Antiqua"/>
        </w:rPr>
        <w:t>: 2851-2862 [PMID: 28449409 DOI: 10.1111/ajt.14329]</w:t>
      </w:r>
    </w:p>
    <w:p w14:paraId="559B8589"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84 </w:t>
      </w:r>
      <w:r w:rsidRPr="00FD1252">
        <w:rPr>
          <w:rFonts w:ascii="Book Antiqua" w:hAnsi="Book Antiqua"/>
          <w:b/>
          <w:bCs/>
        </w:rPr>
        <w:t>Reeve J</w:t>
      </w:r>
      <w:r w:rsidRPr="00FD1252">
        <w:rPr>
          <w:rFonts w:ascii="Book Antiqua" w:hAnsi="Book Antiqua"/>
        </w:rPr>
        <w:t xml:space="preserve">, Böhmig GA, Eskandary F, Einecke G, Gupta G, Madill-Thomsen K, Mackova M, Halloran PF; INTERCOMEX MMDx-Kidney Study Group. Generating automated kidney transplant biopsy reports combining molecular measurements with ensembles of machine learning classifiers. </w:t>
      </w:r>
      <w:r w:rsidRPr="00FD1252">
        <w:rPr>
          <w:rFonts w:ascii="Book Antiqua" w:hAnsi="Book Antiqua"/>
          <w:i/>
          <w:iCs/>
        </w:rPr>
        <w:t>Am J Transplant</w:t>
      </w:r>
      <w:r w:rsidRPr="00FD1252">
        <w:rPr>
          <w:rFonts w:ascii="Book Antiqua" w:hAnsi="Book Antiqua"/>
        </w:rPr>
        <w:t xml:space="preserve"> 2019; </w:t>
      </w:r>
      <w:r w:rsidRPr="00FD1252">
        <w:rPr>
          <w:rFonts w:ascii="Book Antiqua" w:hAnsi="Book Antiqua"/>
          <w:b/>
          <w:bCs/>
        </w:rPr>
        <w:t>19</w:t>
      </w:r>
      <w:r w:rsidRPr="00FD1252">
        <w:rPr>
          <w:rFonts w:ascii="Book Antiqua" w:hAnsi="Book Antiqua"/>
        </w:rPr>
        <w:t>: 2719-2731 [PMID: 30868758 DOI: 10.1111/ajt.15351]</w:t>
      </w:r>
    </w:p>
    <w:p w14:paraId="4A5EB575"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85 </w:t>
      </w:r>
      <w:r w:rsidRPr="00FD1252">
        <w:rPr>
          <w:rFonts w:ascii="Book Antiqua" w:hAnsi="Book Antiqua"/>
          <w:b/>
          <w:bCs/>
        </w:rPr>
        <w:t>Madill-Thomsen K</w:t>
      </w:r>
      <w:r w:rsidRPr="00FD1252">
        <w:rPr>
          <w:rFonts w:ascii="Book Antiqua" w:hAnsi="Book Antiqua"/>
        </w:rPr>
        <w:t xml:space="preserve">, Perkowska-Ptasińska A, Böhmig GA, Eskandary F, Einecke G, Gupta G, Halloran PF; MMDx-Kidney Study Group. Discrepancy analysis comparing molecular and histology diagnoses in kidney transplant biopsies. </w:t>
      </w:r>
      <w:r w:rsidRPr="00FD1252">
        <w:rPr>
          <w:rFonts w:ascii="Book Antiqua" w:hAnsi="Book Antiqua"/>
          <w:i/>
          <w:iCs/>
        </w:rPr>
        <w:t>Am J Transplant</w:t>
      </w:r>
      <w:r w:rsidRPr="00FD1252">
        <w:rPr>
          <w:rFonts w:ascii="Book Antiqua" w:hAnsi="Book Antiqua"/>
        </w:rPr>
        <w:t xml:space="preserve"> 2020; </w:t>
      </w:r>
      <w:r w:rsidRPr="00FD1252">
        <w:rPr>
          <w:rFonts w:ascii="Book Antiqua" w:hAnsi="Book Antiqua"/>
          <w:b/>
          <w:bCs/>
        </w:rPr>
        <w:t>20</w:t>
      </w:r>
      <w:r w:rsidRPr="00FD1252">
        <w:rPr>
          <w:rFonts w:ascii="Book Antiqua" w:hAnsi="Book Antiqua"/>
        </w:rPr>
        <w:t>: 1341-1350 [PMID: 31846554 DOI: 10.1111/ajt.15752]</w:t>
      </w:r>
    </w:p>
    <w:p w14:paraId="2E642E6F"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86 </w:t>
      </w:r>
      <w:r w:rsidRPr="00FD1252">
        <w:rPr>
          <w:rFonts w:ascii="Book Antiqua" w:hAnsi="Book Antiqua"/>
          <w:b/>
          <w:bCs/>
        </w:rPr>
        <w:t>Matsunami M</w:t>
      </w:r>
      <w:r w:rsidRPr="00FD1252">
        <w:rPr>
          <w:rFonts w:ascii="Book Antiqua" w:hAnsi="Book Antiqua"/>
        </w:rPr>
        <w:t xml:space="preserve">, Rosales IA, Adam BA, Oura T, Mengel M, Smith RN, Lee H, Cosimi AB, Colvin RB, Kawai T. Long-term Kinetics of Intragraft Gene Signatures in Renal Allograft Tolerance Induced by Transient Mixed Chimerism. </w:t>
      </w:r>
      <w:r w:rsidRPr="00FD1252">
        <w:rPr>
          <w:rFonts w:ascii="Book Antiqua" w:hAnsi="Book Antiqua"/>
          <w:i/>
          <w:iCs/>
        </w:rPr>
        <w:t>Transplantation</w:t>
      </w:r>
      <w:r w:rsidRPr="00FD1252">
        <w:rPr>
          <w:rFonts w:ascii="Book Antiqua" w:hAnsi="Book Antiqua"/>
        </w:rPr>
        <w:t xml:space="preserve"> 2019; </w:t>
      </w:r>
      <w:r w:rsidRPr="00FD1252">
        <w:rPr>
          <w:rFonts w:ascii="Book Antiqua" w:hAnsi="Book Antiqua"/>
          <w:b/>
          <w:bCs/>
        </w:rPr>
        <w:t>103</w:t>
      </w:r>
      <w:r w:rsidRPr="00FD1252">
        <w:rPr>
          <w:rFonts w:ascii="Book Antiqua" w:hAnsi="Book Antiqua"/>
        </w:rPr>
        <w:t>: e334-e344 [PMID: 31397805 DOI: 10.1097/TP.0000000000002911]</w:t>
      </w:r>
    </w:p>
    <w:p w14:paraId="54562580"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87 </w:t>
      </w:r>
      <w:r w:rsidRPr="00FD1252">
        <w:rPr>
          <w:rFonts w:ascii="Book Antiqua" w:hAnsi="Book Antiqua"/>
          <w:b/>
          <w:bCs/>
        </w:rPr>
        <w:t>Smith RN</w:t>
      </w:r>
      <w:r w:rsidRPr="00FD1252">
        <w:rPr>
          <w:rFonts w:ascii="Book Antiqua" w:hAnsi="Book Antiqua"/>
        </w:rPr>
        <w:t xml:space="preserve">. In-silico performance, validation, and modeling of the Nanostring Banff Human Organ transplant gene panel using archival data from human kidney transplants. </w:t>
      </w:r>
      <w:r w:rsidRPr="00FD1252">
        <w:rPr>
          <w:rFonts w:ascii="Book Antiqua" w:hAnsi="Book Antiqua"/>
          <w:i/>
          <w:iCs/>
        </w:rPr>
        <w:t>BMC Med Genomics</w:t>
      </w:r>
      <w:r w:rsidRPr="00FD1252">
        <w:rPr>
          <w:rFonts w:ascii="Book Antiqua" w:hAnsi="Book Antiqua"/>
        </w:rPr>
        <w:t xml:space="preserve"> 2021; </w:t>
      </w:r>
      <w:r w:rsidRPr="00FD1252">
        <w:rPr>
          <w:rFonts w:ascii="Book Antiqua" w:hAnsi="Book Antiqua"/>
          <w:b/>
          <w:bCs/>
        </w:rPr>
        <w:t>14</w:t>
      </w:r>
      <w:r w:rsidRPr="00FD1252">
        <w:rPr>
          <w:rFonts w:ascii="Book Antiqua" w:hAnsi="Book Antiqua"/>
        </w:rPr>
        <w:t>: 86 [PMID: 33740956 DOI: 10.1186/s12920-021-00891-5]</w:t>
      </w:r>
    </w:p>
    <w:p w14:paraId="07E97CCA" w14:textId="77777777" w:rsidR="00F15982" w:rsidRPr="00FD1252" w:rsidRDefault="00F15982" w:rsidP="00FD1252">
      <w:pPr>
        <w:spacing w:line="360" w:lineRule="auto"/>
        <w:jc w:val="both"/>
        <w:rPr>
          <w:rFonts w:ascii="Book Antiqua" w:hAnsi="Book Antiqua"/>
        </w:rPr>
      </w:pPr>
      <w:r w:rsidRPr="00FD1252">
        <w:rPr>
          <w:rFonts w:ascii="Book Antiqua" w:hAnsi="Book Antiqua"/>
        </w:rPr>
        <w:lastRenderedPageBreak/>
        <w:t xml:space="preserve">88 </w:t>
      </w:r>
      <w:r w:rsidRPr="00FD1252">
        <w:rPr>
          <w:rFonts w:ascii="Book Antiqua" w:hAnsi="Book Antiqua"/>
          <w:b/>
          <w:bCs/>
        </w:rPr>
        <w:t>Eikmans M</w:t>
      </w:r>
      <w:r w:rsidRPr="00FD1252">
        <w:rPr>
          <w:rFonts w:ascii="Book Antiqua" w:hAnsi="Book Antiqua"/>
        </w:rPr>
        <w:t xml:space="preserve">, Gielis EM, Ledeganck KJ, Yang J, Abramowicz D, Claas FFJ. Non-invasive Biomarkers of Acute Rejection in Kidney Transplantation: Novel Targets and Strategies. </w:t>
      </w:r>
      <w:r w:rsidRPr="00FD1252">
        <w:rPr>
          <w:rFonts w:ascii="Book Antiqua" w:hAnsi="Book Antiqua"/>
          <w:i/>
          <w:iCs/>
        </w:rPr>
        <w:t>Front Med (Lausanne)</w:t>
      </w:r>
      <w:r w:rsidRPr="00FD1252">
        <w:rPr>
          <w:rFonts w:ascii="Book Antiqua" w:hAnsi="Book Antiqua"/>
        </w:rPr>
        <w:t xml:space="preserve"> 2018; </w:t>
      </w:r>
      <w:r w:rsidRPr="00FD1252">
        <w:rPr>
          <w:rFonts w:ascii="Book Antiqua" w:hAnsi="Book Antiqua"/>
          <w:b/>
          <w:bCs/>
        </w:rPr>
        <w:t>5</w:t>
      </w:r>
      <w:r w:rsidRPr="00FD1252">
        <w:rPr>
          <w:rFonts w:ascii="Book Antiqua" w:hAnsi="Book Antiqua"/>
        </w:rPr>
        <w:t>: 358 [PMID: 30671435 DOI: 10.3389/fmed.2018.00358]</w:t>
      </w:r>
    </w:p>
    <w:p w14:paraId="23650A55"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89 </w:t>
      </w:r>
      <w:r w:rsidRPr="00FD1252">
        <w:rPr>
          <w:rFonts w:ascii="Book Antiqua" w:hAnsi="Book Antiqua"/>
          <w:b/>
          <w:bCs/>
        </w:rPr>
        <w:t>Oellerich M</w:t>
      </w:r>
      <w:r w:rsidRPr="00FD1252">
        <w:rPr>
          <w:rFonts w:ascii="Book Antiqua" w:hAnsi="Book Antiqua"/>
        </w:rPr>
        <w:t xml:space="preserve">, Sherwood K, Keown P, Schütz E, Beck J, Stegbauer J, Rump LC, Walson PD. Liquid biopsies: donor-derived cell-free DNA for the detection of kidney allograft injury. </w:t>
      </w:r>
      <w:r w:rsidRPr="00FD1252">
        <w:rPr>
          <w:rFonts w:ascii="Book Antiqua" w:hAnsi="Book Antiqua"/>
          <w:i/>
          <w:iCs/>
        </w:rPr>
        <w:t>Nat Rev Nephrol</w:t>
      </w:r>
      <w:r w:rsidRPr="00FD1252">
        <w:rPr>
          <w:rFonts w:ascii="Book Antiqua" w:hAnsi="Book Antiqua"/>
        </w:rPr>
        <w:t xml:space="preserve"> 2021; </w:t>
      </w:r>
      <w:r w:rsidRPr="00FD1252">
        <w:rPr>
          <w:rFonts w:ascii="Book Antiqua" w:hAnsi="Book Antiqua"/>
          <w:b/>
          <w:bCs/>
        </w:rPr>
        <w:t>17</w:t>
      </w:r>
      <w:r w:rsidRPr="00FD1252">
        <w:rPr>
          <w:rFonts w:ascii="Book Antiqua" w:hAnsi="Book Antiqua"/>
        </w:rPr>
        <w:t>: 591-603 [PMID: 34031575 DOI: 10.1038/s41581-021-00428-0]</w:t>
      </w:r>
    </w:p>
    <w:p w14:paraId="764A1426"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90 </w:t>
      </w:r>
      <w:r w:rsidRPr="00FD1252">
        <w:rPr>
          <w:rFonts w:ascii="Book Antiqua" w:hAnsi="Book Antiqua"/>
          <w:b/>
          <w:bCs/>
        </w:rPr>
        <w:t>Filippone EJ</w:t>
      </w:r>
      <w:r w:rsidRPr="00FD1252">
        <w:rPr>
          <w:rFonts w:ascii="Book Antiqua" w:hAnsi="Book Antiqua"/>
        </w:rPr>
        <w:t xml:space="preserve">, Farber JL. The Monitoring of Donor-derived Cell-free DNA in Kidney Transplantation. </w:t>
      </w:r>
      <w:r w:rsidRPr="00FD1252">
        <w:rPr>
          <w:rFonts w:ascii="Book Antiqua" w:hAnsi="Book Antiqua"/>
          <w:i/>
          <w:iCs/>
        </w:rPr>
        <w:t>Transplantation</w:t>
      </w:r>
      <w:r w:rsidRPr="00FD1252">
        <w:rPr>
          <w:rFonts w:ascii="Book Antiqua" w:hAnsi="Book Antiqua"/>
        </w:rPr>
        <w:t xml:space="preserve"> 2021; </w:t>
      </w:r>
      <w:r w:rsidRPr="00FD1252">
        <w:rPr>
          <w:rFonts w:ascii="Book Antiqua" w:hAnsi="Book Antiqua"/>
          <w:b/>
          <w:bCs/>
        </w:rPr>
        <w:t>105</w:t>
      </w:r>
      <w:r w:rsidRPr="00FD1252">
        <w:rPr>
          <w:rFonts w:ascii="Book Antiqua" w:hAnsi="Book Antiqua"/>
        </w:rPr>
        <w:t>: 509-516 [PMID: 32732615 DOI: 10.1097/TP.0000000000003393]</w:t>
      </w:r>
    </w:p>
    <w:p w14:paraId="12F3FBA1"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91 </w:t>
      </w:r>
      <w:r w:rsidRPr="00FD1252">
        <w:rPr>
          <w:rFonts w:ascii="Book Antiqua" w:hAnsi="Book Antiqua"/>
          <w:b/>
          <w:bCs/>
        </w:rPr>
        <w:t>Mengel M</w:t>
      </w:r>
      <w:r w:rsidRPr="00FD1252">
        <w:rPr>
          <w:rFonts w:ascii="Book Antiqua" w:hAnsi="Book Antiqua"/>
        </w:rPr>
        <w:t xml:space="preserve">, Loupy A, Haas M, Roufosse C, Naesens M, Akalin E, Clahsen-van Groningen MC, Dagobert J, Demetris AJ, Duong van Huyen JP, Gueguen J, Issa F, Robin B, Rosales I, Von der Thüsen JH, Sanchez-Fueyo A, Smith RN, Wood K, Adam B, Colvin RB. Banff 2019 Meeting Report: Molecular diagnostics in solid organ transplantation-Consensus for the Banff Human Organ Transplant (B-HOT) gene panel and open source multicenter validation. </w:t>
      </w:r>
      <w:r w:rsidRPr="00FD1252">
        <w:rPr>
          <w:rFonts w:ascii="Book Antiqua" w:hAnsi="Book Antiqua"/>
          <w:i/>
          <w:iCs/>
        </w:rPr>
        <w:t>Am J Transplant</w:t>
      </w:r>
      <w:r w:rsidRPr="00FD1252">
        <w:rPr>
          <w:rFonts w:ascii="Book Antiqua" w:hAnsi="Book Antiqua"/>
        </w:rPr>
        <w:t xml:space="preserve"> 2020; </w:t>
      </w:r>
      <w:r w:rsidRPr="00FD1252">
        <w:rPr>
          <w:rFonts w:ascii="Book Antiqua" w:hAnsi="Book Antiqua"/>
          <w:b/>
          <w:bCs/>
        </w:rPr>
        <w:t>20</w:t>
      </w:r>
      <w:r w:rsidRPr="00FD1252">
        <w:rPr>
          <w:rFonts w:ascii="Book Antiqua" w:hAnsi="Book Antiqua"/>
        </w:rPr>
        <w:t>: 2305-2317 [PMID: 32428337 DOI: 10.1111/ajt.16059]</w:t>
      </w:r>
    </w:p>
    <w:p w14:paraId="350912DA"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92 </w:t>
      </w:r>
      <w:r w:rsidRPr="00FD1252">
        <w:rPr>
          <w:rFonts w:ascii="Book Antiqua" w:hAnsi="Book Antiqua"/>
          <w:b/>
          <w:bCs/>
        </w:rPr>
        <w:t>Halloran PF</w:t>
      </w:r>
      <w:r w:rsidRPr="00FD1252">
        <w:rPr>
          <w:rFonts w:ascii="Book Antiqua" w:hAnsi="Book Antiqua"/>
        </w:rPr>
        <w:t xml:space="preserve">, Venner JM, Madill-Thomsen KS, Einecke G, Parkes MD, Hidalgo LG, Famulski KS. Review: The transcripts associated with organ allograft rejection. </w:t>
      </w:r>
      <w:r w:rsidRPr="00FD1252">
        <w:rPr>
          <w:rFonts w:ascii="Book Antiqua" w:hAnsi="Book Antiqua"/>
          <w:i/>
          <w:iCs/>
        </w:rPr>
        <w:t>Am J Transplant</w:t>
      </w:r>
      <w:r w:rsidRPr="00FD1252">
        <w:rPr>
          <w:rFonts w:ascii="Book Antiqua" w:hAnsi="Book Antiqua"/>
        </w:rPr>
        <w:t xml:space="preserve"> 2018; </w:t>
      </w:r>
      <w:r w:rsidRPr="00FD1252">
        <w:rPr>
          <w:rFonts w:ascii="Book Antiqua" w:hAnsi="Book Antiqua"/>
          <w:b/>
          <w:bCs/>
        </w:rPr>
        <w:t>18</w:t>
      </w:r>
      <w:r w:rsidRPr="00FD1252">
        <w:rPr>
          <w:rFonts w:ascii="Book Antiqua" w:hAnsi="Book Antiqua"/>
        </w:rPr>
        <w:t>: 785-795 [PMID: 29178397 DOI: 10.1111/ajt.14600]</w:t>
      </w:r>
    </w:p>
    <w:p w14:paraId="3824F3FC"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93 </w:t>
      </w:r>
      <w:r w:rsidRPr="00FD1252">
        <w:rPr>
          <w:rFonts w:ascii="Book Antiqua" w:hAnsi="Book Antiqua"/>
          <w:b/>
          <w:bCs/>
        </w:rPr>
        <w:t>Sarwal M</w:t>
      </w:r>
      <w:r w:rsidRPr="00FD1252">
        <w:rPr>
          <w:rFonts w:ascii="Book Antiqua" w:hAnsi="Book Antiqua"/>
        </w:rPr>
        <w:t xml:space="preserve">, Chua MS, Kambham N, Hsieh SC, Satterwhite T, Masek M, Salvatierra O Jr. Molecular heterogeneity in acute renal allograft rejection identified by DNA microarray profiling. </w:t>
      </w:r>
      <w:r w:rsidRPr="00FD1252">
        <w:rPr>
          <w:rFonts w:ascii="Book Antiqua" w:hAnsi="Book Antiqua"/>
          <w:i/>
          <w:iCs/>
        </w:rPr>
        <w:t>N Engl J Med</w:t>
      </w:r>
      <w:r w:rsidRPr="00FD1252">
        <w:rPr>
          <w:rFonts w:ascii="Book Antiqua" w:hAnsi="Book Antiqua"/>
        </w:rPr>
        <w:t xml:space="preserve"> 2003; </w:t>
      </w:r>
      <w:r w:rsidRPr="00FD1252">
        <w:rPr>
          <w:rFonts w:ascii="Book Antiqua" w:hAnsi="Book Antiqua"/>
          <w:b/>
          <w:bCs/>
        </w:rPr>
        <w:t>349</w:t>
      </w:r>
      <w:r w:rsidRPr="00FD1252">
        <w:rPr>
          <w:rFonts w:ascii="Book Antiqua" w:hAnsi="Book Antiqua"/>
        </w:rPr>
        <w:t>: 125-138 [PMID: 12853585 DOI: 10.1056/NEJMoa035588]</w:t>
      </w:r>
    </w:p>
    <w:p w14:paraId="7CB0ECA0"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94 </w:t>
      </w:r>
      <w:r w:rsidRPr="00FD1252">
        <w:rPr>
          <w:rFonts w:ascii="Book Antiqua" w:hAnsi="Book Antiqua"/>
          <w:b/>
          <w:bCs/>
        </w:rPr>
        <w:t>Haas M</w:t>
      </w:r>
      <w:r w:rsidRPr="00FD1252">
        <w:rPr>
          <w:rFonts w:ascii="Book Antiqua" w:hAnsi="Book Antiqua"/>
        </w:rPr>
        <w:t xml:space="preserve">. Chronic allograft nephropathy or interstitial fibrosis and tubular atrophy: what is in a name? </w:t>
      </w:r>
      <w:r w:rsidRPr="00FD1252">
        <w:rPr>
          <w:rFonts w:ascii="Book Antiqua" w:hAnsi="Book Antiqua"/>
          <w:i/>
          <w:iCs/>
        </w:rPr>
        <w:t>Curr Opin Nephrol Hypertens</w:t>
      </w:r>
      <w:r w:rsidRPr="00FD1252">
        <w:rPr>
          <w:rFonts w:ascii="Book Antiqua" w:hAnsi="Book Antiqua"/>
        </w:rPr>
        <w:t xml:space="preserve"> 2014; </w:t>
      </w:r>
      <w:r w:rsidRPr="00FD1252">
        <w:rPr>
          <w:rFonts w:ascii="Book Antiqua" w:hAnsi="Book Antiqua"/>
          <w:b/>
          <w:bCs/>
        </w:rPr>
        <w:t>23</w:t>
      </w:r>
      <w:r w:rsidRPr="00FD1252">
        <w:rPr>
          <w:rFonts w:ascii="Book Antiqua" w:hAnsi="Book Antiqua"/>
        </w:rPr>
        <w:t>: 245-250 [PMID: 24626060 DOI: 10.1097/01.mnh.0000444811.26884.2d]</w:t>
      </w:r>
    </w:p>
    <w:p w14:paraId="2A72AD6A"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95 </w:t>
      </w:r>
      <w:r w:rsidRPr="00FD1252">
        <w:rPr>
          <w:rFonts w:ascii="Book Antiqua" w:hAnsi="Book Antiqua"/>
          <w:b/>
          <w:bCs/>
        </w:rPr>
        <w:t>Parfrey PS</w:t>
      </w:r>
      <w:r w:rsidRPr="00FD1252">
        <w:rPr>
          <w:rFonts w:ascii="Book Antiqua" w:hAnsi="Book Antiqua"/>
        </w:rPr>
        <w:t xml:space="preserve">, Kuo YL, Hanley JA, Knaack J, Xue Z, Lisbona R, Guttmann RD. The diagnostic and prognostic value of renal allograft biopsy. </w:t>
      </w:r>
      <w:r w:rsidRPr="00FD1252">
        <w:rPr>
          <w:rFonts w:ascii="Book Antiqua" w:hAnsi="Book Antiqua"/>
          <w:i/>
          <w:iCs/>
        </w:rPr>
        <w:t>Transplantation</w:t>
      </w:r>
      <w:r w:rsidRPr="00FD1252">
        <w:rPr>
          <w:rFonts w:ascii="Book Antiqua" w:hAnsi="Book Antiqua"/>
        </w:rPr>
        <w:t xml:space="preserve"> 1984; </w:t>
      </w:r>
      <w:r w:rsidRPr="00FD1252">
        <w:rPr>
          <w:rFonts w:ascii="Book Antiqua" w:hAnsi="Book Antiqua"/>
          <w:b/>
          <w:bCs/>
        </w:rPr>
        <w:t>38</w:t>
      </w:r>
      <w:r w:rsidRPr="00FD1252">
        <w:rPr>
          <w:rFonts w:ascii="Book Antiqua" w:hAnsi="Book Antiqua"/>
        </w:rPr>
        <w:t>: 586-590 [PMID: 6390817 DOI: 10.1097/00007890-198412000-00007]</w:t>
      </w:r>
    </w:p>
    <w:p w14:paraId="0C737595" w14:textId="77777777" w:rsidR="00F15982" w:rsidRPr="00FD1252" w:rsidRDefault="00F15982" w:rsidP="00FD1252">
      <w:pPr>
        <w:spacing w:line="360" w:lineRule="auto"/>
        <w:jc w:val="both"/>
        <w:rPr>
          <w:rFonts w:ascii="Book Antiqua" w:hAnsi="Book Antiqua"/>
        </w:rPr>
      </w:pPr>
      <w:r w:rsidRPr="00FD1252">
        <w:rPr>
          <w:rFonts w:ascii="Book Antiqua" w:hAnsi="Book Antiqua"/>
        </w:rPr>
        <w:lastRenderedPageBreak/>
        <w:t xml:space="preserve">96 </w:t>
      </w:r>
      <w:r w:rsidRPr="00FD1252">
        <w:rPr>
          <w:rFonts w:ascii="Book Antiqua" w:hAnsi="Book Antiqua"/>
          <w:b/>
          <w:bCs/>
        </w:rPr>
        <w:t>Matas AJ</w:t>
      </w:r>
      <w:r w:rsidRPr="00FD1252">
        <w:rPr>
          <w:rFonts w:ascii="Book Antiqua" w:hAnsi="Book Antiqua"/>
        </w:rPr>
        <w:t xml:space="preserve">, Tellis VA, Sablay L, Quinn T, Soberman R, Veith FJ. The value of needle renal allograft biopsy. III. A prospective study. </w:t>
      </w:r>
      <w:r w:rsidRPr="00FD1252">
        <w:rPr>
          <w:rFonts w:ascii="Book Antiqua" w:hAnsi="Book Antiqua"/>
          <w:i/>
          <w:iCs/>
        </w:rPr>
        <w:t>Surgery</w:t>
      </w:r>
      <w:r w:rsidRPr="00FD1252">
        <w:rPr>
          <w:rFonts w:ascii="Book Antiqua" w:hAnsi="Book Antiqua"/>
        </w:rPr>
        <w:t xml:space="preserve"> 1985; </w:t>
      </w:r>
      <w:r w:rsidRPr="00FD1252">
        <w:rPr>
          <w:rFonts w:ascii="Book Antiqua" w:hAnsi="Book Antiqua"/>
          <w:b/>
          <w:bCs/>
        </w:rPr>
        <w:t>98</w:t>
      </w:r>
      <w:r w:rsidRPr="00FD1252">
        <w:rPr>
          <w:rFonts w:ascii="Book Antiqua" w:hAnsi="Book Antiqua"/>
        </w:rPr>
        <w:t>: 922-926 [PMID: 3904051]</w:t>
      </w:r>
    </w:p>
    <w:p w14:paraId="44727FD7"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97 </w:t>
      </w:r>
      <w:r w:rsidRPr="00FD1252">
        <w:rPr>
          <w:rFonts w:ascii="Book Antiqua" w:hAnsi="Book Antiqua"/>
          <w:b/>
          <w:bCs/>
        </w:rPr>
        <w:t>Waltzer WC</w:t>
      </w:r>
      <w:r w:rsidRPr="00FD1252">
        <w:rPr>
          <w:rFonts w:ascii="Book Antiqua" w:hAnsi="Book Antiqua"/>
        </w:rPr>
        <w:t xml:space="preserve">, Miller F, Arnold A, Jao S, Anaise D, Rapaport FT. Value of percutaneous core needle biopsy in the differential diagnosis of renal transplant dysfunction. </w:t>
      </w:r>
      <w:r w:rsidRPr="00FD1252">
        <w:rPr>
          <w:rFonts w:ascii="Book Antiqua" w:hAnsi="Book Antiqua"/>
          <w:i/>
          <w:iCs/>
        </w:rPr>
        <w:t>J Urol</w:t>
      </w:r>
      <w:r w:rsidRPr="00FD1252">
        <w:rPr>
          <w:rFonts w:ascii="Book Antiqua" w:hAnsi="Book Antiqua"/>
        </w:rPr>
        <w:t xml:space="preserve"> 1987; </w:t>
      </w:r>
      <w:r w:rsidRPr="00FD1252">
        <w:rPr>
          <w:rFonts w:ascii="Book Antiqua" w:hAnsi="Book Antiqua"/>
          <w:b/>
          <w:bCs/>
        </w:rPr>
        <w:t>137</w:t>
      </w:r>
      <w:r w:rsidRPr="00FD1252">
        <w:rPr>
          <w:rFonts w:ascii="Book Antiqua" w:hAnsi="Book Antiqua"/>
        </w:rPr>
        <w:t>: 1117-1121 [PMID: 3035235 DOI: 10.1016/s0022-5347(17)44421-1]</w:t>
      </w:r>
    </w:p>
    <w:p w14:paraId="779F231C"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98 </w:t>
      </w:r>
      <w:r w:rsidRPr="00FD1252">
        <w:rPr>
          <w:rFonts w:ascii="Book Antiqua" w:hAnsi="Book Antiqua"/>
          <w:b/>
          <w:bCs/>
        </w:rPr>
        <w:t>Kiss D</w:t>
      </w:r>
      <w:r w:rsidRPr="00FD1252">
        <w:rPr>
          <w:rFonts w:ascii="Book Antiqua" w:hAnsi="Book Antiqua"/>
        </w:rPr>
        <w:t xml:space="preserve">, Landmann J, Mihatsch M, Huser B, Brunner FP, Thiel G. Risks and benefits of graft biopsy in renal transplantation under cyclosporin-A. </w:t>
      </w:r>
      <w:r w:rsidRPr="00FD1252">
        <w:rPr>
          <w:rFonts w:ascii="Book Antiqua" w:hAnsi="Book Antiqua"/>
          <w:i/>
          <w:iCs/>
        </w:rPr>
        <w:t>Clin Nephrol</w:t>
      </w:r>
      <w:r w:rsidRPr="00FD1252">
        <w:rPr>
          <w:rFonts w:ascii="Book Antiqua" w:hAnsi="Book Antiqua"/>
        </w:rPr>
        <w:t xml:space="preserve"> 1992; </w:t>
      </w:r>
      <w:r w:rsidRPr="00FD1252">
        <w:rPr>
          <w:rFonts w:ascii="Book Antiqua" w:hAnsi="Book Antiqua"/>
          <w:b/>
          <w:bCs/>
        </w:rPr>
        <w:t>38</w:t>
      </w:r>
      <w:r w:rsidRPr="00FD1252">
        <w:rPr>
          <w:rFonts w:ascii="Book Antiqua" w:hAnsi="Book Antiqua"/>
        </w:rPr>
        <w:t>: 132-134 [PMID: 1395164]</w:t>
      </w:r>
    </w:p>
    <w:p w14:paraId="2F12D85E"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99 </w:t>
      </w:r>
      <w:r w:rsidRPr="00FD1252">
        <w:rPr>
          <w:rFonts w:ascii="Book Antiqua" w:hAnsi="Book Antiqua"/>
          <w:b/>
          <w:bCs/>
        </w:rPr>
        <w:t>Manfro RC</w:t>
      </w:r>
      <w:r w:rsidRPr="00FD1252">
        <w:rPr>
          <w:rFonts w:ascii="Book Antiqua" w:hAnsi="Book Antiqua"/>
        </w:rPr>
        <w:t xml:space="preserve">, Lee JY, Lewgoy J, Edelweiss MI, Gonçalves LF, Prompt CA. [The role of percutaneous renal biopsy in kidney transplant]. </w:t>
      </w:r>
      <w:r w:rsidRPr="00FD1252">
        <w:rPr>
          <w:rFonts w:ascii="Book Antiqua" w:hAnsi="Book Antiqua"/>
          <w:i/>
          <w:iCs/>
        </w:rPr>
        <w:t>Rev Assoc Med Bras (1992)</w:t>
      </w:r>
      <w:r w:rsidRPr="00FD1252">
        <w:rPr>
          <w:rFonts w:ascii="Book Antiqua" w:hAnsi="Book Antiqua"/>
        </w:rPr>
        <w:t xml:space="preserve"> 1994; </w:t>
      </w:r>
      <w:r w:rsidRPr="00FD1252">
        <w:rPr>
          <w:rFonts w:ascii="Book Antiqua" w:hAnsi="Book Antiqua"/>
          <w:b/>
          <w:bCs/>
        </w:rPr>
        <w:t>40</w:t>
      </w:r>
      <w:r w:rsidRPr="00FD1252">
        <w:rPr>
          <w:rFonts w:ascii="Book Antiqua" w:hAnsi="Book Antiqua"/>
        </w:rPr>
        <w:t>: 108-112 [PMID: 7820146]</w:t>
      </w:r>
    </w:p>
    <w:p w14:paraId="010356E8"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100 </w:t>
      </w:r>
      <w:r w:rsidRPr="00FD1252">
        <w:rPr>
          <w:rFonts w:ascii="Book Antiqua" w:hAnsi="Book Antiqua"/>
          <w:b/>
          <w:bCs/>
        </w:rPr>
        <w:t>Kon SP</w:t>
      </w:r>
      <w:r w:rsidRPr="00FD1252">
        <w:rPr>
          <w:rFonts w:ascii="Book Antiqua" w:hAnsi="Book Antiqua"/>
        </w:rPr>
        <w:t xml:space="preserve">, Templar J, Dodd SM, Rudge CJ, Raftery MJ. Diagnostic contribution of renal allograft biopsies at various intervals after transplantation. </w:t>
      </w:r>
      <w:r w:rsidRPr="00FD1252">
        <w:rPr>
          <w:rFonts w:ascii="Book Antiqua" w:hAnsi="Book Antiqua"/>
          <w:i/>
          <w:iCs/>
        </w:rPr>
        <w:t>Transplantation</w:t>
      </w:r>
      <w:r w:rsidRPr="00FD1252">
        <w:rPr>
          <w:rFonts w:ascii="Book Antiqua" w:hAnsi="Book Antiqua"/>
        </w:rPr>
        <w:t xml:space="preserve"> 1997; </w:t>
      </w:r>
      <w:r w:rsidRPr="00FD1252">
        <w:rPr>
          <w:rFonts w:ascii="Book Antiqua" w:hAnsi="Book Antiqua"/>
          <w:b/>
          <w:bCs/>
        </w:rPr>
        <w:t>63</w:t>
      </w:r>
      <w:r w:rsidRPr="00FD1252">
        <w:rPr>
          <w:rFonts w:ascii="Book Antiqua" w:hAnsi="Book Antiqua"/>
        </w:rPr>
        <w:t>: 547-550 [PMID: 9047149 DOI: 10.1097/00007890-199702270-00011]</w:t>
      </w:r>
    </w:p>
    <w:p w14:paraId="7829C411"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101 </w:t>
      </w:r>
      <w:r w:rsidRPr="00FD1252">
        <w:rPr>
          <w:rFonts w:ascii="Book Antiqua" w:hAnsi="Book Antiqua"/>
          <w:b/>
          <w:bCs/>
        </w:rPr>
        <w:t>Al-Awwa IA</w:t>
      </w:r>
      <w:r w:rsidRPr="00FD1252">
        <w:rPr>
          <w:rFonts w:ascii="Book Antiqua" w:hAnsi="Book Antiqua"/>
        </w:rPr>
        <w:t xml:space="preserve">, Hariharan S, First MR. Importance of allograft biopsy in renal transplant recipients: correlation between clinical and histological diagnosis. </w:t>
      </w:r>
      <w:r w:rsidRPr="00FD1252">
        <w:rPr>
          <w:rFonts w:ascii="Book Antiqua" w:hAnsi="Book Antiqua"/>
          <w:i/>
          <w:iCs/>
        </w:rPr>
        <w:t>Am J Kidney Dis</w:t>
      </w:r>
      <w:r w:rsidRPr="00FD1252">
        <w:rPr>
          <w:rFonts w:ascii="Book Antiqua" w:hAnsi="Book Antiqua"/>
        </w:rPr>
        <w:t xml:space="preserve"> 1998; </w:t>
      </w:r>
      <w:r w:rsidRPr="00FD1252">
        <w:rPr>
          <w:rFonts w:ascii="Book Antiqua" w:hAnsi="Book Antiqua"/>
          <w:b/>
          <w:bCs/>
        </w:rPr>
        <w:t>31</w:t>
      </w:r>
      <w:r w:rsidRPr="00FD1252">
        <w:rPr>
          <w:rFonts w:ascii="Book Antiqua" w:hAnsi="Book Antiqua"/>
        </w:rPr>
        <w:t>: S15-S18 [PMID: 9631859 DOI: 10.1053/ajkd.1998.v31.pm9631859]</w:t>
      </w:r>
    </w:p>
    <w:p w14:paraId="7553AC72"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102 </w:t>
      </w:r>
      <w:r w:rsidRPr="00FD1252">
        <w:rPr>
          <w:rFonts w:ascii="Book Antiqua" w:hAnsi="Book Antiqua"/>
          <w:b/>
          <w:bCs/>
        </w:rPr>
        <w:t>Pascual M</w:t>
      </w:r>
      <w:r w:rsidRPr="00FD1252">
        <w:rPr>
          <w:rFonts w:ascii="Book Antiqua" w:hAnsi="Book Antiqua"/>
        </w:rPr>
        <w:t xml:space="preserve">, Vallhonrat H, Cosimi AB, Tolkoff-Rubin N, Colvin RB, Delmonico FL, Ko DS, Schoenfeld DA, Williams WW Jr. The clinical usefulness of the renal allograft biopsy in the cyclosporine era: a prospective study. </w:t>
      </w:r>
      <w:r w:rsidRPr="00FD1252">
        <w:rPr>
          <w:rFonts w:ascii="Book Antiqua" w:hAnsi="Book Antiqua"/>
          <w:i/>
          <w:iCs/>
        </w:rPr>
        <w:t>Transplantation</w:t>
      </w:r>
      <w:r w:rsidRPr="00FD1252">
        <w:rPr>
          <w:rFonts w:ascii="Book Antiqua" w:hAnsi="Book Antiqua"/>
        </w:rPr>
        <w:t xml:space="preserve"> 1999; </w:t>
      </w:r>
      <w:r w:rsidRPr="00FD1252">
        <w:rPr>
          <w:rFonts w:ascii="Book Antiqua" w:hAnsi="Book Antiqua"/>
          <w:b/>
          <w:bCs/>
        </w:rPr>
        <w:t>67</w:t>
      </w:r>
      <w:r w:rsidRPr="00FD1252">
        <w:rPr>
          <w:rFonts w:ascii="Book Antiqua" w:hAnsi="Book Antiqua"/>
        </w:rPr>
        <w:t>: 737-741 [PMID: 10096531 DOI: 10.1097/00007890-199903150-00016]</w:t>
      </w:r>
    </w:p>
    <w:p w14:paraId="260B88ED"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103 </w:t>
      </w:r>
      <w:r w:rsidRPr="00FD1252">
        <w:rPr>
          <w:rFonts w:ascii="Book Antiqua" w:hAnsi="Book Antiqua"/>
          <w:b/>
          <w:bCs/>
        </w:rPr>
        <w:t>Solez K</w:t>
      </w:r>
      <w:r w:rsidRPr="00FD1252">
        <w:rPr>
          <w:rFonts w:ascii="Book Antiqua" w:hAnsi="Book Antiqua"/>
        </w:rPr>
        <w:t xml:space="preserve">, Hansen HE, Kornerup HJ, Madsen S, Sørensen AW, Pedersen EB, Marcussen N, Benediktsson H, Racusen LC, Olsen S. Clinical validation and reproducibility of the Banff schema for renal allograft pathology. </w:t>
      </w:r>
      <w:r w:rsidRPr="00FD1252">
        <w:rPr>
          <w:rFonts w:ascii="Book Antiqua" w:hAnsi="Book Antiqua"/>
          <w:i/>
          <w:iCs/>
        </w:rPr>
        <w:t>Transplant Proc</w:t>
      </w:r>
      <w:r w:rsidRPr="00FD1252">
        <w:rPr>
          <w:rFonts w:ascii="Book Antiqua" w:hAnsi="Book Antiqua"/>
        </w:rPr>
        <w:t xml:space="preserve"> 1995; </w:t>
      </w:r>
      <w:r w:rsidRPr="00FD1252">
        <w:rPr>
          <w:rFonts w:ascii="Book Antiqua" w:hAnsi="Book Antiqua"/>
          <w:b/>
          <w:bCs/>
        </w:rPr>
        <w:t>27</w:t>
      </w:r>
      <w:r w:rsidRPr="00FD1252">
        <w:rPr>
          <w:rFonts w:ascii="Book Antiqua" w:hAnsi="Book Antiqua"/>
        </w:rPr>
        <w:t>: 1009-1011 [PMID: 7878779]</w:t>
      </w:r>
    </w:p>
    <w:p w14:paraId="2390BB26"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104 </w:t>
      </w:r>
      <w:r w:rsidRPr="00FD1252">
        <w:rPr>
          <w:rFonts w:ascii="Book Antiqua" w:hAnsi="Book Antiqua"/>
          <w:b/>
          <w:bCs/>
        </w:rPr>
        <w:t>Furness PN</w:t>
      </w:r>
      <w:r w:rsidRPr="00FD1252">
        <w:rPr>
          <w:rFonts w:ascii="Book Antiqua" w:hAnsi="Book Antiqua"/>
        </w:rPr>
        <w:t xml:space="preserve">, Taub N, Assmann KJ, Banfi G, Cosyns JP, Dorman AM, Hill CM, Kapper SK, Waldherr R, Laurinavicius A, Marcussen N, Martins AP, Nogueira M, Regele H, Seron D, Carrera M, Sund S, Taskinen EI, Paavonen T, Tihomirova T, Rosenthal R. International variation in histologic grading is large, and persistent feedback does not </w:t>
      </w:r>
      <w:r w:rsidRPr="00FD1252">
        <w:rPr>
          <w:rFonts w:ascii="Book Antiqua" w:hAnsi="Book Antiqua"/>
        </w:rPr>
        <w:lastRenderedPageBreak/>
        <w:t xml:space="preserve">improve reproducibility. </w:t>
      </w:r>
      <w:r w:rsidRPr="00FD1252">
        <w:rPr>
          <w:rFonts w:ascii="Book Antiqua" w:hAnsi="Book Antiqua"/>
          <w:i/>
          <w:iCs/>
        </w:rPr>
        <w:t>Am J Surg Pathol</w:t>
      </w:r>
      <w:r w:rsidRPr="00FD1252">
        <w:rPr>
          <w:rFonts w:ascii="Book Antiqua" w:hAnsi="Book Antiqua"/>
        </w:rPr>
        <w:t xml:space="preserve"> 2003; </w:t>
      </w:r>
      <w:r w:rsidRPr="00FD1252">
        <w:rPr>
          <w:rFonts w:ascii="Book Antiqua" w:hAnsi="Book Antiqua"/>
          <w:b/>
          <w:bCs/>
        </w:rPr>
        <w:t>27</w:t>
      </w:r>
      <w:r w:rsidRPr="00FD1252">
        <w:rPr>
          <w:rFonts w:ascii="Book Antiqua" w:hAnsi="Book Antiqua"/>
        </w:rPr>
        <w:t>: 805-810 [PMID: 12766585 DOI: 10.1097/00000478-200306000-00012]</w:t>
      </w:r>
    </w:p>
    <w:p w14:paraId="02686C7D"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105 </w:t>
      </w:r>
      <w:r w:rsidRPr="00FD1252">
        <w:rPr>
          <w:rFonts w:ascii="Book Antiqua" w:hAnsi="Book Antiqua"/>
          <w:b/>
          <w:bCs/>
        </w:rPr>
        <w:t>Sar A</w:t>
      </w:r>
      <w:r w:rsidRPr="00FD1252">
        <w:rPr>
          <w:rFonts w:ascii="Book Antiqua" w:hAnsi="Book Antiqua"/>
        </w:rPr>
        <w:t xml:space="preserve">, Worawichawong S, Benediktsson H, Zhang J, Yilmaz S, Trpkov K. Interobserver agreement for Polyomavirus nephropathy grading in renal allografts using the working proposal from the 10th Banff Conference on Allograft Pathology. </w:t>
      </w:r>
      <w:r w:rsidRPr="00FD1252">
        <w:rPr>
          <w:rFonts w:ascii="Book Antiqua" w:hAnsi="Book Antiqua"/>
          <w:i/>
          <w:iCs/>
        </w:rPr>
        <w:t>Hum Pathol</w:t>
      </w:r>
      <w:r w:rsidRPr="00FD1252">
        <w:rPr>
          <w:rFonts w:ascii="Book Antiqua" w:hAnsi="Book Antiqua"/>
        </w:rPr>
        <w:t xml:space="preserve"> 2011; </w:t>
      </w:r>
      <w:r w:rsidRPr="00FD1252">
        <w:rPr>
          <w:rFonts w:ascii="Book Antiqua" w:hAnsi="Book Antiqua"/>
          <w:b/>
          <w:bCs/>
        </w:rPr>
        <w:t>42</w:t>
      </w:r>
      <w:r w:rsidRPr="00FD1252">
        <w:rPr>
          <w:rFonts w:ascii="Book Antiqua" w:hAnsi="Book Antiqua"/>
        </w:rPr>
        <w:t>: 2018-2024 [PMID: 21733554 DOI: 10.1016/j.humpath.2011.03.008]</w:t>
      </w:r>
    </w:p>
    <w:p w14:paraId="7B16960D"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106 </w:t>
      </w:r>
      <w:r w:rsidRPr="00FD1252">
        <w:rPr>
          <w:rFonts w:ascii="Book Antiqua" w:hAnsi="Book Antiqua"/>
          <w:b/>
          <w:bCs/>
        </w:rPr>
        <w:t>Marcussen N</w:t>
      </w:r>
      <w:r w:rsidRPr="00FD1252">
        <w:rPr>
          <w:rFonts w:ascii="Book Antiqua" w:hAnsi="Book Antiqua"/>
        </w:rPr>
        <w:t xml:space="preserve">, Olsen TS, Benediktsson H, Racusen L, Solez K. Reproducibility of the Banff classification of renal allograft pathology. Inter- and intraobserver variation. </w:t>
      </w:r>
      <w:r w:rsidRPr="00FD1252">
        <w:rPr>
          <w:rFonts w:ascii="Book Antiqua" w:hAnsi="Book Antiqua"/>
          <w:i/>
          <w:iCs/>
        </w:rPr>
        <w:t>Transplantation</w:t>
      </w:r>
      <w:r w:rsidRPr="00FD1252">
        <w:rPr>
          <w:rFonts w:ascii="Book Antiqua" w:hAnsi="Book Antiqua"/>
        </w:rPr>
        <w:t xml:space="preserve"> 1995; </w:t>
      </w:r>
      <w:r w:rsidRPr="00FD1252">
        <w:rPr>
          <w:rFonts w:ascii="Book Antiqua" w:hAnsi="Book Antiqua"/>
          <w:b/>
          <w:bCs/>
        </w:rPr>
        <w:t>60</w:t>
      </w:r>
      <w:r w:rsidRPr="00FD1252">
        <w:rPr>
          <w:rFonts w:ascii="Book Antiqua" w:hAnsi="Book Antiqua"/>
        </w:rPr>
        <w:t>: 1083-1089 [PMID: 7482712 DOI: 10.1097/00007890-199511270-00004]</w:t>
      </w:r>
    </w:p>
    <w:p w14:paraId="2C877C18"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107 </w:t>
      </w:r>
      <w:r w:rsidRPr="00FD1252">
        <w:rPr>
          <w:rFonts w:ascii="Book Antiqua" w:hAnsi="Book Antiqua"/>
          <w:b/>
          <w:bCs/>
        </w:rPr>
        <w:t>Joh K</w:t>
      </w:r>
      <w:r w:rsidRPr="00FD1252">
        <w:rPr>
          <w:rFonts w:ascii="Book Antiqua" w:hAnsi="Book Antiqua"/>
        </w:rPr>
        <w:t xml:space="preserve">, Morozumi K, Kitamura H. Symposium: evaluating the reproducibility of pathological diagnosis using the 1997 Banff classification update. </w:t>
      </w:r>
      <w:r w:rsidRPr="00FD1252">
        <w:rPr>
          <w:rFonts w:ascii="Book Antiqua" w:hAnsi="Book Antiqua"/>
          <w:i/>
          <w:iCs/>
        </w:rPr>
        <w:t>Clin Transplant</w:t>
      </w:r>
      <w:r w:rsidRPr="00FD1252">
        <w:rPr>
          <w:rFonts w:ascii="Book Antiqua" w:hAnsi="Book Antiqua"/>
        </w:rPr>
        <w:t xml:space="preserve"> 2006; </w:t>
      </w:r>
      <w:r w:rsidRPr="00FD1252">
        <w:rPr>
          <w:rFonts w:ascii="Book Antiqua" w:hAnsi="Book Antiqua"/>
          <w:b/>
          <w:bCs/>
        </w:rPr>
        <w:t xml:space="preserve">20 </w:t>
      </w:r>
      <w:r w:rsidRPr="00FD1252">
        <w:rPr>
          <w:rFonts w:ascii="Book Antiqua" w:hAnsi="Book Antiqua"/>
        </w:rPr>
        <w:t>Suppl 15: 53-60 [PMID: 16848877 DOI: 10.1111/j.1399-0012.2006.00551.x]</w:t>
      </w:r>
    </w:p>
    <w:p w14:paraId="64B06993"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108 </w:t>
      </w:r>
      <w:r w:rsidRPr="00FD1252">
        <w:rPr>
          <w:rFonts w:ascii="Book Antiqua" w:hAnsi="Book Antiqua"/>
          <w:b/>
          <w:bCs/>
        </w:rPr>
        <w:t>Huang SC</w:t>
      </w:r>
      <w:r w:rsidRPr="00FD1252">
        <w:rPr>
          <w:rFonts w:ascii="Book Antiqua" w:hAnsi="Book Antiqua"/>
        </w:rPr>
        <w:t xml:space="preserve">, Lin YJ, Wen MC, Lin WC, Fang PW, Liang PI, Chuang HW, Chien HP, Chen TD. Unsatisfactory reproducibility of interstitial inflammation scoring in allograft kidney biopsy. </w:t>
      </w:r>
      <w:r w:rsidRPr="00FD1252">
        <w:rPr>
          <w:rFonts w:ascii="Book Antiqua" w:hAnsi="Book Antiqua"/>
          <w:i/>
          <w:iCs/>
        </w:rPr>
        <w:t>Sci Rep</w:t>
      </w:r>
      <w:r w:rsidRPr="00FD1252">
        <w:rPr>
          <w:rFonts w:ascii="Book Antiqua" w:hAnsi="Book Antiqua"/>
        </w:rPr>
        <w:t xml:space="preserve"> 2023; </w:t>
      </w:r>
      <w:r w:rsidRPr="00FD1252">
        <w:rPr>
          <w:rFonts w:ascii="Book Antiqua" w:hAnsi="Book Antiqua"/>
          <w:b/>
          <w:bCs/>
        </w:rPr>
        <w:t>13</w:t>
      </w:r>
      <w:r w:rsidRPr="00FD1252">
        <w:rPr>
          <w:rFonts w:ascii="Book Antiqua" w:hAnsi="Book Antiqua"/>
        </w:rPr>
        <w:t>: 7095 [PMID: 37127772 DOI: 10.1038/s41598-023-33908-3]</w:t>
      </w:r>
    </w:p>
    <w:p w14:paraId="5ECF29D5"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109 </w:t>
      </w:r>
      <w:r w:rsidRPr="00FD1252">
        <w:rPr>
          <w:rFonts w:ascii="Book Antiqua" w:hAnsi="Book Antiqua"/>
          <w:b/>
          <w:bCs/>
        </w:rPr>
        <w:t>Mengel M</w:t>
      </w:r>
      <w:r w:rsidRPr="00FD1252">
        <w:rPr>
          <w:rFonts w:ascii="Book Antiqua" w:hAnsi="Book Antiqua"/>
        </w:rPr>
        <w:t xml:space="preserve">, Sis B, Halloran PF. SWOT analysis of Banff: strengths, weaknesses, opportunities and threats of the international Banff consensus process and classification system for renal allograft pathology. </w:t>
      </w:r>
      <w:r w:rsidRPr="00FD1252">
        <w:rPr>
          <w:rFonts w:ascii="Book Antiqua" w:hAnsi="Book Antiqua"/>
          <w:i/>
          <w:iCs/>
        </w:rPr>
        <w:t>Am J Transplant</w:t>
      </w:r>
      <w:r w:rsidRPr="00FD1252">
        <w:rPr>
          <w:rFonts w:ascii="Book Antiqua" w:hAnsi="Book Antiqua"/>
        </w:rPr>
        <w:t xml:space="preserve"> 2007; </w:t>
      </w:r>
      <w:r w:rsidRPr="00FD1252">
        <w:rPr>
          <w:rFonts w:ascii="Book Antiqua" w:hAnsi="Book Antiqua"/>
          <w:b/>
          <w:bCs/>
        </w:rPr>
        <w:t>7</w:t>
      </w:r>
      <w:r w:rsidRPr="00FD1252">
        <w:rPr>
          <w:rFonts w:ascii="Book Antiqua" w:hAnsi="Book Antiqua"/>
        </w:rPr>
        <w:t>: 2221-2226 [PMID: 17848174 DOI: 10.1111/j.1600-6143.2007.01924.x]</w:t>
      </w:r>
    </w:p>
    <w:p w14:paraId="4C84ACC4"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110 </w:t>
      </w:r>
      <w:r w:rsidRPr="00FD1252">
        <w:rPr>
          <w:rFonts w:ascii="Book Antiqua" w:hAnsi="Book Antiqua"/>
          <w:b/>
          <w:bCs/>
        </w:rPr>
        <w:t>Furness PN</w:t>
      </w:r>
      <w:r w:rsidRPr="00FD1252">
        <w:rPr>
          <w:rFonts w:ascii="Book Antiqua" w:hAnsi="Book Antiqua"/>
        </w:rPr>
        <w:t xml:space="preserve">, Taub N; Convergence of European Renal Transplant Pathology Assessment Procedures (CERTPAP) Project. International variation in the interpretation of renal transplant biopsies: report of the CERTPAP Project. </w:t>
      </w:r>
      <w:r w:rsidRPr="00FD1252">
        <w:rPr>
          <w:rFonts w:ascii="Book Antiqua" w:hAnsi="Book Antiqua"/>
          <w:i/>
          <w:iCs/>
        </w:rPr>
        <w:t>Kidney Int</w:t>
      </w:r>
      <w:r w:rsidRPr="00FD1252">
        <w:rPr>
          <w:rFonts w:ascii="Book Antiqua" w:hAnsi="Book Antiqua"/>
        </w:rPr>
        <w:t xml:space="preserve"> 2001; </w:t>
      </w:r>
      <w:r w:rsidRPr="00FD1252">
        <w:rPr>
          <w:rFonts w:ascii="Book Antiqua" w:hAnsi="Book Antiqua"/>
          <w:b/>
          <w:bCs/>
        </w:rPr>
        <w:t>60</w:t>
      </w:r>
      <w:r w:rsidRPr="00FD1252">
        <w:rPr>
          <w:rFonts w:ascii="Book Antiqua" w:hAnsi="Book Antiqua"/>
        </w:rPr>
        <w:t>: 1998-2012 [PMID: 11703620 DOI: 10.1046/j.1523-1755.2001.00030.x]</w:t>
      </w:r>
    </w:p>
    <w:p w14:paraId="18E4B39F"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111 </w:t>
      </w:r>
      <w:r w:rsidRPr="00FD1252">
        <w:rPr>
          <w:rFonts w:ascii="Book Antiqua" w:hAnsi="Book Antiqua"/>
          <w:b/>
          <w:bCs/>
        </w:rPr>
        <w:t>Gough J</w:t>
      </w:r>
      <w:r w:rsidRPr="00FD1252">
        <w:rPr>
          <w:rFonts w:ascii="Book Antiqua" w:hAnsi="Book Antiqua"/>
        </w:rPr>
        <w:t xml:space="preserve">, Rush D, Jeffery J, Nickerson P, McKenna R, Solez K, Trpkov K. Reproducibility of the Banff schema in reporting protocol biopsies of stable renal allografts. </w:t>
      </w:r>
      <w:r w:rsidRPr="00FD1252">
        <w:rPr>
          <w:rFonts w:ascii="Book Antiqua" w:hAnsi="Book Antiqua"/>
          <w:i/>
          <w:iCs/>
        </w:rPr>
        <w:t>Nephrol Dial Transplant</w:t>
      </w:r>
      <w:r w:rsidRPr="00FD1252">
        <w:rPr>
          <w:rFonts w:ascii="Book Antiqua" w:hAnsi="Book Antiqua"/>
        </w:rPr>
        <w:t xml:space="preserve"> 2002; </w:t>
      </w:r>
      <w:r w:rsidRPr="00FD1252">
        <w:rPr>
          <w:rFonts w:ascii="Book Antiqua" w:hAnsi="Book Antiqua"/>
          <w:b/>
          <w:bCs/>
        </w:rPr>
        <w:t>17</w:t>
      </w:r>
      <w:r w:rsidRPr="00FD1252">
        <w:rPr>
          <w:rFonts w:ascii="Book Antiqua" w:hAnsi="Book Antiqua"/>
        </w:rPr>
        <w:t>: 1081-1084 [PMID: 12032200 DOI: 10.1093/ndt/17.6.1081]</w:t>
      </w:r>
    </w:p>
    <w:p w14:paraId="18CB9B21"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112 </w:t>
      </w:r>
      <w:r w:rsidRPr="00FD1252">
        <w:rPr>
          <w:rFonts w:ascii="Book Antiqua" w:hAnsi="Book Antiqua"/>
          <w:b/>
          <w:bCs/>
        </w:rPr>
        <w:t>Veronese FV</w:t>
      </w:r>
      <w:r w:rsidRPr="00FD1252">
        <w:rPr>
          <w:rFonts w:ascii="Book Antiqua" w:hAnsi="Book Antiqua"/>
        </w:rPr>
        <w:t xml:space="preserve">, Manfro RC, Roman FR, Edelweiss MI, Rush DN, Dancea S, Goldberg J, Gonçalves LF. Reproducibility of the Banff classification in subclinical kidney </w:t>
      </w:r>
      <w:r w:rsidRPr="00FD1252">
        <w:rPr>
          <w:rFonts w:ascii="Book Antiqua" w:hAnsi="Book Antiqua"/>
        </w:rPr>
        <w:lastRenderedPageBreak/>
        <w:t xml:space="preserve">transplant rejection. </w:t>
      </w:r>
      <w:r w:rsidRPr="00FD1252">
        <w:rPr>
          <w:rFonts w:ascii="Book Antiqua" w:hAnsi="Book Antiqua"/>
          <w:i/>
          <w:iCs/>
        </w:rPr>
        <w:t>Clin Transplant</w:t>
      </w:r>
      <w:r w:rsidRPr="00FD1252">
        <w:rPr>
          <w:rFonts w:ascii="Book Antiqua" w:hAnsi="Book Antiqua"/>
        </w:rPr>
        <w:t xml:space="preserve"> 2005; </w:t>
      </w:r>
      <w:r w:rsidRPr="00FD1252">
        <w:rPr>
          <w:rFonts w:ascii="Book Antiqua" w:hAnsi="Book Antiqua"/>
          <w:b/>
          <w:bCs/>
        </w:rPr>
        <w:t>19</w:t>
      </w:r>
      <w:r w:rsidRPr="00FD1252">
        <w:rPr>
          <w:rFonts w:ascii="Book Antiqua" w:hAnsi="Book Antiqua"/>
        </w:rPr>
        <w:t>: 518-521 [PMID: 16008598 DOI: 10.1111/j.1399-0012.2005.00377.x]</w:t>
      </w:r>
    </w:p>
    <w:p w14:paraId="560AF596"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113 </w:t>
      </w:r>
      <w:r w:rsidRPr="00FD1252">
        <w:rPr>
          <w:rFonts w:ascii="Book Antiqua" w:hAnsi="Book Antiqua"/>
          <w:b/>
          <w:bCs/>
        </w:rPr>
        <w:t>Brazdziute E</w:t>
      </w:r>
      <w:r w:rsidRPr="00FD1252">
        <w:rPr>
          <w:rFonts w:ascii="Book Antiqua" w:hAnsi="Book Antiqua"/>
        </w:rPr>
        <w:t xml:space="preserve">, Laurinavicius A. Digital pathology evaluation of complement C4d component deposition in the kidney allograft biopsies is a useful tool to improve reproducibility of the scoring. </w:t>
      </w:r>
      <w:r w:rsidRPr="00FD1252">
        <w:rPr>
          <w:rFonts w:ascii="Book Antiqua" w:hAnsi="Book Antiqua"/>
          <w:i/>
          <w:iCs/>
        </w:rPr>
        <w:t>Diagn Pathol</w:t>
      </w:r>
      <w:r w:rsidRPr="00FD1252">
        <w:rPr>
          <w:rFonts w:ascii="Book Antiqua" w:hAnsi="Book Antiqua"/>
        </w:rPr>
        <w:t xml:space="preserve"> 2011; </w:t>
      </w:r>
      <w:r w:rsidRPr="00FD1252">
        <w:rPr>
          <w:rFonts w:ascii="Book Antiqua" w:hAnsi="Book Antiqua"/>
          <w:b/>
          <w:bCs/>
        </w:rPr>
        <w:t xml:space="preserve">6 </w:t>
      </w:r>
      <w:r w:rsidRPr="00FD1252">
        <w:rPr>
          <w:rFonts w:ascii="Book Antiqua" w:hAnsi="Book Antiqua"/>
        </w:rPr>
        <w:t>Suppl 1: S5 [PMID: 21489200 DOI: 10.1186/1746-1596-6-S1-S5]</w:t>
      </w:r>
    </w:p>
    <w:p w14:paraId="7D7C68F6"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114 </w:t>
      </w:r>
      <w:r w:rsidRPr="00FD1252">
        <w:rPr>
          <w:rFonts w:ascii="Book Antiqua" w:hAnsi="Book Antiqua"/>
          <w:b/>
          <w:bCs/>
        </w:rPr>
        <w:t>Jen KY</w:t>
      </w:r>
      <w:r w:rsidRPr="00FD1252">
        <w:rPr>
          <w:rFonts w:ascii="Book Antiqua" w:hAnsi="Book Antiqua"/>
        </w:rPr>
        <w:t xml:space="preserve">, Olson JL, Brodsky S, Zhou XJ, Nadasdy T, Laszik ZG. Reliability of whole slide images as a diagnostic modality for renal allograft biopsies. </w:t>
      </w:r>
      <w:r w:rsidRPr="00FD1252">
        <w:rPr>
          <w:rFonts w:ascii="Book Antiqua" w:hAnsi="Book Antiqua"/>
          <w:i/>
          <w:iCs/>
        </w:rPr>
        <w:t>Hum Pathol</w:t>
      </w:r>
      <w:r w:rsidRPr="00FD1252">
        <w:rPr>
          <w:rFonts w:ascii="Book Antiqua" w:hAnsi="Book Antiqua"/>
        </w:rPr>
        <w:t xml:space="preserve"> 2013; </w:t>
      </w:r>
      <w:r w:rsidRPr="00FD1252">
        <w:rPr>
          <w:rFonts w:ascii="Book Antiqua" w:hAnsi="Book Antiqua"/>
          <w:b/>
          <w:bCs/>
        </w:rPr>
        <w:t>44</w:t>
      </w:r>
      <w:r w:rsidRPr="00FD1252">
        <w:rPr>
          <w:rFonts w:ascii="Book Antiqua" w:hAnsi="Book Antiqua"/>
        </w:rPr>
        <w:t>: 888-894 [PMID: 23199528 DOI: 10.1016/j.humpath.2012.08.015]</w:t>
      </w:r>
    </w:p>
    <w:p w14:paraId="28D38DAB"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115 </w:t>
      </w:r>
      <w:r w:rsidRPr="00FD1252">
        <w:rPr>
          <w:rFonts w:ascii="Book Antiqua" w:hAnsi="Book Antiqua"/>
          <w:b/>
          <w:bCs/>
        </w:rPr>
        <w:t>Farris AB</w:t>
      </w:r>
      <w:r w:rsidRPr="00FD1252">
        <w:rPr>
          <w:rFonts w:ascii="Book Antiqua" w:hAnsi="Book Antiqua"/>
        </w:rPr>
        <w:t xml:space="preserve">, Moghe I, Wu S, Hogan J, Cornell LD, Alexander MP, Kers J, Demetris AJ, Levenson RM, Tomaszewski J, Barisoni L, Yagi Y, Solez K. Banff Digital Pathology Working Group: Going digital in transplant pathology. </w:t>
      </w:r>
      <w:r w:rsidRPr="00FD1252">
        <w:rPr>
          <w:rFonts w:ascii="Book Antiqua" w:hAnsi="Book Antiqua"/>
          <w:i/>
          <w:iCs/>
        </w:rPr>
        <w:t>Am J Transplant</w:t>
      </w:r>
      <w:r w:rsidRPr="00FD1252">
        <w:rPr>
          <w:rFonts w:ascii="Book Antiqua" w:hAnsi="Book Antiqua"/>
        </w:rPr>
        <w:t xml:space="preserve"> 2020; </w:t>
      </w:r>
      <w:r w:rsidRPr="00FD1252">
        <w:rPr>
          <w:rFonts w:ascii="Book Antiqua" w:hAnsi="Book Antiqua"/>
          <w:b/>
          <w:bCs/>
        </w:rPr>
        <w:t>20</w:t>
      </w:r>
      <w:r w:rsidRPr="00FD1252">
        <w:rPr>
          <w:rFonts w:ascii="Book Antiqua" w:hAnsi="Book Antiqua"/>
        </w:rPr>
        <w:t>: 2392-2399 [PMID: 32185875 DOI: 10.1111/ajt.15850]</w:t>
      </w:r>
    </w:p>
    <w:p w14:paraId="56EEACF7"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116 </w:t>
      </w:r>
      <w:r w:rsidRPr="00FD1252">
        <w:rPr>
          <w:rFonts w:ascii="Book Antiqua" w:hAnsi="Book Antiqua"/>
          <w:b/>
          <w:bCs/>
        </w:rPr>
        <w:t>Farris AB</w:t>
      </w:r>
      <w:r w:rsidRPr="00FD1252">
        <w:rPr>
          <w:rFonts w:ascii="Book Antiqua" w:hAnsi="Book Antiqua"/>
        </w:rPr>
        <w:t xml:space="preserve">, Vizcarra J, Amgad M, Cooper LAD, Gutman D, Hogan J. Artificial intelligence and algorithmic computational pathology: an introduction with renal allograft examples. </w:t>
      </w:r>
      <w:r w:rsidRPr="00FD1252">
        <w:rPr>
          <w:rFonts w:ascii="Book Antiqua" w:hAnsi="Book Antiqua"/>
          <w:i/>
          <w:iCs/>
        </w:rPr>
        <w:t>Histopathology</w:t>
      </w:r>
      <w:r w:rsidRPr="00FD1252">
        <w:rPr>
          <w:rFonts w:ascii="Book Antiqua" w:hAnsi="Book Antiqua"/>
        </w:rPr>
        <w:t xml:space="preserve"> 2021; </w:t>
      </w:r>
      <w:r w:rsidRPr="00FD1252">
        <w:rPr>
          <w:rFonts w:ascii="Book Antiqua" w:hAnsi="Book Antiqua"/>
          <w:b/>
          <w:bCs/>
        </w:rPr>
        <w:t>78</w:t>
      </w:r>
      <w:r w:rsidRPr="00FD1252">
        <w:rPr>
          <w:rFonts w:ascii="Book Antiqua" w:hAnsi="Book Antiqua"/>
        </w:rPr>
        <w:t>: 791-804 [PMID: 33211332 DOI: 10.1111/his.14304]</w:t>
      </w:r>
    </w:p>
    <w:p w14:paraId="1D6E6363"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117 </w:t>
      </w:r>
      <w:r w:rsidRPr="00FD1252">
        <w:rPr>
          <w:rFonts w:ascii="Book Antiqua" w:hAnsi="Book Antiqua"/>
          <w:b/>
          <w:bCs/>
        </w:rPr>
        <w:t>Aubert O</w:t>
      </w:r>
      <w:r w:rsidRPr="00FD1252">
        <w:rPr>
          <w:rFonts w:ascii="Book Antiqua" w:hAnsi="Book Antiqua"/>
        </w:rPr>
        <w:t xml:space="preserve">, Higgins S, Bouatou Y, Yoo D, Raynaud M, Viglietti D, Rabant M, Hidalgo L, Glotz D, Legendre C, Delahousse M, Shah N, Sis B, Campbell P, Mengel M, Jouven X, Duong Van Huyen JP, Lefaucheur C, Loupy A. Archetype Analysis Identifies Distinct Profiles in Renal Transplant Recipients with Transplant Glomerulopathy Associated with Allograft Survival. </w:t>
      </w:r>
      <w:r w:rsidRPr="00FD1252">
        <w:rPr>
          <w:rFonts w:ascii="Book Antiqua" w:hAnsi="Book Antiqua"/>
          <w:i/>
          <w:iCs/>
        </w:rPr>
        <w:t>J Am Soc Nephrol</w:t>
      </w:r>
      <w:r w:rsidRPr="00FD1252">
        <w:rPr>
          <w:rFonts w:ascii="Book Antiqua" w:hAnsi="Book Antiqua"/>
        </w:rPr>
        <w:t xml:space="preserve"> 2019; </w:t>
      </w:r>
      <w:r w:rsidRPr="00FD1252">
        <w:rPr>
          <w:rFonts w:ascii="Book Antiqua" w:hAnsi="Book Antiqua"/>
          <w:b/>
          <w:bCs/>
        </w:rPr>
        <w:t>30</w:t>
      </w:r>
      <w:r w:rsidRPr="00FD1252">
        <w:rPr>
          <w:rFonts w:ascii="Book Antiqua" w:hAnsi="Book Antiqua"/>
        </w:rPr>
        <w:t>: 625-639 [PMID: 30872323 DOI: 10.1681/ASN.2018070777]</w:t>
      </w:r>
    </w:p>
    <w:p w14:paraId="2EE796C5"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118 </w:t>
      </w:r>
      <w:r w:rsidRPr="00FD1252">
        <w:rPr>
          <w:rFonts w:ascii="Book Antiqua" w:hAnsi="Book Antiqua"/>
          <w:b/>
          <w:bCs/>
        </w:rPr>
        <w:t>Marsh JN</w:t>
      </w:r>
      <w:r w:rsidRPr="00FD1252">
        <w:rPr>
          <w:rFonts w:ascii="Book Antiqua" w:hAnsi="Book Antiqua"/>
        </w:rPr>
        <w:t xml:space="preserve">, Matlock MK, Kudose S, Liu TC, Stappenbeck TS, Gaut JP, Swamidass SJ. Deep Learning Global Glomerulosclerosis in Transplant Kidney Frozen Sections. </w:t>
      </w:r>
      <w:r w:rsidRPr="00FD1252">
        <w:rPr>
          <w:rFonts w:ascii="Book Antiqua" w:hAnsi="Book Antiqua"/>
          <w:i/>
          <w:iCs/>
        </w:rPr>
        <w:t>IEEE Trans Med Imaging</w:t>
      </w:r>
      <w:r w:rsidRPr="00FD1252">
        <w:rPr>
          <w:rFonts w:ascii="Book Antiqua" w:hAnsi="Book Antiqua"/>
        </w:rPr>
        <w:t xml:space="preserve"> 2018; </w:t>
      </w:r>
      <w:r w:rsidRPr="00FD1252">
        <w:rPr>
          <w:rFonts w:ascii="Book Antiqua" w:hAnsi="Book Antiqua"/>
          <w:b/>
          <w:bCs/>
        </w:rPr>
        <w:t>37</w:t>
      </w:r>
      <w:r w:rsidRPr="00FD1252">
        <w:rPr>
          <w:rFonts w:ascii="Book Antiqua" w:hAnsi="Book Antiqua"/>
        </w:rPr>
        <w:t>: 2718-2728 [PMID: 29994669 DOI: 10.1109/TMI.2018.2851150]</w:t>
      </w:r>
    </w:p>
    <w:p w14:paraId="058FDA30"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119 </w:t>
      </w:r>
      <w:r w:rsidRPr="00FD1252">
        <w:rPr>
          <w:rFonts w:ascii="Book Antiqua" w:hAnsi="Book Antiqua"/>
          <w:b/>
          <w:bCs/>
        </w:rPr>
        <w:t>Hermsen M</w:t>
      </w:r>
      <w:r w:rsidRPr="00FD1252">
        <w:rPr>
          <w:rFonts w:ascii="Book Antiqua" w:hAnsi="Book Antiqua"/>
        </w:rPr>
        <w:t xml:space="preserve">, de Bel T, den Boer M, Steenbergen EJ, Kers J, Florquin S, Roelofs JJTH, Stegall MD, Alexander MP, Smith BH, Smeets B, Hilbrands LB, van der Laak JAWM. Deep Learning-Based Histopathologic Assessment of Kidney Tissue. </w:t>
      </w:r>
      <w:r w:rsidRPr="00FD1252">
        <w:rPr>
          <w:rFonts w:ascii="Book Antiqua" w:hAnsi="Book Antiqua"/>
          <w:i/>
          <w:iCs/>
        </w:rPr>
        <w:t>J Am Soc Nephrol</w:t>
      </w:r>
      <w:r w:rsidRPr="00FD1252">
        <w:rPr>
          <w:rFonts w:ascii="Book Antiqua" w:hAnsi="Book Antiqua"/>
        </w:rPr>
        <w:t xml:space="preserve"> 2019; </w:t>
      </w:r>
      <w:r w:rsidRPr="00FD1252">
        <w:rPr>
          <w:rFonts w:ascii="Book Antiqua" w:hAnsi="Book Antiqua"/>
          <w:b/>
          <w:bCs/>
        </w:rPr>
        <w:t>30</w:t>
      </w:r>
      <w:r w:rsidRPr="00FD1252">
        <w:rPr>
          <w:rFonts w:ascii="Book Antiqua" w:hAnsi="Book Antiqua"/>
        </w:rPr>
        <w:t>: 1968-1979 [PMID: 31488607 DOI: 10.1681/ASN.2019020144]</w:t>
      </w:r>
    </w:p>
    <w:p w14:paraId="7AB21603" w14:textId="77777777" w:rsidR="00F15982" w:rsidRPr="00FD1252" w:rsidRDefault="00F15982" w:rsidP="00FD1252">
      <w:pPr>
        <w:spacing w:line="360" w:lineRule="auto"/>
        <w:jc w:val="both"/>
        <w:rPr>
          <w:rFonts w:ascii="Book Antiqua" w:hAnsi="Book Antiqua"/>
        </w:rPr>
      </w:pPr>
      <w:r w:rsidRPr="00FD1252">
        <w:rPr>
          <w:rFonts w:ascii="Book Antiqua" w:hAnsi="Book Antiqua"/>
        </w:rPr>
        <w:lastRenderedPageBreak/>
        <w:t xml:space="preserve">120 </w:t>
      </w:r>
      <w:r w:rsidRPr="00FD1252">
        <w:rPr>
          <w:rFonts w:ascii="Book Antiqua" w:hAnsi="Book Antiqua"/>
          <w:b/>
          <w:bCs/>
        </w:rPr>
        <w:t>Yatim KM</w:t>
      </w:r>
      <w:r w:rsidRPr="00FD1252">
        <w:rPr>
          <w:rFonts w:ascii="Book Antiqua" w:hAnsi="Book Antiqua"/>
        </w:rPr>
        <w:t xml:space="preserve">, Azzi JR. Novel Biomarkers in Kidney Transplantation. </w:t>
      </w:r>
      <w:r w:rsidRPr="00FD1252">
        <w:rPr>
          <w:rFonts w:ascii="Book Antiqua" w:hAnsi="Book Antiqua"/>
          <w:i/>
          <w:iCs/>
        </w:rPr>
        <w:t>Semin Nephrol</w:t>
      </w:r>
      <w:r w:rsidRPr="00FD1252">
        <w:rPr>
          <w:rFonts w:ascii="Book Antiqua" w:hAnsi="Book Antiqua"/>
        </w:rPr>
        <w:t xml:space="preserve"> 2022; </w:t>
      </w:r>
      <w:r w:rsidRPr="00FD1252">
        <w:rPr>
          <w:rFonts w:ascii="Book Antiqua" w:hAnsi="Book Antiqua"/>
          <w:b/>
          <w:bCs/>
        </w:rPr>
        <w:t>42</w:t>
      </w:r>
      <w:r w:rsidRPr="00FD1252">
        <w:rPr>
          <w:rFonts w:ascii="Book Antiqua" w:hAnsi="Book Antiqua"/>
        </w:rPr>
        <w:t>: 2-13 [PMID: 35618393 DOI: 10.1016/j.semnephrol.2022.01.007]</w:t>
      </w:r>
    </w:p>
    <w:p w14:paraId="1D03623C"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121 </w:t>
      </w:r>
      <w:r w:rsidRPr="00FD1252">
        <w:rPr>
          <w:rFonts w:ascii="Book Antiqua" w:hAnsi="Book Antiqua"/>
          <w:b/>
          <w:bCs/>
        </w:rPr>
        <w:t>Merhi B</w:t>
      </w:r>
      <w:r w:rsidRPr="00FD1252">
        <w:rPr>
          <w:rFonts w:ascii="Book Antiqua" w:hAnsi="Book Antiqua"/>
        </w:rPr>
        <w:t xml:space="preserve">, Bayliss G, Gohh RY. Role for urinary biomarkers in diagnosis of acute rejection in the transplanted kidney. </w:t>
      </w:r>
      <w:r w:rsidRPr="00FD1252">
        <w:rPr>
          <w:rFonts w:ascii="Book Antiqua" w:hAnsi="Book Antiqua"/>
          <w:i/>
          <w:iCs/>
        </w:rPr>
        <w:t>World J Transplant</w:t>
      </w:r>
      <w:r w:rsidRPr="00FD1252">
        <w:rPr>
          <w:rFonts w:ascii="Book Antiqua" w:hAnsi="Book Antiqua"/>
        </w:rPr>
        <w:t xml:space="preserve"> 2015; </w:t>
      </w:r>
      <w:r w:rsidRPr="00FD1252">
        <w:rPr>
          <w:rFonts w:ascii="Book Antiqua" w:hAnsi="Book Antiqua"/>
          <w:b/>
          <w:bCs/>
        </w:rPr>
        <w:t>5</w:t>
      </w:r>
      <w:r w:rsidRPr="00FD1252">
        <w:rPr>
          <w:rFonts w:ascii="Book Antiqua" w:hAnsi="Book Antiqua"/>
        </w:rPr>
        <w:t>: 251-260 [PMID: 26722652 DOI: 10.5500/wjt.v5.i4.251]</w:t>
      </w:r>
    </w:p>
    <w:p w14:paraId="25DC5610"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122 </w:t>
      </w:r>
      <w:r w:rsidRPr="00FD1252">
        <w:rPr>
          <w:rFonts w:ascii="Book Antiqua" w:hAnsi="Book Antiqua"/>
          <w:b/>
          <w:bCs/>
        </w:rPr>
        <w:t>Seo JW</w:t>
      </w:r>
      <w:r w:rsidRPr="00FD1252">
        <w:rPr>
          <w:rFonts w:ascii="Book Antiqua" w:hAnsi="Book Antiqua"/>
        </w:rPr>
        <w:t xml:space="preserve">, Lee YH, Tae DH, Park SH, Moon JY, Jeong KH, Kim CD, Chung BH, Park JB, Kim YH, Seok J, Joo SH, Lee SH, Lee JS, Lee SH. Non-Invasive Diagnosis for Acute Rejection Using Urinary mRNA Signature Reflecting Allograft Status in Kidney Transplantation. </w:t>
      </w:r>
      <w:r w:rsidRPr="00FD1252">
        <w:rPr>
          <w:rFonts w:ascii="Book Antiqua" w:hAnsi="Book Antiqua"/>
          <w:i/>
          <w:iCs/>
        </w:rPr>
        <w:t>Front Immunol</w:t>
      </w:r>
      <w:r w:rsidRPr="00FD1252">
        <w:rPr>
          <w:rFonts w:ascii="Book Antiqua" w:hAnsi="Book Antiqua"/>
        </w:rPr>
        <w:t xml:space="preserve"> 2021; </w:t>
      </w:r>
      <w:r w:rsidRPr="00FD1252">
        <w:rPr>
          <w:rFonts w:ascii="Book Antiqua" w:hAnsi="Book Antiqua"/>
          <w:b/>
          <w:bCs/>
        </w:rPr>
        <w:t>12</w:t>
      </w:r>
      <w:r w:rsidRPr="00FD1252">
        <w:rPr>
          <w:rFonts w:ascii="Book Antiqua" w:hAnsi="Book Antiqua"/>
        </w:rPr>
        <w:t>: 656632 [PMID: 34177898 DOI: 10.3389/fimmu.2021.656632]</w:t>
      </w:r>
    </w:p>
    <w:p w14:paraId="10DE7B7B"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123 </w:t>
      </w:r>
      <w:r w:rsidRPr="00FD1252">
        <w:rPr>
          <w:rFonts w:ascii="Book Antiqua" w:hAnsi="Book Antiqua"/>
          <w:b/>
          <w:bCs/>
        </w:rPr>
        <w:t>Van Loon E</w:t>
      </w:r>
      <w:r w:rsidRPr="00FD1252">
        <w:rPr>
          <w:rFonts w:ascii="Book Antiqua" w:hAnsi="Book Antiqua"/>
        </w:rPr>
        <w:t xml:space="preserve">, Naesens M. Blood transcriptomics as non-invasive marker for kidney transplant rejection. </w:t>
      </w:r>
      <w:r w:rsidRPr="00FD1252">
        <w:rPr>
          <w:rFonts w:ascii="Book Antiqua" w:hAnsi="Book Antiqua"/>
          <w:i/>
          <w:iCs/>
        </w:rPr>
        <w:t>Nephrol Ther</w:t>
      </w:r>
      <w:r w:rsidRPr="00FD1252">
        <w:rPr>
          <w:rFonts w:ascii="Book Antiqua" w:hAnsi="Book Antiqua"/>
        </w:rPr>
        <w:t xml:space="preserve"> 2021; </w:t>
      </w:r>
      <w:r w:rsidRPr="00FD1252">
        <w:rPr>
          <w:rFonts w:ascii="Book Antiqua" w:hAnsi="Book Antiqua"/>
          <w:b/>
          <w:bCs/>
        </w:rPr>
        <w:t>17S</w:t>
      </w:r>
      <w:r w:rsidRPr="00FD1252">
        <w:rPr>
          <w:rFonts w:ascii="Book Antiqua" w:hAnsi="Book Antiqua"/>
        </w:rPr>
        <w:t>: S78-S82 [PMID: 33910703 DOI: 10.1016/j.nephro.2020.02.012]</w:t>
      </w:r>
    </w:p>
    <w:p w14:paraId="4233E517"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124 </w:t>
      </w:r>
      <w:r w:rsidRPr="00FD1252">
        <w:rPr>
          <w:rFonts w:ascii="Book Antiqua" w:hAnsi="Book Antiqua"/>
          <w:b/>
          <w:bCs/>
        </w:rPr>
        <w:t>Sigdel TK</w:t>
      </w:r>
      <w:r w:rsidRPr="00FD1252">
        <w:rPr>
          <w:rFonts w:ascii="Book Antiqua" w:hAnsi="Book Antiqua"/>
        </w:rPr>
        <w:t xml:space="preserve">, Yang JYC, Bestard O, Schroeder A, Hsieh SC, Liberto JM, Damm I, Geraedts ACM, Sarwal MM. A urinary Common Rejection Module (uCRM) score for non-invasive kidney transplant monitoring. </w:t>
      </w:r>
      <w:r w:rsidRPr="00FD1252">
        <w:rPr>
          <w:rFonts w:ascii="Book Antiqua" w:hAnsi="Book Antiqua"/>
          <w:i/>
          <w:iCs/>
        </w:rPr>
        <w:t>PLoS One</w:t>
      </w:r>
      <w:r w:rsidRPr="00FD1252">
        <w:rPr>
          <w:rFonts w:ascii="Book Antiqua" w:hAnsi="Book Antiqua"/>
        </w:rPr>
        <w:t xml:space="preserve"> 2019; </w:t>
      </w:r>
      <w:r w:rsidRPr="00FD1252">
        <w:rPr>
          <w:rFonts w:ascii="Book Antiqua" w:hAnsi="Book Antiqua"/>
          <w:b/>
          <w:bCs/>
        </w:rPr>
        <w:t>14</w:t>
      </w:r>
      <w:r w:rsidRPr="00FD1252">
        <w:rPr>
          <w:rFonts w:ascii="Book Antiqua" w:hAnsi="Book Antiqua"/>
        </w:rPr>
        <w:t>: e0220052 [PMID: 31365568 DOI: 10.1371/journal.pone.0220052]</w:t>
      </w:r>
    </w:p>
    <w:p w14:paraId="5BE8812A"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125 </w:t>
      </w:r>
      <w:r w:rsidRPr="00FD1252">
        <w:rPr>
          <w:rFonts w:ascii="Book Antiqua" w:hAnsi="Book Antiqua"/>
          <w:b/>
          <w:bCs/>
        </w:rPr>
        <w:t>Al Jurdi A</w:t>
      </w:r>
      <w:r w:rsidRPr="00FD1252">
        <w:rPr>
          <w:rFonts w:ascii="Book Antiqua" w:hAnsi="Book Antiqua"/>
        </w:rPr>
        <w:t xml:space="preserve">, Gassen RB, Borges TJ, Solhjou Z, Hullekes FE, Lape IT, Efe O, Alghamdi A, Patel P, Choi JY, Mohammed MT, Bohan B, Pattanayak V, Rosales I, Cravedi P, Kotton CN, Azzi JR, Riella LV. Non-Invasive Monitoring for Rejection in Kidney Transplant Recipients After SARS-CoV-2 mRNA Vaccination. </w:t>
      </w:r>
      <w:r w:rsidRPr="00FD1252">
        <w:rPr>
          <w:rFonts w:ascii="Book Antiqua" w:hAnsi="Book Antiqua"/>
          <w:i/>
          <w:iCs/>
        </w:rPr>
        <w:t>Front Immunol</w:t>
      </w:r>
      <w:r w:rsidRPr="00FD1252">
        <w:rPr>
          <w:rFonts w:ascii="Book Antiqua" w:hAnsi="Book Antiqua"/>
        </w:rPr>
        <w:t xml:space="preserve"> 2022; </w:t>
      </w:r>
      <w:r w:rsidRPr="00FD1252">
        <w:rPr>
          <w:rFonts w:ascii="Book Antiqua" w:hAnsi="Book Antiqua"/>
          <w:b/>
          <w:bCs/>
        </w:rPr>
        <w:t>13</w:t>
      </w:r>
      <w:r w:rsidRPr="00FD1252">
        <w:rPr>
          <w:rFonts w:ascii="Book Antiqua" w:hAnsi="Book Antiqua"/>
        </w:rPr>
        <w:t>: 838985 [PMID: 35281011 DOI: 10.3389/fimmu.2022.838985]</w:t>
      </w:r>
    </w:p>
    <w:p w14:paraId="01B011FC"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126 </w:t>
      </w:r>
      <w:r w:rsidRPr="00FD1252">
        <w:rPr>
          <w:rFonts w:ascii="Book Antiqua" w:hAnsi="Book Antiqua"/>
          <w:b/>
          <w:bCs/>
        </w:rPr>
        <w:t>Kant S</w:t>
      </w:r>
      <w:r w:rsidRPr="00FD1252">
        <w:rPr>
          <w:rFonts w:ascii="Book Antiqua" w:hAnsi="Book Antiqua"/>
        </w:rPr>
        <w:t xml:space="preserve">, Brennan DC. Donor Derived Cell Free DNA in Kidney Transplantation: The Circa 2020-2021 Update. </w:t>
      </w:r>
      <w:r w:rsidRPr="00FD1252">
        <w:rPr>
          <w:rFonts w:ascii="Book Antiqua" w:hAnsi="Book Antiqua"/>
          <w:i/>
          <w:iCs/>
        </w:rPr>
        <w:t>Transpl Int</w:t>
      </w:r>
      <w:r w:rsidRPr="00FD1252">
        <w:rPr>
          <w:rFonts w:ascii="Book Antiqua" w:hAnsi="Book Antiqua"/>
        </w:rPr>
        <w:t xml:space="preserve"> 2022; </w:t>
      </w:r>
      <w:r w:rsidRPr="00FD1252">
        <w:rPr>
          <w:rFonts w:ascii="Book Antiqua" w:hAnsi="Book Antiqua"/>
          <w:b/>
          <w:bCs/>
        </w:rPr>
        <w:t>35</w:t>
      </w:r>
      <w:r w:rsidRPr="00FD1252">
        <w:rPr>
          <w:rFonts w:ascii="Book Antiqua" w:hAnsi="Book Antiqua"/>
        </w:rPr>
        <w:t>: 10448 [PMID: 35721467 DOI: 10.3389/ti.2022.10448]</w:t>
      </w:r>
    </w:p>
    <w:p w14:paraId="5AAEAF56" w14:textId="77777777" w:rsidR="00F15982" w:rsidRPr="00FD1252" w:rsidRDefault="00F15982" w:rsidP="00FD1252">
      <w:pPr>
        <w:spacing w:line="360" w:lineRule="auto"/>
        <w:jc w:val="both"/>
        <w:rPr>
          <w:rFonts w:ascii="Book Antiqua" w:hAnsi="Book Antiqua"/>
        </w:rPr>
      </w:pPr>
      <w:r w:rsidRPr="00FD1252">
        <w:rPr>
          <w:rFonts w:ascii="Book Antiqua" w:hAnsi="Book Antiqua"/>
        </w:rPr>
        <w:t xml:space="preserve">127 </w:t>
      </w:r>
      <w:r w:rsidRPr="00FD1252">
        <w:rPr>
          <w:rFonts w:ascii="Book Antiqua" w:hAnsi="Book Antiqua"/>
          <w:b/>
          <w:bCs/>
        </w:rPr>
        <w:t>Mannon RB</w:t>
      </w:r>
      <w:r w:rsidRPr="00FD1252">
        <w:rPr>
          <w:rFonts w:ascii="Book Antiqua" w:hAnsi="Book Antiqua"/>
        </w:rPr>
        <w:t xml:space="preserve">, Morris RE, Abecassis M, Axelrod D, Bala S, Friedman GS, Heeger PS, Lentine KL, Loupy A, Murphy B, Nickerson P, Sarwal M, O'Doherty I, Spear N, Karpen SR. Use of biomarkers to improve immunosuppressive drug development and outcomes in renal organ transplantation: A meeting report. </w:t>
      </w:r>
      <w:r w:rsidRPr="00FD1252">
        <w:rPr>
          <w:rFonts w:ascii="Book Antiqua" w:hAnsi="Book Antiqua"/>
          <w:i/>
          <w:iCs/>
        </w:rPr>
        <w:t>Am J Transplant</w:t>
      </w:r>
      <w:r w:rsidRPr="00FD1252">
        <w:rPr>
          <w:rFonts w:ascii="Book Antiqua" w:hAnsi="Book Antiqua"/>
        </w:rPr>
        <w:t xml:space="preserve"> 2020; </w:t>
      </w:r>
      <w:r w:rsidRPr="00FD1252">
        <w:rPr>
          <w:rFonts w:ascii="Book Antiqua" w:hAnsi="Book Antiqua"/>
          <w:b/>
          <w:bCs/>
        </w:rPr>
        <w:t>20</w:t>
      </w:r>
      <w:r w:rsidRPr="00FD1252">
        <w:rPr>
          <w:rFonts w:ascii="Book Antiqua" w:hAnsi="Book Antiqua"/>
        </w:rPr>
        <w:t>: 1495-1502 [PMID: 32090461 DOI: 10.1111/ajt.15833]</w:t>
      </w:r>
    </w:p>
    <w:p w14:paraId="4845A6D4" w14:textId="77777777" w:rsidR="00A77B3E" w:rsidRPr="00FD1252" w:rsidRDefault="00A77B3E" w:rsidP="00FD1252">
      <w:pPr>
        <w:spacing w:line="360" w:lineRule="auto"/>
        <w:jc w:val="both"/>
        <w:rPr>
          <w:rFonts w:ascii="Book Antiqua" w:hAnsi="Book Antiqua"/>
        </w:rPr>
        <w:sectPr w:rsidR="00A77B3E" w:rsidRPr="00FD1252">
          <w:footerReference w:type="default" r:id="rId8"/>
          <w:pgSz w:w="12240" w:h="15840"/>
          <w:pgMar w:top="1440" w:right="1440" w:bottom="1440" w:left="1440" w:header="720" w:footer="720" w:gutter="0"/>
          <w:cols w:space="720"/>
          <w:docGrid w:linePitch="360"/>
        </w:sectPr>
      </w:pPr>
    </w:p>
    <w:p w14:paraId="331DEBE2"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color w:val="000000"/>
        </w:rPr>
        <w:lastRenderedPageBreak/>
        <w:t>Footnotes</w:t>
      </w:r>
    </w:p>
    <w:p w14:paraId="1DEF00EA"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bCs/>
        </w:rPr>
        <w:t xml:space="preserve">Conflict-of-interest statement: </w:t>
      </w:r>
      <w:r w:rsidRPr="00FD1252">
        <w:rPr>
          <w:rFonts w:ascii="Book Antiqua" w:eastAsia="Book Antiqua" w:hAnsi="Book Antiqua" w:cs="Book Antiqua"/>
        </w:rPr>
        <w:t>All authors declare that they have no conflict of interest to disclose.</w:t>
      </w:r>
    </w:p>
    <w:p w14:paraId="7502D33E" w14:textId="77777777" w:rsidR="00A77B3E" w:rsidRPr="00FD1252" w:rsidRDefault="00A77B3E" w:rsidP="00FD1252">
      <w:pPr>
        <w:spacing w:line="360" w:lineRule="auto"/>
        <w:jc w:val="both"/>
        <w:rPr>
          <w:rFonts w:ascii="Book Antiqua" w:hAnsi="Book Antiqua"/>
        </w:rPr>
      </w:pPr>
    </w:p>
    <w:p w14:paraId="086EE13F"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bCs/>
        </w:rPr>
        <w:t xml:space="preserve">Open-Access: </w:t>
      </w:r>
      <w:r w:rsidRPr="00FD1252">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0C3DAC5" w14:textId="77777777" w:rsidR="00A77B3E" w:rsidRPr="00FD1252" w:rsidRDefault="00A77B3E" w:rsidP="00FD1252">
      <w:pPr>
        <w:spacing w:line="360" w:lineRule="auto"/>
        <w:jc w:val="both"/>
        <w:rPr>
          <w:rFonts w:ascii="Book Antiqua" w:hAnsi="Book Antiqua"/>
        </w:rPr>
      </w:pPr>
    </w:p>
    <w:p w14:paraId="14AC89D7"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color w:val="000000"/>
        </w:rPr>
        <w:t xml:space="preserve">Provenance and peer review: </w:t>
      </w:r>
      <w:r w:rsidRPr="00FD1252">
        <w:rPr>
          <w:rFonts w:ascii="Book Antiqua" w:eastAsia="Book Antiqua" w:hAnsi="Book Antiqua" w:cs="Book Antiqua"/>
        </w:rPr>
        <w:t>Invited article; Externally peer reviewed.</w:t>
      </w:r>
    </w:p>
    <w:p w14:paraId="3A30C184"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color w:val="000000"/>
        </w:rPr>
        <w:t xml:space="preserve">Peer-review model: </w:t>
      </w:r>
      <w:r w:rsidRPr="00FD1252">
        <w:rPr>
          <w:rFonts w:ascii="Book Antiqua" w:eastAsia="Book Antiqua" w:hAnsi="Book Antiqua" w:cs="Book Antiqua"/>
        </w:rPr>
        <w:t>Single blind</w:t>
      </w:r>
    </w:p>
    <w:p w14:paraId="7B7CB892" w14:textId="77777777" w:rsidR="00A77B3E" w:rsidRPr="00FD1252" w:rsidRDefault="00A77B3E" w:rsidP="00FD1252">
      <w:pPr>
        <w:spacing w:line="360" w:lineRule="auto"/>
        <w:jc w:val="both"/>
        <w:rPr>
          <w:rFonts w:ascii="Book Antiqua" w:hAnsi="Book Antiqua"/>
        </w:rPr>
      </w:pPr>
    </w:p>
    <w:p w14:paraId="7AC1AE26"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color w:val="000000"/>
        </w:rPr>
        <w:t xml:space="preserve">Peer-review started: </w:t>
      </w:r>
      <w:r w:rsidRPr="00FD1252">
        <w:rPr>
          <w:rFonts w:ascii="Book Antiqua" w:eastAsia="Book Antiqua" w:hAnsi="Book Antiqua" w:cs="Book Antiqua"/>
        </w:rPr>
        <w:t>April 10, 2023</w:t>
      </w:r>
    </w:p>
    <w:p w14:paraId="7342E468"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color w:val="000000"/>
        </w:rPr>
        <w:t xml:space="preserve">First decision: </w:t>
      </w:r>
      <w:r w:rsidRPr="00FD1252">
        <w:rPr>
          <w:rFonts w:ascii="Book Antiqua" w:eastAsia="Book Antiqua" w:hAnsi="Book Antiqua" w:cs="Book Antiqua"/>
        </w:rPr>
        <w:t>June 1, 2023</w:t>
      </w:r>
    </w:p>
    <w:p w14:paraId="68416CAE"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color w:val="000000"/>
        </w:rPr>
        <w:t xml:space="preserve">Article in press: </w:t>
      </w:r>
    </w:p>
    <w:p w14:paraId="30F335A4" w14:textId="77777777" w:rsidR="00A77B3E" w:rsidRPr="00FD1252" w:rsidRDefault="00A77B3E" w:rsidP="00FD1252">
      <w:pPr>
        <w:spacing w:line="360" w:lineRule="auto"/>
        <w:jc w:val="both"/>
        <w:rPr>
          <w:rFonts w:ascii="Book Antiqua" w:hAnsi="Book Antiqua"/>
        </w:rPr>
      </w:pPr>
    </w:p>
    <w:p w14:paraId="7D5D93AA" w14:textId="437D562A"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color w:val="000000"/>
        </w:rPr>
        <w:t xml:space="preserve">Specialty type: </w:t>
      </w:r>
      <w:r w:rsidR="00F15982" w:rsidRPr="00FD1252">
        <w:rPr>
          <w:rFonts w:ascii="Book Antiqua" w:eastAsia="Microsoft YaHei" w:hAnsi="Book Antiqua" w:cs="SimSun"/>
        </w:rPr>
        <w:t>Transplantation</w:t>
      </w:r>
    </w:p>
    <w:p w14:paraId="09F6DEB7"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color w:val="000000"/>
        </w:rPr>
        <w:t xml:space="preserve">Country/Territory of origin: </w:t>
      </w:r>
      <w:r w:rsidRPr="00FD1252">
        <w:rPr>
          <w:rFonts w:ascii="Book Antiqua" w:eastAsia="Book Antiqua" w:hAnsi="Book Antiqua" w:cs="Book Antiqua"/>
        </w:rPr>
        <w:t>Pakistan</w:t>
      </w:r>
    </w:p>
    <w:p w14:paraId="5ECAD2FE"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color w:val="000000"/>
        </w:rPr>
        <w:t>Peer-review report’s scientific quality classification</w:t>
      </w:r>
    </w:p>
    <w:p w14:paraId="260D432D"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rPr>
        <w:t>Grade A (Excellent): A, A</w:t>
      </w:r>
    </w:p>
    <w:p w14:paraId="65D6D436"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rPr>
        <w:t>Grade B (Very good): 0</w:t>
      </w:r>
    </w:p>
    <w:p w14:paraId="7D9804AA"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rPr>
        <w:t>Grade C (Good): 0</w:t>
      </w:r>
    </w:p>
    <w:p w14:paraId="4BF7E0EC"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rPr>
        <w:t>Grade D (Fair): 0</w:t>
      </w:r>
    </w:p>
    <w:p w14:paraId="7F7C9E9D" w14:textId="77777777"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rPr>
        <w:t>Grade E (Poor): 0</w:t>
      </w:r>
    </w:p>
    <w:p w14:paraId="6ADDE7EA" w14:textId="77777777" w:rsidR="00A77B3E" w:rsidRPr="00FD1252" w:rsidRDefault="00A77B3E" w:rsidP="00FD1252">
      <w:pPr>
        <w:spacing w:line="360" w:lineRule="auto"/>
        <w:jc w:val="both"/>
        <w:rPr>
          <w:rFonts w:ascii="Book Antiqua" w:hAnsi="Book Antiqua"/>
        </w:rPr>
      </w:pPr>
    </w:p>
    <w:p w14:paraId="7301672C" w14:textId="305D601F" w:rsidR="00A77B3E" w:rsidRPr="00FD1252" w:rsidRDefault="006E5779" w:rsidP="00FD1252">
      <w:pPr>
        <w:spacing w:line="360" w:lineRule="auto"/>
        <w:jc w:val="both"/>
        <w:rPr>
          <w:rFonts w:ascii="Book Antiqua" w:eastAsia="Book Antiqua" w:hAnsi="Book Antiqua" w:cs="Book Antiqua"/>
          <w:b/>
          <w:color w:val="000000"/>
        </w:rPr>
      </w:pPr>
      <w:r w:rsidRPr="00FD1252">
        <w:rPr>
          <w:rFonts w:ascii="Book Antiqua" w:eastAsia="Book Antiqua" w:hAnsi="Book Antiqua" w:cs="Book Antiqua"/>
          <w:b/>
          <w:color w:val="000000"/>
        </w:rPr>
        <w:t xml:space="preserve">P-Reviewer: </w:t>
      </w:r>
      <w:r w:rsidRPr="00FD1252">
        <w:rPr>
          <w:rFonts w:ascii="Book Antiqua" w:eastAsia="Book Antiqua" w:hAnsi="Book Antiqua" w:cs="Book Antiqua"/>
        </w:rPr>
        <w:t>Alkhatib AJ, Jordan; Gonzalez FM, Chile</w:t>
      </w:r>
      <w:r w:rsidRPr="00FD1252">
        <w:rPr>
          <w:rFonts w:ascii="Book Antiqua" w:eastAsia="Book Antiqua" w:hAnsi="Book Antiqua" w:cs="Book Antiqua"/>
          <w:b/>
          <w:color w:val="000000"/>
        </w:rPr>
        <w:t xml:space="preserve"> S-Editor: </w:t>
      </w:r>
      <w:r w:rsidR="00F15982" w:rsidRPr="00FD1252">
        <w:rPr>
          <w:rFonts w:ascii="Book Antiqua" w:eastAsia="Book Antiqua" w:hAnsi="Book Antiqua" w:cs="Book Antiqua"/>
          <w:bCs/>
          <w:color w:val="000000"/>
        </w:rPr>
        <w:t>Wang JJ</w:t>
      </w:r>
      <w:r w:rsidRPr="00FD1252">
        <w:rPr>
          <w:rFonts w:ascii="Book Antiqua" w:eastAsia="Book Antiqua" w:hAnsi="Book Antiqua" w:cs="Book Antiqua"/>
          <w:b/>
          <w:color w:val="000000"/>
        </w:rPr>
        <w:t xml:space="preserve"> L-Editor: </w:t>
      </w:r>
      <w:r w:rsidR="00A9155A">
        <w:rPr>
          <w:rFonts w:ascii="Book Antiqua" w:eastAsia="Book Antiqua" w:hAnsi="Book Antiqua" w:cs="Book Antiqua"/>
          <w:bCs/>
          <w:color w:val="000000"/>
        </w:rPr>
        <w:t>Filipodia</w:t>
      </w:r>
      <w:r w:rsidRPr="00FD1252">
        <w:rPr>
          <w:rFonts w:ascii="Book Antiqua" w:eastAsia="Book Antiqua" w:hAnsi="Book Antiqua" w:cs="Book Antiqua"/>
          <w:b/>
          <w:color w:val="000000"/>
        </w:rPr>
        <w:t xml:space="preserve"> P-Editor: </w:t>
      </w:r>
    </w:p>
    <w:p w14:paraId="5E16F803" w14:textId="557CD8B9" w:rsidR="00F15982" w:rsidRPr="00FD1252" w:rsidRDefault="00F15982" w:rsidP="00FD1252">
      <w:pPr>
        <w:spacing w:line="360" w:lineRule="auto"/>
        <w:jc w:val="both"/>
        <w:rPr>
          <w:rFonts w:ascii="Book Antiqua" w:hAnsi="Book Antiqua"/>
        </w:rPr>
        <w:sectPr w:rsidR="00F15982" w:rsidRPr="00FD1252">
          <w:pgSz w:w="12240" w:h="15840"/>
          <w:pgMar w:top="1440" w:right="1440" w:bottom="1440" w:left="1440" w:header="720" w:footer="720" w:gutter="0"/>
          <w:cols w:space="720"/>
          <w:docGrid w:linePitch="360"/>
        </w:sectPr>
      </w:pPr>
    </w:p>
    <w:p w14:paraId="32357C9B" w14:textId="77777777" w:rsidR="00A77B3E" w:rsidRPr="00FD1252" w:rsidRDefault="006E5779" w:rsidP="00FD1252">
      <w:pPr>
        <w:spacing w:line="360" w:lineRule="auto"/>
        <w:jc w:val="both"/>
        <w:rPr>
          <w:rFonts w:ascii="Book Antiqua" w:eastAsia="Book Antiqua" w:hAnsi="Book Antiqua" w:cs="Book Antiqua"/>
          <w:b/>
          <w:color w:val="000000"/>
        </w:rPr>
      </w:pPr>
      <w:r w:rsidRPr="00FD1252">
        <w:rPr>
          <w:rFonts w:ascii="Book Antiqua" w:eastAsia="Book Antiqua" w:hAnsi="Book Antiqua" w:cs="Book Antiqua"/>
          <w:b/>
          <w:color w:val="000000"/>
        </w:rPr>
        <w:lastRenderedPageBreak/>
        <w:t>Figure Legends</w:t>
      </w:r>
    </w:p>
    <w:p w14:paraId="06F2C541" w14:textId="42B634F4" w:rsidR="00F15982" w:rsidRPr="00FD1252" w:rsidRDefault="00F15982" w:rsidP="00FD1252">
      <w:pPr>
        <w:spacing w:line="360" w:lineRule="auto"/>
        <w:jc w:val="both"/>
        <w:rPr>
          <w:rFonts w:ascii="Book Antiqua" w:hAnsi="Book Antiqua"/>
        </w:rPr>
      </w:pPr>
      <w:r w:rsidRPr="00FD1252">
        <w:rPr>
          <w:rFonts w:ascii="Book Antiqua" w:hAnsi="Book Antiqua"/>
          <w:noProof/>
        </w:rPr>
        <w:drawing>
          <wp:inline distT="0" distB="0" distL="0" distR="0" wp14:anchorId="631A4B55" wp14:editId="310EB22E">
            <wp:extent cx="5943600" cy="2588895"/>
            <wp:effectExtent l="0" t="0" r="0" b="0"/>
            <wp:docPr id="67763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6305" name=""/>
                    <pic:cNvPicPr/>
                  </pic:nvPicPr>
                  <pic:blipFill>
                    <a:blip r:embed="rId9"/>
                    <a:stretch>
                      <a:fillRect/>
                    </a:stretch>
                  </pic:blipFill>
                  <pic:spPr>
                    <a:xfrm>
                      <a:off x="0" y="0"/>
                      <a:ext cx="5943600" cy="2588895"/>
                    </a:xfrm>
                    <a:prstGeom prst="rect">
                      <a:avLst/>
                    </a:prstGeom>
                  </pic:spPr>
                </pic:pic>
              </a:graphicData>
            </a:graphic>
          </wp:inline>
        </w:drawing>
      </w:r>
    </w:p>
    <w:p w14:paraId="48FA2744" w14:textId="57C2E9CC" w:rsidR="00A77B3E" w:rsidRPr="00FD1252" w:rsidRDefault="006E5779" w:rsidP="00FD1252">
      <w:pPr>
        <w:spacing w:line="360" w:lineRule="auto"/>
        <w:jc w:val="both"/>
        <w:rPr>
          <w:rFonts w:ascii="Book Antiqua" w:eastAsia="Book Antiqua" w:hAnsi="Book Antiqua" w:cs="Book Antiqua"/>
        </w:rPr>
      </w:pPr>
      <w:r w:rsidRPr="00FD1252">
        <w:rPr>
          <w:rFonts w:ascii="Book Antiqua" w:eastAsia="Book Antiqua" w:hAnsi="Book Antiqua" w:cs="Book Antiqua"/>
          <w:b/>
          <w:bCs/>
        </w:rPr>
        <w:t xml:space="preserve">Figure 1 </w:t>
      </w:r>
      <w:r w:rsidR="00D450CA">
        <w:rPr>
          <w:rFonts w:ascii="Book Antiqua" w:eastAsia="Book Antiqua" w:hAnsi="Book Antiqua" w:cs="Book Antiqua"/>
          <w:b/>
          <w:bCs/>
        </w:rPr>
        <w:t>B</w:t>
      </w:r>
      <w:r w:rsidRPr="00FD1252">
        <w:rPr>
          <w:rFonts w:ascii="Book Antiqua" w:eastAsia="Book Antiqua" w:hAnsi="Book Antiqua" w:cs="Book Antiqua"/>
          <w:b/>
          <w:bCs/>
        </w:rPr>
        <w:t>asic components and construct of the Banff classification system.</w:t>
      </w:r>
      <w:r w:rsidRPr="00FD1252">
        <w:rPr>
          <w:rFonts w:ascii="Book Antiqua" w:eastAsia="Book Antiqua" w:hAnsi="Book Antiqua" w:cs="Book Antiqua"/>
        </w:rPr>
        <w:t xml:space="preserve"> The content of the Banff classification can be cataloged into definitions, pathologic lesions, their semi-quantitative scoring, and a combination of these lesions to construct the diagnostic categories.</w:t>
      </w:r>
    </w:p>
    <w:p w14:paraId="040BA563" w14:textId="77777777" w:rsidR="00F15982" w:rsidRPr="00FD1252" w:rsidRDefault="00F15982" w:rsidP="00FD1252">
      <w:pPr>
        <w:spacing w:line="360" w:lineRule="auto"/>
        <w:jc w:val="both"/>
        <w:rPr>
          <w:rFonts w:ascii="Book Antiqua" w:hAnsi="Book Antiqua"/>
        </w:rPr>
        <w:sectPr w:rsidR="00F15982" w:rsidRPr="00FD1252">
          <w:pgSz w:w="12240" w:h="15840"/>
          <w:pgMar w:top="1440" w:right="1440" w:bottom="1440" w:left="1440" w:header="720" w:footer="720" w:gutter="0"/>
          <w:cols w:space="720"/>
          <w:docGrid w:linePitch="360"/>
        </w:sectPr>
      </w:pPr>
    </w:p>
    <w:p w14:paraId="081761B2" w14:textId="3B5DB5D4" w:rsidR="00F15982" w:rsidRPr="00FD1252" w:rsidRDefault="00F15982" w:rsidP="00FD1252">
      <w:pPr>
        <w:spacing w:line="360" w:lineRule="auto"/>
        <w:jc w:val="both"/>
        <w:rPr>
          <w:rFonts w:ascii="Book Antiqua" w:hAnsi="Book Antiqua"/>
        </w:rPr>
      </w:pPr>
      <w:r w:rsidRPr="00FD1252">
        <w:rPr>
          <w:rFonts w:ascii="Book Antiqua" w:hAnsi="Book Antiqua"/>
          <w:noProof/>
        </w:rPr>
        <w:lastRenderedPageBreak/>
        <w:drawing>
          <wp:inline distT="0" distB="0" distL="0" distR="0" wp14:anchorId="15154B8D" wp14:editId="5C706894">
            <wp:extent cx="5280660" cy="2268540"/>
            <wp:effectExtent l="0" t="0" r="0" b="0"/>
            <wp:docPr id="1708025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02503" name=""/>
                    <pic:cNvPicPr/>
                  </pic:nvPicPr>
                  <pic:blipFill>
                    <a:blip r:embed="rId10"/>
                    <a:stretch>
                      <a:fillRect/>
                    </a:stretch>
                  </pic:blipFill>
                  <pic:spPr>
                    <a:xfrm>
                      <a:off x="0" y="0"/>
                      <a:ext cx="5295299" cy="2274829"/>
                    </a:xfrm>
                    <a:prstGeom prst="rect">
                      <a:avLst/>
                    </a:prstGeom>
                  </pic:spPr>
                </pic:pic>
              </a:graphicData>
            </a:graphic>
          </wp:inline>
        </w:drawing>
      </w:r>
    </w:p>
    <w:p w14:paraId="3FC13731" w14:textId="6B902627" w:rsidR="00A77B3E" w:rsidRPr="00FD1252" w:rsidRDefault="006E5779" w:rsidP="00FD1252">
      <w:pPr>
        <w:spacing w:line="360" w:lineRule="auto"/>
        <w:jc w:val="both"/>
        <w:rPr>
          <w:rFonts w:ascii="Book Antiqua" w:eastAsia="Book Antiqua" w:hAnsi="Book Antiqua" w:cs="Book Antiqua"/>
        </w:rPr>
      </w:pPr>
      <w:r w:rsidRPr="00FD1252">
        <w:rPr>
          <w:rFonts w:ascii="Book Antiqua" w:eastAsia="Book Antiqua" w:hAnsi="Book Antiqua" w:cs="Book Antiqua"/>
          <w:b/>
          <w:bCs/>
        </w:rPr>
        <w:t xml:space="preserve">Figure 2 </w:t>
      </w:r>
      <w:r w:rsidR="00D450CA">
        <w:rPr>
          <w:rFonts w:ascii="Book Antiqua" w:eastAsia="Book Antiqua" w:hAnsi="Book Antiqua" w:cs="Book Antiqua"/>
          <w:b/>
          <w:bCs/>
        </w:rPr>
        <w:t>Representative</w:t>
      </w:r>
      <w:r w:rsidR="00D450CA" w:rsidRPr="00FD1252">
        <w:rPr>
          <w:rFonts w:ascii="Book Antiqua" w:eastAsia="Book Antiqua" w:hAnsi="Book Antiqua" w:cs="Book Antiqua"/>
          <w:b/>
          <w:bCs/>
        </w:rPr>
        <w:t xml:space="preserve"> </w:t>
      </w:r>
      <w:r w:rsidRPr="00FD1252">
        <w:rPr>
          <w:rFonts w:ascii="Book Antiqua" w:eastAsia="Book Antiqua" w:hAnsi="Book Antiqua" w:cs="Book Antiqua"/>
          <w:b/>
          <w:bCs/>
        </w:rPr>
        <w:t>acute Banff diagnostic lesions for rejection and their scores.</w:t>
      </w:r>
      <w:r w:rsidRPr="00FD1252">
        <w:rPr>
          <w:rFonts w:ascii="Book Antiqua" w:eastAsia="Book Antiqua" w:hAnsi="Book Antiqua" w:cs="Book Antiqua"/>
        </w:rPr>
        <w:t xml:space="preserve"> A: There is diffuse interstitial inflammation (i3) along with interstitial edema. The later lesion, although important when present, is not formally included in the Banff classification system. Foci of mild tubulitis (t1) are also seen (arrows). These are better visualized on Period acid-Schiff stain </w:t>
      </w:r>
      <w:r w:rsidR="00F15982" w:rsidRPr="00FD1252">
        <w:rPr>
          <w:rFonts w:ascii="Book Antiqua" w:eastAsia="Book Antiqua" w:hAnsi="Book Antiqua" w:cs="Book Antiqua"/>
        </w:rPr>
        <w:t xml:space="preserve">[hematoxylin and eosin </w:t>
      </w:r>
      <w:r w:rsidRPr="00FD1252">
        <w:rPr>
          <w:rFonts w:ascii="Book Antiqua" w:eastAsia="Book Antiqua" w:hAnsi="Book Antiqua" w:cs="Book Antiqua"/>
        </w:rPr>
        <w:t>(H&amp;E</w:t>
      </w:r>
      <w:r w:rsidR="00F15982" w:rsidRPr="00FD1252">
        <w:rPr>
          <w:rFonts w:ascii="Book Antiqua" w:eastAsia="Book Antiqua" w:hAnsi="Book Antiqua" w:cs="Book Antiqua"/>
        </w:rPr>
        <w:t>)</w:t>
      </w:r>
      <w:r w:rsidRPr="00FD1252">
        <w:rPr>
          <w:rFonts w:ascii="Book Antiqua" w:eastAsia="Book Antiqua" w:hAnsi="Book Antiqua" w:cs="Book Antiqua"/>
        </w:rPr>
        <w:t>, ×</w:t>
      </w:r>
      <w:r w:rsidR="00F15982" w:rsidRPr="00FD1252">
        <w:rPr>
          <w:rFonts w:ascii="Book Antiqua" w:eastAsia="Book Antiqua" w:hAnsi="Book Antiqua" w:cs="Book Antiqua"/>
        </w:rPr>
        <w:t xml:space="preserve"> </w:t>
      </w:r>
      <w:r w:rsidRPr="00FD1252">
        <w:rPr>
          <w:rFonts w:ascii="Book Antiqua" w:eastAsia="Book Antiqua" w:hAnsi="Book Antiqua" w:cs="Book Antiqua"/>
        </w:rPr>
        <w:t>200</w:t>
      </w:r>
      <w:r w:rsidR="00F15982" w:rsidRPr="00FD1252">
        <w:rPr>
          <w:rFonts w:ascii="Book Antiqua" w:eastAsia="Book Antiqua" w:hAnsi="Book Antiqua" w:cs="Book Antiqua"/>
        </w:rPr>
        <w:t>]</w:t>
      </w:r>
      <w:r w:rsidRPr="00FD1252">
        <w:rPr>
          <w:rFonts w:ascii="Book Antiqua" w:eastAsia="Book Antiqua" w:hAnsi="Book Antiqua" w:cs="Book Antiqua"/>
        </w:rPr>
        <w:t>; B: This field shows glomerulitis (g1) (green arrow) and intimal arteritis (v1) (red arrow) in addition to i3 and interstitial edema. Such findings raise the suspicion of mixed antibody-mediated and T cell-mediated rejection (H&amp;E, ×</w:t>
      </w:r>
      <w:r w:rsidR="00F15982" w:rsidRPr="00FD1252">
        <w:rPr>
          <w:rFonts w:ascii="Book Antiqua" w:eastAsia="Book Antiqua" w:hAnsi="Book Antiqua" w:cs="Book Antiqua"/>
        </w:rPr>
        <w:t xml:space="preserve"> </w:t>
      </w:r>
      <w:r w:rsidRPr="00FD1252">
        <w:rPr>
          <w:rFonts w:ascii="Book Antiqua" w:eastAsia="Book Antiqua" w:hAnsi="Book Antiqua" w:cs="Book Antiqua"/>
        </w:rPr>
        <w:t>200).</w:t>
      </w:r>
    </w:p>
    <w:p w14:paraId="6A9718DE" w14:textId="77777777" w:rsidR="00F15982" w:rsidRPr="00FD1252" w:rsidRDefault="00F15982" w:rsidP="00FD1252">
      <w:pPr>
        <w:spacing w:line="360" w:lineRule="auto"/>
        <w:jc w:val="both"/>
        <w:rPr>
          <w:rFonts w:ascii="Book Antiqua" w:hAnsi="Book Antiqua"/>
        </w:rPr>
        <w:sectPr w:rsidR="00F15982" w:rsidRPr="00FD1252">
          <w:pgSz w:w="12240" w:h="15840"/>
          <w:pgMar w:top="1440" w:right="1440" w:bottom="1440" w:left="1440" w:header="720" w:footer="720" w:gutter="0"/>
          <w:cols w:space="720"/>
          <w:docGrid w:linePitch="360"/>
        </w:sectPr>
      </w:pPr>
    </w:p>
    <w:p w14:paraId="11F47772" w14:textId="5AB8C1FD" w:rsidR="00F15982" w:rsidRPr="00FD1252" w:rsidRDefault="00F15982" w:rsidP="00FD1252">
      <w:pPr>
        <w:spacing w:line="360" w:lineRule="auto"/>
        <w:jc w:val="both"/>
        <w:rPr>
          <w:rFonts w:ascii="Book Antiqua" w:hAnsi="Book Antiqua"/>
        </w:rPr>
      </w:pPr>
      <w:r w:rsidRPr="00FD1252">
        <w:rPr>
          <w:rFonts w:ascii="Book Antiqua" w:hAnsi="Book Antiqua"/>
          <w:noProof/>
        </w:rPr>
        <w:lastRenderedPageBreak/>
        <w:drawing>
          <wp:inline distT="0" distB="0" distL="0" distR="0" wp14:anchorId="7CF6E085" wp14:editId="50C3194B">
            <wp:extent cx="5943600" cy="2851785"/>
            <wp:effectExtent l="0" t="0" r="0" b="0"/>
            <wp:docPr id="12437399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739958" name=""/>
                    <pic:cNvPicPr/>
                  </pic:nvPicPr>
                  <pic:blipFill>
                    <a:blip r:embed="rId11"/>
                    <a:stretch>
                      <a:fillRect/>
                    </a:stretch>
                  </pic:blipFill>
                  <pic:spPr>
                    <a:xfrm>
                      <a:off x="0" y="0"/>
                      <a:ext cx="5943600" cy="2851785"/>
                    </a:xfrm>
                    <a:prstGeom prst="rect">
                      <a:avLst/>
                    </a:prstGeom>
                  </pic:spPr>
                </pic:pic>
              </a:graphicData>
            </a:graphic>
          </wp:inline>
        </w:drawing>
      </w:r>
    </w:p>
    <w:p w14:paraId="726F2452" w14:textId="1414875A" w:rsidR="00A77B3E" w:rsidRPr="00FD1252" w:rsidRDefault="006E5779" w:rsidP="00FD1252">
      <w:pPr>
        <w:spacing w:line="360" w:lineRule="auto"/>
        <w:jc w:val="both"/>
        <w:rPr>
          <w:rFonts w:ascii="Book Antiqua" w:eastAsia="Book Antiqua" w:hAnsi="Book Antiqua" w:cs="Book Antiqua"/>
        </w:rPr>
      </w:pPr>
      <w:r w:rsidRPr="00FD1252">
        <w:rPr>
          <w:rFonts w:ascii="Book Antiqua" w:eastAsia="Book Antiqua" w:hAnsi="Book Antiqua" w:cs="Book Antiqua"/>
          <w:b/>
          <w:bCs/>
        </w:rPr>
        <w:t>Figure 3 Acute Banff diagnostic lesions of microvascular inflammation.</w:t>
      </w:r>
      <w:r w:rsidRPr="00FD1252">
        <w:rPr>
          <w:rFonts w:ascii="Book Antiqua" w:eastAsia="Book Antiqua" w:hAnsi="Book Antiqua" w:cs="Book Antiqua"/>
        </w:rPr>
        <w:t xml:space="preserve"> A: There is segmental glomerulitis (g1) (arrows) along with diffuse interstitial inflammation (i3) in the background </w:t>
      </w:r>
      <w:r w:rsidR="00F15982" w:rsidRPr="00FD1252">
        <w:rPr>
          <w:rFonts w:ascii="Book Antiqua" w:eastAsia="Book Antiqua" w:hAnsi="Book Antiqua" w:cs="Book Antiqua"/>
        </w:rPr>
        <w:t xml:space="preserve">[hematoxylin and eosin </w:t>
      </w:r>
      <w:r w:rsidRPr="00FD1252">
        <w:rPr>
          <w:rFonts w:ascii="Book Antiqua" w:eastAsia="Book Antiqua" w:hAnsi="Book Antiqua" w:cs="Book Antiqua"/>
        </w:rPr>
        <w:t>(H&amp;E</w:t>
      </w:r>
      <w:r w:rsidR="00F15982" w:rsidRPr="00FD1252">
        <w:rPr>
          <w:rFonts w:ascii="Book Antiqua" w:eastAsia="Book Antiqua" w:hAnsi="Book Antiqua" w:cs="Book Antiqua"/>
        </w:rPr>
        <w:t>)</w:t>
      </w:r>
      <w:r w:rsidRPr="00FD1252">
        <w:rPr>
          <w:rFonts w:ascii="Book Antiqua" w:eastAsia="Book Antiqua" w:hAnsi="Book Antiqua" w:cs="Book Antiqua"/>
        </w:rPr>
        <w:t>, ×</w:t>
      </w:r>
      <w:r w:rsidR="00F15982" w:rsidRPr="00FD1252">
        <w:rPr>
          <w:rFonts w:ascii="Book Antiqua" w:eastAsia="Book Antiqua" w:hAnsi="Book Antiqua" w:cs="Book Antiqua"/>
        </w:rPr>
        <w:t xml:space="preserve"> </w:t>
      </w:r>
      <w:r w:rsidRPr="00FD1252">
        <w:rPr>
          <w:rFonts w:ascii="Book Antiqua" w:eastAsia="Book Antiqua" w:hAnsi="Book Antiqua" w:cs="Book Antiqua"/>
        </w:rPr>
        <w:t>400</w:t>
      </w:r>
      <w:r w:rsidR="00F15982" w:rsidRPr="00FD1252">
        <w:rPr>
          <w:rFonts w:ascii="Book Antiqua" w:eastAsia="Book Antiqua" w:hAnsi="Book Antiqua" w:cs="Book Antiqua"/>
        </w:rPr>
        <w:t>]</w:t>
      </w:r>
      <w:r w:rsidRPr="00FD1252">
        <w:rPr>
          <w:rFonts w:ascii="Book Antiqua" w:eastAsia="Book Antiqua" w:hAnsi="Book Antiqua" w:cs="Book Antiqua"/>
        </w:rPr>
        <w:t xml:space="preserve">; B: Peritubular capillaritis (ptc) score ptc 2 (green arrow). </w:t>
      </w:r>
      <w:r w:rsidR="002F352C">
        <w:rPr>
          <w:rFonts w:ascii="Book Antiqua" w:eastAsia="Book Antiqua" w:hAnsi="Book Antiqua" w:cs="Book Antiqua"/>
        </w:rPr>
        <w:t>p</w:t>
      </w:r>
      <w:r w:rsidR="002F352C" w:rsidRPr="00FD1252">
        <w:rPr>
          <w:rFonts w:ascii="Book Antiqua" w:eastAsia="Book Antiqua" w:hAnsi="Book Antiqua" w:cs="Book Antiqua"/>
        </w:rPr>
        <w:t xml:space="preserve">tc </w:t>
      </w:r>
      <w:r w:rsidRPr="00FD1252">
        <w:rPr>
          <w:rFonts w:ascii="Book Antiqua" w:eastAsia="Book Antiqua" w:hAnsi="Book Antiqua" w:cs="Book Antiqua"/>
        </w:rPr>
        <w:t>is one of the key lesions of antibody-mediated rejection. Patchy interstitial edema, and inflammation with a few plasma cells (red arrows) are seen in the background (H&amp;E, ×</w:t>
      </w:r>
      <w:r w:rsidR="00F15982" w:rsidRPr="00FD1252">
        <w:rPr>
          <w:rFonts w:ascii="Book Antiqua" w:eastAsia="Book Antiqua" w:hAnsi="Book Antiqua" w:cs="Book Antiqua"/>
        </w:rPr>
        <w:t xml:space="preserve"> </w:t>
      </w:r>
      <w:r w:rsidRPr="00FD1252">
        <w:rPr>
          <w:rFonts w:ascii="Book Antiqua" w:eastAsia="Book Antiqua" w:hAnsi="Book Antiqua" w:cs="Book Antiqua"/>
        </w:rPr>
        <w:t>400).</w:t>
      </w:r>
    </w:p>
    <w:p w14:paraId="49FE945E" w14:textId="77777777" w:rsidR="00F15982" w:rsidRPr="00FD1252" w:rsidRDefault="00F15982" w:rsidP="00FD1252">
      <w:pPr>
        <w:spacing w:line="360" w:lineRule="auto"/>
        <w:jc w:val="both"/>
        <w:rPr>
          <w:rFonts w:ascii="Book Antiqua" w:hAnsi="Book Antiqua"/>
        </w:rPr>
        <w:sectPr w:rsidR="00F15982" w:rsidRPr="00FD1252">
          <w:pgSz w:w="12240" w:h="15840"/>
          <w:pgMar w:top="1440" w:right="1440" w:bottom="1440" w:left="1440" w:header="720" w:footer="720" w:gutter="0"/>
          <w:cols w:space="720"/>
          <w:docGrid w:linePitch="360"/>
        </w:sectPr>
      </w:pPr>
    </w:p>
    <w:p w14:paraId="1FD859ED" w14:textId="5CDB8F98" w:rsidR="00F15982" w:rsidRPr="00FD1252" w:rsidRDefault="003474F9" w:rsidP="00FD1252">
      <w:pPr>
        <w:spacing w:line="360" w:lineRule="auto"/>
        <w:jc w:val="both"/>
        <w:rPr>
          <w:rFonts w:ascii="Book Antiqua" w:hAnsi="Book Antiqua"/>
          <w:noProof/>
        </w:rPr>
      </w:pPr>
      <w:r w:rsidRPr="00FD1252">
        <w:rPr>
          <w:rFonts w:ascii="Book Antiqua" w:hAnsi="Book Antiqua"/>
          <w:noProof/>
        </w:rPr>
        <w:lastRenderedPageBreak/>
        <w:drawing>
          <wp:inline distT="0" distB="0" distL="0" distR="0" wp14:anchorId="64513210" wp14:editId="5FD64F71">
            <wp:extent cx="2266950" cy="1801450"/>
            <wp:effectExtent l="0" t="0" r="0" b="8890"/>
            <wp:docPr id="10121946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194626" name=""/>
                    <pic:cNvPicPr/>
                  </pic:nvPicPr>
                  <pic:blipFill>
                    <a:blip r:embed="rId12"/>
                    <a:stretch>
                      <a:fillRect/>
                    </a:stretch>
                  </pic:blipFill>
                  <pic:spPr>
                    <a:xfrm>
                      <a:off x="0" y="0"/>
                      <a:ext cx="2280724" cy="1812396"/>
                    </a:xfrm>
                    <a:prstGeom prst="rect">
                      <a:avLst/>
                    </a:prstGeom>
                  </pic:spPr>
                </pic:pic>
              </a:graphicData>
            </a:graphic>
          </wp:inline>
        </w:drawing>
      </w:r>
      <w:r w:rsidRPr="00FD1252">
        <w:rPr>
          <w:rFonts w:ascii="Book Antiqua" w:hAnsi="Book Antiqua"/>
          <w:noProof/>
        </w:rPr>
        <w:t xml:space="preserve"> </w:t>
      </w:r>
      <w:r w:rsidRPr="00FD1252">
        <w:rPr>
          <w:rFonts w:ascii="Book Antiqua" w:hAnsi="Book Antiqua"/>
          <w:noProof/>
        </w:rPr>
        <w:drawing>
          <wp:inline distT="0" distB="0" distL="0" distR="0" wp14:anchorId="210ED657" wp14:editId="5802513A">
            <wp:extent cx="2408528" cy="1790700"/>
            <wp:effectExtent l="0" t="0" r="0" b="0"/>
            <wp:docPr id="15200731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73138" name=""/>
                    <pic:cNvPicPr/>
                  </pic:nvPicPr>
                  <pic:blipFill>
                    <a:blip r:embed="rId13"/>
                    <a:stretch>
                      <a:fillRect/>
                    </a:stretch>
                  </pic:blipFill>
                  <pic:spPr>
                    <a:xfrm>
                      <a:off x="0" y="0"/>
                      <a:ext cx="2435642" cy="1810859"/>
                    </a:xfrm>
                    <a:prstGeom prst="rect">
                      <a:avLst/>
                    </a:prstGeom>
                  </pic:spPr>
                </pic:pic>
              </a:graphicData>
            </a:graphic>
          </wp:inline>
        </w:drawing>
      </w:r>
    </w:p>
    <w:p w14:paraId="5677AFFE" w14:textId="203CC1C4" w:rsidR="003474F9" w:rsidRPr="00FD1252" w:rsidRDefault="003474F9" w:rsidP="00FD1252">
      <w:pPr>
        <w:spacing w:line="360" w:lineRule="auto"/>
        <w:jc w:val="both"/>
        <w:rPr>
          <w:rFonts w:ascii="Book Antiqua" w:hAnsi="Book Antiqua"/>
        </w:rPr>
      </w:pPr>
      <w:r w:rsidRPr="00FD1252">
        <w:rPr>
          <w:rFonts w:ascii="Book Antiqua" w:hAnsi="Book Antiqua"/>
          <w:noProof/>
        </w:rPr>
        <w:drawing>
          <wp:inline distT="0" distB="0" distL="0" distR="0" wp14:anchorId="55E23346" wp14:editId="28B26443">
            <wp:extent cx="2286000" cy="1728176"/>
            <wp:effectExtent l="0" t="0" r="0" b="5715"/>
            <wp:docPr id="828045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04553" name=""/>
                    <pic:cNvPicPr/>
                  </pic:nvPicPr>
                  <pic:blipFill>
                    <a:blip r:embed="rId14"/>
                    <a:stretch>
                      <a:fillRect/>
                    </a:stretch>
                  </pic:blipFill>
                  <pic:spPr>
                    <a:xfrm>
                      <a:off x="0" y="0"/>
                      <a:ext cx="2304914" cy="1742475"/>
                    </a:xfrm>
                    <a:prstGeom prst="rect">
                      <a:avLst/>
                    </a:prstGeom>
                  </pic:spPr>
                </pic:pic>
              </a:graphicData>
            </a:graphic>
          </wp:inline>
        </w:drawing>
      </w:r>
    </w:p>
    <w:p w14:paraId="7A51542A" w14:textId="729951CC" w:rsidR="00A77B3E" w:rsidRPr="00FD1252" w:rsidRDefault="006E5779" w:rsidP="00FD1252">
      <w:pPr>
        <w:spacing w:line="360" w:lineRule="auto"/>
        <w:jc w:val="both"/>
        <w:rPr>
          <w:rFonts w:ascii="Book Antiqua" w:hAnsi="Book Antiqua"/>
        </w:rPr>
      </w:pPr>
      <w:r w:rsidRPr="00FD1252">
        <w:rPr>
          <w:rFonts w:ascii="Book Antiqua" w:eastAsia="Book Antiqua" w:hAnsi="Book Antiqua" w:cs="Book Antiqua"/>
          <w:b/>
          <w:bCs/>
        </w:rPr>
        <w:t xml:space="preserve">Figure 4 </w:t>
      </w:r>
      <w:r w:rsidR="003474F9" w:rsidRPr="00FD1252">
        <w:rPr>
          <w:rFonts w:ascii="Book Antiqua" w:eastAsia="Book Antiqua" w:hAnsi="Book Antiqua" w:cs="Book Antiqua"/>
          <w:b/>
          <w:bCs/>
        </w:rPr>
        <w:t>Diagnostic lesions.</w:t>
      </w:r>
      <w:r w:rsidR="003474F9" w:rsidRPr="00FD1252">
        <w:rPr>
          <w:rFonts w:ascii="Book Antiqua" w:eastAsia="Book Antiqua" w:hAnsi="Book Antiqua" w:cs="Book Antiqua"/>
        </w:rPr>
        <w:t xml:space="preserve"> A: </w:t>
      </w:r>
      <w:r w:rsidRPr="00FD1252">
        <w:rPr>
          <w:rFonts w:ascii="Book Antiqua" w:eastAsia="Book Antiqua" w:hAnsi="Book Antiqua" w:cs="Book Antiqua"/>
        </w:rPr>
        <w:t>Acute Banff lesion of glomerulitis. There is segmental glomerulitis (g1) (arrows) characterized by mononuclear inflammatory cell infiltration and endothelial cell enlargement resulting in partial to complete occlusion of capillary lumena. Glomerulitis is one of the key lesions of antibody-mediated rejection. (</w:t>
      </w:r>
      <w:r w:rsidR="00F15982" w:rsidRPr="00FD1252">
        <w:rPr>
          <w:rFonts w:ascii="Book Antiqua" w:eastAsia="Book Antiqua" w:hAnsi="Book Antiqua" w:cs="Book Antiqua"/>
        </w:rPr>
        <w:t>Period acid-Schiff</w:t>
      </w:r>
      <w:r w:rsidRPr="00FD1252">
        <w:rPr>
          <w:rFonts w:ascii="Book Antiqua" w:eastAsia="Book Antiqua" w:hAnsi="Book Antiqua" w:cs="Book Antiqua"/>
        </w:rPr>
        <w:t>, ×400)</w:t>
      </w:r>
      <w:r w:rsidR="003474F9" w:rsidRPr="00FD1252">
        <w:rPr>
          <w:rFonts w:ascii="Book Antiqua" w:eastAsia="Book Antiqua" w:hAnsi="Book Antiqua" w:cs="Book Antiqua"/>
        </w:rPr>
        <w:t>; B</w:t>
      </w:r>
      <w:r w:rsidRPr="00FD1252">
        <w:rPr>
          <w:rFonts w:ascii="Book Antiqua" w:eastAsia="Book Antiqua" w:hAnsi="Book Antiqua" w:cs="Book Antiqua"/>
        </w:rPr>
        <w:t xml:space="preserve"> Morphologic features of mixed antibody-mediated and T cell-mediated rejection with both acute and chronic lesions. There is almost global glomerulitis (yellow arrows) with segmental foci of glomerular basement membrane thickening (blue arrows) suggestive of early transplant glomerulopathy along with diffuse interstitial inflammation (i3) (red arrows) and peritubular capillaritis (green arrows). An artery included shows severe intimal fibrous thickening (neo-intima formation) without duplication of elastica</w:t>
      </w:r>
      <w:r w:rsidR="002F352C">
        <w:rPr>
          <w:rFonts w:ascii="Book Antiqua" w:eastAsia="Book Antiqua" w:hAnsi="Book Antiqua" w:cs="Book Antiqua"/>
        </w:rPr>
        <w:t>,</w:t>
      </w:r>
      <w:r w:rsidR="002F352C" w:rsidRPr="00FD1252">
        <w:rPr>
          <w:rFonts w:ascii="Book Antiqua" w:eastAsia="Book Antiqua" w:hAnsi="Book Antiqua" w:cs="Book Antiqua"/>
        </w:rPr>
        <w:t xml:space="preserve"> </w:t>
      </w:r>
      <w:r w:rsidRPr="00FD1252">
        <w:rPr>
          <w:rFonts w:ascii="Book Antiqua" w:eastAsia="Book Antiqua" w:hAnsi="Book Antiqua" w:cs="Book Antiqua"/>
        </w:rPr>
        <w:t>(</w:t>
      </w:r>
      <w:r w:rsidR="00F15982" w:rsidRPr="00FD1252">
        <w:rPr>
          <w:rFonts w:ascii="Book Antiqua" w:eastAsia="Book Antiqua" w:hAnsi="Book Antiqua" w:cs="Book Antiqua"/>
        </w:rPr>
        <w:t>Period acid-Schiff</w:t>
      </w:r>
      <w:r w:rsidRPr="00FD1252">
        <w:rPr>
          <w:rFonts w:ascii="Book Antiqua" w:eastAsia="Book Antiqua" w:hAnsi="Book Antiqua" w:cs="Book Antiqua"/>
        </w:rPr>
        <w:t>, ×</w:t>
      </w:r>
      <w:r w:rsidR="002F352C">
        <w:rPr>
          <w:rFonts w:ascii="Book Antiqua" w:eastAsia="Book Antiqua" w:hAnsi="Book Antiqua" w:cs="Book Antiqua"/>
        </w:rPr>
        <w:t xml:space="preserve"> </w:t>
      </w:r>
      <w:r w:rsidRPr="00FD1252">
        <w:rPr>
          <w:rFonts w:ascii="Book Antiqua" w:eastAsia="Book Antiqua" w:hAnsi="Book Antiqua" w:cs="Book Antiqua"/>
        </w:rPr>
        <w:t>200)</w:t>
      </w:r>
      <w:r w:rsidR="003474F9" w:rsidRPr="00FD1252">
        <w:rPr>
          <w:rFonts w:ascii="Book Antiqua" w:eastAsia="Book Antiqua" w:hAnsi="Book Antiqua" w:cs="Book Antiqua"/>
        </w:rPr>
        <w:t>; C:</w:t>
      </w:r>
      <w:r w:rsidRPr="00FD1252">
        <w:rPr>
          <w:rFonts w:ascii="Book Antiqua" w:eastAsia="Book Antiqua" w:hAnsi="Book Antiqua" w:cs="Book Antiqua"/>
        </w:rPr>
        <w:t xml:space="preserve"> Mixed acute and chronic Banff diagnostic lesions of rejection. There is segmental glomerulitis (green arrow), peritubular capillaritis (red arrows), and foci of </w:t>
      </w:r>
      <w:r w:rsidR="002F352C">
        <w:rPr>
          <w:rFonts w:ascii="Book Antiqua" w:eastAsia="Book Antiqua" w:hAnsi="Book Antiqua" w:cs="Book Antiqua"/>
        </w:rPr>
        <w:t>t</w:t>
      </w:r>
      <w:r w:rsidR="002F352C" w:rsidRPr="002F352C">
        <w:rPr>
          <w:rFonts w:ascii="Book Antiqua" w:eastAsia="Book Antiqua" w:hAnsi="Book Antiqua" w:cs="Book Antiqua"/>
        </w:rPr>
        <w:t>ubulitis in mildly to moderately atrophic tubules within the scarred cortex</w:t>
      </w:r>
      <w:r w:rsidRPr="00FD1252">
        <w:rPr>
          <w:rFonts w:ascii="Book Antiqua" w:eastAsia="Book Antiqua" w:hAnsi="Book Antiqua" w:cs="Book Antiqua"/>
        </w:rPr>
        <w:t xml:space="preserve"> (yellow arrows</w:t>
      </w:r>
      <w:r w:rsidR="002F352C" w:rsidRPr="00FD1252">
        <w:rPr>
          <w:rFonts w:ascii="Book Antiqua" w:eastAsia="Book Antiqua" w:hAnsi="Book Antiqua" w:cs="Book Antiqua"/>
        </w:rPr>
        <w:t xml:space="preserve">) </w:t>
      </w:r>
      <w:r w:rsidRPr="00FD1252">
        <w:rPr>
          <w:rFonts w:ascii="Book Antiqua" w:eastAsia="Book Antiqua" w:hAnsi="Book Antiqua" w:cs="Book Antiqua"/>
        </w:rPr>
        <w:t>(Jones Methenamine Silver, ×</w:t>
      </w:r>
      <w:r w:rsidR="002F352C">
        <w:rPr>
          <w:rFonts w:ascii="Book Antiqua" w:eastAsia="Book Antiqua" w:hAnsi="Book Antiqua" w:cs="Book Antiqua"/>
        </w:rPr>
        <w:t xml:space="preserve"> </w:t>
      </w:r>
      <w:r w:rsidRPr="00FD1252">
        <w:rPr>
          <w:rFonts w:ascii="Book Antiqua" w:eastAsia="Book Antiqua" w:hAnsi="Book Antiqua" w:cs="Book Antiqua"/>
        </w:rPr>
        <w:t xml:space="preserve">400). </w:t>
      </w:r>
    </w:p>
    <w:p w14:paraId="4CC576E5" w14:textId="77777777" w:rsidR="00F15982" w:rsidRPr="00FD1252" w:rsidRDefault="00F15982" w:rsidP="00FD1252">
      <w:pPr>
        <w:spacing w:line="360" w:lineRule="auto"/>
        <w:jc w:val="both"/>
        <w:rPr>
          <w:rFonts w:ascii="Book Antiqua" w:hAnsi="Book Antiqua"/>
        </w:rPr>
        <w:sectPr w:rsidR="00F15982" w:rsidRPr="00FD1252">
          <w:pgSz w:w="12240" w:h="15840"/>
          <w:pgMar w:top="1440" w:right="1440" w:bottom="1440" w:left="1440" w:header="720" w:footer="720" w:gutter="0"/>
          <w:cols w:space="720"/>
          <w:docGrid w:linePitch="360"/>
        </w:sectPr>
      </w:pPr>
    </w:p>
    <w:p w14:paraId="13DE2887" w14:textId="37F67A33" w:rsidR="00F15982" w:rsidRPr="00FD1252" w:rsidRDefault="00F15982" w:rsidP="00FD1252">
      <w:pPr>
        <w:spacing w:line="360" w:lineRule="auto"/>
        <w:jc w:val="both"/>
        <w:rPr>
          <w:rFonts w:ascii="Book Antiqua" w:hAnsi="Book Antiqua"/>
        </w:rPr>
      </w:pPr>
      <w:r w:rsidRPr="00FD1252">
        <w:rPr>
          <w:rFonts w:ascii="Book Antiqua" w:hAnsi="Book Antiqua"/>
          <w:noProof/>
        </w:rPr>
        <w:lastRenderedPageBreak/>
        <w:drawing>
          <wp:inline distT="0" distB="0" distL="0" distR="0" wp14:anchorId="05BABACA" wp14:editId="43EDBD43">
            <wp:extent cx="5943600" cy="2262505"/>
            <wp:effectExtent l="0" t="0" r="0" b="0"/>
            <wp:docPr id="14479031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03161" name=""/>
                    <pic:cNvPicPr/>
                  </pic:nvPicPr>
                  <pic:blipFill>
                    <a:blip r:embed="rId15"/>
                    <a:stretch>
                      <a:fillRect/>
                    </a:stretch>
                  </pic:blipFill>
                  <pic:spPr>
                    <a:xfrm>
                      <a:off x="0" y="0"/>
                      <a:ext cx="5943600" cy="2262505"/>
                    </a:xfrm>
                    <a:prstGeom prst="rect">
                      <a:avLst/>
                    </a:prstGeom>
                  </pic:spPr>
                </pic:pic>
              </a:graphicData>
            </a:graphic>
          </wp:inline>
        </w:drawing>
      </w:r>
    </w:p>
    <w:p w14:paraId="6A78789E" w14:textId="160E15EF" w:rsidR="00F15982" w:rsidRPr="00FD1252" w:rsidRDefault="00F15982" w:rsidP="00FD1252">
      <w:pPr>
        <w:spacing w:line="360" w:lineRule="auto"/>
        <w:jc w:val="both"/>
        <w:rPr>
          <w:rFonts w:ascii="Book Antiqua" w:hAnsi="Book Antiqua"/>
        </w:rPr>
      </w:pPr>
      <w:r w:rsidRPr="00FD1252">
        <w:rPr>
          <w:rFonts w:ascii="Book Antiqua" w:hAnsi="Book Antiqua"/>
          <w:noProof/>
        </w:rPr>
        <w:drawing>
          <wp:inline distT="0" distB="0" distL="0" distR="0" wp14:anchorId="356C369C" wp14:editId="7CB20A55">
            <wp:extent cx="5943600" cy="1981200"/>
            <wp:effectExtent l="0" t="0" r="0" b="0"/>
            <wp:docPr id="960666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6660" name=""/>
                    <pic:cNvPicPr/>
                  </pic:nvPicPr>
                  <pic:blipFill>
                    <a:blip r:embed="rId16"/>
                    <a:stretch>
                      <a:fillRect/>
                    </a:stretch>
                  </pic:blipFill>
                  <pic:spPr>
                    <a:xfrm>
                      <a:off x="0" y="0"/>
                      <a:ext cx="5943600" cy="1981200"/>
                    </a:xfrm>
                    <a:prstGeom prst="rect">
                      <a:avLst/>
                    </a:prstGeom>
                  </pic:spPr>
                </pic:pic>
              </a:graphicData>
            </a:graphic>
          </wp:inline>
        </w:drawing>
      </w:r>
    </w:p>
    <w:p w14:paraId="1D16C4AC" w14:textId="634C46F1" w:rsidR="00A77B3E" w:rsidRPr="00FD1252" w:rsidRDefault="006E5779" w:rsidP="00FD1252">
      <w:pPr>
        <w:spacing w:line="360" w:lineRule="auto"/>
        <w:jc w:val="both"/>
        <w:rPr>
          <w:rFonts w:ascii="Book Antiqua" w:eastAsia="Book Antiqua" w:hAnsi="Book Antiqua" w:cs="Book Antiqua"/>
          <w:color w:val="000000"/>
        </w:rPr>
      </w:pPr>
      <w:r w:rsidRPr="00FD1252">
        <w:rPr>
          <w:rFonts w:ascii="Book Antiqua" w:eastAsia="Book Antiqua" w:hAnsi="Book Antiqua" w:cs="Book Antiqua"/>
          <w:b/>
          <w:bCs/>
        </w:rPr>
        <w:t xml:space="preserve">Figure </w:t>
      </w:r>
      <w:r w:rsidR="003474F9" w:rsidRPr="00FD1252">
        <w:rPr>
          <w:rFonts w:ascii="Book Antiqua" w:eastAsia="Book Antiqua" w:hAnsi="Book Antiqua" w:cs="Book Antiqua"/>
          <w:b/>
          <w:bCs/>
        </w:rPr>
        <w:t>5</w:t>
      </w:r>
      <w:r w:rsidRPr="00FD1252">
        <w:rPr>
          <w:rFonts w:ascii="Book Antiqua" w:eastAsia="Book Antiqua" w:hAnsi="Book Antiqua" w:cs="Book Antiqua"/>
          <w:b/>
          <w:bCs/>
        </w:rPr>
        <w:t xml:space="preserve"> Diagram depicting the main changes with the timeline.</w:t>
      </w:r>
      <w:r w:rsidRPr="00FD1252">
        <w:rPr>
          <w:rFonts w:ascii="Book Antiqua" w:eastAsia="Book Antiqua" w:hAnsi="Book Antiqua" w:cs="Book Antiqua"/>
        </w:rPr>
        <w:t xml:space="preserve"> A: In the category of antibody-mediated rejection</w:t>
      </w:r>
      <w:r w:rsidR="0018139D">
        <w:rPr>
          <w:rFonts w:ascii="Book Antiqua" w:eastAsia="Book Antiqua" w:hAnsi="Book Antiqua" w:cs="Book Antiqua"/>
        </w:rPr>
        <w:t xml:space="preserve"> (AMR)</w:t>
      </w:r>
      <w:r w:rsidRPr="00FD1252">
        <w:rPr>
          <w:rFonts w:ascii="Book Antiqua" w:eastAsia="Book Antiqua" w:hAnsi="Book Antiqua" w:cs="Book Antiqua"/>
        </w:rPr>
        <w:t>; B: In the category of T cell-mediated rejection</w:t>
      </w:r>
      <w:r w:rsidR="0018139D">
        <w:rPr>
          <w:rFonts w:ascii="Book Antiqua" w:eastAsia="Book Antiqua" w:hAnsi="Book Antiqua" w:cs="Book Antiqua"/>
        </w:rPr>
        <w:t xml:space="preserve"> (TCMR)</w:t>
      </w:r>
      <w:r w:rsidRPr="00FD1252">
        <w:rPr>
          <w:rFonts w:ascii="Book Antiqua" w:eastAsia="Book Antiqua" w:hAnsi="Book Antiqua" w:cs="Book Antiqua"/>
        </w:rPr>
        <w:t>.</w:t>
      </w:r>
      <w:r w:rsidR="00F15982" w:rsidRPr="00FD1252">
        <w:rPr>
          <w:rFonts w:ascii="Book Antiqua" w:eastAsia="Book Antiqua" w:hAnsi="Book Antiqua" w:cs="Book Antiqua"/>
        </w:rPr>
        <w:t xml:space="preserve"> </w:t>
      </w:r>
      <w:bookmarkStart w:id="2" w:name="_Hlk137304667"/>
      <w:r w:rsidR="00F15982" w:rsidRPr="00FD1252">
        <w:rPr>
          <w:rFonts w:ascii="Book Antiqua" w:eastAsia="Book Antiqua" w:hAnsi="Book Antiqua" w:cs="Book Antiqua"/>
        </w:rPr>
        <w:t>DSA:</w:t>
      </w:r>
      <w:r w:rsidR="00F15982" w:rsidRPr="00FD1252">
        <w:rPr>
          <w:rFonts w:ascii="Book Antiqua" w:eastAsia="Book Antiqua" w:hAnsi="Book Antiqua" w:cs="Book Antiqua"/>
          <w:color w:val="000000"/>
        </w:rPr>
        <w:t xml:space="preserve"> Donor-specific antibody</w:t>
      </w:r>
      <w:bookmarkEnd w:id="2"/>
      <w:r w:rsidR="00F15982" w:rsidRPr="00FD1252">
        <w:rPr>
          <w:rFonts w:ascii="Book Antiqua" w:eastAsia="Book Antiqua" w:hAnsi="Book Antiqua" w:cs="Book Antiqua"/>
          <w:color w:val="000000"/>
        </w:rPr>
        <w:t>.</w:t>
      </w:r>
    </w:p>
    <w:p w14:paraId="643BDBA6" w14:textId="77777777" w:rsidR="003474F9" w:rsidRPr="00FD1252" w:rsidRDefault="003474F9" w:rsidP="00FD1252">
      <w:pPr>
        <w:spacing w:line="360" w:lineRule="auto"/>
        <w:jc w:val="both"/>
        <w:rPr>
          <w:rFonts w:ascii="Book Antiqua" w:hAnsi="Book Antiqua"/>
        </w:rPr>
        <w:sectPr w:rsidR="003474F9" w:rsidRPr="00FD1252">
          <w:pgSz w:w="12240" w:h="15840"/>
          <w:pgMar w:top="1440" w:right="1440" w:bottom="1440" w:left="1440" w:header="720" w:footer="720" w:gutter="0"/>
          <w:cols w:space="720"/>
          <w:docGrid w:linePitch="360"/>
        </w:sectPr>
      </w:pPr>
    </w:p>
    <w:p w14:paraId="7C6C5D15" w14:textId="472847BC" w:rsidR="003474F9" w:rsidRPr="00FD1252" w:rsidRDefault="003474F9" w:rsidP="00FD1252">
      <w:pPr>
        <w:spacing w:line="360" w:lineRule="auto"/>
        <w:jc w:val="both"/>
        <w:rPr>
          <w:rFonts w:ascii="Book Antiqua" w:eastAsia="Book Antiqua" w:hAnsi="Book Antiqua" w:cs="Book Antiqua"/>
          <w:b/>
          <w:bCs/>
        </w:rPr>
      </w:pPr>
      <w:r w:rsidRPr="00FD1252">
        <w:rPr>
          <w:rFonts w:ascii="Book Antiqua" w:eastAsia="Book Antiqua" w:hAnsi="Book Antiqua" w:cs="Book Antiqua"/>
          <w:b/>
          <w:bCs/>
        </w:rPr>
        <w:lastRenderedPageBreak/>
        <w:t>Table 1 Adequacy criteria of renal allograft biopsies for an accurate pathologic diagnosis</w:t>
      </w:r>
    </w:p>
    <w:tbl>
      <w:tblPr>
        <w:tblW w:w="10061" w:type="dxa"/>
        <w:tblLook w:val="04A0" w:firstRow="1" w:lastRow="0" w:firstColumn="1" w:lastColumn="0" w:noHBand="0" w:noVBand="1"/>
      </w:tblPr>
      <w:tblGrid>
        <w:gridCol w:w="3969"/>
        <w:gridCol w:w="6092"/>
      </w:tblGrid>
      <w:tr w:rsidR="003474F9" w:rsidRPr="00FD1252" w14:paraId="263C1549" w14:textId="77777777" w:rsidTr="00CB36CC">
        <w:trPr>
          <w:trHeight w:val="510"/>
        </w:trPr>
        <w:tc>
          <w:tcPr>
            <w:tcW w:w="3969" w:type="dxa"/>
            <w:tcBorders>
              <w:top w:val="single" w:sz="4" w:space="0" w:color="auto"/>
              <w:bottom w:val="single" w:sz="4" w:space="0" w:color="auto"/>
            </w:tcBorders>
          </w:tcPr>
          <w:p w14:paraId="53A182C4" w14:textId="77777777" w:rsidR="003474F9" w:rsidRPr="00FD1252" w:rsidRDefault="003474F9" w:rsidP="00FD1252">
            <w:pPr>
              <w:spacing w:line="360" w:lineRule="auto"/>
              <w:jc w:val="both"/>
              <w:rPr>
                <w:rFonts w:ascii="Book Antiqua" w:eastAsia="Book Antiqua" w:hAnsi="Book Antiqua" w:cs="Book Antiqua"/>
                <w:b/>
                <w:bCs/>
              </w:rPr>
            </w:pPr>
            <w:r w:rsidRPr="00FD1252">
              <w:rPr>
                <w:rFonts w:ascii="Book Antiqua" w:eastAsia="Book Antiqua" w:hAnsi="Book Antiqua" w:cs="Book Antiqua"/>
                <w:b/>
                <w:bCs/>
              </w:rPr>
              <w:t>Parameters/investigations</w:t>
            </w:r>
          </w:p>
        </w:tc>
        <w:tc>
          <w:tcPr>
            <w:tcW w:w="6092" w:type="dxa"/>
            <w:tcBorders>
              <w:top w:val="single" w:sz="4" w:space="0" w:color="auto"/>
              <w:bottom w:val="single" w:sz="4" w:space="0" w:color="auto"/>
            </w:tcBorders>
          </w:tcPr>
          <w:p w14:paraId="76228B04" w14:textId="77777777" w:rsidR="003474F9" w:rsidRPr="00FD1252" w:rsidRDefault="003474F9" w:rsidP="00FD1252">
            <w:pPr>
              <w:spacing w:line="360" w:lineRule="auto"/>
              <w:jc w:val="both"/>
              <w:rPr>
                <w:rFonts w:ascii="Book Antiqua" w:eastAsia="Book Antiqua" w:hAnsi="Book Antiqua" w:cs="Book Antiqua"/>
                <w:b/>
                <w:bCs/>
              </w:rPr>
            </w:pPr>
            <w:r w:rsidRPr="00FD1252">
              <w:rPr>
                <w:rFonts w:ascii="Book Antiqua" w:eastAsia="Book Antiqua" w:hAnsi="Book Antiqua" w:cs="Book Antiqua"/>
                <w:b/>
                <w:bCs/>
              </w:rPr>
              <w:t>Requirements</w:t>
            </w:r>
          </w:p>
        </w:tc>
      </w:tr>
      <w:tr w:rsidR="003474F9" w:rsidRPr="00FD1252" w14:paraId="0337B18B" w14:textId="77777777" w:rsidTr="00CB36CC">
        <w:trPr>
          <w:trHeight w:val="744"/>
        </w:trPr>
        <w:tc>
          <w:tcPr>
            <w:tcW w:w="3969" w:type="dxa"/>
            <w:tcBorders>
              <w:top w:val="single" w:sz="4" w:space="0" w:color="auto"/>
            </w:tcBorders>
          </w:tcPr>
          <w:p w14:paraId="6A095CAC" w14:textId="77777777" w:rsidR="003474F9" w:rsidRPr="00FD1252" w:rsidRDefault="003474F9" w:rsidP="00FD1252">
            <w:pPr>
              <w:spacing w:line="360" w:lineRule="auto"/>
              <w:jc w:val="both"/>
              <w:rPr>
                <w:rFonts w:ascii="Book Antiqua" w:eastAsia="Book Antiqua" w:hAnsi="Book Antiqua" w:cs="Book Antiqua"/>
              </w:rPr>
            </w:pPr>
            <w:r w:rsidRPr="00FD1252">
              <w:rPr>
                <w:rFonts w:ascii="Book Antiqua" w:eastAsia="Book Antiqua" w:hAnsi="Book Antiqua" w:cs="Book Antiqua"/>
              </w:rPr>
              <w:t>Number of cores</w:t>
            </w:r>
          </w:p>
        </w:tc>
        <w:tc>
          <w:tcPr>
            <w:tcW w:w="6092" w:type="dxa"/>
            <w:tcBorders>
              <w:top w:val="single" w:sz="4" w:space="0" w:color="auto"/>
            </w:tcBorders>
          </w:tcPr>
          <w:p w14:paraId="04351372" w14:textId="6B5B107F" w:rsidR="003474F9" w:rsidRPr="00FD1252" w:rsidRDefault="003474F9" w:rsidP="00FD1252">
            <w:pPr>
              <w:spacing w:line="360" w:lineRule="auto"/>
              <w:jc w:val="both"/>
              <w:rPr>
                <w:rFonts w:ascii="Book Antiqua" w:eastAsia="Book Antiqua" w:hAnsi="Book Antiqua" w:cs="Book Antiqua"/>
              </w:rPr>
            </w:pPr>
            <w:r w:rsidRPr="00FD1252">
              <w:rPr>
                <w:rFonts w:ascii="Book Antiqua" w:eastAsia="Book Antiqua" w:hAnsi="Book Antiqua" w:cs="Book Antiqua"/>
              </w:rPr>
              <w:t xml:space="preserve">Two (these should be divided to procure tissue for </w:t>
            </w:r>
            <w:r w:rsidR="00403DA0" w:rsidRPr="00FD1252">
              <w:rPr>
                <w:rFonts w:ascii="Book Antiqua" w:eastAsia="Book Antiqua" w:hAnsi="Book Antiqua" w:cs="Book Antiqua"/>
              </w:rPr>
              <w:t xml:space="preserve">IF </w:t>
            </w:r>
            <w:r w:rsidRPr="00FD1252">
              <w:rPr>
                <w:rFonts w:ascii="Book Antiqua" w:eastAsia="Book Antiqua" w:hAnsi="Book Antiqua" w:cs="Book Antiqua"/>
              </w:rPr>
              <w:t>and EM studies, if necessary)</w:t>
            </w:r>
          </w:p>
        </w:tc>
      </w:tr>
      <w:tr w:rsidR="003474F9" w:rsidRPr="00FD1252" w14:paraId="5928C682" w14:textId="77777777" w:rsidTr="00CB36CC">
        <w:trPr>
          <w:trHeight w:val="570"/>
        </w:trPr>
        <w:tc>
          <w:tcPr>
            <w:tcW w:w="3969" w:type="dxa"/>
          </w:tcPr>
          <w:p w14:paraId="0AA2CCA9" w14:textId="77777777" w:rsidR="003474F9" w:rsidRPr="00FD1252" w:rsidRDefault="003474F9" w:rsidP="00FD1252">
            <w:pPr>
              <w:spacing w:line="360" w:lineRule="auto"/>
              <w:jc w:val="both"/>
              <w:rPr>
                <w:rFonts w:ascii="Book Antiqua" w:eastAsia="Book Antiqua" w:hAnsi="Book Antiqua" w:cs="Book Antiqua"/>
              </w:rPr>
            </w:pPr>
            <w:r w:rsidRPr="00FD1252">
              <w:rPr>
                <w:rFonts w:ascii="Book Antiqua" w:eastAsia="Book Antiqua" w:hAnsi="Book Antiqua" w:cs="Book Antiqua"/>
              </w:rPr>
              <w:t>Components of graft parenchyma</w:t>
            </w:r>
          </w:p>
        </w:tc>
        <w:tc>
          <w:tcPr>
            <w:tcW w:w="6092" w:type="dxa"/>
          </w:tcPr>
          <w:p w14:paraId="2292147D" w14:textId="77777777" w:rsidR="003474F9" w:rsidRPr="00FD1252" w:rsidRDefault="003474F9" w:rsidP="00FD1252">
            <w:pPr>
              <w:spacing w:line="360" w:lineRule="auto"/>
              <w:jc w:val="both"/>
              <w:rPr>
                <w:rFonts w:ascii="Book Antiqua" w:eastAsia="Book Antiqua" w:hAnsi="Book Antiqua" w:cs="Book Antiqua"/>
              </w:rPr>
            </w:pPr>
            <w:r w:rsidRPr="00FD1252">
              <w:rPr>
                <w:rFonts w:ascii="Book Antiqua" w:eastAsia="Book Antiqua" w:hAnsi="Book Antiqua" w:cs="Book Antiqua"/>
              </w:rPr>
              <w:t>Both cortex and medulla</w:t>
            </w:r>
          </w:p>
        </w:tc>
      </w:tr>
      <w:tr w:rsidR="003474F9" w:rsidRPr="00FD1252" w14:paraId="124DDA4F" w14:textId="77777777" w:rsidTr="00CB36CC">
        <w:trPr>
          <w:trHeight w:val="879"/>
        </w:trPr>
        <w:tc>
          <w:tcPr>
            <w:tcW w:w="3969" w:type="dxa"/>
          </w:tcPr>
          <w:p w14:paraId="0C544248" w14:textId="77777777" w:rsidR="003474F9" w:rsidRPr="00FD1252" w:rsidRDefault="003474F9" w:rsidP="00FD1252">
            <w:pPr>
              <w:spacing w:line="360" w:lineRule="auto"/>
              <w:ind w:firstLineChars="50" w:firstLine="120"/>
              <w:jc w:val="both"/>
              <w:rPr>
                <w:rFonts w:ascii="Book Antiqua" w:eastAsia="Book Antiqua" w:hAnsi="Book Antiqua" w:cs="Book Antiqua"/>
              </w:rPr>
            </w:pPr>
            <w:r w:rsidRPr="00FD1252">
              <w:rPr>
                <w:rFonts w:ascii="Book Antiqua" w:eastAsia="Book Antiqua" w:hAnsi="Book Antiqua" w:cs="Book Antiqua"/>
              </w:rPr>
              <w:t>For the light microscopic study</w:t>
            </w:r>
          </w:p>
        </w:tc>
        <w:tc>
          <w:tcPr>
            <w:tcW w:w="6092" w:type="dxa"/>
          </w:tcPr>
          <w:p w14:paraId="177F863F" w14:textId="77777777" w:rsidR="003474F9" w:rsidRPr="00FD1252" w:rsidRDefault="003474F9" w:rsidP="00FD1252">
            <w:pPr>
              <w:spacing w:line="360" w:lineRule="auto"/>
              <w:jc w:val="both"/>
              <w:rPr>
                <w:rFonts w:ascii="Book Antiqua" w:eastAsia="Book Antiqua" w:hAnsi="Book Antiqua" w:cs="Book Antiqua"/>
              </w:rPr>
            </w:pPr>
            <w:r w:rsidRPr="00FD1252">
              <w:rPr>
                <w:rFonts w:ascii="Book Antiqua" w:eastAsia="Book Antiqua" w:hAnsi="Book Antiqua" w:cs="Book Antiqua"/>
              </w:rPr>
              <w:t>A significant amount of cortex containing up to</w:t>
            </w:r>
            <w:r w:rsidRPr="00FD1252">
              <w:rPr>
                <w:rFonts w:ascii="Book Antiqua" w:hAnsi="Book Antiqua" w:cs="Book Antiqua"/>
                <w:lang w:eastAsia="zh-CN"/>
              </w:rPr>
              <w:t xml:space="preserve">: (1) </w:t>
            </w:r>
            <w:r w:rsidRPr="00FD1252">
              <w:rPr>
                <w:rFonts w:ascii="Book Antiqua" w:eastAsia="Book Antiqua" w:hAnsi="Book Antiqua" w:cs="Book Antiqua"/>
              </w:rPr>
              <w:t>10 glomeruli; and (2)</w:t>
            </w:r>
            <w:r w:rsidRPr="00FD1252">
              <w:rPr>
                <w:rFonts w:ascii="Book Antiqua" w:hAnsi="Book Antiqua" w:cs="Book Antiqua"/>
                <w:lang w:eastAsia="zh-CN"/>
              </w:rPr>
              <w:t xml:space="preserve"> </w:t>
            </w:r>
            <w:r w:rsidRPr="00FD1252">
              <w:rPr>
                <w:rFonts w:ascii="Book Antiqua" w:eastAsia="Book Antiqua" w:hAnsi="Book Antiqua" w:cs="Book Antiqua"/>
              </w:rPr>
              <w:t>2 arteries</w:t>
            </w:r>
          </w:p>
        </w:tc>
      </w:tr>
      <w:tr w:rsidR="003474F9" w:rsidRPr="00FD1252" w14:paraId="1A4B34EA" w14:textId="77777777" w:rsidTr="00CB36CC">
        <w:trPr>
          <w:trHeight w:val="412"/>
        </w:trPr>
        <w:tc>
          <w:tcPr>
            <w:tcW w:w="3969" w:type="dxa"/>
          </w:tcPr>
          <w:p w14:paraId="4FBCBDBF" w14:textId="77777777" w:rsidR="003474F9" w:rsidRPr="00FD1252" w:rsidRDefault="003474F9" w:rsidP="00FD1252">
            <w:pPr>
              <w:spacing w:line="360" w:lineRule="auto"/>
              <w:ind w:firstLineChars="50" w:firstLine="120"/>
              <w:jc w:val="both"/>
              <w:rPr>
                <w:rFonts w:ascii="Book Antiqua" w:eastAsia="Book Antiqua" w:hAnsi="Book Antiqua" w:cs="Book Antiqua"/>
              </w:rPr>
            </w:pPr>
            <w:r w:rsidRPr="00FD1252">
              <w:rPr>
                <w:rFonts w:ascii="Book Antiqua" w:eastAsia="Book Antiqua" w:hAnsi="Book Antiqua" w:cs="Book Antiqua"/>
              </w:rPr>
              <w:t>For the immunofluorescence study</w:t>
            </w:r>
          </w:p>
        </w:tc>
        <w:tc>
          <w:tcPr>
            <w:tcW w:w="6092" w:type="dxa"/>
          </w:tcPr>
          <w:p w14:paraId="16C8394E" w14:textId="77777777" w:rsidR="003474F9" w:rsidRPr="00FD1252" w:rsidRDefault="003474F9" w:rsidP="00FD1252">
            <w:pPr>
              <w:spacing w:line="360" w:lineRule="auto"/>
              <w:jc w:val="both"/>
              <w:rPr>
                <w:rFonts w:ascii="Book Antiqua" w:eastAsia="Book Antiqua" w:hAnsi="Book Antiqua" w:cs="Book Antiqua"/>
              </w:rPr>
            </w:pPr>
            <w:r w:rsidRPr="00FD1252">
              <w:rPr>
                <w:rFonts w:ascii="Book Antiqua" w:eastAsia="Book Antiqua" w:hAnsi="Book Antiqua" w:cs="Book Antiqua"/>
              </w:rPr>
              <w:t>Cortex with up to 3 glomeruli</w:t>
            </w:r>
          </w:p>
        </w:tc>
      </w:tr>
      <w:tr w:rsidR="003474F9" w:rsidRPr="00FD1252" w14:paraId="0D40B3B4" w14:textId="77777777" w:rsidTr="00CB36CC">
        <w:trPr>
          <w:trHeight w:val="476"/>
        </w:trPr>
        <w:tc>
          <w:tcPr>
            <w:tcW w:w="3969" w:type="dxa"/>
            <w:tcBorders>
              <w:bottom w:val="single" w:sz="4" w:space="0" w:color="auto"/>
            </w:tcBorders>
          </w:tcPr>
          <w:p w14:paraId="5239A4BD" w14:textId="77777777" w:rsidR="003474F9" w:rsidRPr="00FD1252" w:rsidRDefault="003474F9" w:rsidP="00FD1252">
            <w:pPr>
              <w:spacing w:line="360" w:lineRule="auto"/>
              <w:ind w:firstLineChars="50" w:firstLine="120"/>
              <w:jc w:val="both"/>
              <w:rPr>
                <w:rFonts w:ascii="Book Antiqua" w:eastAsia="Book Antiqua" w:hAnsi="Book Antiqua" w:cs="Book Antiqua"/>
              </w:rPr>
            </w:pPr>
            <w:r w:rsidRPr="00FD1252">
              <w:rPr>
                <w:rFonts w:ascii="Book Antiqua" w:eastAsia="Book Antiqua" w:hAnsi="Book Antiqua" w:cs="Book Antiqua"/>
              </w:rPr>
              <w:t>For the electron microscopic study</w:t>
            </w:r>
          </w:p>
        </w:tc>
        <w:tc>
          <w:tcPr>
            <w:tcW w:w="6092" w:type="dxa"/>
            <w:tcBorders>
              <w:bottom w:val="single" w:sz="4" w:space="0" w:color="auto"/>
            </w:tcBorders>
          </w:tcPr>
          <w:p w14:paraId="0871B530" w14:textId="004A749B" w:rsidR="003474F9" w:rsidRPr="00FD1252" w:rsidRDefault="003474F9" w:rsidP="00FD1252">
            <w:pPr>
              <w:spacing w:line="360" w:lineRule="auto"/>
              <w:jc w:val="both"/>
              <w:rPr>
                <w:rFonts w:ascii="Book Antiqua" w:eastAsia="Book Antiqua" w:hAnsi="Book Antiqua" w:cs="Book Antiqua"/>
              </w:rPr>
            </w:pPr>
            <w:r w:rsidRPr="00FD1252">
              <w:rPr>
                <w:rFonts w:ascii="Book Antiqua" w:eastAsia="Book Antiqua" w:hAnsi="Book Antiqua" w:cs="Book Antiqua"/>
              </w:rPr>
              <w:t xml:space="preserve">Cortex with </w:t>
            </w:r>
            <w:r w:rsidR="0018139D">
              <w:rPr>
                <w:rFonts w:ascii="Book Antiqua" w:eastAsia="Book Antiqua" w:hAnsi="Book Antiqua" w:cs="Book Antiqua"/>
              </w:rPr>
              <w:t>1</w:t>
            </w:r>
            <w:r w:rsidR="0018139D" w:rsidRPr="00FD1252">
              <w:rPr>
                <w:rFonts w:ascii="Book Antiqua" w:eastAsia="Book Antiqua" w:hAnsi="Book Antiqua" w:cs="Book Antiqua"/>
              </w:rPr>
              <w:t xml:space="preserve"> </w:t>
            </w:r>
            <w:r w:rsidRPr="00FD1252">
              <w:rPr>
                <w:rFonts w:ascii="Book Antiqua" w:eastAsia="Book Antiqua" w:hAnsi="Book Antiqua" w:cs="Book Antiqua"/>
              </w:rPr>
              <w:t>glomerulus</w:t>
            </w:r>
          </w:p>
        </w:tc>
      </w:tr>
    </w:tbl>
    <w:p w14:paraId="12D18627" w14:textId="308FBB99" w:rsidR="003474F9" w:rsidRPr="00FD1252" w:rsidRDefault="003474F9" w:rsidP="00FD1252">
      <w:pPr>
        <w:spacing w:line="360" w:lineRule="auto"/>
        <w:jc w:val="both"/>
        <w:rPr>
          <w:rFonts w:ascii="Book Antiqua" w:eastAsia="Book Antiqua" w:hAnsi="Book Antiqua" w:cs="Book Antiqua"/>
        </w:rPr>
      </w:pPr>
      <w:r w:rsidRPr="00FD1252">
        <w:rPr>
          <w:rFonts w:ascii="Book Antiqua" w:eastAsia="Book Antiqua" w:hAnsi="Book Antiqua" w:cs="Book Antiqua"/>
        </w:rPr>
        <w:t xml:space="preserve">EM: </w:t>
      </w:r>
      <w:r w:rsidR="00E874B7" w:rsidRPr="00FD1252">
        <w:rPr>
          <w:rFonts w:ascii="Book Antiqua" w:eastAsia="Book Antiqua" w:hAnsi="Book Antiqua" w:cs="Book Antiqua"/>
        </w:rPr>
        <w:t>Electron microscopy</w:t>
      </w:r>
      <w:r w:rsidR="0018139D">
        <w:rPr>
          <w:rFonts w:ascii="Book Antiqua" w:eastAsia="Book Antiqua" w:hAnsi="Book Antiqua" w:cs="Book Antiqua"/>
        </w:rPr>
        <w:t>;</w:t>
      </w:r>
      <w:r w:rsidR="0018139D" w:rsidRPr="0018139D">
        <w:rPr>
          <w:rFonts w:ascii="Book Antiqua" w:eastAsia="Book Antiqua" w:hAnsi="Book Antiqua" w:cs="Book Antiqua"/>
        </w:rPr>
        <w:t xml:space="preserve"> </w:t>
      </w:r>
      <w:r w:rsidR="0018139D" w:rsidRPr="00FD1252">
        <w:rPr>
          <w:rFonts w:ascii="Book Antiqua" w:eastAsia="Book Antiqua" w:hAnsi="Book Antiqua" w:cs="Book Antiqua"/>
        </w:rPr>
        <w:t>IF: Immunofluorescence</w:t>
      </w:r>
      <w:r w:rsidRPr="00FD1252">
        <w:rPr>
          <w:rFonts w:ascii="Book Antiqua" w:eastAsia="Book Antiqua" w:hAnsi="Book Antiqua" w:cs="Book Antiqua"/>
        </w:rPr>
        <w:t>.</w:t>
      </w:r>
    </w:p>
    <w:p w14:paraId="71989198" w14:textId="77777777" w:rsidR="003474F9" w:rsidRPr="00FD1252" w:rsidRDefault="003474F9" w:rsidP="00FD1252">
      <w:pPr>
        <w:spacing w:line="360" w:lineRule="auto"/>
        <w:jc w:val="both"/>
        <w:rPr>
          <w:rFonts w:ascii="Book Antiqua" w:eastAsia="Book Antiqua" w:hAnsi="Book Antiqua" w:cs="Book Antiqua"/>
        </w:rPr>
        <w:sectPr w:rsidR="003474F9" w:rsidRPr="00FD1252">
          <w:pgSz w:w="12240" w:h="15840"/>
          <w:pgMar w:top="1440" w:right="1440" w:bottom="1440" w:left="1440" w:header="720" w:footer="720" w:gutter="0"/>
          <w:cols w:space="720"/>
          <w:docGrid w:linePitch="360"/>
        </w:sectPr>
      </w:pPr>
    </w:p>
    <w:p w14:paraId="0C22CEAB" w14:textId="77777777" w:rsidR="003474F9" w:rsidRPr="00FD1252" w:rsidRDefault="003474F9" w:rsidP="00FD1252">
      <w:pPr>
        <w:autoSpaceDE w:val="0"/>
        <w:autoSpaceDN w:val="0"/>
        <w:spacing w:line="360" w:lineRule="auto"/>
        <w:contextualSpacing/>
        <w:mirrorIndents/>
        <w:jc w:val="both"/>
        <w:rPr>
          <w:rFonts w:ascii="Book Antiqua" w:hAnsi="Book Antiqua"/>
        </w:rPr>
      </w:pPr>
      <w:r w:rsidRPr="00FD1252">
        <w:rPr>
          <w:rFonts w:ascii="Book Antiqua" w:eastAsia="Book Antiqua" w:hAnsi="Book Antiqua" w:cs="Book Antiqua"/>
          <w:b/>
          <w:bCs/>
        </w:rPr>
        <w:lastRenderedPageBreak/>
        <w:t>Table 2 Banff reporting standardization template according to the Banff 2019 meeting</w:t>
      </w:r>
    </w:p>
    <w:tbl>
      <w:tblPr>
        <w:tblW w:w="11199" w:type="dxa"/>
        <w:tblInd w:w="-601" w:type="dxa"/>
        <w:tblLook w:val="04A0" w:firstRow="1" w:lastRow="0" w:firstColumn="1" w:lastColumn="0" w:noHBand="0" w:noVBand="1"/>
      </w:tblPr>
      <w:tblGrid>
        <w:gridCol w:w="2217"/>
        <w:gridCol w:w="1473"/>
        <w:gridCol w:w="1414"/>
        <w:gridCol w:w="1381"/>
        <w:gridCol w:w="1454"/>
        <w:gridCol w:w="1984"/>
        <w:gridCol w:w="1276"/>
      </w:tblGrid>
      <w:tr w:rsidR="0014697C" w:rsidRPr="00FD1252" w14:paraId="12FFBDDF" w14:textId="77777777" w:rsidTr="0014697C">
        <w:trPr>
          <w:trHeight w:val="755"/>
        </w:trPr>
        <w:tc>
          <w:tcPr>
            <w:tcW w:w="2217" w:type="dxa"/>
            <w:tcBorders>
              <w:top w:val="single" w:sz="4" w:space="0" w:color="auto"/>
              <w:bottom w:val="single" w:sz="4" w:space="0" w:color="auto"/>
            </w:tcBorders>
          </w:tcPr>
          <w:p w14:paraId="60F8FDBA" w14:textId="77777777" w:rsidR="0014697C" w:rsidRPr="00FD1252" w:rsidRDefault="0014697C" w:rsidP="00FD1252">
            <w:pPr>
              <w:spacing w:line="360" w:lineRule="auto"/>
              <w:contextualSpacing/>
              <w:mirrorIndents/>
              <w:jc w:val="both"/>
              <w:rPr>
                <w:rFonts w:ascii="Book Antiqua" w:hAnsi="Book Antiqua"/>
                <w:b/>
                <w:bCs/>
              </w:rPr>
            </w:pPr>
            <w:r w:rsidRPr="00FD1252">
              <w:rPr>
                <w:rFonts w:ascii="Book Antiqua" w:hAnsi="Book Antiqua"/>
                <w:b/>
                <w:bCs/>
              </w:rPr>
              <w:t>Components of the allograft</w:t>
            </w:r>
          </w:p>
        </w:tc>
        <w:tc>
          <w:tcPr>
            <w:tcW w:w="1473" w:type="dxa"/>
            <w:tcBorders>
              <w:top w:val="single" w:sz="4" w:space="0" w:color="auto"/>
              <w:bottom w:val="single" w:sz="4" w:space="0" w:color="auto"/>
            </w:tcBorders>
          </w:tcPr>
          <w:p w14:paraId="4B2AC600" w14:textId="77777777" w:rsidR="0014697C" w:rsidRPr="00FD1252" w:rsidRDefault="0014697C" w:rsidP="00FD1252">
            <w:pPr>
              <w:spacing w:line="360" w:lineRule="auto"/>
              <w:contextualSpacing/>
              <w:mirrorIndents/>
              <w:jc w:val="both"/>
              <w:rPr>
                <w:rFonts w:ascii="Book Antiqua" w:hAnsi="Book Antiqua"/>
                <w:b/>
                <w:bCs/>
                <w:vertAlign w:val="superscript"/>
              </w:rPr>
            </w:pPr>
            <w:r w:rsidRPr="00FD1252">
              <w:rPr>
                <w:rFonts w:ascii="Book Antiqua" w:hAnsi="Book Antiqua"/>
                <w:b/>
                <w:bCs/>
              </w:rPr>
              <w:t>Acute lesions</w:t>
            </w:r>
          </w:p>
        </w:tc>
        <w:tc>
          <w:tcPr>
            <w:tcW w:w="1414" w:type="dxa"/>
            <w:tcBorders>
              <w:top w:val="single" w:sz="4" w:space="0" w:color="auto"/>
              <w:bottom w:val="single" w:sz="4" w:space="0" w:color="auto"/>
            </w:tcBorders>
          </w:tcPr>
          <w:p w14:paraId="42FACA63" w14:textId="5C814F4F" w:rsidR="0014697C" w:rsidRPr="00FD1252" w:rsidRDefault="0014697C" w:rsidP="00FD1252">
            <w:pPr>
              <w:spacing w:line="360" w:lineRule="auto"/>
              <w:contextualSpacing/>
              <w:mirrorIndents/>
              <w:jc w:val="both"/>
              <w:rPr>
                <w:rFonts w:ascii="Book Antiqua" w:hAnsi="Book Antiqua"/>
                <w:b/>
                <w:bCs/>
              </w:rPr>
            </w:pPr>
            <w:r w:rsidRPr="00FD1252">
              <w:rPr>
                <w:rFonts w:ascii="Book Antiqua" w:hAnsi="Book Antiqua"/>
                <w:b/>
                <w:bCs/>
              </w:rPr>
              <w:t>Scoring</w:t>
            </w:r>
            <w:r w:rsidR="00E937A7">
              <w:rPr>
                <w:rFonts w:ascii="Book Antiqua" w:hAnsi="Book Antiqua"/>
                <w:b/>
                <w:bCs/>
              </w:rPr>
              <w:t xml:space="preserve"> as</w:t>
            </w:r>
            <w:r w:rsidRPr="00FD1252">
              <w:rPr>
                <w:rFonts w:ascii="Book Antiqua" w:hAnsi="Book Antiqua"/>
                <w:b/>
                <w:bCs/>
                <w:lang w:eastAsia="zh-CN"/>
              </w:rPr>
              <w:t xml:space="preserve"> </w:t>
            </w:r>
            <w:r w:rsidRPr="00FD1252">
              <w:rPr>
                <w:rFonts w:ascii="Book Antiqua" w:hAnsi="Book Antiqua" w:cs="Lato-Bold"/>
                <w:b/>
                <w:bCs/>
              </w:rPr>
              <w:t>0, 1, 2, 3</w:t>
            </w:r>
          </w:p>
        </w:tc>
        <w:tc>
          <w:tcPr>
            <w:tcW w:w="1381" w:type="dxa"/>
            <w:tcBorders>
              <w:top w:val="single" w:sz="4" w:space="0" w:color="auto"/>
              <w:bottom w:val="single" w:sz="4" w:space="0" w:color="auto"/>
            </w:tcBorders>
          </w:tcPr>
          <w:p w14:paraId="2A331062" w14:textId="77777777" w:rsidR="0014697C" w:rsidRPr="00FD1252" w:rsidRDefault="0014697C" w:rsidP="00FD1252">
            <w:pPr>
              <w:spacing w:line="360" w:lineRule="auto"/>
              <w:contextualSpacing/>
              <w:mirrorIndents/>
              <w:jc w:val="both"/>
              <w:rPr>
                <w:rFonts w:ascii="Book Antiqua" w:hAnsi="Book Antiqua"/>
                <w:b/>
                <w:bCs/>
              </w:rPr>
            </w:pPr>
            <w:r w:rsidRPr="00FD1252">
              <w:rPr>
                <w:rFonts w:ascii="Book Antiqua" w:hAnsi="Book Antiqua"/>
                <w:b/>
                <w:bCs/>
              </w:rPr>
              <w:t>Chronic lesions</w:t>
            </w:r>
          </w:p>
        </w:tc>
        <w:tc>
          <w:tcPr>
            <w:tcW w:w="1454" w:type="dxa"/>
            <w:tcBorders>
              <w:top w:val="single" w:sz="4" w:space="0" w:color="auto"/>
              <w:bottom w:val="single" w:sz="4" w:space="0" w:color="auto"/>
            </w:tcBorders>
          </w:tcPr>
          <w:p w14:paraId="04083FF8" w14:textId="2A523B65" w:rsidR="0014697C" w:rsidRPr="00FD1252" w:rsidRDefault="0014697C" w:rsidP="00FD1252">
            <w:pPr>
              <w:spacing w:line="360" w:lineRule="auto"/>
              <w:contextualSpacing/>
              <w:mirrorIndents/>
              <w:jc w:val="both"/>
              <w:rPr>
                <w:rFonts w:ascii="Book Antiqua" w:hAnsi="Book Antiqua"/>
                <w:b/>
                <w:bCs/>
              </w:rPr>
            </w:pPr>
            <w:r w:rsidRPr="00FD1252">
              <w:rPr>
                <w:rFonts w:ascii="Book Antiqua" w:hAnsi="Book Antiqua"/>
                <w:b/>
                <w:bCs/>
              </w:rPr>
              <w:t>Scoring</w:t>
            </w:r>
            <w:r w:rsidR="00E937A7">
              <w:rPr>
                <w:rFonts w:ascii="Book Antiqua" w:hAnsi="Book Antiqua"/>
                <w:b/>
                <w:bCs/>
              </w:rPr>
              <w:t xml:space="preserve"> as</w:t>
            </w:r>
            <w:r w:rsidRPr="00FD1252">
              <w:rPr>
                <w:rFonts w:ascii="Book Antiqua" w:hAnsi="Book Antiqua"/>
                <w:b/>
                <w:bCs/>
                <w:lang w:eastAsia="zh-CN"/>
              </w:rPr>
              <w:t xml:space="preserve"> </w:t>
            </w:r>
            <w:r w:rsidRPr="00FD1252">
              <w:rPr>
                <w:rFonts w:ascii="Book Antiqua" w:hAnsi="Book Antiqua" w:cs="Lato-Bold"/>
                <w:b/>
                <w:bCs/>
              </w:rPr>
              <w:t>0, 1, 2, 3</w:t>
            </w:r>
          </w:p>
        </w:tc>
        <w:tc>
          <w:tcPr>
            <w:tcW w:w="1984" w:type="dxa"/>
            <w:tcBorders>
              <w:top w:val="single" w:sz="4" w:space="0" w:color="auto"/>
              <w:bottom w:val="single" w:sz="4" w:space="0" w:color="auto"/>
            </w:tcBorders>
          </w:tcPr>
          <w:p w14:paraId="4B8AC1B1" w14:textId="77777777" w:rsidR="0014697C" w:rsidRPr="00FD1252" w:rsidRDefault="0014697C" w:rsidP="00FD1252">
            <w:pPr>
              <w:spacing w:line="360" w:lineRule="auto"/>
              <w:contextualSpacing/>
              <w:mirrorIndents/>
              <w:jc w:val="both"/>
              <w:rPr>
                <w:rFonts w:ascii="Book Antiqua" w:hAnsi="Book Antiqua"/>
                <w:b/>
                <w:bCs/>
                <w:vertAlign w:val="superscript"/>
              </w:rPr>
            </w:pPr>
            <w:r w:rsidRPr="00FD1252">
              <w:rPr>
                <w:rFonts w:ascii="Book Antiqua" w:hAnsi="Book Antiqua"/>
                <w:b/>
                <w:bCs/>
              </w:rPr>
              <w:t>Acute &amp; chronic lesions</w:t>
            </w:r>
          </w:p>
        </w:tc>
        <w:tc>
          <w:tcPr>
            <w:tcW w:w="1276" w:type="dxa"/>
            <w:tcBorders>
              <w:top w:val="single" w:sz="4" w:space="0" w:color="auto"/>
              <w:bottom w:val="single" w:sz="4" w:space="0" w:color="auto"/>
            </w:tcBorders>
          </w:tcPr>
          <w:p w14:paraId="253590C6" w14:textId="0DAB566C" w:rsidR="0014697C" w:rsidRPr="00FD1252" w:rsidRDefault="0014697C" w:rsidP="00FD1252">
            <w:pPr>
              <w:spacing w:line="360" w:lineRule="auto"/>
              <w:contextualSpacing/>
              <w:mirrorIndents/>
              <w:jc w:val="both"/>
              <w:rPr>
                <w:rFonts w:ascii="Book Antiqua" w:hAnsi="Book Antiqua"/>
                <w:b/>
                <w:bCs/>
              </w:rPr>
            </w:pPr>
            <w:r w:rsidRPr="00FD1252">
              <w:rPr>
                <w:rFonts w:ascii="Book Antiqua" w:hAnsi="Book Antiqua"/>
                <w:b/>
                <w:bCs/>
              </w:rPr>
              <w:t>Scoring</w:t>
            </w:r>
            <w:r w:rsidRPr="00FD1252">
              <w:rPr>
                <w:rFonts w:ascii="Book Antiqua" w:hAnsi="Book Antiqua"/>
                <w:b/>
                <w:bCs/>
                <w:lang w:eastAsia="zh-CN"/>
              </w:rPr>
              <w:t xml:space="preserve"> </w:t>
            </w:r>
            <w:r w:rsidR="00E937A7">
              <w:rPr>
                <w:rFonts w:ascii="Book Antiqua" w:hAnsi="Book Antiqua" w:cs="Lato-Bold"/>
                <w:b/>
                <w:bCs/>
              </w:rPr>
              <w:t xml:space="preserve">as </w:t>
            </w:r>
            <w:r w:rsidRPr="00FD1252">
              <w:rPr>
                <w:rFonts w:ascii="Book Antiqua" w:hAnsi="Book Antiqua" w:cs="Lato-Bold"/>
                <w:b/>
                <w:bCs/>
              </w:rPr>
              <w:t>0, 1, 2, 3</w:t>
            </w:r>
          </w:p>
        </w:tc>
      </w:tr>
      <w:tr w:rsidR="0014697C" w:rsidRPr="00FD1252" w14:paraId="1ED599A0" w14:textId="77777777" w:rsidTr="0014697C">
        <w:trPr>
          <w:trHeight w:val="606"/>
        </w:trPr>
        <w:tc>
          <w:tcPr>
            <w:tcW w:w="2217" w:type="dxa"/>
            <w:tcBorders>
              <w:top w:val="single" w:sz="4" w:space="0" w:color="auto"/>
            </w:tcBorders>
          </w:tcPr>
          <w:p w14:paraId="7823C17D" w14:textId="77777777" w:rsidR="0014697C" w:rsidRPr="00FD1252" w:rsidRDefault="0014697C" w:rsidP="00FD1252">
            <w:pPr>
              <w:spacing w:line="360" w:lineRule="auto"/>
              <w:contextualSpacing/>
              <w:mirrorIndents/>
              <w:jc w:val="both"/>
              <w:rPr>
                <w:rFonts w:ascii="Book Antiqua" w:hAnsi="Book Antiqua"/>
                <w:vertAlign w:val="superscript"/>
              </w:rPr>
            </w:pPr>
            <w:r w:rsidRPr="00FD1252">
              <w:rPr>
                <w:rFonts w:ascii="Book Antiqua" w:hAnsi="Book Antiqua"/>
              </w:rPr>
              <w:t>Glomeruli</w:t>
            </w:r>
          </w:p>
        </w:tc>
        <w:tc>
          <w:tcPr>
            <w:tcW w:w="1473" w:type="dxa"/>
            <w:tcBorders>
              <w:top w:val="single" w:sz="4" w:space="0" w:color="auto"/>
            </w:tcBorders>
          </w:tcPr>
          <w:p w14:paraId="0EC2E26E" w14:textId="77777777" w:rsidR="0014697C" w:rsidRPr="00FD1252" w:rsidRDefault="0014697C" w:rsidP="00FD1252">
            <w:pPr>
              <w:spacing w:line="360" w:lineRule="auto"/>
              <w:contextualSpacing/>
              <w:mirrorIndents/>
              <w:jc w:val="both"/>
              <w:rPr>
                <w:rFonts w:ascii="Book Antiqua" w:hAnsi="Book Antiqua"/>
              </w:rPr>
            </w:pPr>
            <w:r w:rsidRPr="00FD1252">
              <w:rPr>
                <w:rFonts w:ascii="Book Antiqua" w:hAnsi="Book Antiqua"/>
              </w:rPr>
              <w:t>g</w:t>
            </w:r>
          </w:p>
        </w:tc>
        <w:tc>
          <w:tcPr>
            <w:tcW w:w="1414" w:type="dxa"/>
            <w:tcBorders>
              <w:top w:val="single" w:sz="4" w:space="0" w:color="auto"/>
            </w:tcBorders>
          </w:tcPr>
          <w:p w14:paraId="65755FEA" w14:textId="2F86ECC6" w:rsidR="0014697C" w:rsidRPr="00FD1252" w:rsidRDefault="00E077B3" w:rsidP="00FD1252">
            <w:pPr>
              <w:spacing w:line="360" w:lineRule="auto"/>
              <w:contextualSpacing/>
              <w:mirrorIndents/>
              <w:jc w:val="both"/>
              <w:rPr>
                <w:rFonts w:ascii="Book Antiqua" w:hAnsi="Book Antiqua"/>
              </w:rPr>
            </w:pPr>
            <w:r>
              <w:rPr>
                <w:rFonts w:ascii="Book Antiqua" w:hAnsi="Book Antiqua"/>
              </w:rPr>
              <w:t>-</w:t>
            </w:r>
          </w:p>
        </w:tc>
        <w:tc>
          <w:tcPr>
            <w:tcW w:w="1381" w:type="dxa"/>
            <w:tcBorders>
              <w:top w:val="single" w:sz="4" w:space="0" w:color="auto"/>
            </w:tcBorders>
          </w:tcPr>
          <w:p w14:paraId="62ED788F" w14:textId="77777777" w:rsidR="0014697C" w:rsidRPr="00FD1252" w:rsidRDefault="0014697C" w:rsidP="00FD1252">
            <w:pPr>
              <w:spacing w:line="360" w:lineRule="auto"/>
              <w:contextualSpacing/>
              <w:mirrorIndents/>
              <w:jc w:val="both"/>
              <w:rPr>
                <w:rFonts w:ascii="Book Antiqua" w:hAnsi="Book Antiqua"/>
              </w:rPr>
            </w:pPr>
            <w:r w:rsidRPr="00FD1252">
              <w:rPr>
                <w:rFonts w:ascii="Book Antiqua" w:hAnsi="Book Antiqua"/>
              </w:rPr>
              <w:t>cg</w:t>
            </w:r>
          </w:p>
        </w:tc>
        <w:tc>
          <w:tcPr>
            <w:tcW w:w="1454" w:type="dxa"/>
            <w:tcBorders>
              <w:top w:val="single" w:sz="4" w:space="0" w:color="auto"/>
            </w:tcBorders>
          </w:tcPr>
          <w:p w14:paraId="4B36FD03" w14:textId="03696415" w:rsidR="0014697C" w:rsidRPr="00FD1252" w:rsidRDefault="00E077B3" w:rsidP="00FD1252">
            <w:pPr>
              <w:spacing w:line="360" w:lineRule="auto"/>
              <w:contextualSpacing/>
              <w:mirrorIndents/>
              <w:jc w:val="both"/>
              <w:rPr>
                <w:rFonts w:ascii="Book Antiqua" w:hAnsi="Book Antiqua"/>
              </w:rPr>
            </w:pPr>
            <w:r>
              <w:rPr>
                <w:rFonts w:ascii="Book Antiqua" w:hAnsi="Book Antiqua"/>
              </w:rPr>
              <w:t>-</w:t>
            </w:r>
          </w:p>
        </w:tc>
        <w:tc>
          <w:tcPr>
            <w:tcW w:w="1984" w:type="dxa"/>
            <w:tcBorders>
              <w:top w:val="single" w:sz="4" w:space="0" w:color="auto"/>
            </w:tcBorders>
          </w:tcPr>
          <w:p w14:paraId="1795279F" w14:textId="77777777" w:rsidR="0014697C" w:rsidRPr="00FD1252" w:rsidRDefault="0014697C" w:rsidP="00FD1252">
            <w:pPr>
              <w:spacing w:line="360" w:lineRule="auto"/>
              <w:contextualSpacing/>
              <w:mirrorIndents/>
              <w:jc w:val="both"/>
              <w:rPr>
                <w:rFonts w:ascii="Book Antiqua" w:hAnsi="Book Antiqua"/>
              </w:rPr>
            </w:pPr>
          </w:p>
        </w:tc>
        <w:tc>
          <w:tcPr>
            <w:tcW w:w="1276" w:type="dxa"/>
            <w:tcBorders>
              <w:top w:val="single" w:sz="4" w:space="0" w:color="auto"/>
            </w:tcBorders>
          </w:tcPr>
          <w:p w14:paraId="501DB5D5" w14:textId="77777777" w:rsidR="0014697C" w:rsidRPr="00FD1252" w:rsidRDefault="0014697C" w:rsidP="00FD1252">
            <w:pPr>
              <w:spacing w:line="360" w:lineRule="auto"/>
              <w:contextualSpacing/>
              <w:mirrorIndents/>
              <w:jc w:val="both"/>
              <w:rPr>
                <w:rFonts w:ascii="Book Antiqua" w:hAnsi="Book Antiqua"/>
              </w:rPr>
            </w:pPr>
          </w:p>
        </w:tc>
      </w:tr>
      <w:tr w:rsidR="0014697C" w:rsidRPr="00FD1252" w14:paraId="19A8C2A7" w14:textId="77777777" w:rsidTr="0014697C">
        <w:trPr>
          <w:trHeight w:val="539"/>
        </w:trPr>
        <w:tc>
          <w:tcPr>
            <w:tcW w:w="2217" w:type="dxa"/>
          </w:tcPr>
          <w:p w14:paraId="03736286" w14:textId="77777777" w:rsidR="0014697C" w:rsidRPr="00FD1252" w:rsidRDefault="0014697C" w:rsidP="00FD1252">
            <w:pPr>
              <w:spacing w:line="360" w:lineRule="auto"/>
              <w:contextualSpacing/>
              <w:mirrorIndents/>
              <w:jc w:val="both"/>
              <w:rPr>
                <w:rFonts w:ascii="Book Antiqua" w:hAnsi="Book Antiqua"/>
                <w:vertAlign w:val="superscript"/>
              </w:rPr>
            </w:pPr>
            <w:r w:rsidRPr="00FD1252">
              <w:rPr>
                <w:rFonts w:ascii="Book Antiqua" w:hAnsi="Book Antiqua"/>
              </w:rPr>
              <w:t>Interstitium</w:t>
            </w:r>
          </w:p>
        </w:tc>
        <w:tc>
          <w:tcPr>
            <w:tcW w:w="1473" w:type="dxa"/>
          </w:tcPr>
          <w:p w14:paraId="7C976885" w14:textId="77777777" w:rsidR="0014697C" w:rsidRPr="00FD1252" w:rsidRDefault="0014697C" w:rsidP="00FD1252">
            <w:pPr>
              <w:spacing w:line="360" w:lineRule="auto"/>
              <w:contextualSpacing/>
              <w:mirrorIndents/>
              <w:jc w:val="both"/>
              <w:rPr>
                <w:rFonts w:ascii="Book Antiqua" w:hAnsi="Book Antiqua"/>
              </w:rPr>
            </w:pPr>
            <w:r w:rsidRPr="00FD1252">
              <w:rPr>
                <w:rFonts w:ascii="Book Antiqua" w:hAnsi="Book Antiqua"/>
              </w:rPr>
              <w:t>i</w:t>
            </w:r>
          </w:p>
        </w:tc>
        <w:tc>
          <w:tcPr>
            <w:tcW w:w="1414" w:type="dxa"/>
          </w:tcPr>
          <w:p w14:paraId="5791BF36" w14:textId="71AF6C6B" w:rsidR="0014697C" w:rsidRPr="00FD1252" w:rsidRDefault="00E077B3" w:rsidP="00FD1252">
            <w:pPr>
              <w:spacing w:line="360" w:lineRule="auto"/>
              <w:contextualSpacing/>
              <w:mirrorIndents/>
              <w:jc w:val="both"/>
              <w:rPr>
                <w:rFonts w:ascii="Book Antiqua" w:hAnsi="Book Antiqua"/>
              </w:rPr>
            </w:pPr>
            <w:r>
              <w:rPr>
                <w:rFonts w:ascii="Book Antiqua" w:hAnsi="Book Antiqua"/>
              </w:rPr>
              <w:t>-</w:t>
            </w:r>
          </w:p>
        </w:tc>
        <w:tc>
          <w:tcPr>
            <w:tcW w:w="1381" w:type="dxa"/>
          </w:tcPr>
          <w:p w14:paraId="0D614F11" w14:textId="77777777" w:rsidR="0014697C" w:rsidRPr="00FD1252" w:rsidRDefault="0014697C" w:rsidP="00FD1252">
            <w:pPr>
              <w:spacing w:line="360" w:lineRule="auto"/>
              <w:contextualSpacing/>
              <w:mirrorIndents/>
              <w:jc w:val="both"/>
              <w:rPr>
                <w:rFonts w:ascii="Book Antiqua" w:hAnsi="Book Antiqua"/>
              </w:rPr>
            </w:pPr>
            <w:r w:rsidRPr="00FD1252">
              <w:rPr>
                <w:rFonts w:ascii="Book Antiqua" w:hAnsi="Book Antiqua"/>
              </w:rPr>
              <w:t>ci</w:t>
            </w:r>
          </w:p>
        </w:tc>
        <w:tc>
          <w:tcPr>
            <w:tcW w:w="1454" w:type="dxa"/>
          </w:tcPr>
          <w:p w14:paraId="6922E77C" w14:textId="04B78877" w:rsidR="0014697C" w:rsidRPr="00FD1252" w:rsidRDefault="00E077B3" w:rsidP="00FD1252">
            <w:pPr>
              <w:spacing w:line="360" w:lineRule="auto"/>
              <w:contextualSpacing/>
              <w:mirrorIndents/>
              <w:jc w:val="both"/>
              <w:rPr>
                <w:rFonts w:ascii="Book Antiqua" w:hAnsi="Book Antiqua"/>
              </w:rPr>
            </w:pPr>
            <w:r>
              <w:rPr>
                <w:rFonts w:ascii="Book Antiqua" w:hAnsi="Book Antiqua"/>
              </w:rPr>
              <w:t>-</w:t>
            </w:r>
          </w:p>
        </w:tc>
        <w:tc>
          <w:tcPr>
            <w:tcW w:w="1984" w:type="dxa"/>
          </w:tcPr>
          <w:p w14:paraId="7B17759B" w14:textId="77777777" w:rsidR="0014697C" w:rsidRPr="00FD1252" w:rsidRDefault="0014697C" w:rsidP="00FD1252">
            <w:pPr>
              <w:spacing w:line="360" w:lineRule="auto"/>
              <w:contextualSpacing/>
              <w:mirrorIndents/>
              <w:jc w:val="both"/>
              <w:rPr>
                <w:rFonts w:ascii="Book Antiqua" w:hAnsi="Book Antiqua"/>
              </w:rPr>
            </w:pPr>
            <w:r w:rsidRPr="00FD1252">
              <w:rPr>
                <w:rFonts w:ascii="Book Antiqua" w:hAnsi="Book Antiqua"/>
              </w:rPr>
              <w:t>ti, i-IFTA</w:t>
            </w:r>
          </w:p>
        </w:tc>
        <w:tc>
          <w:tcPr>
            <w:tcW w:w="1276" w:type="dxa"/>
          </w:tcPr>
          <w:p w14:paraId="4E07BB49" w14:textId="6896F04B" w:rsidR="0014697C" w:rsidRPr="00FD1252" w:rsidRDefault="00E077B3" w:rsidP="00FD1252">
            <w:pPr>
              <w:spacing w:line="360" w:lineRule="auto"/>
              <w:contextualSpacing/>
              <w:mirrorIndents/>
              <w:jc w:val="both"/>
              <w:rPr>
                <w:rFonts w:ascii="Book Antiqua" w:hAnsi="Book Antiqua"/>
              </w:rPr>
            </w:pPr>
            <w:r>
              <w:rPr>
                <w:rFonts w:ascii="Book Antiqua" w:hAnsi="Book Antiqua"/>
              </w:rPr>
              <w:t>-</w:t>
            </w:r>
          </w:p>
        </w:tc>
      </w:tr>
      <w:tr w:rsidR="0014697C" w:rsidRPr="00FD1252" w14:paraId="17EE8920" w14:textId="77777777" w:rsidTr="0014697C">
        <w:trPr>
          <w:trHeight w:val="613"/>
        </w:trPr>
        <w:tc>
          <w:tcPr>
            <w:tcW w:w="2217" w:type="dxa"/>
          </w:tcPr>
          <w:p w14:paraId="7A40400E" w14:textId="77777777" w:rsidR="0014697C" w:rsidRPr="00FD1252" w:rsidRDefault="0014697C" w:rsidP="00FD1252">
            <w:pPr>
              <w:spacing w:line="360" w:lineRule="auto"/>
              <w:contextualSpacing/>
              <w:mirrorIndents/>
              <w:jc w:val="both"/>
              <w:rPr>
                <w:rFonts w:ascii="Book Antiqua" w:hAnsi="Book Antiqua"/>
                <w:vertAlign w:val="superscript"/>
              </w:rPr>
            </w:pPr>
            <w:r w:rsidRPr="00FD1252">
              <w:rPr>
                <w:rFonts w:ascii="Book Antiqua" w:hAnsi="Book Antiqua"/>
              </w:rPr>
              <w:t>Tubules</w:t>
            </w:r>
          </w:p>
        </w:tc>
        <w:tc>
          <w:tcPr>
            <w:tcW w:w="1473" w:type="dxa"/>
          </w:tcPr>
          <w:p w14:paraId="0DE64C8E" w14:textId="77777777" w:rsidR="0014697C" w:rsidRPr="00FD1252" w:rsidRDefault="0014697C" w:rsidP="00FD1252">
            <w:pPr>
              <w:spacing w:line="360" w:lineRule="auto"/>
              <w:contextualSpacing/>
              <w:mirrorIndents/>
              <w:jc w:val="both"/>
              <w:rPr>
                <w:rFonts w:ascii="Book Antiqua" w:hAnsi="Book Antiqua"/>
              </w:rPr>
            </w:pPr>
            <w:r w:rsidRPr="00FD1252">
              <w:rPr>
                <w:rFonts w:ascii="Book Antiqua" w:hAnsi="Book Antiqua"/>
              </w:rPr>
              <w:t>t</w:t>
            </w:r>
          </w:p>
        </w:tc>
        <w:tc>
          <w:tcPr>
            <w:tcW w:w="1414" w:type="dxa"/>
          </w:tcPr>
          <w:p w14:paraId="5713939D" w14:textId="0CD42944" w:rsidR="0014697C" w:rsidRPr="00FD1252" w:rsidRDefault="00E077B3" w:rsidP="00FD1252">
            <w:pPr>
              <w:spacing w:line="360" w:lineRule="auto"/>
              <w:contextualSpacing/>
              <w:mirrorIndents/>
              <w:jc w:val="both"/>
              <w:rPr>
                <w:rFonts w:ascii="Book Antiqua" w:hAnsi="Book Antiqua"/>
              </w:rPr>
            </w:pPr>
            <w:r>
              <w:rPr>
                <w:rFonts w:ascii="Book Antiqua" w:hAnsi="Book Antiqua"/>
              </w:rPr>
              <w:t>-</w:t>
            </w:r>
          </w:p>
        </w:tc>
        <w:tc>
          <w:tcPr>
            <w:tcW w:w="1381" w:type="dxa"/>
          </w:tcPr>
          <w:p w14:paraId="2512D86F" w14:textId="77777777" w:rsidR="0014697C" w:rsidRPr="00FD1252" w:rsidRDefault="0014697C" w:rsidP="00FD1252">
            <w:pPr>
              <w:spacing w:line="360" w:lineRule="auto"/>
              <w:contextualSpacing/>
              <w:mirrorIndents/>
              <w:jc w:val="both"/>
              <w:rPr>
                <w:rFonts w:ascii="Book Antiqua" w:hAnsi="Book Antiqua"/>
              </w:rPr>
            </w:pPr>
            <w:r w:rsidRPr="00FD1252">
              <w:rPr>
                <w:rFonts w:ascii="Book Antiqua" w:hAnsi="Book Antiqua"/>
              </w:rPr>
              <w:t>ct</w:t>
            </w:r>
          </w:p>
        </w:tc>
        <w:tc>
          <w:tcPr>
            <w:tcW w:w="1454" w:type="dxa"/>
          </w:tcPr>
          <w:p w14:paraId="5F05F177" w14:textId="2D8D7ACE" w:rsidR="0014697C" w:rsidRPr="00FD1252" w:rsidRDefault="00E077B3" w:rsidP="00FD1252">
            <w:pPr>
              <w:spacing w:line="360" w:lineRule="auto"/>
              <w:contextualSpacing/>
              <w:mirrorIndents/>
              <w:jc w:val="both"/>
              <w:rPr>
                <w:rFonts w:ascii="Book Antiqua" w:hAnsi="Book Antiqua"/>
              </w:rPr>
            </w:pPr>
            <w:r>
              <w:rPr>
                <w:rFonts w:ascii="Book Antiqua" w:hAnsi="Book Antiqua"/>
              </w:rPr>
              <w:t>-</w:t>
            </w:r>
          </w:p>
        </w:tc>
        <w:tc>
          <w:tcPr>
            <w:tcW w:w="1984" w:type="dxa"/>
          </w:tcPr>
          <w:p w14:paraId="020D4597" w14:textId="77777777" w:rsidR="0014697C" w:rsidRPr="00FD1252" w:rsidRDefault="0014697C" w:rsidP="00FD1252">
            <w:pPr>
              <w:spacing w:line="360" w:lineRule="auto"/>
              <w:contextualSpacing/>
              <w:mirrorIndents/>
              <w:jc w:val="both"/>
              <w:rPr>
                <w:rFonts w:ascii="Book Antiqua" w:hAnsi="Book Antiqua"/>
              </w:rPr>
            </w:pPr>
            <w:r w:rsidRPr="00FD1252">
              <w:rPr>
                <w:rFonts w:ascii="Book Antiqua" w:hAnsi="Book Antiqua"/>
              </w:rPr>
              <w:t>t-IFTA</w:t>
            </w:r>
          </w:p>
        </w:tc>
        <w:tc>
          <w:tcPr>
            <w:tcW w:w="1276" w:type="dxa"/>
          </w:tcPr>
          <w:p w14:paraId="52335FC9" w14:textId="02465304" w:rsidR="0014697C" w:rsidRPr="00FD1252" w:rsidRDefault="00E077B3" w:rsidP="00FD1252">
            <w:pPr>
              <w:spacing w:line="360" w:lineRule="auto"/>
              <w:contextualSpacing/>
              <w:mirrorIndents/>
              <w:jc w:val="both"/>
              <w:rPr>
                <w:rFonts w:ascii="Book Antiqua" w:hAnsi="Book Antiqua"/>
              </w:rPr>
            </w:pPr>
            <w:r>
              <w:rPr>
                <w:rFonts w:ascii="Book Antiqua" w:hAnsi="Book Antiqua"/>
              </w:rPr>
              <w:t>-</w:t>
            </w:r>
          </w:p>
        </w:tc>
      </w:tr>
      <w:tr w:rsidR="0014697C" w:rsidRPr="00FD1252" w14:paraId="430B8B64" w14:textId="77777777" w:rsidTr="0014697C">
        <w:trPr>
          <w:trHeight w:val="577"/>
        </w:trPr>
        <w:tc>
          <w:tcPr>
            <w:tcW w:w="2217" w:type="dxa"/>
          </w:tcPr>
          <w:p w14:paraId="350F58B5" w14:textId="77777777" w:rsidR="0014697C" w:rsidRPr="00FD1252" w:rsidRDefault="0014697C" w:rsidP="00FD1252">
            <w:pPr>
              <w:spacing w:line="360" w:lineRule="auto"/>
              <w:contextualSpacing/>
              <w:mirrorIndents/>
              <w:jc w:val="both"/>
              <w:rPr>
                <w:rFonts w:ascii="Book Antiqua" w:hAnsi="Book Antiqua"/>
                <w:vertAlign w:val="superscript"/>
              </w:rPr>
            </w:pPr>
            <w:r w:rsidRPr="00FD1252">
              <w:rPr>
                <w:rFonts w:ascii="Book Antiqua" w:hAnsi="Book Antiqua"/>
              </w:rPr>
              <w:t>Vessels</w:t>
            </w:r>
          </w:p>
        </w:tc>
        <w:tc>
          <w:tcPr>
            <w:tcW w:w="1473" w:type="dxa"/>
          </w:tcPr>
          <w:p w14:paraId="28CAE78E" w14:textId="77777777" w:rsidR="0014697C" w:rsidRPr="00FD1252" w:rsidRDefault="0014697C" w:rsidP="00FD1252">
            <w:pPr>
              <w:spacing w:line="360" w:lineRule="auto"/>
              <w:contextualSpacing/>
              <w:mirrorIndents/>
              <w:jc w:val="both"/>
              <w:rPr>
                <w:rFonts w:ascii="Book Antiqua" w:hAnsi="Book Antiqua"/>
              </w:rPr>
            </w:pPr>
            <w:r w:rsidRPr="00FD1252">
              <w:rPr>
                <w:rFonts w:ascii="Book Antiqua" w:hAnsi="Book Antiqua"/>
              </w:rPr>
              <w:t>v</w:t>
            </w:r>
          </w:p>
        </w:tc>
        <w:tc>
          <w:tcPr>
            <w:tcW w:w="1414" w:type="dxa"/>
          </w:tcPr>
          <w:p w14:paraId="0B21F739" w14:textId="068E9FB3" w:rsidR="0014697C" w:rsidRPr="00FD1252" w:rsidRDefault="00E077B3" w:rsidP="00FD1252">
            <w:pPr>
              <w:spacing w:line="360" w:lineRule="auto"/>
              <w:contextualSpacing/>
              <w:mirrorIndents/>
              <w:jc w:val="both"/>
              <w:rPr>
                <w:rFonts w:ascii="Book Antiqua" w:hAnsi="Book Antiqua"/>
              </w:rPr>
            </w:pPr>
            <w:r>
              <w:rPr>
                <w:rFonts w:ascii="Book Antiqua" w:hAnsi="Book Antiqua"/>
              </w:rPr>
              <w:t>-</w:t>
            </w:r>
          </w:p>
        </w:tc>
        <w:tc>
          <w:tcPr>
            <w:tcW w:w="1381" w:type="dxa"/>
          </w:tcPr>
          <w:p w14:paraId="311607DF" w14:textId="77777777" w:rsidR="0014697C" w:rsidRPr="00FD1252" w:rsidRDefault="0014697C" w:rsidP="00FD1252">
            <w:pPr>
              <w:spacing w:line="360" w:lineRule="auto"/>
              <w:contextualSpacing/>
              <w:mirrorIndents/>
              <w:jc w:val="both"/>
              <w:rPr>
                <w:rFonts w:ascii="Book Antiqua" w:hAnsi="Book Antiqua"/>
              </w:rPr>
            </w:pPr>
            <w:r w:rsidRPr="00FD1252">
              <w:rPr>
                <w:rFonts w:ascii="Book Antiqua" w:hAnsi="Book Antiqua"/>
              </w:rPr>
              <w:t>cv</w:t>
            </w:r>
          </w:p>
        </w:tc>
        <w:tc>
          <w:tcPr>
            <w:tcW w:w="1454" w:type="dxa"/>
          </w:tcPr>
          <w:p w14:paraId="3538B866" w14:textId="2AF9D145" w:rsidR="0014697C" w:rsidRPr="00FD1252" w:rsidRDefault="00E077B3" w:rsidP="00FD1252">
            <w:pPr>
              <w:spacing w:line="360" w:lineRule="auto"/>
              <w:contextualSpacing/>
              <w:mirrorIndents/>
              <w:jc w:val="both"/>
              <w:rPr>
                <w:rFonts w:ascii="Book Antiqua" w:hAnsi="Book Antiqua"/>
              </w:rPr>
            </w:pPr>
            <w:r>
              <w:rPr>
                <w:rFonts w:ascii="Book Antiqua" w:hAnsi="Book Antiqua"/>
              </w:rPr>
              <w:t>-</w:t>
            </w:r>
          </w:p>
        </w:tc>
        <w:tc>
          <w:tcPr>
            <w:tcW w:w="1984" w:type="dxa"/>
          </w:tcPr>
          <w:p w14:paraId="5C06F858" w14:textId="77777777" w:rsidR="0014697C" w:rsidRPr="00FD1252" w:rsidRDefault="0014697C" w:rsidP="00FD1252">
            <w:pPr>
              <w:spacing w:line="360" w:lineRule="auto"/>
              <w:contextualSpacing/>
              <w:mirrorIndents/>
              <w:jc w:val="both"/>
              <w:rPr>
                <w:rFonts w:ascii="Book Antiqua" w:hAnsi="Book Antiqua"/>
              </w:rPr>
            </w:pPr>
          </w:p>
        </w:tc>
        <w:tc>
          <w:tcPr>
            <w:tcW w:w="1276" w:type="dxa"/>
          </w:tcPr>
          <w:p w14:paraId="12723943" w14:textId="77777777" w:rsidR="0014697C" w:rsidRPr="00FD1252" w:rsidRDefault="0014697C" w:rsidP="00FD1252">
            <w:pPr>
              <w:spacing w:line="360" w:lineRule="auto"/>
              <w:contextualSpacing/>
              <w:mirrorIndents/>
              <w:jc w:val="both"/>
              <w:rPr>
                <w:rFonts w:ascii="Book Antiqua" w:hAnsi="Book Antiqua"/>
              </w:rPr>
            </w:pPr>
          </w:p>
        </w:tc>
      </w:tr>
      <w:tr w:rsidR="0014697C" w:rsidRPr="00FD1252" w14:paraId="31CDBF8E" w14:textId="77777777" w:rsidTr="0014697C">
        <w:trPr>
          <w:trHeight w:val="653"/>
        </w:trPr>
        <w:tc>
          <w:tcPr>
            <w:tcW w:w="2217" w:type="dxa"/>
          </w:tcPr>
          <w:p w14:paraId="2CEF632E" w14:textId="77777777" w:rsidR="0014697C" w:rsidRPr="00FD1252" w:rsidRDefault="0014697C" w:rsidP="00FD1252">
            <w:pPr>
              <w:spacing w:line="360" w:lineRule="auto"/>
              <w:contextualSpacing/>
              <w:mirrorIndents/>
              <w:jc w:val="both"/>
              <w:rPr>
                <w:rFonts w:ascii="Book Antiqua" w:hAnsi="Book Antiqua"/>
                <w:vertAlign w:val="superscript"/>
              </w:rPr>
            </w:pPr>
            <w:r w:rsidRPr="00FD1252">
              <w:rPr>
                <w:rFonts w:ascii="Book Antiqua" w:hAnsi="Book Antiqua"/>
              </w:rPr>
              <w:t>Peritubular capillaries</w:t>
            </w:r>
          </w:p>
        </w:tc>
        <w:tc>
          <w:tcPr>
            <w:tcW w:w="1473" w:type="dxa"/>
          </w:tcPr>
          <w:p w14:paraId="76BCAC1B" w14:textId="77777777" w:rsidR="0014697C" w:rsidRPr="00FD1252" w:rsidRDefault="0014697C" w:rsidP="00FD1252">
            <w:pPr>
              <w:spacing w:line="360" w:lineRule="auto"/>
              <w:contextualSpacing/>
              <w:mirrorIndents/>
              <w:jc w:val="both"/>
              <w:rPr>
                <w:rFonts w:ascii="Book Antiqua" w:hAnsi="Book Antiqua"/>
              </w:rPr>
            </w:pPr>
            <w:r w:rsidRPr="00FD1252">
              <w:rPr>
                <w:rFonts w:ascii="Book Antiqua" w:hAnsi="Book Antiqua"/>
              </w:rPr>
              <w:t>ptc</w:t>
            </w:r>
          </w:p>
        </w:tc>
        <w:tc>
          <w:tcPr>
            <w:tcW w:w="1414" w:type="dxa"/>
          </w:tcPr>
          <w:p w14:paraId="3F238431" w14:textId="6EE9970E" w:rsidR="0014697C" w:rsidRPr="00FD1252" w:rsidRDefault="00E077B3" w:rsidP="00FD1252">
            <w:pPr>
              <w:spacing w:line="360" w:lineRule="auto"/>
              <w:contextualSpacing/>
              <w:mirrorIndents/>
              <w:jc w:val="both"/>
              <w:rPr>
                <w:rFonts w:ascii="Book Antiqua" w:hAnsi="Book Antiqua"/>
              </w:rPr>
            </w:pPr>
            <w:r>
              <w:rPr>
                <w:rFonts w:ascii="Book Antiqua" w:hAnsi="Book Antiqua"/>
              </w:rPr>
              <w:t>-</w:t>
            </w:r>
          </w:p>
        </w:tc>
        <w:tc>
          <w:tcPr>
            <w:tcW w:w="1381" w:type="dxa"/>
          </w:tcPr>
          <w:p w14:paraId="5093135B" w14:textId="77777777" w:rsidR="0014697C" w:rsidRPr="00FD1252" w:rsidRDefault="0014697C" w:rsidP="00FD1252">
            <w:pPr>
              <w:spacing w:line="360" w:lineRule="auto"/>
              <w:contextualSpacing/>
              <w:mirrorIndents/>
              <w:jc w:val="both"/>
              <w:rPr>
                <w:rFonts w:ascii="Book Antiqua" w:hAnsi="Book Antiqua"/>
              </w:rPr>
            </w:pPr>
            <w:r w:rsidRPr="00FD1252">
              <w:rPr>
                <w:rFonts w:ascii="Book Antiqua" w:hAnsi="Book Antiqua"/>
              </w:rPr>
              <w:t>ptcml</w:t>
            </w:r>
          </w:p>
        </w:tc>
        <w:tc>
          <w:tcPr>
            <w:tcW w:w="1454" w:type="dxa"/>
          </w:tcPr>
          <w:p w14:paraId="355A75CE" w14:textId="15736137" w:rsidR="0014697C" w:rsidRPr="00FD1252" w:rsidRDefault="00E077B3" w:rsidP="00FD1252">
            <w:pPr>
              <w:spacing w:line="360" w:lineRule="auto"/>
              <w:contextualSpacing/>
              <w:mirrorIndents/>
              <w:jc w:val="both"/>
              <w:rPr>
                <w:rFonts w:ascii="Book Antiqua" w:hAnsi="Book Antiqua"/>
              </w:rPr>
            </w:pPr>
            <w:r>
              <w:rPr>
                <w:rFonts w:ascii="Book Antiqua" w:hAnsi="Book Antiqua"/>
              </w:rPr>
              <w:t>-</w:t>
            </w:r>
          </w:p>
        </w:tc>
        <w:tc>
          <w:tcPr>
            <w:tcW w:w="1984" w:type="dxa"/>
          </w:tcPr>
          <w:p w14:paraId="6A664151" w14:textId="77777777" w:rsidR="0014697C" w:rsidRPr="00FD1252" w:rsidRDefault="0014697C" w:rsidP="00FD1252">
            <w:pPr>
              <w:spacing w:line="360" w:lineRule="auto"/>
              <w:contextualSpacing/>
              <w:mirrorIndents/>
              <w:jc w:val="both"/>
              <w:rPr>
                <w:rFonts w:ascii="Book Antiqua" w:hAnsi="Book Antiqua"/>
              </w:rPr>
            </w:pPr>
          </w:p>
        </w:tc>
        <w:tc>
          <w:tcPr>
            <w:tcW w:w="1276" w:type="dxa"/>
          </w:tcPr>
          <w:p w14:paraId="6FE4A653" w14:textId="77777777" w:rsidR="0014697C" w:rsidRPr="00FD1252" w:rsidRDefault="0014697C" w:rsidP="00FD1252">
            <w:pPr>
              <w:spacing w:line="360" w:lineRule="auto"/>
              <w:contextualSpacing/>
              <w:mirrorIndents/>
              <w:jc w:val="both"/>
              <w:rPr>
                <w:rFonts w:ascii="Book Antiqua" w:hAnsi="Book Antiqua"/>
              </w:rPr>
            </w:pPr>
          </w:p>
        </w:tc>
      </w:tr>
      <w:tr w:rsidR="0014697C" w:rsidRPr="00FD1252" w14:paraId="4AD3B73C" w14:textId="77777777" w:rsidTr="0014697C">
        <w:trPr>
          <w:trHeight w:val="561"/>
        </w:trPr>
        <w:tc>
          <w:tcPr>
            <w:tcW w:w="2217" w:type="dxa"/>
            <w:tcBorders>
              <w:bottom w:val="single" w:sz="4" w:space="0" w:color="auto"/>
            </w:tcBorders>
          </w:tcPr>
          <w:p w14:paraId="3D3A78BD" w14:textId="77777777" w:rsidR="0014697C" w:rsidRPr="00FD1252" w:rsidRDefault="0014697C" w:rsidP="00FD1252">
            <w:pPr>
              <w:spacing w:line="360" w:lineRule="auto"/>
              <w:contextualSpacing/>
              <w:mirrorIndents/>
              <w:jc w:val="both"/>
              <w:rPr>
                <w:rFonts w:ascii="Book Antiqua" w:hAnsi="Book Antiqua"/>
                <w:vertAlign w:val="superscript"/>
              </w:rPr>
            </w:pPr>
            <w:r w:rsidRPr="00FD1252">
              <w:rPr>
                <w:rFonts w:ascii="Book Antiqua" w:hAnsi="Book Antiqua"/>
              </w:rPr>
              <w:t>C4d</w:t>
            </w:r>
          </w:p>
        </w:tc>
        <w:tc>
          <w:tcPr>
            <w:tcW w:w="1473" w:type="dxa"/>
            <w:tcBorders>
              <w:bottom w:val="single" w:sz="4" w:space="0" w:color="auto"/>
            </w:tcBorders>
          </w:tcPr>
          <w:p w14:paraId="0736AF73" w14:textId="77777777" w:rsidR="0014697C" w:rsidRPr="00FD1252" w:rsidRDefault="0014697C" w:rsidP="00FD1252">
            <w:pPr>
              <w:spacing w:line="360" w:lineRule="auto"/>
              <w:contextualSpacing/>
              <w:mirrorIndents/>
              <w:jc w:val="both"/>
              <w:rPr>
                <w:rFonts w:ascii="Book Antiqua" w:hAnsi="Book Antiqua"/>
              </w:rPr>
            </w:pPr>
            <w:r w:rsidRPr="00FD1252">
              <w:rPr>
                <w:rFonts w:ascii="Book Antiqua" w:hAnsi="Book Antiqua"/>
              </w:rPr>
              <w:t>C4d</w:t>
            </w:r>
          </w:p>
        </w:tc>
        <w:tc>
          <w:tcPr>
            <w:tcW w:w="1414" w:type="dxa"/>
            <w:tcBorders>
              <w:bottom w:val="single" w:sz="4" w:space="0" w:color="auto"/>
            </w:tcBorders>
          </w:tcPr>
          <w:p w14:paraId="57F57883" w14:textId="38D53325" w:rsidR="0014697C" w:rsidRPr="00FD1252" w:rsidRDefault="00E077B3" w:rsidP="00FD1252">
            <w:pPr>
              <w:spacing w:line="360" w:lineRule="auto"/>
              <w:contextualSpacing/>
              <w:mirrorIndents/>
              <w:jc w:val="both"/>
              <w:rPr>
                <w:rFonts w:ascii="Book Antiqua" w:hAnsi="Book Antiqua"/>
              </w:rPr>
            </w:pPr>
            <w:r>
              <w:rPr>
                <w:rFonts w:ascii="Book Antiqua" w:hAnsi="Book Antiqua"/>
              </w:rPr>
              <w:t>-</w:t>
            </w:r>
          </w:p>
        </w:tc>
        <w:tc>
          <w:tcPr>
            <w:tcW w:w="1381" w:type="dxa"/>
            <w:tcBorders>
              <w:bottom w:val="single" w:sz="4" w:space="0" w:color="auto"/>
            </w:tcBorders>
          </w:tcPr>
          <w:p w14:paraId="7F1D1A18" w14:textId="77777777" w:rsidR="0014697C" w:rsidRPr="00FD1252" w:rsidRDefault="0014697C" w:rsidP="00FD1252">
            <w:pPr>
              <w:spacing w:line="360" w:lineRule="auto"/>
              <w:contextualSpacing/>
              <w:mirrorIndents/>
              <w:jc w:val="both"/>
              <w:rPr>
                <w:rFonts w:ascii="Book Antiqua" w:hAnsi="Book Antiqua"/>
              </w:rPr>
            </w:pPr>
          </w:p>
        </w:tc>
        <w:tc>
          <w:tcPr>
            <w:tcW w:w="1454" w:type="dxa"/>
            <w:tcBorders>
              <w:bottom w:val="single" w:sz="4" w:space="0" w:color="auto"/>
            </w:tcBorders>
          </w:tcPr>
          <w:p w14:paraId="1A7F0920" w14:textId="77777777" w:rsidR="0014697C" w:rsidRPr="00FD1252" w:rsidRDefault="0014697C" w:rsidP="00FD1252">
            <w:pPr>
              <w:spacing w:line="360" w:lineRule="auto"/>
              <w:contextualSpacing/>
              <w:mirrorIndents/>
              <w:jc w:val="both"/>
              <w:rPr>
                <w:rFonts w:ascii="Book Antiqua" w:hAnsi="Book Antiqua"/>
              </w:rPr>
            </w:pPr>
          </w:p>
        </w:tc>
        <w:tc>
          <w:tcPr>
            <w:tcW w:w="1984" w:type="dxa"/>
            <w:tcBorders>
              <w:bottom w:val="single" w:sz="4" w:space="0" w:color="auto"/>
            </w:tcBorders>
          </w:tcPr>
          <w:p w14:paraId="168DD496" w14:textId="77777777" w:rsidR="0014697C" w:rsidRPr="00FD1252" w:rsidRDefault="0014697C" w:rsidP="00FD1252">
            <w:pPr>
              <w:spacing w:line="360" w:lineRule="auto"/>
              <w:contextualSpacing/>
              <w:mirrorIndents/>
              <w:jc w:val="both"/>
              <w:rPr>
                <w:rFonts w:ascii="Book Antiqua" w:hAnsi="Book Antiqua"/>
              </w:rPr>
            </w:pPr>
          </w:p>
        </w:tc>
        <w:tc>
          <w:tcPr>
            <w:tcW w:w="1276" w:type="dxa"/>
            <w:tcBorders>
              <w:bottom w:val="single" w:sz="4" w:space="0" w:color="auto"/>
            </w:tcBorders>
          </w:tcPr>
          <w:p w14:paraId="5A214EAA" w14:textId="77777777" w:rsidR="0014697C" w:rsidRPr="00FD1252" w:rsidRDefault="0014697C" w:rsidP="00FD1252">
            <w:pPr>
              <w:spacing w:line="360" w:lineRule="auto"/>
              <w:contextualSpacing/>
              <w:mirrorIndents/>
              <w:jc w:val="both"/>
              <w:rPr>
                <w:rFonts w:ascii="Book Antiqua" w:hAnsi="Book Antiqua"/>
              </w:rPr>
            </w:pPr>
          </w:p>
        </w:tc>
      </w:tr>
    </w:tbl>
    <w:p w14:paraId="71660346" w14:textId="4B4A79D0" w:rsidR="003474F9" w:rsidRPr="00FD1252" w:rsidRDefault="00027F6E" w:rsidP="00FD1252">
      <w:pPr>
        <w:autoSpaceDE w:val="0"/>
        <w:autoSpaceDN w:val="0"/>
        <w:spacing w:line="360" w:lineRule="auto"/>
        <w:contextualSpacing/>
        <w:mirrorIndents/>
        <w:jc w:val="both"/>
        <w:rPr>
          <w:rFonts w:ascii="Book Antiqua" w:hAnsi="Book Antiqua"/>
          <w:bCs/>
        </w:rPr>
      </w:pPr>
      <w:r w:rsidRPr="00FD1252">
        <w:rPr>
          <w:rFonts w:ascii="Book Antiqua" w:hAnsi="Book Antiqua"/>
          <w:bCs/>
        </w:rPr>
        <w:t xml:space="preserve">C4d: Linear staining in peritubular capillaries or medullary vasa recta either by immunofluorescence on frozen sections of fresh frozen tissue or immunohistochemistry on formalin-fixed, paraffin-embedded tissue; cg: Chronic glomerulopathy (transplant glomerulopathy); ci: Interstitial fibrosis involving the cortex; ct: Tubular atrophy in the cortex; cv: Arterial intimal fibrosis (fibrointimal thickening); </w:t>
      </w:r>
      <w:r w:rsidR="0014697C" w:rsidRPr="00FD1252">
        <w:rPr>
          <w:rFonts w:ascii="Book Antiqua" w:hAnsi="Book Antiqua"/>
          <w:bCs/>
        </w:rPr>
        <w:t xml:space="preserve">g: Glomerulitis; i: Inflammation in the non-scarred cortex; </w:t>
      </w:r>
      <w:r w:rsidR="00E2289E" w:rsidRPr="00FD1252">
        <w:rPr>
          <w:rFonts w:ascii="Book Antiqua" w:hAnsi="Book Antiqua"/>
          <w:bCs/>
        </w:rPr>
        <w:t xml:space="preserve">i-IFTA: Inflammation in the scarred cortex; </w:t>
      </w:r>
      <w:r w:rsidRPr="00FD1252">
        <w:rPr>
          <w:rFonts w:ascii="Book Antiqua" w:hAnsi="Book Antiqua"/>
          <w:bCs/>
        </w:rPr>
        <w:t xml:space="preserve">ptc: Peritubular capillaritis; </w:t>
      </w:r>
      <w:r w:rsidR="00E2289E" w:rsidRPr="00FD1252">
        <w:rPr>
          <w:rFonts w:ascii="Book Antiqua" w:hAnsi="Book Antiqua"/>
          <w:bCs/>
        </w:rPr>
        <w:t>ptcml: Peritubular capillary basement membrane multilayering (requires EM for detection);</w:t>
      </w:r>
      <w:r w:rsidR="00E2289E">
        <w:rPr>
          <w:rFonts w:ascii="Book Antiqua" w:hAnsi="Book Antiqua"/>
          <w:bCs/>
        </w:rPr>
        <w:t xml:space="preserve"> </w:t>
      </w:r>
      <w:r w:rsidR="0014697C" w:rsidRPr="00FD1252">
        <w:rPr>
          <w:rFonts w:ascii="Book Antiqua" w:hAnsi="Book Antiqua"/>
          <w:bCs/>
        </w:rPr>
        <w:t xml:space="preserve">t: Tubulitis in cortical tubules within the non-scarred cortex; </w:t>
      </w:r>
      <w:r w:rsidR="00E2289E" w:rsidRPr="00FD1252">
        <w:rPr>
          <w:rFonts w:ascii="Book Antiqua" w:hAnsi="Book Antiqua"/>
          <w:bCs/>
        </w:rPr>
        <w:t xml:space="preserve">ti: Total cortical inflammation, including scarred and non-scarred cortex; </w:t>
      </w:r>
      <w:r w:rsidR="00C3640D" w:rsidRPr="00FD1252">
        <w:rPr>
          <w:rFonts w:ascii="Book Antiqua" w:hAnsi="Book Antiqua"/>
          <w:bCs/>
        </w:rPr>
        <w:t>t-IFTA: Tubulitis in mildly to moderately atrophic tubules within the scarred cortex</w:t>
      </w:r>
      <w:r w:rsidR="00C3640D">
        <w:rPr>
          <w:rFonts w:ascii="Book Antiqua" w:hAnsi="Book Antiqua"/>
          <w:bCs/>
        </w:rPr>
        <w:t>;</w:t>
      </w:r>
      <w:r w:rsidR="00C3640D" w:rsidRPr="00FD1252">
        <w:rPr>
          <w:rFonts w:ascii="Book Antiqua" w:hAnsi="Book Antiqua"/>
          <w:bCs/>
        </w:rPr>
        <w:t xml:space="preserve"> </w:t>
      </w:r>
      <w:r w:rsidR="0014697C" w:rsidRPr="00FD1252">
        <w:rPr>
          <w:rFonts w:ascii="Book Antiqua" w:hAnsi="Book Antiqua"/>
          <w:bCs/>
        </w:rPr>
        <w:t>v: Arteritis (intimal to transmural arteritis).</w:t>
      </w:r>
    </w:p>
    <w:p w14:paraId="071901B1" w14:textId="77777777" w:rsidR="003474F9" w:rsidRPr="00FD1252" w:rsidRDefault="003474F9" w:rsidP="00FD1252">
      <w:pPr>
        <w:spacing w:line="360" w:lineRule="auto"/>
        <w:jc w:val="both"/>
        <w:rPr>
          <w:rFonts w:ascii="Book Antiqua" w:eastAsia="Book Antiqua" w:hAnsi="Book Antiqua" w:cs="Book Antiqua"/>
          <w:b/>
          <w:bCs/>
        </w:rPr>
      </w:pPr>
    </w:p>
    <w:p w14:paraId="3642E48D" w14:textId="77777777" w:rsidR="003474F9" w:rsidRPr="00FD1252" w:rsidRDefault="003474F9" w:rsidP="00FD1252">
      <w:pPr>
        <w:spacing w:line="360" w:lineRule="auto"/>
        <w:jc w:val="both"/>
        <w:rPr>
          <w:rFonts w:ascii="Book Antiqua" w:eastAsia="Book Antiqua" w:hAnsi="Book Antiqua" w:cs="Book Antiqua"/>
        </w:rPr>
        <w:sectPr w:rsidR="003474F9" w:rsidRPr="00FD1252">
          <w:pgSz w:w="12240" w:h="15840"/>
          <w:pgMar w:top="1440" w:right="1440" w:bottom="1440" w:left="1440" w:header="720" w:footer="720" w:gutter="0"/>
          <w:cols w:space="720"/>
          <w:docGrid w:linePitch="360"/>
        </w:sectPr>
      </w:pPr>
    </w:p>
    <w:p w14:paraId="1441AAD2" w14:textId="0F7C101E" w:rsidR="003474F9" w:rsidRPr="00FD1252" w:rsidRDefault="003474F9" w:rsidP="00FD1252">
      <w:pPr>
        <w:spacing w:line="360" w:lineRule="auto"/>
        <w:jc w:val="both"/>
        <w:rPr>
          <w:rFonts w:ascii="Book Antiqua" w:eastAsia="Book Antiqua" w:hAnsi="Book Antiqua" w:cs="Book Antiqua"/>
          <w:b/>
          <w:bCs/>
        </w:rPr>
      </w:pPr>
      <w:r w:rsidRPr="00FD1252">
        <w:rPr>
          <w:rFonts w:ascii="Book Antiqua" w:eastAsia="Book Antiqua" w:hAnsi="Book Antiqua" w:cs="Book Antiqua"/>
          <w:b/>
          <w:bCs/>
        </w:rPr>
        <w:lastRenderedPageBreak/>
        <w:t>Table 3</w:t>
      </w:r>
      <w:r w:rsidR="0014697C" w:rsidRPr="00FD1252">
        <w:rPr>
          <w:rFonts w:ascii="Book Antiqua" w:eastAsia="Book Antiqua" w:hAnsi="Book Antiqua" w:cs="Book Antiqua"/>
          <w:b/>
          <w:bCs/>
        </w:rPr>
        <w:t xml:space="preserve"> Main changes in the nomenclature and classification of antibody-mediated rejection in the Banff classification over three decades of evolution (1991 to 2019)</w:t>
      </w:r>
    </w:p>
    <w:tbl>
      <w:tblPr>
        <w:tblW w:w="11483" w:type="dxa"/>
        <w:tblInd w:w="-885" w:type="dxa"/>
        <w:tblLook w:val="04A0" w:firstRow="1" w:lastRow="0" w:firstColumn="1" w:lastColumn="0" w:noHBand="0" w:noVBand="1"/>
      </w:tblPr>
      <w:tblGrid>
        <w:gridCol w:w="3404"/>
        <w:gridCol w:w="8079"/>
      </w:tblGrid>
      <w:tr w:rsidR="0014697C" w:rsidRPr="00FD1252" w14:paraId="32BFD70F" w14:textId="77777777" w:rsidTr="00D44687">
        <w:trPr>
          <w:trHeight w:val="409"/>
        </w:trPr>
        <w:tc>
          <w:tcPr>
            <w:tcW w:w="3404" w:type="dxa"/>
            <w:tcBorders>
              <w:top w:val="single" w:sz="4" w:space="0" w:color="auto"/>
              <w:bottom w:val="single" w:sz="4" w:space="0" w:color="auto"/>
            </w:tcBorders>
          </w:tcPr>
          <w:p w14:paraId="167BB48A" w14:textId="77777777" w:rsidR="0014697C" w:rsidRPr="00FD1252" w:rsidRDefault="0014697C" w:rsidP="00FD1252">
            <w:pPr>
              <w:spacing w:line="360" w:lineRule="auto"/>
              <w:jc w:val="both"/>
              <w:rPr>
                <w:rFonts w:ascii="Book Antiqua" w:hAnsi="Book Antiqua"/>
                <w:b/>
              </w:rPr>
            </w:pPr>
            <w:r w:rsidRPr="00FD1252">
              <w:rPr>
                <w:rFonts w:ascii="Book Antiqua" w:hAnsi="Book Antiqua"/>
                <w:b/>
              </w:rPr>
              <w:t>Meeting reports, yr</w:t>
            </w:r>
          </w:p>
        </w:tc>
        <w:tc>
          <w:tcPr>
            <w:tcW w:w="8079" w:type="dxa"/>
            <w:tcBorders>
              <w:top w:val="single" w:sz="4" w:space="0" w:color="auto"/>
              <w:bottom w:val="single" w:sz="4" w:space="0" w:color="auto"/>
            </w:tcBorders>
          </w:tcPr>
          <w:p w14:paraId="22C9CCBB" w14:textId="77777777" w:rsidR="0014697C" w:rsidRPr="00FD1252" w:rsidRDefault="0014697C" w:rsidP="00FD1252">
            <w:pPr>
              <w:spacing w:line="360" w:lineRule="auto"/>
              <w:jc w:val="both"/>
              <w:rPr>
                <w:rFonts w:ascii="Book Antiqua" w:hAnsi="Book Antiqua"/>
                <w:b/>
              </w:rPr>
            </w:pPr>
            <w:r w:rsidRPr="00FD1252">
              <w:rPr>
                <w:rFonts w:ascii="Book Antiqua" w:hAnsi="Book Antiqua"/>
                <w:b/>
              </w:rPr>
              <w:t>Category 2: Antibody-mediated rejection</w:t>
            </w:r>
            <w:r w:rsidRPr="00FD1252">
              <w:rPr>
                <w:rFonts w:ascii="Book Antiqua" w:hAnsi="Book Antiqua"/>
                <w:b/>
                <w:vertAlign w:val="superscript"/>
              </w:rPr>
              <w:t>1</w:t>
            </w:r>
          </w:p>
        </w:tc>
      </w:tr>
      <w:tr w:rsidR="0014697C" w:rsidRPr="00FD1252" w14:paraId="4CC0531C" w14:textId="77777777" w:rsidTr="00D44687">
        <w:trPr>
          <w:trHeight w:val="458"/>
        </w:trPr>
        <w:tc>
          <w:tcPr>
            <w:tcW w:w="3404" w:type="dxa"/>
            <w:tcBorders>
              <w:top w:val="single" w:sz="4" w:space="0" w:color="auto"/>
            </w:tcBorders>
          </w:tcPr>
          <w:p w14:paraId="04AA2BFA" w14:textId="362C7FE1" w:rsidR="0014697C" w:rsidRPr="00FD1252" w:rsidRDefault="0014697C" w:rsidP="00FD1252">
            <w:pPr>
              <w:spacing w:line="360" w:lineRule="auto"/>
              <w:jc w:val="both"/>
              <w:rPr>
                <w:rFonts w:ascii="Book Antiqua" w:hAnsi="Book Antiqua"/>
              </w:rPr>
            </w:pPr>
            <w:r w:rsidRPr="00FD1252">
              <w:rPr>
                <w:rFonts w:ascii="Book Antiqua" w:hAnsi="Book Antiqua"/>
              </w:rPr>
              <w:t>Banff, 1993</w:t>
            </w:r>
          </w:p>
        </w:tc>
        <w:tc>
          <w:tcPr>
            <w:tcW w:w="8079" w:type="dxa"/>
            <w:tcBorders>
              <w:top w:val="single" w:sz="4" w:space="0" w:color="auto"/>
            </w:tcBorders>
          </w:tcPr>
          <w:p w14:paraId="0F65BAEA" w14:textId="18DCFB77" w:rsidR="0014697C" w:rsidRPr="006D245A" w:rsidRDefault="0014697C" w:rsidP="00FD1252">
            <w:pPr>
              <w:spacing w:line="360" w:lineRule="auto"/>
              <w:jc w:val="both"/>
              <w:rPr>
                <w:rFonts w:ascii="Book Antiqua" w:hAnsi="Book Antiqua"/>
              </w:rPr>
            </w:pPr>
            <w:r w:rsidRPr="006D245A">
              <w:rPr>
                <w:rFonts w:ascii="Book Antiqua" w:hAnsi="Book Antiqua"/>
              </w:rPr>
              <w:t>Hyperacute rejection</w:t>
            </w:r>
          </w:p>
        </w:tc>
      </w:tr>
      <w:tr w:rsidR="00D44687" w:rsidRPr="00FD1252" w14:paraId="34029DC9" w14:textId="77777777" w:rsidTr="0014697C">
        <w:trPr>
          <w:trHeight w:val="458"/>
        </w:trPr>
        <w:tc>
          <w:tcPr>
            <w:tcW w:w="3404" w:type="dxa"/>
            <w:vMerge w:val="restart"/>
          </w:tcPr>
          <w:p w14:paraId="21151482" w14:textId="4D999B05" w:rsidR="00D44687" w:rsidRPr="00FD1252" w:rsidRDefault="00D44687" w:rsidP="00FD1252">
            <w:pPr>
              <w:spacing w:line="360" w:lineRule="auto"/>
              <w:jc w:val="both"/>
              <w:rPr>
                <w:rFonts w:ascii="Book Antiqua" w:hAnsi="Book Antiqua"/>
              </w:rPr>
            </w:pPr>
            <w:r w:rsidRPr="00FD1252">
              <w:rPr>
                <w:rFonts w:ascii="Book Antiqua" w:hAnsi="Book Antiqua"/>
              </w:rPr>
              <w:t>Banff, 1997</w:t>
            </w:r>
          </w:p>
        </w:tc>
        <w:tc>
          <w:tcPr>
            <w:tcW w:w="8079" w:type="dxa"/>
          </w:tcPr>
          <w:p w14:paraId="40C08031" w14:textId="0A944264" w:rsidR="00D44687" w:rsidRPr="00EB6BAF" w:rsidRDefault="00D44687" w:rsidP="00FD1252">
            <w:pPr>
              <w:spacing w:line="360" w:lineRule="auto"/>
              <w:jc w:val="both"/>
              <w:rPr>
                <w:rFonts w:ascii="Book Antiqua" w:hAnsi="Book Antiqua"/>
              </w:rPr>
            </w:pPr>
            <w:r w:rsidRPr="00EB6BAF">
              <w:rPr>
                <w:rFonts w:ascii="Book Antiqua" w:hAnsi="Book Antiqua"/>
              </w:rPr>
              <w:t>AMR</w:t>
            </w:r>
            <w:r w:rsidR="006D245A" w:rsidRPr="00EB6BAF">
              <w:rPr>
                <w:rFonts w:ascii="Book Antiqua" w:hAnsi="Book Antiqua"/>
                <w:vertAlign w:val="superscript"/>
              </w:rPr>
              <w:t>3</w:t>
            </w:r>
          </w:p>
        </w:tc>
      </w:tr>
      <w:tr w:rsidR="00D44687" w:rsidRPr="00FD1252" w14:paraId="6DEB97A0" w14:textId="77777777" w:rsidTr="0014697C">
        <w:trPr>
          <w:trHeight w:val="458"/>
        </w:trPr>
        <w:tc>
          <w:tcPr>
            <w:tcW w:w="3404" w:type="dxa"/>
            <w:vMerge/>
          </w:tcPr>
          <w:p w14:paraId="252FCE12" w14:textId="77777777" w:rsidR="00D44687" w:rsidRPr="00FD1252" w:rsidRDefault="00D44687" w:rsidP="00FD1252">
            <w:pPr>
              <w:spacing w:line="360" w:lineRule="auto"/>
              <w:jc w:val="both"/>
              <w:rPr>
                <w:rFonts w:ascii="Book Antiqua" w:hAnsi="Book Antiqua"/>
              </w:rPr>
            </w:pPr>
          </w:p>
        </w:tc>
        <w:tc>
          <w:tcPr>
            <w:tcW w:w="8079" w:type="dxa"/>
          </w:tcPr>
          <w:p w14:paraId="360160CE" w14:textId="6E13C44B" w:rsidR="00D44687" w:rsidRPr="006D245A" w:rsidRDefault="00D44687" w:rsidP="00FD1252">
            <w:pPr>
              <w:pStyle w:val="ListParagraph"/>
              <w:spacing w:after="0" w:line="360" w:lineRule="auto"/>
              <w:ind w:left="0" w:firstLineChars="50" w:firstLine="120"/>
              <w:jc w:val="both"/>
              <w:rPr>
                <w:rFonts w:ascii="Book Antiqua" w:hAnsi="Book Antiqua" w:cs="Times New Roman"/>
                <w:sz w:val="24"/>
                <w:szCs w:val="24"/>
              </w:rPr>
            </w:pPr>
            <w:r w:rsidRPr="006D245A">
              <w:rPr>
                <w:rFonts w:ascii="Book Antiqua" w:hAnsi="Book Antiqua" w:cs="Times New Roman"/>
                <w:sz w:val="24"/>
                <w:szCs w:val="24"/>
              </w:rPr>
              <w:t>Hyperacute</w:t>
            </w:r>
          </w:p>
        </w:tc>
      </w:tr>
      <w:tr w:rsidR="00D44687" w:rsidRPr="00FD1252" w14:paraId="650828C5" w14:textId="77777777" w:rsidTr="0014697C">
        <w:trPr>
          <w:trHeight w:val="458"/>
        </w:trPr>
        <w:tc>
          <w:tcPr>
            <w:tcW w:w="3404" w:type="dxa"/>
            <w:vMerge/>
          </w:tcPr>
          <w:p w14:paraId="4F78FC24" w14:textId="77777777" w:rsidR="00D44687" w:rsidRPr="00FD1252" w:rsidRDefault="00D44687" w:rsidP="00FD1252">
            <w:pPr>
              <w:spacing w:line="360" w:lineRule="auto"/>
              <w:jc w:val="both"/>
              <w:rPr>
                <w:rFonts w:ascii="Book Antiqua" w:hAnsi="Book Antiqua"/>
              </w:rPr>
            </w:pPr>
          </w:p>
        </w:tc>
        <w:tc>
          <w:tcPr>
            <w:tcW w:w="8079" w:type="dxa"/>
          </w:tcPr>
          <w:p w14:paraId="6F6DDEC5" w14:textId="6520DE39" w:rsidR="00D44687" w:rsidRPr="006D245A" w:rsidRDefault="00D44687" w:rsidP="00FD1252">
            <w:pPr>
              <w:spacing w:line="360" w:lineRule="auto"/>
              <w:ind w:firstLineChars="50" w:firstLine="120"/>
              <w:jc w:val="both"/>
              <w:rPr>
                <w:rFonts w:ascii="Book Antiqua" w:hAnsi="Book Antiqua"/>
              </w:rPr>
            </w:pPr>
            <w:r w:rsidRPr="00EB6BAF">
              <w:rPr>
                <w:rFonts w:ascii="Book Antiqua" w:hAnsi="Book Antiqua"/>
              </w:rPr>
              <w:t>Accelerated acute</w:t>
            </w:r>
            <w:r w:rsidR="006D245A" w:rsidRPr="00EB6BAF">
              <w:rPr>
                <w:rFonts w:ascii="Book Antiqua" w:hAnsi="Book Antiqua"/>
                <w:vertAlign w:val="superscript"/>
              </w:rPr>
              <w:t>3</w:t>
            </w:r>
          </w:p>
        </w:tc>
      </w:tr>
      <w:tr w:rsidR="0014697C" w:rsidRPr="00FD1252" w14:paraId="2B5A7969" w14:textId="77777777" w:rsidTr="0014697C">
        <w:trPr>
          <w:trHeight w:val="530"/>
        </w:trPr>
        <w:tc>
          <w:tcPr>
            <w:tcW w:w="3404" w:type="dxa"/>
          </w:tcPr>
          <w:p w14:paraId="0CA67368" w14:textId="67B7C238" w:rsidR="0014697C" w:rsidRPr="00FD1252" w:rsidRDefault="0014697C" w:rsidP="00FD1252">
            <w:pPr>
              <w:pStyle w:val="NoSpacing"/>
              <w:spacing w:line="360" w:lineRule="auto"/>
              <w:jc w:val="both"/>
              <w:rPr>
                <w:rFonts w:ascii="Book Antiqua" w:hAnsi="Book Antiqua" w:cs="Times New Roman"/>
                <w:sz w:val="24"/>
                <w:szCs w:val="24"/>
              </w:rPr>
            </w:pPr>
            <w:r w:rsidRPr="00FD1252">
              <w:rPr>
                <w:rFonts w:ascii="Book Antiqua" w:hAnsi="Book Antiqua" w:cs="Times New Roman"/>
                <w:sz w:val="24"/>
                <w:szCs w:val="24"/>
              </w:rPr>
              <w:t>Banff, 1997 update (2001)</w:t>
            </w:r>
          </w:p>
        </w:tc>
        <w:tc>
          <w:tcPr>
            <w:tcW w:w="8079" w:type="dxa"/>
          </w:tcPr>
          <w:p w14:paraId="68A62409" w14:textId="77777777" w:rsidR="0014697C" w:rsidRPr="006D245A" w:rsidRDefault="0014697C" w:rsidP="00FD1252">
            <w:pPr>
              <w:spacing w:line="360" w:lineRule="auto"/>
              <w:jc w:val="both"/>
              <w:rPr>
                <w:rFonts w:ascii="Book Antiqua" w:hAnsi="Book Antiqua"/>
              </w:rPr>
            </w:pPr>
            <w:r w:rsidRPr="006D245A">
              <w:rPr>
                <w:rFonts w:ascii="Book Antiqua" w:hAnsi="Book Antiqua"/>
              </w:rPr>
              <w:t xml:space="preserve">Diagnostic criteria for </w:t>
            </w:r>
            <w:r w:rsidRPr="00EB6BAF">
              <w:rPr>
                <w:rFonts w:ascii="Book Antiqua" w:hAnsi="Book Antiqua"/>
              </w:rPr>
              <w:t xml:space="preserve">acute </w:t>
            </w:r>
            <w:r w:rsidRPr="006D245A">
              <w:rPr>
                <w:rFonts w:ascii="Book Antiqua" w:hAnsi="Book Antiqua"/>
              </w:rPr>
              <w:t>antibody-mediated rejection were developed.</w:t>
            </w:r>
          </w:p>
          <w:p w14:paraId="0F903C00" w14:textId="3D71DE1E" w:rsidR="0014697C" w:rsidRPr="006D245A" w:rsidRDefault="0014697C" w:rsidP="00FD1252">
            <w:pPr>
              <w:spacing w:line="360" w:lineRule="auto"/>
              <w:jc w:val="both"/>
              <w:rPr>
                <w:rFonts w:ascii="Book Antiqua" w:hAnsi="Book Antiqua"/>
              </w:rPr>
            </w:pPr>
            <w:r w:rsidRPr="006D245A">
              <w:rPr>
                <w:rFonts w:ascii="Book Antiqua" w:hAnsi="Book Antiqua"/>
              </w:rPr>
              <w:t>Three types were described as:</w:t>
            </w:r>
            <w:r w:rsidR="00D44687" w:rsidRPr="006D245A">
              <w:rPr>
                <w:rFonts w:ascii="Book Antiqua" w:hAnsi="Book Antiqua"/>
              </w:rPr>
              <w:t xml:space="preserve"> (1) </w:t>
            </w:r>
            <w:r w:rsidRPr="006D245A">
              <w:rPr>
                <w:rFonts w:ascii="Book Antiqua" w:hAnsi="Book Antiqua"/>
              </w:rPr>
              <w:t>Types I</w:t>
            </w:r>
            <w:r w:rsidR="00D44687" w:rsidRPr="006D245A">
              <w:rPr>
                <w:rFonts w:ascii="Book Antiqua" w:hAnsi="Book Antiqua"/>
              </w:rPr>
              <w:t>:</w:t>
            </w:r>
            <w:r w:rsidRPr="006D245A">
              <w:rPr>
                <w:rFonts w:ascii="Book Antiqua" w:hAnsi="Book Antiqua"/>
              </w:rPr>
              <w:t xml:space="preserve"> </w:t>
            </w:r>
            <w:r w:rsidRPr="00EB6BAF">
              <w:rPr>
                <w:rFonts w:ascii="Book Antiqua" w:hAnsi="Book Antiqua"/>
              </w:rPr>
              <w:t>ATN-like</w:t>
            </w:r>
            <w:r w:rsidR="006D245A" w:rsidRPr="00EB6BAF">
              <w:rPr>
                <w:rFonts w:ascii="Book Antiqua" w:hAnsi="Book Antiqua"/>
                <w:vertAlign w:val="superscript"/>
              </w:rPr>
              <w:t>3</w:t>
            </w:r>
            <w:r w:rsidR="00D44687" w:rsidRPr="006D245A">
              <w:rPr>
                <w:rFonts w:ascii="Book Antiqua" w:hAnsi="Book Antiqua"/>
              </w:rPr>
              <w:t xml:space="preserve">; (2) Types </w:t>
            </w:r>
            <w:r w:rsidRPr="00EB6BAF">
              <w:rPr>
                <w:rFonts w:ascii="Book Antiqua" w:hAnsi="Book Antiqua"/>
              </w:rPr>
              <w:t>II</w:t>
            </w:r>
            <w:r w:rsidR="00D44687" w:rsidRPr="00EB6BAF">
              <w:rPr>
                <w:rFonts w:ascii="Book Antiqua" w:hAnsi="Book Antiqua"/>
              </w:rPr>
              <w:t>:</w:t>
            </w:r>
            <w:r w:rsidRPr="00EB6BAF">
              <w:rPr>
                <w:rFonts w:ascii="Book Antiqua" w:hAnsi="Book Antiqua"/>
              </w:rPr>
              <w:t xml:space="preserve"> Capillary</w:t>
            </w:r>
            <w:r w:rsidR="006D245A" w:rsidRPr="00EB6BAF">
              <w:rPr>
                <w:rFonts w:ascii="Book Antiqua" w:hAnsi="Book Antiqua"/>
                <w:vertAlign w:val="superscript"/>
              </w:rPr>
              <w:t>3</w:t>
            </w:r>
            <w:r w:rsidR="00D44687" w:rsidRPr="006D245A">
              <w:rPr>
                <w:rFonts w:ascii="Book Antiqua" w:hAnsi="Book Antiqua"/>
              </w:rPr>
              <w:t xml:space="preserve">; and (3) Type </w:t>
            </w:r>
            <w:r w:rsidRPr="00EB6BAF">
              <w:rPr>
                <w:rFonts w:ascii="Book Antiqua" w:hAnsi="Book Antiqua"/>
              </w:rPr>
              <w:t>III</w:t>
            </w:r>
            <w:r w:rsidR="00D44687" w:rsidRPr="00EB6BAF">
              <w:rPr>
                <w:rFonts w:ascii="Book Antiqua" w:hAnsi="Book Antiqua"/>
              </w:rPr>
              <w:t>:</w:t>
            </w:r>
            <w:r w:rsidRPr="00EB6BAF">
              <w:rPr>
                <w:rFonts w:ascii="Book Antiqua" w:hAnsi="Book Antiqua"/>
              </w:rPr>
              <w:t xml:space="preserve"> Arterial</w:t>
            </w:r>
            <w:r w:rsidR="006D245A" w:rsidRPr="00EB6BAF">
              <w:rPr>
                <w:rFonts w:ascii="Book Antiqua" w:hAnsi="Book Antiqua"/>
                <w:vertAlign w:val="superscript"/>
              </w:rPr>
              <w:t>3</w:t>
            </w:r>
          </w:p>
        </w:tc>
      </w:tr>
      <w:tr w:rsidR="0014697C" w:rsidRPr="00FD1252" w14:paraId="666080A8" w14:textId="77777777" w:rsidTr="00D44687">
        <w:trPr>
          <w:trHeight w:val="818"/>
        </w:trPr>
        <w:tc>
          <w:tcPr>
            <w:tcW w:w="3404" w:type="dxa"/>
          </w:tcPr>
          <w:p w14:paraId="48F07E78" w14:textId="7FA51F1E" w:rsidR="0014697C" w:rsidRPr="00FD1252" w:rsidRDefault="0014697C" w:rsidP="00FD1252">
            <w:pPr>
              <w:pStyle w:val="NoSpacing"/>
              <w:spacing w:line="360" w:lineRule="auto"/>
              <w:jc w:val="both"/>
              <w:rPr>
                <w:rFonts w:ascii="Book Antiqua" w:hAnsi="Book Antiqua" w:cs="Times New Roman"/>
                <w:sz w:val="24"/>
                <w:szCs w:val="24"/>
              </w:rPr>
            </w:pPr>
            <w:r w:rsidRPr="00FD1252">
              <w:rPr>
                <w:rFonts w:ascii="Book Antiqua" w:hAnsi="Book Antiqua" w:cs="Times New Roman"/>
                <w:sz w:val="24"/>
                <w:szCs w:val="24"/>
              </w:rPr>
              <w:t>Banff, 2005</w:t>
            </w:r>
          </w:p>
        </w:tc>
        <w:tc>
          <w:tcPr>
            <w:tcW w:w="8079" w:type="dxa"/>
          </w:tcPr>
          <w:p w14:paraId="5F62A4FE" w14:textId="2EFFB393" w:rsidR="0014697C" w:rsidRPr="006D245A" w:rsidRDefault="0014697C" w:rsidP="00FD1252">
            <w:pPr>
              <w:spacing w:line="360" w:lineRule="auto"/>
              <w:jc w:val="both"/>
              <w:rPr>
                <w:rFonts w:ascii="Book Antiqua" w:hAnsi="Book Antiqua"/>
              </w:rPr>
            </w:pPr>
            <w:r w:rsidRPr="006D245A">
              <w:rPr>
                <w:rFonts w:ascii="Book Antiqua" w:hAnsi="Book Antiqua"/>
              </w:rPr>
              <w:t xml:space="preserve">Diagnostic criteria for </w:t>
            </w:r>
            <w:r w:rsidRPr="00EB6BAF">
              <w:rPr>
                <w:rFonts w:ascii="Book Antiqua" w:hAnsi="Book Antiqua"/>
              </w:rPr>
              <w:t xml:space="preserve">chronic </w:t>
            </w:r>
            <w:r w:rsidRPr="006D245A">
              <w:rPr>
                <w:rFonts w:ascii="Book Antiqua" w:hAnsi="Book Antiqua"/>
              </w:rPr>
              <w:t>antibody-mediated rejection were developed</w:t>
            </w:r>
          </w:p>
        </w:tc>
      </w:tr>
      <w:tr w:rsidR="00D44687" w:rsidRPr="00FD1252" w14:paraId="0B8C4E47" w14:textId="77777777" w:rsidTr="00D44687">
        <w:trPr>
          <w:trHeight w:val="571"/>
        </w:trPr>
        <w:tc>
          <w:tcPr>
            <w:tcW w:w="3404" w:type="dxa"/>
            <w:vMerge w:val="restart"/>
          </w:tcPr>
          <w:p w14:paraId="1F34ABD0" w14:textId="7B2AB725" w:rsidR="00D44687" w:rsidRPr="00FD1252" w:rsidRDefault="00D44687" w:rsidP="00FD1252">
            <w:pPr>
              <w:pStyle w:val="NoSpacing"/>
              <w:spacing w:line="360" w:lineRule="auto"/>
              <w:jc w:val="both"/>
              <w:rPr>
                <w:rFonts w:ascii="Book Antiqua" w:hAnsi="Book Antiqua" w:cs="Times New Roman"/>
                <w:sz w:val="24"/>
                <w:szCs w:val="24"/>
              </w:rPr>
            </w:pPr>
            <w:r w:rsidRPr="00FD1252">
              <w:rPr>
                <w:rFonts w:ascii="Book Antiqua" w:hAnsi="Book Antiqua" w:cs="Times New Roman"/>
                <w:sz w:val="24"/>
                <w:szCs w:val="24"/>
              </w:rPr>
              <w:t>Banff, 2007</w:t>
            </w:r>
          </w:p>
        </w:tc>
        <w:tc>
          <w:tcPr>
            <w:tcW w:w="8079" w:type="dxa"/>
          </w:tcPr>
          <w:p w14:paraId="3398E4BF" w14:textId="6563221D" w:rsidR="00D44687" w:rsidRPr="006D245A" w:rsidRDefault="00D44687" w:rsidP="00FD1252">
            <w:pPr>
              <w:pStyle w:val="NoSpacing"/>
              <w:spacing w:line="360" w:lineRule="auto"/>
              <w:jc w:val="both"/>
              <w:rPr>
                <w:rFonts w:ascii="Book Antiqua" w:hAnsi="Book Antiqua" w:cs="Times New Roman"/>
                <w:sz w:val="24"/>
                <w:szCs w:val="24"/>
              </w:rPr>
            </w:pPr>
            <w:r w:rsidRPr="006D245A">
              <w:rPr>
                <w:rFonts w:ascii="Book Antiqua" w:hAnsi="Book Antiqua" w:cs="Times New Roman"/>
                <w:sz w:val="24"/>
                <w:szCs w:val="24"/>
              </w:rPr>
              <w:t xml:space="preserve">Antibody-mediated </w:t>
            </w:r>
            <w:r w:rsidRPr="00EB6BAF">
              <w:rPr>
                <w:rFonts w:ascii="Book Antiqua" w:hAnsi="Book Antiqua" w:cs="Times New Roman"/>
                <w:sz w:val="24"/>
                <w:szCs w:val="24"/>
              </w:rPr>
              <w:t>changes</w:t>
            </w:r>
            <w:r w:rsidRPr="00EB6BAF">
              <w:rPr>
                <w:rFonts w:ascii="Book Antiqua" w:hAnsi="Book Antiqua" w:cs="Times New Roman"/>
                <w:sz w:val="24"/>
                <w:szCs w:val="24"/>
                <w:vertAlign w:val="superscript"/>
              </w:rPr>
              <w:t>2</w:t>
            </w:r>
            <w:r w:rsidR="006D245A" w:rsidRPr="00EB6BAF">
              <w:rPr>
                <w:rFonts w:ascii="Book Antiqua" w:hAnsi="Book Antiqua" w:cs="Times New Roman"/>
                <w:sz w:val="24"/>
                <w:szCs w:val="24"/>
                <w:vertAlign w:val="superscript"/>
              </w:rPr>
              <w:t>,</w:t>
            </w:r>
            <w:r w:rsidR="006D245A" w:rsidRPr="00EB6BAF">
              <w:rPr>
                <w:rFonts w:ascii="Book Antiqua" w:hAnsi="Book Antiqua"/>
                <w:vertAlign w:val="superscript"/>
              </w:rPr>
              <w:t>3</w:t>
            </w:r>
          </w:p>
        </w:tc>
      </w:tr>
      <w:tr w:rsidR="00D44687" w:rsidRPr="00FD1252" w14:paraId="274FB4F4" w14:textId="77777777" w:rsidTr="00D44687">
        <w:trPr>
          <w:trHeight w:val="523"/>
        </w:trPr>
        <w:tc>
          <w:tcPr>
            <w:tcW w:w="3404" w:type="dxa"/>
            <w:vMerge/>
          </w:tcPr>
          <w:p w14:paraId="54940A49" w14:textId="77777777" w:rsidR="00D44687" w:rsidRPr="00FD1252" w:rsidRDefault="00D44687" w:rsidP="00FD1252">
            <w:pPr>
              <w:pStyle w:val="NoSpacing"/>
              <w:spacing w:line="360" w:lineRule="auto"/>
              <w:jc w:val="both"/>
              <w:rPr>
                <w:rFonts w:ascii="Book Antiqua" w:hAnsi="Book Antiqua" w:cs="Times New Roman"/>
                <w:sz w:val="24"/>
                <w:szCs w:val="24"/>
              </w:rPr>
            </w:pPr>
          </w:p>
        </w:tc>
        <w:tc>
          <w:tcPr>
            <w:tcW w:w="8079" w:type="dxa"/>
          </w:tcPr>
          <w:p w14:paraId="4E5B8024" w14:textId="3921A297" w:rsidR="00D44687" w:rsidRPr="006D245A" w:rsidRDefault="00D44687" w:rsidP="00FD1252">
            <w:pPr>
              <w:pStyle w:val="NoSpacing"/>
              <w:spacing w:line="360" w:lineRule="auto"/>
              <w:ind w:firstLineChars="50" w:firstLine="120"/>
              <w:jc w:val="both"/>
              <w:rPr>
                <w:rFonts w:ascii="Book Antiqua" w:hAnsi="Book Antiqua" w:cs="Times New Roman"/>
                <w:sz w:val="24"/>
                <w:szCs w:val="24"/>
              </w:rPr>
            </w:pPr>
            <w:r w:rsidRPr="00EB6BAF">
              <w:rPr>
                <w:rFonts w:ascii="Book Antiqua" w:hAnsi="Book Antiqua" w:cs="Times New Roman"/>
                <w:sz w:val="24"/>
                <w:szCs w:val="24"/>
              </w:rPr>
              <w:t>C4d deposition without rejection</w:t>
            </w:r>
            <w:r w:rsidR="006D245A" w:rsidRPr="00EB6BAF">
              <w:rPr>
                <w:rFonts w:ascii="Book Antiqua" w:hAnsi="Book Antiqua"/>
                <w:vertAlign w:val="superscript"/>
              </w:rPr>
              <w:t>3</w:t>
            </w:r>
          </w:p>
        </w:tc>
      </w:tr>
      <w:tr w:rsidR="00D44687" w:rsidRPr="00FD1252" w14:paraId="25728DE0" w14:textId="77777777" w:rsidTr="00D44687">
        <w:trPr>
          <w:trHeight w:val="523"/>
        </w:trPr>
        <w:tc>
          <w:tcPr>
            <w:tcW w:w="3404" w:type="dxa"/>
            <w:vMerge/>
          </w:tcPr>
          <w:p w14:paraId="7EA951C4" w14:textId="77777777" w:rsidR="00D44687" w:rsidRPr="00FD1252" w:rsidRDefault="00D44687" w:rsidP="00FD1252">
            <w:pPr>
              <w:pStyle w:val="NoSpacing"/>
              <w:spacing w:line="360" w:lineRule="auto"/>
              <w:jc w:val="both"/>
              <w:rPr>
                <w:rFonts w:ascii="Book Antiqua" w:hAnsi="Book Antiqua" w:cs="Times New Roman"/>
                <w:sz w:val="24"/>
                <w:szCs w:val="24"/>
              </w:rPr>
            </w:pPr>
          </w:p>
        </w:tc>
        <w:tc>
          <w:tcPr>
            <w:tcW w:w="8079" w:type="dxa"/>
          </w:tcPr>
          <w:p w14:paraId="40B2C669" w14:textId="00F1F445" w:rsidR="00D44687" w:rsidRPr="006D245A" w:rsidRDefault="00D44687" w:rsidP="00FD1252">
            <w:pPr>
              <w:pStyle w:val="NoSpacing"/>
              <w:spacing w:line="360" w:lineRule="auto"/>
              <w:ind w:firstLineChars="50" w:firstLine="120"/>
              <w:jc w:val="both"/>
              <w:rPr>
                <w:rFonts w:ascii="Book Antiqua" w:hAnsi="Book Antiqua" w:cs="Times New Roman"/>
                <w:sz w:val="24"/>
                <w:szCs w:val="24"/>
              </w:rPr>
            </w:pPr>
            <w:r w:rsidRPr="006D245A">
              <w:rPr>
                <w:rFonts w:ascii="Book Antiqua" w:hAnsi="Book Antiqua" w:cs="Times New Roman"/>
                <w:sz w:val="24"/>
                <w:szCs w:val="24"/>
              </w:rPr>
              <w:t>Acute antibody-mediated rejection</w:t>
            </w:r>
          </w:p>
        </w:tc>
      </w:tr>
      <w:tr w:rsidR="00D44687" w:rsidRPr="00FD1252" w14:paraId="21B78BF3" w14:textId="77777777" w:rsidTr="00D44687">
        <w:trPr>
          <w:trHeight w:val="523"/>
        </w:trPr>
        <w:tc>
          <w:tcPr>
            <w:tcW w:w="3404" w:type="dxa"/>
            <w:vMerge/>
          </w:tcPr>
          <w:p w14:paraId="730B3627" w14:textId="77777777" w:rsidR="00D44687" w:rsidRPr="00FD1252" w:rsidRDefault="00D44687" w:rsidP="00FD1252">
            <w:pPr>
              <w:pStyle w:val="NoSpacing"/>
              <w:spacing w:line="360" w:lineRule="auto"/>
              <w:jc w:val="both"/>
              <w:rPr>
                <w:rFonts w:ascii="Book Antiqua" w:hAnsi="Book Antiqua" w:cs="Times New Roman"/>
                <w:sz w:val="24"/>
                <w:szCs w:val="24"/>
              </w:rPr>
            </w:pPr>
          </w:p>
        </w:tc>
        <w:tc>
          <w:tcPr>
            <w:tcW w:w="8079" w:type="dxa"/>
          </w:tcPr>
          <w:p w14:paraId="10297699" w14:textId="5F840D3E" w:rsidR="00D44687" w:rsidRPr="006D245A" w:rsidRDefault="00D44687" w:rsidP="00FD1252">
            <w:pPr>
              <w:pStyle w:val="NoSpacing"/>
              <w:spacing w:line="360" w:lineRule="auto"/>
              <w:ind w:firstLineChars="50" w:firstLine="120"/>
              <w:jc w:val="both"/>
              <w:rPr>
                <w:rFonts w:ascii="Book Antiqua" w:hAnsi="Book Antiqua" w:cs="Times New Roman"/>
                <w:sz w:val="24"/>
                <w:szCs w:val="24"/>
              </w:rPr>
            </w:pPr>
            <w:r w:rsidRPr="00EB6BAF">
              <w:rPr>
                <w:rFonts w:ascii="Book Antiqua" w:hAnsi="Book Antiqua" w:cs="Times New Roman"/>
                <w:sz w:val="24"/>
                <w:szCs w:val="24"/>
              </w:rPr>
              <w:t>Chronic active</w:t>
            </w:r>
            <w:r w:rsidR="006D245A" w:rsidRPr="00EB6BAF">
              <w:rPr>
                <w:rFonts w:ascii="Book Antiqua" w:hAnsi="Book Antiqua"/>
                <w:vertAlign w:val="superscript"/>
              </w:rPr>
              <w:t>3</w:t>
            </w:r>
            <w:r w:rsidRPr="006D245A">
              <w:rPr>
                <w:rFonts w:ascii="Book Antiqua" w:hAnsi="Book Antiqua" w:cs="Times New Roman"/>
                <w:sz w:val="24"/>
                <w:szCs w:val="24"/>
              </w:rPr>
              <w:t xml:space="preserve"> antibody-mediated rejection</w:t>
            </w:r>
          </w:p>
        </w:tc>
      </w:tr>
      <w:tr w:rsidR="00D44687" w:rsidRPr="00FD1252" w14:paraId="5D8A3512" w14:textId="77777777" w:rsidTr="00D44687">
        <w:trPr>
          <w:trHeight w:val="523"/>
        </w:trPr>
        <w:tc>
          <w:tcPr>
            <w:tcW w:w="3404" w:type="dxa"/>
            <w:vMerge w:val="restart"/>
          </w:tcPr>
          <w:p w14:paraId="20A3B9EF" w14:textId="72647077" w:rsidR="00D44687" w:rsidRPr="00FD1252" w:rsidRDefault="00D44687" w:rsidP="00FD1252">
            <w:pPr>
              <w:pStyle w:val="NoSpacing"/>
              <w:spacing w:line="360" w:lineRule="auto"/>
              <w:jc w:val="both"/>
              <w:rPr>
                <w:rFonts w:ascii="Book Antiqua" w:hAnsi="Book Antiqua" w:cs="Times New Roman"/>
                <w:sz w:val="24"/>
                <w:szCs w:val="24"/>
              </w:rPr>
            </w:pPr>
            <w:r w:rsidRPr="00FD1252">
              <w:rPr>
                <w:rFonts w:ascii="Book Antiqua" w:hAnsi="Book Antiqua" w:cs="Times New Roman"/>
                <w:sz w:val="24"/>
                <w:szCs w:val="24"/>
              </w:rPr>
              <w:t>Banff, 2013</w:t>
            </w:r>
          </w:p>
        </w:tc>
        <w:tc>
          <w:tcPr>
            <w:tcW w:w="8079" w:type="dxa"/>
          </w:tcPr>
          <w:p w14:paraId="43F9B464" w14:textId="4175E3B3" w:rsidR="00D44687" w:rsidRPr="006D245A" w:rsidRDefault="00D44687" w:rsidP="00FD1252">
            <w:pPr>
              <w:pStyle w:val="NoSpacing"/>
              <w:spacing w:line="360" w:lineRule="auto"/>
              <w:jc w:val="both"/>
              <w:rPr>
                <w:rFonts w:ascii="Book Antiqua" w:hAnsi="Book Antiqua" w:cs="Times New Roman"/>
                <w:sz w:val="24"/>
                <w:szCs w:val="24"/>
              </w:rPr>
            </w:pPr>
            <w:r w:rsidRPr="006D245A">
              <w:rPr>
                <w:rFonts w:ascii="Book Antiqua" w:hAnsi="Book Antiqua" w:cs="Times New Roman"/>
                <w:sz w:val="24"/>
                <w:szCs w:val="24"/>
              </w:rPr>
              <w:t>Antibody-mediated changes</w:t>
            </w:r>
          </w:p>
        </w:tc>
      </w:tr>
      <w:tr w:rsidR="00D44687" w:rsidRPr="00FD1252" w14:paraId="137DE0F1" w14:textId="77777777" w:rsidTr="0014697C">
        <w:tc>
          <w:tcPr>
            <w:tcW w:w="3404" w:type="dxa"/>
            <w:vMerge/>
          </w:tcPr>
          <w:p w14:paraId="16A6554E" w14:textId="77777777" w:rsidR="00D44687" w:rsidRPr="00FD1252" w:rsidRDefault="00D44687" w:rsidP="00FD1252">
            <w:pPr>
              <w:pStyle w:val="NoSpacing"/>
              <w:spacing w:line="360" w:lineRule="auto"/>
              <w:jc w:val="both"/>
              <w:rPr>
                <w:rFonts w:ascii="Book Antiqua" w:hAnsi="Book Antiqua" w:cs="Times New Roman"/>
                <w:sz w:val="24"/>
                <w:szCs w:val="24"/>
              </w:rPr>
            </w:pPr>
          </w:p>
        </w:tc>
        <w:tc>
          <w:tcPr>
            <w:tcW w:w="8079" w:type="dxa"/>
          </w:tcPr>
          <w:p w14:paraId="06234E42" w14:textId="19C80B48" w:rsidR="00D44687" w:rsidRPr="006D245A" w:rsidRDefault="00D44687" w:rsidP="00FD1252">
            <w:pPr>
              <w:pStyle w:val="NoSpacing"/>
              <w:spacing w:line="360" w:lineRule="auto"/>
              <w:ind w:firstLineChars="50" w:firstLine="120"/>
              <w:jc w:val="both"/>
              <w:rPr>
                <w:rFonts w:ascii="Book Antiqua" w:hAnsi="Book Antiqua" w:cs="Times New Roman"/>
                <w:sz w:val="24"/>
                <w:szCs w:val="24"/>
              </w:rPr>
            </w:pPr>
            <w:r w:rsidRPr="006D245A">
              <w:rPr>
                <w:rFonts w:ascii="Book Antiqua" w:hAnsi="Book Antiqua" w:cs="Times New Roman"/>
                <w:sz w:val="24"/>
                <w:szCs w:val="24"/>
              </w:rPr>
              <w:t>Acute/active antibody-mediated rejection</w:t>
            </w:r>
          </w:p>
        </w:tc>
      </w:tr>
      <w:tr w:rsidR="00D44687" w:rsidRPr="00FD1252" w14:paraId="746F0CA1" w14:textId="77777777" w:rsidTr="0014697C">
        <w:tc>
          <w:tcPr>
            <w:tcW w:w="3404" w:type="dxa"/>
            <w:vMerge/>
          </w:tcPr>
          <w:p w14:paraId="277E4B6C" w14:textId="77777777" w:rsidR="00D44687" w:rsidRPr="00FD1252" w:rsidRDefault="00D44687" w:rsidP="00FD1252">
            <w:pPr>
              <w:pStyle w:val="NoSpacing"/>
              <w:spacing w:line="360" w:lineRule="auto"/>
              <w:jc w:val="both"/>
              <w:rPr>
                <w:rFonts w:ascii="Book Antiqua" w:hAnsi="Book Antiqua" w:cs="Times New Roman"/>
                <w:sz w:val="24"/>
                <w:szCs w:val="24"/>
              </w:rPr>
            </w:pPr>
          </w:p>
        </w:tc>
        <w:tc>
          <w:tcPr>
            <w:tcW w:w="8079" w:type="dxa"/>
          </w:tcPr>
          <w:p w14:paraId="33202D1A" w14:textId="7DF00C2F" w:rsidR="00D44687" w:rsidRPr="006D245A" w:rsidRDefault="00D44687" w:rsidP="00FD1252">
            <w:pPr>
              <w:pStyle w:val="NoSpacing"/>
              <w:spacing w:line="360" w:lineRule="auto"/>
              <w:ind w:firstLineChars="50" w:firstLine="120"/>
              <w:jc w:val="both"/>
              <w:rPr>
                <w:rFonts w:ascii="Book Antiqua" w:hAnsi="Book Antiqua" w:cs="Times New Roman"/>
                <w:sz w:val="24"/>
                <w:szCs w:val="24"/>
              </w:rPr>
            </w:pPr>
            <w:r w:rsidRPr="006D245A">
              <w:rPr>
                <w:rFonts w:ascii="Book Antiqua" w:hAnsi="Book Antiqua" w:cs="Times New Roman"/>
                <w:sz w:val="24"/>
                <w:szCs w:val="24"/>
              </w:rPr>
              <w:t>Chronic active antibody-mediated rejection</w:t>
            </w:r>
          </w:p>
        </w:tc>
      </w:tr>
      <w:tr w:rsidR="00D44687" w:rsidRPr="00FD1252" w14:paraId="6B306A1D" w14:textId="77777777" w:rsidTr="0014697C">
        <w:tc>
          <w:tcPr>
            <w:tcW w:w="3404" w:type="dxa"/>
            <w:vMerge/>
          </w:tcPr>
          <w:p w14:paraId="5B48CD09" w14:textId="77777777" w:rsidR="00D44687" w:rsidRPr="00FD1252" w:rsidRDefault="00D44687" w:rsidP="00FD1252">
            <w:pPr>
              <w:pStyle w:val="NoSpacing"/>
              <w:spacing w:line="360" w:lineRule="auto"/>
              <w:jc w:val="both"/>
              <w:rPr>
                <w:rFonts w:ascii="Book Antiqua" w:hAnsi="Book Antiqua" w:cs="Times New Roman"/>
                <w:sz w:val="24"/>
                <w:szCs w:val="24"/>
              </w:rPr>
            </w:pPr>
          </w:p>
        </w:tc>
        <w:tc>
          <w:tcPr>
            <w:tcW w:w="8079" w:type="dxa"/>
          </w:tcPr>
          <w:p w14:paraId="12EEB8B3" w14:textId="1D96198C" w:rsidR="00D44687" w:rsidRPr="006D245A" w:rsidRDefault="00D44687" w:rsidP="00FD1252">
            <w:pPr>
              <w:pStyle w:val="NoSpacing"/>
              <w:spacing w:line="360" w:lineRule="auto"/>
              <w:ind w:firstLineChars="50" w:firstLine="120"/>
              <w:jc w:val="both"/>
              <w:rPr>
                <w:rFonts w:ascii="Book Antiqua" w:hAnsi="Book Antiqua" w:cs="Times New Roman"/>
                <w:sz w:val="24"/>
                <w:szCs w:val="24"/>
              </w:rPr>
            </w:pPr>
            <w:r w:rsidRPr="00EB6BAF">
              <w:rPr>
                <w:rFonts w:ascii="Book Antiqua" w:hAnsi="Book Antiqua" w:cs="Times New Roman"/>
                <w:sz w:val="24"/>
                <w:szCs w:val="24"/>
              </w:rPr>
              <w:t>C4d-negative antibody</w:t>
            </w:r>
            <w:r w:rsidR="006D245A" w:rsidRPr="00EB6BAF">
              <w:rPr>
                <w:rFonts w:ascii="Book Antiqua" w:hAnsi="Book Antiqua"/>
                <w:vertAlign w:val="superscript"/>
              </w:rPr>
              <w:t>3</w:t>
            </w:r>
            <w:r w:rsidRPr="006D245A">
              <w:rPr>
                <w:rFonts w:ascii="Book Antiqua" w:hAnsi="Book Antiqua" w:cs="Times New Roman"/>
                <w:sz w:val="24"/>
                <w:szCs w:val="24"/>
              </w:rPr>
              <w:t>-mediated rejection</w:t>
            </w:r>
          </w:p>
        </w:tc>
      </w:tr>
      <w:tr w:rsidR="0014697C" w:rsidRPr="00FD1252" w14:paraId="3690492A" w14:textId="77777777" w:rsidTr="0014697C">
        <w:tc>
          <w:tcPr>
            <w:tcW w:w="3404" w:type="dxa"/>
            <w:vMerge w:val="restart"/>
          </w:tcPr>
          <w:p w14:paraId="1A22DE17" w14:textId="08707B99" w:rsidR="0014697C" w:rsidRPr="00FD1252" w:rsidRDefault="0014697C" w:rsidP="00FD1252">
            <w:pPr>
              <w:pStyle w:val="NoSpacing"/>
              <w:spacing w:line="360" w:lineRule="auto"/>
              <w:jc w:val="both"/>
              <w:rPr>
                <w:rFonts w:ascii="Book Antiqua" w:hAnsi="Book Antiqua" w:cs="Times New Roman"/>
                <w:sz w:val="24"/>
                <w:szCs w:val="24"/>
              </w:rPr>
            </w:pPr>
            <w:r w:rsidRPr="00FD1252">
              <w:rPr>
                <w:rFonts w:ascii="Book Antiqua" w:hAnsi="Book Antiqua" w:cs="Times New Roman"/>
                <w:sz w:val="24"/>
                <w:szCs w:val="24"/>
              </w:rPr>
              <w:t>Banff, 2015</w:t>
            </w:r>
          </w:p>
        </w:tc>
        <w:tc>
          <w:tcPr>
            <w:tcW w:w="8079" w:type="dxa"/>
          </w:tcPr>
          <w:p w14:paraId="68699BF1" w14:textId="22C12CBA" w:rsidR="0014697C" w:rsidRPr="006D245A" w:rsidRDefault="0014697C" w:rsidP="00FD1252">
            <w:pPr>
              <w:pStyle w:val="NoSpacing"/>
              <w:spacing w:line="360" w:lineRule="auto"/>
              <w:jc w:val="both"/>
              <w:rPr>
                <w:rFonts w:ascii="Book Antiqua" w:hAnsi="Book Antiqua" w:cs="Times New Roman"/>
                <w:sz w:val="24"/>
                <w:szCs w:val="24"/>
              </w:rPr>
            </w:pPr>
            <w:r w:rsidRPr="006D245A">
              <w:rPr>
                <w:rFonts w:ascii="Book Antiqua" w:hAnsi="Book Antiqua" w:cs="Times New Roman"/>
                <w:sz w:val="24"/>
                <w:szCs w:val="24"/>
              </w:rPr>
              <w:t>Antibody-mediated changes</w:t>
            </w:r>
          </w:p>
        </w:tc>
      </w:tr>
      <w:tr w:rsidR="0014697C" w:rsidRPr="00FD1252" w14:paraId="2E0BD01D" w14:textId="77777777" w:rsidTr="0014697C">
        <w:tc>
          <w:tcPr>
            <w:tcW w:w="3404" w:type="dxa"/>
            <w:vMerge/>
          </w:tcPr>
          <w:p w14:paraId="6F697D36" w14:textId="77777777" w:rsidR="0014697C" w:rsidRPr="00FD1252" w:rsidRDefault="0014697C" w:rsidP="00FD1252">
            <w:pPr>
              <w:pStyle w:val="NoSpacing"/>
              <w:spacing w:line="360" w:lineRule="auto"/>
              <w:jc w:val="both"/>
              <w:rPr>
                <w:rFonts w:ascii="Book Antiqua" w:hAnsi="Book Antiqua" w:cs="Times New Roman"/>
                <w:sz w:val="24"/>
                <w:szCs w:val="24"/>
              </w:rPr>
            </w:pPr>
          </w:p>
        </w:tc>
        <w:tc>
          <w:tcPr>
            <w:tcW w:w="8079" w:type="dxa"/>
          </w:tcPr>
          <w:p w14:paraId="3CF56AB7" w14:textId="1CEF243C" w:rsidR="0014697C" w:rsidRPr="006D245A" w:rsidRDefault="0014697C" w:rsidP="00FD1252">
            <w:pPr>
              <w:pStyle w:val="NoSpacing"/>
              <w:spacing w:line="360" w:lineRule="auto"/>
              <w:ind w:firstLineChars="50" w:firstLine="120"/>
              <w:jc w:val="both"/>
              <w:rPr>
                <w:rFonts w:ascii="Book Antiqua" w:hAnsi="Book Antiqua" w:cs="Times New Roman"/>
                <w:sz w:val="24"/>
                <w:szCs w:val="24"/>
              </w:rPr>
            </w:pPr>
            <w:r w:rsidRPr="00EB6BAF">
              <w:rPr>
                <w:rFonts w:ascii="Book Antiqua" w:hAnsi="Book Antiqua" w:cs="Times New Roman"/>
                <w:sz w:val="24"/>
                <w:szCs w:val="24"/>
              </w:rPr>
              <w:t>Acute/active</w:t>
            </w:r>
            <w:r w:rsidR="006D245A" w:rsidRPr="00EB6BAF">
              <w:rPr>
                <w:rFonts w:ascii="Book Antiqua" w:hAnsi="Book Antiqua"/>
                <w:vertAlign w:val="superscript"/>
              </w:rPr>
              <w:t>3</w:t>
            </w:r>
            <w:r w:rsidRPr="006D245A">
              <w:rPr>
                <w:rFonts w:ascii="Book Antiqua" w:hAnsi="Book Antiqua" w:cs="Times New Roman"/>
                <w:sz w:val="24"/>
                <w:szCs w:val="24"/>
              </w:rPr>
              <w:t xml:space="preserve"> antibody-mediated rejection</w:t>
            </w:r>
          </w:p>
        </w:tc>
      </w:tr>
      <w:tr w:rsidR="0014697C" w:rsidRPr="00FD1252" w14:paraId="49D20018" w14:textId="77777777" w:rsidTr="0014697C">
        <w:tc>
          <w:tcPr>
            <w:tcW w:w="3404" w:type="dxa"/>
            <w:vMerge/>
          </w:tcPr>
          <w:p w14:paraId="4E164320" w14:textId="77777777" w:rsidR="0014697C" w:rsidRPr="00FD1252" w:rsidRDefault="0014697C" w:rsidP="00FD1252">
            <w:pPr>
              <w:pStyle w:val="NoSpacing"/>
              <w:spacing w:line="360" w:lineRule="auto"/>
              <w:jc w:val="both"/>
              <w:rPr>
                <w:rFonts w:ascii="Book Antiqua" w:hAnsi="Book Antiqua" w:cs="Times New Roman"/>
                <w:sz w:val="24"/>
                <w:szCs w:val="24"/>
              </w:rPr>
            </w:pPr>
          </w:p>
        </w:tc>
        <w:tc>
          <w:tcPr>
            <w:tcW w:w="8079" w:type="dxa"/>
          </w:tcPr>
          <w:p w14:paraId="4719F4D2" w14:textId="64E53636" w:rsidR="0014697C" w:rsidRPr="006D245A" w:rsidRDefault="0014697C" w:rsidP="00FD1252">
            <w:pPr>
              <w:pStyle w:val="NoSpacing"/>
              <w:spacing w:line="360" w:lineRule="auto"/>
              <w:ind w:firstLineChars="50" w:firstLine="120"/>
              <w:jc w:val="both"/>
              <w:rPr>
                <w:rFonts w:ascii="Book Antiqua" w:hAnsi="Book Antiqua" w:cs="Times New Roman"/>
                <w:sz w:val="24"/>
                <w:szCs w:val="24"/>
              </w:rPr>
            </w:pPr>
            <w:r w:rsidRPr="006D245A">
              <w:rPr>
                <w:rFonts w:ascii="Book Antiqua" w:hAnsi="Book Antiqua" w:cs="Times New Roman"/>
                <w:sz w:val="24"/>
                <w:szCs w:val="24"/>
              </w:rPr>
              <w:t>Chronic active antibody-mediated rejection</w:t>
            </w:r>
          </w:p>
        </w:tc>
      </w:tr>
      <w:tr w:rsidR="0014697C" w:rsidRPr="00FD1252" w14:paraId="4E62AA5C" w14:textId="77777777" w:rsidTr="0014697C">
        <w:tc>
          <w:tcPr>
            <w:tcW w:w="3404" w:type="dxa"/>
            <w:vMerge/>
          </w:tcPr>
          <w:p w14:paraId="692A5763" w14:textId="77777777" w:rsidR="0014697C" w:rsidRPr="00FD1252" w:rsidRDefault="0014697C" w:rsidP="00FD1252">
            <w:pPr>
              <w:pStyle w:val="NoSpacing"/>
              <w:spacing w:line="360" w:lineRule="auto"/>
              <w:jc w:val="both"/>
              <w:rPr>
                <w:rFonts w:ascii="Book Antiqua" w:hAnsi="Book Antiqua" w:cs="Times New Roman"/>
                <w:sz w:val="24"/>
                <w:szCs w:val="24"/>
              </w:rPr>
            </w:pPr>
          </w:p>
        </w:tc>
        <w:tc>
          <w:tcPr>
            <w:tcW w:w="8079" w:type="dxa"/>
          </w:tcPr>
          <w:p w14:paraId="18674F87" w14:textId="66D14014" w:rsidR="0014697C" w:rsidRPr="006D245A" w:rsidRDefault="0014697C" w:rsidP="00FD1252">
            <w:pPr>
              <w:pStyle w:val="NoSpacing"/>
              <w:spacing w:line="360" w:lineRule="auto"/>
              <w:ind w:firstLineChars="50" w:firstLine="120"/>
              <w:jc w:val="both"/>
              <w:rPr>
                <w:rFonts w:ascii="Book Antiqua" w:hAnsi="Book Antiqua" w:cs="Times New Roman"/>
                <w:sz w:val="24"/>
                <w:szCs w:val="24"/>
              </w:rPr>
            </w:pPr>
            <w:r w:rsidRPr="006D245A">
              <w:rPr>
                <w:rFonts w:ascii="Book Antiqua" w:hAnsi="Book Antiqua" w:cs="Times New Roman"/>
                <w:sz w:val="24"/>
                <w:szCs w:val="24"/>
              </w:rPr>
              <w:t>C4d staining without evidence of rejection</w:t>
            </w:r>
          </w:p>
        </w:tc>
      </w:tr>
      <w:tr w:rsidR="0014697C" w:rsidRPr="00FD1252" w14:paraId="407861EF" w14:textId="77777777" w:rsidTr="0014697C">
        <w:tc>
          <w:tcPr>
            <w:tcW w:w="3404" w:type="dxa"/>
            <w:vMerge/>
          </w:tcPr>
          <w:p w14:paraId="51094EA6" w14:textId="77777777" w:rsidR="0014697C" w:rsidRPr="00FD1252" w:rsidRDefault="0014697C" w:rsidP="00FD1252">
            <w:pPr>
              <w:pStyle w:val="NoSpacing"/>
              <w:spacing w:line="360" w:lineRule="auto"/>
              <w:jc w:val="both"/>
              <w:rPr>
                <w:rFonts w:ascii="Book Antiqua" w:hAnsi="Book Antiqua" w:cs="Times New Roman"/>
                <w:sz w:val="24"/>
                <w:szCs w:val="24"/>
              </w:rPr>
            </w:pPr>
          </w:p>
        </w:tc>
        <w:tc>
          <w:tcPr>
            <w:tcW w:w="8079" w:type="dxa"/>
          </w:tcPr>
          <w:p w14:paraId="6D1B0414" w14:textId="02EDDDCC" w:rsidR="0014697C" w:rsidRPr="006D245A" w:rsidRDefault="0014697C" w:rsidP="00FD1252">
            <w:pPr>
              <w:pStyle w:val="NoSpacing"/>
              <w:spacing w:line="360" w:lineRule="auto"/>
              <w:ind w:firstLineChars="50" w:firstLine="120"/>
              <w:jc w:val="both"/>
              <w:rPr>
                <w:rFonts w:ascii="Book Antiqua" w:hAnsi="Book Antiqua" w:cs="Times New Roman"/>
                <w:sz w:val="24"/>
                <w:szCs w:val="24"/>
              </w:rPr>
            </w:pPr>
            <w:r w:rsidRPr="006D245A">
              <w:rPr>
                <w:rFonts w:ascii="Book Antiqua" w:hAnsi="Book Antiqua" w:cs="Times New Roman"/>
                <w:sz w:val="24"/>
                <w:szCs w:val="24"/>
              </w:rPr>
              <w:t>Transplant arteriopathy may be seen in chronic AMR</w:t>
            </w:r>
          </w:p>
        </w:tc>
      </w:tr>
      <w:tr w:rsidR="0014697C" w:rsidRPr="00FD1252" w14:paraId="406CA118" w14:textId="77777777" w:rsidTr="0014697C">
        <w:tc>
          <w:tcPr>
            <w:tcW w:w="3404" w:type="dxa"/>
            <w:vMerge w:val="restart"/>
          </w:tcPr>
          <w:p w14:paraId="58539737" w14:textId="33C0DDA3" w:rsidR="0014697C" w:rsidRPr="00FD1252" w:rsidRDefault="0014697C" w:rsidP="00FD1252">
            <w:pPr>
              <w:pStyle w:val="NoSpacing"/>
              <w:spacing w:line="360" w:lineRule="auto"/>
              <w:jc w:val="both"/>
              <w:rPr>
                <w:rFonts w:ascii="Book Antiqua" w:hAnsi="Book Antiqua" w:cs="Times New Roman"/>
                <w:sz w:val="24"/>
                <w:szCs w:val="24"/>
              </w:rPr>
            </w:pPr>
            <w:r w:rsidRPr="00FD1252">
              <w:rPr>
                <w:rFonts w:ascii="Book Antiqua" w:hAnsi="Book Antiqua" w:cs="Times New Roman"/>
                <w:sz w:val="24"/>
                <w:szCs w:val="24"/>
              </w:rPr>
              <w:t>Banff, 2017</w:t>
            </w:r>
          </w:p>
        </w:tc>
        <w:tc>
          <w:tcPr>
            <w:tcW w:w="8079" w:type="dxa"/>
          </w:tcPr>
          <w:p w14:paraId="145C9FD6" w14:textId="4EF9E87C" w:rsidR="0014697C" w:rsidRPr="006D245A" w:rsidRDefault="0014697C" w:rsidP="00FD1252">
            <w:pPr>
              <w:pStyle w:val="NoSpacing"/>
              <w:spacing w:line="360" w:lineRule="auto"/>
              <w:jc w:val="both"/>
              <w:rPr>
                <w:rFonts w:ascii="Book Antiqua" w:hAnsi="Book Antiqua" w:cs="Times New Roman"/>
                <w:sz w:val="24"/>
                <w:szCs w:val="24"/>
              </w:rPr>
            </w:pPr>
            <w:r w:rsidRPr="006D245A">
              <w:rPr>
                <w:rFonts w:ascii="Book Antiqua" w:hAnsi="Book Antiqua" w:cs="Times New Roman"/>
                <w:sz w:val="24"/>
                <w:szCs w:val="24"/>
              </w:rPr>
              <w:t>Antibody-mediated changes</w:t>
            </w:r>
          </w:p>
        </w:tc>
      </w:tr>
      <w:tr w:rsidR="0014697C" w:rsidRPr="00FD1252" w14:paraId="3F387A6A" w14:textId="77777777" w:rsidTr="0014697C">
        <w:trPr>
          <w:trHeight w:val="554"/>
        </w:trPr>
        <w:tc>
          <w:tcPr>
            <w:tcW w:w="3404" w:type="dxa"/>
            <w:vMerge/>
          </w:tcPr>
          <w:p w14:paraId="4FAC11A2" w14:textId="77777777" w:rsidR="0014697C" w:rsidRPr="00FD1252" w:rsidRDefault="0014697C" w:rsidP="00FD1252">
            <w:pPr>
              <w:spacing w:line="360" w:lineRule="auto"/>
              <w:jc w:val="both"/>
              <w:rPr>
                <w:rFonts w:ascii="Book Antiqua" w:hAnsi="Book Antiqua"/>
              </w:rPr>
            </w:pPr>
          </w:p>
        </w:tc>
        <w:tc>
          <w:tcPr>
            <w:tcW w:w="8079" w:type="dxa"/>
          </w:tcPr>
          <w:p w14:paraId="172D4839" w14:textId="0F8E2216" w:rsidR="0014697C" w:rsidRPr="006D245A" w:rsidRDefault="0014697C" w:rsidP="00FD1252">
            <w:pPr>
              <w:pStyle w:val="NoSpacing"/>
              <w:spacing w:line="360" w:lineRule="auto"/>
              <w:ind w:firstLineChars="50" w:firstLine="120"/>
              <w:jc w:val="both"/>
              <w:rPr>
                <w:rFonts w:ascii="Book Antiqua" w:hAnsi="Book Antiqua" w:cs="Times New Roman"/>
                <w:sz w:val="24"/>
                <w:szCs w:val="24"/>
              </w:rPr>
            </w:pPr>
            <w:r w:rsidRPr="00EB6BAF">
              <w:rPr>
                <w:rFonts w:ascii="Book Antiqua" w:hAnsi="Book Antiqua" w:cs="Times New Roman"/>
                <w:sz w:val="24"/>
                <w:szCs w:val="24"/>
              </w:rPr>
              <w:t>Active</w:t>
            </w:r>
            <w:r w:rsidR="006D245A" w:rsidRPr="00EB6BAF">
              <w:rPr>
                <w:rFonts w:ascii="Book Antiqua" w:hAnsi="Book Antiqua"/>
                <w:vertAlign w:val="superscript"/>
              </w:rPr>
              <w:t>3</w:t>
            </w:r>
            <w:r w:rsidRPr="006D245A">
              <w:rPr>
                <w:rFonts w:ascii="Book Antiqua" w:hAnsi="Book Antiqua" w:cs="Times New Roman"/>
                <w:sz w:val="24"/>
                <w:szCs w:val="24"/>
              </w:rPr>
              <w:t xml:space="preserve"> AMR</w:t>
            </w:r>
          </w:p>
        </w:tc>
      </w:tr>
      <w:tr w:rsidR="0014697C" w:rsidRPr="00FD1252" w14:paraId="30704A1C" w14:textId="77777777" w:rsidTr="0014697C">
        <w:trPr>
          <w:trHeight w:val="554"/>
        </w:trPr>
        <w:tc>
          <w:tcPr>
            <w:tcW w:w="3404" w:type="dxa"/>
            <w:vMerge/>
          </w:tcPr>
          <w:p w14:paraId="54FCE23A" w14:textId="77777777" w:rsidR="0014697C" w:rsidRPr="00FD1252" w:rsidRDefault="0014697C" w:rsidP="00FD1252">
            <w:pPr>
              <w:spacing w:line="360" w:lineRule="auto"/>
              <w:jc w:val="both"/>
              <w:rPr>
                <w:rFonts w:ascii="Book Antiqua" w:hAnsi="Book Antiqua"/>
              </w:rPr>
            </w:pPr>
          </w:p>
        </w:tc>
        <w:tc>
          <w:tcPr>
            <w:tcW w:w="8079" w:type="dxa"/>
          </w:tcPr>
          <w:p w14:paraId="047FA883" w14:textId="45703336" w:rsidR="0014697C" w:rsidRPr="006D245A" w:rsidRDefault="0014697C" w:rsidP="00FD1252">
            <w:pPr>
              <w:pStyle w:val="NoSpacing"/>
              <w:spacing w:line="360" w:lineRule="auto"/>
              <w:ind w:firstLineChars="50" w:firstLine="120"/>
              <w:jc w:val="both"/>
              <w:rPr>
                <w:rFonts w:ascii="Book Antiqua" w:hAnsi="Book Antiqua" w:cs="Times New Roman"/>
                <w:sz w:val="24"/>
                <w:szCs w:val="24"/>
              </w:rPr>
            </w:pPr>
            <w:r w:rsidRPr="006D245A">
              <w:rPr>
                <w:rFonts w:ascii="Book Antiqua" w:hAnsi="Book Antiqua" w:cs="Times New Roman"/>
                <w:sz w:val="24"/>
                <w:szCs w:val="24"/>
              </w:rPr>
              <w:t>Chronic active AMR</w:t>
            </w:r>
          </w:p>
        </w:tc>
      </w:tr>
      <w:tr w:rsidR="0014697C" w:rsidRPr="00FD1252" w14:paraId="7224FD11" w14:textId="77777777" w:rsidTr="0014697C">
        <w:trPr>
          <w:trHeight w:val="554"/>
        </w:trPr>
        <w:tc>
          <w:tcPr>
            <w:tcW w:w="3404" w:type="dxa"/>
            <w:vMerge/>
          </w:tcPr>
          <w:p w14:paraId="7DCF4AF7" w14:textId="77777777" w:rsidR="0014697C" w:rsidRPr="00FD1252" w:rsidRDefault="0014697C" w:rsidP="00FD1252">
            <w:pPr>
              <w:spacing w:line="360" w:lineRule="auto"/>
              <w:jc w:val="both"/>
              <w:rPr>
                <w:rFonts w:ascii="Book Antiqua" w:hAnsi="Book Antiqua"/>
              </w:rPr>
            </w:pPr>
          </w:p>
        </w:tc>
        <w:tc>
          <w:tcPr>
            <w:tcW w:w="8079" w:type="dxa"/>
          </w:tcPr>
          <w:p w14:paraId="147BF2F9" w14:textId="787D89F1" w:rsidR="0014697C" w:rsidRPr="006D245A" w:rsidRDefault="0014697C" w:rsidP="00FD1252">
            <w:pPr>
              <w:pStyle w:val="NoSpacing"/>
              <w:spacing w:line="360" w:lineRule="auto"/>
              <w:ind w:firstLineChars="50" w:firstLine="120"/>
              <w:jc w:val="both"/>
              <w:rPr>
                <w:rFonts w:ascii="Book Antiqua" w:hAnsi="Book Antiqua" w:cs="Times New Roman"/>
                <w:sz w:val="24"/>
                <w:szCs w:val="24"/>
              </w:rPr>
            </w:pPr>
            <w:r w:rsidRPr="006D245A">
              <w:rPr>
                <w:rFonts w:ascii="Book Antiqua" w:hAnsi="Book Antiqua" w:cs="Times New Roman"/>
                <w:sz w:val="24"/>
                <w:szCs w:val="24"/>
              </w:rPr>
              <w:t>C4d staining without evidence of rejection</w:t>
            </w:r>
          </w:p>
        </w:tc>
      </w:tr>
      <w:tr w:rsidR="0014697C" w:rsidRPr="00FD1252" w14:paraId="6EF8D57B" w14:textId="77777777" w:rsidTr="0014697C">
        <w:trPr>
          <w:trHeight w:val="554"/>
        </w:trPr>
        <w:tc>
          <w:tcPr>
            <w:tcW w:w="3404" w:type="dxa"/>
            <w:vMerge/>
          </w:tcPr>
          <w:p w14:paraId="730A7FBD" w14:textId="77777777" w:rsidR="0014697C" w:rsidRPr="00FD1252" w:rsidRDefault="0014697C" w:rsidP="00FD1252">
            <w:pPr>
              <w:spacing w:line="360" w:lineRule="auto"/>
              <w:jc w:val="both"/>
              <w:rPr>
                <w:rFonts w:ascii="Book Antiqua" w:hAnsi="Book Antiqua"/>
              </w:rPr>
            </w:pPr>
          </w:p>
        </w:tc>
        <w:tc>
          <w:tcPr>
            <w:tcW w:w="8079" w:type="dxa"/>
          </w:tcPr>
          <w:p w14:paraId="74D3733D" w14:textId="3C6AFF3B" w:rsidR="0014697C" w:rsidRPr="006D245A" w:rsidRDefault="0014697C" w:rsidP="00FD1252">
            <w:pPr>
              <w:pStyle w:val="NoSpacing"/>
              <w:spacing w:line="360" w:lineRule="auto"/>
              <w:ind w:firstLineChars="50" w:firstLine="120"/>
              <w:jc w:val="both"/>
              <w:rPr>
                <w:rFonts w:ascii="Book Antiqua" w:hAnsi="Book Antiqua" w:cs="Times New Roman"/>
                <w:sz w:val="24"/>
                <w:szCs w:val="24"/>
              </w:rPr>
            </w:pPr>
            <w:r w:rsidRPr="006D245A">
              <w:rPr>
                <w:rFonts w:ascii="Book Antiqua" w:hAnsi="Book Antiqua" w:cs="Times New Roman"/>
                <w:sz w:val="24"/>
                <w:szCs w:val="24"/>
              </w:rPr>
              <w:t>3 criteria for AMR diagnosis remain but C4d can substitute for DSA</w:t>
            </w:r>
          </w:p>
        </w:tc>
      </w:tr>
      <w:tr w:rsidR="0014697C" w:rsidRPr="00FD1252" w14:paraId="05D0C824" w14:textId="77777777" w:rsidTr="0014697C">
        <w:trPr>
          <w:trHeight w:val="554"/>
        </w:trPr>
        <w:tc>
          <w:tcPr>
            <w:tcW w:w="3404" w:type="dxa"/>
            <w:vMerge/>
          </w:tcPr>
          <w:p w14:paraId="5C43B057" w14:textId="77777777" w:rsidR="0014697C" w:rsidRPr="00FD1252" w:rsidRDefault="0014697C" w:rsidP="00FD1252">
            <w:pPr>
              <w:spacing w:line="360" w:lineRule="auto"/>
              <w:jc w:val="both"/>
              <w:rPr>
                <w:rFonts w:ascii="Book Antiqua" w:hAnsi="Book Antiqua"/>
              </w:rPr>
            </w:pPr>
          </w:p>
        </w:tc>
        <w:tc>
          <w:tcPr>
            <w:tcW w:w="8079" w:type="dxa"/>
          </w:tcPr>
          <w:p w14:paraId="2BD0D6E5" w14:textId="422FFAFB" w:rsidR="0014697C" w:rsidRPr="006D245A" w:rsidRDefault="0014697C" w:rsidP="00FD1252">
            <w:pPr>
              <w:pStyle w:val="NoSpacing"/>
              <w:spacing w:line="360" w:lineRule="auto"/>
              <w:ind w:firstLineChars="50" w:firstLine="120"/>
              <w:jc w:val="both"/>
              <w:rPr>
                <w:rFonts w:ascii="Book Antiqua" w:hAnsi="Book Antiqua" w:cs="Times New Roman"/>
                <w:sz w:val="24"/>
                <w:szCs w:val="24"/>
              </w:rPr>
            </w:pPr>
            <w:r w:rsidRPr="006D245A">
              <w:rPr>
                <w:rFonts w:ascii="Book Antiqua" w:hAnsi="Book Antiqua" w:cs="Times New Roman"/>
                <w:sz w:val="24"/>
                <w:szCs w:val="24"/>
              </w:rPr>
              <w:t>DSA testing still advised</w:t>
            </w:r>
          </w:p>
        </w:tc>
      </w:tr>
      <w:tr w:rsidR="0014697C" w:rsidRPr="00FD1252" w14:paraId="6CCAE2A9" w14:textId="77777777" w:rsidTr="00D44687">
        <w:trPr>
          <w:trHeight w:val="554"/>
        </w:trPr>
        <w:tc>
          <w:tcPr>
            <w:tcW w:w="3404" w:type="dxa"/>
            <w:vMerge/>
          </w:tcPr>
          <w:p w14:paraId="35C10C28" w14:textId="77777777" w:rsidR="0014697C" w:rsidRPr="00FD1252" w:rsidRDefault="0014697C" w:rsidP="00FD1252">
            <w:pPr>
              <w:spacing w:line="360" w:lineRule="auto"/>
              <w:jc w:val="both"/>
              <w:rPr>
                <w:rFonts w:ascii="Book Antiqua" w:hAnsi="Book Antiqua"/>
              </w:rPr>
            </w:pPr>
          </w:p>
        </w:tc>
        <w:tc>
          <w:tcPr>
            <w:tcW w:w="8079" w:type="dxa"/>
          </w:tcPr>
          <w:p w14:paraId="49FC3D5D" w14:textId="08B0C4FB" w:rsidR="0014697C" w:rsidRPr="006D245A" w:rsidRDefault="0014697C" w:rsidP="00FD1252">
            <w:pPr>
              <w:pStyle w:val="NoSpacing"/>
              <w:spacing w:line="360" w:lineRule="auto"/>
              <w:ind w:firstLineChars="50" w:firstLine="120"/>
              <w:jc w:val="both"/>
              <w:rPr>
                <w:rFonts w:ascii="Book Antiqua" w:hAnsi="Book Antiqua" w:cs="Times New Roman"/>
                <w:sz w:val="24"/>
                <w:szCs w:val="24"/>
              </w:rPr>
            </w:pPr>
            <w:r w:rsidRPr="006D245A">
              <w:rPr>
                <w:rFonts w:ascii="Book Antiqua" w:hAnsi="Book Antiqua" w:cs="Times New Roman"/>
                <w:sz w:val="24"/>
                <w:szCs w:val="24"/>
              </w:rPr>
              <w:t>Suspicious for AMR eliminated</w:t>
            </w:r>
          </w:p>
        </w:tc>
      </w:tr>
      <w:tr w:rsidR="0014697C" w:rsidRPr="00FD1252" w14:paraId="0D34E479" w14:textId="77777777" w:rsidTr="0014697C">
        <w:trPr>
          <w:trHeight w:val="554"/>
        </w:trPr>
        <w:tc>
          <w:tcPr>
            <w:tcW w:w="3404" w:type="dxa"/>
            <w:vMerge w:val="restart"/>
          </w:tcPr>
          <w:p w14:paraId="226CF315" w14:textId="57D5123C" w:rsidR="0014697C" w:rsidRPr="00FD1252" w:rsidRDefault="0014697C" w:rsidP="00FD1252">
            <w:pPr>
              <w:spacing w:line="360" w:lineRule="auto"/>
              <w:jc w:val="both"/>
              <w:rPr>
                <w:rFonts w:ascii="Book Antiqua" w:hAnsi="Book Antiqua"/>
              </w:rPr>
            </w:pPr>
            <w:r w:rsidRPr="00FD1252">
              <w:rPr>
                <w:rFonts w:ascii="Book Antiqua" w:hAnsi="Book Antiqua"/>
              </w:rPr>
              <w:t>Banff, 2019</w:t>
            </w:r>
          </w:p>
        </w:tc>
        <w:tc>
          <w:tcPr>
            <w:tcW w:w="8079" w:type="dxa"/>
          </w:tcPr>
          <w:p w14:paraId="291B08FF" w14:textId="60A4EE93" w:rsidR="0014697C" w:rsidRPr="006D245A" w:rsidRDefault="0014697C" w:rsidP="00FD1252">
            <w:pPr>
              <w:pStyle w:val="NoSpacing"/>
              <w:spacing w:line="360" w:lineRule="auto"/>
              <w:jc w:val="both"/>
              <w:rPr>
                <w:rFonts w:ascii="Book Antiqua" w:hAnsi="Book Antiqua" w:cs="Times New Roman"/>
                <w:sz w:val="24"/>
                <w:szCs w:val="24"/>
              </w:rPr>
            </w:pPr>
            <w:r w:rsidRPr="006D245A">
              <w:rPr>
                <w:rFonts w:ascii="Book Antiqua" w:hAnsi="Book Antiqua" w:cs="Times New Roman"/>
                <w:sz w:val="24"/>
                <w:szCs w:val="24"/>
              </w:rPr>
              <w:t>Category 2: Antibody-mediated changes</w:t>
            </w:r>
          </w:p>
        </w:tc>
      </w:tr>
      <w:tr w:rsidR="0014697C" w:rsidRPr="00FD1252" w14:paraId="771160EF" w14:textId="77777777" w:rsidTr="0014697C">
        <w:trPr>
          <w:trHeight w:val="420"/>
        </w:trPr>
        <w:tc>
          <w:tcPr>
            <w:tcW w:w="3404" w:type="dxa"/>
            <w:vMerge/>
          </w:tcPr>
          <w:p w14:paraId="56DE5753" w14:textId="77777777" w:rsidR="0014697C" w:rsidRPr="00FD1252" w:rsidRDefault="0014697C" w:rsidP="00FD1252">
            <w:pPr>
              <w:spacing w:line="360" w:lineRule="auto"/>
              <w:jc w:val="both"/>
              <w:rPr>
                <w:rFonts w:ascii="Book Antiqua" w:hAnsi="Book Antiqua"/>
              </w:rPr>
            </w:pPr>
          </w:p>
        </w:tc>
        <w:tc>
          <w:tcPr>
            <w:tcW w:w="8079" w:type="dxa"/>
          </w:tcPr>
          <w:p w14:paraId="2AC8DEA0" w14:textId="33B59184" w:rsidR="0014697C" w:rsidRPr="006D245A" w:rsidRDefault="0014697C" w:rsidP="00FD1252">
            <w:pPr>
              <w:pStyle w:val="NoSpacing"/>
              <w:spacing w:line="360" w:lineRule="auto"/>
              <w:ind w:firstLineChars="50" w:firstLine="120"/>
              <w:jc w:val="both"/>
              <w:rPr>
                <w:rFonts w:ascii="Book Antiqua" w:hAnsi="Book Antiqua" w:cs="Times New Roman"/>
                <w:sz w:val="24"/>
                <w:szCs w:val="24"/>
              </w:rPr>
            </w:pPr>
            <w:r w:rsidRPr="006D245A">
              <w:rPr>
                <w:rFonts w:ascii="Book Antiqua" w:hAnsi="Book Antiqua" w:cs="Times New Roman"/>
                <w:sz w:val="24"/>
                <w:szCs w:val="24"/>
              </w:rPr>
              <w:t>Active AMR</w:t>
            </w:r>
          </w:p>
        </w:tc>
      </w:tr>
      <w:tr w:rsidR="0014697C" w:rsidRPr="00FD1252" w14:paraId="1CF61920" w14:textId="77777777" w:rsidTr="0014697C">
        <w:trPr>
          <w:trHeight w:val="554"/>
        </w:trPr>
        <w:tc>
          <w:tcPr>
            <w:tcW w:w="3404" w:type="dxa"/>
            <w:vMerge/>
          </w:tcPr>
          <w:p w14:paraId="460A6E43" w14:textId="77777777" w:rsidR="0014697C" w:rsidRPr="00FD1252" w:rsidRDefault="0014697C" w:rsidP="00FD1252">
            <w:pPr>
              <w:spacing w:line="360" w:lineRule="auto"/>
              <w:jc w:val="both"/>
              <w:rPr>
                <w:rFonts w:ascii="Book Antiqua" w:hAnsi="Book Antiqua"/>
              </w:rPr>
            </w:pPr>
          </w:p>
        </w:tc>
        <w:tc>
          <w:tcPr>
            <w:tcW w:w="8079" w:type="dxa"/>
          </w:tcPr>
          <w:p w14:paraId="1934E306" w14:textId="579C5409" w:rsidR="0014697C" w:rsidRPr="006D245A" w:rsidRDefault="0014697C" w:rsidP="00FD1252">
            <w:pPr>
              <w:pStyle w:val="NoSpacing"/>
              <w:spacing w:line="360" w:lineRule="auto"/>
              <w:ind w:firstLineChars="50" w:firstLine="120"/>
              <w:jc w:val="both"/>
              <w:rPr>
                <w:rFonts w:ascii="Book Antiqua" w:hAnsi="Book Antiqua" w:cs="Times New Roman"/>
                <w:sz w:val="24"/>
                <w:szCs w:val="24"/>
              </w:rPr>
            </w:pPr>
            <w:r w:rsidRPr="006D245A">
              <w:rPr>
                <w:rFonts w:ascii="Book Antiqua" w:hAnsi="Book Antiqua" w:cs="Times New Roman"/>
                <w:sz w:val="24"/>
                <w:szCs w:val="24"/>
              </w:rPr>
              <w:t>Chronic active AMR</w:t>
            </w:r>
          </w:p>
        </w:tc>
      </w:tr>
      <w:tr w:rsidR="0014697C" w:rsidRPr="00FD1252" w14:paraId="03D861D1" w14:textId="77777777" w:rsidTr="0014697C">
        <w:trPr>
          <w:trHeight w:val="548"/>
        </w:trPr>
        <w:tc>
          <w:tcPr>
            <w:tcW w:w="3404" w:type="dxa"/>
            <w:vMerge/>
          </w:tcPr>
          <w:p w14:paraId="1DD1F1C7" w14:textId="77777777" w:rsidR="0014697C" w:rsidRPr="00FD1252" w:rsidRDefault="0014697C" w:rsidP="00FD1252">
            <w:pPr>
              <w:spacing w:line="360" w:lineRule="auto"/>
              <w:jc w:val="both"/>
              <w:rPr>
                <w:rFonts w:ascii="Book Antiqua" w:hAnsi="Book Antiqua"/>
              </w:rPr>
            </w:pPr>
          </w:p>
        </w:tc>
        <w:tc>
          <w:tcPr>
            <w:tcW w:w="8079" w:type="dxa"/>
          </w:tcPr>
          <w:p w14:paraId="1A3524FB" w14:textId="706FB4A1" w:rsidR="0014697C" w:rsidRPr="006D245A" w:rsidRDefault="0014697C" w:rsidP="00FD1252">
            <w:pPr>
              <w:pStyle w:val="NoSpacing"/>
              <w:spacing w:line="360" w:lineRule="auto"/>
              <w:ind w:firstLineChars="50" w:firstLine="120"/>
              <w:jc w:val="both"/>
              <w:rPr>
                <w:rFonts w:ascii="Book Antiqua" w:hAnsi="Book Antiqua" w:cs="Times New Roman"/>
                <w:sz w:val="24"/>
                <w:szCs w:val="24"/>
              </w:rPr>
            </w:pPr>
            <w:r w:rsidRPr="00EB6BAF">
              <w:rPr>
                <w:rFonts w:ascii="Book Antiqua" w:hAnsi="Book Antiqua" w:cs="Times New Roman"/>
                <w:sz w:val="24"/>
                <w:szCs w:val="24"/>
              </w:rPr>
              <w:t>Chronic (inactive) AMR</w:t>
            </w:r>
            <w:r w:rsidR="006D245A" w:rsidRPr="00EB6BAF">
              <w:rPr>
                <w:rFonts w:ascii="Book Antiqua" w:hAnsi="Book Antiqua"/>
                <w:vertAlign w:val="superscript"/>
              </w:rPr>
              <w:t>3</w:t>
            </w:r>
          </w:p>
        </w:tc>
      </w:tr>
      <w:tr w:rsidR="0014697C" w:rsidRPr="00FD1252" w14:paraId="6B4D5304" w14:textId="77777777" w:rsidTr="00D44687">
        <w:trPr>
          <w:trHeight w:val="442"/>
        </w:trPr>
        <w:tc>
          <w:tcPr>
            <w:tcW w:w="3404" w:type="dxa"/>
            <w:vMerge/>
            <w:tcBorders>
              <w:bottom w:val="single" w:sz="4" w:space="0" w:color="auto"/>
            </w:tcBorders>
          </w:tcPr>
          <w:p w14:paraId="5E025332" w14:textId="77777777" w:rsidR="0014697C" w:rsidRPr="00FD1252" w:rsidRDefault="0014697C" w:rsidP="00FD1252">
            <w:pPr>
              <w:spacing w:line="360" w:lineRule="auto"/>
              <w:jc w:val="both"/>
              <w:rPr>
                <w:rFonts w:ascii="Book Antiqua" w:hAnsi="Book Antiqua"/>
              </w:rPr>
            </w:pPr>
          </w:p>
        </w:tc>
        <w:tc>
          <w:tcPr>
            <w:tcW w:w="8079" w:type="dxa"/>
            <w:tcBorders>
              <w:bottom w:val="single" w:sz="4" w:space="0" w:color="auto"/>
            </w:tcBorders>
          </w:tcPr>
          <w:p w14:paraId="1A3E83A7" w14:textId="3A815BDF" w:rsidR="0014697C" w:rsidRPr="00FD1252" w:rsidRDefault="0014697C" w:rsidP="00FD1252">
            <w:pPr>
              <w:pStyle w:val="NoSpacing"/>
              <w:spacing w:line="360" w:lineRule="auto"/>
              <w:ind w:firstLineChars="50" w:firstLine="120"/>
              <w:jc w:val="both"/>
              <w:rPr>
                <w:rFonts w:ascii="Book Antiqua" w:hAnsi="Book Antiqua" w:cs="Times New Roman"/>
                <w:sz w:val="24"/>
                <w:szCs w:val="24"/>
              </w:rPr>
            </w:pPr>
            <w:r w:rsidRPr="00FD1252">
              <w:rPr>
                <w:rFonts w:ascii="Book Antiqua" w:hAnsi="Book Antiqua" w:cs="Times New Roman"/>
                <w:sz w:val="24"/>
                <w:szCs w:val="24"/>
              </w:rPr>
              <w:t>C4d staining without evidence of rejection</w:t>
            </w:r>
          </w:p>
        </w:tc>
      </w:tr>
    </w:tbl>
    <w:p w14:paraId="316BA71B" w14:textId="3278A1B0" w:rsidR="0014697C" w:rsidRPr="00FD1252" w:rsidRDefault="0014697C" w:rsidP="00FD1252">
      <w:pPr>
        <w:spacing w:line="360" w:lineRule="auto"/>
        <w:jc w:val="both"/>
        <w:rPr>
          <w:rFonts w:ascii="Book Antiqua" w:hAnsi="Book Antiqua" w:cs="Book Antiqua"/>
          <w:lang w:eastAsia="zh-CN"/>
        </w:rPr>
      </w:pPr>
      <w:r w:rsidRPr="00FD1252">
        <w:rPr>
          <w:rFonts w:ascii="Book Antiqua" w:hAnsi="Book Antiqua"/>
          <w:vertAlign w:val="superscript"/>
        </w:rPr>
        <w:t>1</w:t>
      </w:r>
      <w:r w:rsidRPr="00FD1252">
        <w:rPr>
          <w:rFonts w:ascii="Book Antiqua" w:hAnsi="Book Antiqua"/>
        </w:rPr>
        <w:t>May coincide with categories 3, 4 and 5 and 6</w:t>
      </w:r>
      <w:r w:rsidR="008D47A7">
        <w:rPr>
          <w:rFonts w:ascii="Book Antiqua" w:hAnsi="Book Antiqua"/>
        </w:rPr>
        <w:t xml:space="preserve">; </w:t>
      </w:r>
      <w:r w:rsidRPr="00FD1252">
        <w:rPr>
          <w:rFonts w:ascii="Book Antiqua" w:hAnsi="Book Antiqua"/>
          <w:vertAlign w:val="superscript"/>
        </w:rPr>
        <w:t>2</w:t>
      </w:r>
      <w:r w:rsidRPr="00FD1252">
        <w:rPr>
          <w:rFonts w:ascii="Book Antiqua" w:hAnsi="Book Antiqua"/>
        </w:rPr>
        <w:t>With the identification of c4d positivity without rejection, the category name was changed from rejection to changes)</w:t>
      </w:r>
      <w:r w:rsidR="008D47A7">
        <w:rPr>
          <w:rFonts w:ascii="Book Antiqua" w:hAnsi="Book Antiqua"/>
        </w:rPr>
        <w:t xml:space="preserve">; </w:t>
      </w:r>
      <w:r w:rsidR="006D245A" w:rsidRPr="00EB6BAF">
        <w:rPr>
          <w:rFonts w:ascii="Book Antiqua" w:hAnsi="Book Antiqua"/>
          <w:vertAlign w:val="superscript"/>
        </w:rPr>
        <w:t>3</w:t>
      </w:r>
      <w:r w:rsidRPr="00FD1252">
        <w:rPr>
          <w:rFonts w:ascii="Book Antiqua" w:hAnsi="Book Antiqua"/>
        </w:rPr>
        <w:t>Changes in the nomenclature or criteria.</w:t>
      </w:r>
      <w:r w:rsidR="008D47A7">
        <w:rPr>
          <w:rFonts w:ascii="Book Antiqua" w:hAnsi="Book Antiqua" w:cs="Book Antiqua"/>
          <w:lang w:eastAsia="zh-CN"/>
        </w:rPr>
        <w:t xml:space="preserve"> </w:t>
      </w:r>
      <w:r w:rsidR="00D44687" w:rsidRPr="00FD1252">
        <w:rPr>
          <w:rFonts w:ascii="Book Antiqua" w:hAnsi="Book Antiqua" w:cs="Book Antiqua"/>
          <w:lang w:eastAsia="zh-CN"/>
        </w:rPr>
        <w:t xml:space="preserve">AMR: </w:t>
      </w:r>
      <w:r w:rsidR="00E874B7" w:rsidRPr="00FD1252">
        <w:rPr>
          <w:rFonts w:ascii="Book Antiqua" w:hAnsi="Book Antiqua" w:cs="Book Antiqua"/>
          <w:lang w:eastAsia="zh-CN"/>
        </w:rPr>
        <w:t>Antibody-mediated rejection</w:t>
      </w:r>
      <w:r w:rsidR="00D44687" w:rsidRPr="00FD1252">
        <w:rPr>
          <w:rFonts w:ascii="Book Antiqua" w:hAnsi="Book Antiqua" w:cs="Book Antiqua"/>
          <w:lang w:eastAsia="zh-CN"/>
        </w:rPr>
        <w:t xml:space="preserve">; </w:t>
      </w:r>
      <w:r w:rsidR="001634BD" w:rsidRPr="00FD1252">
        <w:rPr>
          <w:rFonts w:ascii="Book Antiqua" w:hAnsi="Book Antiqua" w:cs="Book Antiqua"/>
          <w:lang w:eastAsia="zh-CN"/>
        </w:rPr>
        <w:t xml:space="preserve">ATN: </w:t>
      </w:r>
      <w:r w:rsidR="001634BD" w:rsidRPr="00FD1252">
        <w:rPr>
          <w:rFonts w:ascii="Book Antiqua" w:eastAsia="Book Antiqua" w:hAnsi="Book Antiqua" w:cs="Book Antiqua"/>
          <w:color w:val="000000"/>
        </w:rPr>
        <w:t>Acute tubular necrosis</w:t>
      </w:r>
      <w:r w:rsidR="008D47A7">
        <w:rPr>
          <w:rFonts w:ascii="Book Antiqua" w:eastAsia="Book Antiqua" w:hAnsi="Book Antiqua" w:cs="Book Antiqua"/>
          <w:color w:val="000000"/>
        </w:rPr>
        <w:t>;</w:t>
      </w:r>
      <w:r w:rsidR="008D47A7" w:rsidRPr="008D47A7">
        <w:rPr>
          <w:rFonts w:ascii="Book Antiqua" w:eastAsia="Book Antiqua" w:hAnsi="Book Antiqua" w:cs="Book Antiqua"/>
        </w:rPr>
        <w:t xml:space="preserve"> </w:t>
      </w:r>
      <w:r w:rsidR="008D47A7" w:rsidRPr="00FD1252">
        <w:rPr>
          <w:rFonts w:ascii="Book Antiqua" w:eastAsia="Book Antiqua" w:hAnsi="Book Antiqua" w:cs="Book Antiqua"/>
        </w:rPr>
        <w:t>DSA:</w:t>
      </w:r>
      <w:r w:rsidR="008D47A7" w:rsidRPr="00FD1252">
        <w:rPr>
          <w:rFonts w:ascii="Book Antiqua" w:eastAsia="Book Antiqua" w:hAnsi="Book Antiqua" w:cs="Book Antiqua"/>
          <w:color w:val="000000"/>
        </w:rPr>
        <w:t xml:space="preserve"> Donor-specific antibody</w:t>
      </w:r>
      <w:r w:rsidR="00B021B7" w:rsidRPr="00FD1252">
        <w:rPr>
          <w:rFonts w:ascii="Book Antiqua" w:hAnsi="Book Antiqua" w:cs="Book Antiqua"/>
          <w:lang w:eastAsia="zh-CN"/>
        </w:rPr>
        <w:t>.</w:t>
      </w:r>
    </w:p>
    <w:p w14:paraId="5603DDF7" w14:textId="77777777" w:rsidR="003474F9" w:rsidRPr="00FD1252" w:rsidRDefault="003474F9" w:rsidP="00FD1252">
      <w:pPr>
        <w:spacing w:line="360" w:lineRule="auto"/>
        <w:jc w:val="both"/>
        <w:rPr>
          <w:rFonts w:ascii="Book Antiqua" w:eastAsia="Book Antiqua" w:hAnsi="Book Antiqua" w:cs="Book Antiqua"/>
          <w:b/>
          <w:bCs/>
        </w:rPr>
      </w:pPr>
    </w:p>
    <w:p w14:paraId="374143A2" w14:textId="77777777" w:rsidR="003474F9" w:rsidRPr="00FD1252" w:rsidRDefault="003474F9" w:rsidP="00FD1252">
      <w:pPr>
        <w:spacing w:line="360" w:lineRule="auto"/>
        <w:jc w:val="both"/>
        <w:rPr>
          <w:rFonts w:ascii="Book Antiqua" w:eastAsia="Book Antiqua" w:hAnsi="Book Antiqua" w:cs="Book Antiqua"/>
        </w:rPr>
        <w:sectPr w:rsidR="003474F9" w:rsidRPr="00FD1252">
          <w:pgSz w:w="12240" w:h="15840"/>
          <w:pgMar w:top="1440" w:right="1440" w:bottom="1440" w:left="1440" w:header="720" w:footer="720" w:gutter="0"/>
          <w:cols w:space="720"/>
          <w:docGrid w:linePitch="360"/>
        </w:sectPr>
      </w:pPr>
    </w:p>
    <w:p w14:paraId="2A4514F2" w14:textId="59B99286" w:rsidR="003474F9" w:rsidRPr="00FD1252" w:rsidRDefault="003474F9" w:rsidP="00FD1252">
      <w:pPr>
        <w:spacing w:line="360" w:lineRule="auto"/>
        <w:jc w:val="both"/>
        <w:rPr>
          <w:rFonts w:ascii="Book Antiqua" w:eastAsia="Book Antiqua" w:hAnsi="Book Antiqua" w:cs="Book Antiqua"/>
          <w:b/>
          <w:bCs/>
        </w:rPr>
      </w:pPr>
      <w:r w:rsidRPr="00FD1252">
        <w:rPr>
          <w:rFonts w:ascii="Book Antiqua" w:eastAsia="Book Antiqua" w:hAnsi="Book Antiqua" w:cs="Book Antiqua"/>
          <w:b/>
          <w:bCs/>
        </w:rPr>
        <w:lastRenderedPageBreak/>
        <w:t>Table 4</w:t>
      </w:r>
      <w:r w:rsidR="00D44687" w:rsidRPr="00FD1252">
        <w:rPr>
          <w:rFonts w:ascii="Book Antiqua" w:eastAsia="Book Antiqua" w:hAnsi="Book Antiqua" w:cs="Book Antiqua"/>
          <w:b/>
          <w:bCs/>
        </w:rPr>
        <w:t xml:space="preserve"> Main changes in the nomenclature and classification of T cell-mediated rejection in the Banff classification over three decades of evolution (1991 to 2019)</w:t>
      </w:r>
    </w:p>
    <w:tbl>
      <w:tblPr>
        <w:tblW w:w="9519" w:type="dxa"/>
        <w:tblLook w:val="04A0" w:firstRow="1" w:lastRow="0" w:firstColumn="1" w:lastColumn="0" w:noHBand="0" w:noVBand="1"/>
      </w:tblPr>
      <w:tblGrid>
        <w:gridCol w:w="2491"/>
        <w:gridCol w:w="7028"/>
      </w:tblGrid>
      <w:tr w:rsidR="00D44687" w:rsidRPr="00FD1252" w14:paraId="6DB9E59E" w14:textId="77777777" w:rsidTr="00D44687">
        <w:trPr>
          <w:trHeight w:val="420"/>
        </w:trPr>
        <w:tc>
          <w:tcPr>
            <w:tcW w:w="2491" w:type="dxa"/>
            <w:tcBorders>
              <w:top w:val="single" w:sz="4" w:space="0" w:color="auto"/>
              <w:bottom w:val="single" w:sz="4" w:space="0" w:color="auto"/>
            </w:tcBorders>
          </w:tcPr>
          <w:p w14:paraId="6055E482" w14:textId="77777777" w:rsidR="00D44687" w:rsidRPr="00FD1252" w:rsidRDefault="00D44687" w:rsidP="00FD1252">
            <w:pPr>
              <w:spacing w:line="360" w:lineRule="auto"/>
              <w:jc w:val="both"/>
              <w:rPr>
                <w:rFonts w:ascii="Book Antiqua" w:hAnsi="Book Antiqua"/>
                <w:b/>
              </w:rPr>
            </w:pPr>
            <w:r w:rsidRPr="00FD1252">
              <w:rPr>
                <w:rFonts w:ascii="Book Antiqua" w:hAnsi="Book Antiqua"/>
                <w:b/>
              </w:rPr>
              <w:t>Meeting reports, yr</w:t>
            </w:r>
          </w:p>
        </w:tc>
        <w:tc>
          <w:tcPr>
            <w:tcW w:w="7028" w:type="dxa"/>
            <w:tcBorders>
              <w:top w:val="single" w:sz="4" w:space="0" w:color="auto"/>
              <w:bottom w:val="single" w:sz="4" w:space="0" w:color="auto"/>
            </w:tcBorders>
          </w:tcPr>
          <w:p w14:paraId="5A2C3A00" w14:textId="7F642419" w:rsidR="00D44687" w:rsidRPr="00FD1252" w:rsidRDefault="00D44687" w:rsidP="00FD1252">
            <w:pPr>
              <w:spacing w:line="360" w:lineRule="auto"/>
              <w:jc w:val="both"/>
              <w:rPr>
                <w:rFonts w:ascii="Book Antiqua" w:hAnsi="Book Antiqua"/>
                <w:b/>
                <w:vertAlign w:val="superscript"/>
              </w:rPr>
            </w:pPr>
            <w:r w:rsidRPr="00FD1252">
              <w:rPr>
                <w:rFonts w:ascii="Book Antiqua" w:hAnsi="Book Antiqua"/>
                <w:b/>
              </w:rPr>
              <w:t>Category 4: T cell-mediated rejection</w:t>
            </w:r>
            <w:r w:rsidRPr="00FD1252">
              <w:rPr>
                <w:rFonts w:ascii="Book Antiqua" w:hAnsi="Book Antiqua"/>
                <w:b/>
                <w:vertAlign w:val="superscript"/>
              </w:rPr>
              <w:t>1</w:t>
            </w:r>
          </w:p>
        </w:tc>
      </w:tr>
      <w:tr w:rsidR="00D44687" w:rsidRPr="00FD1252" w14:paraId="1F88ADD8" w14:textId="77777777" w:rsidTr="00D44687">
        <w:trPr>
          <w:trHeight w:val="530"/>
        </w:trPr>
        <w:tc>
          <w:tcPr>
            <w:tcW w:w="2491" w:type="dxa"/>
            <w:tcBorders>
              <w:top w:val="single" w:sz="4" w:space="0" w:color="auto"/>
            </w:tcBorders>
          </w:tcPr>
          <w:p w14:paraId="0FAAD384" w14:textId="73B933A5" w:rsidR="00D44687" w:rsidRPr="00FD1252" w:rsidRDefault="00D44687" w:rsidP="00FD1252">
            <w:pPr>
              <w:spacing w:line="360" w:lineRule="auto"/>
              <w:jc w:val="both"/>
              <w:rPr>
                <w:rFonts w:ascii="Book Antiqua" w:hAnsi="Book Antiqua"/>
              </w:rPr>
            </w:pPr>
            <w:r w:rsidRPr="00FD1252">
              <w:rPr>
                <w:rFonts w:ascii="Book Antiqua" w:hAnsi="Book Antiqua"/>
              </w:rPr>
              <w:t>Banff, 1993</w:t>
            </w:r>
          </w:p>
        </w:tc>
        <w:tc>
          <w:tcPr>
            <w:tcW w:w="7028" w:type="dxa"/>
            <w:tcBorders>
              <w:top w:val="single" w:sz="4" w:space="0" w:color="auto"/>
            </w:tcBorders>
          </w:tcPr>
          <w:p w14:paraId="27811ED6" w14:textId="77777777" w:rsidR="00D44687" w:rsidRPr="00251922" w:rsidRDefault="00D44687" w:rsidP="00FD1252">
            <w:pPr>
              <w:spacing w:line="360" w:lineRule="auto"/>
              <w:jc w:val="both"/>
              <w:rPr>
                <w:rFonts w:ascii="Book Antiqua" w:hAnsi="Book Antiqua"/>
              </w:rPr>
            </w:pPr>
            <w:r w:rsidRPr="00251922">
              <w:rPr>
                <w:rFonts w:ascii="Book Antiqua" w:hAnsi="Book Antiqua"/>
              </w:rPr>
              <w:t>Acute rejection, grades I, II, III</w:t>
            </w:r>
          </w:p>
        </w:tc>
      </w:tr>
      <w:tr w:rsidR="00D44687" w:rsidRPr="00FD1252" w14:paraId="06C91156" w14:textId="77777777" w:rsidTr="00D44687">
        <w:trPr>
          <w:trHeight w:val="564"/>
        </w:trPr>
        <w:tc>
          <w:tcPr>
            <w:tcW w:w="2491" w:type="dxa"/>
            <w:vMerge w:val="restart"/>
          </w:tcPr>
          <w:p w14:paraId="5981F07D" w14:textId="3F1283C3" w:rsidR="00D44687" w:rsidRPr="00FD1252" w:rsidRDefault="00D44687" w:rsidP="00FD1252">
            <w:pPr>
              <w:spacing w:line="360" w:lineRule="auto"/>
              <w:jc w:val="both"/>
              <w:rPr>
                <w:rFonts w:ascii="Book Antiqua" w:hAnsi="Book Antiqua"/>
              </w:rPr>
            </w:pPr>
            <w:r w:rsidRPr="00FD1252">
              <w:rPr>
                <w:rFonts w:ascii="Book Antiqua" w:hAnsi="Book Antiqua"/>
              </w:rPr>
              <w:t>Banff, 1997</w:t>
            </w:r>
          </w:p>
        </w:tc>
        <w:tc>
          <w:tcPr>
            <w:tcW w:w="7028" w:type="dxa"/>
          </w:tcPr>
          <w:p w14:paraId="6C334ACA" w14:textId="433945F9" w:rsidR="00D44687" w:rsidRPr="00251922" w:rsidRDefault="00D44687" w:rsidP="00FD1252">
            <w:pPr>
              <w:spacing w:line="360" w:lineRule="auto"/>
              <w:jc w:val="both"/>
              <w:rPr>
                <w:rFonts w:ascii="Book Antiqua" w:hAnsi="Book Antiqua"/>
              </w:rPr>
            </w:pPr>
            <w:r w:rsidRPr="00251922">
              <w:rPr>
                <w:rFonts w:ascii="Book Antiqua" w:hAnsi="Book Antiqua"/>
              </w:rPr>
              <w:t>Acute/ active cellular rejection</w:t>
            </w:r>
          </w:p>
        </w:tc>
      </w:tr>
      <w:tr w:rsidR="00D44687" w:rsidRPr="00FD1252" w14:paraId="0AABBE8A" w14:textId="77777777" w:rsidTr="00D44687">
        <w:trPr>
          <w:trHeight w:val="558"/>
        </w:trPr>
        <w:tc>
          <w:tcPr>
            <w:tcW w:w="2491" w:type="dxa"/>
            <w:vMerge/>
          </w:tcPr>
          <w:p w14:paraId="66991F84" w14:textId="77777777" w:rsidR="00D44687" w:rsidRPr="00FD1252" w:rsidRDefault="00D44687" w:rsidP="00FD1252">
            <w:pPr>
              <w:spacing w:line="360" w:lineRule="auto"/>
              <w:jc w:val="both"/>
              <w:rPr>
                <w:rFonts w:ascii="Book Antiqua" w:hAnsi="Book Antiqua"/>
              </w:rPr>
            </w:pPr>
          </w:p>
        </w:tc>
        <w:tc>
          <w:tcPr>
            <w:tcW w:w="7028" w:type="dxa"/>
          </w:tcPr>
          <w:p w14:paraId="1B5AEFBC" w14:textId="6EE29164" w:rsidR="00D44687" w:rsidRPr="00251922" w:rsidRDefault="00D44687" w:rsidP="00FD1252">
            <w:pPr>
              <w:spacing w:line="360" w:lineRule="auto"/>
              <w:ind w:firstLineChars="50" w:firstLine="120"/>
              <w:jc w:val="both"/>
              <w:rPr>
                <w:rFonts w:ascii="Book Antiqua" w:hAnsi="Book Antiqua"/>
              </w:rPr>
            </w:pPr>
            <w:r w:rsidRPr="00EB6BAF">
              <w:rPr>
                <w:rFonts w:ascii="Book Antiqua" w:hAnsi="Book Antiqua"/>
              </w:rPr>
              <w:t>Types</w:t>
            </w:r>
            <w:r w:rsidR="00251922" w:rsidRPr="00251922">
              <w:rPr>
                <w:rFonts w:ascii="Book Antiqua" w:hAnsi="Book Antiqua"/>
                <w:vertAlign w:val="superscript"/>
              </w:rPr>
              <w:t>2</w:t>
            </w:r>
            <w:r w:rsidRPr="00251922">
              <w:rPr>
                <w:rFonts w:ascii="Book Antiqua" w:hAnsi="Book Antiqua"/>
              </w:rPr>
              <w:t xml:space="preserve"> I A/B, II A/B, III</w:t>
            </w:r>
          </w:p>
        </w:tc>
      </w:tr>
      <w:tr w:rsidR="00D44687" w:rsidRPr="00FD1252" w14:paraId="3D39BDF9" w14:textId="77777777" w:rsidTr="00D44687">
        <w:trPr>
          <w:trHeight w:val="613"/>
        </w:trPr>
        <w:tc>
          <w:tcPr>
            <w:tcW w:w="2491" w:type="dxa"/>
            <w:vMerge w:val="restart"/>
          </w:tcPr>
          <w:p w14:paraId="6AAABDB9" w14:textId="23C31C40" w:rsidR="00D44687" w:rsidRPr="00FD1252" w:rsidRDefault="00D44687" w:rsidP="00FD1252">
            <w:pPr>
              <w:pStyle w:val="NoSpacing"/>
              <w:spacing w:line="360" w:lineRule="auto"/>
              <w:jc w:val="both"/>
              <w:rPr>
                <w:rFonts w:ascii="Book Antiqua" w:hAnsi="Book Antiqua" w:cs="Times New Roman"/>
                <w:sz w:val="24"/>
                <w:szCs w:val="24"/>
              </w:rPr>
            </w:pPr>
            <w:r w:rsidRPr="00FD1252">
              <w:rPr>
                <w:rFonts w:ascii="Book Antiqua" w:hAnsi="Book Antiqua" w:cs="Times New Roman"/>
                <w:sz w:val="24"/>
                <w:szCs w:val="24"/>
              </w:rPr>
              <w:t>Banff</w:t>
            </w:r>
            <w:r w:rsidRPr="00FD1252">
              <w:rPr>
                <w:rFonts w:ascii="Book Antiqua" w:hAnsi="Book Antiqua"/>
                <w:sz w:val="24"/>
                <w:szCs w:val="24"/>
              </w:rPr>
              <w:t>, 19</w:t>
            </w:r>
            <w:r w:rsidRPr="00FD1252">
              <w:rPr>
                <w:rFonts w:ascii="Book Antiqua" w:hAnsi="Book Antiqua" w:cs="Times New Roman"/>
                <w:sz w:val="24"/>
                <w:szCs w:val="24"/>
              </w:rPr>
              <w:t>97 update (2001)</w:t>
            </w:r>
          </w:p>
        </w:tc>
        <w:tc>
          <w:tcPr>
            <w:tcW w:w="7028" w:type="dxa"/>
          </w:tcPr>
          <w:p w14:paraId="50ADF917" w14:textId="49F874B0" w:rsidR="00D44687" w:rsidRPr="00251922" w:rsidRDefault="00D44687" w:rsidP="00FD1252">
            <w:pPr>
              <w:spacing w:line="360" w:lineRule="auto"/>
              <w:jc w:val="both"/>
              <w:rPr>
                <w:rFonts w:ascii="Book Antiqua" w:hAnsi="Book Antiqua"/>
              </w:rPr>
            </w:pPr>
            <w:r w:rsidRPr="00251922">
              <w:rPr>
                <w:rFonts w:ascii="Book Antiqua" w:hAnsi="Book Antiqua"/>
              </w:rPr>
              <w:t>Acute/ active cellular rejection</w:t>
            </w:r>
          </w:p>
        </w:tc>
      </w:tr>
      <w:tr w:rsidR="00D44687" w:rsidRPr="00FD1252" w14:paraId="3E0CBCAC" w14:textId="77777777" w:rsidTr="00D44687">
        <w:trPr>
          <w:trHeight w:val="518"/>
        </w:trPr>
        <w:tc>
          <w:tcPr>
            <w:tcW w:w="2491" w:type="dxa"/>
            <w:vMerge/>
          </w:tcPr>
          <w:p w14:paraId="040F4EE9" w14:textId="77777777" w:rsidR="00D44687" w:rsidRPr="00FD1252" w:rsidRDefault="00D44687" w:rsidP="00FD1252">
            <w:pPr>
              <w:pStyle w:val="NoSpacing"/>
              <w:spacing w:line="360" w:lineRule="auto"/>
              <w:jc w:val="both"/>
              <w:rPr>
                <w:rFonts w:ascii="Book Antiqua" w:hAnsi="Book Antiqua" w:cs="Times New Roman"/>
                <w:sz w:val="24"/>
                <w:szCs w:val="24"/>
              </w:rPr>
            </w:pPr>
          </w:p>
        </w:tc>
        <w:tc>
          <w:tcPr>
            <w:tcW w:w="7028" w:type="dxa"/>
          </w:tcPr>
          <w:p w14:paraId="5A5305A7" w14:textId="5BE70D5C" w:rsidR="00D44687" w:rsidRPr="00251922" w:rsidRDefault="00D44687" w:rsidP="00FD1252">
            <w:pPr>
              <w:spacing w:line="360" w:lineRule="auto"/>
              <w:ind w:firstLineChars="50" w:firstLine="120"/>
              <w:jc w:val="both"/>
              <w:rPr>
                <w:rFonts w:ascii="Book Antiqua" w:hAnsi="Book Antiqua"/>
              </w:rPr>
            </w:pPr>
            <w:r w:rsidRPr="00251922">
              <w:rPr>
                <w:rFonts w:ascii="Book Antiqua" w:hAnsi="Book Antiqua"/>
              </w:rPr>
              <w:t>Types I A/B, II A/B, III</w:t>
            </w:r>
          </w:p>
        </w:tc>
      </w:tr>
      <w:tr w:rsidR="00D44687" w:rsidRPr="00FD1252" w14:paraId="2485DFE5" w14:textId="77777777" w:rsidTr="00D44687">
        <w:trPr>
          <w:trHeight w:val="484"/>
        </w:trPr>
        <w:tc>
          <w:tcPr>
            <w:tcW w:w="2491" w:type="dxa"/>
            <w:vMerge w:val="restart"/>
          </w:tcPr>
          <w:p w14:paraId="6B39D265" w14:textId="458D7E86" w:rsidR="00D44687" w:rsidRPr="00FD1252" w:rsidRDefault="00D44687" w:rsidP="00FD1252">
            <w:pPr>
              <w:pStyle w:val="NoSpacing"/>
              <w:spacing w:line="360" w:lineRule="auto"/>
              <w:jc w:val="both"/>
              <w:rPr>
                <w:rFonts w:ascii="Book Antiqua" w:hAnsi="Book Antiqua" w:cs="Times New Roman"/>
                <w:sz w:val="24"/>
                <w:szCs w:val="24"/>
              </w:rPr>
            </w:pPr>
            <w:r w:rsidRPr="00FD1252">
              <w:rPr>
                <w:rFonts w:ascii="Book Antiqua" w:hAnsi="Book Antiqua" w:cs="Times New Roman"/>
                <w:sz w:val="24"/>
                <w:szCs w:val="24"/>
              </w:rPr>
              <w:t>Banff, 2005</w:t>
            </w:r>
          </w:p>
        </w:tc>
        <w:tc>
          <w:tcPr>
            <w:tcW w:w="7028" w:type="dxa"/>
          </w:tcPr>
          <w:p w14:paraId="2B101F1A" w14:textId="5DB8A2E1" w:rsidR="00D44687" w:rsidRPr="00EB6BAF" w:rsidRDefault="00D44687" w:rsidP="00FD1252">
            <w:pPr>
              <w:spacing w:line="360" w:lineRule="auto"/>
              <w:jc w:val="both"/>
              <w:rPr>
                <w:rFonts w:ascii="Book Antiqua" w:hAnsi="Book Antiqua"/>
              </w:rPr>
            </w:pPr>
            <w:r w:rsidRPr="00EB6BAF">
              <w:rPr>
                <w:rFonts w:ascii="Book Antiqua" w:hAnsi="Book Antiqua"/>
              </w:rPr>
              <w:t>TCMR</w:t>
            </w:r>
            <w:r w:rsidR="00251922" w:rsidRPr="00251922">
              <w:rPr>
                <w:rFonts w:ascii="Book Antiqua" w:hAnsi="Book Antiqua"/>
                <w:vertAlign w:val="superscript"/>
              </w:rPr>
              <w:t>2</w:t>
            </w:r>
          </w:p>
        </w:tc>
      </w:tr>
      <w:tr w:rsidR="00D44687" w:rsidRPr="00FD1252" w14:paraId="01328C62" w14:textId="77777777" w:rsidTr="00D44687">
        <w:trPr>
          <w:trHeight w:val="518"/>
        </w:trPr>
        <w:tc>
          <w:tcPr>
            <w:tcW w:w="2491" w:type="dxa"/>
            <w:vMerge/>
          </w:tcPr>
          <w:p w14:paraId="023EA0D6" w14:textId="77777777" w:rsidR="00D44687" w:rsidRPr="00FD1252" w:rsidRDefault="00D44687" w:rsidP="00FD1252">
            <w:pPr>
              <w:pStyle w:val="NoSpacing"/>
              <w:spacing w:line="360" w:lineRule="auto"/>
              <w:jc w:val="both"/>
              <w:rPr>
                <w:rFonts w:ascii="Book Antiqua" w:hAnsi="Book Antiqua" w:cs="Times New Roman"/>
                <w:sz w:val="24"/>
                <w:szCs w:val="24"/>
              </w:rPr>
            </w:pPr>
          </w:p>
        </w:tc>
        <w:tc>
          <w:tcPr>
            <w:tcW w:w="7028" w:type="dxa"/>
          </w:tcPr>
          <w:p w14:paraId="37ACF4A7" w14:textId="79E5B902" w:rsidR="00D44687" w:rsidRPr="00EB6BAF" w:rsidRDefault="00D44687" w:rsidP="00FD1252">
            <w:pPr>
              <w:spacing w:line="360" w:lineRule="auto"/>
              <w:ind w:firstLineChars="50" w:firstLine="120"/>
              <w:jc w:val="both"/>
              <w:rPr>
                <w:rFonts w:ascii="Book Antiqua" w:hAnsi="Book Antiqua"/>
              </w:rPr>
            </w:pPr>
            <w:r w:rsidRPr="00EB6BAF">
              <w:rPr>
                <w:rFonts w:ascii="Book Antiqua" w:hAnsi="Book Antiqua"/>
              </w:rPr>
              <w:t>Acute, types</w:t>
            </w:r>
            <w:r w:rsidR="00926D65" w:rsidRPr="00251922">
              <w:rPr>
                <w:rFonts w:ascii="Book Antiqua" w:hAnsi="Book Antiqua"/>
                <w:vertAlign w:val="superscript"/>
              </w:rPr>
              <w:t>2</w:t>
            </w:r>
            <w:r w:rsidRPr="00251922">
              <w:rPr>
                <w:rFonts w:ascii="Book Antiqua" w:hAnsi="Book Antiqua"/>
              </w:rPr>
              <w:t xml:space="preserve"> I A/B, II A/B, III</w:t>
            </w:r>
          </w:p>
        </w:tc>
      </w:tr>
      <w:tr w:rsidR="00D44687" w:rsidRPr="00FD1252" w14:paraId="68D6DF18" w14:textId="77777777" w:rsidTr="00D44687">
        <w:trPr>
          <w:trHeight w:val="569"/>
        </w:trPr>
        <w:tc>
          <w:tcPr>
            <w:tcW w:w="2491" w:type="dxa"/>
            <w:vMerge/>
          </w:tcPr>
          <w:p w14:paraId="3B934F5E" w14:textId="77777777" w:rsidR="00D44687" w:rsidRPr="00FD1252" w:rsidRDefault="00D44687" w:rsidP="00FD1252">
            <w:pPr>
              <w:pStyle w:val="NoSpacing"/>
              <w:spacing w:line="360" w:lineRule="auto"/>
              <w:jc w:val="both"/>
              <w:rPr>
                <w:rFonts w:ascii="Book Antiqua" w:hAnsi="Book Antiqua" w:cs="Times New Roman"/>
                <w:sz w:val="24"/>
                <w:szCs w:val="24"/>
              </w:rPr>
            </w:pPr>
          </w:p>
        </w:tc>
        <w:tc>
          <w:tcPr>
            <w:tcW w:w="7028" w:type="dxa"/>
          </w:tcPr>
          <w:p w14:paraId="1D588AF0" w14:textId="096D3345" w:rsidR="00D44687" w:rsidRPr="00EB6BAF" w:rsidRDefault="00D44687" w:rsidP="00FD1252">
            <w:pPr>
              <w:spacing w:line="360" w:lineRule="auto"/>
              <w:ind w:firstLineChars="50" w:firstLine="120"/>
              <w:jc w:val="both"/>
              <w:rPr>
                <w:rFonts w:ascii="Book Antiqua" w:hAnsi="Book Antiqua"/>
              </w:rPr>
            </w:pPr>
            <w:r w:rsidRPr="00EB6BAF">
              <w:rPr>
                <w:rFonts w:ascii="Book Antiqua" w:hAnsi="Book Antiqua"/>
              </w:rPr>
              <w:t>Chronic active</w:t>
            </w:r>
            <w:r w:rsidR="00926D65" w:rsidRPr="00251922">
              <w:rPr>
                <w:rFonts w:ascii="Book Antiqua" w:hAnsi="Book Antiqua"/>
                <w:vertAlign w:val="superscript"/>
              </w:rPr>
              <w:t>2</w:t>
            </w:r>
            <w:r w:rsidRPr="00251922">
              <w:rPr>
                <w:rFonts w:ascii="Book Antiqua" w:hAnsi="Book Antiqua"/>
              </w:rPr>
              <w:t xml:space="preserve"> (includes only transplant arteriopathy)</w:t>
            </w:r>
          </w:p>
        </w:tc>
      </w:tr>
      <w:tr w:rsidR="00D44687" w:rsidRPr="00FD1252" w14:paraId="6392552B" w14:textId="77777777" w:rsidTr="00D44687">
        <w:trPr>
          <w:trHeight w:val="563"/>
        </w:trPr>
        <w:tc>
          <w:tcPr>
            <w:tcW w:w="2491" w:type="dxa"/>
            <w:vMerge w:val="restart"/>
          </w:tcPr>
          <w:p w14:paraId="1BCAB588" w14:textId="110BA06E" w:rsidR="00D44687" w:rsidRPr="00FD1252" w:rsidRDefault="00D44687" w:rsidP="00FD1252">
            <w:pPr>
              <w:pStyle w:val="NoSpacing"/>
              <w:spacing w:line="360" w:lineRule="auto"/>
              <w:jc w:val="both"/>
              <w:rPr>
                <w:rFonts w:ascii="Book Antiqua" w:hAnsi="Book Antiqua" w:cs="Times New Roman"/>
                <w:sz w:val="24"/>
                <w:szCs w:val="24"/>
              </w:rPr>
            </w:pPr>
            <w:r w:rsidRPr="00FD1252">
              <w:rPr>
                <w:rFonts w:ascii="Book Antiqua" w:hAnsi="Book Antiqua" w:cs="Times New Roman"/>
                <w:sz w:val="24"/>
                <w:szCs w:val="24"/>
              </w:rPr>
              <w:t>Banff, 2007</w:t>
            </w:r>
          </w:p>
        </w:tc>
        <w:tc>
          <w:tcPr>
            <w:tcW w:w="7028" w:type="dxa"/>
          </w:tcPr>
          <w:p w14:paraId="4AA2D356" w14:textId="6B40B8EA" w:rsidR="00D44687" w:rsidRPr="00251922" w:rsidRDefault="00D44687" w:rsidP="00FD1252">
            <w:pPr>
              <w:spacing w:line="360" w:lineRule="auto"/>
              <w:jc w:val="both"/>
              <w:rPr>
                <w:rFonts w:ascii="Book Antiqua" w:hAnsi="Book Antiqua"/>
              </w:rPr>
            </w:pPr>
            <w:r w:rsidRPr="00251922">
              <w:rPr>
                <w:rFonts w:ascii="Book Antiqua" w:hAnsi="Book Antiqua"/>
              </w:rPr>
              <w:t>TCMR</w:t>
            </w:r>
          </w:p>
        </w:tc>
      </w:tr>
      <w:tr w:rsidR="00D44687" w:rsidRPr="00FD1252" w14:paraId="0F363FD0" w14:textId="77777777" w:rsidTr="00D44687">
        <w:trPr>
          <w:trHeight w:val="571"/>
        </w:trPr>
        <w:tc>
          <w:tcPr>
            <w:tcW w:w="2491" w:type="dxa"/>
            <w:vMerge/>
          </w:tcPr>
          <w:p w14:paraId="7FDA4508" w14:textId="77777777" w:rsidR="00D44687" w:rsidRPr="00FD1252" w:rsidRDefault="00D44687" w:rsidP="00FD1252">
            <w:pPr>
              <w:pStyle w:val="NoSpacing"/>
              <w:spacing w:line="360" w:lineRule="auto"/>
              <w:jc w:val="both"/>
              <w:rPr>
                <w:rFonts w:ascii="Book Antiqua" w:hAnsi="Book Antiqua" w:cs="Times New Roman"/>
                <w:sz w:val="24"/>
                <w:szCs w:val="24"/>
              </w:rPr>
            </w:pPr>
          </w:p>
        </w:tc>
        <w:tc>
          <w:tcPr>
            <w:tcW w:w="7028" w:type="dxa"/>
          </w:tcPr>
          <w:p w14:paraId="7397521E" w14:textId="39FDA149" w:rsidR="00D44687" w:rsidRPr="00EB6BAF" w:rsidRDefault="00D44687" w:rsidP="00FD1252">
            <w:pPr>
              <w:spacing w:line="360" w:lineRule="auto"/>
              <w:ind w:firstLineChars="50" w:firstLine="120"/>
              <w:jc w:val="both"/>
              <w:rPr>
                <w:rFonts w:ascii="Book Antiqua" w:hAnsi="Book Antiqua"/>
              </w:rPr>
            </w:pPr>
            <w:r w:rsidRPr="00251922">
              <w:rPr>
                <w:rFonts w:ascii="Book Antiqua" w:hAnsi="Book Antiqua"/>
              </w:rPr>
              <w:t>Acute</w:t>
            </w:r>
          </w:p>
        </w:tc>
      </w:tr>
      <w:tr w:rsidR="00D44687" w:rsidRPr="00FD1252" w14:paraId="591689DB" w14:textId="77777777" w:rsidTr="00D44687">
        <w:trPr>
          <w:trHeight w:val="613"/>
        </w:trPr>
        <w:tc>
          <w:tcPr>
            <w:tcW w:w="2491" w:type="dxa"/>
            <w:vMerge/>
          </w:tcPr>
          <w:p w14:paraId="2F3ACC3B" w14:textId="77777777" w:rsidR="00D44687" w:rsidRPr="00FD1252" w:rsidRDefault="00D44687" w:rsidP="00FD1252">
            <w:pPr>
              <w:pStyle w:val="NoSpacing"/>
              <w:spacing w:line="360" w:lineRule="auto"/>
              <w:jc w:val="both"/>
              <w:rPr>
                <w:rFonts w:ascii="Book Antiqua" w:hAnsi="Book Antiqua" w:cs="Times New Roman"/>
                <w:sz w:val="24"/>
                <w:szCs w:val="24"/>
              </w:rPr>
            </w:pPr>
          </w:p>
        </w:tc>
        <w:tc>
          <w:tcPr>
            <w:tcW w:w="7028" w:type="dxa"/>
          </w:tcPr>
          <w:p w14:paraId="7DB9B9B7" w14:textId="7692399D" w:rsidR="00D44687" w:rsidRPr="00EB6BAF" w:rsidRDefault="00D44687" w:rsidP="00FD1252">
            <w:pPr>
              <w:spacing w:line="360" w:lineRule="auto"/>
              <w:ind w:firstLineChars="50" w:firstLine="120"/>
              <w:jc w:val="both"/>
              <w:rPr>
                <w:rFonts w:ascii="Book Antiqua" w:hAnsi="Book Antiqua"/>
              </w:rPr>
            </w:pPr>
            <w:r w:rsidRPr="00251922">
              <w:rPr>
                <w:rFonts w:ascii="Book Antiqua" w:hAnsi="Book Antiqua"/>
              </w:rPr>
              <w:t>Chronic active (includes only transplant arteriopathy)</w:t>
            </w:r>
          </w:p>
        </w:tc>
      </w:tr>
      <w:tr w:rsidR="00D44687" w:rsidRPr="00FD1252" w14:paraId="4C7D0A7A" w14:textId="77777777" w:rsidTr="00D44687">
        <w:trPr>
          <w:trHeight w:val="517"/>
        </w:trPr>
        <w:tc>
          <w:tcPr>
            <w:tcW w:w="2491" w:type="dxa"/>
            <w:vMerge w:val="restart"/>
          </w:tcPr>
          <w:p w14:paraId="3EEB178D" w14:textId="7F977EC6" w:rsidR="00D44687" w:rsidRPr="00FD1252" w:rsidRDefault="00D44687" w:rsidP="00FD1252">
            <w:pPr>
              <w:pStyle w:val="NoSpacing"/>
              <w:spacing w:line="360" w:lineRule="auto"/>
              <w:jc w:val="both"/>
              <w:rPr>
                <w:rFonts w:ascii="Book Antiqua" w:hAnsi="Book Antiqua" w:cs="Times New Roman"/>
                <w:sz w:val="24"/>
                <w:szCs w:val="24"/>
              </w:rPr>
            </w:pPr>
            <w:r w:rsidRPr="00FD1252">
              <w:rPr>
                <w:rFonts w:ascii="Book Antiqua" w:hAnsi="Book Antiqua" w:cs="Times New Roman"/>
                <w:sz w:val="24"/>
                <w:szCs w:val="24"/>
              </w:rPr>
              <w:t>Banff, 2013</w:t>
            </w:r>
          </w:p>
        </w:tc>
        <w:tc>
          <w:tcPr>
            <w:tcW w:w="7028" w:type="dxa"/>
          </w:tcPr>
          <w:p w14:paraId="5E5DB887" w14:textId="065A0205" w:rsidR="00D44687" w:rsidRPr="00251922" w:rsidRDefault="00D44687" w:rsidP="00FD1252">
            <w:pPr>
              <w:spacing w:line="360" w:lineRule="auto"/>
              <w:jc w:val="both"/>
              <w:rPr>
                <w:rFonts w:ascii="Book Antiqua" w:hAnsi="Book Antiqua"/>
              </w:rPr>
            </w:pPr>
            <w:r w:rsidRPr="00251922">
              <w:rPr>
                <w:rFonts w:ascii="Book Antiqua" w:hAnsi="Book Antiqua"/>
              </w:rPr>
              <w:t>TCMR</w:t>
            </w:r>
          </w:p>
        </w:tc>
      </w:tr>
      <w:tr w:rsidR="00D44687" w:rsidRPr="00FD1252" w14:paraId="57CADFA8" w14:textId="77777777" w:rsidTr="00D44687">
        <w:trPr>
          <w:trHeight w:val="567"/>
        </w:trPr>
        <w:tc>
          <w:tcPr>
            <w:tcW w:w="2491" w:type="dxa"/>
            <w:vMerge/>
          </w:tcPr>
          <w:p w14:paraId="50E26AA7" w14:textId="77777777" w:rsidR="00D44687" w:rsidRPr="00FD1252" w:rsidRDefault="00D44687" w:rsidP="00FD1252">
            <w:pPr>
              <w:pStyle w:val="NoSpacing"/>
              <w:spacing w:line="360" w:lineRule="auto"/>
              <w:jc w:val="both"/>
              <w:rPr>
                <w:rFonts w:ascii="Book Antiqua" w:hAnsi="Book Antiqua" w:cs="Times New Roman"/>
                <w:sz w:val="24"/>
                <w:szCs w:val="24"/>
              </w:rPr>
            </w:pPr>
          </w:p>
        </w:tc>
        <w:tc>
          <w:tcPr>
            <w:tcW w:w="7028" w:type="dxa"/>
          </w:tcPr>
          <w:p w14:paraId="192266B5" w14:textId="2B7C3A84" w:rsidR="00D44687" w:rsidRPr="00251922" w:rsidRDefault="00D44687" w:rsidP="00FD1252">
            <w:pPr>
              <w:spacing w:line="360" w:lineRule="auto"/>
              <w:ind w:firstLineChars="50" w:firstLine="120"/>
              <w:jc w:val="both"/>
              <w:rPr>
                <w:rFonts w:ascii="Book Antiqua" w:hAnsi="Book Antiqua"/>
                <w:lang w:val="en-IN"/>
              </w:rPr>
            </w:pPr>
            <w:r w:rsidRPr="00251922">
              <w:rPr>
                <w:rFonts w:ascii="Book Antiqua" w:hAnsi="Book Antiqua"/>
              </w:rPr>
              <w:t>Acute</w:t>
            </w:r>
          </w:p>
        </w:tc>
      </w:tr>
      <w:tr w:rsidR="00D44687" w:rsidRPr="00FD1252" w14:paraId="424C4F97" w14:textId="77777777" w:rsidTr="00D44687">
        <w:trPr>
          <w:trHeight w:val="643"/>
        </w:trPr>
        <w:tc>
          <w:tcPr>
            <w:tcW w:w="2491" w:type="dxa"/>
            <w:vMerge/>
          </w:tcPr>
          <w:p w14:paraId="2F78257F" w14:textId="77777777" w:rsidR="00D44687" w:rsidRPr="00FD1252" w:rsidRDefault="00D44687" w:rsidP="00FD1252">
            <w:pPr>
              <w:pStyle w:val="NoSpacing"/>
              <w:spacing w:line="360" w:lineRule="auto"/>
              <w:jc w:val="both"/>
              <w:rPr>
                <w:rFonts w:ascii="Book Antiqua" w:hAnsi="Book Antiqua" w:cs="Times New Roman"/>
                <w:sz w:val="24"/>
                <w:szCs w:val="24"/>
              </w:rPr>
            </w:pPr>
          </w:p>
        </w:tc>
        <w:tc>
          <w:tcPr>
            <w:tcW w:w="7028" w:type="dxa"/>
          </w:tcPr>
          <w:p w14:paraId="2F43421E" w14:textId="3FB9FC77" w:rsidR="00D44687" w:rsidRPr="00251922" w:rsidRDefault="00D44687" w:rsidP="00FD1252">
            <w:pPr>
              <w:spacing w:line="360" w:lineRule="auto"/>
              <w:ind w:firstLineChars="50" w:firstLine="120"/>
              <w:jc w:val="both"/>
              <w:rPr>
                <w:rFonts w:ascii="Book Antiqua" w:hAnsi="Book Antiqua"/>
                <w:lang w:val="en-IN"/>
              </w:rPr>
            </w:pPr>
            <w:r w:rsidRPr="00251922">
              <w:rPr>
                <w:rFonts w:ascii="Book Antiqua" w:hAnsi="Book Antiqua"/>
              </w:rPr>
              <w:t>Chronic active (includes only transplant arteriopathy)</w:t>
            </w:r>
          </w:p>
        </w:tc>
      </w:tr>
      <w:tr w:rsidR="00D44687" w:rsidRPr="00FD1252" w14:paraId="2532B138" w14:textId="77777777" w:rsidTr="00D44687">
        <w:trPr>
          <w:trHeight w:val="498"/>
        </w:trPr>
        <w:tc>
          <w:tcPr>
            <w:tcW w:w="2491" w:type="dxa"/>
            <w:vMerge w:val="restart"/>
          </w:tcPr>
          <w:p w14:paraId="7407D8B0" w14:textId="3A751261" w:rsidR="00D44687" w:rsidRPr="00FD1252" w:rsidRDefault="00D44687" w:rsidP="00FD1252">
            <w:pPr>
              <w:pStyle w:val="NoSpacing"/>
              <w:spacing w:line="360" w:lineRule="auto"/>
              <w:jc w:val="both"/>
              <w:rPr>
                <w:rFonts w:ascii="Book Antiqua" w:hAnsi="Book Antiqua" w:cs="Times New Roman"/>
                <w:sz w:val="24"/>
                <w:szCs w:val="24"/>
              </w:rPr>
            </w:pPr>
            <w:r w:rsidRPr="00FD1252">
              <w:rPr>
                <w:rFonts w:ascii="Book Antiqua" w:hAnsi="Book Antiqua" w:cs="Times New Roman"/>
                <w:sz w:val="24"/>
                <w:szCs w:val="24"/>
              </w:rPr>
              <w:t>Banff, 2015</w:t>
            </w:r>
          </w:p>
        </w:tc>
        <w:tc>
          <w:tcPr>
            <w:tcW w:w="7028" w:type="dxa"/>
          </w:tcPr>
          <w:p w14:paraId="04615626" w14:textId="3B9F5440" w:rsidR="00D44687" w:rsidRPr="00251922" w:rsidRDefault="00D44687" w:rsidP="00FD1252">
            <w:pPr>
              <w:spacing w:line="360" w:lineRule="auto"/>
              <w:jc w:val="both"/>
              <w:rPr>
                <w:rFonts w:ascii="Book Antiqua" w:hAnsi="Book Antiqua"/>
              </w:rPr>
            </w:pPr>
            <w:r w:rsidRPr="00251922">
              <w:rPr>
                <w:rFonts w:ascii="Book Antiqua" w:hAnsi="Book Antiqua"/>
              </w:rPr>
              <w:t>TCMR</w:t>
            </w:r>
          </w:p>
        </w:tc>
      </w:tr>
      <w:tr w:rsidR="00D44687" w:rsidRPr="00FD1252" w14:paraId="6B66E40D" w14:textId="77777777" w:rsidTr="00D44687">
        <w:trPr>
          <w:trHeight w:val="563"/>
        </w:trPr>
        <w:tc>
          <w:tcPr>
            <w:tcW w:w="2491" w:type="dxa"/>
            <w:vMerge/>
          </w:tcPr>
          <w:p w14:paraId="046F416F" w14:textId="77777777" w:rsidR="00D44687" w:rsidRPr="00FD1252" w:rsidRDefault="00D44687" w:rsidP="00FD1252">
            <w:pPr>
              <w:pStyle w:val="NoSpacing"/>
              <w:spacing w:line="360" w:lineRule="auto"/>
              <w:jc w:val="both"/>
              <w:rPr>
                <w:rFonts w:ascii="Book Antiqua" w:hAnsi="Book Antiqua" w:cs="Times New Roman"/>
                <w:sz w:val="24"/>
                <w:szCs w:val="24"/>
              </w:rPr>
            </w:pPr>
          </w:p>
        </w:tc>
        <w:tc>
          <w:tcPr>
            <w:tcW w:w="7028" w:type="dxa"/>
          </w:tcPr>
          <w:p w14:paraId="3B2DE996" w14:textId="7E83FF6E" w:rsidR="00D44687" w:rsidRPr="00251922" w:rsidRDefault="00D44687" w:rsidP="00FD1252">
            <w:pPr>
              <w:spacing w:line="360" w:lineRule="auto"/>
              <w:ind w:firstLineChars="50" w:firstLine="120"/>
              <w:jc w:val="both"/>
              <w:rPr>
                <w:rFonts w:ascii="Book Antiqua" w:hAnsi="Book Antiqua"/>
              </w:rPr>
            </w:pPr>
            <w:r w:rsidRPr="00251922">
              <w:rPr>
                <w:rFonts w:ascii="Book Antiqua" w:hAnsi="Book Antiqua"/>
              </w:rPr>
              <w:t>Acute</w:t>
            </w:r>
          </w:p>
        </w:tc>
      </w:tr>
      <w:tr w:rsidR="00D44687" w:rsidRPr="00FD1252" w14:paraId="2CB79BAD" w14:textId="77777777" w:rsidTr="00D44687">
        <w:trPr>
          <w:trHeight w:val="556"/>
        </w:trPr>
        <w:tc>
          <w:tcPr>
            <w:tcW w:w="2491" w:type="dxa"/>
            <w:vMerge/>
          </w:tcPr>
          <w:p w14:paraId="3666486B" w14:textId="77777777" w:rsidR="00D44687" w:rsidRPr="00FD1252" w:rsidRDefault="00D44687" w:rsidP="00FD1252">
            <w:pPr>
              <w:pStyle w:val="NoSpacing"/>
              <w:spacing w:line="360" w:lineRule="auto"/>
              <w:jc w:val="both"/>
              <w:rPr>
                <w:rFonts w:ascii="Book Antiqua" w:hAnsi="Book Antiqua" w:cs="Times New Roman"/>
                <w:sz w:val="24"/>
                <w:szCs w:val="24"/>
              </w:rPr>
            </w:pPr>
          </w:p>
        </w:tc>
        <w:tc>
          <w:tcPr>
            <w:tcW w:w="7028" w:type="dxa"/>
          </w:tcPr>
          <w:p w14:paraId="0CF4F715" w14:textId="37E21DBC" w:rsidR="00D44687" w:rsidRPr="00251922" w:rsidRDefault="00D44687" w:rsidP="00FD1252">
            <w:pPr>
              <w:spacing w:line="360" w:lineRule="auto"/>
              <w:ind w:firstLineChars="50" w:firstLine="120"/>
              <w:jc w:val="both"/>
              <w:rPr>
                <w:rFonts w:ascii="Book Antiqua" w:hAnsi="Book Antiqua"/>
              </w:rPr>
            </w:pPr>
            <w:r w:rsidRPr="00EB6BAF">
              <w:rPr>
                <w:rFonts w:ascii="Book Antiqua" w:hAnsi="Book Antiqua"/>
              </w:rPr>
              <w:t>Chronic active TCMR may have tubulointerstitial changes</w:t>
            </w:r>
            <w:r w:rsidR="00926D65" w:rsidRPr="00251922">
              <w:rPr>
                <w:rFonts w:ascii="Book Antiqua" w:hAnsi="Book Antiqua"/>
                <w:vertAlign w:val="superscript"/>
              </w:rPr>
              <w:t>2</w:t>
            </w:r>
          </w:p>
        </w:tc>
      </w:tr>
      <w:tr w:rsidR="00D44687" w:rsidRPr="00FD1252" w14:paraId="29C6628E" w14:textId="77777777" w:rsidTr="00D44687">
        <w:trPr>
          <w:trHeight w:val="579"/>
        </w:trPr>
        <w:tc>
          <w:tcPr>
            <w:tcW w:w="2491" w:type="dxa"/>
            <w:vMerge w:val="restart"/>
          </w:tcPr>
          <w:p w14:paraId="44D4DC9B" w14:textId="60ED830A" w:rsidR="00D44687" w:rsidRPr="00FD1252" w:rsidRDefault="00D44687" w:rsidP="00FD1252">
            <w:pPr>
              <w:pStyle w:val="NoSpacing"/>
              <w:spacing w:line="360" w:lineRule="auto"/>
              <w:jc w:val="both"/>
              <w:rPr>
                <w:rFonts w:ascii="Book Antiqua" w:hAnsi="Book Antiqua" w:cs="Times New Roman"/>
                <w:sz w:val="24"/>
                <w:szCs w:val="24"/>
              </w:rPr>
            </w:pPr>
            <w:r w:rsidRPr="00FD1252">
              <w:rPr>
                <w:rFonts w:ascii="Book Antiqua" w:hAnsi="Book Antiqua" w:cs="Times New Roman"/>
                <w:sz w:val="24"/>
                <w:szCs w:val="24"/>
              </w:rPr>
              <w:t>Banff, 2017</w:t>
            </w:r>
          </w:p>
        </w:tc>
        <w:tc>
          <w:tcPr>
            <w:tcW w:w="7028" w:type="dxa"/>
          </w:tcPr>
          <w:p w14:paraId="35200E03" w14:textId="21D5BF5F" w:rsidR="00D44687" w:rsidRPr="00251922" w:rsidRDefault="00D44687" w:rsidP="00FD1252">
            <w:pPr>
              <w:spacing w:line="360" w:lineRule="auto"/>
              <w:jc w:val="both"/>
              <w:rPr>
                <w:rFonts w:ascii="Book Antiqua" w:hAnsi="Book Antiqua"/>
              </w:rPr>
            </w:pPr>
            <w:r w:rsidRPr="00251922">
              <w:rPr>
                <w:rFonts w:ascii="Book Antiqua" w:hAnsi="Book Antiqua"/>
              </w:rPr>
              <w:t>TCMR</w:t>
            </w:r>
          </w:p>
        </w:tc>
      </w:tr>
      <w:tr w:rsidR="00D44687" w:rsidRPr="00FD1252" w14:paraId="5A629B55" w14:textId="77777777" w:rsidTr="00D44687">
        <w:trPr>
          <w:trHeight w:val="431"/>
        </w:trPr>
        <w:tc>
          <w:tcPr>
            <w:tcW w:w="2491" w:type="dxa"/>
            <w:vMerge/>
          </w:tcPr>
          <w:p w14:paraId="24C57AC7" w14:textId="0696C418" w:rsidR="00D44687" w:rsidRPr="00FD1252" w:rsidRDefault="00D44687" w:rsidP="00FD1252">
            <w:pPr>
              <w:pStyle w:val="NoSpacing"/>
              <w:spacing w:line="360" w:lineRule="auto"/>
              <w:jc w:val="both"/>
              <w:rPr>
                <w:rFonts w:ascii="Book Antiqua" w:hAnsi="Book Antiqua" w:cs="Times New Roman"/>
                <w:sz w:val="24"/>
                <w:szCs w:val="24"/>
              </w:rPr>
            </w:pPr>
          </w:p>
        </w:tc>
        <w:tc>
          <w:tcPr>
            <w:tcW w:w="7028" w:type="dxa"/>
          </w:tcPr>
          <w:p w14:paraId="7C3A0F1C" w14:textId="65EDD5BF" w:rsidR="00D44687" w:rsidRPr="00251922" w:rsidRDefault="00D44687" w:rsidP="00FD1252">
            <w:pPr>
              <w:pStyle w:val="NoSpacing"/>
              <w:spacing w:line="360" w:lineRule="auto"/>
              <w:ind w:firstLineChars="50" w:firstLine="120"/>
              <w:jc w:val="both"/>
              <w:rPr>
                <w:rFonts w:ascii="Book Antiqua" w:hAnsi="Book Antiqua" w:cs="Times New Roman"/>
                <w:sz w:val="24"/>
                <w:szCs w:val="24"/>
              </w:rPr>
            </w:pPr>
            <w:r w:rsidRPr="00251922">
              <w:rPr>
                <w:rFonts w:ascii="Book Antiqua" w:hAnsi="Book Antiqua" w:cs="Times New Roman"/>
                <w:sz w:val="24"/>
                <w:szCs w:val="24"/>
              </w:rPr>
              <w:t>Acute</w:t>
            </w:r>
          </w:p>
        </w:tc>
      </w:tr>
      <w:tr w:rsidR="00D44687" w:rsidRPr="00FD1252" w14:paraId="647B60C9" w14:textId="77777777" w:rsidTr="00D44687">
        <w:trPr>
          <w:trHeight w:val="426"/>
        </w:trPr>
        <w:tc>
          <w:tcPr>
            <w:tcW w:w="2491" w:type="dxa"/>
            <w:vMerge/>
          </w:tcPr>
          <w:p w14:paraId="13EDF6F4" w14:textId="013FCC0E" w:rsidR="00D44687" w:rsidRPr="00FD1252" w:rsidRDefault="00D44687" w:rsidP="00FD1252">
            <w:pPr>
              <w:pStyle w:val="NoSpacing"/>
              <w:spacing w:line="360" w:lineRule="auto"/>
              <w:jc w:val="both"/>
              <w:rPr>
                <w:rFonts w:ascii="Book Antiqua" w:hAnsi="Book Antiqua" w:cs="Times New Roman"/>
                <w:sz w:val="24"/>
                <w:szCs w:val="24"/>
              </w:rPr>
            </w:pPr>
          </w:p>
        </w:tc>
        <w:tc>
          <w:tcPr>
            <w:tcW w:w="7028" w:type="dxa"/>
          </w:tcPr>
          <w:p w14:paraId="028286D6" w14:textId="09AD4F79" w:rsidR="00D44687" w:rsidRPr="00251922" w:rsidRDefault="00D44687" w:rsidP="00FD1252">
            <w:pPr>
              <w:pStyle w:val="NoSpacing"/>
              <w:spacing w:line="360" w:lineRule="auto"/>
              <w:ind w:firstLineChars="50" w:firstLine="120"/>
              <w:jc w:val="both"/>
              <w:rPr>
                <w:rFonts w:ascii="Book Antiqua" w:hAnsi="Book Antiqua" w:cs="Times New Roman"/>
                <w:sz w:val="24"/>
                <w:szCs w:val="24"/>
              </w:rPr>
            </w:pPr>
            <w:r w:rsidRPr="00EB6BAF">
              <w:rPr>
                <w:rFonts w:ascii="Book Antiqua" w:hAnsi="Book Antiqua" w:cs="Times New Roman"/>
                <w:sz w:val="24"/>
                <w:szCs w:val="24"/>
              </w:rPr>
              <w:t>Chronic active TCMR grades I A/B and II defined</w:t>
            </w:r>
          </w:p>
        </w:tc>
      </w:tr>
      <w:tr w:rsidR="00D44687" w:rsidRPr="00FD1252" w14:paraId="7760AEE4" w14:textId="77777777" w:rsidTr="00D44687">
        <w:trPr>
          <w:trHeight w:val="851"/>
        </w:trPr>
        <w:tc>
          <w:tcPr>
            <w:tcW w:w="2491" w:type="dxa"/>
            <w:vMerge w:val="restart"/>
          </w:tcPr>
          <w:p w14:paraId="6C3CDCD4" w14:textId="749FEFE9" w:rsidR="00D44687" w:rsidRPr="00FD1252" w:rsidRDefault="00D44687" w:rsidP="00FD1252">
            <w:pPr>
              <w:spacing w:line="360" w:lineRule="auto"/>
              <w:jc w:val="both"/>
              <w:rPr>
                <w:rFonts w:ascii="Book Antiqua" w:hAnsi="Book Antiqua"/>
              </w:rPr>
            </w:pPr>
            <w:r w:rsidRPr="00FD1252">
              <w:rPr>
                <w:rFonts w:ascii="Book Antiqua" w:hAnsi="Book Antiqua"/>
              </w:rPr>
              <w:lastRenderedPageBreak/>
              <w:t>Banff, 2019</w:t>
            </w:r>
          </w:p>
        </w:tc>
        <w:tc>
          <w:tcPr>
            <w:tcW w:w="7028" w:type="dxa"/>
          </w:tcPr>
          <w:p w14:paraId="2DDFA243" w14:textId="2B13264B" w:rsidR="00D44687" w:rsidRPr="00251922" w:rsidRDefault="00D44687" w:rsidP="00FD1252">
            <w:pPr>
              <w:pStyle w:val="NoSpacing"/>
              <w:spacing w:line="360" w:lineRule="auto"/>
              <w:jc w:val="both"/>
              <w:rPr>
                <w:rFonts w:ascii="Book Antiqua" w:hAnsi="Book Antiqua" w:cs="Times New Roman"/>
                <w:sz w:val="24"/>
                <w:szCs w:val="24"/>
              </w:rPr>
            </w:pPr>
            <w:r w:rsidRPr="00EB6BAF">
              <w:rPr>
                <w:rFonts w:ascii="Book Antiqua" w:hAnsi="Book Antiqua" w:cs="Times New Roman"/>
                <w:sz w:val="24"/>
                <w:szCs w:val="24"/>
              </w:rPr>
              <w:t>i-IF/TA and t-IF/TA included in criteria</w:t>
            </w:r>
            <w:r w:rsidR="00926D65" w:rsidRPr="00251922">
              <w:rPr>
                <w:rFonts w:ascii="Book Antiqua" w:hAnsi="Book Antiqua"/>
                <w:vertAlign w:val="superscript"/>
              </w:rPr>
              <w:t>2</w:t>
            </w:r>
            <w:r w:rsidRPr="00251922">
              <w:rPr>
                <w:rFonts w:ascii="Book Antiqua" w:hAnsi="Book Antiqua" w:cs="Times New Roman"/>
                <w:sz w:val="24"/>
                <w:szCs w:val="24"/>
              </w:rPr>
              <w:t xml:space="preserve"> (inflammation and tubulitis in areas of scarring)</w:t>
            </w:r>
          </w:p>
        </w:tc>
      </w:tr>
      <w:tr w:rsidR="00D44687" w:rsidRPr="00FD1252" w14:paraId="2E5E9BDE" w14:textId="77777777" w:rsidTr="00D44687">
        <w:trPr>
          <w:trHeight w:val="807"/>
        </w:trPr>
        <w:tc>
          <w:tcPr>
            <w:tcW w:w="2491" w:type="dxa"/>
            <w:vMerge/>
            <w:tcBorders>
              <w:bottom w:val="single" w:sz="4" w:space="0" w:color="auto"/>
            </w:tcBorders>
          </w:tcPr>
          <w:p w14:paraId="72B5ACEC" w14:textId="77777777" w:rsidR="00D44687" w:rsidRPr="00FD1252" w:rsidRDefault="00D44687" w:rsidP="00FD1252">
            <w:pPr>
              <w:spacing w:line="360" w:lineRule="auto"/>
              <w:jc w:val="both"/>
              <w:rPr>
                <w:rFonts w:ascii="Book Antiqua" w:hAnsi="Book Antiqua"/>
              </w:rPr>
            </w:pPr>
          </w:p>
        </w:tc>
        <w:tc>
          <w:tcPr>
            <w:tcW w:w="7028" w:type="dxa"/>
            <w:tcBorders>
              <w:bottom w:val="single" w:sz="4" w:space="0" w:color="auto"/>
            </w:tcBorders>
          </w:tcPr>
          <w:p w14:paraId="3EB7DB23" w14:textId="04819B99" w:rsidR="00D44687" w:rsidRPr="00EB6BAF" w:rsidRDefault="00D44687" w:rsidP="00FD1252">
            <w:pPr>
              <w:pStyle w:val="NoSpacing"/>
              <w:spacing w:line="360" w:lineRule="auto"/>
              <w:jc w:val="both"/>
              <w:rPr>
                <w:rFonts w:ascii="Book Antiqua" w:hAnsi="Book Antiqua" w:cs="Times New Roman"/>
                <w:sz w:val="24"/>
                <w:szCs w:val="24"/>
              </w:rPr>
            </w:pPr>
            <w:r w:rsidRPr="00EB6BAF">
              <w:rPr>
                <w:rFonts w:ascii="Book Antiqua" w:hAnsi="Book Antiqua" w:cs="Times New Roman"/>
                <w:sz w:val="24"/>
                <w:szCs w:val="24"/>
              </w:rPr>
              <w:t>In chronic active TCMR with i &gt;1, diagnosis to be combined chronic active and acute TCMR</w:t>
            </w:r>
            <w:r w:rsidR="00926D65" w:rsidRPr="00251922">
              <w:rPr>
                <w:rFonts w:ascii="Book Antiqua" w:hAnsi="Book Antiqua"/>
                <w:vertAlign w:val="superscript"/>
              </w:rPr>
              <w:t>2</w:t>
            </w:r>
          </w:p>
        </w:tc>
      </w:tr>
    </w:tbl>
    <w:p w14:paraId="4A46205E" w14:textId="746DA09D" w:rsidR="003474F9" w:rsidRPr="00FD1252" w:rsidRDefault="00D44687" w:rsidP="00EB6BAF">
      <w:pPr>
        <w:spacing w:line="360" w:lineRule="auto"/>
        <w:jc w:val="both"/>
        <w:rPr>
          <w:rFonts w:ascii="Book Antiqua" w:hAnsi="Book Antiqua"/>
          <w:bCs/>
        </w:rPr>
      </w:pPr>
      <w:r w:rsidRPr="00FD1252">
        <w:rPr>
          <w:rFonts w:ascii="Book Antiqua" w:hAnsi="Book Antiqua"/>
          <w:vertAlign w:val="superscript"/>
        </w:rPr>
        <w:t>1</w:t>
      </w:r>
      <w:r w:rsidRPr="00FD1252">
        <w:rPr>
          <w:rFonts w:ascii="Book Antiqua" w:hAnsi="Book Antiqua"/>
        </w:rPr>
        <w:t>May coincide with categories 3, 4 and 5 and 6</w:t>
      </w:r>
      <w:r w:rsidR="00926D65">
        <w:rPr>
          <w:rFonts w:ascii="Book Antiqua" w:hAnsi="Book Antiqua"/>
        </w:rPr>
        <w:t xml:space="preserve">; </w:t>
      </w:r>
      <w:r w:rsidR="00926D65" w:rsidRPr="00EB6BAF">
        <w:rPr>
          <w:rFonts w:ascii="Book Antiqua" w:hAnsi="Book Antiqua"/>
          <w:vertAlign w:val="superscript"/>
        </w:rPr>
        <w:t>2</w:t>
      </w:r>
      <w:r w:rsidRPr="00FD1252">
        <w:rPr>
          <w:rFonts w:ascii="Book Antiqua" w:hAnsi="Book Antiqua"/>
        </w:rPr>
        <w:t>Changes in the nomenclature or criteria.</w:t>
      </w:r>
      <w:r w:rsidR="00926D65">
        <w:rPr>
          <w:rFonts w:ascii="Book Antiqua" w:hAnsi="Book Antiqua" w:cs="Book Antiqua"/>
          <w:lang w:eastAsia="zh-CN"/>
        </w:rPr>
        <w:t xml:space="preserve"> </w:t>
      </w:r>
      <w:r w:rsidR="00E874B7" w:rsidRPr="00FD1252">
        <w:rPr>
          <w:rFonts w:ascii="Book Antiqua" w:hAnsi="Book Antiqua"/>
          <w:bCs/>
        </w:rPr>
        <w:t xml:space="preserve">i-IFTA: Inflammation in the scarred cortex; </w:t>
      </w:r>
      <w:r w:rsidR="00926D65" w:rsidRPr="00FD1252">
        <w:rPr>
          <w:rFonts w:ascii="Book Antiqua" w:hAnsi="Book Antiqua" w:cs="Book Antiqua"/>
          <w:lang w:eastAsia="zh-CN"/>
        </w:rPr>
        <w:t>TCMR: T cell mediated rejection;</w:t>
      </w:r>
      <w:r w:rsidR="00926D65" w:rsidRPr="00FD1252">
        <w:rPr>
          <w:rFonts w:ascii="Book Antiqua" w:hAnsi="Book Antiqua"/>
          <w:bCs/>
        </w:rPr>
        <w:t xml:space="preserve"> </w:t>
      </w:r>
      <w:r w:rsidR="00E874B7" w:rsidRPr="00FD1252">
        <w:rPr>
          <w:rFonts w:ascii="Book Antiqua" w:hAnsi="Book Antiqua"/>
          <w:bCs/>
        </w:rPr>
        <w:t xml:space="preserve">t-IFTA: </w:t>
      </w:r>
      <w:bookmarkStart w:id="3" w:name="_Hlk137454046"/>
      <w:r w:rsidR="00E874B7" w:rsidRPr="00FD1252">
        <w:rPr>
          <w:rFonts w:ascii="Book Antiqua" w:hAnsi="Book Antiqua"/>
          <w:bCs/>
        </w:rPr>
        <w:t>Tubulitis in mildly to moderately atrophic tubules within the scarred cortex</w:t>
      </w:r>
      <w:bookmarkEnd w:id="3"/>
      <w:r w:rsidR="00E874B7" w:rsidRPr="00FD1252">
        <w:rPr>
          <w:rFonts w:ascii="Book Antiqua" w:hAnsi="Book Antiqua"/>
          <w:bCs/>
        </w:rPr>
        <w:t>.</w:t>
      </w:r>
    </w:p>
    <w:p w14:paraId="75288C5A" w14:textId="77777777" w:rsidR="003474F9" w:rsidRPr="00FD1252" w:rsidRDefault="003474F9" w:rsidP="00FD1252">
      <w:pPr>
        <w:spacing w:line="360" w:lineRule="auto"/>
        <w:jc w:val="both"/>
        <w:rPr>
          <w:rFonts w:ascii="Book Antiqua" w:eastAsia="Book Antiqua" w:hAnsi="Book Antiqua" w:cs="Book Antiqua"/>
        </w:rPr>
        <w:sectPr w:rsidR="003474F9" w:rsidRPr="00FD1252">
          <w:pgSz w:w="12240" w:h="15840"/>
          <w:pgMar w:top="1440" w:right="1440" w:bottom="1440" w:left="1440" w:header="720" w:footer="720" w:gutter="0"/>
          <w:cols w:space="720"/>
          <w:docGrid w:linePitch="360"/>
        </w:sectPr>
      </w:pPr>
    </w:p>
    <w:p w14:paraId="68A0A00A" w14:textId="273E1582" w:rsidR="003474F9" w:rsidRPr="00FD1252" w:rsidRDefault="003474F9" w:rsidP="00FD1252">
      <w:pPr>
        <w:spacing w:line="360" w:lineRule="auto"/>
        <w:jc w:val="both"/>
        <w:rPr>
          <w:rFonts w:ascii="Book Antiqua" w:eastAsia="Book Antiqua" w:hAnsi="Book Antiqua" w:cs="Book Antiqua"/>
          <w:b/>
          <w:bCs/>
        </w:rPr>
      </w:pPr>
      <w:r w:rsidRPr="00FD1252">
        <w:rPr>
          <w:rFonts w:ascii="Book Antiqua" w:eastAsia="Book Antiqua" w:hAnsi="Book Antiqua" w:cs="Book Antiqua"/>
          <w:b/>
          <w:bCs/>
        </w:rPr>
        <w:lastRenderedPageBreak/>
        <w:t>Table 5</w:t>
      </w:r>
      <w:r w:rsidR="00D44687" w:rsidRPr="00FD1252">
        <w:rPr>
          <w:rFonts w:ascii="Book Antiqua" w:eastAsia="Book Antiqua" w:hAnsi="Book Antiqua" w:cs="Book Antiqua"/>
          <w:b/>
          <w:bCs/>
        </w:rPr>
        <w:t xml:space="preserve"> Main changes in the nomenclature and classification of chronic changes of the allograft in the Banff classification over three decades of evolution (1991 to 2019)</w:t>
      </w:r>
    </w:p>
    <w:tbl>
      <w:tblPr>
        <w:tblW w:w="10226" w:type="dxa"/>
        <w:tblInd w:w="-601" w:type="dxa"/>
        <w:tblLook w:val="04A0" w:firstRow="1" w:lastRow="0" w:firstColumn="1" w:lastColumn="0" w:noHBand="0" w:noVBand="1"/>
      </w:tblPr>
      <w:tblGrid>
        <w:gridCol w:w="3120"/>
        <w:gridCol w:w="7106"/>
      </w:tblGrid>
      <w:tr w:rsidR="00D44687" w:rsidRPr="00FD1252" w14:paraId="2A87FE7B" w14:textId="77777777" w:rsidTr="00D44687">
        <w:trPr>
          <w:trHeight w:val="409"/>
        </w:trPr>
        <w:tc>
          <w:tcPr>
            <w:tcW w:w="3120" w:type="dxa"/>
            <w:tcBorders>
              <w:top w:val="single" w:sz="4" w:space="0" w:color="auto"/>
              <w:bottom w:val="single" w:sz="4" w:space="0" w:color="auto"/>
            </w:tcBorders>
          </w:tcPr>
          <w:p w14:paraId="61919303" w14:textId="77777777" w:rsidR="00D44687" w:rsidRPr="00FD1252" w:rsidRDefault="00D44687" w:rsidP="00FD1252">
            <w:pPr>
              <w:spacing w:line="360" w:lineRule="auto"/>
              <w:jc w:val="both"/>
              <w:rPr>
                <w:rFonts w:ascii="Book Antiqua" w:hAnsi="Book Antiqua"/>
                <w:b/>
              </w:rPr>
            </w:pPr>
            <w:r w:rsidRPr="00FD1252">
              <w:rPr>
                <w:rFonts w:ascii="Book Antiqua" w:hAnsi="Book Antiqua"/>
                <w:b/>
              </w:rPr>
              <w:t>Meeting reports, yr</w:t>
            </w:r>
          </w:p>
        </w:tc>
        <w:tc>
          <w:tcPr>
            <w:tcW w:w="7106" w:type="dxa"/>
            <w:tcBorders>
              <w:top w:val="single" w:sz="4" w:space="0" w:color="auto"/>
              <w:bottom w:val="single" w:sz="4" w:space="0" w:color="auto"/>
            </w:tcBorders>
          </w:tcPr>
          <w:p w14:paraId="28C1B6A1" w14:textId="77777777" w:rsidR="00D44687" w:rsidRPr="00FD1252" w:rsidRDefault="00D44687" w:rsidP="00FD1252">
            <w:pPr>
              <w:spacing w:line="360" w:lineRule="auto"/>
              <w:jc w:val="both"/>
              <w:rPr>
                <w:rFonts w:ascii="Book Antiqua" w:hAnsi="Book Antiqua"/>
                <w:b/>
              </w:rPr>
            </w:pPr>
            <w:r w:rsidRPr="00FD1252">
              <w:rPr>
                <w:rFonts w:ascii="Book Antiqua" w:hAnsi="Book Antiqua"/>
                <w:b/>
              </w:rPr>
              <w:t xml:space="preserve">Category 5: </w:t>
            </w:r>
            <w:bookmarkStart w:id="4" w:name="_Hlk137304318"/>
            <w:r w:rsidRPr="00FD1252">
              <w:rPr>
                <w:rFonts w:ascii="Book Antiqua" w:hAnsi="Book Antiqua"/>
                <w:b/>
              </w:rPr>
              <w:t>Chronic allograft nephropathy</w:t>
            </w:r>
            <w:bookmarkEnd w:id="4"/>
          </w:p>
        </w:tc>
      </w:tr>
      <w:tr w:rsidR="00D44687" w:rsidRPr="00FD1252" w14:paraId="093B3F4A" w14:textId="77777777" w:rsidTr="00D44687">
        <w:trPr>
          <w:trHeight w:val="458"/>
        </w:trPr>
        <w:tc>
          <w:tcPr>
            <w:tcW w:w="3120" w:type="dxa"/>
            <w:tcBorders>
              <w:top w:val="single" w:sz="4" w:space="0" w:color="auto"/>
            </w:tcBorders>
          </w:tcPr>
          <w:p w14:paraId="3E3A6CCE" w14:textId="7691F479" w:rsidR="00D44687" w:rsidRPr="00FD1252" w:rsidRDefault="00D44687" w:rsidP="00FD1252">
            <w:pPr>
              <w:spacing w:line="360" w:lineRule="auto"/>
              <w:jc w:val="both"/>
              <w:rPr>
                <w:rFonts w:ascii="Book Antiqua" w:hAnsi="Book Antiqua"/>
              </w:rPr>
            </w:pPr>
            <w:r w:rsidRPr="00FD1252">
              <w:rPr>
                <w:rFonts w:ascii="Book Antiqua" w:hAnsi="Book Antiqua"/>
              </w:rPr>
              <w:t>Banff, 1993</w:t>
            </w:r>
          </w:p>
        </w:tc>
        <w:tc>
          <w:tcPr>
            <w:tcW w:w="7106" w:type="dxa"/>
            <w:tcBorders>
              <w:top w:val="single" w:sz="4" w:space="0" w:color="auto"/>
            </w:tcBorders>
          </w:tcPr>
          <w:p w14:paraId="626CF68C" w14:textId="46927DD4" w:rsidR="00D44687" w:rsidRPr="00A14C31" w:rsidRDefault="00D44687" w:rsidP="00FD1252">
            <w:pPr>
              <w:spacing w:line="360" w:lineRule="auto"/>
              <w:jc w:val="both"/>
              <w:rPr>
                <w:rFonts w:ascii="Book Antiqua" w:hAnsi="Book Antiqua"/>
              </w:rPr>
            </w:pPr>
            <w:r w:rsidRPr="00A14C31">
              <w:rPr>
                <w:rFonts w:ascii="Book Antiqua" w:hAnsi="Book Antiqua"/>
              </w:rPr>
              <w:t>CAN, grades, I, II, III</w:t>
            </w:r>
          </w:p>
        </w:tc>
      </w:tr>
      <w:tr w:rsidR="00D44687" w:rsidRPr="00FD1252" w14:paraId="1B8EB32A" w14:textId="77777777" w:rsidTr="00D44687">
        <w:trPr>
          <w:trHeight w:val="512"/>
        </w:trPr>
        <w:tc>
          <w:tcPr>
            <w:tcW w:w="3120" w:type="dxa"/>
          </w:tcPr>
          <w:p w14:paraId="40F7B8F9" w14:textId="4AA078C9" w:rsidR="00D44687" w:rsidRPr="00FD1252" w:rsidRDefault="00D44687" w:rsidP="00FD1252">
            <w:pPr>
              <w:spacing w:line="360" w:lineRule="auto"/>
              <w:jc w:val="both"/>
              <w:rPr>
                <w:rFonts w:ascii="Book Antiqua" w:hAnsi="Book Antiqua"/>
              </w:rPr>
            </w:pPr>
            <w:r w:rsidRPr="00FD1252">
              <w:rPr>
                <w:rFonts w:ascii="Book Antiqua" w:hAnsi="Book Antiqua"/>
              </w:rPr>
              <w:t>Banff, 1997</w:t>
            </w:r>
          </w:p>
        </w:tc>
        <w:tc>
          <w:tcPr>
            <w:tcW w:w="7106" w:type="dxa"/>
          </w:tcPr>
          <w:p w14:paraId="7A80000C" w14:textId="3CFD5EC9" w:rsidR="00D44687" w:rsidRPr="00A14C31" w:rsidRDefault="00D44687" w:rsidP="00FD1252">
            <w:pPr>
              <w:spacing w:line="360" w:lineRule="auto"/>
              <w:jc w:val="both"/>
              <w:rPr>
                <w:rFonts w:ascii="Book Antiqua" w:hAnsi="Book Antiqua"/>
              </w:rPr>
            </w:pPr>
            <w:r w:rsidRPr="00A14C31">
              <w:rPr>
                <w:rFonts w:ascii="Book Antiqua" w:hAnsi="Book Antiqua"/>
              </w:rPr>
              <w:t xml:space="preserve">CAN, grades, I, II, III, </w:t>
            </w:r>
            <w:r w:rsidRPr="00EB6BAF">
              <w:rPr>
                <w:rFonts w:ascii="Book Antiqua" w:hAnsi="Book Antiqua"/>
              </w:rPr>
              <w:t>each divided into a and b subcategories</w:t>
            </w:r>
            <w:r w:rsidR="00A14C31" w:rsidRPr="00A14C31">
              <w:rPr>
                <w:rFonts w:ascii="Book Antiqua" w:hAnsi="Book Antiqua"/>
                <w:vertAlign w:val="superscript"/>
              </w:rPr>
              <w:t>1</w:t>
            </w:r>
          </w:p>
        </w:tc>
      </w:tr>
      <w:tr w:rsidR="00D44687" w:rsidRPr="00FD1252" w14:paraId="6C6985AC" w14:textId="77777777" w:rsidTr="00D44687">
        <w:trPr>
          <w:trHeight w:val="530"/>
        </w:trPr>
        <w:tc>
          <w:tcPr>
            <w:tcW w:w="3120" w:type="dxa"/>
          </w:tcPr>
          <w:p w14:paraId="4C7C0DD3" w14:textId="70CEB502" w:rsidR="00D44687" w:rsidRPr="00FD1252" w:rsidRDefault="00D44687" w:rsidP="00FD1252">
            <w:pPr>
              <w:pStyle w:val="NoSpacing"/>
              <w:spacing w:line="360" w:lineRule="auto"/>
              <w:jc w:val="both"/>
              <w:rPr>
                <w:rFonts w:ascii="Book Antiqua" w:hAnsi="Book Antiqua" w:cs="Times New Roman"/>
                <w:sz w:val="24"/>
                <w:szCs w:val="24"/>
              </w:rPr>
            </w:pPr>
            <w:r w:rsidRPr="00FD1252">
              <w:rPr>
                <w:rFonts w:ascii="Book Antiqua" w:hAnsi="Book Antiqua" w:cs="Times New Roman"/>
                <w:sz w:val="24"/>
                <w:szCs w:val="24"/>
              </w:rPr>
              <w:t>Banff</w:t>
            </w:r>
            <w:r w:rsidRPr="00FD1252">
              <w:rPr>
                <w:rFonts w:ascii="Book Antiqua" w:hAnsi="Book Antiqua"/>
                <w:sz w:val="24"/>
                <w:szCs w:val="24"/>
              </w:rPr>
              <w:t>, 19</w:t>
            </w:r>
            <w:r w:rsidRPr="00FD1252">
              <w:rPr>
                <w:rFonts w:ascii="Book Antiqua" w:hAnsi="Book Antiqua" w:cs="Times New Roman"/>
                <w:sz w:val="24"/>
                <w:szCs w:val="24"/>
              </w:rPr>
              <w:t>97 update (2001)</w:t>
            </w:r>
          </w:p>
        </w:tc>
        <w:tc>
          <w:tcPr>
            <w:tcW w:w="7106" w:type="dxa"/>
          </w:tcPr>
          <w:p w14:paraId="4E2B4100" w14:textId="77777777" w:rsidR="00D44687" w:rsidRPr="00A14C31" w:rsidRDefault="00D44687" w:rsidP="00FD1252">
            <w:pPr>
              <w:pStyle w:val="NoSpacing"/>
              <w:spacing w:line="360" w:lineRule="auto"/>
              <w:jc w:val="both"/>
              <w:rPr>
                <w:rFonts w:ascii="Book Antiqua" w:hAnsi="Book Antiqua" w:cs="Times New Roman"/>
                <w:sz w:val="24"/>
                <w:szCs w:val="24"/>
                <w:u w:val="single"/>
              </w:rPr>
            </w:pPr>
            <w:r w:rsidRPr="00A14C31">
              <w:rPr>
                <w:rFonts w:ascii="Book Antiqua" w:hAnsi="Book Antiqua" w:cs="Times New Roman"/>
                <w:sz w:val="24"/>
                <w:szCs w:val="24"/>
              </w:rPr>
              <w:t>CAN, grades, I, II, III, a and b</w:t>
            </w:r>
          </w:p>
        </w:tc>
      </w:tr>
      <w:tr w:rsidR="00D44687" w:rsidRPr="00FD1252" w14:paraId="6D4F8DF2" w14:textId="77777777" w:rsidTr="00D44687">
        <w:trPr>
          <w:trHeight w:val="530"/>
        </w:trPr>
        <w:tc>
          <w:tcPr>
            <w:tcW w:w="3120" w:type="dxa"/>
          </w:tcPr>
          <w:p w14:paraId="273A0E2C" w14:textId="72A9B4B5" w:rsidR="00D44687" w:rsidRPr="00FD1252" w:rsidRDefault="00D44687" w:rsidP="00FD1252">
            <w:pPr>
              <w:pStyle w:val="NoSpacing"/>
              <w:spacing w:line="360" w:lineRule="auto"/>
              <w:jc w:val="both"/>
              <w:rPr>
                <w:rFonts w:ascii="Book Antiqua" w:hAnsi="Book Antiqua" w:cs="Times New Roman"/>
                <w:sz w:val="24"/>
                <w:szCs w:val="24"/>
              </w:rPr>
            </w:pPr>
            <w:r w:rsidRPr="00FD1252">
              <w:rPr>
                <w:rFonts w:ascii="Book Antiqua" w:hAnsi="Book Antiqua" w:cs="Times New Roman"/>
                <w:sz w:val="24"/>
                <w:szCs w:val="24"/>
              </w:rPr>
              <w:t>Banff</w:t>
            </w:r>
            <w:r w:rsidRPr="00FD1252">
              <w:rPr>
                <w:rFonts w:ascii="Book Antiqua" w:hAnsi="Book Antiqua"/>
                <w:sz w:val="24"/>
                <w:szCs w:val="24"/>
              </w:rPr>
              <w:t>, 20</w:t>
            </w:r>
            <w:r w:rsidRPr="00FD1252">
              <w:rPr>
                <w:rFonts w:ascii="Book Antiqua" w:hAnsi="Book Antiqua" w:cs="Times New Roman"/>
                <w:sz w:val="24"/>
                <w:szCs w:val="24"/>
              </w:rPr>
              <w:t>05</w:t>
            </w:r>
          </w:p>
        </w:tc>
        <w:tc>
          <w:tcPr>
            <w:tcW w:w="7106" w:type="dxa"/>
          </w:tcPr>
          <w:p w14:paraId="793E7D08" w14:textId="6A736D97" w:rsidR="00D44687" w:rsidRPr="00A14C31" w:rsidRDefault="00D44687" w:rsidP="00FD1252">
            <w:pPr>
              <w:spacing w:line="360" w:lineRule="auto"/>
              <w:jc w:val="both"/>
              <w:rPr>
                <w:rFonts w:ascii="Book Antiqua" w:hAnsi="Book Antiqua"/>
              </w:rPr>
            </w:pPr>
            <w:r w:rsidRPr="00EB6BAF">
              <w:rPr>
                <w:rFonts w:ascii="Book Antiqua" w:hAnsi="Book Antiqua"/>
              </w:rPr>
              <w:t>IFTA, of no specific etiology</w:t>
            </w:r>
            <w:r w:rsidR="00A14C31" w:rsidRPr="00A14C31">
              <w:rPr>
                <w:rFonts w:ascii="Book Antiqua" w:hAnsi="Book Antiqua"/>
                <w:vertAlign w:val="superscript"/>
              </w:rPr>
              <w:t>1</w:t>
            </w:r>
            <w:r w:rsidRPr="00EB6BAF">
              <w:rPr>
                <w:rFonts w:ascii="Book Antiqua" w:hAnsi="Book Antiqua"/>
              </w:rPr>
              <w:t>,</w:t>
            </w:r>
            <w:r w:rsidRPr="00A14C31">
              <w:rPr>
                <w:rFonts w:ascii="Book Antiqua" w:hAnsi="Book Antiqua"/>
              </w:rPr>
              <w:t xml:space="preserve"> grades I, II, III</w:t>
            </w:r>
          </w:p>
        </w:tc>
      </w:tr>
      <w:tr w:rsidR="00D44687" w:rsidRPr="00FD1252" w14:paraId="12FDA57B" w14:textId="77777777" w:rsidTr="00D44687">
        <w:trPr>
          <w:trHeight w:val="503"/>
        </w:trPr>
        <w:tc>
          <w:tcPr>
            <w:tcW w:w="3120" w:type="dxa"/>
          </w:tcPr>
          <w:p w14:paraId="20056870" w14:textId="7AC2FC34" w:rsidR="00D44687" w:rsidRPr="00FD1252" w:rsidRDefault="00D44687" w:rsidP="00FD1252">
            <w:pPr>
              <w:pStyle w:val="NoSpacing"/>
              <w:spacing w:line="360" w:lineRule="auto"/>
              <w:jc w:val="both"/>
              <w:rPr>
                <w:rFonts w:ascii="Book Antiqua" w:hAnsi="Book Antiqua" w:cs="Times New Roman"/>
                <w:sz w:val="24"/>
                <w:szCs w:val="24"/>
              </w:rPr>
            </w:pPr>
            <w:r w:rsidRPr="00FD1252">
              <w:rPr>
                <w:rFonts w:ascii="Book Antiqua" w:hAnsi="Book Antiqua" w:cs="Times New Roman"/>
                <w:sz w:val="24"/>
                <w:szCs w:val="24"/>
              </w:rPr>
              <w:t>Banff</w:t>
            </w:r>
            <w:r w:rsidRPr="00FD1252">
              <w:rPr>
                <w:rFonts w:ascii="Book Antiqua" w:hAnsi="Book Antiqua"/>
                <w:sz w:val="24"/>
                <w:szCs w:val="24"/>
              </w:rPr>
              <w:t>, 20</w:t>
            </w:r>
            <w:r w:rsidRPr="00FD1252">
              <w:rPr>
                <w:rFonts w:ascii="Book Antiqua" w:hAnsi="Book Antiqua" w:cs="Times New Roman"/>
                <w:sz w:val="24"/>
                <w:szCs w:val="24"/>
              </w:rPr>
              <w:t>07</w:t>
            </w:r>
          </w:p>
        </w:tc>
        <w:tc>
          <w:tcPr>
            <w:tcW w:w="7106" w:type="dxa"/>
          </w:tcPr>
          <w:p w14:paraId="0A845D58" w14:textId="77777777" w:rsidR="00D44687" w:rsidRPr="00A14C31" w:rsidRDefault="00D44687" w:rsidP="00FD1252">
            <w:pPr>
              <w:spacing w:line="360" w:lineRule="auto"/>
              <w:jc w:val="both"/>
              <w:rPr>
                <w:rFonts w:ascii="Book Antiqua" w:hAnsi="Book Antiqua"/>
              </w:rPr>
            </w:pPr>
            <w:r w:rsidRPr="00A14C31">
              <w:rPr>
                <w:rFonts w:ascii="Book Antiqua" w:hAnsi="Book Antiqua"/>
              </w:rPr>
              <w:t>IFTA of no specific etiology, grades I, II, III</w:t>
            </w:r>
          </w:p>
        </w:tc>
      </w:tr>
      <w:tr w:rsidR="00D44687" w:rsidRPr="00FD1252" w14:paraId="2B1786F9" w14:textId="77777777" w:rsidTr="00D44687">
        <w:trPr>
          <w:trHeight w:val="512"/>
        </w:trPr>
        <w:tc>
          <w:tcPr>
            <w:tcW w:w="3120" w:type="dxa"/>
          </w:tcPr>
          <w:p w14:paraId="27C20F1D" w14:textId="616E5647" w:rsidR="00D44687" w:rsidRPr="00FD1252" w:rsidRDefault="00D44687" w:rsidP="00FD1252">
            <w:pPr>
              <w:pStyle w:val="NoSpacing"/>
              <w:spacing w:line="360" w:lineRule="auto"/>
              <w:jc w:val="both"/>
              <w:rPr>
                <w:rFonts w:ascii="Book Antiqua" w:hAnsi="Book Antiqua" w:cs="Times New Roman"/>
                <w:sz w:val="24"/>
                <w:szCs w:val="24"/>
              </w:rPr>
            </w:pPr>
            <w:r w:rsidRPr="00FD1252">
              <w:rPr>
                <w:rFonts w:ascii="Book Antiqua" w:hAnsi="Book Antiqua" w:cs="Times New Roman"/>
                <w:sz w:val="24"/>
                <w:szCs w:val="24"/>
              </w:rPr>
              <w:t>Banff</w:t>
            </w:r>
            <w:r w:rsidRPr="00FD1252">
              <w:rPr>
                <w:rFonts w:ascii="Book Antiqua" w:hAnsi="Book Antiqua"/>
                <w:sz w:val="24"/>
                <w:szCs w:val="24"/>
              </w:rPr>
              <w:t>, 20</w:t>
            </w:r>
            <w:r w:rsidRPr="00FD1252">
              <w:rPr>
                <w:rFonts w:ascii="Book Antiqua" w:hAnsi="Book Antiqua" w:cs="Times New Roman"/>
                <w:sz w:val="24"/>
                <w:szCs w:val="24"/>
              </w:rPr>
              <w:t>13</w:t>
            </w:r>
          </w:p>
        </w:tc>
        <w:tc>
          <w:tcPr>
            <w:tcW w:w="7106" w:type="dxa"/>
          </w:tcPr>
          <w:p w14:paraId="5ACAA48C" w14:textId="77777777" w:rsidR="00D44687" w:rsidRPr="00A14C31" w:rsidRDefault="00D44687" w:rsidP="00FD1252">
            <w:pPr>
              <w:spacing w:line="360" w:lineRule="auto"/>
              <w:jc w:val="both"/>
              <w:rPr>
                <w:rFonts w:ascii="Book Antiqua" w:hAnsi="Book Antiqua"/>
              </w:rPr>
            </w:pPr>
            <w:r w:rsidRPr="00A14C31">
              <w:rPr>
                <w:rFonts w:ascii="Book Antiqua" w:hAnsi="Book Antiqua"/>
              </w:rPr>
              <w:t>IFTA of no specific etiology, grades I, II, III</w:t>
            </w:r>
          </w:p>
        </w:tc>
      </w:tr>
      <w:tr w:rsidR="00D44687" w:rsidRPr="00FD1252" w14:paraId="5B65B103" w14:textId="77777777" w:rsidTr="00D44687">
        <w:trPr>
          <w:trHeight w:val="485"/>
        </w:trPr>
        <w:tc>
          <w:tcPr>
            <w:tcW w:w="3120" w:type="dxa"/>
          </w:tcPr>
          <w:p w14:paraId="40A1B874" w14:textId="0F215E9A" w:rsidR="00D44687" w:rsidRPr="00FD1252" w:rsidRDefault="00D44687" w:rsidP="00FD1252">
            <w:pPr>
              <w:pStyle w:val="NoSpacing"/>
              <w:spacing w:line="360" w:lineRule="auto"/>
              <w:jc w:val="both"/>
              <w:rPr>
                <w:rFonts w:ascii="Book Antiqua" w:hAnsi="Book Antiqua" w:cs="Times New Roman"/>
                <w:sz w:val="24"/>
                <w:szCs w:val="24"/>
              </w:rPr>
            </w:pPr>
            <w:r w:rsidRPr="00FD1252">
              <w:rPr>
                <w:rFonts w:ascii="Book Antiqua" w:hAnsi="Book Antiqua" w:cs="Times New Roman"/>
                <w:sz w:val="24"/>
                <w:szCs w:val="24"/>
              </w:rPr>
              <w:t>Banff</w:t>
            </w:r>
            <w:r w:rsidRPr="00FD1252">
              <w:rPr>
                <w:rFonts w:ascii="Book Antiqua" w:hAnsi="Book Antiqua"/>
                <w:sz w:val="24"/>
                <w:szCs w:val="24"/>
              </w:rPr>
              <w:t>, 20</w:t>
            </w:r>
            <w:r w:rsidRPr="00FD1252">
              <w:rPr>
                <w:rFonts w:ascii="Book Antiqua" w:hAnsi="Book Antiqua" w:cs="Times New Roman"/>
                <w:sz w:val="24"/>
                <w:szCs w:val="24"/>
              </w:rPr>
              <w:t>15</w:t>
            </w:r>
          </w:p>
        </w:tc>
        <w:tc>
          <w:tcPr>
            <w:tcW w:w="7106" w:type="dxa"/>
          </w:tcPr>
          <w:p w14:paraId="172E043F" w14:textId="77777777" w:rsidR="00D44687" w:rsidRPr="00A14C31" w:rsidRDefault="00D44687" w:rsidP="00FD1252">
            <w:pPr>
              <w:spacing w:line="360" w:lineRule="auto"/>
              <w:jc w:val="both"/>
              <w:rPr>
                <w:rFonts w:ascii="Book Antiqua" w:hAnsi="Book Antiqua"/>
              </w:rPr>
            </w:pPr>
            <w:r w:rsidRPr="00A14C31">
              <w:rPr>
                <w:rFonts w:ascii="Book Antiqua" w:hAnsi="Book Antiqua"/>
              </w:rPr>
              <w:t>IFTA of no specific etiology, grades I, II, III</w:t>
            </w:r>
          </w:p>
        </w:tc>
      </w:tr>
      <w:tr w:rsidR="00D44687" w:rsidRPr="00FD1252" w14:paraId="2BEBF021" w14:textId="77777777" w:rsidTr="00D44687">
        <w:trPr>
          <w:trHeight w:val="458"/>
        </w:trPr>
        <w:tc>
          <w:tcPr>
            <w:tcW w:w="3120" w:type="dxa"/>
          </w:tcPr>
          <w:p w14:paraId="6744AEE8" w14:textId="6F8F13C1" w:rsidR="00D44687" w:rsidRPr="00FD1252" w:rsidRDefault="00D44687" w:rsidP="00FD1252">
            <w:pPr>
              <w:pStyle w:val="NoSpacing"/>
              <w:spacing w:line="360" w:lineRule="auto"/>
              <w:jc w:val="both"/>
              <w:rPr>
                <w:rFonts w:ascii="Book Antiqua" w:hAnsi="Book Antiqua" w:cs="Times New Roman"/>
                <w:sz w:val="24"/>
                <w:szCs w:val="24"/>
              </w:rPr>
            </w:pPr>
            <w:r w:rsidRPr="00FD1252">
              <w:rPr>
                <w:rFonts w:ascii="Book Antiqua" w:hAnsi="Book Antiqua" w:cs="Times New Roman"/>
                <w:sz w:val="24"/>
                <w:szCs w:val="24"/>
              </w:rPr>
              <w:t>Banff</w:t>
            </w:r>
            <w:r w:rsidRPr="00FD1252">
              <w:rPr>
                <w:rFonts w:ascii="Book Antiqua" w:hAnsi="Book Antiqua"/>
                <w:sz w:val="24"/>
                <w:szCs w:val="24"/>
              </w:rPr>
              <w:t>, 20</w:t>
            </w:r>
            <w:r w:rsidRPr="00FD1252">
              <w:rPr>
                <w:rFonts w:ascii="Book Antiqua" w:hAnsi="Book Antiqua" w:cs="Times New Roman"/>
                <w:sz w:val="24"/>
                <w:szCs w:val="24"/>
              </w:rPr>
              <w:t>17</w:t>
            </w:r>
          </w:p>
        </w:tc>
        <w:tc>
          <w:tcPr>
            <w:tcW w:w="7106" w:type="dxa"/>
          </w:tcPr>
          <w:p w14:paraId="50F6ECEC" w14:textId="77777777" w:rsidR="00D44687" w:rsidRPr="00A14C31" w:rsidRDefault="00D44687" w:rsidP="00FD1252">
            <w:pPr>
              <w:spacing w:line="360" w:lineRule="auto"/>
              <w:jc w:val="both"/>
              <w:rPr>
                <w:rFonts w:ascii="Book Antiqua" w:hAnsi="Book Antiqua"/>
              </w:rPr>
            </w:pPr>
            <w:r w:rsidRPr="00A14C31">
              <w:rPr>
                <w:rFonts w:ascii="Book Antiqua" w:hAnsi="Book Antiqua"/>
              </w:rPr>
              <w:t>IFTA of no specific etiology, grades I, II, III</w:t>
            </w:r>
          </w:p>
        </w:tc>
      </w:tr>
      <w:tr w:rsidR="00D44687" w:rsidRPr="00FD1252" w14:paraId="16866C26" w14:textId="77777777" w:rsidTr="00D44687">
        <w:trPr>
          <w:trHeight w:val="818"/>
        </w:trPr>
        <w:tc>
          <w:tcPr>
            <w:tcW w:w="3120" w:type="dxa"/>
            <w:tcBorders>
              <w:bottom w:val="single" w:sz="4" w:space="0" w:color="auto"/>
            </w:tcBorders>
          </w:tcPr>
          <w:p w14:paraId="1567E607" w14:textId="7B8AC5B8" w:rsidR="00D44687" w:rsidRPr="00FD1252" w:rsidRDefault="00D44687" w:rsidP="00FD1252">
            <w:pPr>
              <w:spacing w:line="360" w:lineRule="auto"/>
              <w:jc w:val="both"/>
              <w:rPr>
                <w:rFonts w:ascii="Book Antiqua" w:hAnsi="Book Antiqua"/>
              </w:rPr>
            </w:pPr>
            <w:r w:rsidRPr="00FD1252">
              <w:rPr>
                <w:rFonts w:ascii="Book Antiqua" w:hAnsi="Book Antiqua"/>
              </w:rPr>
              <w:t>Banff, 2019</w:t>
            </w:r>
          </w:p>
        </w:tc>
        <w:tc>
          <w:tcPr>
            <w:tcW w:w="7106" w:type="dxa"/>
            <w:tcBorders>
              <w:bottom w:val="single" w:sz="4" w:space="0" w:color="auto"/>
            </w:tcBorders>
          </w:tcPr>
          <w:p w14:paraId="4DF04B52" w14:textId="64DABE8E" w:rsidR="00D44687" w:rsidRPr="00EB6BAF" w:rsidRDefault="00D44687" w:rsidP="00FD1252">
            <w:pPr>
              <w:pStyle w:val="NoSpacing"/>
              <w:spacing w:line="360" w:lineRule="auto"/>
              <w:jc w:val="both"/>
              <w:rPr>
                <w:rFonts w:ascii="Book Antiqua" w:hAnsi="Book Antiqua" w:cs="Times New Roman"/>
                <w:sz w:val="24"/>
                <w:szCs w:val="24"/>
              </w:rPr>
            </w:pPr>
            <w:r w:rsidRPr="00EB6BAF">
              <w:rPr>
                <w:rFonts w:ascii="Book Antiqua" w:hAnsi="Book Antiqua" w:cs="Times New Roman"/>
                <w:sz w:val="24"/>
                <w:szCs w:val="24"/>
              </w:rPr>
              <w:t>Grading of polyoma viral nephropathy into classes 1, 2 and 3 (adequate sampling for scoring should include 2 cores with medulla)</w:t>
            </w:r>
            <w:r w:rsidR="00A14C31" w:rsidRPr="00A14C31">
              <w:rPr>
                <w:rFonts w:ascii="Book Antiqua" w:hAnsi="Book Antiqua"/>
                <w:vertAlign w:val="superscript"/>
              </w:rPr>
              <w:t>1</w:t>
            </w:r>
          </w:p>
        </w:tc>
      </w:tr>
    </w:tbl>
    <w:p w14:paraId="6F4D019F" w14:textId="1CCB5E95" w:rsidR="00D44687" w:rsidRPr="00FD1252" w:rsidRDefault="00157EB5" w:rsidP="00FD1252">
      <w:pPr>
        <w:spacing w:line="360" w:lineRule="auto"/>
        <w:jc w:val="both"/>
        <w:rPr>
          <w:rFonts w:ascii="Book Antiqua" w:hAnsi="Book Antiqua" w:cs="Book Antiqua"/>
          <w:lang w:eastAsia="zh-CN"/>
        </w:rPr>
      </w:pPr>
      <w:r w:rsidRPr="00EB6BAF">
        <w:rPr>
          <w:rFonts w:ascii="Book Antiqua" w:hAnsi="Book Antiqua"/>
          <w:vertAlign w:val="superscript"/>
        </w:rPr>
        <w:t>1</w:t>
      </w:r>
      <w:r w:rsidR="00D44687" w:rsidRPr="00FD1252">
        <w:rPr>
          <w:rFonts w:ascii="Book Antiqua" w:hAnsi="Book Antiqua"/>
        </w:rPr>
        <w:t>Changes in the nomenclature or criteria.</w:t>
      </w:r>
      <w:r w:rsidR="00A14C31">
        <w:rPr>
          <w:rFonts w:ascii="Book Antiqua" w:hAnsi="Book Antiqua" w:cs="Book Antiqua"/>
          <w:lang w:eastAsia="zh-CN"/>
        </w:rPr>
        <w:t xml:space="preserve"> </w:t>
      </w:r>
      <w:r w:rsidR="00D44687" w:rsidRPr="00FD1252">
        <w:rPr>
          <w:rFonts w:ascii="Book Antiqua" w:hAnsi="Book Antiqua" w:cs="Book Antiqua"/>
          <w:lang w:eastAsia="zh-CN"/>
        </w:rPr>
        <w:t xml:space="preserve">CAN: </w:t>
      </w:r>
      <w:r w:rsidR="00E874B7" w:rsidRPr="00FD1252">
        <w:rPr>
          <w:rFonts w:ascii="Book Antiqua" w:hAnsi="Book Antiqua" w:cs="Book Antiqua"/>
          <w:lang w:eastAsia="zh-CN"/>
        </w:rPr>
        <w:t>Chronic allograft nephropathy</w:t>
      </w:r>
      <w:r w:rsidR="00D44687" w:rsidRPr="00FD1252">
        <w:rPr>
          <w:rFonts w:ascii="Book Antiqua" w:hAnsi="Book Antiqua" w:cs="Book Antiqua"/>
          <w:lang w:eastAsia="zh-CN"/>
        </w:rPr>
        <w:t>; IFTA:</w:t>
      </w:r>
      <w:r w:rsidR="00E874B7" w:rsidRPr="00FD1252">
        <w:rPr>
          <w:rFonts w:ascii="Book Antiqua" w:hAnsi="Book Antiqua"/>
        </w:rPr>
        <w:t xml:space="preserve"> </w:t>
      </w:r>
      <w:r w:rsidR="00E874B7" w:rsidRPr="00FD1252">
        <w:rPr>
          <w:rFonts w:ascii="Book Antiqua" w:hAnsi="Book Antiqua" w:cs="Book Antiqua"/>
          <w:lang w:eastAsia="zh-CN"/>
        </w:rPr>
        <w:t>Interstitial fibrosis/tubular atrophy</w:t>
      </w:r>
      <w:r w:rsidR="00D44687" w:rsidRPr="00FD1252">
        <w:rPr>
          <w:rFonts w:ascii="Book Antiqua" w:hAnsi="Book Antiqua" w:cs="Book Antiqua"/>
          <w:lang w:eastAsia="zh-CN"/>
        </w:rPr>
        <w:t>.</w:t>
      </w:r>
    </w:p>
    <w:p w14:paraId="2189C2DB" w14:textId="77777777" w:rsidR="003474F9" w:rsidRPr="00FD1252" w:rsidRDefault="003474F9" w:rsidP="00FD1252">
      <w:pPr>
        <w:spacing w:line="360" w:lineRule="auto"/>
        <w:jc w:val="both"/>
        <w:rPr>
          <w:rFonts w:ascii="Book Antiqua" w:eastAsia="Book Antiqua" w:hAnsi="Book Antiqua" w:cs="Book Antiqua"/>
          <w:b/>
          <w:bCs/>
        </w:rPr>
      </w:pPr>
    </w:p>
    <w:p w14:paraId="057939C5" w14:textId="77777777" w:rsidR="003474F9" w:rsidRPr="003474F9" w:rsidRDefault="003474F9">
      <w:pPr>
        <w:spacing w:line="360" w:lineRule="auto"/>
        <w:jc w:val="both"/>
        <w:rPr>
          <w:rFonts w:ascii="Book Antiqua" w:eastAsia="Book Antiqua" w:hAnsi="Book Antiqua" w:cs="Book Antiqua"/>
        </w:rPr>
      </w:pPr>
    </w:p>
    <w:sectPr w:rsidR="003474F9" w:rsidRPr="003474F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6B059" w14:textId="77777777" w:rsidR="00735F46" w:rsidRDefault="00735F46" w:rsidP="00F15982">
      <w:r>
        <w:separator/>
      </w:r>
    </w:p>
  </w:endnote>
  <w:endnote w:type="continuationSeparator" w:id="0">
    <w:p w14:paraId="0A1BCA7E" w14:textId="77777777" w:rsidR="00735F46" w:rsidRDefault="00735F46" w:rsidP="00F15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2" w:usb2="00000016" w:usb3="00000000" w:csb0="0004001F" w:csb1="00000000"/>
  </w:font>
  <w:font w:name="Lato-Bold">
    <w:altName w:val="Lato"/>
    <w:panose1 w:val="020B06040202020202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6116A" w14:textId="2FF31E04" w:rsidR="00CB36CC" w:rsidRPr="00F15982" w:rsidRDefault="00CB36CC" w:rsidP="00F15982">
    <w:pPr>
      <w:pStyle w:val="Footer"/>
      <w:jc w:val="right"/>
      <w:rPr>
        <w:rFonts w:ascii="Book Antiqua" w:hAnsi="Book Antiqua"/>
        <w:color w:val="000000" w:themeColor="text1"/>
        <w:sz w:val="24"/>
        <w:szCs w:val="24"/>
      </w:rPr>
    </w:pPr>
    <w:r w:rsidRPr="00F15982">
      <w:rPr>
        <w:rFonts w:ascii="Book Antiqua" w:hAnsi="Book Antiqua"/>
        <w:color w:val="000000" w:themeColor="text1"/>
        <w:sz w:val="24"/>
        <w:szCs w:val="24"/>
        <w:lang w:val="zh-CN" w:eastAsia="zh-CN"/>
      </w:rPr>
      <w:t xml:space="preserve"> </w:t>
    </w:r>
    <w:r w:rsidRPr="00F15982">
      <w:rPr>
        <w:rFonts w:ascii="Book Antiqua" w:hAnsi="Book Antiqua"/>
        <w:color w:val="000000" w:themeColor="text1"/>
        <w:sz w:val="24"/>
        <w:szCs w:val="24"/>
      </w:rPr>
      <w:fldChar w:fldCharType="begin"/>
    </w:r>
    <w:r w:rsidRPr="00F15982">
      <w:rPr>
        <w:rFonts w:ascii="Book Antiqua" w:hAnsi="Book Antiqua"/>
        <w:color w:val="000000" w:themeColor="text1"/>
        <w:sz w:val="24"/>
        <w:szCs w:val="24"/>
      </w:rPr>
      <w:instrText>PAGE  \* Arabic  \* MERGEFORMAT</w:instrText>
    </w:r>
    <w:r w:rsidRPr="00F15982">
      <w:rPr>
        <w:rFonts w:ascii="Book Antiqua" w:hAnsi="Book Antiqua"/>
        <w:color w:val="000000" w:themeColor="text1"/>
        <w:sz w:val="24"/>
        <w:szCs w:val="24"/>
      </w:rPr>
      <w:fldChar w:fldCharType="separate"/>
    </w:r>
    <w:r w:rsidR="002F30EF" w:rsidRPr="002F30EF">
      <w:rPr>
        <w:rFonts w:ascii="Book Antiqua" w:hAnsi="Book Antiqua"/>
        <w:noProof/>
        <w:color w:val="000000" w:themeColor="text1"/>
        <w:sz w:val="24"/>
        <w:szCs w:val="24"/>
        <w:lang w:val="zh-CN" w:eastAsia="zh-CN"/>
      </w:rPr>
      <w:t>1</w:t>
    </w:r>
    <w:r w:rsidRPr="00F15982">
      <w:rPr>
        <w:rFonts w:ascii="Book Antiqua" w:hAnsi="Book Antiqua"/>
        <w:color w:val="000000" w:themeColor="text1"/>
        <w:sz w:val="24"/>
        <w:szCs w:val="24"/>
      </w:rPr>
      <w:fldChar w:fldCharType="end"/>
    </w:r>
    <w:r w:rsidRPr="00F15982">
      <w:rPr>
        <w:rFonts w:ascii="Book Antiqua" w:hAnsi="Book Antiqua"/>
        <w:color w:val="000000" w:themeColor="text1"/>
        <w:sz w:val="24"/>
        <w:szCs w:val="24"/>
        <w:lang w:val="zh-CN" w:eastAsia="zh-CN"/>
      </w:rPr>
      <w:t xml:space="preserve"> / </w:t>
    </w:r>
    <w:r w:rsidRPr="00F15982">
      <w:rPr>
        <w:rFonts w:ascii="Book Antiqua" w:hAnsi="Book Antiqua"/>
        <w:color w:val="000000" w:themeColor="text1"/>
        <w:sz w:val="24"/>
        <w:szCs w:val="24"/>
      </w:rPr>
      <w:fldChar w:fldCharType="begin"/>
    </w:r>
    <w:r w:rsidRPr="00F15982">
      <w:rPr>
        <w:rFonts w:ascii="Book Antiqua" w:hAnsi="Book Antiqua"/>
        <w:color w:val="000000" w:themeColor="text1"/>
        <w:sz w:val="24"/>
        <w:szCs w:val="24"/>
      </w:rPr>
      <w:instrText>NUMPAGES  \* Arabic  \* MERGEFORMAT</w:instrText>
    </w:r>
    <w:r w:rsidRPr="00F15982">
      <w:rPr>
        <w:rFonts w:ascii="Book Antiqua" w:hAnsi="Book Antiqua"/>
        <w:color w:val="000000" w:themeColor="text1"/>
        <w:sz w:val="24"/>
        <w:szCs w:val="24"/>
      </w:rPr>
      <w:fldChar w:fldCharType="separate"/>
    </w:r>
    <w:r w:rsidR="002F30EF" w:rsidRPr="002F30EF">
      <w:rPr>
        <w:rFonts w:ascii="Book Antiqua" w:hAnsi="Book Antiqua"/>
        <w:noProof/>
        <w:color w:val="000000" w:themeColor="text1"/>
        <w:sz w:val="24"/>
        <w:szCs w:val="24"/>
        <w:lang w:val="zh-CN" w:eastAsia="zh-CN"/>
      </w:rPr>
      <w:t>54</w:t>
    </w:r>
    <w:r w:rsidRPr="00F15982">
      <w:rPr>
        <w:rFonts w:ascii="Book Antiqua" w:hAnsi="Book Antiqua"/>
        <w:color w:val="000000" w:themeColor="text1"/>
        <w:sz w:val="24"/>
        <w:szCs w:val="24"/>
      </w:rPr>
      <w:fldChar w:fldCharType="end"/>
    </w:r>
  </w:p>
  <w:p w14:paraId="5B0D1EBB" w14:textId="77777777" w:rsidR="00CB36CC" w:rsidRDefault="00CB36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5D871" w14:textId="77777777" w:rsidR="00735F46" w:rsidRDefault="00735F46" w:rsidP="00F15982">
      <w:r>
        <w:separator/>
      </w:r>
    </w:p>
  </w:footnote>
  <w:footnote w:type="continuationSeparator" w:id="0">
    <w:p w14:paraId="7E053227" w14:textId="77777777" w:rsidR="00735F46" w:rsidRDefault="00735F46" w:rsidP="00F159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8909A9"/>
    <w:multiLevelType w:val="hybridMultilevel"/>
    <w:tmpl w:val="75165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96936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7F6E"/>
    <w:rsid w:val="00077E81"/>
    <w:rsid w:val="00100B01"/>
    <w:rsid w:val="001371D4"/>
    <w:rsid w:val="0014697C"/>
    <w:rsid w:val="00157EB5"/>
    <w:rsid w:val="001634BD"/>
    <w:rsid w:val="0018139D"/>
    <w:rsid w:val="00213D47"/>
    <w:rsid w:val="00251922"/>
    <w:rsid w:val="002649F1"/>
    <w:rsid w:val="00265A67"/>
    <w:rsid w:val="002F30EF"/>
    <w:rsid w:val="002F352C"/>
    <w:rsid w:val="0033453D"/>
    <w:rsid w:val="003474F9"/>
    <w:rsid w:val="00403DA0"/>
    <w:rsid w:val="00462405"/>
    <w:rsid w:val="0063400C"/>
    <w:rsid w:val="006D245A"/>
    <w:rsid w:val="006E3336"/>
    <w:rsid w:val="006E5779"/>
    <w:rsid w:val="00735F46"/>
    <w:rsid w:val="00740235"/>
    <w:rsid w:val="00764F34"/>
    <w:rsid w:val="00841698"/>
    <w:rsid w:val="00861EC5"/>
    <w:rsid w:val="008B2511"/>
    <w:rsid w:val="008D47A7"/>
    <w:rsid w:val="00926D65"/>
    <w:rsid w:val="009378AA"/>
    <w:rsid w:val="009A41DE"/>
    <w:rsid w:val="00A14C31"/>
    <w:rsid w:val="00A77B3E"/>
    <w:rsid w:val="00A9155A"/>
    <w:rsid w:val="00AB5058"/>
    <w:rsid w:val="00B021B7"/>
    <w:rsid w:val="00B2007C"/>
    <w:rsid w:val="00B470A1"/>
    <w:rsid w:val="00B5393E"/>
    <w:rsid w:val="00B64EF8"/>
    <w:rsid w:val="00B7209F"/>
    <w:rsid w:val="00BD18CE"/>
    <w:rsid w:val="00C3640D"/>
    <w:rsid w:val="00CA2A55"/>
    <w:rsid w:val="00CB36CC"/>
    <w:rsid w:val="00D44687"/>
    <w:rsid w:val="00D450CA"/>
    <w:rsid w:val="00D61DB3"/>
    <w:rsid w:val="00E077B3"/>
    <w:rsid w:val="00E2289E"/>
    <w:rsid w:val="00E5202C"/>
    <w:rsid w:val="00E874B7"/>
    <w:rsid w:val="00E937A7"/>
    <w:rsid w:val="00EB6BAF"/>
    <w:rsid w:val="00F15982"/>
    <w:rsid w:val="00F47952"/>
    <w:rsid w:val="00FD1252"/>
    <w:rsid w:val="00FD44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58DE24"/>
  <w15:docId w15:val="{F2694283-A626-493C-BA27-EC6815C93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15982"/>
    <w:pP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F15982"/>
    <w:rPr>
      <w:sz w:val="18"/>
      <w:szCs w:val="18"/>
    </w:rPr>
  </w:style>
  <w:style w:type="paragraph" w:styleId="Footer">
    <w:name w:val="footer"/>
    <w:basedOn w:val="Normal"/>
    <w:link w:val="FooterChar"/>
    <w:uiPriority w:val="99"/>
    <w:unhideWhenUsed/>
    <w:rsid w:val="00F1598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F15982"/>
    <w:rPr>
      <w:sz w:val="18"/>
      <w:szCs w:val="18"/>
    </w:rPr>
  </w:style>
  <w:style w:type="character" w:styleId="CommentReference">
    <w:name w:val="annotation reference"/>
    <w:basedOn w:val="DefaultParagraphFont"/>
    <w:semiHidden/>
    <w:unhideWhenUsed/>
    <w:rsid w:val="003474F9"/>
    <w:rPr>
      <w:sz w:val="21"/>
      <w:szCs w:val="21"/>
    </w:rPr>
  </w:style>
  <w:style w:type="paragraph" w:styleId="CommentText">
    <w:name w:val="annotation text"/>
    <w:basedOn w:val="Normal"/>
    <w:link w:val="CommentTextChar"/>
    <w:semiHidden/>
    <w:unhideWhenUsed/>
    <w:rsid w:val="003474F9"/>
  </w:style>
  <w:style w:type="character" w:customStyle="1" w:styleId="CommentTextChar">
    <w:name w:val="Comment Text Char"/>
    <w:basedOn w:val="DefaultParagraphFont"/>
    <w:link w:val="CommentText"/>
    <w:semiHidden/>
    <w:rsid w:val="003474F9"/>
    <w:rPr>
      <w:sz w:val="24"/>
      <w:szCs w:val="24"/>
    </w:rPr>
  </w:style>
  <w:style w:type="paragraph" w:styleId="CommentSubject">
    <w:name w:val="annotation subject"/>
    <w:basedOn w:val="CommentText"/>
    <w:next w:val="CommentText"/>
    <w:link w:val="CommentSubjectChar"/>
    <w:semiHidden/>
    <w:unhideWhenUsed/>
    <w:rsid w:val="003474F9"/>
    <w:rPr>
      <w:b/>
      <w:bCs/>
    </w:rPr>
  </w:style>
  <w:style w:type="character" w:customStyle="1" w:styleId="CommentSubjectChar">
    <w:name w:val="Comment Subject Char"/>
    <w:basedOn w:val="CommentTextChar"/>
    <w:link w:val="CommentSubject"/>
    <w:semiHidden/>
    <w:rsid w:val="003474F9"/>
    <w:rPr>
      <w:b/>
      <w:bCs/>
      <w:sz w:val="24"/>
      <w:szCs w:val="24"/>
    </w:rPr>
  </w:style>
  <w:style w:type="paragraph" w:styleId="ListParagraph">
    <w:name w:val="List Paragraph"/>
    <w:basedOn w:val="Normal"/>
    <w:uiPriority w:val="34"/>
    <w:qFormat/>
    <w:rsid w:val="0014697C"/>
    <w:pPr>
      <w:spacing w:after="160" w:line="259" w:lineRule="auto"/>
      <w:ind w:left="720"/>
      <w:contextualSpacing/>
    </w:pPr>
    <w:rPr>
      <w:rFonts w:asciiTheme="minorHAnsi" w:hAnsiTheme="minorHAnsi" w:cstheme="minorBidi"/>
      <w:sz w:val="22"/>
      <w:szCs w:val="22"/>
    </w:rPr>
  </w:style>
  <w:style w:type="paragraph" w:styleId="NoSpacing">
    <w:name w:val="No Spacing"/>
    <w:uiPriority w:val="1"/>
    <w:qFormat/>
    <w:rsid w:val="0014697C"/>
    <w:rPr>
      <w:rFonts w:asciiTheme="minorHAnsi" w:hAnsiTheme="minorHAnsi" w:cstheme="minorBidi"/>
      <w:sz w:val="22"/>
      <w:szCs w:val="22"/>
      <w:lang w:val="en-IN"/>
    </w:rPr>
  </w:style>
  <w:style w:type="paragraph" w:styleId="Revision">
    <w:name w:val="Revision"/>
    <w:hidden/>
    <w:uiPriority w:val="99"/>
    <w:semiHidden/>
    <w:rsid w:val="00740235"/>
    <w:rPr>
      <w:sz w:val="24"/>
      <w:szCs w:val="24"/>
    </w:rPr>
  </w:style>
  <w:style w:type="paragraph" w:styleId="BalloonText">
    <w:name w:val="Balloon Text"/>
    <w:basedOn w:val="Normal"/>
    <w:link w:val="BalloonTextChar"/>
    <w:rsid w:val="00B021B7"/>
    <w:rPr>
      <w:rFonts w:ascii="Segoe UI" w:hAnsi="Segoe UI" w:cs="Segoe UI"/>
      <w:sz w:val="18"/>
      <w:szCs w:val="18"/>
    </w:rPr>
  </w:style>
  <w:style w:type="character" w:customStyle="1" w:styleId="BalloonTextChar">
    <w:name w:val="Balloon Text Char"/>
    <w:basedOn w:val="DefaultParagraphFont"/>
    <w:link w:val="BalloonText"/>
    <w:rsid w:val="00B021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5F77C-0C49-4CF0-A84C-ADC72F52E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14308</Words>
  <Characters>81556</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SIUT</dc:creator>
  <cp:lastModifiedBy>Jennifer van Velkinburgh</cp:lastModifiedBy>
  <cp:revision>2</cp:revision>
  <dcterms:created xsi:type="dcterms:W3CDTF">2023-06-18T20:16:00Z</dcterms:created>
  <dcterms:modified xsi:type="dcterms:W3CDTF">2023-06-18T20:16:00Z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8c399a503ef686c19ea85ed381d5b856b360515e048f1516b6d9a053ec9646cd</vt:lpwstr>
  </property>
</Properties>
</file>