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117A9" w14:textId="77777777" w:rsidR="00C4529E" w:rsidRDefault="009D600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37757594" w14:textId="77777777" w:rsidR="00C4529E" w:rsidRDefault="009D600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86091</w:t>
      </w:r>
    </w:p>
    <w:p w14:paraId="302C77AC" w14:textId="77777777" w:rsidR="00C4529E" w:rsidRDefault="009D600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4F7D136" w14:textId="77777777" w:rsidR="00C4529E" w:rsidRDefault="00C4529E">
      <w:pPr>
        <w:spacing w:line="360" w:lineRule="auto"/>
        <w:jc w:val="both"/>
        <w:rPr>
          <w:rFonts w:ascii="Book Antiqua" w:hAnsi="Book Antiqua"/>
        </w:rPr>
      </w:pPr>
    </w:p>
    <w:p w14:paraId="2221C249" w14:textId="77777777" w:rsidR="00C4529E" w:rsidRDefault="009D6006">
      <w:pPr>
        <w:spacing w:line="360" w:lineRule="auto"/>
        <w:jc w:val="both"/>
        <w:rPr>
          <w:rFonts w:ascii="Book Antiqua" w:hAnsi="Book Antiqua"/>
        </w:rPr>
      </w:pPr>
      <w:r>
        <w:rPr>
          <w:rFonts w:ascii="Book Antiqua" w:eastAsia="Book Antiqua" w:hAnsi="Book Antiqua" w:cs="Book Antiqua"/>
          <w:b/>
          <w:i/>
        </w:rPr>
        <w:t>Basic Study</w:t>
      </w:r>
    </w:p>
    <w:p w14:paraId="042730CE"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Integrin beta 3-overexpressing mesenchymal stromal cells display enhanced homing and can reduce atherosclerotic plaque</w:t>
      </w:r>
    </w:p>
    <w:p w14:paraId="6E8810D8" w14:textId="77777777" w:rsidR="00C4529E" w:rsidRDefault="00C4529E">
      <w:pPr>
        <w:spacing w:line="360" w:lineRule="auto"/>
        <w:jc w:val="both"/>
        <w:rPr>
          <w:rFonts w:ascii="Book Antiqua" w:hAnsi="Book Antiqua"/>
        </w:rPr>
      </w:pPr>
    </w:p>
    <w:p w14:paraId="74FB2FA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Hu HJ </w:t>
      </w:r>
      <w:r>
        <w:rPr>
          <w:rFonts w:ascii="Book Antiqua" w:eastAsia="Book Antiqua" w:hAnsi="Book Antiqua" w:cs="Book Antiqua"/>
          <w:i/>
          <w:iCs/>
          <w:color w:val="000000"/>
        </w:rPr>
        <w:t>et al</w:t>
      </w:r>
      <w:r>
        <w:rPr>
          <w:rFonts w:ascii="Book Antiqua" w:eastAsia="Book Antiqua" w:hAnsi="Book Antiqua" w:cs="Book Antiqua"/>
          <w:color w:val="000000"/>
        </w:rPr>
        <w:t>. ITGB3-overexpressing MSCs can reduce atherosclerotic plaque</w:t>
      </w:r>
    </w:p>
    <w:p w14:paraId="635FAC79" w14:textId="77777777" w:rsidR="00C4529E" w:rsidRDefault="00C4529E">
      <w:pPr>
        <w:spacing w:line="360" w:lineRule="auto"/>
        <w:jc w:val="both"/>
        <w:rPr>
          <w:rFonts w:ascii="Book Antiqua" w:hAnsi="Book Antiqua"/>
        </w:rPr>
      </w:pPr>
    </w:p>
    <w:p w14:paraId="68688E9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Hai-Juan Hu, Xue-Ru Xiao, Tong Li, De-Min Liu, Xue Geng, Mei Han, Wei Cui</w:t>
      </w:r>
    </w:p>
    <w:p w14:paraId="0E327778" w14:textId="77777777" w:rsidR="00C4529E" w:rsidRDefault="00C4529E">
      <w:pPr>
        <w:spacing w:line="360" w:lineRule="auto"/>
        <w:jc w:val="both"/>
        <w:rPr>
          <w:rFonts w:ascii="Book Antiqua" w:hAnsi="Book Antiqua"/>
        </w:rPr>
      </w:pPr>
    </w:p>
    <w:p w14:paraId="411DF6CF"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Hai-Juan Hu, Tong Li, De-Min Liu, Xue Geng, Wei Cui, </w:t>
      </w:r>
      <w:r>
        <w:rPr>
          <w:rFonts w:ascii="Book Antiqua" w:eastAsia="Book Antiqua" w:hAnsi="Book Antiqua" w:cs="Book Antiqua"/>
          <w:color w:val="000000"/>
        </w:rPr>
        <w:t>First Division, Department of Cardiology, The Second Hospital of Hebei Medical University and Institute of Cardiocerebrovascular Disease of Hebei Province, Shijiazhuang 050000, Hebei Province, China</w:t>
      </w:r>
    </w:p>
    <w:p w14:paraId="3592303A" w14:textId="77777777" w:rsidR="00C4529E" w:rsidRDefault="00C4529E">
      <w:pPr>
        <w:spacing w:line="360" w:lineRule="auto"/>
        <w:jc w:val="both"/>
        <w:rPr>
          <w:rFonts w:ascii="Book Antiqua" w:hAnsi="Book Antiqua"/>
        </w:rPr>
      </w:pPr>
    </w:p>
    <w:p w14:paraId="4450F06B"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Xue-Ru Xiao, </w:t>
      </w:r>
      <w:r>
        <w:rPr>
          <w:rFonts w:ascii="Book Antiqua" w:eastAsia="Book Antiqua" w:hAnsi="Book Antiqua" w:cs="Book Antiqua"/>
          <w:color w:val="000000"/>
        </w:rPr>
        <w:t>Department of Obstetrics, Shijiazhuang People's Hospital, Shijiazhuang 050030, Hebei Province, China</w:t>
      </w:r>
    </w:p>
    <w:p w14:paraId="7024206B" w14:textId="77777777" w:rsidR="00C4529E" w:rsidRDefault="00C4529E">
      <w:pPr>
        <w:spacing w:line="360" w:lineRule="auto"/>
        <w:jc w:val="both"/>
        <w:rPr>
          <w:rFonts w:ascii="Book Antiqua" w:hAnsi="Book Antiqua"/>
        </w:rPr>
      </w:pPr>
    </w:p>
    <w:p w14:paraId="34FCAA20"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Mei Han, </w:t>
      </w:r>
      <w:r>
        <w:rPr>
          <w:rFonts w:ascii="Book Antiqua" w:eastAsia="Book Antiqua" w:hAnsi="Book Antiqua" w:cs="Book Antiqua"/>
          <w:color w:val="000000"/>
        </w:rPr>
        <w:t>Key Laboratory of Medical Biotechnology of Hebei Province, Department of Biochemistry and Molecular Biology, College of Basic Medicine, Cardiovascular Medical Science Center, Hebei Medical University, Shijiazhuang 050017, Hebei Province, China</w:t>
      </w:r>
    </w:p>
    <w:p w14:paraId="5C174DD6" w14:textId="77777777" w:rsidR="00C4529E" w:rsidRDefault="00C4529E">
      <w:pPr>
        <w:spacing w:line="360" w:lineRule="auto"/>
        <w:jc w:val="both"/>
        <w:rPr>
          <w:rFonts w:ascii="Book Antiqua" w:hAnsi="Book Antiqua"/>
        </w:rPr>
      </w:pPr>
    </w:p>
    <w:p w14:paraId="0511FE23"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Cui W and Han M designed and coordinated the study; Hu HJ, Xiao XR, Li T, Liu DM</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Geng X performed the experiments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acquired and analyzed data; Cui W interpreted the data; Hu HJ and Liu DM wrote the manuscript; all authors revised the manuscript and approved the final version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article.</w:t>
      </w:r>
    </w:p>
    <w:p w14:paraId="1E4F2DB4" w14:textId="77777777" w:rsidR="00C4529E" w:rsidRDefault="00C4529E">
      <w:pPr>
        <w:spacing w:line="360" w:lineRule="auto"/>
        <w:jc w:val="both"/>
        <w:rPr>
          <w:rFonts w:ascii="Book Antiqua" w:hAnsi="Book Antiqua"/>
        </w:rPr>
      </w:pPr>
    </w:p>
    <w:p w14:paraId="5E991394"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82100301;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Key Science and Technology Research Program of Hebei Provincial Department of Health, No, 20221014.</w:t>
      </w:r>
    </w:p>
    <w:p w14:paraId="3190EFA8" w14:textId="77777777" w:rsidR="00C4529E" w:rsidRDefault="00C4529E">
      <w:pPr>
        <w:spacing w:line="360" w:lineRule="auto"/>
        <w:jc w:val="both"/>
        <w:rPr>
          <w:rFonts w:ascii="Book Antiqua" w:hAnsi="Book Antiqua"/>
        </w:rPr>
      </w:pPr>
    </w:p>
    <w:p w14:paraId="2046C02C"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Corresponding author: Wei Cui, PhD, Professor, </w:t>
      </w:r>
      <w:r>
        <w:rPr>
          <w:rFonts w:ascii="Book Antiqua" w:eastAsia="Book Antiqua" w:hAnsi="Book Antiqua" w:cs="Book Antiqua"/>
          <w:color w:val="000000"/>
        </w:rPr>
        <w:t xml:space="preserve">First Division, Department of Cardiology, The Second Hospital of Hebei Medical University and Institute of Cardiocerebrovascular Disease of Hebei Province, No. 215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Shijiazhuang 050000, Hebei Province, China. cuiweihb2h@163.com</w:t>
      </w:r>
    </w:p>
    <w:p w14:paraId="55471E0B" w14:textId="77777777" w:rsidR="00C4529E" w:rsidRDefault="00C4529E">
      <w:pPr>
        <w:spacing w:line="360" w:lineRule="auto"/>
        <w:jc w:val="both"/>
        <w:rPr>
          <w:rFonts w:ascii="Book Antiqua" w:hAnsi="Book Antiqua"/>
        </w:rPr>
      </w:pPr>
    </w:p>
    <w:p w14:paraId="24585F78"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31, 2023</w:t>
      </w:r>
    </w:p>
    <w:p w14:paraId="6D533F67"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June 22, 2023</w:t>
      </w:r>
    </w:p>
    <w:p w14:paraId="2DB45731" w14:textId="3DF7389B" w:rsidR="00C4529E" w:rsidRDefault="009D6006">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8-23T16:25:00Z">
        <w:r w:rsidR="008C45CB" w:rsidRPr="008C45CB">
          <w:rPr>
            <w:rFonts w:ascii="Book Antiqua" w:eastAsia="Book Antiqua" w:hAnsi="Book Antiqua" w:cs="Book Antiqua"/>
          </w:rPr>
          <w:t>August 23, 2023</w:t>
        </w:r>
      </w:ins>
    </w:p>
    <w:p w14:paraId="7A81C78B"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Published online: </w:t>
      </w:r>
    </w:p>
    <w:p w14:paraId="5FD10A0B" w14:textId="77777777" w:rsidR="00C4529E" w:rsidRDefault="00C4529E">
      <w:pPr>
        <w:spacing w:line="360" w:lineRule="auto"/>
        <w:jc w:val="both"/>
        <w:rPr>
          <w:rFonts w:ascii="Book Antiqua" w:hAnsi="Book Antiqua"/>
        </w:rPr>
        <w:sectPr w:rsidR="00C4529E">
          <w:footerReference w:type="default" r:id="rId6"/>
          <w:pgSz w:w="12240" w:h="15840"/>
          <w:pgMar w:top="1440" w:right="1440" w:bottom="1440" w:left="1440" w:header="720" w:footer="720" w:gutter="0"/>
          <w:cols w:space="720"/>
          <w:docGrid w:linePitch="360"/>
        </w:sectPr>
      </w:pPr>
    </w:p>
    <w:p w14:paraId="717B2D39"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D82CCC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BACKGROUND</w:t>
      </w:r>
    </w:p>
    <w:p w14:paraId="3DF5FB6E" w14:textId="77777777" w:rsidR="00C4529E" w:rsidRDefault="009D6006">
      <w:pPr>
        <w:spacing w:line="360" w:lineRule="auto"/>
        <w:jc w:val="both"/>
        <w:rPr>
          <w:rFonts w:ascii="Book Antiqua" w:hAnsi="Book Antiqua"/>
        </w:rPr>
      </w:pPr>
      <w:r>
        <w:rPr>
          <w:rFonts w:ascii="Book Antiqua" w:eastAsiaTheme="minorEastAsia" w:hAnsi="Book Antiqua" w:cs="Book Antiqua" w:hint="eastAsia"/>
          <w:color w:val="000000"/>
          <w:lang w:eastAsia="zh-CN"/>
        </w:rPr>
        <w:t>U</w:t>
      </w:r>
      <w:r>
        <w:rPr>
          <w:rFonts w:ascii="Book Antiqua" w:eastAsia="Book Antiqua" w:hAnsi="Book Antiqua" w:cs="Book Antiqua"/>
          <w:color w:val="000000"/>
        </w:rPr>
        <w:t>mbilical cord (UC) mesenchymal stem cell (MSC) transplantation is a potential therapeutic intervention for atherosclerotic vascular disease. Integrin beta 3 (ITGB3) promotes cell migration in several cell types.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However, whether ITGB-modified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can migrate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play an anti-atherosclerotic role remains unclear.</w:t>
      </w:r>
    </w:p>
    <w:p w14:paraId="20BB7358" w14:textId="77777777" w:rsidR="00C4529E" w:rsidRDefault="00C4529E">
      <w:pPr>
        <w:spacing w:line="360" w:lineRule="auto"/>
        <w:jc w:val="both"/>
        <w:rPr>
          <w:rFonts w:ascii="Book Antiqua" w:hAnsi="Book Antiqua"/>
        </w:rPr>
      </w:pPr>
    </w:p>
    <w:p w14:paraId="5244BC47"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AIM</w:t>
      </w:r>
    </w:p>
    <w:p w14:paraId="31F7CA4F"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To investigate whether ITGB3-overexpressing MSCs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would exhibit improved homing efficacy in atherosclerosis.</w:t>
      </w:r>
    </w:p>
    <w:p w14:paraId="0A18FC5D" w14:textId="77777777" w:rsidR="00C4529E" w:rsidRDefault="00C4529E">
      <w:pPr>
        <w:spacing w:line="360" w:lineRule="auto"/>
        <w:jc w:val="both"/>
        <w:rPr>
          <w:rFonts w:ascii="Book Antiqua" w:hAnsi="Book Antiqua"/>
        </w:rPr>
      </w:pPr>
    </w:p>
    <w:p w14:paraId="7B963015"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METHODS</w:t>
      </w:r>
    </w:p>
    <w:p w14:paraId="4BBF8D97"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UC MSCs were isolated and expanded.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Lentiviral vectors encoding 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green fluorescent protein (GFP)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control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transfected into MSCs. Sixty male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apolipoprotein E</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acquired from Beijing Vital River Lab Animal Technology Co., Ltd and fed with a high-fat diet (HFD)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induce the formation of atherosclerotic lesions. These HFD-fed mice were randomly separated into three clusters. GFP-labeled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or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xml:space="preserve">were transplanted into the mice intravenously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tail vein. Immunofluorescence staining, Oil red O staining, histological analyses, western blotting, enzyme-linked immunosorbent assay, and quantitative real-time polymerase chain reaction were used for the analyses.</w:t>
      </w:r>
    </w:p>
    <w:p w14:paraId="0EA7AC5B" w14:textId="77777777" w:rsidR="00C4529E" w:rsidRDefault="00C4529E">
      <w:pPr>
        <w:spacing w:line="360" w:lineRule="auto"/>
        <w:jc w:val="both"/>
        <w:rPr>
          <w:rFonts w:ascii="Book Antiqua" w:hAnsi="Book Antiqua"/>
        </w:rPr>
      </w:pPr>
    </w:p>
    <w:p w14:paraId="518BD20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RESULTS</w:t>
      </w:r>
    </w:p>
    <w:p w14:paraId="7C048458"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ITGB3 modified MSCs successfully differentiated into the “osteocyte” and “adipocyte”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phenotypes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were characterized by positive expression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91.3%) of CD29, CD73, and CD105 and negative expression (&lt;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1.35%)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CD34 and Human Leukocyte Antigen-DR. In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showed significantly faster migration than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xml:space="preserve">. ITGB3 overexpression had no effects on MSC viability, differentiation, and secretion. Immunofluorescence staining revealed that ITGB3 overexpression substantially </w:t>
      </w:r>
      <w:r>
        <w:rPr>
          <w:rFonts w:ascii="Book Antiqua" w:eastAsia="Book Antiqua" w:hAnsi="Book Antiqua" w:cs="Book Antiqua"/>
          <w:color w:val="000000"/>
        </w:rPr>
        <w:lastRenderedPageBreak/>
        <w:t>enhanced the homing of MSCs to plaque sites. Oil red O staining and histological analyses further confirmed the therapeutic effects of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significantly reducing the plaque area. Enzyme-linked immunosorbent assay and quantitative real-time polymerase chain reaction revealed 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transplantation considerably decreased the inflammatory response in pathological tissues by improving the dynamic equilibrium of pro- and anti-inflammatory cytokines.</w:t>
      </w:r>
    </w:p>
    <w:p w14:paraId="54561A34" w14:textId="77777777" w:rsidR="00C4529E" w:rsidRDefault="00C4529E">
      <w:pPr>
        <w:spacing w:line="360" w:lineRule="auto"/>
        <w:jc w:val="both"/>
        <w:rPr>
          <w:rFonts w:ascii="Book Antiqua" w:hAnsi="Book Antiqua"/>
        </w:rPr>
      </w:pPr>
    </w:p>
    <w:p w14:paraId="06382F03"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CONCLUSION</w:t>
      </w:r>
    </w:p>
    <w:p w14:paraId="34702BB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These results showed that ITGB3 overexpression enhanced the MSC homing ability, providing a potential approach for MSC delivery to plaque sites, thereby optimizing their therapeutic effects.</w:t>
      </w:r>
    </w:p>
    <w:p w14:paraId="4E497946" w14:textId="77777777" w:rsidR="00C4529E" w:rsidRDefault="00C4529E">
      <w:pPr>
        <w:spacing w:line="360" w:lineRule="auto"/>
        <w:jc w:val="both"/>
        <w:rPr>
          <w:rFonts w:ascii="Book Antiqua" w:hAnsi="Book Antiqua"/>
        </w:rPr>
      </w:pPr>
    </w:p>
    <w:p w14:paraId="73BE46F2"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Atherosclerosis; Inflammation; Integrin beta 3; Mesenchymal stem cells; Arg-</w:t>
      </w:r>
      <w:proofErr w:type="spellStart"/>
      <w:r>
        <w:rPr>
          <w:rFonts w:ascii="Book Antiqua" w:eastAsia="Book Antiqua" w:hAnsi="Book Antiqua" w:cs="Book Antiqua"/>
          <w:color w:val="000000"/>
        </w:rPr>
        <w:t>Gly</w:t>
      </w:r>
      <w:proofErr w:type="spellEnd"/>
      <w:r>
        <w:rPr>
          <w:rFonts w:ascii="Book Antiqua" w:eastAsia="Book Antiqua" w:hAnsi="Book Antiqua" w:cs="Book Antiqua"/>
          <w:color w:val="000000"/>
        </w:rPr>
        <w:t>-Asp structure; Umbilical cord</w:t>
      </w:r>
    </w:p>
    <w:p w14:paraId="65B4ADEB" w14:textId="77777777" w:rsidR="00C4529E" w:rsidRDefault="00C4529E">
      <w:pPr>
        <w:spacing w:line="360" w:lineRule="auto"/>
        <w:jc w:val="both"/>
        <w:rPr>
          <w:rFonts w:ascii="Book Antiqua" w:hAnsi="Book Antiqua"/>
        </w:rPr>
      </w:pPr>
    </w:p>
    <w:p w14:paraId="5F8101E3" w14:textId="77777777" w:rsidR="00C4529E" w:rsidRDefault="009D6006">
      <w:pPr>
        <w:spacing w:line="360" w:lineRule="auto"/>
        <w:jc w:val="both"/>
        <w:rPr>
          <w:rFonts w:ascii="Book Antiqua" w:hAnsi="Book Antiqua"/>
        </w:rPr>
      </w:pPr>
      <w:r>
        <w:rPr>
          <w:rFonts w:ascii="Book Antiqua" w:eastAsia="Book Antiqua" w:hAnsi="Book Antiqua" w:cs="Book Antiqua"/>
        </w:rPr>
        <w:t xml:space="preserve">Hu HJ, Xiao XR, Li T, Liu DM, Geng X, Han M, Cui W. Integrin beta 3-overexpressing mesenchymal stromal cells display enhanced homing and can reduce atherosclerotic plaque. </w:t>
      </w:r>
      <w:r>
        <w:rPr>
          <w:rFonts w:ascii="Book Antiqua" w:eastAsia="Book Antiqua" w:hAnsi="Book Antiqua" w:cs="Book Antiqua"/>
          <w:i/>
          <w:iCs/>
        </w:rPr>
        <w:t>World J Stem Cells</w:t>
      </w:r>
      <w:r>
        <w:rPr>
          <w:rFonts w:ascii="Book Antiqua" w:eastAsia="Book Antiqua" w:hAnsi="Book Antiqua" w:cs="Book Antiqua"/>
        </w:rPr>
        <w:t xml:space="preserve"> 2023; In press</w:t>
      </w:r>
    </w:p>
    <w:p w14:paraId="7332426B" w14:textId="77777777" w:rsidR="00C4529E" w:rsidRDefault="00C4529E">
      <w:pPr>
        <w:spacing w:line="360" w:lineRule="auto"/>
        <w:jc w:val="both"/>
        <w:rPr>
          <w:rFonts w:ascii="Book Antiqua" w:hAnsi="Book Antiqua"/>
        </w:rPr>
      </w:pPr>
    </w:p>
    <w:p w14:paraId="6A2B04B8"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Mesenchymal stem cell (MSC) transplantation is considered a new treatment for atherosclerosis. However, research regarding homing of MSCs to atherosclerotic lesions is insufficient. Here, we transplanted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ntegrin beta 3 (ITGB3)-overexpressing MSCs into a mouse model of atherosclerosis. ITGB3-overexpressing MSCs were more greatly accumulated in atherosclerotic plaques. These MSCs prevented plaque progression by shifting the local cytokine profile. The use of ITGB3-overexpressing MSCs may be a novel tool to treat atherosclerosis.</w:t>
      </w:r>
    </w:p>
    <w:p w14:paraId="0F60FECF" w14:textId="77777777" w:rsidR="00C4529E" w:rsidRDefault="00C4529E">
      <w:pPr>
        <w:spacing w:line="360" w:lineRule="auto"/>
        <w:jc w:val="both"/>
        <w:rPr>
          <w:rFonts w:ascii="Book Antiqua" w:hAnsi="Book Antiqua"/>
        </w:rPr>
      </w:pPr>
    </w:p>
    <w:p w14:paraId="171BF743"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6E97153"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lastRenderedPageBreak/>
        <w:t xml:space="preserve">Atherosclerosis is a serious public health problem and the most commonly diagnosed cardiovascular disease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Implementing early detection of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with systemic pharmacological treatments</w:t>
      </w:r>
      <w:r>
        <w:rPr>
          <w:rFonts w:ascii="Book Antiqua" w:eastAsia="Book Antiqua" w:hAnsi="Book Antiqua" w:cs="Book Antiqua"/>
          <w:color w:val="000000"/>
          <w:vertAlign w:val="superscript"/>
        </w:rPr>
        <w:t>[3]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percutaneous coronary intervention</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has contributed to substantial progress in the treatment of atherosclerosis-related diseases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Despite medical improvements, the incidence of atherosclerosis-related diseases remains </w:t>
      </w:r>
      <w:proofErr w:type="gramStart"/>
      <w:r>
        <w:rPr>
          <w:rFonts w:ascii="Book Antiqua" w:eastAsia="Book Antiqua" w:hAnsi="Book Antiqua" w:cs="Book Antiqua"/>
          <w:color w:val="000000"/>
        </w:rPr>
        <w: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Atherosclerotic plaques are still associated with high mortality rates in patients with high-risk or visible advanced plaque disease. Therefore, more studies are needed to discover and explore effective molecules and targets for treatments.</w:t>
      </w:r>
    </w:p>
    <w:p w14:paraId="64AD4887"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Mesenchymal stem cell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(MSC) transplantation accomplished improvements in experimental studies of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xml:space="preserve">. MSCs have the ability to secrete many cytokines that mitigate vascular inflammation and regulate the local microenvironment owing to the effects of their secreted anti-inflammatory factors within the vascular </w:t>
      </w:r>
      <w:proofErr w:type="gramStart"/>
      <w:r>
        <w:rPr>
          <w:rFonts w:ascii="Book Antiqua" w:eastAsia="Book Antiqua" w:hAnsi="Book Antiqua" w:cs="Book Antiqua"/>
          <w:color w:val="000000"/>
        </w:rPr>
        <w:t>plaque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However, some limitations preclude the translation of stem cell therapy into clinical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such as stem cells accurately homing to plaques. To determine this, we need to understand the specific mechanisms that underlie the migration and adhesion of MSCs under physiological and pathological conditions. Some studies have attempted to genetically decorate MSCs with specific receptors required for efficient homing.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For example, </w:t>
      </w:r>
      <w:proofErr w:type="spellStart"/>
      <w:r>
        <w:rPr>
          <w:rFonts w:ascii="Book Antiqua" w:eastAsia="Book Antiqua" w:hAnsi="Book Antiqua" w:cs="Book Antiqua"/>
          <w:color w:val="000000"/>
        </w:rPr>
        <w:t>Shahror</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found that overexpression of fibroblast growth factor 21 considerably increased MSC migration to and adhesion in the injured brain tissue.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Moreover, overexpression of C-X-C chemokine receptor 5 (CXCR5) increased the migratory capability of MSCs toward CXCL13, which changed most substantially in animal models of contact allergy, accompanied by decreases in inflammatory cellular infiltration and reduced levels of pro-inflammatory cytokine production</w:t>
      </w:r>
      <w:r>
        <w:rPr>
          <w:rFonts w:ascii="Book Antiqua" w:eastAsia="Book Antiqua" w:hAnsi="Book Antiqua" w:cs="Book Antiqua"/>
          <w:color w:val="000000"/>
          <w:vertAlign w:val="superscript"/>
        </w:rPr>
        <w:t>[18]</w:t>
      </w:r>
      <w:r>
        <w:rPr>
          <w:rFonts w:ascii="Book Antiqua" w:eastAsia="Book Antiqua" w:hAnsi="Book Antiqua" w:cs="Book Antiqua"/>
          <w:color w:val="000000"/>
        </w:rPr>
        <w:t>. It is well established that damaged tissues release specific types of cytokines and chemokines. Therefore, elucidating the interrelationships between tissue-specific chemokines and matching receptors on MSCs could offer novel ways of promoting homing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effects of these cells.</w:t>
      </w:r>
    </w:p>
    <w:p w14:paraId="66C458E7" w14:textId="77777777" w:rsidR="00C4529E" w:rsidRDefault="009D6006">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The integrin family of receptors, a major family of migration-promoting receptors,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plays an important role in the crosstalk between cells and their </w:t>
      </w:r>
      <w:proofErr w:type="gramStart"/>
      <w:r>
        <w:rPr>
          <w:rFonts w:ascii="Book Antiqua" w:eastAsia="Book Antiqua" w:hAnsi="Book Antiqua" w:cs="Book Antiqua"/>
          <w:color w:val="000000"/>
        </w:rPr>
        <w:t>surroundings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Arg-</w:t>
      </w:r>
      <w:proofErr w:type="spellStart"/>
      <w:r>
        <w:rPr>
          <w:rFonts w:ascii="Book Antiqua" w:eastAsia="Book Antiqua" w:hAnsi="Book Antiqua" w:cs="Book Antiqua"/>
          <w:color w:val="000000"/>
        </w:rPr>
        <w:t>Gly</w:t>
      </w:r>
      <w:proofErr w:type="spellEnd"/>
      <w:r>
        <w:rPr>
          <w:rFonts w:ascii="Book Antiqua" w:eastAsia="Book Antiqua" w:hAnsi="Book Antiqua" w:cs="Book Antiqua"/>
          <w:color w:val="000000"/>
        </w:rPr>
        <w:t xml:space="preserve">-Asp (RGD) site-containing proteins and corresponding integrin receptors constitute the primary recognition system for cell </w:t>
      </w:r>
      <w:proofErr w:type="gramStart"/>
      <w:r>
        <w:rPr>
          <w:rFonts w:ascii="Book Antiqua" w:eastAsia="Book Antiqua" w:hAnsi="Book Antiqua" w:cs="Book Antiqua"/>
          <w:color w:val="000000"/>
        </w:rPr>
        <w:t>adhesion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Many inflammatory cytokines, such as intercellular cell adhesion molecule-1 (ICAM-1),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(OPN), and vascular cell adhesion molecule-1 (VCAM-1), contain an RGD motif in their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The primary sequence of integrin beta 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(ITGB3), a well-preserved region in all integrin beta subunits, has been called the RGD crosslinking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Based on this information, we genetically modified MSCs using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ex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lentiviral transduction to overexpress ITGB3. In the current study, we first demonstrated that ITGB3-overexpressing MSCs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showed enhanced chemotaxis toward plaque tissues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inflammatory cells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Compared with green fluorescent protein (GFP)-labeled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reduced the formation of atherosclerotic plaques in homozygous apolipoprotein-E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suggesting that ITGB3 enhances homing of modified stem cells to plaque tissue, thereby promoting their therapeutic efficacy in the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mouse model of atherosclerosis.</w:t>
      </w:r>
    </w:p>
    <w:p w14:paraId="15938B69" w14:textId="77777777" w:rsidR="00C4529E" w:rsidRDefault="00C4529E">
      <w:pPr>
        <w:spacing w:line="360" w:lineRule="auto"/>
        <w:jc w:val="both"/>
        <w:rPr>
          <w:rFonts w:ascii="Book Antiqua" w:hAnsi="Book Antiqua"/>
        </w:rPr>
      </w:pPr>
    </w:p>
    <w:p w14:paraId="5857E76D"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F5627D9"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b/>
          <w:bCs/>
          <w:i/>
          <w:iCs/>
          <w:color w:val="000000"/>
        </w:rPr>
        <w:t>Isolation of human umbilical cord MSCs</w:t>
      </w:r>
    </w:p>
    <w:p w14:paraId="67439535"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Human umbilical cord (UC) samples were collected from three healthy donors. All the donors provided written informed consent. MSCs were isolated and cultured from the UCs as reported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Briefly, the UC tissue was collected from healthy pregnant women undergoing labor. After removing the UC tissue's arteries and veins, the remaining Wharton's jelly was cut into small pieces for patch cultures. The tissue fragments were cultured at 37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 and 5% CO</w:t>
      </w:r>
      <w:r>
        <w:rPr>
          <w:rFonts w:ascii="Book Antiqua" w:eastAsia="Book Antiqua" w:hAnsi="Book Antiqua" w:cs="Book Antiqua"/>
          <w:color w:val="000000"/>
          <w:vertAlign w:val="subscript"/>
        </w:rPr>
        <w:t>2</w:t>
      </w:r>
      <w:r>
        <w:rPr>
          <w:rFonts w:ascii="Book Antiqua" w:eastAsiaTheme="minorEastAsia" w:hAnsi="Book Antiqua" w:cs="Book Antiqua" w:hint="eastAsia"/>
          <w:color w:val="000000"/>
          <w:vertAlign w:val="subscript"/>
          <w:lang w:eastAsia="zh-CN"/>
        </w:rPr>
        <w:t xml:space="preserve"> </w:t>
      </w:r>
      <w:r>
        <w:rPr>
          <w:rFonts w:ascii="Book Antiqua" w:eastAsia="Book Antiqua" w:hAnsi="Book Antiqua" w:cs="Book Antiqua"/>
          <w:color w:val="000000"/>
        </w:rPr>
        <w:t xml:space="preserve">in mesenchymal stem cell medium (MSC medium; </w:t>
      </w:r>
      <w:proofErr w:type="spellStart"/>
      <w:r>
        <w:rPr>
          <w:rFonts w:ascii="Book Antiqua" w:eastAsia="Book Antiqua" w:hAnsi="Book Antiqua" w:cs="Book Antiqua"/>
          <w:color w:val="000000"/>
        </w:rPr>
        <w:t>Sciencell</w:t>
      </w:r>
      <w:proofErr w:type="spellEnd"/>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Carlsbad, CA,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containing 5% fetal bovine serum (FBS), stem cell growth supplements, penicillin, and streptomycin. After 10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15 d, fibroblast-like MSCs migrated out of the tissue patches. The studies involving pregnant </w:t>
      </w:r>
      <w:r>
        <w:rPr>
          <w:rFonts w:ascii="Book Antiqua" w:eastAsia="Book Antiqua" w:hAnsi="Book Antiqua" w:cs="Book Antiqua"/>
          <w:color w:val="000000"/>
        </w:rPr>
        <w:lastRenderedPageBreak/>
        <w:t>participants were reviewed and approved by The Ethical Committee of The Second Hospital of Hebei Medical University (approval number: 2021-R496).</w:t>
      </w:r>
    </w:p>
    <w:p w14:paraId="26C0093E" w14:textId="77777777" w:rsidR="00C4529E" w:rsidRDefault="00C4529E">
      <w:pPr>
        <w:spacing w:line="360" w:lineRule="auto"/>
        <w:jc w:val="both"/>
        <w:rPr>
          <w:rFonts w:ascii="Book Antiqua" w:hAnsi="Book Antiqua"/>
        </w:rPr>
      </w:pPr>
    </w:p>
    <w:p w14:paraId="302F5416"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Raw264.7, vascular smooth muscle cell, and primary microvascular endothelial cell cultures</w:t>
      </w:r>
    </w:p>
    <w:p w14:paraId="22B98B30"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color w:val="000000"/>
        </w:rPr>
        <w:t>The murine macrophage cell line Raw264.7 was purchased from the Cell Resource Center of Shanghai Institutes for Biological Sciences, the Chinese Academy of Science (Shanghai, China). Vascular smooth muscle cells were isolated from mouse aortas and cultured in low-glucose Dulbecco’s modified Eagle’s medium containing 10% FBS. Lung primary microvascular endothelial cells were obtained from the lungs of 4-week-old C57 mice through two series of immunoselection with CD31- and CD102-conjugated magnetic beads using a previously described procedure</w:t>
      </w:r>
      <w:r>
        <w:rPr>
          <w:rFonts w:ascii="Book Antiqua" w:eastAsia="Book Antiqua" w:hAnsi="Book Antiqua" w:cs="Book Antiqua"/>
          <w:color w:val="000000"/>
          <w:vertAlign w:val="superscript"/>
        </w:rPr>
        <w:t>[27]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subsequently cultured in endothelial cell medium containing 5% FBS and endothelial cell growth supplements.</w:t>
      </w:r>
    </w:p>
    <w:p w14:paraId="431D76F2" w14:textId="77777777" w:rsidR="00C4529E" w:rsidRDefault="00C4529E">
      <w:pPr>
        <w:spacing w:line="360" w:lineRule="auto"/>
        <w:jc w:val="both"/>
        <w:rPr>
          <w:rFonts w:ascii="Book Antiqua" w:hAnsi="Book Antiqua"/>
        </w:rPr>
      </w:pPr>
    </w:p>
    <w:p w14:paraId="5C68F8D4"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Lentiviral vector construction and transduction</w:t>
      </w:r>
    </w:p>
    <w:p w14:paraId="421ED1D4" w14:textId="77777777" w:rsidR="00C4529E" w:rsidRDefault="009D6006">
      <w:pPr>
        <w:spacing w:line="360" w:lineRule="auto"/>
        <w:jc w:val="both"/>
        <w:rPr>
          <w:rFonts w:ascii="Book Antiqua" w:hAnsi="Book Antiqua"/>
        </w:rPr>
      </w:pPr>
      <w:r>
        <w:rPr>
          <w:rFonts w:ascii="Book Antiqua" w:eastAsia="Book Antiqua" w:hAnsi="Book Antiqua" w:cs="Book Antiqua"/>
          <w:bCs/>
          <w:iCs/>
          <w:color w:val="000000"/>
        </w:rPr>
        <w:t>Lentiviral vector (LV)</w:t>
      </w:r>
      <w:r>
        <w:rPr>
          <w:rFonts w:ascii="Book Antiqua" w:eastAsia="Book Antiqua" w:hAnsi="Book Antiqua" w:cs="Book Antiqua"/>
          <w:color w:val="000000"/>
        </w:rPr>
        <w:t xml:space="preserve"> encoding ITGB3 and GFP as control were generated and packaged by </w:t>
      </w:r>
      <w:proofErr w:type="spellStart"/>
      <w:r>
        <w:rPr>
          <w:rFonts w:ascii="Book Antiqua" w:eastAsia="Book Antiqua" w:hAnsi="Book Antiqua" w:cs="Book Antiqua"/>
          <w:color w:val="000000"/>
        </w:rPr>
        <w:t>Hanbio</w:t>
      </w:r>
      <w:proofErr w:type="spellEnd"/>
      <w:r>
        <w:rPr>
          <w:rFonts w:ascii="Book Antiqua" w:eastAsia="Book Antiqua" w:hAnsi="Book Antiqua" w:cs="Book Antiqua"/>
          <w:color w:val="000000"/>
        </w:rPr>
        <w:t xml:space="preserve"> Biosciences (Shanghai, China).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All LVs were used for MSC transfection with an infection multiplicity of 30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40.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MSCs were plated at a density of 3</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cells/cm</w:t>
      </w:r>
      <w:r>
        <w:rPr>
          <w:rFonts w:ascii="Book Antiqua" w:eastAsia="Book Antiqua" w:hAnsi="Book Antiqua" w:cs="Book Antiqua"/>
          <w:color w:val="000000"/>
          <w:vertAlign w:val="superscript"/>
        </w:rPr>
        <w:t>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each six-well plate, depending on the subsequent use. When MSCs reached 40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50% confluence, the transfection was performed in the presence of polybrene (</w:t>
      </w:r>
      <w:proofErr w:type="spellStart"/>
      <w:r>
        <w:rPr>
          <w:rFonts w:ascii="Book Antiqua" w:eastAsia="Book Antiqua" w:hAnsi="Book Antiqua" w:cs="Book Antiqua"/>
          <w:color w:val="000000"/>
        </w:rPr>
        <w:t>Cyagen</w:t>
      </w:r>
      <w:proofErr w:type="spellEnd"/>
      <w:r>
        <w:rPr>
          <w:rFonts w:ascii="Book Antiqua" w:eastAsia="Book Antiqua" w:hAnsi="Book Antiqua" w:cs="Book Antiqua"/>
          <w:color w:val="000000"/>
        </w:rPr>
        <w:t xml:space="preserve"> Biosciences, Santa Clara, CA,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Following transfection for 72 h, the transfection effectiveness of the virus was checked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through fluorescent staining.</w:t>
      </w:r>
    </w:p>
    <w:p w14:paraId="336492AD" w14:textId="77777777" w:rsidR="00C4529E" w:rsidRDefault="00C4529E">
      <w:pPr>
        <w:spacing w:line="360" w:lineRule="auto"/>
        <w:jc w:val="both"/>
        <w:rPr>
          <w:rFonts w:ascii="Book Antiqua" w:hAnsi="Book Antiqua"/>
        </w:rPr>
      </w:pPr>
    </w:p>
    <w:p w14:paraId="345BB676"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AS model induction and MSC delivery</w:t>
      </w:r>
    </w:p>
    <w:p w14:paraId="3D73AEE0" w14:textId="77777777" w:rsidR="00C4529E" w:rsidRDefault="009D6006">
      <w:pPr>
        <w:spacing w:line="360" w:lineRule="auto"/>
        <w:jc w:val="both"/>
        <w:rPr>
          <w:rFonts w:ascii="Book Antiqua" w:hAnsi="Book Antiqua"/>
        </w:rPr>
      </w:pP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mice (7–8-week-old) were acquired from Beijing Vital River Lab Animal Technology Co., Ltd (Beijing, China). Sixty male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housed in Hebei Medical University and fed with standard chow and drinking water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adapt </w:t>
      </w:r>
      <w:r>
        <w:rPr>
          <w:rFonts w:ascii="Book Antiqua" w:eastAsia="Book Antiqua" w:hAnsi="Book Antiqua" w:cs="Book Antiqua"/>
          <w:color w:val="000000"/>
        </w:rPr>
        <w:lastRenderedPageBreak/>
        <w:t xml:space="preserve">to the new surroundings. Then, all animals were fed a high-fat diet (HFD)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induce the formation of atherosclerotic lesions. These HFD-fed mice were randomly separated into </w:t>
      </w:r>
      <w:r>
        <w:rPr>
          <w:rFonts w:ascii="Book Antiqua" w:eastAsia="Book Antiqua" w:hAnsi="Book Antiqua" w:cs="Book Antiqua"/>
          <w:color w:val="000000"/>
          <w:lang w:eastAsia="zh-Hans"/>
        </w:rPr>
        <w:t>three</w:t>
      </w:r>
      <w:r>
        <w:rPr>
          <w:rFonts w:ascii="Book Antiqua" w:eastAsia="Book Antiqua" w:hAnsi="Book Antiqua" w:cs="Book Antiqua"/>
          <w:color w:val="000000"/>
        </w:rPr>
        <w:t xml:space="preserve"> clusters and received the following treatment: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1) HFD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20) were injected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phosphate-buffered saline (PBS) into the caudal vein every week</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from week 9, four times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in total;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2)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mice (</w:t>
      </w:r>
      <w:r>
        <w:rPr>
          <w:rFonts w:ascii="Book Antiqua" w:eastAsia="Book Antiqua" w:hAnsi="Book Antiqua" w:cs="Book Antiqua"/>
          <w:i/>
          <w:iCs/>
          <w:color w:val="000000"/>
        </w:rPr>
        <w:t>n</w:t>
      </w:r>
      <w:r>
        <w:rPr>
          <w:rFonts w:ascii="Book Antiqua" w:eastAsia="Book Antiqua" w:hAnsi="Book Antiqua" w:cs="Book Antiqua"/>
          <w:color w:val="000000"/>
        </w:rPr>
        <w:t xml:space="preserve"> = 20) receiving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containing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Theme="minorEastAsia" w:hAnsi="Book Antiqua" w:cs="Book Antiqua" w:hint="eastAsia"/>
          <w:color w:val="000000"/>
          <w:lang w:eastAsia="zh-CN"/>
        </w:rPr>
        <w:t xml:space="preserv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intravenously through the tail vein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every week</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from week</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9; and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3)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mice (</w:t>
      </w:r>
      <w:r>
        <w:rPr>
          <w:rFonts w:ascii="Book Antiqua" w:eastAsia="Book Antiqua" w:hAnsi="Book Antiqua" w:cs="Book Antiqua"/>
          <w:i/>
          <w:iCs/>
          <w:color w:val="000000"/>
        </w:rPr>
        <w:t>n</w:t>
      </w:r>
      <w:r>
        <w:rPr>
          <w:rFonts w:ascii="Book Antiqua" w:eastAsia="Book Antiqua" w:hAnsi="Book Antiqua" w:cs="Book Antiqua"/>
          <w:color w:val="000000"/>
        </w:rPr>
        <w:t xml:space="preserve"> = 20) receiving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containing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intravenously through the tail vein every week from week 9. The animals were euthanized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HFD, the aorta and aortic sinus were collected, and histological samples were processed for subsequent atherosclerosis assessment. At the same time, blood samples were collected to determine lipid levels.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All animal procedures complied with the Guide for the Care and Use of Experimental Laboratory Animals and were approved by the Animal Care Committee of The Second Hospital of Hebei Medical University (No. 2021-R496).</w:t>
      </w:r>
    </w:p>
    <w:p w14:paraId="1A089155" w14:textId="77777777" w:rsidR="00C4529E" w:rsidRDefault="00C4529E">
      <w:pPr>
        <w:spacing w:line="360" w:lineRule="auto"/>
        <w:jc w:val="both"/>
        <w:rPr>
          <w:rFonts w:ascii="Book Antiqua" w:hAnsi="Book Antiqua"/>
        </w:rPr>
      </w:pPr>
    </w:p>
    <w:p w14:paraId="55BC2812"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Echocardiographic assessment</w:t>
      </w:r>
    </w:p>
    <w:p w14:paraId="2E5A0B3D"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At the end of week 12,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u w:color="000000"/>
        </w:rPr>
        <w:t>10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gas-anesthetized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facemask and kept on a minimal dose of isoflurane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2.0%). The mice were placed in a supine position and maintained spontaneous breathing with isoflurane insufflation throughout the echocardiographic assessment.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Echocardiographic data were recorded by a </w:t>
      </w:r>
      <w:proofErr w:type="spellStart"/>
      <w:r>
        <w:rPr>
          <w:rFonts w:ascii="Book Antiqua" w:eastAsia="Book Antiqua" w:hAnsi="Book Antiqua" w:cs="Book Antiqua"/>
          <w:color w:val="000000"/>
        </w:rPr>
        <w:t>VisualSonics</w:t>
      </w:r>
      <w:proofErr w:type="spellEnd"/>
      <w:r>
        <w:rPr>
          <w:rFonts w:ascii="Book Antiqua" w:eastAsia="Book Antiqua" w:hAnsi="Book Antiqua" w:cs="Book Antiqua"/>
          <w:color w:val="000000"/>
        </w:rPr>
        <w:t xml:space="preserve"> Vevo2100 Imaging System (Fujifilm Visual Sonics Inc., Tokyo, Japan) with an EZ-SA800 Single Animal System (E-Z Systems Inc., Bethlehem, PA,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xml:space="preserve">). Ascending aorta functions were evaluated from the parasternal view of the long axis. The diameter of the systolic aorta was measured at the peak anterior movement point of the ascending aorta, and the diameter of the diastolic aorta was measured using a Q-wave (end-diastolic) echocardiogram. The average diameter measurements of five consecutive heart cycles were selected for data analysis. Meanwhile, left ventricle function and heart chamber dimensions were also evaluated, including the left </w:t>
      </w:r>
      <w:r>
        <w:rPr>
          <w:rFonts w:ascii="Book Antiqua" w:eastAsia="Book Antiqua" w:hAnsi="Book Antiqua" w:cs="Book Antiqua"/>
          <w:color w:val="000000"/>
        </w:rPr>
        <w:lastRenderedPageBreak/>
        <w:t>ventricular ejection fraction (EF) and left ventricular fractional shortening (FS), using accompanying software. The data were recorded and analyzed.</w:t>
      </w:r>
    </w:p>
    <w:p w14:paraId="4F6DEEB0" w14:textId="77777777" w:rsidR="00C4529E" w:rsidRDefault="00C4529E">
      <w:pPr>
        <w:spacing w:line="360" w:lineRule="auto"/>
        <w:jc w:val="both"/>
        <w:rPr>
          <w:rFonts w:ascii="Book Antiqua" w:hAnsi="Book Antiqua"/>
        </w:rPr>
      </w:pPr>
    </w:p>
    <w:p w14:paraId="476AB35F"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Murine aortic tissue culture</w:t>
      </w:r>
    </w:p>
    <w:p w14:paraId="637030C1"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Murine aortic rings were cultured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Briefly,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HFD, external organs and tissues were removed. Then, the whole aortic vessel was separated from the adipose and surrounding tissue. The aorta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was divided into 2</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mm rings and cultured in low-glucose Dulbecco’s modified Eagle’s medium supplemented with 5% FBS. Aortic rings were maintained at 37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 in 5% CO</w:t>
      </w:r>
      <w:r>
        <w:rPr>
          <w:rFonts w:ascii="Book Antiqua" w:eastAsia="Book Antiqua" w:hAnsi="Book Antiqua" w:cs="Book Antiqua"/>
          <w:color w:val="000000"/>
          <w:vertAlign w:val="subscript"/>
        </w:rPr>
        <w:t>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 24 h for further experiments.</w:t>
      </w:r>
    </w:p>
    <w:p w14:paraId="620B55DF" w14:textId="77777777" w:rsidR="00C4529E" w:rsidRDefault="00C4529E">
      <w:pPr>
        <w:spacing w:line="360" w:lineRule="auto"/>
        <w:jc w:val="both"/>
        <w:rPr>
          <w:rFonts w:ascii="Book Antiqua" w:hAnsi="Book Antiqua"/>
        </w:rPr>
      </w:pPr>
    </w:p>
    <w:p w14:paraId="67EA2C38"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Hematoxylin and eosin staining, Masson's trichrome staining, and oil red</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b/>
          <w:bCs/>
          <w:i/>
          <w:iCs/>
          <w:color w:val="000000"/>
        </w:rPr>
        <w:t>O staining</w:t>
      </w:r>
    </w:p>
    <w:p w14:paraId="1DAF42E0"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The aortic arch and aortic valve were harvested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HFD. The animals were euthanized, and the left ventricles were cannulated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injected with PBS containing heparin. Thereafter, the aortic arch and aortic valve were separated, embedded in optimal cutting temperature compound, shortly frozen in liquid nitrogen, and sliced. Subsequently, </w:t>
      </w:r>
      <w:r>
        <w:rPr>
          <w:rFonts w:ascii="Book Antiqua" w:eastAsiaTheme="minorEastAsia" w:hAnsi="Book Antiqua" w:cs="Book Antiqua" w:hint="eastAsia"/>
          <w:bCs/>
          <w:iCs/>
          <w:color w:val="000000"/>
          <w:lang w:eastAsia="zh-CN"/>
        </w:rPr>
        <w:t>h</w:t>
      </w:r>
      <w:r>
        <w:rPr>
          <w:rFonts w:ascii="Book Antiqua" w:eastAsia="Book Antiqua" w:hAnsi="Book Antiqua" w:cs="Book Antiqua"/>
          <w:bCs/>
          <w:iCs/>
          <w:color w:val="000000"/>
        </w:rPr>
        <w:t>ematoxylin and eosin (HE)</w:t>
      </w:r>
      <w:r>
        <w:rPr>
          <w:rFonts w:ascii="Book Antiqua" w:eastAsia="Book Antiqua" w:hAnsi="Book Antiqua" w:cs="Book Antiqua"/>
          <w:color w:val="000000"/>
        </w:rPr>
        <w:t xml:space="preserve"> staining was performed to assess plaque size. The cross-sectional areas of the plaque were measured with Image-Pro Plus (IPP) 6.0 software (Media Cybernetics Corp., Rockville, MD,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Collagen depositions were assessed using Masson's trichrome staining. Average values were determined from at least three sections in each sample.</w:t>
      </w:r>
    </w:p>
    <w:p w14:paraId="67A55FBE"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 xml:space="preserve">For </w:t>
      </w:r>
      <w:r>
        <w:rPr>
          <w:rFonts w:ascii="Book Antiqua" w:eastAsia="Book Antiqua" w:hAnsi="Book Antiqua" w:cs="Book Antiqua"/>
          <w:bCs/>
          <w:iCs/>
          <w:color w:val="000000"/>
        </w:rPr>
        <w:t>oil red</w:t>
      </w:r>
      <w:r>
        <w:rPr>
          <w:rFonts w:ascii="Book Antiqua" w:eastAsiaTheme="minorEastAsia" w:hAnsi="Book Antiqua" w:cs="Book Antiqua" w:hint="eastAsia"/>
          <w:iCs/>
          <w:color w:val="000000"/>
          <w:lang w:eastAsia="zh-CN"/>
        </w:rPr>
        <w:t xml:space="preserve"> </w:t>
      </w:r>
      <w:r>
        <w:rPr>
          <w:rFonts w:ascii="Book Antiqua" w:eastAsia="Book Antiqua" w:hAnsi="Book Antiqua" w:cs="Book Antiqua"/>
          <w:bCs/>
          <w:iCs/>
          <w:color w:val="000000"/>
        </w:rPr>
        <w:t>O (ORO)</w:t>
      </w:r>
      <w:r>
        <w:rPr>
          <w:rFonts w:ascii="Book Antiqua" w:eastAsia="Book Antiqua" w:hAnsi="Book Antiqua" w:cs="Book Antiqua"/>
          <w:color w:val="000000"/>
        </w:rPr>
        <w:t xml:space="preserve"> staining, the fixed whole aorta was incubated with 0.3% ORO solution (Sigma-Aldrich, St Louis, MO,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for 20 min and, then, washed with 60% isopropanol. Frozen aortic arch and aortic valve sections were incubated with ORO for 5 min, washed with PBS, and counterstained with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hematoxylin. The atherosclerotic lesions were photographed using a light microscope (Carl Zeiss, Jena, Germany) and quantified using IPP 6.0 software.</w:t>
      </w:r>
    </w:p>
    <w:p w14:paraId="4E56EA18" w14:textId="77777777" w:rsidR="00C4529E" w:rsidRDefault="00C4529E">
      <w:pPr>
        <w:spacing w:line="360" w:lineRule="auto"/>
        <w:ind w:firstLine="510"/>
        <w:jc w:val="both"/>
        <w:rPr>
          <w:rFonts w:ascii="Book Antiqua" w:hAnsi="Book Antiqua"/>
        </w:rPr>
      </w:pPr>
    </w:p>
    <w:p w14:paraId="775F6E09"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Cell viability assay</w:t>
      </w:r>
    </w:p>
    <w:p w14:paraId="230D4EE0"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lastRenderedPageBreak/>
        <w:t>The effects of LV transfection on MSC viability were evaluated using cell counting kit 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(CCK-8) assays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Briefly, MSCs,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seeded into 96-well plates at a density of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respectively. After 24 h, CCK-8 was added to each well and incubated at 37</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 for 1 h. The absorbance was measured at 450 nm using a </w:t>
      </w:r>
      <w:proofErr w:type="spellStart"/>
      <w:r>
        <w:rPr>
          <w:rFonts w:ascii="Book Antiqua" w:eastAsia="Book Antiqua" w:hAnsi="Book Antiqua" w:cs="Book Antiqua"/>
          <w:color w:val="000000"/>
        </w:rPr>
        <w:t>VersaMax</w:t>
      </w:r>
      <w:proofErr w:type="spellEnd"/>
      <w:r>
        <w:rPr>
          <w:rFonts w:ascii="Book Antiqua" w:eastAsia="Book Antiqua" w:hAnsi="Book Antiqua" w:cs="Book Antiqua"/>
          <w:color w:val="000000"/>
        </w:rPr>
        <w:t xml:space="preserve"> (Ocean Springs, MI,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microplate scanner.</w:t>
      </w:r>
    </w:p>
    <w:p w14:paraId="5097A7BD" w14:textId="77777777" w:rsidR="00C4529E" w:rsidRDefault="00C4529E">
      <w:pPr>
        <w:spacing w:line="360" w:lineRule="auto"/>
        <w:jc w:val="both"/>
        <w:rPr>
          <w:rFonts w:ascii="Book Antiqua" w:hAnsi="Book Antiqua"/>
        </w:rPr>
      </w:pPr>
    </w:p>
    <w:p w14:paraId="650AD89F"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b/>
          <w:bCs/>
          <w:i/>
          <w:iCs/>
          <w:color w:val="000000"/>
        </w:rPr>
        <w:t>Chemotaxis assays</w:t>
      </w:r>
    </w:p>
    <w:p w14:paraId="6C25393B"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color w:val="000000"/>
        </w:rPr>
        <w:t>Chemotaxis assays were operated in 24-well transmembrane chambers with 8-µm pore filters. To test the ability of stem cells to migrate toward defined chemokines, Raw264.7, vascular smooth muscle cells, and primary microvascular endothelial cells were separately seeded into the lower chamber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 After achieving confluence, serum-free cells were stimulated with tumor necrosis factor-α</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(TNF-α, 20 ng/mL) for 24 h. Then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and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respectively plated into the upper chamber at 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 After incubation for 24 h, the upper layer of cells was removed, and the lower layer was stained with crystal violet.</w:t>
      </w:r>
    </w:p>
    <w:p w14:paraId="6B1174BB"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For the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vascular atherosclerotic plaque,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sacrificed after week 12. Aortic rings were separately cultured for 24 h in Dulbecco's modified Eagle's medium with 5% FBS. Next,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and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respectively plated into the upper chamber at 2</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cells/well.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medium for re-suspending MSCs matched the medium in the lower chamber. After incubation for 24 h, non-migrated cells were removed from the upper surface, and the cells that had migrated across the membrane to the lower surface were fixed with 4% paraformaldehyde and stained with crystal violet. For each membrane, five fields of view were imaged and analyzed. Each experiment was repeated at least three times, and the number of migrated cells was expressed as the mean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standard error of the mean (SEM) of total cell counts per field.</w:t>
      </w:r>
    </w:p>
    <w:p w14:paraId="17B82425" w14:textId="77777777" w:rsidR="00C4529E" w:rsidRDefault="00C4529E">
      <w:pPr>
        <w:spacing w:line="360" w:lineRule="auto"/>
        <w:ind w:firstLine="510"/>
        <w:jc w:val="both"/>
        <w:rPr>
          <w:rFonts w:ascii="Book Antiqua" w:hAnsi="Book Antiqua"/>
        </w:rPr>
      </w:pPr>
    </w:p>
    <w:p w14:paraId="0E4F5CD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RNA extraction and quantitative real-time polymerase chain reaction</w:t>
      </w:r>
    </w:p>
    <w:p w14:paraId="15A841FA"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lastRenderedPageBreak/>
        <w:t xml:space="preserve">Total RNA of cells or tissue samples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according to the manufacturer’s protocol. cDNA was synthesized using the M-MLV First Strand Kit. </w:t>
      </w:r>
      <w:r>
        <w:rPr>
          <w:rFonts w:ascii="Book Antiqua" w:eastAsiaTheme="minorEastAsia" w:hAnsi="Book Antiqua" w:cs="Book Antiqua" w:hint="eastAsia"/>
          <w:bCs/>
          <w:iCs/>
          <w:color w:val="000000"/>
          <w:lang w:eastAsia="zh-CN"/>
        </w:rPr>
        <w:t>Q</w:t>
      </w:r>
      <w:r>
        <w:rPr>
          <w:rFonts w:ascii="Book Antiqua" w:eastAsia="Book Antiqua" w:hAnsi="Book Antiqua" w:cs="Book Antiqua"/>
          <w:bCs/>
          <w:iCs/>
          <w:color w:val="000000"/>
        </w:rPr>
        <w:t>uantitative real-time polymerase chain reaction (</w:t>
      </w:r>
      <w:proofErr w:type="spellStart"/>
      <w:r>
        <w:rPr>
          <w:rFonts w:ascii="Book Antiqua" w:eastAsia="Book Antiqua" w:hAnsi="Book Antiqua" w:cs="Book Antiqua"/>
          <w:bCs/>
          <w:iCs/>
          <w:color w:val="000000"/>
        </w:rPr>
        <w:t>qRT</w:t>
      </w:r>
      <w:proofErr w:type="spellEnd"/>
      <w:r>
        <w:rPr>
          <w:rFonts w:ascii="Book Antiqua" w:eastAsia="Book Antiqua" w:hAnsi="Book Antiqua" w:cs="Book Antiqua"/>
          <w:bCs/>
          <w:iCs/>
          <w:color w:val="000000"/>
        </w:rPr>
        <w:t>-PCR)</w:t>
      </w:r>
      <w:r>
        <w:rPr>
          <w:rFonts w:ascii="Book Antiqua" w:eastAsia="Book Antiqua" w:hAnsi="Book Antiqua" w:cs="Book Antiqua"/>
          <w:color w:val="000000"/>
        </w:rPr>
        <w:t xml:space="preserve"> using SYBR Green qPCR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were performed using an ABI 7500.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analyses were repeated at least three times.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data were standardized to β-actin expression, using the 2</w:t>
      </w:r>
      <w:r>
        <w:rPr>
          <w:rFonts w:ascii="Book Antiqua" w:eastAsia="Book Antiqua" w:hAnsi="Book Antiqua" w:cs="Book Antiqua"/>
          <w:color w:val="000000"/>
          <w:vertAlign w:val="superscript"/>
        </w:rPr>
        <w:t>−ΔΔCt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method. The primers used are listed in</w:t>
      </w:r>
      <w:r>
        <w:rPr>
          <w:rFonts w:ascii="Book Antiqua" w:eastAsiaTheme="minorEastAsia" w:hAnsi="Book Antiqua" w:cs="Book Antiqua"/>
          <w:b/>
          <w:bCs/>
          <w:color w:val="000000"/>
          <w:lang w:eastAsia="zh-CN"/>
        </w:rPr>
        <w:t xml:space="preserve"> </w:t>
      </w:r>
      <w:r>
        <w:rPr>
          <w:rFonts w:ascii="Book Antiqua" w:eastAsiaTheme="minorEastAsia" w:hAnsi="Book Antiqua" w:cs="Book Antiqua"/>
          <w:bCs/>
          <w:color w:val="000000"/>
          <w:lang w:eastAsia="zh-CN"/>
        </w:rPr>
        <w:t xml:space="preserve">Supplementary </w:t>
      </w:r>
      <w:r>
        <w:rPr>
          <w:rFonts w:ascii="Book Antiqua" w:eastAsia="Book Antiqua" w:hAnsi="Book Antiqua" w:cs="Book Antiqua"/>
          <w:color w:val="000000"/>
        </w:rPr>
        <w:t>Table 1. The average threshold cycle for each gene was determined from at least three independent experiments.</w:t>
      </w:r>
    </w:p>
    <w:p w14:paraId="72F7BFF3" w14:textId="77777777" w:rsidR="00C4529E" w:rsidRDefault="00C4529E">
      <w:pPr>
        <w:spacing w:line="360" w:lineRule="auto"/>
        <w:jc w:val="both"/>
        <w:rPr>
          <w:rFonts w:ascii="Book Antiqua" w:hAnsi="Book Antiqua"/>
        </w:rPr>
      </w:pPr>
    </w:p>
    <w:p w14:paraId="258BCCF5"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Western blot analysis</w:t>
      </w:r>
    </w:p>
    <w:p w14:paraId="7F429A4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Cell or tissue lysates were extracted with lysis buffer. Equal amounts of protein were separated by 10% sodium dodecyl-sulfate polyacrylamide gel electrophoresis and transferred to a polyvinylidene fluoride membrane. The membranes were blocked with 5% bovine serum albumin for 1 h at room temperature, incubated with specific antibodies against VCAM-1, ICAM-1, OPN, and GAPDH at 4</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 overnight, and, then, incubated with horseradish peroxidase-conjugated anti-mouse or anti-rabbit immunoglobulin G for 1 h at room temperature. Antigen-antibody complexes were assessed using the GE </w:t>
      </w:r>
      <w:proofErr w:type="spellStart"/>
      <w:r>
        <w:rPr>
          <w:rFonts w:ascii="Book Antiqua" w:eastAsia="Book Antiqua" w:hAnsi="Book Antiqua" w:cs="Book Antiqua"/>
          <w:color w:val="000000"/>
        </w:rPr>
        <w:t>ImageQuant</w:t>
      </w:r>
      <w:proofErr w:type="spellEnd"/>
      <w:r>
        <w:rPr>
          <w:rFonts w:ascii="Book Antiqua" w:eastAsia="Book Antiqua" w:hAnsi="Book Antiqua" w:cs="Book Antiqua"/>
          <w:color w:val="000000"/>
        </w:rPr>
        <w:t>™ LAS 4000 detection system (GE Healthcare Inc., Chicago, IL,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The protein bands of interest were quantified with IPP 6.0 software.</w:t>
      </w:r>
    </w:p>
    <w:p w14:paraId="3924CC37" w14:textId="77777777" w:rsidR="00C4529E" w:rsidRDefault="00C4529E">
      <w:pPr>
        <w:spacing w:line="360" w:lineRule="auto"/>
        <w:jc w:val="both"/>
        <w:rPr>
          <w:rFonts w:ascii="Book Antiqua" w:hAnsi="Book Antiqua"/>
        </w:rPr>
      </w:pPr>
    </w:p>
    <w:p w14:paraId="53BB25BB"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Statistical analyses</w:t>
      </w:r>
    </w:p>
    <w:p w14:paraId="4DA36946"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Data analysis was performed with GraphPad Prism 8 software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(GraphPad Software, Inc., San Diego, CA, U</w:t>
      </w:r>
      <w:r>
        <w:rPr>
          <w:rFonts w:ascii="Book Antiqua" w:eastAsiaTheme="minorEastAsia" w:hAnsi="Book Antiqua" w:cs="Book Antiqua" w:hint="eastAsia"/>
          <w:color w:val="000000"/>
          <w:lang w:eastAsia="zh-CN"/>
        </w:rPr>
        <w:t>nited States</w:t>
      </w:r>
      <w:r>
        <w:rPr>
          <w:rFonts w:ascii="Book Antiqua" w:eastAsia="Book Antiqua" w:hAnsi="Book Antiqua" w:cs="Book Antiqua"/>
          <w:color w:val="000000"/>
        </w:rPr>
        <w:t>). Data are displayed as mean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SEMs, and each independent experiment was repeated three times.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The statistical significance of differences between two groups was determined using the unpaired Student’s t-test, and comparisons of more than two groups were performed using a one-way analysis of variance. For all statistical comparisons, significance was considered at </w:t>
      </w:r>
      <w:r>
        <w:rPr>
          <w:rFonts w:ascii="Book Antiqua" w:eastAsiaTheme="minorEastAsia" w:hAnsi="Book Antiqua" w:cs="Book Antiqua" w:hint="eastAsia"/>
          <w:i/>
          <w:color w:val="000000"/>
          <w:lang w:eastAsia="zh-CN"/>
        </w:rPr>
        <w:t>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0.05.</w:t>
      </w:r>
    </w:p>
    <w:p w14:paraId="110A8351" w14:textId="77777777" w:rsidR="00C4529E" w:rsidRDefault="00C4529E">
      <w:pPr>
        <w:spacing w:line="360" w:lineRule="auto"/>
        <w:jc w:val="both"/>
        <w:rPr>
          <w:rFonts w:ascii="Book Antiqua" w:hAnsi="Book Antiqua"/>
        </w:rPr>
      </w:pPr>
    </w:p>
    <w:p w14:paraId="5B5C6895"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324F1C7"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lastRenderedPageBreak/>
        <w:t>Inflammatory factors containing the RGD motif are highly upregulated in atherosclerotic vessels</w:t>
      </w:r>
    </w:p>
    <w:p w14:paraId="3B5C040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Atherosclerosis is a chronic inflammatory disease of the arteries with high expression of adherence molecules. We tested the expression of VCAM-1, ICAM-1, and OPN because studies have shown that they contain the RGD motif that can bind to the ITGB3 </w:t>
      </w:r>
      <w:proofErr w:type="gramStart"/>
      <w:r>
        <w:rPr>
          <w:rFonts w:ascii="Book Antiqua" w:eastAsia="Book Antiqua" w:hAnsi="Book Antiqua" w:cs="Book Antiqua"/>
          <w:color w:val="000000"/>
        </w:rPr>
        <w:t>receptor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19,20,30]</w:t>
      </w:r>
      <w:r>
        <w:rPr>
          <w:rFonts w:ascii="Book Antiqua" w:eastAsia="Book Antiqua" w:hAnsi="Book Antiqua" w:cs="Book Antiqua"/>
          <w:color w:val="000000"/>
        </w:rPr>
        <w:t xml:space="preserve">. Our results demonstrated that the protein expression levels of VCAM-1, ICAM-1, and OPN were six to eight times higher in atherosclerotic than in control blood vessels (Figure 1A). Similarly,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immunofluorescence staining also confirmed that the three adhesion factors considerably increased at sites of inflammation (Figure 1B–D).</w:t>
      </w:r>
    </w:p>
    <w:p w14:paraId="54129AB8" w14:textId="77777777" w:rsidR="00C4529E" w:rsidRDefault="00C4529E">
      <w:pPr>
        <w:spacing w:line="360" w:lineRule="auto"/>
        <w:jc w:val="both"/>
        <w:rPr>
          <w:rFonts w:ascii="Book Antiqua" w:hAnsi="Book Antiqua"/>
        </w:rPr>
      </w:pPr>
    </w:p>
    <w:p w14:paraId="68C65517"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The ITGB3 receptor is scarcely expressed on human UC-derived MSCs, and ITGB3 overexpression by MSCs does not affect other MSC characteristics</w:t>
      </w:r>
    </w:p>
    <w:p w14:paraId="1BBB41CD"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Inflammatory factors that are highly expressed at plaque sites and matching receptors expressed on the surface of MSCs play an important role in guiding stem cells. Thus, we analyzed the expression of the ITGB3 receptor using western blot,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and fluorescence staining methods. First, human MSCs at the third passage had very low expression of the ITGB3 receptor at the protein and mRNA levels (Figure 2A</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B). Second, immunofluorescence staining confirmed that MSCs barely expressed the ITGB3 receptor (Figure 2C</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D). To further determine whether overexpression of ITGB3 receptor in MSCs can promote their homing capability toward plaque tissues, MSCs were transfected with LVs encoding ITGB3 and GFP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 short) or GFP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for short). We found that both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highly expressed GFP, confirming the stable expression of the GFP reporter gene (Figure 2C). In contrast to</w:t>
      </w:r>
      <w:r>
        <w:rPr>
          <w:rFonts w:ascii="Book Antiqua" w:eastAsiaTheme="minorEastAsia" w:hAnsi="Book Antiqua" w:cs="Book Antiqua" w:hint="eastAsia"/>
          <w:color w:val="000000"/>
          <w:vertAlign w:val="superscript"/>
          <w:lang w:eastAsia="zh-CN"/>
        </w:rPr>
        <w:t xml:space="preserv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and MSCs,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showed substantially stronger expression of ITGB3 at the protein, mRNA, and fluorescence staining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levels (Figure 2A–D). Moreover, ITGB3 overexpression did not affect stem cell viability according to CCK8 analyses (Figure 2E). To further verify whether transfection of ITGB3 affects the differentiation properties of MSCs, we observed several typical stem cell markers using flow cytometry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PCR analyses. The results showed that in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MSC-specific markers (CD73, CD105, and CD29), but not hemopoietic stem cell antigens (CD34 and human leukocyte antigen-DR), were highly expressed (Figure 2F</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G). The differentiation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into adipocytes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osteoblasts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was separately evaluated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using ORO and Alizarin red staining (Figure 2H</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Theme="minorEastAsia" w:hAnsi="Book Antiqua" w:cs="Book Antiqua" w:hint="eastAsia"/>
          <w:lang w:eastAsia="zh-CN"/>
        </w:rPr>
        <w:t>I</w:t>
      </w:r>
      <w:r>
        <w:rPr>
          <w:rFonts w:ascii="Book Antiqua" w:eastAsia="Book Antiqua" w:hAnsi="Book Antiqua" w:cs="Book Antiqua"/>
          <w:color w:val="000000"/>
        </w:rPr>
        <w:t xml:space="preserve">). Moreover, marker genes in induced adipocytes and osteoblasts were verified through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(Figure 2</w:t>
      </w:r>
      <w:r>
        <w:rPr>
          <w:rFonts w:ascii="Book Antiqua" w:eastAsiaTheme="minorEastAsia" w:hAnsi="Book Antiqua" w:cs="Book Antiqua" w:hint="eastAsia"/>
          <w:color w:val="000000"/>
          <w:lang w:eastAsia="zh-CN"/>
        </w:rPr>
        <w:t>J and</w:t>
      </w:r>
      <w:r>
        <w:rPr>
          <w:rFonts w:ascii="Book Antiqua" w:eastAsia="Book Antiqua" w:hAnsi="Book Antiqua" w:cs="Book Antiqua"/>
          <w:color w:val="000000"/>
        </w:rPr>
        <w:t xml:space="preserve"> K). These findings confirmed that transfected MSCs still have stem cell properties.</w:t>
      </w:r>
    </w:p>
    <w:p w14:paraId="79D82545" w14:textId="77777777" w:rsidR="00C4529E" w:rsidRDefault="00C4529E">
      <w:pPr>
        <w:spacing w:line="360" w:lineRule="auto"/>
        <w:jc w:val="both"/>
        <w:rPr>
          <w:rFonts w:ascii="Book Antiqua" w:hAnsi="Book Antiqua"/>
        </w:rPr>
      </w:pPr>
    </w:p>
    <w:p w14:paraId="741AB31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ITGB3 enhances MSC migration toward inflammatory sites in vitro and in vivo</w:t>
      </w:r>
    </w:p>
    <w:p w14:paraId="3F545556"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ITGB3 is vital for cell migration, adhesion, and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20–22,31]</w:t>
      </w:r>
      <w:r>
        <w:rPr>
          <w:rFonts w:ascii="Book Antiqua" w:eastAsia="Book Antiqua" w:hAnsi="Book Antiqua" w:cs="Book Antiqua"/>
          <w:color w:val="000000"/>
        </w:rPr>
        <w:t>. Therefore, we next checked whether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could promote MSC migration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The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cell chemotaxis assay showed that in the presence of TNF-α,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displayed a significantly increased migration toward the bottom chamber, especially if it contained macrophages (Figure 3A</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B). However, in the absence of TNF-α, all cells showed similar, very low, nonspecific migration toward the lower, cell-containing chamber (Figure 3A</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B). We also performed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-based chemotaxis assays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using atherosclerotic aorta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samples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3C</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D).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had the highest migratory activity, indicating that the atherosclerotic plaque secreted inflammatory factors which were </w:t>
      </w:r>
      <w:proofErr w:type="spellStart"/>
      <w:r>
        <w:rPr>
          <w:rFonts w:ascii="Book Antiqua" w:eastAsia="Book Antiqua" w:hAnsi="Book Antiqua" w:cs="Book Antiqua"/>
          <w:color w:val="000000"/>
        </w:rPr>
        <w:t>chemoattractants</w:t>
      </w:r>
      <w:proofErr w:type="spellEnd"/>
      <w:r>
        <w:rPr>
          <w:rFonts w:ascii="Book Antiqua" w:eastAsia="Book Antiqua" w:hAnsi="Book Antiqua" w:cs="Book Antiqua"/>
          <w:color w:val="000000"/>
        </w:rPr>
        <w:t xml:space="preserve"> for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xml:space="preserve">, but not for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3C</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D). Next, we observed whether MSCs migrate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following intravenous infusion.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injected into HFD mice through the tail vein every week from weeks 9 to 12. The aortas were collected from each group at the end of week 12 for in situ fluorescence staining. The results showed that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were highly aggregated at sites of inflammation, whereas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had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less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positive staining at such sites (Figure 3E</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F). Meanwhile,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results also revealed that there was a higher GFP expression 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group when compared to the GFP expression in the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 (Figure 3G). However, there were negligible MSCs in the myocardium, and no difference between the two groups was observed (Supplementary Figure 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These data suggested that ITGB3 overexpression promoted </w:t>
      </w:r>
      <w:r>
        <w:rPr>
          <w:rFonts w:ascii="Book Antiqua" w:eastAsia="Book Antiqua" w:hAnsi="Book Antiqua" w:cs="Book Antiqua"/>
          <w:color w:val="000000"/>
        </w:rPr>
        <w:lastRenderedPageBreak/>
        <w:t>the targeted migration of MSCs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possibly by targeting inflammatory factors containing the RGD structure.</w:t>
      </w:r>
    </w:p>
    <w:p w14:paraId="215AAD12" w14:textId="77777777" w:rsidR="00C4529E" w:rsidRDefault="00C4529E">
      <w:pPr>
        <w:spacing w:line="360" w:lineRule="auto"/>
        <w:jc w:val="both"/>
        <w:rPr>
          <w:rFonts w:ascii="Book Antiqua" w:hAnsi="Book Antiqua"/>
        </w:rPr>
      </w:pPr>
    </w:p>
    <w:p w14:paraId="2EAE437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MSCs</w:t>
      </w:r>
      <w:r>
        <w:rPr>
          <w:rFonts w:ascii="Book Antiqua" w:eastAsia="Book Antiqua" w:hAnsi="Book Antiqua" w:cs="Book Antiqua"/>
          <w:b/>
          <w:bCs/>
          <w:i/>
          <w:iCs/>
          <w:color w:val="000000"/>
          <w:vertAlign w:val="superscript"/>
        </w:rPr>
        <w:t>ITGB3</w:t>
      </w:r>
      <w:r>
        <w:rPr>
          <w:rFonts w:ascii="Book Antiqua" w:eastAsiaTheme="minorEastAsia" w:hAnsi="Book Antiqua" w:cs="Book Antiqua" w:hint="eastAsia"/>
          <w:b/>
          <w:bCs/>
          <w:i/>
          <w:iCs/>
          <w:color w:val="000000"/>
          <w:vertAlign w:val="superscript"/>
          <w:lang w:eastAsia="zh-CN"/>
        </w:rPr>
        <w:t xml:space="preserve"> </w:t>
      </w:r>
      <w:r>
        <w:rPr>
          <w:rFonts w:ascii="Book Antiqua" w:eastAsia="Book Antiqua" w:hAnsi="Book Antiqua" w:cs="Book Antiqua"/>
          <w:b/>
          <w:bCs/>
          <w:i/>
          <w:iCs/>
          <w:color w:val="000000"/>
        </w:rPr>
        <w:t xml:space="preserve">reduce the progression of atherosclerotic plaques in </w:t>
      </w:r>
      <w:proofErr w:type="spellStart"/>
      <w:r>
        <w:rPr>
          <w:rFonts w:ascii="Book Antiqua" w:eastAsia="Book Antiqua" w:hAnsi="Book Antiqua" w:cs="Book Antiqua"/>
          <w:b/>
          <w:bCs/>
          <w:i/>
          <w:iCs/>
          <w:color w:val="000000"/>
        </w:rPr>
        <w:t>ApoE</w:t>
      </w:r>
      <w:proofErr w:type="spellEnd"/>
      <w:r>
        <w:rPr>
          <w:rFonts w:ascii="Book Antiqua" w:eastAsia="Book Antiqua" w:hAnsi="Book Antiqua" w:cs="Book Antiqua"/>
          <w:b/>
          <w:bCs/>
          <w:i/>
          <w:iCs/>
          <w:color w:val="000000"/>
          <w:vertAlign w:val="superscript"/>
        </w:rPr>
        <w:t>-/-</w:t>
      </w:r>
      <w:r>
        <w:rPr>
          <w:rFonts w:ascii="Book Antiqua" w:eastAsiaTheme="minorEastAsia" w:hAnsi="Book Antiqua" w:cs="Book Antiqua" w:hint="eastAsia"/>
          <w:b/>
          <w:bCs/>
          <w:i/>
          <w:iCs/>
          <w:color w:val="000000"/>
          <w:lang w:eastAsia="zh-CN"/>
        </w:rPr>
        <w:t xml:space="preserve"> </w:t>
      </w:r>
      <w:r>
        <w:rPr>
          <w:rFonts w:ascii="Book Antiqua" w:eastAsia="Book Antiqua" w:hAnsi="Book Antiqua" w:cs="Book Antiqua"/>
          <w:b/>
          <w:bCs/>
          <w:i/>
          <w:iCs/>
          <w:color w:val="000000"/>
        </w:rPr>
        <w:t>mice fed an HFD</w:t>
      </w:r>
    </w:p>
    <w:p w14:paraId="6E5DE67E"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To explore the effects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 the progression of atherosclerosis, the whole aorta, aortic root, and aortic arch were stained with 0.5% ORO, and the stained areas were quantified to determine the atherosclerotic plaque area.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stained area in the aorta was substantially decreased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when compared with that of the HFD and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4A</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B). The stained areas in the aortic root and aortic arch decreased 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 compared with the corresponding in the HFD and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groups (Figure 4C). HE and Masson's trichrome staining analyses of sections taken from the aortic root and aortic arch demonstrated that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inhibited aortic plaque formation and collagen deposition more effectively than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4D</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E). Aortic stiffness is the earliest detectable evidence of changes in arterial wall function. Echocardiographic results showed that both systolic and diastolic diameters were considerably increased while the vessel wall thickness was decreased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(Figure 4F). However, left ventricular EF and FS were not different among the three groups (Supplementary Figure 2). The number of macrophages in atherosclerotic plaques at the aortic arch was determined by F4/80 staining. The F4/80 staining-positive areas were notably reduced in the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 compared with the HFD group (Figure 4G).</w:t>
      </w:r>
    </w:p>
    <w:p w14:paraId="23606291" w14:textId="77777777" w:rsidR="00C4529E" w:rsidRDefault="00C4529E">
      <w:pPr>
        <w:spacing w:line="360" w:lineRule="auto"/>
        <w:jc w:val="both"/>
        <w:rPr>
          <w:rFonts w:ascii="Book Antiqua" w:hAnsi="Book Antiqua"/>
        </w:rPr>
      </w:pPr>
    </w:p>
    <w:p w14:paraId="43B212A4"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MSCs</w:t>
      </w:r>
      <w:r>
        <w:rPr>
          <w:rFonts w:ascii="Book Antiqua" w:eastAsia="Book Antiqua" w:hAnsi="Book Antiqua" w:cs="Book Antiqua"/>
          <w:b/>
          <w:bCs/>
          <w:i/>
          <w:iCs/>
          <w:color w:val="000000"/>
          <w:vertAlign w:val="superscript"/>
        </w:rPr>
        <w:t>ITGB3</w:t>
      </w:r>
      <w:r>
        <w:rPr>
          <w:rFonts w:ascii="Book Antiqua" w:eastAsiaTheme="minorEastAsia" w:hAnsi="Book Antiqua" w:cs="Book Antiqua" w:hint="eastAsia"/>
          <w:b/>
          <w:bCs/>
          <w:i/>
          <w:iCs/>
          <w:color w:val="000000"/>
          <w:vertAlign w:val="superscript"/>
          <w:lang w:eastAsia="zh-CN"/>
        </w:rPr>
        <w:t xml:space="preserve"> </w:t>
      </w:r>
      <w:r>
        <w:rPr>
          <w:rFonts w:ascii="Book Antiqua" w:eastAsia="Book Antiqua" w:hAnsi="Book Antiqua" w:cs="Book Antiqua"/>
          <w:b/>
          <w:bCs/>
          <w:i/>
          <w:iCs/>
          <w:color w:val="000000"/>
        </w:rPr>
        <w:t xml:space="preserve">do not alter the biochemical parameters of </w:t>
      </w:r>
      <w:proofErr w:type="spellStart"/>
      <w:r>
        <w:rPr>
          <w:rFonts w:ascii="Book Antiqua" w:eastAsia="Book Antiqua" w:hAnsi="Book Antiqua" w:cs="Book Antiqua"/>
          <w:b/>
          <w:bCs/>
          <w:i/>
          <w:iCs/>
          <w:color w:val="000000"/>
        </w:rPr>
        <w:t>ApoE</w:t>
      </w:r>
      <w:proofErr w:type="spellEnd"/>
      <w:r>
        <w:rPr>
          <w:rFonts w:ascii="Book Antiqua" w:eastAsia="Book Antiqua" w:hAnsi="Book Antiqua" w:cs="Book Antiqua"/>
          <w:b/>
          <w:bCs/>
          <w:i/>
          <w:iCs/>
          <w:color w:val="000000"/>
          <w:vertAlign w:val="superscript"/>
        </w:rPr>
        <w:t>-/-</w:t>
      </w:r>
      <w:r>
        <w:rPr>
          <w:rFonts w:ascii="Book Antiqua" w:eastAsiaTheme="minorEastAsia" w:hAnsi="Book Antiqua" w:cs="Book Antiqua" w:hint="eastAsia"/>
          <w:b/>
          <w:bCs/>
          <w:i/>
          <w:iCs/>
          <w:color w:val="000000"/>
          <w:lang w:eastAsia="zh-CN"/>
        </w:rPr>
        <w:t xml:space="preserve"> </w:t>
      </w:r>
      <w:r>
        <w:rPr>
          <w:rFonts w:ascii="Book Antiqua" w:eastAsia="Book Antiqua" w:hAnsi="Book Antiqua" w:cs="Book Antiqua"/>
          <w:b/>
          <w:bCs/>
          <w:i/>
          <w:iCs/>
          <w:color w:val="000000"/>
        </w:rPr>
        <w:t>mice fed an HFD</w:t>
      </w:r>
    </w:p>
    <w:p w14:paraId="2181FFBD"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To evaluate the effects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 biochemical features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we recorded changes in mouse body weight and measured blood lipid concentrations. The results showed that the body weight did not vary among the three groups during the experiment (Supplementary Figure 3A). Plasma lipid analyses, including those measuring total cholesterol, high-density lipoprotein cholesterol, triglyceride, and low-density lipoprotein cholesterol levels, were performed on terminal blood samples </w:t>
      </w:r>
      <w:r>
        <w:rPr>
          <w:rFonts w:ascii="Book Antiqua" w:eastAsia="Book Antiqua" w:hAnsi="Book Antiqua" w:cs="Book Antiqua"/>
          <w:color w:val="000000"/>
        </w:rPr>
        <w:lastRenderedPageBreak/>
        <w:t>obtained by cardiac puncture but showed no statistical differences among the HFD, MSC</w:t>
      </w:r>
      <w:r>
        <w:rPr>
          <w:rFonts w:ascii="Book Antiqua" w:eastAsia="Book Antiqua" w:hAnsi="Book Antiqua" w:cs="Book Antiqua"/>
          <w:color w:val="000000"/>
          <w:vertAlign w:val="superscript"/>
        </w:rPr>
        <w:t>GFP</w:t>
      </w:r>
      <w:r>
        <w:rPr>
          <w:rFonts w:ascii="Book Antiqua" w:eastAsia="Book Antiqua" w:hAnsi="Book Antiqua" w:cs="Book Antiqua"/>
          <w:color w:val="000000"/>
        </w:rPr>
        <w:t>, and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groups (Supplementary Figure 3B). These results suggest that intravenous injection of stem cells did not interfere with lipid metabolism in mice receiving an HFD.</w:t>
      </w:r>
    </w:p>
    <w:p w14:paraId="133CA731" w14:textId="77777777" w:rsidR="00C4529E" w:rsidRDefault="00C4529E">
      <w:pPr>
        <w:spacing w:line="360" w:lineRule="auto"/>
        <w:jc w:val="both"/>
        <w:rPr>
          <w:rFonts w:ascii="Book Antiqua" w:hAnsi="Book Antiqua"/>
        </w:rPr>
      </w:pPr>
    </w:p>
    <w:p w14:paraId="18E6B8C0" w14:textId="77777777" w:rsidR="00C4529E" w:rsidRDefault="009D6006">
      <w:pPr>
        <w:spacing w:line="360" w:lineRule="auto"/>
        <w:jc w:val="both"/>
        <w:rPr>
          <w:rFonts w:ascii="Book Antiqua" w:hAnsi="Book Antiqua"/>
        </w:rPr>
      </w:pPr>
      <w:r>
        <w:rPr>
          <w:rFonts w:ascii="Book Antiqua" w:eastAsia="Book Antiqua" w:hAnsi="Book Antiqua" w:cs="Book Antiqua"/>
          <w:b/>
          <w:bCs/>
          <w:i/>
          <w:iCs/>
          <w:color w:val="000000"/>
        </w:rPr>
        <w:t>MSCs</w:t>
      </w:r>
      <w:r>
        <w:rPr>
          <w:rFonts w:ascii="Book Antiqua" w:eastAsia="Book Antiqua" w:hAnsi="Book Antiqua" w:cs="Book Antiqua"/>
          <w:b/>
          <w:bCs/>
          <w:i/>
          <w:iCs/>
          <w:color w:val="000000"/>
          <w:vertAlign w:val="superscript"/>
        </w:rPr>
        <w:t>ITGB3</w:t>
      </w:r>
      <w:r>
        <w:rPr>
          <w:rFonts w:ascii="Book Antiqua" w:eastAsiaTheme="minorEastAsia" w:hAnsi="Book Antiqua" w:cs="Book Antiqua" w:hint="eastAsia"/>
          <w:b/>
          <w:bCs/>
          <w:i/>
          <w:iCs/>
          <w:color w:val="000000"/>
          <w:lang w:eastAsia="zh-CN"/>
        </w:rPr>
        <w:t xml:space="preserve"> </w:t>
      </w:r>
      <w:r>
        <w:rPr>
          <w:rFonts w:ascii="Book Antiqua" w:eastAsia="Book Antiqua" w:hAnsi="Book Antiqua" w:cs="Book Antiqua"/>
          <w:b/>
          <w:bCs/>
          <w:i/>
          <w:iCs/>
          <w:color w:val="000000"/>
        </w:rPr>
        <w:t>modulate cytokine expression in the AS mouse model</w:t>
      </w:r>
    </w:p>
    <w:p w14:paraId="664A6F3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The levels of inflammatory factors are positively correlated with the degree of inflammation in atherosclerosis. Cytokines play a pivotal role in chronic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They affect the expression of adherence molecules, permeability of endothelial cell, as well as proliferation and migration of inherent cells in blood vessels, all of which are associated with atherosclerosis. Interleukin (IL)-1β, an established driver of atherosclerotic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is involved in the entire process of atherosclerotic lesion progression</w:t>
      </w:r>
      <w:r>
        <w:rPr>
          <w:rFonts w:ascii="Book Antiqua" w:eastAsia="Book Antiqua" w:hAnsi="Book Antiqua" w:cs="Book Antiqua"/>
          <w:color w:val="000000"/>
          <w:vertAlign w:val="superscript"/>
        </w:rPr>
        <w:t>[33]</w:t>
      </w:r>
      <w:r>
        <w:rPr>
          <w:rFonts w:ascii="Book Antiqua" w:eastAsia="Book Antiqua" w:hAnsi="Book Antiqua" w:cs="Book Antiqua"/>
          <w:color w:val="000000"/>
        </w:rPr>
        <w:t>. Advanced atherosclerotic plaques can be alleviated and stabilized through IL-1β inhibition. After observing 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can reduce the plaque area, we further investigated whether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infusion can decrease the levels of pro-inflammatory factors 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increase the levels of anti-inflammatory factors in the serum and aorta tissue. Our results showed that pro-inflammatory factors, including TNF-α, IL-1β, and IL-6, showed a significant downward trend in mice who had received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 MSC</w:t>
      </w:r>
      <w:r>
        <w:rPr>
          <w:rFonts w:ascii="Book Antiqua" w:eastAsia="Book Antiqua" w:hAnsi="Book Antiqua" w:cs="Book Antiqua"/>
          <w:color w:val="000000"/>
          <w:vertAlign w:val="superscript"/>
        </w:rPr>
        <w:t>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However, the treatment effect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was more pronounced than that of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Likewise, mice receiving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or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showed significantly increased levels of anti-inflammatory factors, such as IL-4, IL-10, and tumor necrosis factor-stimulated gene-6 in the serum and aorta tissue (Figure 5). These results indicate 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 primarily reduces pathological inflammatory responses by improving the balance between secreted pro- and anti-inflammatory factors.</w:t>
      </w:r>
    </w:p>
    <w:p w14:paraId="5098BC03" w14:textId="77777777" w:rsidR="00C4529E" w:rsidRDefault="00C4529E">
      <w:pPr>
        <w:spacing w:line="360" w:lineRule="auto"/>
        <w:jc w:val="both"/>
        <w:rPr>
          <w:rFonts w:ascii="Book Antiqua" w:hAnsi="Book Antiqua"/>
        </w:rPr>
      </w:pPr>
    </w:p>
    <w:p w14:paraId="0E7199AE"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72172D7"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 xml:space="preserve">In this study, adhesion molecules containing the RGD motif were highly expressed in an atherosclerosis model, and transfection of ITGB3 into MSCs improved their targeting </w:t>
      </w:r>
      <w:r>
        <w:rPr>
          <w:rFonts w:ascii="Book Antiqua" w:eastAsia="Book Antiqua" w:hAnsi="Book Antiqua" w:cs="Book Antiqua"/>
          <w:color w:val="000000"/>
        </w:rPr>
        <w:lastRenderedPageBreak/>
        <w:t>capability. As expected, intravenous injection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substantially reduced atherosclerotic plaque in the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HFD mouse model.</w:t>
      </w:r>
    </w:p>
    <w:p w14:paraId="193F78A6"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 xml:space="preserve">Owing to their adaptive immunomodulatory properties and superior secretory potential, MSCs have attracted extensive attention in the treatment of atherosclerotic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8,14]</w:t>
      </w:r>
      <w:r>
        <w:rPr>
          <w:rFonts w:ascii="Book Antiqua" w:eastAsia="Book Antiqua" w:hAnsi="Book Antiqua" w:cs="Book Antiqua"/>
          <w:color w:val="000000"/>
        </w:rPr>
        <w:t xml:space="preserve">. The route of MSC administration is critical for their therapeutic efficiency, and systemic delivery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intravenous infusion is the primary approach for many cell therapies. However, several problems occur with this approach, and one of the major hurdles is insufficient cell engraftment into the damaged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It is well known that the therapeutic level of MSCs mainly depends on intercellular interactions and their regulation by the local microenvironment. Therefore, the therapeutic effect of intravenously injected MSCs may be closely related to their localization. It is predicted that the effectiveness of cell therapy can be improved by increasing local recruitment, further promoting tissue repair. However, methods to increase intercellular interactions that promote local engraftment of MSCs remain unclear.</w:t>
      </w:r>
    </w:p>
    <w:p w14:paraId="33044A47" w14:textId="77777777" w:rsidR="00C4529E" w:rsidRDefault="009D6006">
      <w:pPr>
        <w:spacing w:line="360" w:lineRule="auto"/>
        <w:ind w:firstLine="510"/>
        <w:jc w:val="both"/>
        <w:rPr>
          <w:rFonts w:ascii="Book Antiqua" w:hAnsi="Book Antiqua"/>
        </w:rPr>
      </w:pPr>
      <w:r>
        <w:rPr>
          <w:rFonts w:ascii="Book Antiqua" w:eastAsia="Book Antiqua" w:hAnsi="Book Antiqua" w:cs="Book Antiqua"/>
          <w:color w:val="000000"/>
        </w:rPr>
        <w:t xml:space="preserve">Integrins, as transmembrane receptors, mediate cell connections by integrating Ig superfamily counterreceptors (ICAM-1 and VCAM-1) on adjacent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Adhesion molecules and integrin receptors have been identified to facilitate cell migration toward target organs and adhesion in target tissues. Therefore, intravenous injection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may provide a new approach to improve stem cell homing. Previous studies have also verified that MSCs with altered chemokine receptors, such as CXCR5</w:t>
      </w:r>
      <w:r>
        <w:rPr>
          <w:rFonts w:ascii="Book Antiqua" w:eastAsia="Book Antiqua" w:hAnsi="Book Antiqua" w:cs="Book Antiqua"/>
          <w:color w:val="000000"/>
          <w:vertAlign w:val="superscript"/>
        </w:rPr>
        <w:t>[18]</w:t>
      </w:r>
      <w:r>
        <w:rPr>
          <w:rFonts w:ascii="Book Antiqua" w:eastAsia="Book Antiqua" w:hAnsi="Book Antiqua" w:cs="Book Antiqua"/>
          <w:color w:val="000000"/>
        </w:rPr>
        <w:t>, integrin α4</w:t>
      </w:r>
      <w:r>
        <w:rPr>
          <w:rFonts w:ascii="Book Antiqua" w:eastAsia="Book Antiqua" w:hAnsi="Book Antiqua" w:cs="Book Antiqua"/>
          <w:color w:val="000000"/>
          <w:vertAlign w:val="superscript"/>
        </w:rPr>
        <w:t>[35]</w:t>
      </w:r>
      <w:r>
        <w:rPr>
          <w:rFonts w:ascii="Book Antiqua" w:eastAsia="Book Antiqua" w:hAnsi="Book Antiqua" w:cs="Book Antiqua"/>
          <w:color w:val="000000"/>
        </w:rPr>
        <w:t>, and CCR5 and CXCR6</w:t>
      </w:r>
      <w:r>
        <w:rPr>
          <w:rFonts w:ascii="Book Antiqua" w:eastAsia="Book Antiqua" w:hAnsi="Book Antiqua" w:cs="Book Antiqua"/>
          <w:color w:val="000000"/>
          <w:vertAlign w:val="superscript"/>
        </w:rPr>
        <w:t>[36]</w:t>
      </w:r>
      <w:r>
        <w:rPr>
          <w:rFonts w:ascii="Book Antiqua" w:eastAsia="Book Antiqua" w:hAnsi="Book Antiqua" w:cs="Book Antiqua"/>
          <w:color w:val="000000"/>
        </w:rPr>
        <w:t>, significantly increased cell motion to lesion sites and enhanced the therapeutic effect of MSCs. MSC homing to a target organ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requires the proper integration of interactions of chemokines secreted by injured tissue and adhesion molecules with matching receptors on MSCs. Therefore, determining disease-specific ligand expression profiles will provide the precise signal necessary for MSC homing. In our study, we elucidated that the ITGB3/RGD motif axis is a specific regulator for MSC homing in atherosclerosis. Adhesion molecules containing the RGD motif, such as VCAM-1, ICAM-1, and OPN, are highly expressed in atherosclerotic plaque and are involved in a variety of immune functions, including T cell activation, </w:t>
      </w:r>
      <w:r>
        <w:rPr>
          <w:rFonts w:ascii="Book Antiqua" w:eastAsia="Book Antiqua" w:hAnsi="Book Antiqua" w:cs="Book Antiqua"/>
          <w:color w:val="000000"/>
        </w:rPr>
        <w:lastRenderedPageBreak/>
        <w:t xml:space="preserve">migration, and </w:t>
      </w:r>
      <w:proofErr w:type="gramStart"/>
      <w:r>
        <w:rPr>
          <w:rFonts w:ascii="Book Antiqua" w:eastAsia="Book Antiqua" w:hAnsi="Book Antiqua" w:cs="Book Antiqua"/>
          <w:color w:val="000000"/>
        </w:rPr>
        <w:t>extravasation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High VCAM-1 and ICAM-1 expression levels have also been reported in the inflamed tissue, including vascular </w:t>
      </w:r>
      <w:proofErr w:type="gramStart"/>
      <w:r>
        <w:rPr>
          <w:rFonts w:ascii="Book Antiqua" w:eastAsia="Book Antiqua" w:hAnsi="Book Antiqua" w:cs="Book Antiqua"/>
          <w:color w:val="000000"/>
        </w:rPr>
        <w:t>plaque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We found that the RGD structure acts as an important feature of the plaque tissue that chemoattracts the migration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to lesions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Moreover, our findings demonstrated that the ITGB3</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RGD motif axis is the atherosclerosis-specific regulator for MSC homing. Factors containing RGD structures can be observed in various inflammatory tissues, including the site of atherosclerotic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However, the expression of ITGB3 was almost absent on the surface of MSCs. Thus,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may serve as a disease-specific therapeutic tool to improve MSC homing when treating atherosclerosis. MSC transplantation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homing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appear to improve atherosclerosis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mechanisms. There is a substantial amount of evidence indicating that transplanted MSCs primarily promote local microenvironmental improvement through their paracrine secretory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40-42]</w:t>
      </w:r>
      <w:r>
        <w:rPr>
          <w:rFonts w:ascii="Book Antiqua" w:eastAsia="Book Antiqua" w:hAnsi="Book Antiqua" w:cs="Book Antiqua"/>
          <w:color w:val="000000"/>
        </w:rPr>
        <w:t xml:space="preserve">. The anti-inflammatory cytokines secreted by MSCs can reduce inflammation and modulate immune response while enhancing normal cell survival and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It has also been documented that the anti-inflammatory properties of MSCs are primarily mediated by extracellular vesicles (EVs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8,43]</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Various disease models, such as those involving endothelial cell </w:t>
      </w:r>
      <w:proofErr w:type="gramStart"/>
      <w:r>
        <w:rPr>
          <w:rFonts w:ascii="Book Antiqua" w:eastAsia="Book Antiqua" w:hAnsi="Book Antiqua" w:cs="Book Antiqua"/>
          <w:color w:val="000000"/>
        </w:rPr>
        <w:t>senescence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autoimmune diseases</w:t>
      </w:r>
      <w:r>
        <w:rPr>
          <w:rFonts w:ascii="Book Antiqua" w:eastAsia="Book Antiqua" w:hAnsi="Book Antiqua" w:cs="Book Antiqua"/>
          <w:color w:val="000000"/>
          <w:vertAlign w:val="superscript"/>
        </w:rPr>
        <w:t>[45]</w:t>
      </w:r>
      <w:r>
        <w:rPr>
          <w:rFonts w:ascii="Book Antiqua" w:eastAsia="Book Antiqua" w:hAnsi="Book Antiqua" w:cs="Book Antiqua"/>
          <w:color w:val="000000"/>
        </w:rPr>
        <w:t>, arterial stiffness and hypertension</w:t>
      </w:r>
      <w:r>
        <w:rPr>
          <w:rFonts w:ascii="Book Antiqua" w:eastAsia="Book Antiqua" w:hAnsi="Book Antiqua" w:cs="Book Antiqua"/>
          <w:color w:val="000000"/>
          <w:vertAlign w:val="superscript"/>
        </w:rPr>
        <w:t>[46]</w:t>
      </w:r>
      <w:r>
        <w:rPr>
          <w:rFonts w:ascii="Book Antiqua" w:eastAsia="Book Antiqua" w:hAnsi="Book Antiqua" w:cs="Book Antiqua"/>
          <w:color w:val="000000"/>
        </w:rPr>
        <w:t>, and lung injury</w:t>
      </w:r>
      <w:r>
        <w:rPr>
          <w:rFonts w:ascii="Book Antiqua" w:eastAsia="Book Antiqua" w:hAnsi="Book Antiqua" w:cs="Book Antiqua"/>
          <w:color w:val="000000"/>
          <w:vertAlign w:val="superscript"/>
        </w:rPr>
        <w:t>[47]</w:t>
      </w:r>
      <w:r>
        <w:rPr>
          <w:rFonts w:ascii="Book Antiqua" w:eastAsia="Book Antiqua" w:hAnsi="Book Antiqua" w:cs="Book Antiqua"/>
          <w:color w:val="000000"/>
        </w:rPr>
        <w:t>, have demonstrated that EVs derived from MSCs can mitigate cell death, prevent apoptosis, and enhance recovery. In this regard, as a result of the continuous release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of EVs in the vicinity of the damage site, transplantation of MSCs overexpressing ITGB3 with improved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migratory capability could play a more effective role in treating atherosclerotic disease.</w:t>
      </w:r>
    </w:p>
    <w:p w14:paraId="46A254B1" w14:textId="77777777" w:rsidR="00C4529E" w:rsidRDefault="009D6006">
      <w:pPr>
        <w:spacing w:line="360" w:lineRule="auto"/>
        <w:ind w:firstLine="510"/>
        <w:jc w:val="both"/>
        <w:rPr>
          <w:rFonts w:ascii="Book Antiqua" w:eastAsiaTheme="minorEastAsia" w:hAnsi="Book Antiqua"/>
          <w:lang w:eastAsia="zh-CN"/>
        </w:rPr>
      </w:pPr>
      <w:r>
        <w:rPr>
          <w:rFonts w:ascii="Book Antiqua" w:eastAsia="Book Antiqua" w:hAnsi="Book Antiqua" w:cs="Book Antiqua"/>
          <w:color w:val="000000"/>
        </w:rPr>
        <w:t xml:space="preserve">A previous study found that ITGB3 stimulated the progression of human pancreatic ductal adenocarcinoma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the STAT3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Furthermore, ITGB3 promoted cell senescence and profibrotic changes through p53 signaling activation and secretion of transforming growth factor beta in cultured tubular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u w:color="000000"/>
          <w:vertAlign w:val="superscript"/>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these studies have not examined the specific effect of ITGB3 overexpression on MSC migration and homing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Further research is necessary to elucidate the </w:t>
      </w:r>
      <w:r>
        <w:rPr>
          <w:rFonts w:ascii="Book Antiqua" w:eastAsia="Book Antiqua" w:hAnsi="Book Antiqua" w:cs="Book Antiqua"/>
          <w:color w:val="000000"/>
        </w:rPr>
        <w:lastRenderedPageBreak/>
        <w:t>underlying mechanisms of how overexpression of ITGB3 intensifies homing abilities of MSCs.</w:t>
      </w:r>
    </w:p>
    <w:p w14:paraId="5C97EE67" w14:textId="77777777" w:rsidR="00C4529E" w:rsidRDefault="009D6006">
      <w:pPr>
        <w:spacing w:line="360" w:lineRule="auto"/>
        <w:ind w:firstLineChars="200" w:firstLine="480"/>
        <w:jc w:val="both"/>
        <w:rPr>
          <w:rFonts w:ascii="Book Antiqua" w:hAnsi="Book Antiqua"/>
        </w:rPr>
      </w:pPr>
      <w:r>
        <w:rPr>
          <w:rFonts w:ascii="Book Antiqua" w:eastAsia="Book Antiqua" w:hAnsi="Book Antiqua" w:cs="Book Antiqua"/>
          <w:color w:val="000000"/>
        </w:rPr>
        <w:t>This study has certain limitations. First, the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were generated by lentiviral infection. As lentiviral vectors can randomly integrate into the genome resulting in deleterious mutations, their therapeutic application in humans is limited by an inherent risk of tumorigenesis. Second, other suitable methods are needed to increase the expression of ITGB3. Third, the current experiment did not specifically investigate the survival time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color w:val="000000"/>
        </w:rPr>
        <w:t>The next step will be to trace the target location and lifespan of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through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imaging technology.</w:t>
      </w:r>
    </w:p>
    <w:p w14:paraId="4BA1D908" w14:textId="77777777" w:rsidR="00C4529E" w:rsidRDefault="00C4529E">
      <w:pPr>
        <w:spacing w:line="360" w:lineRule="auto"/>
        <w:jc w:val="both"/>
        <w:rPr>
          <w:rFonts w:ascii="Book Antiqua" w:hAnsi="Book Antiqua"/>
        </w:rPr>
      </w:pPr>
    </w:p>
    <w:p w14:paraId="1B0FEC2A"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CE3BC15"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Collectively, we genetically modified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found that ITGB3 overexpression substantially upregulated MSC migration, aggregation in plaque sites, and immunomodulatory properties of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Although the therapeutic potential of modified MSCs in atherosclerosis has not yet been translated into clinical practice, our work improves our understanding of the adhesion molecule–integrin receptor axis, as well as of stem cell features, and may provide novel insights into the rapid and targeted delivery of MSCs to disease sites, thereby optimizing their therapeutic effects.</w:t>
      </w:r>
    </w:p>
    <w:p w14:paraId="57B34DA4" w14:textId="77777777" w:rsidR="00C4529E" w:rsidRDefault="00C4529E">
      <w:pPr>
        <w:spacing w:line="360" w:lineRule="auto"/>
        <w:jc w:val="both"/>
        <w:rPr>
          <w:rFonts w:ascii="Book Antiqua" w:hAnsi="Book Antiqua"/>
        </w:rPr>
      </w:pPr>
    </w:p>
    <w:p w14:paraId="14B66885" w14:textId="77777777" w:rsidR="00C4529E" w:rsidRDefault="009D6006">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4D464EC"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background</w:t>
      </w:r>
    </w:p>
    <w:p w14:paraId="53308AD3"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Umbilical cord mesenchymal stem cell (MSC) transplantation is a potential therapeutic intervention for atherosclerotic vascular disease. Integrin beta 3 (ITGB3) promotes cell migration in several cell types.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However, whether ITGB3-modified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can migrate to plaque sites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play an anti-atherosclerotic role remains unclear.</w:t>
      </w:r>
    </w:p>
    <w:p w14:paraId="084A995F" w14:textId="77777777" w:rsidR="00C4529E" w:rsidRDefault="00C4529E">
      <w:pPr>
        <w:spacing w:line="360" w:lineRule="auto"/>
        <w:jc w:val="both"/>
        <w:rPr>
          <w:rFonts w:ascii="Book Antiqua" w:hAnsi="Book Antiqua"/>
        </w:rPr>
      </w:pPr>
    </w:p>
    <w:p w14:paraId="30EA8763"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motivation</w:t>
      </w:r>
    </w:p>
    <w:p w14:paraId="3058AB72"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Atherosclerosis is a serious public health problem and</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more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treatment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options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are needed to explore and identify effective molecules and targets.</w:t>
      </w:r>
    </w:p>
    <w:p w14:paraId="54B5FD05" w14:textId="77777777" w:rsidR="00C4529E" w:rsidRDefault="00C4529E">
      <w:pPr>
        <w:spacing w:line="360" w:lineRule="auto"/>
        <w:jc w:val="both"/>
        <w:rPr>
          <w:rFonts w:ascii="Book Antiqua" w:hAnsi="Book Antiqua"/>
        </w:rPr>
      </w:pPr>
    </w:p>
    <w:p w14:paraId="64B88307"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objectives</w:t>
      </w:r>
    </w:p>
    <w:p w14:paraId="1587980F"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 objective of our study was to evaluate the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chemotaxis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ability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lang w:eastAsia="zh-Hans"/>
        </w:rPr>
        <w:t xml:space="preserve">of </w:t>
      </w:r>
      <w:r>
        <w:rPr>
          <w:rFonts w:ascii="Book Antiqua" w:eastAsia="Book Antiqua" w:hAnsi="Book Antiqua" w:cs="Book Antiqua"/>
          <w:color w:val="000000"/>
        </w:rPr>
        <w:t>ITGB3-overexpressing MSCs toward inflammatory cells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color w:val="000000"/>
        </w:rPr>
        <w:t>and plaque tissues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i/>
          <w:iCs/>
          <w:color w:val="000000"/>
        </w:rPr>
        <w:t>in vivo,</w:t>
      </w:r>
      <w:r>
        <w:rPr>
          <w:rFonts w:ascii="Book Antiqua" w:eastAsiaTheme="minorEastAsia" w:hAnsi="Book Antiqua" w:cs="Book Antiqua" w:hint="eastAsia"/>
          <w:i/>
          <w:iCs/>
          <w:color w:val="000000"/>
          <w:lang w:eastAsia="zh-CN"/>
        </w:rPr>
        <w:t xml:space="preserve"> </w:t>
      </w:r>
      <w:r>
        <w:rPr>
          <w:rFonts w:ascii="Book Antiqua" w:eastAsia="Book Antiqua" w:hAnsi="Book Antiqua" w:cs="Book Antiqua"/>
          <w:color w:val="000000"/>
        </w:rPr>
        <w:t>promoting their therapeutic efficacy in the atherosclerosis mouse model.</w:t>
      </w:r>
    </w:p>
    <w:p w14:paraId="0DE13C3D" w14:textId="77777777" w:rsidR="00C4529E" w:rsidRDefault="00C4529E">
      <w:pPr>
        <w:spacing w:line="360" w:lineRule="auto"/>
        <w:jc w:val="both"/>
        <w:rPr>
          <w:rFonts w:ascii="Book Antiqua" w:hAnsi="Book Antiqua"/>
        </w:rPr>
      </w:pPr>
    </w:p>
    <w:p w14:paraId="14D099E6"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methods</w:t>
      </w:r>
    </w:p>
    <w:p w14:paraId="21ACC6B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Umbilical cord MSCs were isolated and expanded. Lentiviral vectors encoding 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green fluorescent protein (GFP)</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control were transfected into MSCs.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Male apolipoprotein E</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mice were fed with a high-fat diet (HFD)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induce the formation of atherosclerotic lesions. The HFD-fed mice were randomly separated into three clusters. GFP-labeled MSCs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or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were transplanted into the mice intravenously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tail vein. Immunofluorescence staining, Oil red O staining, histological analyses, western blotting, enzyme-linked immunosorbent assay, and quantitative real-time polymerase chain reaction were used for the analyses.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Statistical</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evaluation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between two groups was determined using the unpaired Student’s t-test, and comparisons of more than two groups were performed using a one-way analysis of variance.</w:t>
      </w:r>
    </w:p>
    <w:p w14:paraId="7C4F9911" w14:textId="77777777" w:rsidR="00C4529E" w:rsidRDefault="00C4529E">
      <w:pPr>
        <w:spacing w:line="360" w:lineRule="auto"/>
        <w:jc w:val="both"/>
        <w:rPr>
          <w:rFonts w:ascii="Book Antiqua" w:hAnsi="Book Antiqua"/>
        </w:rPr>
      </w:pPr>
    </w:p>
    <w:p w14:paraId="14B00B6D"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results</w:t>
      </w:r>
    </w:p>
    <w:p w14:paraId="40B31DF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successfully differentiated into the “osteocyte” and “adipocyte”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phenotypes and were characterized by positive expression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91.3%) of CD29, CD73, and CD105 and negative expression (&lt;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1.35%) of</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CD34 and human leukocyte antigen-DR. MSCs</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showed significantly faster migration than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ITGB3 overexpression had no effects on MSC viability, differentiation, and secretion. Immunofluorescence staining revealed that ITGB3 overexpression substantially enhanced the homing of MSCs to plaque sites. Oil red O staining and histological analyses further confirmed the therapeutic effects of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 xml:space="preserve">, significantly reducing the plaque area. Enzyme-linked immunosorbent assay and quantitative real-time polymerase chain reaction revealed </w:t>
      </w:r>
      <w:r>
        <w:rPr>
          <w:rFonts w:ascii="Book Antiqua" w:eastAsia="Book Antiqua" w:hAnsi="Book Antiqua" w:cs="Book Antiqua"/>
          <w:color w:val="000000"/>
        </w:rPr>
        <w:lastRenderedPageBreak/>
        <w:t>that MSC</w:t>
      </w:r>
      <w:r>
        <w:rPr>
          <w:rFonts w:ascii="Book Antiqua" w:eastAsia="Book Antiqua" w:hAnsi="Book Antiqua" w:cs="Book Antiqua"/>
          <w:color w:val="000000"/>
          <w:vertAlign w:val="superscript"/>
        </w:rPr>
        <w:t>ITGB3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transplantation considerably decreased the inflammatory response in pathological tissues by improving the dynamic equilibrium of pro- and anti-inflammatory cytokines.</w:t>
      </w:r>
    </w:p>
    <w:p w14:paraId="3290ECD0" w14:textId="77777777" w:rsidR="00C4529E" w:rsidRDefault="00C4529E">
      <w:pPr>
        <w:spacing w:line="360" w:lineRule="auto"/>
        <w:jc w:val="both"/>
        <w:rPr>
          <w:rFonts w:ascii="Book Antiqua" w:hAnsi="Book Antiqua"/>
        </w:rPr>
      </w:pPr>
    </w:p>
    <w:p w14:paraId="7CD9B2DD"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conclusions</w:t>
      </w:r>
    </w:p>
    <w:p w14:paraId="46AFB72E"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 study demonstrated that ITGB3 overexpression enhanced the MSC homing ability, providing a potential approach for MSC delivery to plaque sites, thereby optimizing their therapeutic effects.</w:t>
      </w:r>
    </w:p>
    <w:p w14:paraId="5E1332F4" w14:textId="77777777" w:rsidR="00C4529E" w:rsidRDefault="00C4529E">
      <w:pPr>
        <w:spacing w:line="360" w:lineRule="auto"/>
        <w:jc w:val="both"/>
        <w:rPr>
          <w:rFonts w:ascii="Book Antiqua" w:hAnsi="Book Antiqua"/>
        </w:rPr>
      </w:pPr>
    </w:p>
    <w:p w14:paraId="2196B347" w14:textId="77777777" w:rsidR="00C4529E" w:rsidRDefault="009D6006">
      <w:pPr>
        <w:spacing w:line="360" w:lineRule="auto"/>
        <w:jc w:val="both"/>
        <w:rPr>
          <w:rFonts w:ascii="Book Antiqua" w:hAnsi="Book Antiqua"/>
        </w:rPr>
      </w:pPr>
      <w:r>
        <w:rPr>
          <w:rFonts w:ascii="Book Antiqua" w:eastAsia="Book Antiqua" w:hAnsi="Book Antiqua" w:cs="Book Antiqua"/>
          <w:b/>
          <w:i/>
          <w:color w:val="000000"/>
        </w:rPr>
        <w:t>Research perspectives</w:t>
      </w:r>
    </w:p>
    <w:p w14:paraId="2D686F34" w14:textId="77777777" w:rsidR="00C4529E" w:rsidRDefault="009D6006">
      <w:pPr>
        <w:spacing w:line="360" w:lineRule="auto"/>
        <w:jc w:val="both"/>
        <w:rPr>
          <w:rFonts w:ascii="Book Antiqua" w:hAnsi="Book Antiqua"/>
        </w:rPr>
      </w:pPr>
      <w:r>
        <w:rPr>
          <w:rFonts w:ascii="Book Antiqua" w:eastAsia="Book Antiqua" w:hAnsi="Book Antiqua" w:cs="Book Antiqua"/>
          <w:color w:val="000000"/>
        </w:rPr>
        <w:t>The ITGB3-modified MSCs can migrate the plaque sites and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play an anti-inflammation role, which may be an effective strategy to treat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vascular atherosclerotic related diseases.</w:t>
      </w:r>
    </w:p>
    <w:p w14:paraId="1A7EF183" w14:textId="77777777" w:rsidR="00C4529E" w:rsidRDefault="00C4529E">
      <w:pPr>
        <w:spacing w:line="360" w:lineRule="auto"/>
        <w:jc w:val="both"/>
        <w:rPr>
          <w:rFonts w:ascii="Book Antiqua" w:hAnsi="Book Antiqua"/>
        </w:rPr>
      </w:pPr>
    </w:p>
    <w:p w14:paraId="1303FD58"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REFERENCES</w:t>
      </w:r>
    </w:p>
    <w:p w14:paraId="1B1AC8C7" w14:textId="77777777" w:rsidR="00C4529E" w:rsidRDefault="009D6006">
      <w:pPr>
        <w:spacing w:line="360" w:lineRule="auto"/>
        <w:jc w:val="both"/>
        <w:rPr>
          <w:rFonts w:ascii="Book Antiqua" w:hAnsi="Book Antiqua"/>
        </w:rPr>
      </w:pPr>
      <w:r>
        <w:rPr>
          <w:rFonts w:ascii="Book Antiqua" w:hAnsi="Book Antiqua"/>
        </w:rPr>
        <w:t xml:space="preserve">1 </w:t>
      </w:r>
      <w:r>
        <w:rPr>
          <w:rFonts w:ascii="Book Antiqua" w:hAnsi="Book Antiqua"/>
          <w:b/>
          <w:bCs/>
        </w:rPr>
        <w:t>Mäkinen PI</w:t>
      </w:r>
      <w:r>
        <w:rPr>
          <w:rFonts w:ascii="Book Antiqua" w:hAnsi="Book Antiqua"/>
        </w:rPr>
        <w:t xml:space="preserve">, </w:t>
      </w:r>
      <w:proofErr w:type="spellStart"/>
      <w:r>
        <w:rPr>
          <w:rFonts w:ascii="Book Antiqua" w:hAnsi="Book Antiqua"/>
        </w:rPr>
        <w:t>Ylä-Herttuala</w:t>
      </w:r>
      <w:proofErr w:type="spellEnd"/>
      <w:r>
        <w:rPr>
          <w:rFonts w:ascii="Book Antiqua" w:hAnsi="Book Antiqua"/>
        </w:rPr>
        <w:t xml:space="preserve"> S. Therapeutic gene targeting approaches for the treatment of dyslipidemias and atherosclerosis.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Lipidol</w:t>
      </w:r>
      <w:proofErr w:type="spellEnd"/>
      <w:r>
        <w:rPr>
          <w:rFonts w:ascii="Book Antiqua" w:hAnsi="Book Antiqua"/>
        </w:rPr>
        <w:t xml:space="preserve"> 2013; </w:t>
      </w:r>
      <w:r>
        <w:rPr>
          <w:rFonts w:ascii="Book Antiqua" w:hAnsi="Book Antiqua"/>
          <w:b/>
          <w:bCs/>
        </w:rPr>
        <w:t>24</w:t>
      </w:r>
      <w:r>
        <w:rPr>
          <w:rFonts w:ascii="Book Antiqua" w:hAnsi="Book Antiqua"/>
        </w:rPr>
        <w:t>: 116-122 [PMID: 23314926 DOI: 10.1097/MOL.0b013e32835da13c]</w:t>
      </w:r>
    </w:p>
    <w:p w14:paraId="6D95296C" w14:textId="77777777" w:rsidR="00C4529E" w:rsidRDefault="009D6006">
      <w:pPr>
        <w:spacing w:line="360" w:lineRule="auto"/>
        <w:jc w:val="both"/>
        <w:rPr>
          <w:rFonts w:ascii="Book Antiqua" w:hAnsi="Book Antiqua"/>
        </w:rPr>
      </w:pPr>
      <w:r>
        <w:rPr>
          <w:rFonts w:ascii="Book Antiqua" w:hAnsi="Book Antiqua"/>
        </w:rPr>
        <w:t xml:space="preserve">2 </w:t>
      </w:r>
      <w:r>
        <w:rPr>
          <w:rFonts w:ascii="Book Antiqua" w:hAnsi="Book Antiqua"/>
          <w:b/>
          <w:bCs/>
        </w:rPr>
        <w:t>Jenkins A</w:t>
      </w:r>
      <w:r>
        <w:rPr>
          <w:rFonts w:ascii="Book Antiqua" w:hAnsi="Book Antiqua"/>
        </w:rPr>
        <w:t xml:space="preserve">, Januszewski A, O'Neal D. The early detection of atherosclerosis in type 1 diabetes: why, how and what to do about it. </w:t>
      </w:r>
      <w:r>
        <w:rPr>
          <w:rFonts w:ascii="Book Antiqua" w:hAnsi="Book Antiqua"/>
          <w:i/>
          <w:iCs/>
        </w:rPr>
        <w:t xml:space="preserve">Cardiovasc Endocrinol </w:t>
      </w:r>
      <w:proofErr w:type="spellStart"/>
      <w:r>
        <w:rPr>
          <w:rFonts w:ascii="Book Antiqua" w:hAnsi="Book Antiqua"/>
          <w:i/>
          <w:iCs/>
        </w:rPr>
        <w:t>Metab</w:t>
      </w:r>
      <w:proofErr w:type="spellEnd"/>
      <w:r>
        <w:rPr>
          <w:rFonts w:ascii="Book Antiqua" w:hAnsi="Book Antiqua"/>
        </w:rPr>
        <w:t xml:space="preserve"> 2019; </w:t>
      </w:r>
      <w:r>
        <w:rPr>
          <w:rFonts w:ascii="Book Antiqua" w:hAnsi="Book Antiqua"/>
          <w:b/>
          <w:bCs/>
        </w:rPr>
        <w:t>8</w:t>
      </w:r>
      <w:r>
        <w:rPr>
          <w:rFonts w:ascii="Book Antiqua" w:hAnsi="Book Antiqua"/>
        </w:rPr>
        <w:t>: 14-27 [PMID: 31646294 DOI: 10.1097/XCE.0000000000000169]</w:t>
      </w:r>
    </w:p>
    <w:p w14:paraId="0E62F7BE" w14:textId="77777777" w:rsidR="00C4529E" w:rsidRDefault="009D6006">
      <w:pPr>
        <w:spacing w:line="360" w:lineRule="auto"/>
        <w:jc w:val="both"/>
        <w:rPr>
          <w:rFonts w:ascii="Book Antiqua" w:hAnsi="Book Antiqua"/>
        </w:rPr>
      </w:pPr>
      <w:r>
        <w:rPr>
          <w:rFonts w:ascii="Book Antiqua" w:hAnsi="Book Antiqua"/>
        </w:rPr>
        <w:t xml:space="preserve">3 </w:t>
      </w:r>
      <w:r>
        <w:rPr>
          <w:rFonts w:ascii="Book Antiqua" w:hAnsi="Book Antiqua"/>
          <w:b/>
          <w:bCs/>
        </w:rPr>
        <w:t>Gragnano F</w:t>
      </w:r>
      <w:r>
        <w:rPr>
          <w:rFonts w:ascii="Book Antiqua" w:hAnsi="Book Antiqua"/>
        </w:rPr>
        <w:t xml:space="preserve">, </w:t>
      </w:r>
      <w:proofErr w:type="spellStart"/>
      <w:r>
        <w:rPr>
          <w:rFonts w:ascii="Book Antiqua" w:hAnsi="Book Antiqua"/>
        </w:rPr>
        <w:t>Calabrò</w:t>
      </w:r>
      <w:proofErr w:type="spellEnd"/>
      <w:r>
        <w:rPr>
          <w:rFonts w:ascii="Book Antiqua" w:hAnsi="Book Antiqua"/>
        </w:rPr>
        <w:t xml:space="preserve"> P. Role of dual lipid-lowering therapy in coronary atherosclerosis regression: Evidence from recent studies. </w:t>
      </w:r>
      <w:r>
        <w:rPr>
          <w:rFonts w:ascii="Book Antiqua" w:hAnsi="Book Antiqua"/>
          <w:i/>
          <w:iCs/>
        </w:rPr>
        <w:t>Atherosclerosis</w:t>
      </w:r>
      <w:r>
        <w:rPr>
          <w:rFonts w:ascii="Book Antiqua" w:hAnsi="Book Antiqua"/>
        </w:rPr>
        <w:t xml:space="preserve"> 2018; </w:t>
      </w:r>
      <w:r>
        <w:rPr>
          <w:rFonts w:ascii="Book Antiqua" w:hAnsi="Book Antiqua"/>
          <w:b/>
          <w:bCs/>
        </w:rPr>
        <w:t>269</w:t>
      </w:r>
      <w:r>
        <w:rPr>
          <w:rFonts w:ascii="Book Antiqua" w:hAnsi="Book Antiqua"/>
        </w:rPr>
        <w:t>: 219-228 [PMID: 29407597 DOI: 10.1016/j.atherosclerosis.2018.01.012]</w:t>
      </w:r>
    </w:p>
    <w:p w14:paraId="05C6EFE5" w14:textId="77777777" w:rsidR="00C4529E" w:rsidRDefault="009D6006">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Prpic</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Teirstein</w:t>
      </w:r>
      <w:proofErr w:type="spellEnd"/>
      <w:r>
        <w:rPr>
          <w:rFonts w:ascii="Book Antiqua" w:hAnsi="Book Antiqua"/>
        </w:rPr>
        <w:t xml:space="preserve"> PS, Reilly JP, Moses JW, Tripuraneni P, Lansky AJ, Giorgianni JA, Jani S, Wong SC, Fish RD, Ellis S, Holmes DR, </w:t>
      </w:r>
      <w:proofErr w:type="spellStart"/>
      <w:r>
        <w:rPr>
          <w:rFonts w:ascii="Book Antiqua" w:hAnsi="Book Antiqua"/>
        </w:rPr>
        <w:t>Kereiakas</w:t>
      </w:r>
      <w:proofErr w:type="spellEnd"/>
      <w:r>
        <w:rPr>
          <w:rFonts w:ascii="Book Antiqua" w:hAnsi="Book Antiqua"/>
        </w:rPr>
        <w:t xml:space="preserve"> D, Kuntz RE, Leon MB. Long-term outcome of patients treated with repeat percutaneous coronary intervention after failure of gamma-brachytherapy for the treatment of in-stent restenosis. </w:t>
      </w:r>
      <w:r>
        <w:rPr>
          <w:rFonts w:ascii="Book Antiqua" w:hAnsi="Book Antiqua"/>
          <w:i/>
          <w:iCs/>
        </w:rPr>
        <w:t>Circulation</w:t>
      </w:r>
      <w:r>
        <w:rPr>
          <w:rFonts w:ascii="Book Antiqua" w:hAnsi="Book Antiqua"/>
        </w:rPr>
        <w:t xml:space="preserve"> 2002; </w:t>
      </w:r>
      <w:r>
        <w:rPr>
          <w:rFonts w:ascii="Book Antiqua" w:hAnsi="Book Antiqua"/>
          <w:b/>
          <w:bCs/>
        </w:rPr>
        <w:t>106</w:t>
      </w:r>
      <w:r>
        <w:rPr>
          <w:rFonts w:ascii="Book Antiqua" w:hAnsi="Book Antiqua"/>
        </w:rPr>
        <w:t>: 2340-2345 [PMID: 12403664 DOI: 10.1161/01.cir.0000036366.62288.74]</w:t>
      </w:r>
    </w:p>
    <w:p w14:paraId="3BEDDCB0" w14:textId="77777777" w:rsidR="00C4529E" w:rsidRDefault="009D6006">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He L</w:t>
      </w:r>
      <w:r>
        <w:rPr>
          <w:rFonts w:ascii="Book Antiqua" w:hAnsi="Book Antiqua"/>
        </w:rPr>
        <w:t xml:space="preserve">, Zhao R, Wang Y, Liu H, Wang X. Research Progress on </w:t>
      </w:r>
      <w:proofErr w:type="spellStart"/>
      <w:r>
        <w:rPr>
          <w:rFonts w:ascii="Book Antiqua" w:hAnsi="Book Antiqua"/>
        </w:rPr>
        <w:t>Catalpol</w:t>
      </w:r>
      <w:proofErr w:type="spellEnd"/>
      <w:r>
        <w:rPr>
          <w:rFonts w:ascii="Book Antiqua" w:hAnsi="Book Antiqua"/>
        </w:rPr>
        <w:t xml:space="preserve"> as Treatment for Atherosclerosis.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2021; </w:t>
      </w:r>
      <w:r>
        <w:rPr>
          <w:rFonts w:ascii="Book Antiqua" w:hAnsi="Book Antiqua"/>
          <w:b/>
          <w:bCs/>
        </w:rPr>
        <w:t>12</w:t>
      </w:r>
      <w:r>
        <w:rPr>
          <w:rFonts w:ascii="Book Antiqua" w:hAnsi="Book Antiqua"/>
        </w:rPr>
        <w:t>: 716125 [PMID: 34326774 DOI: 10.3389/fphar.2021.716125]</w:t>
      </w:r>
    </w:p>
    <w:p w14:paraId="2F382421" w14:textId="77777777" w:rsidR="00C4529E" w:rsidRDefault="009D6006">
      <w:pPr>
        <w:spacing w:line="360" w:lineRule="auto"/>
        <w:jc w:val="both"/>
        <w:rPr>
          <w:rFonts w:ascii="Book Antiqua" w:hAnsi="Book Antiqua"/>
        </w:rPr>
      </w:pPr>
      <w:r>
        <w:rPr>
          <w:rFonts w:ascii="Book Antiqua" w:hAnsi="Book Antiqua"/>
        </w:rPr>
        <w:t xml:space="preserve">6 </w:t>
      </w:r>
      <w:r>
        <w:rPr>
          <w:rFonts w:ascii="Book Antiqua" w:hAnsi="Book Antiqua"/>
          <w:b/>
          <w:bCs/>
        </w:rPr>
        <w:t>Tang J</w:t>
      </w:r>
      <w:r>
        <w:rPr>
          <w:rFonts w:ascii="Book Antiqua" w:hAnsi="Book Antiqua"/>
        </w:rPr>
        <w:t xml:space="preserve">, Rakshit M, Chua HM, </w:t>
      </w:r>
      <w:proofErr w:type="spellStart"/>
      <w:r>
        <w:rPr>
          <w:rFonts w:ascii="Book Antiqua" w:hAnsi="Book Antiqua"/>
        </w:rPr>
        <w:t>Darwitan</w:t>
      </w:r>
      <w:proofErr w:type="spellEnd"/>
      <w:r>
        <w:rPr>
          <w:rFonts w:ascii="Book Antiqua" w:hAnsi="Book Antiqua"/>
        </w:rPr>
        <w:t xml:space="preserve"> A, Nguyen LTH, </w:t>
      </w:r>
      <w:proofErr w:type="spellStart"/>
      <w:r>
        <w:rPr>
          <w:rFonts w:ascii="Book Antiqua" w:hAnsi="Book Antiqua"/>
        </w:rPr>
        <w:t>Muktabar</w:t>
      </w:r>
      <w:proofErr w:type="spellEnd"/>
      <w:r>
        <w:rPr>
          <w:rFonts w:ascii="Book Antiqua" w:hAnsi="Book Antiqua"/>
        </w:rPr>
        <w:t xml:space="preserve"> A, Venkatraman S, Ng KW. Liposome interaction with macrophages and foam cells for atherosclerosis treatment: effects of size, surface charge and lipid composition. </w:t>
      </w:r>
      <w:r>
        <w:rPr>
          <w:rFonts w:ascii="Book Antiqua" w:hAnsi="Book Antiqua"/>
          <w:i/>
          <w:iCs/>
        </w:rPr>
        <w:t>Nanotechnology</w:t>
      </w:r>
      <w:r>
        <w:rPr>
          <w:rFonts w:ascii="Book Antiqua" w:hAnsi="Book Antiqua"/>
        </w:rPr>
        <w:t xml:space="preserve"> 2021; </w:t>
      </w:r>
      <w:r>
        <w:rPr>
          <w:rFonts w:ascii="Book Antiqua" w:hAnsi="Book Antiqua"/>
          <w:b/>
          <w:bCs/>
        </w:rPr>
        <w:t>32</w:t>
      </w:r>
      <w:r>
        <w:rPr>
          <w:rFonts w:ascii="Book Antiqua" w:hAnsi="Book Antiqua"/>
        </w:rPr>
        <w:t xml:space="preserve"> [PMID: 34536952 DOI: 10.1088/1361-6528/ac2810]</w:t>
      </w:r>
    </w:p>
    <w:p w14:paraId="17CED7D0" w14:textId="77777777" w:rsidR="00C4529E" w:rsidRDefault="009D6006">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Kobiyama</w:t>
      </w:r>
      <w:proofErr w:type="spellEnd"/>
      <w:r>
        <w:rPr>
          <w:rFonts w:ascii="Book Antiqua" w:hAnsi="Book Antiqua"/>
          <w:b/>
          <w:bCs/>
        </w:rPr>
        <w:t xml:space="preserve"> K</w:t>
      </w:r>
      <w:r>
        <w:rPr>
          <w:rFonts w:ascii="Book Antiqua" w:hAnsi="Book Antiqua"/>
        </w:rPr>
        <w:t xml:space="preserve">, Ley K. Atherosclerosis. </w:t>
      </w:r>
      <w:r>
        <w:rPr>
          <w:rFonts w:ascii="Book Antiqua" w:hAnsi="Book Antiqua"/>
          <w:i/>
          <w:iCs/>
        </w:rPr>
        <w:t>Circ Res</w:t>
      </w:r>
      <w:r>
        <w:rPr>
          <w:rFonts w:ascii="Book Antiqua" w:hAnsi="Book Antiqua"/>
        </w:rPr>
        <w:t xml:space="preserve"> 2018; </w:t>
      </w:r>
      <w:r>
        <w:rPr>
          <w:rFonts w:ascii="Book Antiqua" w:hAnsi="Book Antiqua"/>
          <w:b/>
          <w:bCs/>
        </w:rPr>
        <w:t>123</w:t>
      </w:r>
      <w:r>
        <w:rPr>
          <w:rFonts w:ascii="Book Antiqua" w:hAnsi="Book Antiqua"/>
        </w:rPr>
        <w:t>: 1118-1120 [PMID: 30359201 DOI: 10.1161/CIRCRESAHA.118.313816]</w:t>
      </w:r>
    </w:p>
    <w:p w14:paraId="753A0786" w14:textId="77777777" w:rsidR="00C4529E" w:rsidRDefault="009D6006">
      <w:pPr>
        <w:spacing w:line="360" w:lineRule="auto"/>
        <w:jc w:val="both"/>
        <w:rPr>
          <w:rFonts w:ascii="Book Antiqua" w:hAnsi="Book Antiqua"/>
        </w:rPr>
      </w:pPr>
      <w:r>
        <w:rPr>
          <w:rFonts w:ascii="Book Antiqua" w:hAnsi="Book Antiqua"/>
        </w:rPr>
        <w:t xml:space="preserve">8 </w:t>
      </w:r>
      <w:r>
        <w:rPr>
          <w:rFonts w:ascii="Book Antiqua" w:hAnsi="Book Antiqua"/>
          <w:b/>
          <w:bCs/>
        </w:rPr>
        <w:t>Takafuji Y</w:t>
      </w:r>
      <w:r>
        <w:rPr>
          <w:rFonts w:ascii="Book Antiqua" w:hAnsi="Book Antiqua"/>
        </w:rPr>
        <w:t xml:space="preserve">, Hori M, Mizuno T, Harada-Shiba M. Humoral factors secreted from adipose tissue-derived mesenchymal stem cells ameliorate atherosclerosis in </w:t>
      </w:r>
      <w:proofErr w:type="spellStart"/>
      <w:r>
        <w:rPr>
          <w:rFonts w:ascii="Book Antiqua" w:hAnsi="Book Antiqua"/>
        </w:rPr>
        <w:t>Ldlr</w:t>
      </w:r>
      <w:proofErr w:type="spellEnd"/>
      <w:r>
        <w:rPr>
          <w:rFonts w:ascii="Book Antiqua" w:hAnsi="Book Antiqua"/>
        </w:rPr>
        <w:t xml:space="preserve">-/- mice. </w:t>
      </w:r>
      <w:r>
        <w:rPr>
          <w:rFonts w:ascii="Book Antiqua" w:hAnsi="Book Antiqua"/>
          <w:i/>
          <w:iCs/>
        </w:rPr>
        <w:t>Cardiovasc Res</w:t>
      </w:r>
      <w:r>
        <w:rPr>
          <w:rFonts w:ascii="Book Antiqua" w:hAnsi="Book Antiqua"/>
        </w:rPr>
        <w:t xml:space="preserve"> 2019; </w:t>
      </w:r>
      <w:r>
        <w:rPr>
          <w:rFonts w:ascii="Book Antiqua" w:hAnsi="Book Antiqua"/>
          <w:b/>
          <w:bCs/>
        </w:rPr>
        <w:t>115</w:t>
      </w:r>
      <w:r>
        <w:rPr>
          <w:rFonts w:ascii="Book Antiqua" w:hAnsi="Book Antiqua"/>
        </w:rPr>
        <w:t>: 1041-1051 [PMID: 30388208 DOI: 10.1093/</w:t>
      </w:r>
      <w:proofErr w:type="spellStart"/>
      <w:r>
        <w:rPr>
          <w:rFonts w:ascii="Book Antiqua" w:hAnsi="Book Antiqua"/>
        </w:rPr>
        <w:t>cvr</w:t>
      </w:r>
      <w:proofErr w:type="spellEnd"/>
      <w:r>
        <w:rPr>
          <w:rFonts w:ascii="Book Antiqua" w:hAnsi="Book Antiqua"/>
        </w:rPr>
        <w:t>/cvy271]</w:t>
      </w:r>
    </w:p>
    <w:p w14:paraId="4E3F8C07" w14:textId="77777777" w:rsidR="00C4529E" w:rsidRDefault="009D6006">
      <w:pPr>
        <w:spacing w:line="360" w:lineRule="auto"/>
        <w:jc w:val="both"/>
        <w:rPr>
          <w:rFonts w:ascii="Book Antiqua" w:hAnsi="Book Antiqua"/>
        </w:rPr>
      </w:pPr>
      <w:r>
        <w:rPr>
          <w:rFonts w:ascii="Book Antiqua" w:hAnsi="Book Antiqua"/>
        </w:rPr>
        <w:t xml:space="preserve">9 </w:t>
      </w:r>
      <w:r>
        <w:rPr>
          <w:rFonts w:ascii="Book Antiqua" w:hAnsi="Book Antiqua"/>
          <w:b/>
          <w:bCs/>
        </w:rPr>
        <w:t>Zhang X</w:t>
      </w:r>
      <w:r>
        <w:rPr>
          <w:rFonts w:ascii="Book Antiqua" w:hAnsi="Book Antiqua"/>
        </w:rPr>
        <w:t xml:space="preserve">, Huang F, Li W, Dang JL, Yuan J, Wang J, Zeng DL, Sun CX, Liu YY, Ao Q, Tan H, Su W, Qian X, Olsen N, Zheng SG. Human Gingiva-Derived Mesenchymal Stem Cells Modulate Monocytes/Macrophages and Alleviate Atherosclerosis. </w:t>
      </w:r>
      <w:r>
        <w:rPr>
          <w:rFonts w:ascii="Book Antiqua" w:hAnsi="Book Antiqua"/>
          <w:i/>
          <w:iCs/>
        </w:rPr>
        <w:t>Front Immunol</w:t>
      </w:r>
      <w:r>
        <w:rPr>
          <w:rFonts w:ascii="Book Antiqua" w:hAnsi="Book Antiqua"/>
        </w:rPr>
        <w:t xml:space="preserve"> 2018; </w:t>
      </w:r>
      <w:r>
        <w:rPr>
          <w:rFonts w:ascii="Book Antiqua" w:hAnsi="Book Antiqua"/>
          <w:b/>
          <w:bCs/>
        </w:rPr>
        <w:t>9</w:t>
      </w:r>
      <w:r>
        <w:rPr>
          <w:rFonts w:ascii="Book Antiqua" w:hAnsi="Book Antiqua"/>
        </w:rPr>
        <w:t>: 878 [PMID: 29760701 DOI: 10.3389/fimmu.2018.00878]</w:t>
      </w:r>
    </w:p>
    <w:p w14:paraId="76EBB531" w14:textId="77777777" w:rsidR="00C4529E" w:rsidRDefault="009D6006">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Golpanian</w:t>
      </w:r>
      <w:proofErr w:type="spellEnd"/>
      <w:r>
        <w:rPr>
          <w:rFonts w:ascii="Book Antiqua" w:hAnsi="Book Antiqua"/>
          <w:b/>
          <w:bCs/>
        </w:rPr>
        <w:t xml:space="preserve"> S</w:t>
      </w:r>
      <w:r>
        <w:rPr>
          <w:rFonts w:ascii="Book Antiqua" w:hAnsi="Book Antiqua"/>
        </w:rPr>
        <w:t xml:space="preserve">, Wolf A, Hatzistergos KE, Hare JM. Rebuilding the Damaged Heart: Mesenchymal Stem Cells, Cell-Based Therapy, and Engineered Heart Tissue. </w:t>
      </w:r>
      <w:proofErr w:type="spellStart"/>
      <w:r>
        <w:rPr>
          <w:rFonts w:ascii="Book Antiqua" w:hAnsi="Book Antiqua"/>
          <w:i/>
          <w:iCs/>
        </w:rPr>
        <w:t>Physiol</w:t>
      </w:r>
      <w:proofErr w:type="spellEnd"/>
      <w:r>
        <w:rPr>
          <w:rFonts w:ascii="Book Antiqua" w:hAnsi="Book Antiqua"/>
          <w:i/>
          <w:iCs/>
        </w:rPr>
        <w:t xml:space="preserve"> Rev</w:t>
      </w:r>
      <w:r>
        <w:rPr>
          <w:rFonts w:ascii="Book Antiqua" w:hAnsi="Book Antiqua"/>
        </w:rPr>
        <w:t xml:space="preserve"> 2016; </w:t>
      </w:r>
      <w:r>
        <w:rPr>
          <w:rFonts w:ascii="Book Antiqua" w:hAnsi="Book Antiqua"/>
          <w:b/>
          <w:bCs/>
        </w:rPr>
        <w:t>96</w:t>
      </w:r>
      <w:r>
        <w:rPr>
          <w:rFonts w:ascii="Book Antiqua" w:hAnsi="Book Antiqua"/>
        </w:rPr>
        <w:t>: 1127-1168 [PMID: 27335447 DOI: 10.1152/physrev.00019.2015]</w:t>
      </w:r>
    </w:p>
    <w:p w14:paraId="4B931209" w14:textId="77777777" w:rsidR="00C4529E" w:rsidRDefault="009D6006">
      <w:pPr>
        <w:spacing w:line="360" w:lineRule="auto"/>
        <w:jc w:val="both"/>
        <w:rPr>
          <w:rFonts w:ascii="Book Antiqua" w:hAnsi="Book Antiqua"/>
        </w:rPr>
      </w:pPr>
      <w:r>
        <w:rPr>
          <w:rFonts w:ascii="Book Antiqua" w:hAnsi="Book Antiqua"/>
        </w:rPr>
        <w:t xml:space="preserve">11 </w:t>
      </w:r>
      <w:r>
        <w:rPr>
          <w:rFonts w:ascii="Book Antiqua" w:hAnsi="Book Antiqua"/>
          <w:b/>
          <w:bCs/>
        </w:rPr>
        <w:t>Li Q</w:t>
      </w:r>
      <w:r>
        <w:rPr>
          <w:rFonts w:ascii="Book Antiqua" w:hAnsi="Book Antiqua"/>
        </w:rPr>
        <w:t xml:space="preserve">, Sun W, Wang X, Zhang K, Xi W, Gao P. Skin-Derived Mesenchymal Stem Cells Alleviate Atherosclerosis via Modulating Macrophage Function. </w:t>
      </w:r>
      <w:r>
        <w:rPr>
          <w:rFonts w:ascii="Book Antiqua" w:hAnsi="Book Antiqua"/>
          <w:i/>
          <w:iCs/>
        </w:rPr>
        <w:t xml:space="preserve">Stem Cells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2015; </w:t>
      </w:r>
      <w:r>
        <w:rPr>
          <w:rFonts w:ascii="Book Antiqua" w:hAnsi="Book Antiqua"/>
          <w:b/>
          <w:bCs/>
        </w:rPr>
        <w:t>4</w:t>
      </w:r>
      <w:r>
        <w:rPr>
          <w:rFonts w:ascii="Book Antiqua" w:hAnsi="Book Antiqua"/>
        </w:rPr>
        <w:t>: 1294-1301 [PMID: 26400926 DOI: 10.5966/sctm.2015-0020]</w:t>
      </w:r>
    </w:p>
    <w:p w14:paraId="6427B936" w14:textId="77777777" w:rsidR="00C4529E" w:rsidRDefault="009D6006">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Colmegna</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Stochaj</w:t>
      </w:r>
      <w:proofErr w:type="spellEnd"/>
      <w:r>
        <w:rPr>
          <w:rFonts w:ascii="Book Antiqua" w:hAnsi="Book Antiqua"/>
        </w:rPr>
        <w:t xml:space="preserve"> U. MSC - targets for atherosclerosis therapy. </w:t>
      </w:r>
      <w:r>
        <w:rPr>
          <w:rFonts w:ascii="Book Antiqua" w:hAnsi="Book Antiqua"/>
          <w:i/>
          <w:iCs/>
        </w:rPr>
        <w:t>Aging (Albany NY)</w:t>
      </w:r>
      <w:r>
        <w:rPr>
          <w:rFonts w:ascii="Book Antiqua" w:hAnsi="Book Antiqua"/>
        </w:rPr>
        <w:t xml:space="preserve"> 2018; </w:t>
      </w:r>
      <w:r>
        <w:rPr>
          <w:rFonts w:ascii="Book Antiqua" w:hAnsi="Book Antiqua"/>
          <w:b/>
          <w:bCs/>
        </w:rPr>
        <w:t>11</w:t>
      </w:r>
      <w:r>
        <w:rPr>
          <w:rFonts w:ascii="Book Antiqua" w:hAnsi="Book Antiqua"/>
        </w:rPr>
        <w:t>: 285-286 [PMID: 30591619 DOI: 10.18632/aging.101735]</w:t>
      </w:r>
    </w:p>
    <w:p w14:paraId="62F93391" w14:textId="77777777" w:rsidR="00C4529E" w:rsidRDefault="009D6006">
      <w:pPr>
        <w:spacing w:line="360" w:lineRule="auto"/>
        <w:jc w:val="both"/>
        <w:rPr>
          <w:rFonts w:ascii="Book Antiqua" w:hAnsi="Book Antiqua"/>
        </w:rPr>
      </w:pPr>
      <w:r>
        <w:rPr>
          <w:rFonts w:ascii="Book Antiqua" w:hAnsi="Book Antiqua"/>
        </w:rPr>
        <w:t xml:space="preserve">13 </w:t>
      </w:r>
      <w:r>
        <w:rPr>
          <w:rFonts w:ascii="Book Antiqua" w:hAnsi="Book Antiqua"/>
          <w:b/>
          <w:bCs/>
        </w:rPr>
        <w:t>Yang W</w:t>
      </w:r>
      <w:r>
        <w:rPr>
          <w:rFonts w:ascii="Book Antiqua" w:hAnsi="Book Antiqua"/>
        </w:rPr>
        <w:t xml:space="preserve">, Yin R, Zhu X, Yang S, Wang J, Zhou Z, Pan X, Ma A. Mesenchymal stem-cell-derived </w:t>
      </w:r>
      <w:proofErr w:type="spellStart"/>
      <w:r>
        <w:rPr>
          <w:rFonts w:ascii="Book Antiqua" w:hAnsi="Book Antiqua"/>
        </w:rPr>
        <w:t>exosomal</w:t>
      </w:r>
      <w:proofErr w:type="spellEnd"/>
      <w:r>
        <w:rPr>
          <w:rFonts w:ascii="Book Antiqua" w:hAnsi="Book Antiqua"/>
        </w:rPr>
        <w:t xml:space="preserve"> miR-145 inhibits atherosclerosis by targeting JAM-A. </w:t>
      </w:r>
      <w:r>
        <w:rPr>
          <w:rFonts w:ascii="Book Antiqua" w:hAnsi="Book Antiqua"/>
          <w:i/>
          <w:iCs/>
        </w:rPr>
        <w:t>Mol Ther Nucleic Acids</w:t>
      </w:r>
      <w:r>
        <w:rPr>
          <w:rFonts w:ascii="Book Antiqua" w:hAnsi="Book Antiqua"/>
        </w:rPr>
        <w:t xml:space="preserve"> 2021; </w:t>
      </w:r>
      <w:r>
        <w:rPr>
          <w:rFonts w:ascii="Book Antiqua" w:hAnsi="Book Antiqua"/>
          <w:b/>
          <w:bCs/>
        </w:rPr>
        <w:t>23</w:t>
      </w:r>
      <w:r>
        <w:rPr>
          <w:rFonts w:ascii="Book Antiqua" w:hAnsi="Book Antiqua"/>
        </w:rPr>
        <w:t>: 119-131 [PMID: 33335797 DOI: 10.1016/j.omtn.2020.10.037]</w:t>
      </w:r>
    </w:p>
    <w:p w14:paraId="0D3C318C" w14:textId="77777777" w:rsidR="00C4529E" w:rsidRDefault="009D6006">
      <w:pPr>
        <w:spacing w:line="360" w:lineRule="auto"/>
        <w:jc w:val="both"/>
        <w:rPr>
          <w:rFonts w:ascii="Book Antiqua" w:hAnsi="Book Antiqua"/>
        </w:rPr>
      </w:pPr>
      <w:r>
        <w:rPr>
          <w:rFonts w:ascii="Book Antiqua" w:hAnsi="Book Antiqua"/>
        </w:rPr>
        <w:lastRenderedPageBreak/>
        <w:t xml:space="preserve">14 </w:t>
      </w:r>
      <w:r>
        <w:rPr>
          <w:rFonts w:ascii="Book Antiqua" w:hAnsi="Book Antiqua"/>
          <w:b/>
          <w:bCs/>
        </w:rPr>
        <w:t>Lin Y</w:t>
      </w:r>
      <w:r>
        <w:rPr>
          <w:rFonts w:ascii="Book Antiqua" w:hAnsi="Book Antiqua"/>
        </w:rPr>
        <w:t xml:space="preserve">, Zhu W, Chen X. The involving progress of MSCs based therapy in atherosclerosis.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216 [PMID: 32503682 DOI: 10.1186/s13287-020-01728-1]</w:t>
      </w:r>
    </w:p>
    <w:p w14:paraId="5945829A" w14:textId="77777777" w:rsidR="00C4529E" w:rsidRDefault="009D6006">
      <w:pPr>
        <w:spacing w:line="360" w:lineRule="auto"/>
        <w:jc w:val="both"/>
        <w:rPr>
          <w:rFonts w:ascii="Book Antiqua" w:hAnsi="Book Antiqua"/>
        </w:rPr>
      </w:pPr>
      <w:r>
        <w:rPr>
          <w:rFonts w:ascii="Book Antiqua" w:hAnsi="Book Antiqua"/>
        </w:rPr>
        <w:t xml:space="preserve">15 </w:t>
      </w:r>
      <w:r>
        <w:rPr>
          <w:rFonts w:ascii="Book Antiqua" w:hAnsi="Book Antiqua"/>
          <w:b/>
          <w:bCs/>
        </w:rPr>
        <w:t>Barbash IM</w:t>
      </w:r>
      <w:r>
        <w:rPr>
          <w:rFonts w:ascii="Book Antiqua" w:hAnsi="Book Antiqua"/>
        </w:rPr>
        <w:t xml:space="preserve">, Chouraqui P, Baron J, Feinberg MS, Etzion S, </w:t>
      </w:r>
      <w:proofErr w:type="spellStart"/>
      <w:r>
        <w:rPr>
          <w:rFonts w:ascii="Book Antiqua" w:hAnsi="Book Antiqua"/>
        </w:rPr>
        <w:t>Tessone</w:t>
      </w:r>
      <w:proofErr w:type="spellEnd"/>
      <w:r>
        <w:rPr>
          <w:rFonts w:ascii="Book Antiqua" w:hAnsi="Book Antiqua"/>
        </w:rPr>
        <w:t xml:space="preserve"> A, Miller L, Guetta E, Zipori D, Kedes LH, </w:t>
      </w:r>
      <w:proofErr w:type="spellStart"/>
      <w:r>
        <w:rPr>
          <w:rFonts w:ascii="Book Antiqua" w:hAnsi="Book Antiqua"/>
        </w:rPr>
        <w:t>Kloner</w:t>
      </w:r>
      <w:proofErr w:type="spellEnd"/>
      <w:r>
        <w:rPr>
          <w:rFonts w:ascii="Book Antiqua" w:hAnsi="Book Antiqua"/>
        </w:rPr>
        <w:t xml:space="preserve"> RA, Leor J. Systemic delivery of bone marrow-derived mesenchymal stem cells to the infarcted myocardium: feasibility, cell migration, and body distribution. </w:t>
      </w:r>
      <w:r>
        <w:rPr>
          <w:rFonts w:ascii="Book Antiqua" w:hAnsi="Book Antiqua"/>
          <w:i/>
          <w:iCs/>
        </w:rPr>
        <w:t>Circulation</w:t>
      </w:r>
      <w:r>
        <w:rPr>
          <w:rFonts w:ascii="Book Antiqua" w:hAnsi="Book Antiqua"/>
        </w:rPr>
        <w:t xml:space="preserve"> 2003; </w:t>
      </w:r>
      <w:r>
        <w:rPr>
          <w:rFonts w:ascii="Book Antiqua" w:hAnsi="Book Antiqua"/>
          <w:b/>
          <w:bCs/>
        </w:rPr>
        <w:t>108</w:t>
      </w:r>
      <w:r>
        <w:rPr>
          <w:rFonts w:ascii="Book Antiqua" w:hAnsi="Book Antiqua"/>
        </w:rPr>
        <w:t>: 863-868 [PMID: 12900340 DOI: 10.1161/01.CIR.0000084828.50310.6A]</w:t>
      </w:r>
    </w:p>
    <w:p w14:paraId="5AB0375E" w14:textId="77777777" w:rsidR="00C4529E" w:rsidRDefault="009D6006">
      <w:pPr>
        <w:spacing w:line="360" w:lineRule="auto"/>
        <w:jc w:val="both"/>
        <w:rPr>
          <w:rFonts w:ascii="Book Antiqua" w:hAnsi="Book Antiqua"/>
        </w:rPr>
      </w:pPr>
      <w:r>
        <w:rPr>
          <w:rFonts w:ascii="Book Antiqua" w:hAnsi="Book Antiqua"/>
        </w:rPr>
        <w:t xml:space="preserve">16 </w:t>
      </w:r>
      <w:r>
        <w:rPr>
          <w:rFonts w:ascii="Book Antiqua" w:hAnsi="Book Antiqua"/>
          <w:b/>
          <w:bCs/>
        </w:rPr>
        <w:t>Lin P</w:t>
      </w:r>
      <w:r>
        <w:rPr>
          <w:rFonts w:ascii="Book Antiqua" w:hAnsi="Book Antiqua"/>
        </w:rPr>
        <w:t xml:space="preserve">, Correa D, Kean TJ, Awadallah A, Dennis JE, Caplan AI. Serial transplantation and long-term engraftment of intra-arterially delivered clonally derived mesenchymal stem cells to injured bone marrow. </w:t>
      </w:r>
      <w:r>
        <w:rPr>
          <w:rFonts w:ascii="Book Antiqua" w:hAnsi="Book Antiqua"/>
          <w:i/>
          <w:iCs/>
        </w:rPr>
        <w:t>Mol Ther</w:t>
      </w:r>
      <w:r>
        <w:rPr>
          <w:rFonts w:ascii="Book Antiqua" w:hAnsi="Book Antiqua"/>
        </w:rPr>
        <w:t xml:space="preserve"> 2014; </w:t>
      </w:r>
      <w:r>
        <w:rPr>
          <w:rFonts w:ascii="Book Antiqua" w:hAnsi="Book Antiqua"/>
          <w:b/>
          <w:bCs/>
        </w:rPr>
        <w:t>22</w:t>
      </w:r>
      <w:r>
        <w:rPr>
          <w:rFonts w:ascii="Book Antiqua" w:hAnsi="Book Antiqua"/>
        </w:rPr>
        <w:t>: 160-168 [PMID: 24067545 DOI: 10.1038/mt.2013.221]</w:t>
      </w:r>
    </w:p>
    <w:p w14:paraId="354900CB" w14:textId="77777777" w:rsidR="00C4529E" w:rsidRDefault="009D6006">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Shahror</w:t>
      </w:r>
      <w:proofErr w:type="spellEnd"/>
      <w:r>
        <w:rPr>
          <w:rFonts w:ascii="Book Antiqua" w:hAnsi="Book Antiqua"/>
          <w:b/>
          <w:bCs/>
        </w:rPr>
        <w:t xml:space="preserve"> RA</w:t>
      </w:r>
      <w:r>
        <w:rPr>
          <w:rFonts w:ascii="Book Antiqua" w:hAnsi="Book Antiqua"/>
        </w:rPr>
        <w:t xml:space="preserve">, Ali AAA, Wu CC, Chiang YH, Chen KY. Enhanced Homing of Mesenchymal Stem Cells Overexpressing Fibroblast Growth Factor 21 to Injury Site in a Mouse Model of Traumatic Brain Injury.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31142002 DOI: 10.3390/ijms20112624]</w:t>
      </w:r>
    </w:p>
    <w:p w14:paraId="4CB037F3" w14:textId="77777777" w:rsidR="00C4529E" w:rsidRDefault="009D6006">
      <w:pPr>
        <w:spacing w:line="360" w:lineRule="auto"/>
        <w:jc w:val="both"/>
        <w:rPr>
          <w:rFonts w:ascii="Book Antiqua" w:hAnsi="Book Antiqua"/>
        </w:rPr>
      </w:pPr>
      <w:r>
        <w:rPr>
          <w:rFonts w:ascii="Book Antiqua" w:hAnsi="Book Antiqua"/>
        </w:rPr>
        <w:t xml:space="preserve">18 </w:t>
      </w:r>
      <w:r>
        <w:rPr>
          <w:rFonts w:ascii="Book Antiqua" w:hAnsi="Book Antiqua"/>
          <w:b/>
          <w:bCs/>
        </w:rPr>
        <w:t>Zhang X</w:t>
      </w:r>
      <w:r>
        <w:rPr>
          <w:rFonts w:ascii="Book Antiqua" w:hAnsi="Book Antiqua"/>
        </w:rPr>
        <w:t xml:space="preserve">, Huang W, Chen X, Lian Y, Wang J, Cai C, Huang L, Wang T, Ren J, Xiang AP. CXCR5-Overexpressing Mesenchymal Stromal Cells Exhibit Enhanced Homing and Can Decrease Contact Hypersensitivity. </w:t>
      </w:r>
      <w:r>
        <w:rPr>
          <w:rFonts w:ascii="Book Antiqua" w:hAnsi="Book Antiqua"/>
          <w:i/>
          <w:iCs/>
        </w:rPr>
        <w:t>Mol Ther</w:t>
      </w:r>
      <w:r>
        <w:rPr>
          <w:rFonts w:ascii="Book Antiqua" w:hAnsi="Book Antiqua"/>
        </w:rPr>
        <w:t xml:space="preserve"> 2017; </w:t>
      </w:r>
      <w:r>
        <w:rPr>
          <w:rFonts w:ascii="Book Antiqua" w:hAnsi="Book Antiqua"/>
          <w:b/>
          <w:bCs/>
        </w:rPr>
        <w:t>25</w:t>
      </w:r>
      <w:r>
        <w:rPr>
          <w:rFonts w:ascii="Book Antiqua" w:hAnsi="Book Antiqua"/>
        </w:rPr>
        <w:t>: 1434-1447 [PMID: 28454789 DOI: 10.1016/j.ymthe.2017.04.004]</w:t>
      </w:r>
    </w:p>
    <w:p w14:paraId="1F5F34B4" w14:textId="77777777" w:rsidR="00C4529E" w:rsidRDefault="009D6006">
      <w:pPr>
        <w:spacing w:line="360" w:lineRule="auto"/>
        <w:jc w:val="both"/>
        <w:rPr>
          <w:rFonts w:ascii="Book Antiqua" w:hAnsi="Book Antiqua"/>
        </w:rPr>
      </w:pPr>
      <w:r>
        <w:rPr>
          <w:rFonts w:ascii="Book Antiqua" w:hAnsi="Book Antiqua"/>
        </w:rPr>
        <w:t xml:space="preserve">19 </w:t>
      </w:r>
      <w:r>
        <w:rPr>
          <w:rFonts w:ascii="Book Antiqua" w:hAnsi="Book Antiqua"/>
          <w:b/>
          <w:bCs/>
        </w:rPr>
        <w:t>Hynes RO</w:t>
      </w:r>
      <w:r>
        <w:rPr>
          <w:rFonts w:ascii="Book Antiqua" w:hAnsi="Book Antiqua"/>
        </w:rPr>
        <w:t xml:space="preserve">. Integrins: bidirectional, allosteric signaling machines. </w:t>
      </w:r>
      <w:r>
        <w:rPr>
          <w:rFonts w:ascii="Book Antiqua" w:hAnsi="Book Antiqua"/>
          <w:i/>
          <w:iCs/>
        </w:rPr>
        <w:t>Cell</w:t>
      </w:r>
      <w:r>
        <w:rPr>
          <w:rFonts w:ascii="Book Antiqua" w:hAnsi="Book Antiqua"/>
        </w:rPr>
        <w:t xml:space="preserve"> 2002; </w:t>
      </w:r>
      <w:r>
        <w:rPr>
          <w:rFonts w:ascii="Book Antiqua" w:hAnsi="Book Antiqua"/>
          <w:b/>
          <w:bCs/>
        </w:rPr>
        <w:t>110</w:t>
      </w:r>
      <w:r>
        <w:rPr>
          <w:rFonts w:ascii="Book Antiqua" w:hAnsi="Book Antiqua"/>
        </w:rPr>
        <w:t>: 673-687 [PMID: 12297042 DOI: 10.1016/s0092-8674(02)00971-6]</w:t>
      </w:r>
    </w:p>
    <w:p w14:paraId="2275A58C" w14:textId="77777777" w:rsidR="00C4529E" w:rsidRDefault="009D6006">
      <w:pPr>
        <w:spacing w:line="360" w:lineRule="auto"/>
        <w:jc w:val="both"/>
        <w:rPr>
          <w:rFonts w:ascii="Book Antiqua" w:hAnsi="Book Antiqua"/>
        </w:rPr>
      </w:pPr>
      <w:r>
        <w:rPr>
          <w:rFonts w:ascii="Book Antiqua" w:hAnsi="Book Antiqua"/>
        </w:rPr>
        <w:t xml:space="preserve">20 </w:t>
      </w:r>
      <w:r>
        <w:rPr>
          <w:rFonts w:ascii="Book Antiqua" w:hAnsi="Book Antiqua"/>
          <w:b/>
          <w:bCs/>
        </w:rPr>
        <w:t>Ross TD</w:t>
      </w:r>
      <w:r>
        <w:rPr>
          <w:rFonts w:ascii="Book Antiqua" w:hAnsi="Book Antiqua"/>
        </w:rPr>
        <w:t xml:space="preserve">, Coon BG, Yun S, </w:t>
      </w:r>
      <w:proofErr w:type="spellStart"/>
      <w:r>
        <w:rPr>
          <w:rFonts w:ascii="Book Antiqua" w:hAnsi="Book Antiqua"/>
        </w:rPr>
        <w:t>Baeyens</w:t>
      </w:r>
      <w:proofErr w:type="spellEnd"/>
      <w:r>
        <w:rPr>
          <w:rFonts w:ascii="Book Antiqua" w:hAnsi="Book Antiqua"/>
        </w:rPr>
        <w:t xml:space="preserve"> N, Tanaka K, Ouyang M, Schwartz MA. Integrins in </w:t>
      </w:r>
      <w:proofErr w:type="spellStart"/>
      <w:r>
        <w:rPr>
          <w:rFonts w:ascii="Book Antiqua" w:hAnsi="Book Antiqua"/>
        </w:rPr>
        <w:t>mechanotransduction</w:t>
      </w:r>
      <w:proofErr w:type="spell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Cell Biol</w:t>
      </w:r>
      <w:r>
        <w:rPr>
          <w:rFonts w:ascii="Book Antiqua" w:hAnsi="Book Antiqua"/>
        </w:rPr>
        <w:t xml:space="preserve"> 2013; </w:t>
      </w:r>
      <w:r>
        <w:rPr>
          <w:rFonts w:ascii="Book Antiqua" w:hAnsi="Book Antiqua"/>
          <w:b/>
          <w:bCs/>
        </w:rPr>
        <w:t>25</w:t>
      </w:r>
      <w:r>
        <w:rPr>
          <w:rFonts w:ascii="Book Antiqua" w:hAnsi="Book Antiqua"/>
        </w:rPr>
        <w:t>: 613-618 [PMID: 23797029 DOI: 10.1016/j.ceb.2013.05.006]</w:t>
      </w:r>
    </w:p>
    <w:p w14:paraId="165CC2A1" w14:textId="77777777" w:rsidR="00C4529E" w:rsidRDefault="009D6006">
      <w:pPr>
        <w:spacing w:line="360" w:lineRule="auto"/>
        <w:jc w:val="both"/>
        <w:rPr>
          <w:rFonts w:ascii="Book Antiqua" w:hAnsi="Book Antiqua"/>
        </w:rPr>
      </w:pPr>
      <w:r>
        <w:rPr>
          <w:rFonts w:ascii="Book Antiqua" w:hAnsi="Book Antiqua"/>
        </w:rPr>
        <w:t xml:space="preserve">21 </w:t>
      </w:r>
      <w:r>
        <w:rPr>
          <w:rFonts w:ascii="Book Antiqua" w:hAnsi="Book Antiqua"/>
          <w:b/>
          <w:bCs/>
        </w:rPr>
        <w:t>D'Souza SE</w:t>
      </w:r>
      <w:r>
        <w:rPr>
          <w:rFonts w:ascii="Book Antiqua" w:hAnsi="Book Antiqua"/>
        </w:rPr>
        <w:t>, Ginsberg MH, Burke TA, Lam SC, Plow EF. Localization of an Arg-</w:t>
      </w:r>
      <w:proofErr w:type="spellStart"/>
      <w:r>
        <w:rPr>
          <w:rFonts w:ascii="Book Antiqua" w:hAnsi="Book Antiqua"/>
        </w:rPr>
        <w:t>Gly</w:t>
      </w:r>
      <w:proofErr w:type="spellEnd"/>
      <w:r>
        <w:rPr>
          <w:rFonts w:ascii="Book Antiqua" w:hAnsi="Book Antiqua"/>
        </w:rPr>
        <w:t xml:space="preserve">-Asp recognition site within an integrin adhesion receptor. </w:t>
      </w:r>
      <w:r>
        <w:rPr>
          <w:rFonts w:ascii="Book Antiqua" w:hAnsi="Book Antiqua"/>
          <w:i/>
          <w:iCs/>
        </w:rPr>
        <w:t>Science</w:t>
      </w:r>
      <w:r>
        <w:rPr>
          <w:rFonts w:ascii="Book Antiqua" w:hAnsi="Book Antiqua"/>
        </w:rPr>
        <w:t xml:space="preserve"> 1988; </w:t>
      </w:r>
      <w:r>
        <w:rPr>
          <w:rFonts w:ascii="Book Antiqua" w:hAnsi="Book Antiqua"/>
          <w:b/>
          <w:bCs/>
        </w:rPr>
        <w:t>242</w:t>
      </w:r>
      <w:r>
        <w:rPr>
          <w:rFonts w:ascii="Book Antiqua" w:hAnsi="Book Antiqua"/>
        </w:rPr>
        <w:t>: 91-93 [PMID: 3262922 DOI: 10.1126/science.3262922]</w:t>
      </w:r>
    </w:p>
    <w:p w14:paraId="7FA35AFF" w14:textId="77777777" w:rsidR="00C4529E" w:rsidRDefault="009D6006">
      <w:pPr>
        <w:spacing w:line="360" w:lineRule="auto"/>
        <w:jc w:val="both"/>
        <w:rPr>
          <w:rFonts w:ascii="Book Antiqua" w:hAnsi="Book Antiqua"/>
        </w:rPr>
      </w:pPr>
      <w:r>
        <w:rPr>
          <w:rFonts w:ascii="Book Antiqua" w:hAnsi="Book Antiqua"/>
        </w:rPr>
        <w:lastRenderedPageBreak/>
        <w:t xml:space="preserve">22 </w:t>
      </w:r>
      <w:r>
        <w:rPr>
          <w:rFonts w:ascii="Book Antiqua" w:hAnsi="Book Antiqua"/>
          <w:b/>
          <w:bCs/>
        </w:rPr>
        <w:t>D'Souza SE</w:t>
      </w:r>
      <w:r>
        <w:rPr>
          <w:rFonts w:ascii="Book Antiqua" w:hAnsi="Book Antiqua"/>
        </w:rPr>
        <w:t xml:space="preserve">, Ginsberg MH, Matsueda GR, Plow EF. A discrete sequence in a platelet integrin is involved in ligand recognition. </w:t>
      </w:r>
      <w:r>
        <w:rPr>
          <w:rFonts w:ascii="Book Antiqua" w:hAnsi="Book Antiqua"/>
          <w:i/>
          <w:iCs/>
        </w:rPr>
        <w:t>Nature</w:t>
      </w:r>
      <w:r>
        <w:rPr>
          <w:rFonts w:ascii="Book Antiqua" w:hAnsi="Book Antiqua"/>
        </w:rPr>
        <w:t xml:space="preserve"> 1991; </w:t>
      </w:r>
      <w:r>
        <w:rPr>
          <w:rFonts w:ascii="Book Antiqua" w:hAnsi="Book Antiqua"/>
          <w:b/>
          <w:bCs/>
        </w:rPr>
        <w:t>350</w:t>
      </w:r>
      <w:r>
        <w:rPr>
          <w:rFonts w:ascii="Book Antiqua" w:hAnsi="Book Antiqua"/>
        </w:rPr>
        <w:t>: 66-68 [PMID: 2002847 DOI: 10.1038/350066a0]</w:t>
      </w:r>
    </w:p>
    <w:p w14:paraId="38E6F7E6" w14:textId="77777777" w:rsidR="00C4529E" w:rsidRDefault="009D6006">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Dashdulam</w:t>
      </w:r>
      <w:proofErr w:type="spellEnd"/>
      <w:r>
        <w:rPr>
          <w:rFonts w:ascii="Book Antiqua" w:hAnsi="Book Antiqua"/>
          <w:b/>
          <w:bCs/>
        </w:rPr>
        <w:t xml:space="preserve"> D</w:t>
      </w:r>
      <w:r>
        <w:rPr>
          <w:rFonts w:ascii="Book Antiqua" w:hAnsi="Book Antiqua"/>
        </w:rPr>
        <w:t xml:space="preserve">, Kim ID, Lee H, Lee HK, Kim SW, Lee JK. </w:t>
      </w:r>
      <w:proofErr w:type="spellStart"/>
      <w:r>
        <w:rPr>
          <w:rFonts w:ascii="Book Antiqua" w:hAnsi="Book Antiqua"/>
        </w:rPr>
        <w:t>Osteopontin</w:t>
      </w:r>
      <w:proofErr w:type="spellEnd"/>
      <w:r>
        <w:rPr>
          <w:rFonts w:ascii="Book Antiqua" w:hAnsi="Book Antiqua"/>
        </w:rPr>
        <w:t xml:space="preserve"> heptamer peptide containing the RGD motif enhances the phagocytic function of microglia.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xml:space="preserve"> 2020; </w:t>
      </w:r>
      <w:r>
        <w:rPr>
          <w:rFonts w:ascii="Book Antiqua" w:hAnsi="Book Antiqua"/>
          <w:b/>
          <w:bCs/>
        </w:rPr>
        <w:t>524</w:t>
      </w:r>
      <w:r>
        <w:rPr>
          <w:rFonts w:ascii="Book Antiqua" w:hAnsi="Book Antiqua"/>
        </w:rPr>
        <w:t>: 371-377 [PMID: 32005517 DOI: 10.1016/j.bbrc.2020.01.100]</w:t>
      </w:r>
    </w:p>
    <w:p w14:paraId="0FC117C9" w14:textId="77777777" w:rsidR="00C4529E" w:rsidRDefault="009D6006">
      <w:pPr>
        <w:spacing w:line="360" w:lineRule="auto"/>
        <w:jc w:val="both"/>
        <w:rPr>
          <w:rFonts w:ascii="Book Antiqua" w:hAnsi="Book Antiqua"/>
        </w:rPr>
      </w:pPr>
      <w:r>
        <w:rPr>
          <w:rFonts w:ascii="Book Antiqua" w:hAnsi="Book Antiqua"/>
        </w:rPr>
        <w:t xml:space="preserve">24 </w:t>
      </w:r>
      <w:r>
        <w:rPr>
          <w:rFonts w:ascii="Book Antiqua" w:hAnsi="Book Antiqua"/>
          <w:b/>
          <w:bCs/>
        </w:rPr>
        <w:t>Wang JH</w:t>
      </w:r>
      <w:r>
        <w:rPr>
          <w:rFonts w:ascii="Book Antiqua" w:hAnsi="Book Antiqua"/>
        </w:rPr>
        <w:t xml:space="preserve">, Stehle T, </w:t>
      </w:r>
      <w:proofErr w:type="spellStart"/>
      <w:r>
        <w:rPr>
          <w:rFonts w:ascii="Book Antiqua" w:hAnsi="Book Antiqua"/>
        </w:rPr>
        <w:t>Pepinsky</w:t>
      </w:r>
      <w:proofErr w:type="spellEnd"/>
      <w:r>
        <w:rPr>
          <w:rFonts w:ascii="Book Antiqua" w:hAnsi="Book Antiqua"/>
        </w:rPr>
        <w:t xml:space="preserve"> B, Liu JH, </w:t>
      </w:r>
      <w:proofErr w:type="spellStart"/>
      <w:r>
        <w:rPr>
          <w:rFonts w:ascii="Book Antiqua" w:hAnsi="Book Antiqua"/>
        </w:rPr>
        <w:t>Karpusas</w:t>
      </w:r>
      <w:proofErr w:type="spellEnd"/>
      <w:r>
        <w:rPr>
          <w:rFonts w:ascii="Book Antiqua" w:hAnsi="Book Antiqua"/>
        </w:rPr>
        <w:t xml:space="preserve"> M, Osborn L. Structure of a functional fragment of VCAM-1 refined at 1.9 a resolution. </w:t>
      </w:r>
      <w:r>
        <w:rPr>
          <w:rFonts w:ascii="Book Antiqua" w:hAnsi="Book Antiqua"/>
          <w:i/>
          <w:iCs/>
        </w:rPr>
        <w:t xml:space="preserve">Acta </w:t>
      </w:r>
      <w:proofErr w:type="spellStart"/>
      <w:r>
        <w:rPr>
          <w:rFonts w:ascii="Book Antiqua" w:hAnsi="Book Antiqua"/>
          <w:i/>
          <w:iCs/>
        </w:rPr>
        <w:t>Crystallogr</w:t>
      </w:r>
      <w:proofErr w:type="spellEnd"/>
      <w:r>
        <w:rPr>
          <w:rFonts w:ascii="Book Antiqua" w:hAnsi="Book Antiqua"/>
          <w:i/>
          <w:iCs/>
        </w:rPr>
        <w:t xml:space="preserve"> D Biol </w:t>
      </w:r>
      <w:proofErr w:type="spellStart"/>
      <w:r>
        <w:rPr>
          <w:rFonts w:ascii="Book Antiqua" w:hAnsi="Book Antiqua"/>
          <w:i/>
          <w:iCs/>
        </w:rPr>
        <w:t>Crystallogr</w:t>
      </w:r>
      <w:proofErr w:type="spellEnd"/>
      <w:r>
        <w:rPr>
          <w:rFonts w:ascii="Book Antiqua" w:hAnsi="Book Antiqua"/>
        </w:rPr>
        <w:t xml:space="preserve"> 1996; </w:t>
      </w:r>
      <w:r>
        <w:rPr>
          <w:rFonts w:ascii="Book Antiqua" w:hAnsi="Book Antiqua"/>
          <w:b/>
          <w:bCs/>
        </w:rPr>
        <w:t>52</w:t>
      </w:r>
      <w:r>
        <w:rPr>
          <w:rFonts w:ascii="Book Antiqua" w:hAnsi="Book Antiqua"/>
        </w:rPr>
        <w:t>: 369-379 [PMID: 15299708 DOI: 10.1107/S0907444995012352]</w:t>
      </w:r>
    </w:p>
    <w:p w14:paraId="7DBA3CB4" w14:textId="77777777" w:rsidR="00C4529E" w:rsidRDefault="009D6006">
      <w:pPr>
        <w:spacing w:line="360" w:lineRule="auto"/>
        <w:jc w:val="both"/>
        <w:rPr>
          <w:rFonts w:ascii="Book Antiqua" w:hAnsi="Book Antiqua"/>
        </w:rPr>
      </w:pPr>
      <w:r>
        <w:rPr>
          <w:rFonts w:ascii="Book Antiqua" w:hAnsi="Book Antiqua"/>
        </w:rPr>
        <w:t xml:space="preserve">25 </w:t>
      </w:r>
      <w:r>
        <w:rPr>
          <w:rFonts w:ascii="Book Antiqua" w:hAnsi="Book Antiqua"/>
          <w:b/>
          <w:bCs/>
        </w:rPr>
        <w:t>D'Souza SE</w:t>
      </w:r>
      <w:r>
        <w:rPr>
          <w:rFonts w:ascii="Book Antiqua" w:hAnsi="Book Antiqua"/>
        </w:rPr>
        <w:t xml:space="preserve">, Haas TA, Piotrowicz RS, Byers-Ward V, McGrath DE, Soule HR, </w:t>
      </w:r>
      <w:proofErr w:type="spellStart"/>
      <w:r>
        <w:rPr>
          <w:rFonts w:ascii="Book Antiqua" w:hAnsi="Book Antiqua"/>
        </w:rPr>
        <w:t>Cierniewski</w:t>
      </w:r>
      <w:proofErr w:type="spellEnd"/>
      <w:r>
        <w:rPr>
          <w:rFonts w:ascii="Book Antiqua" w:hAnsi="Book Antiqua"/>
        </w:rPr>
        <w:t xml:space="preserve"> C, Plow EF, Smith JW. Ligand and cation binding are dual functions of a discrete segment of the integrin beta 3 subunit: cation displacement is involved in ligand binding. </w:t>
      </w:r>
      <w:r>
        <w:rPr>
          <w:rFonts w:ascii="Book Antiqua" w:hAnsi="Book Antiqua"/>
          <w:i/>
          <w:iCs/>
        </w:rPr>
        <w:t>Cell</w:t>
      </w:r>
      <w:r>
        <w:rPr>
          <w:rFonts w:ascii="Book Antiqua" w:hAnsi="Book Antiqua"/>
        </w:rPr>
        <w:t xml:space="preserve"> 1994; </w:t>
      </w:r>
      <w:r>
        <w:rPr>
          <w:rFonts w:ascii="Book Antiqua" w:hAnsi="Book Antiqua"/>
          <w:b/>
          <w:bCs/>
        </w:rPr>
        <w:t>79</w:t>
      </w:r>
      <w:r>
        <w:rPr>
          <w:rFonts w:ascii="Book Antiqua" w:hAnsi="Book Antiqua"/>
        </w:rPr>
        <w:t>: 659-667 [PMID: 7525080 DOI: 10.1016/0092-8674(94)90551-7]</w:t>
      </w:r>
    </w:p>
    <w:p w14:paraId="6CB7B88E" w14:textId="77777777" w:rsidR="00C4529E" w:rsidRDefault="009D6006">
      <w:pPr>
        <w:spacing w:line="360" w:lineRule="auto"/>
        <w:jc w:val="both"/>
        <w:rPr>
          <w:rFonts w:ascii="Book Antiqua" w:hAnsi="Book Antiqua"/>
        </w:rPr>
      </w:pPr>
      <w:r>
        <w:rPr>
          <w:rFonts w:ascii="Book Antiqua" w:hAnsi="Book Antiqua"/>
        </w:rPr>
        <w:t xml:space="preserve">26 </w:t>
      </w:r>
      <w:r>
        <w:rPr>
          <w:rFonts w:ascii="Book Antiqua" w:hAnsi="Book Antiqua"/>
          <w:b/>
          <w:bCs/>
        </w:rPr>
        <w:t>Han YF</w:t>
      </w:r>
      <w:r>
        <w:rPr>
          <w:rFonts w:ascii="Book Antiqua" w:hAnsi="Book Antiqua"/>
        </w:rPr>
        <w:t xml:space="preserve">, Tao R, Sun TJ, Chai JK, Xu G, Liu J. Optimization of human umbilical cord mesenchymal stem cell isolation and culture methods. </w:t>
      </w:r>
      <w:r>
        <w:rPr>
          <w:rFonts w:ascii="Book Antiqua" w:hAnsi="Book Antiqua"/>
          <w:i/>
          <w:iCs/>
        </w:rPr>
        <w:t>Cytotechnology</w:t>
      </w:r>
      <w:r>
        <w:rPr>
          <w:rFonts w:ascii="Book Antiqua" w:hAnsi="Book Antiqua"/>
        </w:rPr>
        <w:t xml:space="preserve"> 2013; </w:t>
      </w:r>
      <w:r>
        <w:rPr>
          <w:rFonts w:ascii="Book Antiqua" w:hAnsi="Book Antiqua"/>
          <w:b/>
          <w:bCs/>
        </w:rPr>
        <w:t>65</w:t>
      </w:r>
      <w:r>
        <w:rPr>
          <w:rFonts w:ascii="Book Antiqua" w:hAnsi="Book Antiqua"/>
        </w:rPr>
        <w:t>: 819-827 [PMID: 23306781 DOI: 10.1007/s10616-012-9528-0]</w:t>
      </w:r>
    </w:p>
    <w:p w14:paraId="5F300077" w14:textId="77777777" w:rsidR="00C4529E" w:rsidRDefault="009D6006">
      <w:pPr>
        <w:spacing w:line="360" w:lineRule="auto"/>
        <w:jc w:val="both"/>
        <w:rPr>
          <w:rFonts w:ascii="Book Antiqua" w:hAnsi="Book Antiqua"/>
        </w:rPr>
      </w:pPr>
      <w:r>
        <w:rPr>
          <w:rFonts w:ascii="Book Antiqua" w:hAnsi="Book Antiqua"/>
        </w:rPr>
        <w:t xml:space="preserve">27 </w:t>
      </w:r>
      <w:r>
        <w:rPr>
          <w:rFonts w:ascii="Book Antiqua" w:hAnsi="Book Antiqua"/>
          <w:b/>
          <w:bCs/>
        </w:rPr>
        <w:t>Nie L</w:t>
      </w:r>
      <w:r>
        <w:rPr>
          <w:rFonts w:ascii="Book Antiqua" w:hAnsi="Book Antiqua"/>
        </w:rPr>
        <w:t xml:space="preserve">, Guo X, </w:t>
      </w:r>
      <w:proofErr w:type="spellStart"/>
      <w:r>
        <w:rPr>
          <w:rFonts w:ascii="Book Antiqua" w:hAnsi="Book Antiqua"/>
        </w:rPr>
        <w:t>Esmailzadeh</w:t>
      </w:r>
      <w:proofErr w:type="spellEnd"/>
      <w:r>
        <w:rPr>
          <w:rFonts w:ascii="Book Antiqua" w:hAnsi="Book Antiqua"/>
        </w:rPr>
        <w:t xml:space="preserve"> L, Zhang J, Asadi A, Collinge M, Li X, Kim JD, Woolls M, Jin SW, </w:t>
      </w:r>
      <w:proofErr w:type="spellStart"/>
      <w:r>
        <w:rPr>
          <w:rFonts w:ascii="Book Antiqua" w:hAnsi="Book Antiqua"/>
        </w:rPr>
        <w:t>Dubrac</w:t>
      </w:r>
      <w:proofErr w:type="spellEnd"/>
      <w:r>
        <w:rPr>
          <w:rFonts w:ascii="Book Antiqua" w:hAnsi="Book Antiqua"/>
        </w:rPr>
        <w:t xml:space="preserve"> A, Eichmann A, Simons M, Bender JR, Sadeghi MM. Transmembrane protein ESDN promotes endothelial VEGF signaling and regulates angiogenesis. </w:t>
      </w:r>
      <w:r>
        <w:rPr>
          <w:rFonts w:ascii="Book Antiqua" w:hAnsi="Book Antiqua"/>
          <w:i/>
          <w:iCs/>
        </w:rPr>
        <w:t>J Clin Invest</w:t>
      </w:r>
      <w:r>
        <w:rPr>
          <w:rFonts w:ascii="Book Antiqua" w:hAnsi="Book Antiqua"/>
        </w:rPr>
        <w:t xml:space="preserve"> 2013; </w:t>
      </w:r>
      <w:r>
        <w:rPr>
          <w:rFonts w:ascii="Book Antiqua" w:hAnsi="Book Antiqua"/>
          <w:b/>
          <w:bCs/>
        </w:rPr>
        <w:t>123</w:t>
      </w:r>
      <w:r>
        <w:rPr>
          <w:rFonts w:ascii="Book Antiqua" w:hAnsi="Book Antiqua"/>
        </w:rPr>
        <w:t>: 5082-5097 [PMID: 24177422 DOI: 10.1172/JCI67752]</w:t>
      </w:r>
    </w:p>
    <w:p w14:paraId="4F8ED030" w14:textId="77777777" w:rsidR="00C4529E" w:rsidRDefault="009D6006">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Sonou</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Ohya</w:t>
      </w:r>
      <w:proofErr w:type="spellEnd"/>
      <w:r>
        <w:rPr>
          <w:rFonts w:ascii="Book Antiqua" w:hAnsi="Book Antiqua"/>
        </w:rPr>
        <w:t xml:space="preserve"> M, Yashiro M, Masumoto A, Nakashima Y, Ito T, Mima T, Negi S, Kimura-Suda H, Shigematsu T. Mineral Composition of Phosphate-Induced Calcification in a Rat Aortic Tissue Culture Model. </w:t>
      </w:r>
      <w:r>
        <w:rPr>
          <w:rFonts w:ascii="Book Antiqua" w:hAnsi="Book Antiqua"/>
          <w:i/>
          <w:iCs/>
        </w:rPr>
        <w:t xml:space="preserve">J </w:t>
      </w:r>
      <w:proofErr w:type="spellStart"/>
      <w:r>
        <w:rPr>
          <w:rFonts w:ascii="Book Antiqua" w:hAnsi="Book Antiqua"/>
          <w:i/>
          <w:iCs/>
        </w:rPr>
        <w:t>Atheroscler</w:t>
      </w:r>
      <w:proofErr w:type="spellEnd"/>
      <w:r>
        <w:rPr>
          <w:rFonts w:ascii="Book Antiqua" w:hAnsi="Book Antiqua"/>
          <w:i/>
          <w:iCs/>
        </w:rPr>
        <w:t xml:space="preserve"> </w:t>
      </w:r>
      <w:proofErr w:type="spellStart"/>
      <w:r>
        <w:rPr>
          <w:rFonts w:ascii="Book Antiqua" w:hAnsi="Book Antiqua"/>
          <w:i/>
          <w:iCs/>
        </w:rPr>
        <w:t>Thromb</w:t>
      </w:r>
      <w:proofErr w:type="spellEnd"/>
      <w:r>
        <w:rPr>
          <w:rFonts w:ascii="Book Antiqua" w:hAnsi="Book Antiqua"/>
        </w:rPr>
        <w:t xml:space="preserve"> 2015; </w:t>
      </w:r>
      <w:r>
        <w:rPr>
          <w:rFonts w:ascii="Book Antiqua" w:hAnsi="Book Antiqua"/>
          <w:b/>
          <w:bCs/>
        </w:rPr>
        <w:t>22</w:t>
      </w:r>
      <w:r>
        <w:rPr>
          <w:rFonts w:ascii="Book Antiqua" w:hAnsi="Book Antiqua"/>
        </w:rPr>
        <w:t>: 1197-1206 [PMID: 26119071 DOI: 10.5551/jat.28647]</w:t>
      </w:r>
    </w:p>
    <w:p w14:paraId="34D59E0D" w14:textId="77777777" w:rsidR="00C4529E" w:rsidRDefault="009D6006">
      <w:pPr>
        <w:spacing w:line="360" w:lineRule="auto"/>
        <w:jc w:val="both"/>
        <w:rPr>
          <w:rFonts w:ascii="Book Antiqua" w:hAnsi="Book Antiqua"/>
        </w:rPr>
      </w:pPr>
      <w:r>
        <w:rPr>
          <w:rFonts w:ascii="Book Antiqua" w:hAnsi="Book Antiqua"/>
        </w:rPr>
        <w:t xml:space="preserve">29 </w:t>
      </w:r>
      <w:r>
        <w:rPr>
          <w:rFonts w:ascii="Book Antiqua" w:hAnsi="Book Antiqua"/>
          <w:b/>
          <w:bCs/>
        </w:rPr>
        <w:t>Wang D</w:t>
      </w:r>
      <w:r>
        <w:rPr>
          <w:rFonts w:ascii="Book Antiqua" w:hAnsi="Book Antiqua"/>
        </w:rPr>
        <w:t xml:space="preserve">, Tian L, Wang Y, Gao X, Tang H, Ge J. Circ_0001206 regulates miR-665/CRKL axis to alleviate hypoxia/reoxygenation-induced cardiomyocyte injury in </w:t>
      </w:r>
      <w:r>
        <w:rPr>
          <w:rFonts w:ascii="Book Antiqua" w:hAnsi="Book Antiqua"/>
        </w:rPr>
        <w:lastRenderedPageBreak/>
        <w:t xml:space="preserve">myocardial infarction. </w:t>
      </w:r>
      <w:r>
        <w:rPr>
          <w:rFonts w:ascii="Book Antiqua" w:hAnsi="Book Antiqua"/>
          <w:i/>
          <w:iCs/>
        </w:rPr>
        <w:t>ESC Heart Fail</w:t>
      </w:r>
      <w:r>
        <w:rPr>
          <w:rFonts w:ascii="Book Antiqua" w:hAnsi="Book Antiqua"/>
        </w:rPr>
        <w:t xml:space="preserve"> 2022; </w:t>
      </w:r>
      <w:r>
        <w:rPr>
          <w:rFonts w:ascii="Book Antiqua" w:hAnsi="Book Antiqua"/>
          <w:b/>
          <w:bCs/>
        </w:rPr>
        <w:t>9</w:t>
      </w:r>
      <w:r>
        <w:rPr>
          <w:rFonts w:ascii="Book Antiqua" w:hAnsi="Book Antiqua"/>
        </w:rPr>
        <w:t>: 998-1007 [PMID: 35023295 DOI: 10.1002/ehf2.13725]</w:t>
      </w:r>
    </w:p>
    <w:p w14:paraId="021D1FAF" w14:textId="77777777" w:rsidR="00C4529E" w:rsidRDefault="009D6006">
      <w:pPr>
        <w:spacing w:line="360" w:lineRule="auto"/>
        <w:jc w:val="both"/>
        <w:rPr>
          <w:rFonts w:ascii="Book Antiqua" w:hAnsi="Book Antiqua"/>
        </w:rPr>
      </w:pPr>
      <w:r>
        <w:rPr>
          <w:rFonts w:ascii="Book Antiqua" w:hAnsi="Book Antiqua"/>
        </w:rPr>
        <w:t xml:space="preserve">30 </w:t>
      </w:r>
      <w:r>
        <w:rPr>
          <w:rFonts w:ascii="Book Antiqua" w:hAnsi="Book Antiqua"/>
          <w:b/>
          <w:bCs/>
        </w:rPr>
        <w:t>Barry ST</w:t>
      </w:r>
      <w:r>
        <w:rPr>
          <w:rFonts w:ascii="Book Antiqua" w:hAnsi="Book Antiqua"/>
        </w:rPr>
        <w:t xml:space="preserve">, </w:t>
      </w:r>
      <w:proofErr w:type="spellStart"/>
      <w:r>
        <w:rPr>
          <w:rFonts w:ascii="Book Antiqua" w:hAnsi="Book Antiqua"/>
        </w:rPr>
        <w:t>Ludbrook</w:t>
      </w:r>
      <w:proofErr w:type="spellEnd"/>
      <w:r>
        <w:rPr>
          <w:rFonts w:ascii="Book Antiqua" w:hAnsi="Book Antiqua"/>
        </w:rPr>
        <w:t xml:space="preserve"> SB, Murrison E, Horgan CM. Analysis of the alpha4beta1 integrin-</w:t>
      </w:r>
      <w:proofErr w:type="spellStart"/>
      <w:r>
        <w:rPr>
          <w:rFonts w:ascii="Book Antiqua" w:hAnsi="Book Antiqua"/>
        </w:rPr>
        <w:t>osteopontin</w:t>
      </w:r>
      <w:proofErr w:type="spellEnd"/>
      <w:r>
        <w:rPr>
          <w:rFonts w:ascii="Book Antiqua" w:hAnsi="Book Antiqua"/>
        </w:rPr>
        <w:t xml:space="preserve"> interaction. </w:t>
      </w:r>
      <w:r>
        <w:rPr>
          <w:rFonts w:ascii="Book Antiqua" w:hAnsi="Book Antiqua"/>
          <w:i/>
          <w:iCs/>
        </w:rPr>
        <w:t>Exp Cell Res</w:t>
      </w:r>
      <w:r>
        <w:rPr>
          <w:rFonts w:ascii="Book Antiqua" w:hAnsi="Book Antiqua"/>
        </w:rPr>
        <w:t xml:space="preserve"> 2000; </w:t>
      </w:r>
      <w:r>
        <w:rPr>
          <w:rFonts w:ascii="Book Antiqua" w:hAnsi="Book Antiqua"/>
          <w:b/>
          <w:bCs/>
        </w:rPr>
        <w:t>258</w:t>
      </w:r>
      <w:r>
        <w:rPr>
          <w:rFonts w:ascii="Book Antiqua" w:hAnsi="Book Antiqua"/>
        </w:rPr>
        <w:t>: 342-351 [PMID: 10896785 DOI: 10.1006/excr.2000.4941]</w:t>
      </w:r>
    </w:p>
    <w:p w14:paraId="32553093" w14:textId="77777777" w:rsidR="00C4529E" w:rsidRDefault="009D6006">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Warnatsch</w:t>
      </w:r>
      <w:proofErr w:type="spellEnd"/>
      <w:r>
        <w:rPr>
          <w:rFonts w:ascii="Book Antiqua" w:hAnsi="Book Antiqua"/>
          <w:b/>
          <w:bCs/>
        </w:rPr>
        <w:t xml:space="preserve"> A</w:t>
      </w:r>
      <w:r>
        <w:rPr>
          <w:rFonts w:ascii="Book Antiqua" w:hAnsi="Book Antiqua"/>
        </w:rPr>
        <w:t xml:space="preserve">, Ioannou M, Wang Q, </w:t>
      </w:r>
      <w:proofErr w:type="spellStart"/>
      <w:r>
        <w:rPr>
          <w:rFonts w:ascii="Book Antiqua" w:hAnsi="Book Antiqua"/>
        </w:rPr>
        <w:t>Papayannopoulos</w:t>
      </w:r>
      <w:proofErr w:type="spellEnd"/>
      <w:r>
        <w:rPr>
          <w:rFonts w:ascii="Book Antiqua" w:hAnsi="Book Antiqua"/>
        </w:rPr>
        <w:t xml:space="preserve"> V. Inflammation. Neutrophil extracellular traps license macrophages for cytokine production in atherosclerosis. </w:t>
      </w:r>
      <w:r>
        <w:rPr>
          <w:rFonts w:ascii="Book Antiqua" w:hAnsi="Book Antiqua"/>
          <w:i/>
          <w:iCs/>
        </w:rPr>
        <w:t>Science</w:t>
      </w:r>
      <w:r>
        <w:rPr>
          <w:rFonts w:ascii="Book Antiqua" w:hAnsi="Book Antiqua"/>
        </w:rPr>
        <w:t xml:space="preserve"> 2015; </w:t>
      </w:r>
      <w:r>
        <w:rPr>
          <w:rFonts w:ascii="Book Antiqua" w:hAnsi="Book Antiqua"/>
          <w:b/>
          <w:bCs/>
        </w:rPr>
        <w:t>349</w:t>
      </w:r>
      <w:r>
        <w:rPr>
          <w:rFonts w:ascii="Book Antiqua" w:hAnsi="Book Antiqua"/>
        </w:rPr>
        <w:t>: 316-320 [PMID: 26185250 DOI: 10.1126/science.aaa8064]</w:t>
      </w:r>
    </w:p>
    <w:p w14:paraId="0935537F" w14:textId="77777777" w:rsidR="00C4529E" w:rsidRDefault="009D6006">
      <w:pPr>
        <w:spacing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Vromman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Ruvkun</w:t>
      </w:r>
      <w:proofErr w:type="spellEnd"/>
      <w:r>
        <w:rPr>
          <w:rFonts w:ascii="Book Antiqua" w:hAnsi="Book Antiqua"/>
        </w:rPr>
        <w:t xml:space="preserve"> V, </w:t>
      </w:r>
      <w:proofErr w:type="spellStart"/>
      <w:r>
        <w:rPr>
          <w:rFonts w:ascii="Book Antiqua" w:hAnsi="Book Antiqua"/>
        </w:rPr>
        <w:t>Shvartz</w:t>
      </w:r>
      <w:proofErr w:type="spellEnd"/>
      <w:r>
        <w:rPr>
          <w:rFonts w:ascii="Book Antiqua" w:hAnsi="Book Antiqua"/>
        </w:rPr>
        <w:t xml:space="preserve"> E, Wojtkiewicz G, Santos Masson G, </w:t>
      </w:r>
      <w:proofErr w:type="spellStart"/>
      <w:r>
        <w:rPr>
          <w:rFonts w:ascii="Book Antiqua" w:hAnsi="Book Antiqua"/>
        </w:rPr>
        <w:t>Tesmenitsky</w:t>
      </w:r>
      <w:proofErr w:type="spellEnd"/>
      <w:r>
        <w:rPr>
          <w:rFonts w:ascii="Book Antiqua" w:hAnsi="Book Antiqua"/>
        </w:rPr>
        <w:t xml:space="preserve"> Y, Folco E, Gram H, </w:t>
      </w:r>
      <w:proofErr w:type="spellStart"/>
      <w:r>
        <w:rPr>
          <w:rFonts w:ascii="Book Antiqua" w:hAnsi="Book Antiqua"/>
        </w:rPr>
        <w:t>Nahrendorf</w:t>
      </w:r>
      <w:proofErr w:type="spellEnd"/>
      <w:r>
        <w:rPr>
          <w:rFonts w:ascii="Book Antiqua" w:hAnsi="Book Antiqua"/>
        </w:rPr>
        <w:t xml:space="preserve"> M, </w:t>
      </w:r>
      <w:proofErr w:type="spellStart"/>
      <w:r>
        <w:rPr>
          <w:rFonts w:ascii="Book Antiqua" w:hAnsi="Book Antiqua"/>
        </w:rPr>
        <w:t>Swirski</w:t>
      </w:r>
      <w:proofErr w:type="spellEnd"/>
      <w:r>
        <w:rPr>
          <w:rFonts w:ascii="Book Antiqua" w:hAnsi="Book Antiqua"/>
        </w:rPr>
        <w:t xml:space="preserve"> FK, Sukhova GK, Libby P. Stage-dependent differential effects of interleukin-1 isoforms on experimental atherosclerosis. </w:t>
      </w:r>
      <w:proofErr w:type="spellStart"/>
      <w:r>
        <w:rPr>
          <w:rFonts w:ascii="Book Antiqua" w:hAnsi="Book Antiqua"/>
          <w:i/>
          <w:iCs/>
        </w:rPr>
        <w:t>Eur</w:t>
      </w:r>
      <w:proofErr w:type="spellEnd"/>
      <w:r>
        <w:rPr>
          <w:rFonts w:ascii="Book Antiqua" w:hAnsi="Book Antiqua"/>
          <w:i/>
          <w:iCs/>
        </w:rPr>
        <w:t xml:space="preserve"> Heart J</w:t>
      </w:r>
      <w:r>
        <w:rPr>
          <w:rFonts w:ascii="Book Antiqua" w:hAnsi="Book Antiqua"/>
        </w:rPr>
        <w:t xml:space="preserve"> 2019; </w:t>
      </w:r>
      <w:r>
        <w:rPr>
          <w:rFonts w:ascii="Book Antiqua" w:hAnsi="Book Antiqua"/>
          <w:b/>
          <w:bCs/>
        </w:rPr>
        <w:t>40</w:t>
      </w:r>
      <w:r>
        <w:rPr>
          <w:rFonts w:ascii="Book Antiqua" w:hAnsi="Book Antiqua"/>
        </w:rPr>
        <w:t>: 2482-2491 [PMID: 30698710 DOI: 10.1093/</w:t>
      </w:r>
      <w:proofErr w:type="spellStart"/>
      <w:r>
        <w:rPr>
          <w:rFonts w:ascii="Book Antiqua" w:hAnsi="Book Antiqua"/>
        </w:rPr>
        <w:t>eurheartj</w:t>
      </w:r>
      <w:proofErr w:type="spellEnd"/>
      <w:r>
        <w:rPr>
          <w:rFonts w:ascii="Book Antiqua" w:hAnsi="Book Antiqua"/>
        </w:rPr>
        <w:t>/ehz008]</w:t>
      </w:r>
    </w:p>
    <w:p w14:paraId="5DD0DC51" w14:textId="77777777" w:rsidR="00C4529E" w:rsidRDefault="009D6006">
      <w:pPr>
        <w:spacing w:line="360" w:lineRule="auto"/>
        <w:jc w:val="both"/>
        <w:rPr>
          <w:rFonts w:ascii="Book Antiqua" w:hAnsi="Book Antiqua"/>
        </w:rPr>
      </w:pPr>
      <w:r>
        <w:rPr>
          <w:rFonts w:ascii="Book Antiqua" w:hAnsi="Book Antiqua"/>
        </w:rPr>
        <w:t xml:space="preserve">33 </w:t>
      </w:r>
      <w:r>
        <w:rPr>
          <w:rFonts w:ascii="Book Antiqua" w:hAnsi="Book Antiqua"/>
          <w:b/>
          <w:bCs/>
        </w:rPr>
        <w:t>Libby P</w:t>
      </w:r>
      <w:r>
        <w:rPr>
          <w:rFonts w:ascii="Book Antiqua" w:hAnsi="Book Antiqua"/>
        </w:rPr>
        <w:t>. Interleukin-1 Beta as a Target for Atherosclerosis Therapy: Biological Basis of CANTOS</w:t>
      </w:r>
      <w:r>
        <w:rPr>
          <w:rFonts w:ascii="Book Antiqua" w:eastAsiaTheme="minorEastAsia" w:hAnsi="Book Antiqua" w:hint="eastAsia"/>
          <w:lang w:eastAsia="zh-CN"/>
        </w:rPr>
        <w:t xml:space="preserve"> </w:t>
      </w:r>
      <w:r>
        <w:rPr>
          <w:rFonts w:ascii="Book Antiqua" w:hAnsi="Book Antiqua"/>
        </w:rPr>
        <w:t>and</w:t>
      </w:r>
      <w:r>
        <w:rPr>
          <w:rFonts w:ascii="Book Antiqua" w:eastAsiaTheme="minorEastAsia" w:hAnsi="Book Antiqua" w:hint="eastAsia"/>
          <w:lang w:eastAsia="zh-CN"/>
        </w:rPr>
        <w:t xml:space="preserve"> </w:t>
      </w:r>
      <w:r>
        <w:rPr>
          <w:rFonts w:ascii="Book Antiqua" w:hAnsi="Book Antiqua"/>
        </w:rPr>
        <w:t xml:space="preserve">Beyond. </w:t>
      </w:r>
      <w:r>
        <w:rPr>
          <w:rFonts w:ascii="Book Antiqua" w:hAnsi="Book Antiqua"/>
          <w:i/>
          <w:iCs/>
        </w:rPr>
        <w:t xml:space="preserve">J Am Coll </w:t>
      </w:r>
      <w:proofErr w:type="spellStart"/>
      <w:r>
        <w:rPr>
          <w:rFonts w:ascii="Book Antiqua" w:hAnsi="Book Antiqua"/>
          <w:i/>
          <w:iCs/>
        </w:rPr>
        <w:t>Cardiol</w:t>
      </w:r>
      <w:proofErr w:type="spellEnd"/>
      <w:r>
        <w:rPr>
          <w:rFonts w:ascii="Book Antiqua" w:hAnsi="Book Antiqua"/>
        </w:rPr>
        <w:t xml:space="preserve"> 2017; </w:t>
      </w:r>
      <w:r>
        <w:rPr>
          <w:rFonts w:ascii="Book Antiqua" w:hAnsi="Book Antiqua"/>
          <w:b/>
          <w:bCs/>
        </w:rPr>
        <w:t>70</w:t>
      </w:r>
      <w:r>
        <w:rPr>
          <w:rFonts w:ascii="Book Antiqua" w:hAnsi="Book Antiqua"/>
        </w:rPr>
        <w:t>: 2278-2289 [PMID: 29073957 DOI: 10.1016/j.jacc.2017.09.028]</w:t>
      </w:r>
    </w:p>
    <w:p w14:paraId="30A0FD92" w14:textId="77777777" w:rsidR="00C4529E" w:rsidRDefault="009D6006">
      <w:pPr>
        <w:spacing w:line="360" w:lineRule="auto"/>
        <w:jc w:val="both"/>
        <w:rPr>
          <w:rFonts w:ascii="Book Antiqua" w:hAnsi="Book Antiqua"/>
        </w:rPr>
      </w:pPr>
      <w:r>
        <w:rPr>
          <w:rFonts w:ascii="Book Antiqua" w:hAnsi="Book Antiqua"/>
        </w:rPr>
        <w:t xml:space="preserve">34 </w:t>
      </w:r>
      <w:r>
        <w:rPr>
          <w:rFonts w:ascii="Book Antiqua" w:hAnsi="Book Antiqua"/>
          <w:b/>
          <w:bCs/>
        </w:rPr>
        <w:t>Nystedt J</w:t>
      </w:r>
      <w:r>
        <w:rPr>
          <w:rFonts w:ascii="Book Antiqua" w:hAnsi="Book Antiqua"/>
        </w:rPr>
        <w:t xml:space="preserve">, Anderson H, Tikkanen J, Pietilä M, Hirvonen T, </w:t>
      </w:r>
      <w:proofErr w:type="spellStart"/>
      <w:r>
        <w:rPr>
          <w:rFonts w:ascii="Book Antiqua" w:hAnsi="Book Antiqua"/>
        </w:rPr>
        <w:t>Takalo</w:t>
      </w:r>
      <w:proofErr w:type="spellEnd"/>
      <w:r>
        <w:rPr>
          <w:rFonts w:ascii="Book Antiqua" w:hAnsi="Book Antiqua"/>
        </w:rPr>
        <w:t xml:space="preserve"> R, Heiskanen A, </w:t>
      </w:r>
      <w:proofErr w:type="spellStart"/>
      <w:r>
        <w:rPr>
          <w:rFonts w:ascii="Book Antiqua" w:hAnsi="Book Antiqua"/>
        </w:rPr>
        <w:t>Satomaa</w:t>
      </w:r>
      <w:proofErr w:type="spellEnd"/>
      <w:r>
        <w:rPr>
          <w:rFonts w:ascii="Book Antiqua" w:hAnsi="Book Antiqua"/>
        </w:rPr>
        <w:t xml:space="preserve"> T, </w:t>
      </w:r>
      <w:proofErr w:type="spellStart"/>
      <w:r>
        <w:rPr>
          <w:rFonts w:ascii="Book Antiqua" w:hAnsi="Book Antiqua"/>
        </w:rPr>
        <w:t>Natunen</w:t>
      </w:r>
      <w:proofErr w:type="spellEnd"/>
      <w:r>
        <w:rPr>
          <w:rFonts w:ascii="Book Antiqua" w:hAnsi="Book Antiqua"/>
        </w:rPr>
        <w:t xml:space="preserve"> S, Lehtonen S, Hakkarainen T, Korhonen M, Laitinen S, </w:t>
      </w:r>
      <w:proofErr w:type="spellStart"/>
      <w:r>
        <w:rPr>
          <w:rFonts w:ascii="Book Antiqua" w:hAnsi="Book Antiqua"/>
        </w:rPr>
        <w:t>Valmu</w:t>
      </w:r>
      <w:proofErr w:type="spellEnd"/>
      <w:r>
        <w:rPr>
          <w:rFonts w:ascii="Book Antiqua" w:hAnsi="Book Antiqua"/>
        </w:rPr>
        <w:t xml:space="preserve"> L, </w:t>
      </w:r>
      <w:proofErr w:type="spellStart"/>
      <w:r>
        <w:rPr>
          <w:rFonts w:ascii="Book Antiqua" w:hAnsi="Book Antiqua"/>
        </w:rPr>
        <w:t>Lehenkari</w:t>
      </w:r>
      <w:proofErr w:type="spellEnd"/>
      <w:r>
        <w:rPr>
          <w:rFonts w:ascii="Book Antiqua" w:hAnsi="Book Antiqua"/>
        </w:rPr>
        <w:t xml:space="preserve"> P. Cell surface structures influence lung clearance rate of systemically infused mesenchymal stromal cells. </w:t>
      </w:r>
      <w:r>
        <w:rPr>
          <w:rFonts w:ascii="Book Antiqua" w:hAnsi="Book Antiqua"/>
          <w:i/>
          <w:iCs/>
        </w:rPr>
        <w:t>Stem Cells</w:t>
      </w:r>
      <w:r>
        <w:rPr>
          <w:rFonts w:ascii="Book Antiqua" w:hAnsi="Book Antiqua"/>
        </w:rPr>
        <w:t xml:space="preserve"> 2013; </w:t>
      </w:r>
      <w:r>
        <w:rPr>
          <w:rFonts w:ascii="Book Antiqua" w:hAnsi="Book Antiqua"/>
          <w:b/>
          <w:bCs/>
        </w:rPr>
        <w:t>31</w:t>
      </w:r>
      <w:r>
        <w:rPr>
          <w:rFonts w:ascii="Book Antiqua" w:hAnsi="Book Antiqua"/>
        </w:rPr>
        <w:t>: 317-326 [PMID: 23132820 DOI: 10.1002/stem.1271]</w:t>
      </w:r>
    </w:p>
    <w:p w14:paraId="2B2CA454" w14:textId="77777777" w:rsidR="00C4529E" w:rsidRDefault="009D6006">
      <w:pPr>
        <w:spacing w:line="360" w:lineRule="auto"/>
        <w:jc w:val="both"/>
        <w:rPr>
          <w:rFonts w:ascii="Book Antiqua" w:hAnsi="Book Antiqua"/>
        </w:rPr>
      </w:pPr>
      <w:r>
        <w:rPr>
          <w:rFonts w:ascii="Book Antiqua" w:hAnsi="Book Antiqua"/>
        </w:rPr>
        <w:t xml:space="preserve">35 </w:t>
      </w:r>
      <w:r>
        <w:rPr>
          <w:rFonts w:ascii="Book Antiqua" w:hAnsi="Book Antiqua"/>
          <w:b/>
          <w:bCs/>
        </w:rPr>
        <w:t>Kumar S</w:t>
      </w:r>
      <w:r>
        <w:rPr>
          <w:rFonts w:ascii="Book Antiqua" w:hAnsi="Book Antiqua"/>
        </w:rPr>
        <w:t xml:space="preserve">, </w:t>
      </w:r>
      <w:proofErr w:type="spellStart"/>
      <w:r>
        <w:rPr>
          <w:rFonts w:ascii="Book Antiqua" w:hAnsi="Book Antiqua"/>
        </w:rPr>
        <w:t>Ponnazhagan</w:t>
      </w:r>
      <w:proofErr w:type="spellEnd"/>
      <w:r>
        <w:rPr>
          <w:rFonts w:ascii="Book Antiqua" w:hAnsi="Book Antiqua"/>
        </w:rPr>
        <w:t xml:space="preserve"> S. Bone homing of mesenchymal stem cells by ectopic alpha 4 integrin expression. </w:t>
      </w:r>
      <w:r>
        <w:rPr>
          <w:rFonts w:ascii="Book Antiqua" w:hAnsi="Book Antiqua"/>
          <w:i/>
          <w:iCs/>
        </w:rPr>
        <w:t>FASEB J</w:t>
      </w:r>
      <w:r>
        <w:rPr>
          <w:rFonts w:ascii="Book Antiqua" w:hAnsi="Book Antiqua"/>
        </w:rPr>
        <w:t xml:space="preserve"> 2007; </w:t>
      </w:r>
      <w:r>
        <w:rPr>
          <w:rFonts w:ascii="Book Antiqua" w:hAnsi="Book Antiqua"/>
          <w:b/>
          <w:bCs/>
        </w:rPr>
        <w:t>21</w:t>
      </w:r>
      <w:r>
        <w:rPr>
          <w:rFonts w:ascii="Book Antiqua" w:hAnsi="Book Antiqua"/>
        </w:rPr>
        <w:t>: 3917-3927 [PMID: 17622670 DOI: 10.1096/fj.07-8275com]</w:t>
      </w:r>
    </w:p>
    <w:p w14:paraId="6AA8FFA2" w14:textId="77777777" w:rsidR="00C4529E" w:rsidRDefault="009D6006">
      <w:pPr>
        <w:spacing w:line="360" w:lineRule="auto"/>
        <w:jc w:val="both"/>
        <w:rPr>
          <w:rFonts w:ascii="Book Antiqua" w:hAnsi="Book Antiqua"/>
        </w:rPr>
      </w:pPr>
      <w:r>
        <w:rPr>
          <w:rFonts w:ascii="Book Antiqua" w:hAnsi="Book Antiqua"/>
        </w:rPr>
        <w:t xml:space="preserve">36 </w:t>
      </w:r>
      <w:r>
        <w:rPr>
          <w:rFonts w:ascii="Book Antiqua" w:hAnsi="Book Antiqua"/>
          <w:b/>
          <w:bCs/>
        </w:rPr>
        <w:t>Pesaresi M</w:t>
      </w:r>
      <w:r>
        <w:rPr>
          <w:rFonts w:ascii="Book Antiqua" w:hAnsi="Book Antiqua"/>
        </w:rPr>
        <w:t xml:space="preserve">, Bonilla-Pons SA, Sebastian-Perez R, Di Vicino U, </w:t>
      </w:r>
      <w:proofErr w:type="spellStart"/>
      <w:r>
        <w:rPr>
          <w:rFonts w:ascii="Book Antiqua" w:hAnsi="Book Antiqua"/>
        </w:rPr>
        <w:t>Alcoverro</w:t>
      </w:r>
      <w:proofErr w:type="spellEnd"/>
      <w:r>
        <w:rPr>
          <w:rFonts w:ascii="Book Antiqua" w:hAnsi="Book Antiqua"/>
        </w:rPr>
        <w:t xml:space="preserve">-Bertran M, Michael R, Cosma MP. The Chemokine Receptors Ccr5 and Cxcr6 Enhance Migration of Mesenchymal Stem Cells into the Degenerating Retina. </w:t>
      </w:r>
      <w:r>
        <w:rPr>
          <w:rFonts w:ascii="Book Antiqua" w:hAnsi="Book Antiqua"/>
          <w:i/>
          <w:iCs/>
        </w:rPr>
        <w:t>Mol Ther</w:t>
      </w:r>
      <w:r>
        <w:rPr>
          <w:rFonts w:ascii="Book Antiqua" w:hAnsi="Book Antiqua"/>
        </w:rPr>
        <w:t xml:space="preserve"> 2021; </w:t>
      </w:r>
      <w:r>
        <w:rPr>
          <w:rFonts w:ascii="Book Antiqua" w:hAnsi="Book Antiqua"/>
          <w:b/>
          <w:bCs/>
        </w:rPr>
        <w:t>29</w:t>
      </w:r>
      <w:r>
        <w:rPr>
          <w:rFonts w:ascii="Book Antiqua" w:hAnsi="Book Antiqua"/>
        </w:rPr>
        <w:t>: 804-821 [PMID: 33264643 DOI: 10.1016/j.ymthe.2020.10.026]</w:t>
      </w:r>
    </w:p>
    <w:p w14:paraId="7063D0E0" w14:textId="77777777" w:rsidR="00C4529E" w:rsidRDefault="009D6006">
      <w:pPr>
        <w:spacing w:line="360" w:lineRule="auto"/>
        <w:jc w:val="both"/>
        <w:rPr>
          <w:rFonts w:ascii="Book Antiqua" w:hAnsi="Book Antiqua"/>
        </w:rPr>
      </w:pPr>
      <w:r>
        <w:rPr>
          <w:rFonts w:ascii="Book Antiqua" w:hAnsi="Book Antiqua"/>
        </w:rPr>
        <w:t xml:space="preserve">37 </w:t>
      </w:r>
      <w:r>
        <w:rPr>
          <w:rFonts w:ascii="Book Antiqua" w:hAnsi="Book Antiqua"/>
          <w:b/>
          <w:bCs/>
        </w:rPr>
        <w:t>Singh M</w:t>
      </w:r>
      <w:r>
        <w:rPr>
          <w:rFonts w:ascii="Book Antiqua" w:hAnsi="Book Antiqua"/>
        </w:rPr>
        <w:t xml:space="preserve">, Thakur M, Mishra M, Yadav M, Vibhuti R, Menon AM, Nagda G, Dwivedi VP, Dakal TC, Yadav V. Gene regulation of intracellular adhesion molecule-1 (ICAM-1): </w:t>
      </w:r>
      <w:r>
        <w:rPr>
          <w:rFonts w:ascii="Book Antiqua" w:hAnsi="Book Antiqua"/>
        </w:rPr>
        <w:lastRenderedPageBreak/>
        <w:t xml:space="preserve">A molecule with multiple functions. </w:t>
      </w:r>
      <w:r>
        <w:rPr>
          <w:rFonts w:ascii="Book Antiqua" w:hAnsi="Book Antiqua"/>
          <w:i/>
          <w:iCs/>
        </w:rPr>
        <w:t>Immunol Lett</w:t>
      </w:r>
      <w:r>
        <w:rPr>
          <w:rFonts w:ascii="Book Antiqua" w:hAnsi="Book Antiqua"/>
        </w:rPr>
        <w:t xml:space="preserve"> 2021; </w:t>
      </w:r>
      <w:r>
        <w:rPr>
          <w:rFonts w:ascii="Book Antiqua" w:hAnsi="Book Antiqua"/>
          <w:b/>
          <w:bCs/>
        </w:rPr>
        <w:t>240</w:t>
      </w:r>
      <w:r>
        <w:rPr>
          <w:rFonts w:ascii="Book Antiqua" w:hAnsi="Book Antiqua"/>
        </w:rPr>
        <w:t>: 123-136 [PMID: 34715236 DOI: 10.1016/j.imlet.2021.10.007]</w:t>
      </w:r>
    </w:p>
    <w:p w14:paraId="40511836" w14:textId="77777777" w:rsidR="00C4529E" w:rsidRDefault="009D6006">
      <w:pPr>
        <w:spacing w:line="360" w:lineRule="auto"/>
        <w:jc w:val="both"/>
        <w:rPr>
          <w:rFonts w:ascii="Book Antiqua" w:hAnsi="Book Antiqua"/>
        </w:rPr>
      </w:pPr>
      <w:r>
        <w:rPr>
          <w:rFonts w:ascii="Book Antiqua" w:hAnsi="Book Antiqua"/>
        </w:rPr>
        <w:t xml:space="preserve">38 </w:t>
      </w:r>
      <w:r>
        <w:rPr>
          <w:rFonts w:ascii="Book Antiqua" w:hAnsi="Book Antiqua"/>
          <w:b/>
          <w:bCs/>
        </w:rPr>
        <w:t>Zhong L</w:t>
      </w:r>
      <w:r>
        <w:rPr>
          <w:rFonts w:ascii="Book Antiqua" w:hAnsi="Book Antiqua"/>
        </w:rPr>
        <w:t>, Simard MJ, Huot J. Endothelial microRNAs regulating the NF-</w:t>
      </w:r>
      <w:proofErr w:type="spellStart"/>
      <w:r>
        <w:rPr>
          <w:rFonts w:ascii="Book Antiqua" w:hAnsi="Book Antiqua"/>
        </w:rPr>
        <w:t>κB</w:t>
      </w:r>
      <w:proofErr w:type="spellEnd"/>
      <w:r>
        <w:rPr>
          <w:rFonts w:ascii="Book Antiqua" w:hAnsi="Book Antiqua"/>
        </w:rPr>
        <w:t xml:space="preserve"> pathway and cell adhesion molecules during inflammation. </w:t>
      </w:r>
      <w:r>
        <w:rPr>
          <w:rFonts w:ascii="Book Antiqua" w:hAnsi="Book Antiqua"/>
          <w:i/>
          <w:iCs/>
        </w:rPr>
        <w:t>FASEB J</w:t>
      </w:r>
      <w:r>
        <w:rPr>
          <w:rFonts w:ascii="Book Antiqua" w:hAnsi="Book Antiqua"/>
        </w:rPr>
        <w:t xml:space="preserve"> 2018; </w:t>
      </w:r>
      <w:r>
        <w:rPr>
          <w:rFonts w:ascii="Book Antiqua" w:hAnsi="Book Antiqua"/>
          <w:b/>
          <w:bCs/>
        </w:rPr>
        <w:t>32</w:t>
      </w:r>
      <w:r>
        <w:rPr>
          <w:rFonts w:ascii="Book Antiqua" w:hAnsi="Book Antiqua"/>
        </w:rPr>
        <w:t>: 4070-4084 [PMID: 29565737 DOI: 10.1096/fj.201701536R]</w:t>
      </w:r>
    </w:p>
    <w:p w14:paraId="021AACC2" w14:textId="77777777" w:rsidR="00C4529E" w:rsidRDefault="009D6006">
      <w:pPr>
        <w:spacing w:line="360" w:lineRule="auto"/>
        <w:jc w:val="both"/>
        <w:rPr>
          <w:rFonts w:ascii="Book Antiqua" w:hAnsi="Book Antiqua"/>
        </w:rPr>
      </w:pPr>
      <w:r>
        <w:rPr>
          <w:rFonts w:ascii="Book Antiqua" w:hAnsi="Book Antiqua"/>
        </w:rPr>
        <w:t xml:space="preserve">39 </w:t>
      </w:r>
      <w:r>
        <w:rPr>
          <w:rFonts w:ascii="Book Antiqua" w:hAnsi="Book Antiqua"/>
          <w:b/>
          <w:bCs/>
        </w:rPr>
        <w:t>Kitagawa T</w:t>
      </w:r>
      <w:r>
        <w:rPr>
          <w:rFonts w:ascii="Book Antiqua" w:hAnsi="Book Antiqua"/>
        </w:rPr>
        <w:t xml:space="preserve">, </w:t>
      </w:r>
      <w:proofErr w:type="spellStart"/>
      <w:r>
        <w:rPr>
          <w:rFonts w:ascii="Book Antiqua" w:hAnsi="Book Antiqua"/>
        </w:rPr>
        <w:t>Kosuge</w:t>
      </w:r>
      <w:proofErr w:type="spellEnd"/>
      <w:r>
        <w:rPr>
          <w:rFonts w:ascii="Book Antiqua" w:hAnsi="Book Antiqua"/>
        </w:rPr>
        <w:t xml:space="preserve"> H, Uchida M, Iida Y, Dalman RL, Douglas T, McConnell MV. RGD targeting of human ferritin iron oxide nanoparticles enhances in vivo MRI of vascular inflammation and angiogenesis in experimental carotid disease and abdominal aortic aneurysm. </w:t>
      </w:r>
      <w:r>
        <w:rPr>
          <w:rFonts w:ascii="Book Antiqua" w:hAnsi="Book Antiqua"/>
          <w:i/>
          <w:iCs/>
        </w:rPr>
        <w:t xml:space="preserve">J Magn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2017; </w:t>
      </w:r>
      <w:r>
        <w:rPr>
          <w:rFonts w:ascii="Book Antiqua" w:hAnsi="Book Antiqua"/>
          <w:b/>
          <w:bCs/>
        </w:rPr>
        <w:t>45</w:t>
      </w:r>
      <w:r>
        <w:rPr>
          <w:rFonts w:ascii="Book Antiqua" w:hAnsi="Book Antiqua"/>
        </w:rPr>
        <w:t>: 1144-1153 [PMID: 27689830 DOI: 10.1002/jmri.25459]</w:t>
      </w:r>
    </w:p>
    <w:p w14:paraId="5462397C" w14:textId="77777777" w:rsidR="00C4529E" w:rsidRDefault="009D6006">
      <w:pPr>
        <w:spacing w:line="360" w:lineRule="auto"/>
        <w:jc w:val="both"/>
        <w:rPr>
          <w:rFonts w:ascii="Book Antiqua" w:hAnsi="Book Antiqua"/>
        </w:rPr>
      </w:pPr>
      <w:r>
        <w:rPr>
          <w:rFonts w:ascii="Book Antiqua" w:hAnsi="Book Antiqua"/>
        </w:rPr>
        <w:t xml:space="preserve">40 </w:t>
      </w:r>
      <w:r>
        <w:rPr>
          <w:rFonts w:ascii="Book Antiqua" w:hAnsi="Book Antiqua"/>
          <w:b/>
          <w:bCs/>
        </w:rPr>
        <w:t>Seo Y</w:t>
      </w:r>
      <w:r>
        <w:rPr>
          <w:rFonts w:ascii="Book Antiqua" w:hAnsi="Book Antiqua"/>
        </w:rPr>
        <w:t xml:space="preserve">, Kang MJ, Kim HS. Strategies to Potentiate Paracrine Therapeutic Efficacy of Mesenchymal Stem Cells in Inflammatory Diseases.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33806241 DOI: 10.3390/ijms22073397]</w:t>
      </w:r>
    </w:p>
    <w:p w14:paraId="57442DED" w14:textId="77777777" w:rsidR="00C4529E" w:rsidRDefault="009D6006">
      <w:pPr>
        <w:spacing w:line="360" w:lineRule="auto"/>
        <w:jc w:val="both"/>
        <w:rPr>
          <w:rFonts w:ascii="Book Antiqua" w:hAnsi="Book Antiqua"/>
        </w:rPr>
      </w:pPr>
      <w:r>
        <w:rPr>
          <w:rFonts w:ascii="Book Antiqua" w:hAnsi="Book Antiqua"/>
        </w:rPr>
        <w:t xml:space="preserve">41 </w:t>
      </w:r>
      <w:r>
        <w:rPr>
          <w:rFonts w:ascii="Book Antiqua" w:hAnsi="Book Antiqua"/>
          <w:b/>
          <w:bCs/>
        </w:rPr>
        <w:t>Ogay V</w:t>
      </w:r>
      <w:r>
        <w:rPr>
          <w:rFonts w:ascii="Book Antiqua" w:hAnsi="Book Antiqua"/>
        </w:rPr>
        <w:t xml:space="preserve">, </w:t>
      </w:r>
      <w:proofErr w:type="spellStart"/>
      <w:r>
        <w:rPr>
          <w:rFonts w:ascii="Book Antiqua" w:hAnsi="Book Antiqua"/>
        </w:rPr>
        <w:t>Sekenova</w:t>
      </w:r>
      <w:proofErr w:type="spellEnd"/>
      <w:r>
        <w:rPr>
          <w:rFonts w:ascii="Book Antiqua" w:hAnsi="Book Antiqua"/>
        </w:rPr>
        <w:t xml:space="preserve"> A, Li Y, </w:t>
      </w:r>
      <w:proofErr w:type="spellStart"/>
      <w:r>
        <w:rPr>
          <w:rFonts w:ascii="Book Antiqua" w:hAnsi="Book Antiqua"/>
        </w:rPr>
        <w:t>Issabekova</w:t>
      </w:r>
      <w:proofErr w:type="spellEnd"/>
      <w:r>
        <w:rPr>
          <w:rFonts w:ascii="Book Antiqua" w:hAnsi="Book Antiqua"/>
        </w:rPr>
        <w:t xml:space="preserve"> A, Saparov A. The Therapeutic Potential of Mesenchymal Stem Cells in the Treatment of Atherosclerosis. </w:t>
      </w:r>
      <w:proofErr w:type="spellStart"/>
      <w:r>
        <w:rPr>
          <w:rFonts w:ascii="Book Antiqua" w:hAnsi="Book Antiqua"/>
          <w:i/>
          <w:iCs/>
        </w:rPr>
        <w:t>Curr</w:t>
      </w:r>
      <w:proofErr w:type="spellEnd"/>
      <w:r>
        <w:rPr>
          <w:rFonts w:ascii="Book Antiqua" w:hAnsi="Book Antiqua"/>
          <w:i/>
          <w:iCs/>
        </w:rPr>
        <w:t xml:space="preserve"> Stem Cell Res Ther</w:t>
      </w:r>
      <w:r>
        <w:rPr>
          <w:rFonts w:ascii="Book Antiqua" w:hAnsi="Book Antiqua"/>
        </w:rPr>
        <w:t xml:space="preserve"> 2021; </w:t>
      </w:r>
      <w:r>
        <w:rPr>
          <w:rFonts w:ascii="Book Antiqua" w:hAnsi="Book Antiqua"/>
          <w:b/>
          <w:bCs/>
        </w:rPr>
        <w:t>16</w:t>
      </w:r>
      <w:r>
        <w:rPr>
          <w:rFonts w:ascii="Book Antiqua" w:hAnsi="Book Antiqua"/>
        </w:rPr>
        <w:t>: 897-913 [PMID: 33511957 DOI: 10.2174/1574888X16999210128193549]</w:t>
      </w:r>
    </w:p>
    <w:p w14:paraId="6DA2D2CF" w14:textId="77777777" w:rsidR="00C4529E" w:rsidRDefault="009D6006">
      <w:pPr>
        <w:spacing w:line="360" w:lineRule="auto"/>
        <w:jc w:val="both"/>
        <w:rPr>
          <w:rFonts w:ascii="Book Antiqua" w:hAnsi="Book Antiqua"/>
        </w:rPr>
      </w:pPr>
      <w:r>
        <w:rPr>
          <w:rFonts w:ascii="Book Antiqua" w:hAnsi="Book Antiqua"/>
        </w:rPr>
        <w:t xml:space="preserve">42 </w:t>
      </w:r>
      <w:r>
        <w:rPr>
          <w:rFonts w:ascii="Book Antiqua" w:hAnsi="Book Antiqua"/>
          <w:b/>
          <w:bCs/>
        </w:rPr>
        <w:t>Liu X</w:t>
      </w:r>
      <w:r>
        <w:rPr>
          <w:rFonts w:ascii="Book Antiqua" w:hAnsi="Book Antiqua"/>
        </w:rPr>
        <w:t xml:space="preserve">, Wei Q, Lu L, Cui S, Ma K, Zhang W, Ma F, Li H, Fu X, Zhang C. Immunomodulatory potential of mesenchymal stem cell-derived extracellular vesicles: Targeting immune cells. </w:t>
      </w:r>
      <w:r>
        <w:rPr>
          <w:rFonts w:ascii="Book Antiqua" w:hAnsi="Book Antiqua"/>
          <w:i/>
          <w:iCs/>
        </w:rPr>
        <w:t>Front Immunol</w:t>
      </w:r>
      <w:r>
        <w:rPr>
          <w:rFonts w:ascii="Book Antiqua" w:hAnsi="Book Antiqua"/>
        </w:rPr>
        <w:t xml:space="preserve"> 2023; </w:t>
      </w:r>
      <w:r>
        <w:rPr>
          <w:rFonts w:ascii="Book Antiqua" w:hAnsi="Book Antiqua"/>
          <w:b/>
          <w:bCs/>
        </w:rPr>
        <w:t>14</w:t>
      </w:r>
      <w:r>
        <w:rPr>
          <w:rFonts w:ascii="Book Antiqua" w:hAnsi="Book Antiqua"/>
        </w:rPr>
        <w:t>: 1094685 [PMID: 36860847 DOI: 10.3389/fimmu.2023.1094685]</w:t>
      </w:r>
    </w:p>
    <w:p w14:paraId="1A7E36C1" w14:textId="77777777" w:rsidR="00C4529E" w:rsidRDefault="009D6006">
      <w:pPr>
        <w:spacing w:line="360" w:lineRule="auto"/>
        <w:jc w:val="both"/>
        <w:rPr>
          <w:rFonts w:ascii="Book Antiqua" w:hAnsi="Book Antiqua"/>
        </w:rPr>
      </w:pPr>
      <w:r>
        <w:rPr>
          <w:rFonts w:ascii="Book Antiqua" w:hAnsi="Book Antiqua"/>
        </w:rPr>
        <w:t xml:space="preserve">43 </w:t>
      </w:r>
      <w:r>
        <w:rPr>
          <w:rFonts w:ascii="Book Antiqua" w:hAnsi="Book Antiqua"/>
          <w:b/>
          <w:bCs/>
        </w:rPr>
        <w:t>Guo Z</w:t>
      </w:r>
      <w:r>
        <w:rPr>
          <w:rFonts w:ascii="Book Antiqua" w:hAnsi="Book Antiqua"/>
        </w:rPr>
        <w:t xml:space="preserve">, Zhao Z, Yang C, Song C. Transfer of microRNA-221 from mesenchymal stem cell-derived extracellular vesicles inhibits atherosclerotic plaque formation. </w:t>
      </w:r>
      <w:proofErr w:type="spellStart"/>
      <w:r>
        <w:rPr>
          <w:rFonts w:ascii="Book Antiqua" w:hAnsi="Book Antiqua"/>
          <w:i/>
          <w:iCs/>
        </w:rPr>
        <w:t>Transl</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226</w:t>
      </w:r>
      <w:r>
        <w:rPr>
          <w:rFonts w:ascii="Book Antiqua" w:hAnsi="Book Antiqua"/>
        </w:rPr>
        <w:t>: 83-95 [PMID: 32659442 DOI: 10.1016/j.trsl.2020.07.003]</w:t>
      </w:r>
    </w:p>
    <w:p w14:paraId="77073EC9" w14:textId="77777777" w:rsidR="00C4529E" w:rsidRDefault="009D6006">
      <w:pPr>
        <w:spacing w:line="360" w:lineRule="auto"/>
        <w:jc w:val="both"/>
        <w:rPr>
          <w:rFonts w:ascii="Book Antiqua" w:hAnsi="Book Antiqua"/>
        </w:rPr>
      </w:pPr>
      <w:r>
        <w:rPr>
          <w:rFonts w:ascii="Book Antiqua" w:hAnsi="Book Antiqua"/>
        </w:rPr>
        <w:t xml:space="preserve">44 </w:t>
      </w:r>
      <w:r>
        <w:rPr>
          <w:rFonts w:ascii="Book Antiqua" w:hAnsi="Book Antiqua"/>
          <w:b/>
          <w:bCs/>
        </w:rPr>
        <w:t>Xiao X</w:t>
      </w:r>
      <w:r>
        <w:rPr>
          <w:rFonts w:ascii="Book Antiqua" w:hAnsi="Book Antiqua"/>
        </w:rPr>
        <w:t>, Xu M, Yu H, Wang L, Li X, Rak J, Wang S, Zhao RC. Mesenchymal stem cell-derived small extracellular vesicles mitigate oxidative stress-induced senescence in endothelial cells via regulation of miR-146a/</w:t>
      </w:r>
      <w:proofErr w:type="spellStart"/>
      <w:r>
        <w:rPr>
          <w:rFonts w:ascii="Book Antiqua" w:hAnsi="Book Antiqua"/>
        </w:rPr>
        <w:t>Src</w:t>
      </w:r>
      <w:proofErr w:type="spellEnd"/>
      <w:r>
        <w:rPr>
          <w:rFonts w:ascii="Book Antiqua" w:hAnsi="Book Antiqua"/>
        </w:rPr>
        <w:t xml:space="preserve">. </w:t>
      </w:r>
      <w:r>
        <w:rPr>
          <w:rFonts w:ascii="Book Antiqua" w:hAnsi="Book Antiqua"/>
          <w:i/>
          <w:iCs/>
        </w:rPr>
        <w:t xml:space="preserve">Signal </w:t>
      </w:r>
      <w:proofErr w:type="spellStart"/>
      <w:r>
        <w:rPr>
          <w:rFonts w:ascii="Book Antiqua" w:hAnsi="Book Antiqua"/>
          <w:i/>
          <w:iCs/>
        </w:rPr>
        <w:t>Transduct</w:t>
      </w:r>
      <w:proofErr w:type="spellEnd"/>
      <w:r>
        <w:rPr>
          <w:rFonts w:ascii="Book Antiqua" w:hAnsi="Book Antiqua"/>
          <w:i/>
          <w:iCs/>
        </w:rPr>
        <w:t xml:space="preserve"> Target Ther</w:t>
      </w:r>
      <w:r>
        <w:rPr>
          <w:rFonts w:ascii="Book Antiqua" w:hAnsi="Book Antiqua"/>
        </w:rPr>
        <w:t xml:space="preserve"> 2021; </w:t>
      </w:r>
      <w:r>
        <w:rPr>
          <w:rFonts w:ascii="Book Antiqua" w:hAnsi="Book Antiqua"/>
          <w:b/>
          <w:bCs/>
        </w:rPr>
        <w:t>6</w:t>
      </w:r>
      <w:r>
        <w:rPr>
          <w:rFonts w:ascii="Book Antiqua" w:hAnsi="Book Antiqua"/>
        </w:rPr>
        <w:t>: 354 [PMID: 34675187 DOI: 10.1038/s41392-021-00765-3]</w:t>
      </w:r>
    </w:p>
    <w:p w14:paraId="6C009975" w14:textId="77777777" w:rsidR="00C4529E" w:rsidRDefault="009D6006">
      <w:pPr>
        <w:spacing w:line="360" w:lineRule="auto"/>
        <w:jc w:val="both"/>
        <w:rPr>
          <w:rFonts w:ascii="Book Antiqua" w:hAnsi="Book Antiqua"/>
        </w:rPr>
      </w:pPr>
      <w:r>
        <w:rPr>
          <w:rFonts w:ascii="Book Antiqua" w:hAnsi="Book Antiqua"/>
        </w:rPr>
        <w:t xml:space="preserve">45 </w:t>
      </w:r>
      <w:r>
        <w:rPr>
          <w:rFonts w:ascii="Book Antiqua" w:hAnsi="Book Antiqua"/>
          <w:b/>
          <w:bCs/>
        </w:rPr>
        <w:t>Xu F</w:t>
      </w:r>
      <w:r>
        <w:rPr>
          <w:rFonts w:ascii="Book Antiqua" w:hAnsi="Book Antiqua"/>
        </w:rPr>
        <w:t xml:space="preserve">, Fei Z, Dai H, Xu J, Fan Q, Shen S, Zhang Y, Ma Q, Chu J, Peng F, Zhou F, Liu Z, Wang C. Mesenchymal Stem Cell-Derived Extracellular Vesicles with High PD-L1 </w:t>
      </w:r>
      <w:r>
        <w:rPr>
          <w:rFonts w:ascii="Book Antiqua" w:hAnsi="Book Antiqua"/>
        </w:rPr>
        <w:lastRenderedPageBreak/>
        <w:t xml:space="preserve">Expression for Autoimmune Diseases Treatment. </w:t>
      </w:r>
      <w:r>
        <w:rPr>
          <w:rFonts w:ascii="Book Antiqua" w:hAnsi="Book Antiqua"/>
          <w:i/>
          <w:iCs/>
        </w:rPr>
        <w:t>Adv Mater</w:t>
      </w:r>
      <w:r>
        <w:rPr>
          <w:rFonts w:ascii="Book Antiqua" w:hAnsi="Book Antiqua"/>
        </w:rPr>
        <w:t xml:space="preserve"> 2022; </w:t>
      </w:r>
      <w:r>
        <w:rPr>
          <w:rFonts w:ascii="Book Antiqua" w:hAnsi="Book Antiqua"/>
          <w:b/>
          <w:bCs/>
        </w:rPr>
        <w:t>34</w:t>
      </w:r>
      <w:r>
        <w:rPr>
          <w:rFonts w:ascii="Book Antiqua" w:hAnsi="Book Antiqua"/>
        </w:rPr>
        <w:t>: e2106265 [PMID: 34613627 DOI: 10.1002/adma.202106265]</w:t>
      </w:r>
    </w:p>
    <w:p w14:paraId="6E0C01D5" w14:textId="77777777" w:rsidR="00C4529E" w:rsidRDefault="009D6006">
      <w:pPr>
        <w:spacing w:line="360" w:lineRule="auto"/>
        <w:jc w:val="both"/>
        <w:rPr>
          <w:rFonts w:ascii="Book Antiqua" w:hAnsi="Book Antiqua"/>
        </w:rPr>
      </w:pPr>
      <w:r>
        <w:rPr>
          <w:rFonts w:ascii="Book Antiqua" w:hAnsi="Book Antiqua"/>
        </w:rPr>
        <w:t xml:space="preserve">46 </w:t>
      </w:r>
      <w:r>
        <w:rPr>
          <w:rFonts w:ascii="Book Antiqua" w:hAnsi="Book Antiqua"/>
          <w:b/>
          <w:bCs/>
        </w:rPr>
        <w:t>Feng R</w:t>
      </w:r>
      <w:r>
        <w:rPr>
          <w:rFonts w:ascii="Book Antiqua" w:hAnsi="Book Antiqua"/>
        </w:rPr>
        <w:t xml:space="preserve">, Ullah M, Chen K, Ali Q, Lin Y, Sun Z. Stem cell-derived extracellular vesicles mitigate ageing-associated arterial stiffness and hypertension. </w:t>
      </w:r>
      <w:r>
        <w:rPr>
          <w:rFonts w:ascii="Book Antiqua" w:hAnsi="Book Antiqua"/>
          <w:i/>
          <w:iCs/>
        </w:rPr>
        <w:t xml:space="preserve">J </w:t>
      </w:r>
      <w:proofErr w:type="spellStart"/>
      <w:r>
        <w:rPr>
          <w:rFonts w:ascii="Book Antiqua" w:hAnsi="Book Antiqua"/>
          <w:i/>
          <w:iCs/>
        </w:rPr>
        <w:t>Extracell</w:t>
      </w:r>
      <w:proofErr w:type="spellEnd"/>
      <w:r>
        <w:rPr>
          <w:rFonts w:ascii="Book Antiqua" w:hAnsi="Book Antiqua"/>
          <w:i/>
          <w:iCs/>
        </w:rPr>
        <w:t xml:space="preserve"> Vesicles</w:t>
      </w:r>
      <w:r>
        <w:rPr>
          <w:rFonts w:ascii="Book Antiqua" w:hAnsi="Book Antiqua"/>
        </w:rPr>
        <w:t xml:space="preserve"> 2020; </w:t>
      </w:r>
      <w:r>
        <w:rPr>
          <w:rFonts w:ascii="Book Antiqua" w:hAnsi="Book Antiqua"/>
          <w:b/>
          <w:bCs/>
        </w:rPr>
        <w:t>9</w:t>
      </w:r>
      <w:r>
        <w:rPr>
          <w:rFonts w:ascii="Book Antiqua" w:hAnsi="Book Antiqua"/>
        </w:rPr>
        <w:t>: 1783869 [PMID: 32939234 DOI: 10.1080/20013078.2020.1783869]</w:t>
      </w:r>
    </w:p>
    <w:p w14:paraId="5DAF2A9C" w14:textId="77777777" w:rsidR="00C4529E" w:rsidRDefault="009D6006">
      <w:pPr>
        <w:spacing w:line="360" w:lineRule="auto"/>
        <w:jc w:val="both"/>
        <w:rPr>
          <w:rFonts w:ascii="Book Antiqua" w:hAnsi="Book Antiqua"/>
        </w:rPr>
      </w:pPr>
      <w:r>
        <w:rPr>
          <w:rFonts w:ascii="Book Antiqua" w:hAnsi="Book Antiqua"/>
        </w:rPr>
        <w:t xml:space="preserve">47 </w:t>
      </w:r>
      <w:r>
        <w:rPr>
          <w:rFonts w:ascii="Book Antiqua" w:hAnsi="Book Antiqua"/>
          <w:b/>
          <w:bCs/>
        </w:rPr>
        <w:t>Wang J</w:t>
      </w:r>
      <w:r>
        <w:rPr>
          <w:rFonts w:ascii="Book Antiqua" w:hAnsi="Book Antiqua"/>
        </w:rPr>
        <w:t xml:space="preserve">, Huang R, Xu Q, Zheng G, Qiu G, Ge M, Shu Q, Xu J. Mesenchymal Stem Cell-Derived Extracellular Vesicles Alleviate Acute Lung Injury Via Transfer of miR-27a-3p. </w:t>
      </w:r>
      <w:r>
        <w:rPr>
          <w:rFonts w:ascii="Book Antiqua" w:hAnsi="Book Antiqua"/>
          <w:i/>
          <w:iCs/>
        </w:rPr>
        <w:t>Crit Care Med</w:t>
      </w:r>
      <w:r>
        <w:rPr>
          <w:rFonts w:ascii="Book Antiqua" w:hAnsi="Book Antiqua"/>
        </w:rPr>
        <w:t xml:space="preserve"> 2020; </w:t>
      </w:r>
      <w:r>
        <w:rPr>
          <w:rFonts w:ascii="Book Antiqua" w:hAnsi="Book Antiqua"/>
          <w:b/>
          <w:bCs/>
        </w:rPr>
        <w:t>48</w:t>
      </w:r>
      <w:r>
        <w:rPr>
          <w:rFonts w:ascii="Book Antiqua" w:hAnsi="Book Antiqua"/>
        </w:rPr>
        <w:t>: e599-e610 [PMID: 32317602 DOI: 10.1097/CCM.0000000000004315]</w:t>
      </w:r>
    </w:p>
    <w:p w14:paraId="2402819C" w14:textId="77777777" w:rsidR="00C4529E" w:rsidRDefault="009D6006">
      <w:pPr>
        <w:spacing w:line="360" w:lineRule="auto"/>
        <w:jc w:val="both"/>
        <w:rPr>
          <w:rFonts w:ascii="Book Antiqua" w:hAnsi="Book Antiqua"/>
        </w:rPr>
      </w:pPr>
      <w:r>
        <w:rPr>
          <w:rFonts w:ascii="Book Antiqua" w:hAnsi="Book Antiqua"/>
        </w:rPr>
        <w:t xml:space="preserve">48 </w:t>
      </w:r>
      <w:r>
        <w:rPr>
          <w:rFonts w:ascii="Book Antiqua" w:hAnsi="Book Antiqua"/>
          <w:b/>
          <w:bCs/>
        </w:rPr>
        <w:t>Cheng C</w:t>
      </w:r>
      <w:r>
        <w:rPr>
          <w:rFonts w:ascii="Book Antiqua" w:hAnsi="Book Antiqua"/>
        </w:rPr>
        <w:t xml:space="preserve">, Liu D, Liu Z, Li M, Wang Y, Sun B, Kong R, Chen H, Wang G, Li L, Hu J, Li Y, Chen H, Zhao Z, Zhang T, Zhu S, Pan S. Positive feedback regulation of lncRNA TPT1-AS1 and ITGB3 promotes cell growth and metastasis in pancreatic cancer. </w:t>
      </w:r>
      <w:r>
        <w:rPr>
          <w:rFonts w:ascii="Book Antiqua" w:hAnsi="Book Antiqua"/>
          <w:i/>
          <w:iCs/>
        </w:rPr>
        <w:t>Cancer Sci</w:t>
      </w:r>
      <w:r>
        <w:rPr>
          <w:rFonts w:ascii="Book Antiqua" w:hAnsi="Book Antiqua"/>
        </w:rPr>
        <w:t xml:space="preserve"> 2022; </w:t>
      </w:r>
      <w:r>
        <w:rPr>
          <w:rFonts w:ascii="Book Antiqua" w:hAnsi="Book Antiqua"/>
          <w:b/>
          <w:bCs/>
        </w:rPr>
        <w:t>113</w:t>
      </w:r>
      <w:r>
        <w:rPr>
          <w:rFonts w:ascii="Book Antiqua" w:hAnsi="Book Antiqua"/>
        </w:rPr>
        <w:t>: 2986-3001 [PMID: 35534983 DOI: 10.1111/cas.15388]</w:t>
      </w:r>
    </w:p>
    <w:p w14:paraId="0F32F679" w14:textId="77777777" w:rsidR="00C4529E" w:rsidRDefault="009D6006">
      <w:pPr>
        <w:spacing w:line="360" w:lineRule="auto"/>
        <w:jc w:val="both"/>
        <w:rPr>
          <w:rFonts w:ascii="Book Antiqua" w:eastAsiaTheme="minorEastAsia" w:hAnsi="Book Antiqua"/>
          <w:lang w:eastAsia="zh-CN"/>
        </w:rPr>
      </w:pPr>
      <w:r>
        <w:rPr>
          <w:rFonts w:ascii="Book Antiqua" w:hAnsi="Book Antiqua"/>
        </w:rPr>
        <w:t xml:space="preserve">49 </w:t>
      </w:r>
      <w:r>
        <w:rPr>
          <w:rFonts w:ascii="Book Antiqua" w:hAnsi="Book Antiqua"/>
          <w:b/>
          <w:bCs/>
        </w:rPr>
        <w:t>Li S</w:t>
      </w:r>
      <w:r>
        <w:rPr>
          <w:rFonts w:ascii="Book Antiqua" w:hAnsi="Book Antiqua"/>
        </w:rPr>
        <w:t xml:space="preserve">, Jiang S, Zhang Q, Jin B, </w:t>
      </w:r>
      <w:proofErr w:type="spellStart"/>
      <w:r>
        <w:rPr>
          <w:rFonts w:ascii="Book Antiqua" w:hAnsi="Book Antiqua"/>
        </w:rPr>
        <w:t>Lv</w:t>
      </w:r>
      <w:proofErr w:type="spellEnd"/>
      <w:r>
        <w:rPr>
          <w:rFonts w:ascii="Book Antiqua" w:hAnsi="Book Antiqua"/>
        </w:rPr>
        <w:t xml:space="preserve"> D, Li W, Zhao M, Jiang C, Dai C, Liu Z. Integrin β3 Induction Promotes Tubular Cell Senescence and Kidney Fibrosis.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733831 [PMID: 34805144 DOI: 10.3389/fcell.2021.733831]</w:t>
      </w:r>
    </w:p>
    <w:p w14:paraId="3126274C" w14:textId="77777777" w:rsidR="00C4529E" w:rsidRDefault="00C4529E">
      <w:pPr>
        <w:spacing w:line="360" w:lineRule="auto"/>
        <w:jc w:val="both"/>
        <w:rPr>
          <w:rFonts w:ascii="Book Antiqua" w:eastAsiaTheme="minorEastAsia" w:hAnsi="Book Antiqua" w:cs="Book Antiqua"/>
          <w:lang w:eastAsia="zh-CN"/>
        </w:rPr>
      </w:pPr>
    </w:p>
    <w:p w14:paraId="1FBE4FF3" w14:textId="77777777" w:rsidR="00C4529E" w:rsidRDefault="00C4529E">
      <w:pPr>
        <w:spacing w:line="360" w:lineRule="auto"/>
        <w:jc w:val="both"/>
        <w:rPr>
          <w:rFonts w:ascii="Book Antiqua" w:eastAsiaTheme="minorEastAsia" w:hAnsi="Book Antiqua"/>
          <w:lang w:eastAsia="zh-CN"/>
        </w:rPr>
        <w:sectPr w:rsidR="00C4529E">
          <w:pgSz w:w="12240" w:h="15840"/>
          <w:pgMar w:top="1440" w:right="1440" w:bottom="1440" w:left="1440" w:header="720" w:footer="720" w:gutter="0"/>
          <w:cols w:space="720"/>
          <w:docGrid w:linePitch="360"/>
        </w:sectPr>
      </w:pPr>
    </w:p>
    <w:p w14:paraId="630DDFBD"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64D33EC"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shd w:val="clear" w:color="auto" w:fill="FFFFFF"/>
        </w:rPr>
        <w:t>The study was reviewed and approved by</w:t>
      </w:r>
      <w:r>
        <w:rPr>
          <w:rFonts w:ascii="Book Antiqua" w:eastAsiaTheme="minorEastAsia" w:hAnsi="Book Antiqua" w:cs="Book Antiqua"/>
          <w:color w:val="000000"/>
          <w:shd w:val="clear" w:color="auto" w:fill="FFFFFF"/>
          <w:lang w:eastAsia="zh-CN"/>
        </w:rPr>
        <w:t xml:space="preserve"> </w:t>
      </w:r>
      <w:r>
        <w:rPr>
          <w:rFonts w:ascii="Book Antiqua" w:eastAsia="Book Antiqua" w:hAnsi="Book Antiqua" w:cs="Book Antiqua"/>
        </w:rPr>
        <w:t>the Ethical Committee of the Second Hospital of Hebei Medical University</w:t>
      </w:r>
      <w:r>
        <w:rPr>
          <w:rFonts w:ascii="Book Antiqua" w:eastAsiaTheme="minorEastAsia" w:hAnsi="Book Antiqua" w:cs="Book Antiqua"/>
          <w:lang w:eastAsia="zh-CN"/>
        </w:rPr>
        <w:t>,</w:t>
      </w:r>
      <w:r>
        <w:rPr>
          <w:rFonts w:ascii="Book Antiqua" w:eastAsia="Book Antiqua" w:hAnsi="Book Antiqua" w:cs="Book Antiqua"/>
        </w:rPr>
        <w:t xml:space="preserve"> No</w:t>
      </w:r>
      <w:r>
        <w:rPr>
          <w:rFonts w:ascii="Book Antiqua" w:eastAsiaTheme="minorEastAsia" w:hAnsi="Book Antiqua" w:cs="Book Antiqua"/>
          <w:lang w:eastAsia="zh-CN"/>
        </w:rPr>
        <w:t>.</w:t>
      </w:r>
      <w:r>
        <w:rPr>
          <w:rFonts w:ascii="Book Antiqua" w:eastAsia="Book Antiqua" w:hAnsi="Book Antiqua" w:cs="Book Antiqua"/>
        </w:rPr>
        <w:t xml:space="preserve"> 2021-R496.</w:t>
      </w:r>
    </w:p>
    <w:p w14:paraId="7ACDAB8A" w14:textId="77777777" w:rsidR="00C4529E" w:rsidRDefault="00C4529E">
      <w:pPr>
        <w:spacing w:line="360" w:lineRule="auto"/>
        <w:jc w:val="both"/>
        <w:rPr>
          <w:rFonts w:ascii="Book Antiqua" w:eastAsiaTheme="minorEastAsia" w:hAnsi="Book Antiqua"/>
          <w:lang w:eastAsia="zh-CN"/>
        </w:rPr>
      </w:pPr>
    </w:p>
    <w:p w14:paraId="3F3ABFEC" w14:textId="77777777" w:rsidR="00C4529E" w:rsidRDefault="009D6006">
      <w:pPr>
        <w:spacing w:line="360" w:lineRule="auto"/>
        <w:jc w:val="both"/>
        <w:rPr>
          <w:rFonts w:ascii="Book Antiqua" w:eastAsiaTheme="minorEastAsia" w:hAnsi="Book Antiqua" w:cs="Book Antiqua"/>
          <w:bCs/>
          <w:lang w:eastAsia="zh-CN"/>
        </w:rPr>
      </w:pPr>
      <w:r>
        <w:rPr>
          <w:rFonts w:ascii="Book Antiqua" w:eastAsia="Book Antiqua" w:hAnsi="Book Antiqua" w:cs="Book Antiqua"/>
          <w:b/>
          <w:bCs/>
        </w:rPr>
        <w:t>Institutional animal care and use committee statement</w:t>
      </w:r>
      <w:r>
        <w:rPr>
          <w:rFonts w:ascii="Book Antiqua" w:eastAsiaTheme="minorEastAsia" w:hAnsi="Book Antiqua" w:cs="Book Antiqua"/>
          <w:b/>
          <w:bCs/>
          <w:lang w:eastAsia="zh-CN"/>
        </w:rPr>
        <w:t xml:space="preserve">: </w:t>
      </w:r>
      <w:r>
        <w:rPr>
          <w:rFonts w:ascii="Book Antiqua" w:eastAsiaTheme="minorEastAsia" w:hAnsi="Book Antiqua" w:cs="Book Antiqua"/>
          <w:bCs/>
          <w:lang w:eastAsia="zh-CN"/>
        </w:rPr>
        <w:t>Laboratory Animal Use and Management Committee has been carefully discussed and voted on May 27, 2021 for the subject animal-related content, 10 voters, 10 people suggested a formal experiment, and made the following recommendations. The design is reasonable, in line with the animal requirements. The ethics committee agreed to carry out a formal experiment.</w:t>
      </w:r>
    </w:p>
    <w:p w14:paraId="4BE1A510" w14:textId="77777777" w:rsidR="00C4529E" w:rsidRDefault="00C4529E">
      <w:pPr>
        <w:spacing w:line="360" w:lineRule="auto"/>
        <w:jc w:val="both"/>
        <w:rPr>
          <w:rFonts w:ascii="Book Antiqua" w:eastAsiaTheme="minorEastAsia" w:hAnsi="Book Antiqua"/>
          <w:lang w:eastAsia="zh-CN"/>
        </w:rPr>
      </w:pPr>
    </w:p>
    <w:p w14:paraId="2A8638F8" w14:textId="77777777" w:rsidR="00C4529E" w:rsidRDefault="009D6006">
      <w:pPr>
        <w:spacing w:line="360" w:lineRule="auto"/>
        <w:jc w:val="both"/>
        <w:rPr>
          <w:rFonts w:ascii="Book Antiqua" w:eastAsiaTheme="minorEastAsia" w:hAnsi="Book Antiqua"/>
          <w:b/>
          <w:color w:val="000000"/>
          <w:lang w:eastAsia="zh-CN"/>
        </w:rPr>
      </w:pPr>
      <w:r>
        <w:rPr>
          <w:rFonts w:ascii="Book Antiqua" w:eastAsia="Book Antiqua" w:hAnsi="Book Antiqua" w:cs="Book Antiqua"/>
          <w:b/>
          <w:bCs/>
        </w:rPr>
        <w:t>Informed consent statement</w:t>
      </w:r>
      <w:r>
        <w:rPr>
          <w:rFonts w:ascii="Book Antiqua" w:eastAsiaTheme="minorEastAsia" w:hAnsi="Book Antiqua" w:cs="Book Antiqua"/>
          <w:b/>
          <w:bCs/>
          <w:lang w:eastAsia="zh-CN"/>
        </w:rPr>
        <w:t xml:space="preserve">: </w:t>
      </w:r>
      <w:bookmarkStart w:id="1" w:name="_Hlk10706254"/>
      <w:bookmarkStart w:id="2" w:name="OLE_LINK432"/>
      <w:r>
        <w:rPr>
          <w:rFonts w:ascii="Book Antiqua" w:hAnsi="Book Antiqua"/>
        </w:rPr>
        <w:t>All study participants or their legal guardian provided informed written consent about personal and medical data collection prior to study enrolment.</w:t>
      </w:r>
      <w:bookmarkEnd w:id="1"/>
      <w:bookmarkEnd w:id="2"/>
    </w:p>
    <w:p w14:paraId="7A4459FB" w14:textId="77777777" w:rsidR="00C4529E" w:rsidRDefault="00C4529E">
      <w:pPr>
        <w:spacing w:line="360" w:lineRule="auto"/>
        <w:jc w:val="both"/>
        <w:rPr>
          <w:rFonts w:ascii="Book Antiqua" w:eastAsiaTheme="minorEastAsia" w:hAnsi="Book Antiqua"/>
          <w:lang w:eastAsia="zh-CN"/>
        </w:rPr>
      </w:pPr>
    </w:p>
    <w:p w14:paraId="2B3CF4DC"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5C8A6D5E" w14:textId="77777777" w:rsidR="00C4529E" w:rsidRDefault="00C4529E">
      <w:pPr>
        <w:spacing w:line="360" w:lineRule="auto"/>
        <w:jc w:val="both"/>
        <w:rPr>
          <w:rFonts w:ascii="Book Antiqua" w:hAnsi="Book Antiqua"/>
        </w:rPr>
      </w:pPr>
    </w:p>
    <w:p w14:paraId="459299FF"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42AA63A" w14:textId="77777777" w:rsidR="00C4529E" w:rsidRDefault="00C4529E">
      <w:pPr>
        <w:spacing w:line="360" w:lineRule="auto"/>
        <w:jc w:val="both"/>
        <w:rPr>
          <w:rFonts w:ascii="Book Antiqua" w:hAnsi="Book Antiqua"/>
        </w:rPr>
      </w:pPr>
    </w:p>
    <w:p w14:paraId="1337C9B4" w14:textId="77777777" w:rsidR="00C4529E" w:rsidRDefault="009D6006">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E41AE91" w14:textId="77777777" w:rsidR="00C4529E" w:rsidRDefault="00C4529E">
      <w:pPr>
        <w:spacing w:line="360" w:lineRule="auto"/>
        <w:jc w:val="both"/>
        <w:rPr>
          <w:rFonts w:ascii="Book Antiqua" w:hAnsi="Book Antiqua"/>
        </w:rPr>
      </w:pPr>
    </w:p>
    <w:p w14:paraId="18D2E903" w14:textId="77777777" w:rsidR="00C4529E" w:rsidRDefault="009D600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41E6FD" w14:textId="77777777" w:rsidR="00C4529E" w:rsidRDefault="00C4529E">
      <w:pPr>
        <w:spacing w:line="360" w:lineRule="auto"/>
        <w:jc w:val="both"/>
        <w:rPr>
          <w:rFonts w:ascii="Book Antiqua" w:hAnsi="Book Antiqua"/>
        </w:rPr>
      </w:pPr>
    </w:p>
    <w:p w14:paraId="71475C03" w14:textId="77777777" w:rsidR="00C4529E" w:rsidRDefault="009D6006">
      <w:pPr>
        <w:spacing w:line="360" w:lineRule="auto"/>
        <w:jc w:val="both"/>
        <w:rPr>
          <w:rFonts w:ascii="Book Antiqua" w:eastAsiaTheme="minorEastAsi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9A1D2B4" w14:textId="77777777" w:rsidR="00C4529E" w:rsidRDefault="00C4529E">
      <w:pPr>
        <w:spacing w:line="360" w:lineRule="auto"/>
        <w:jc w:val="both"/>
        <w:rPr>
          <w:rFonts w:ascii="Book Antiqua" w:eastAsiaTheme="minorEastAsia" w:hAnsi="Book Antiqua"/>
          <w:lang w:eastAsia="zh-CN"/>
        </w:rPr>
      </w:pPr>
    </w:p>
    <w:p w14:paraId="301D27B9"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9899FFF" w14:textId="77777777" w:rsidR="00C4529E" w:rsidRDefault="00C4529E">
      <w:pPr>
        <w:spacing w:line="360" w:lineRule="auto"/>
        <w:jc w:val="both"/>
        <w:rPr>
          <w:rFonts w:ascii="Book Antiqua" w:hAnsi="Book Antiqua"/>
        </w:rPr>
      </w:pPr>
    </w:p>
    <w:p w14:paraId="5FCBF7E4"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31, 2023</w:t>
      </w:r>
    </w:p>
    <w:p w14:paraId="2EF1C224"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14, 2023</w:t>
      </w:r>
    </w:p>
    <w:p w14:paraId="0BB1B087"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ACDEF87" w14:textId="77777777" w:rsidR="00C4529E" w:rsidRDefault="00C4529E">
      <w:pPr>
        <w:spacing w:line="360" w:lineRule="auto"/>
        <w:jc w:val="both"/>
        <w:rPr>
          <w:rFonts w:ascii="Book Antiqua" w:hAnsi="Book Antiqua"/>
        </w:rPr>
      </w:pPr>
    </w:p>
    <w:p w14:paraId="096AE8A3"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Cell and tissue engineering</w:t>
      </w:r>
    </w:p>
    <w:p w14:paraId="656B597A"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2549A39" w14:textId="77777777" w:rsidR="00C4529E" w:rsidRDefault="009D600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2AD750A" w14:textId="77777777" w:rsidR="00C4529E" w:rsidRDefault="009D6006">
      <w:pPr>
        <w:spacing w:line="360" w:lineRule="auto"/>
        <w:jc w:val="both"/>
        <w:rPr>
          <w:rFonts w:ascii="Book Antiqua" w:hAnsi="Book Antiqua"/>
        </w:rPr>
      </w:pPr>
      <w:r>
        <w:rPr>
          <w:rFonts w:ascii="Book Antiqua" w:eastAsia="Book Antiqua" w:hAnsi="Book Antiqua" w:cs="Book Antiqua"/>
        </w:rPr>
        <w:t>Grade A (Excellent): A</w:t>
      </w:r>
    </w:p>
    <w:p w14:paraId="336FF5E6" w14:textId="77777777" w:rsidR="00C4529E" w:rsidRPr="00775DD0" w:rsidRDefault="009D6006">
      <w:pPr>
        <w:spacing w:line="360" w:lineRule="auto"/>
        <w:jc w:val="both"/>
        <w:rPr>
          <w:rFonts w:ascii="Book Antiqua" w:eastAsiaTheme="minorEastAsia" w:hAnsi="Book Antiqua"/>
          <w:lang w:eastAsia="zh-CN"/>
        </w:rPr>
      </w:pPr>
      <w:r>
        <w:rPr>
          <w:rFonts w:ascii="Book Antiqua" w:eastAsia="Book Antiqua" w:hAnsi="Book Antiqua" w:cs="Book Antiqua"/>
        </w:rPr>
        <w:t>Grade B (Very good): B, B</w:t>
      </w:r>
      <w:r w:rsidR="00775DD0">
        <w:rPr>
          <w:rFonts w:ascii="Book Antiqua" w:eastAsiaTheme="minorEastAsia" w:hAnsi="Book Antiqua" w:cs="Book Antiqua" w:hint="eastAsia"/>
          <w:lang w:eastAsia="zh-CN"/>
        </w:rPr>
        <w:t>, B</w:t>
      </w:r>
    </w:p>
    <w:p w14:paraId="6939364B" w14:textId="77777777" w:rsidR="00C4529E" w:rsidRDefault="009D6006">
      <w:pPr>
        <w:spacing w:line="360" w:lineRule="auto"/>
        <w:jc w:val="both"/>
        <w:rPr>
          <w:rFonts w:ascii="Book Antiqua" w:eastAsiaTheme="minorEastAsia" w:hAnsi="Book Antiqua"/>
          <w:lang w:eastAsia="zh-CN"/>
        </w:rPr>
      </w:pPr>
      <w:r>
        <w:rPr>
          <w:rFonts w:ascii="Book Antiqua" w:eastAsia="Book Antiqua" w:hAnsi="Book Antiqua" w:cs="Book Antiqua"/>
        </w:rPr>
        <w:t xml:space="preserve">Grade C (Good): </w:t>
      </w:r>
      <w:r>
        <w:rPr>
          <w:rFonts w:ascii="Book Antiqua" w:eastAsiaTheme="minorEastAsia" w:hAnsi="Book Antiqua" w:cs="Book Antiqua"/>
          <w:lang w:eastAsia="zh-CN"/>
        </w:rPr>
        <w:t>C</w:t>
      </w:r>
    </w:p>
    <w:p w14:paraId="52E4CEDC" w14:textId="77777777" w:rsidR="00C4529E" w:rsidRDefault="009D6006">
      <w:pPr>
        <w:spacing w:line="360" w:lineRule="auto"/>
        <w:jc w:val="both"/>
        <w:rPr>
          <w:rFonts w:ascii="Book Antiqua" w:hAnsi="Book Antiqua"/>
        </w:rPr>
      </w:pPr>
      <w:r>
        <w:rPr>
          <w:rFonts w:ascii="Book Antiqua" w:eastAsia="Book Antiqua" w:hAnsi="Book Antiqua" w:cs="Book Antiqua"/>
        </w:rPr>
        <w:t>Grade D (Fair): D</w:t>
      </w:r>
    </w:p>
    <w:p w14:paraId="2EE0B22D" w14:textId="77777777" w:rsidR="00C4529E" w:rsidRDefault="009D6006">
      <w:pPr>
        <w:spacing w:line="360" w:lineRule="auto"/>
        <w:jc w:val="both"/>
        <w:rPr>
          <w:rFonts w:ascii="Book Antiqua" w:hAnsi="Book Antiqua"/>
        </w:rPr>
      </w:pPr>
      <w:r>
        <w:rPr>
          <w:rFonts w:ascii="Book Antiqua" w:eastAsia="Book Antiqua" w:hAnsi="Book Antiqua" w:cs="Book Antiqua"/>
        </w:rPr>
        <w:t>Grade E (Poor): 0</w:t>
      </w:r>
    </w:p>
    <w:p w14:paraId="7D204388" w14:textId="77777777" w:rsidR="00C4529E" w:rsidRDefault="00C4529E">
      <w:pPr>
        <w:spacing w:line="360" w:lineRule="auto"/>
        <w:jc w:val="both"/>
        <w:rPr>
          <w:rFonts w:ascii="Book Antiqua" w:hAnsi="Book Antiqua"/>
        </w:rPr>
      </w:pPr>
    </w:p>
    <w:p w14:paraId="59CBBAC8" w14:textId="77777777" w:rsidR="00C4529E" w:rsidRDefault="009D6006">
      <w:pPr>
        <w:spacing w:line="360" w:lineRule="auto"/>
        <w:jc w:val="both"/>
        <w:rPr>
          <w:rFonts w:ascii="Book Antiqua" w:hAnsi="Book Antiqua"/>
        </w:rPr>
        <w:sectPr w:rsidR="00C4529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Kotlyarov</w:t>
      </w:r>
      <w:proofErr w:type="spellEnd"/>
      <w:r>
        <w:rPr>
          <w:rFonts w:ascii="Book Antiqua" w:eastAsia="Book Antiqua" w:hAnsi="Book Antiqua" w:cs="Book Antiqua"/>
        </w:rPr>
        <w:t xml:space="preserve"> S, Russia; Liao Z, Singapore; Shalaby MN, Egypt; Ventura C, Italy</w:t>
      </w:r>
      <w:r w:rsidR="00770CE5">
        <w:rPr>
          <w:rFonts w:ascii="Book Antiqua" w:eastAsiaTheme="minorEastAsia" w:hAnsi="Book Antiqua" w:cs="Book Antiqua" w:hint="eastAsia"/>
          <w:lang w:eastAsia="zh-CN"/>
        </w:rPr>
        <w:t xml:space="preserve">; </w:t>
      </w:r>
      <w:r w:rsidR="00770CE5" w:rsidRPr="00770CE5">
        <w:rPr>
          <w:rFonts w:ascii="Book Antiqua" w:eastAsiaTheme="minorEastAsia" w:hAnsi="Book Antiqua" w:cs="Book Antiqua"/>
          <w:lang w:eastAsia="zh-CN"/>
        </w:rPr>
        <w:t>Ventura</w:t>
      </w:r>
      <w:r w:rsidR="00770CE5">
        <w:rPr>
          <w:rFonts w:ascii="Book Antiqua" w:eastAsiaTheme="minorEastAsia" w:hAnsi="Book Antiqua" w:cs="Book Antiqua" w:hint="eastAsia"/>
          <w:lang w:eastAsia="zh-CN"/>
        </w:rPr>
        <w:t xml:space="preserve"> C, Italy</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A</w:t>
      </w:r>
      <w:r>
        <w:rPr>
          <w:rFonts w:ascii="Book Antiqua" w:eastAsia="Book Antiqua" w:hAnsi="Book Antiqua" w:cs="Book Antiqua"/>
          <w:b/>
          <w:color w:val="000000"/>
        </w:rPr>
        <w:t xml:space="preserve"> P-Editor: </w:t>
      </w:r>
    </w:p>
    <w:p w14:paraId="77C96697" w14:textId="77777777" w:rsidR="00C4529E" w:rsidRDefault="009D6006">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lastRenderedPageBreak/>
        <w:t>Figure Legends</w:t>
      </w:r>
    </w:p>
    <w:p w14:paraId="0471AA31" w14:textId="77777777" w:rsidR="00C4529E" w:rsidRDefault="009D6006">
      <w:pPr>
        <w:spacing w:line="360" w:lineRule="auto"/>
        <w:jc w:val="both"/>
        <w:rPr>
          <w:rFonts w:ascii="Book Antiqua" w:eastAsiaTheme="minorEastAsia" w:hAnsi="Book Antiqua"/>
          <w:lang w:eastAsia="zh-CN"/>
        </w:rPr>
      </w:pPr>
      <w:r>
        <w:rPr>
          <w:rFonts w:ascii="Book Antiqua" w:hAnsi="Book Antiqua"/>
          <w:noProof/>
          <w:lang w:eastAsia="zh-CN"/>
        </w:rPr>
        <w:drawing>
          <wp:inline distT="0" distB="0" distL="0" distR="0" wp14:anchorId="34515D80" wp14:editId="307CBE29">
            <wp:extent cx="5486400" cy="2938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2938145"/>
                    </a:xfrm>
                    <a:prstGeom prst="rect">
                      <a:avLst/>
                    </a:prstGeom>
                  </pic:spPr>
                </pic:pic>
              </a:graphicData>
            </a:graphic>
          </wp:inline>
        </w:drawing>
      </w:r>
    </w:p>
    <w:p w14:paraId="179ACCAE" w14:textId="77777777" w:rsidR="00C4529E" w:rsidRDefault="009D6006">
      <w:pPr>
        <w:spacing w:line="360" w:lineRule="auto"/>
        <w:jc w:val="both"/>
        <w:rPr>
          <w:rFonts w:ascii="Book Antiqua" w:eastAsiaTheme="minorEastAsia" w:hAnsi="Book Antiqua"/>
          <w:lang w:eastAsia="zh-CN"/>
        </w:rPr>
      </w:pPr>
      <w:r>
        <w:rPr>
          <w:rFonts w:ascii="Book Antiqua" w:hAnsi="Book Antiqua"/>
          <w:noProof/>
          <w:lang w:eastAsia="zh-CN"/>
        </w:rPr>
        <w:drawing>
          <wp:inline distT="0" distB="0" distL="0" distR="0" wp14:anchorId="3C97E963" wp14:editId="2AE1412D">
            <wp:extent cx="5486400" cy="1647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86400" cy="1647825"/>
                    </a:xfrm>
                    <a:prstGeom prst="rect">
                      <a:avLst/>
                    </a:prstGeom>
                  </pic:spPr>
                </pic:pic>
              </a:graphicData>
            </a:graphic>
          </wp:inline>
        </w:drawing>
      </w:r>
    </w:p>
    <w:p w14:paraId="28AAEF80"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1</w:t>
      </w:r>
      <w:r>
        <w:rPr>
          <w:rFonts w:ascii="Book Antiqua" w:eastAsiaTheme="minorEastAsia" w:hAnsi="Book Antiqua" w:cs="Book Antiqua"/>
          <w:b/>
          <w:color w:val="000000"/>
          <w:lang w:eastAsia="zh-CN"/>
        </w:rPr>
        <w:t xml:space="preserve"> </w:t>
      </w:r>
      <w:r>
        <w:rPr>
          <w:rFonts w:ascii="Book Antiqua" w:eastAsia="Book Antiqua" w:hAnsi="Book Antiqua" w:cs="Book Antiqua"/>
          <w:b/>
          <w:bCs/>
          <w:color w:val="000000"/>
        </w:rPr>
        <w:t>Expression of inflammatory factors in the vascular atherosclerotic plaque</w:t>
      </w:r>
      <w:r>
        <w:rPr>
          <w:rFonts w:ascii="Book Antiqua" w:eastAsia="Book Antiqua" w:hAnsi="Book Antiqua" w:cs="Book Antiqua"/>
          <w:b/>
          <w:color w:val="000000"/>
        </w:rPr>
        <w:t>.</w:t>
      </w:r>
      <w:r>
        <w:rPr>
          <w:rFonts w:ascii="Book Antiqua" w:eastAsia="Book Antiqua" w:hAnsi="Book Antiqua" w:cs="Book Antiqua"/>
          <w:color w:val="000000"/>
        </w:rPr>
        <w:t xml:space="preserve"> A: Expression of mouse vascular cell adhesion molecule-1 (VCAM-1), intercellular cell adhesion molecule-1 (ICAM-1), and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(OPN) expression in total tissue lysates of normal and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w:t>
      </w:r>
      <w:r>
        <w:rPr>
          <w:rFonts w:ascii="Book Antiqua" w:eastAsiaTheme="minorEastAsia" w:hAnsi="Book Antiqua" w:cs="Book Antiqua"/>
          <w:color w:val="000000"/>
          <w:lang w:eastAsia="zh-CN"/>
        </w:rPr>
        <w:t>(</w:t>
      </w:r>
      <w:r>
        <w:rPr>
          <w:rFonts w:ascii="Book Antiqua" w:eastAsia="Book Antiqua" w:hAnsi="Book Antiqua" w:cs="Book Antiqua"/>
          <w:color w:val="000000"/>
        </w:rPr>
        <w:t>AS</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aorta analyzed using western blot. GAPDH was used as the internal control. The experiment was repeated thrice with tissues isolated from independent mice; a representative blot is shown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B: Expression levels of various inflammatory factors involved in atherosclerosis analyzed using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 of mRNA samples extracted from normal and AS vessels of three independent mice. Data are presented as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SEM for each group. Fold change represents the expression of each inflammatory factor in AS vessel of a mice fed with high fat diet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compared with that in normal blood vessel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w:t>
      </w:r>
      <w:r>
        <w:rPr>
          <w:rFonts w:ascii="Book Antiqua" w:eastAsia="Book Antiqua" w:hAnsi="Book Antiqua" w:cs="Book Antiqua"/>
          <w:bCs/>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lastRenderedPageBreak/>
        <w:t>Representative images of normal and AS vascular sections stained for VCAM1 (red) and ICAM1 (red). The experiment was repeated three times with tissues isolated from independent mice; a representative image is shown. Nuclei were visualized by DAPI staining (blue).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100 mm</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 Representative images of normal and AS vascular sections stained for ICAM1 (red). The experiment was repeated three times with tissues isolated from independent mice; a representative image is shown. Nuclei were visualized by DAPI staining (blue).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proofErr w:type="spellStart"/>
      <w:r>
        <w:rPr>
          <w:rFonts w:ascii="Book Antiqua" w:eastAsia="Book Antiqua" w:hAnsi="Book Antiqua" w:cs="Book Antiqua"/>
          <w:color w:val="000000"/>
          <w:vertAlign w:val="superscript"/>
          <w:lang w:eastAsia="zh-Hans"/>
        </w:rPr>
        <w:t>b</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0.001.</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AS: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OPN: </w:t>
      </w:r>
      <w:proofErr w:type="spellStart"/>
      <w:r>
        <w:rPr>
          <w:rFonts w:ascii="Book Antiqua" w:eastAsiaTheme="minorEastAsia" w:hAnsi="Book Antiqua" w:cs="Book Antiqua"/>
          <w:color w:val="000000"/>
          <w:lang w:eastAsia="zh-CN"/>
        </w:rPr>
        <w:t>O</w:t>
      </w:r>
      <w:r>
        <w:rPr>
          <w:rFonts w:ascii="Book Antiqua" w:eastAsia="Book Antiqua" w:hAnsi="Book Antiqua" w:cs="Book Antiqua"/>
          <w:color w:val="000000"/>
        </w:rPr>
        <w:t>steopontin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SEM: </w:t>
      </w:r>
      <w:r>
        <w:rPr>
          <w:rFonts w:ascii="Book Antiqua" w:eastAsiaTheme="minorEastAsia" w:hAnsi="Book Antiqua" w:cs="Book Antiqua"/>
          <w:color w:val="000000"/>
          <w:lang w:eastAsia="zh-CN"/>
        </w:rPr>
        <w:t>S</w:t>
      </w:r>
      <w:r>
        <w:rPr>
          <w:rFonts w:ascii="Book Antiqua" w:eastAsia="Book Antiqua" w:hAnsi="Book Antiqua" w:cs="Book Antiqua"/>
          <w:color w:val="000000"/>
        </w:rPr>
        <w:t>tandard error of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VCAM-1</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V</w:t>
      </w:r>
      <w:r>
        <w:rPr>
          <w:rFonts w:ascii="Book Antiqua" w:eastAsia="Book Antiqua" w:hAnsi="Book Antiqua" w:cs="Book Antiqua"/>
          <w:color w:val="000000"/>
        </w:rPr>
        <w:t>ascular cell adhesion molecule-1</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ICAM-1</w:t>
      </w:r>
      <w:r>
        <w:rPr>
          <w:rFonts w:ascii="Book Antiqua" w:eastAsiaTheme="minorEastAsia" w:hAnsi="Book Antiqua" w:cs="Book Antiqua"/>
          <w:color w:val="000000"/>
          <w:lang w:eastAsia="zh-CN"/>
        </w:rPr>
        <w:t>: I</w:t>
      </w:r>
      <w:r>
        <w:rPr>
          <w:rFonts w:ascii="Book Antiqua" w:eastAsia="Book Antiqua" w:hAnsi="Book Antiqua" w:cs="Book Antiqua"/>
          <w:color w:val="000000"/>
        </w:rPr>
        <w:t>ntercellular cell adhesion molecule-1</w:t>
      </w:r>
      <w:r>
        <w:rPr>
          <w:rFonts w:ascii="Book Antiqua" w:eastAsiaTheme="minorEastAsia" w:hAnsi="Book Antiqua" w:cs="Book Antiqua"/>
          <w:color w:val="000000"/>
          <w:lang w:eastAsia="zh-CN"/>
        </w:rPr>
        <w:t>.</w:t>
      </w:r>
    </w:p>
    <w:p w14:paraId="40B2D57F"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r>
        <w:rPr>
          <w:rFonts w:ascii="Book Antiqua" w:hAnsi="Book Antiqua"/>
          <w:noProof/>
          <w:lang w:eastAsia="zh-CN"/>
        </w:rPr>
        <w:lastRenderedPageBreak/>
        <w:drawing>
          <wp:inline distT="0" distB="0" distL="0" distR="0" wp14:anchorId="1E8E1665" wp14:editId="4BFDD943">
            <wp:extent cx="5486400" cy="28206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6400" cy="2820670"/>
                    </a:xfrm>
                    <a:prstGeom prst="rect">
                      <a:avLst/>
                    </a:prstGeom>
                  </pic:spPr>
                </pic:pic>
              </a:graphicData>
            </a:graphic>
          </wp:inline>
        </w:drawing>
      </w:r>
    </w:p>
    <w:p w14:paraId="27B5345E"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hAnsi="Book Antiqua"/>
          <w:noProof/>
          <w:lang w:eastAsia="zh-CN"/>
        </w:rPr>
        <w:drawing>
          <wp:inline distT="0" distB="0" distL="0" distR="0" wp14:anchorId="6484BE7F" wp14:editId="538D0233">
            <wp:extent cx="5486400" cy="2656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2656840"/>
                    </a:xfrm>
                    <a:prstGeom prst="rect">
                      <a:avLst/>
                    </a:prstGeom>
                  </pic:spPr>
                </pic:pic>
              </a:graphicData>
            </a:graphic>
          </wp:inline>
        </w:drawing>
      </w:r>
    </w:p>
    <w:p w14:paraId="6DA6BBB5" w14:textId="77777777" w:rsidR="00C4529E" w:rsidRDefault="002163D1">
      <w:pPr>
        <w:spacing w:line="360" w:lineRule="auto"/>
        <w:jc w:val="both"/>
        <w:rPr>
          <w:rFonts w:ascii="Book Antiqua" w:eastAsiaTheme="minorEastAsia" w:hAnsi="Book Antiqua" w:cs="Book Antiqua"/>
          <w:color w:val="000000"/>
          <w:lang w:eastAsia="zh-CN"/>
        </w:rPr>
      </w:pPr>
      <w:r>
        <w:rPr>
          <w:noProof/>
          <w:lang w:eastAsia="zh-CN"/>
        </w:rPr>
        <w:drawing>
          <wp:inline distT="0" distB="0" distL="0" distR="0" wp14:anchorId="639A463A" wp14:editId="308507E5">
            <wp:extent cx="5486400" cy="2275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75205"/>
                    </a:xfrm>
                    <a:prstGeom prst="rect">
                      <a:avLst/>
                    </a:prstGeom>
                  </pic:spPr>
                </pic:pic>
              </a:graphicData>
            </a:graphic>
          </wp:inline>
        </w:drawing>
      </w:r>
    </w:p>
    <w:p w14:paraId="307C0C7C" w14:textId="77777777" w:rsidR="00C4529E" w:rsidRDefault="009D6006">
      <w:pPr>
        <w:spacing w:line="360" w:lineRule="auto"/>
        <w:jc w:val="both"/>
        <w:rPr>
          <w:rFonts w:ascii="Book Antiqua" w:eastAsiaTheme="minorEastAsia" w:hAnsi="Book Antiqua"/>
          <w:lang w:eastAsia="zh-CN"/>
        </w:rPr>
      </w:pPr>
      <w:r>
        <w:rPr>
          <w:rFonts w:ascii="Book Antiqua" w:hAnsi="Book Antiqua"/>
          <w:noProof/>
          <w:lang w:eastAsia="zh-CN"/>
        </w:rPr>
        <w:lastRenderedPageBreak/>
        <w:drawing>
          <wp:inline distT="0" distB="0" distL="0" distR="0" wp14:anchorId="7A8CBA73" wp14:editId="03D9BAF4">
            <wp:extent cx="2642870" cy="2505710"/>
            <wp:effectExtent l="0" t="0" r="2413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2643142" cy="2506334"/>
                    </a:xfrm>
                    <a:prstGeom prst="rect">
                      <a:avLst/>
                    </a:prstGeom>
                  </pic:spPr>
                </pic:pic>
              </a:graphicData>
            </a:graphic>
          </wp:inline>
        </w:drawing>
      </w:r>
      <w:r>
        <w:rPr>
          <w:rFonts w:ascii="Book Antiqua" w:hAnsi="Book Antiqua"/>
          <w:lang w:eastAsia="zh-CN"/>
        </w:rPr>
        <w:t xml:space="preserve"> </w:t>
      </w:r>
    </w:p>
    <w:p w14:paraId="21F7C318" w14:textId="77777777" w:rsidR="00C4529E" w:rsidRDefault="009D6006">
      <w:pPr>
        <w:spacing w:line="360" w:lineRule="auto"/>
        <w:jc w:val="both"/>
        <w:rPr>
          <w:rFonts w:ascii="Book Antiqua" w:eastAsiaTheme="minorEastAsia" w:hAnsi="Book Antiqua" w:cs="Book Antiqua"/>
          <w:color w:val="000000"/>
          <w:lang w:eastAsia="zh-CN"/>
        </w:rPr>
      </w:pPr>
      <w:r>
        <w:rPr>
          <w:noProof/>
          <w:lang w:eastAsia="zh-CN"/>
        </w:rPr>
        <w:drawing>
          <wp:inline distT="0" distB="0" distL="0" distR="0" wp14:anchorId="52E5C8C7" wp14:editId="54546597">
            <wp:extent cx="5232400" cy="26797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32669" cy="2679838"/>
                    </a:xfrm>
                    <a:prstGeom prst="rect">
                      <a:avLst/>
                    </a:prstGeom>
                  </pic:spPr>
                </pic:pic>
              </a:graphicData>
            </a:graphic>
          </wp:inline>
        </w:drawing>
      </w:r>
    </w:p>
    <w:p w14:paraId="39044596"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2</w:t>
      </w:r>
      <w:r>
        <w:rPr>
          <w:rFonts w:ascii="Book Antiqua" w:eastAsiaTheme="minorEastAsia" w:hAnsi="Book Antiqua" w:cs="Book Antiqua"/>
          <w:b/>
          <w:color w:val="000000"/>
          <w:lang w:eastAsia="zh-CN"/>
        </w:rPr>
        <w:t xml:space="preserve"> </w:t>
      </w:r>
      <w:r>
        <w:rPr>
          <w:rFonts w:ascii="Book Antiqua" w:eastAsia="Book Antiqua" w:hAnsi="Book Antiqua" w:cs="Book Antiqua"/>
          <w:b/>
          <w:bCs/>
          <w:color w:val="000000"/>
        </w:rPr>
        <w:t xml:space="preserve">Expression of </w:t>
      </w:r>
      <w:r>
        <w:rPr>
          <w:rFonts w:ascii="Book Antiqua" w:eastAsiaTheme="minorEastAsia" w:hAnsi="Book Antiqua" w:cs="Book Antiqua"/>
          <w:b/>
          <w:color w:val="000000"/>
          <w:lang w:eastAsia="zh-CN"/>
        </w:rPr>
        <w:t>i</w:t>
      </w:r>
      <w:r>
        <w:rPr>
          <w:rFonts w:ascii="Book Antiqua" w:eastAsia="Book Antiqua" w:hAnsi="Book Antiqua" w:cs="Book Antiqua"/>
          <w:b/>
          <w:color w:val="000000"/>
        </w:rPr>
        <w:t>ntegrin subunit beta 3</w:t>
      </w:r>
      <w:r>
        <w:rPr>
          <w:rFonts w:ascii="Book Antiqua" w:eastAsia="Book Antiqua" w:hAnsi="Book Antiqua" w:cs="Book Antiqua"/>
          <w:b/>
          <w:bCs/>
          <w:color w:val="000000"/>
        </w:rPr>
        <w:t xml:space="preserve"> on human umbilical cord-derived </w:t>
      </w:r>
      <w:r>
        <w:rPr>
          <w:rFonts w:ascii="Book Antiqua" w:eastAsia="Book Antiqua" w:hAnsi="Book Antiqua" w:cs="Book Antiqua"/>
          <w:b/>
          <w:color w:val="000000"/>
        </w:rPr>
        <w:t>mesenchymal stem cell</w:t>
      </w:r>
      <w:r>
        <w:rPr>
          <w:rFonts w:ascii="Book Antiqua" w:eastAsia="Book Antiqua" w:hAnsi="Book Antiqua" w:cs="Book Antiqua"/>
          <w:b/>
          <w:bCs/>
          <w:color w:val="000000"/>
        </w:rPr>
        <w: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 Western blot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B: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w:t>
      </w:r>
      <w:r>
        <w:rPr>
          <w:rFonts w:ascii="Book Antiqua" w:eastAsiaTheme="minorEastAsia" w:hAnsi="Book Antiqua" w:cs="Book Antiqu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analysis of </w:t>
      </w:r>
      <w:r>
        <w:rPr>
          <w:rFonts w:ascii="Book Antiqua" w:eastAsiaTheme="minorEastAsia" w:hAnsi="Book Antiqua" w:cs="Book Antiqua"/>
          <w:color w:val="000000"/>
          <w:lang w:eastAsia="zh-CN"/>
        </w:rPr>
        <w:t>I</w:t>
      </w:r>
      <w:r>
        <w:rPr>
          <w:rFonts w:ascii="Book Antiqua" w:eastAsia="Book Antiqua" w:hAnsi="Book Antiqua" w:cs="Book Antiqua"/>
          <w:color w:val="000000"/>
        </w:rPr>
        <w:t>ntegrin subunit beta 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ITGB3</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expression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 Representative immunofluorescence image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D: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uantification of ITGB3 and </w:t>
      </w:r>
      <w:r>
        <w:rPr>
          <w:rFonts w:ascii="Book Antiqua" w:eastAsiaTheme="minorEastAsia" w:hAnsi="Book Antiqua" w:cs="Book Antiqua"/>
          <w:color w:val="000000"/>
          <w:lang w:eastAsia="zh-CN"/>
        </w:rPr>
        <w:t>g</w:t>
      </w:r>
      <w:r>
        <w:rPr>
          <w:rFonts w:ascii="Book Antiqua" w:eastAsia="Book Antiqua" w:hAnsi="Book Antiqua" w:cs="Book Antiqua"/>
          <w:color w:val="000000"/>
        </w:rPr>
        <w:t xml:space="preserve">reen fluorescence protein staining in </w:t>
      </w:r>
      <w:proofErr w:type="spellStart"/>
      <w:r>
        <w:rPr>
          <w:rFonts w:ascii="Book Antiqua" w:eastAsia="Book Antiqua" w:hAnsi="Book Antiqua" w:cs="Book Antiqua"/>
          <w:color w:val="000000"/>
        </w:rPr>
        <w:t>untransfected</w:t>
      </w:r>
      <w:proofErr w:type="spellEnd"/>
      <w:r>
        <w:rPr>
          <w:rFonts w:ascii="Book Antiqua" w:eastAsia="Book Antiqua" w:hAnsi="Book Antiqua" w:cs="Book Antiqua"/>
          <w:color w:val="000000"/>
        </w:rPr>
        <w:t xml:space="preserve"> and transfected mesenchymal stem cell</w:t>
      </w:r>
      <w:r>
        <w:rPr>
          <w:rFonts w:ascii="Book Antiqua" w:eastAsia="Book Antiqua" w:hAnsi="Book Antiqua" w:cs="Book Antiqua"/>
          <w:bCs/>
          <w:color w:val="000000"/>
        </w:rPr>
        <w:t>s</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w:t>
      </w:r>
      <w:r>
        <w:rPr>
          <w:rFonts w:ascii="Book Antiqua" w:eastAsia="Book Antiqua" w:hAnsi="Book Antiqua" w:cs="Book Antiqua"/>
          <w:color w:val="000000"/>
        </w:rPr>
        <w:t>MSCs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E: Cell viability of </w:t>
      </w:r>
      <w:proofErr w:type="spellStart"/>
      <w:r>
        <w:rPr>
          <w:rFonts w:ascii="Book Antiqua" w:eastAsia="Book Antiqua" w:hAnsi="Book Antiqua" w:cs="Book Antiqua"/>
          <w:color w:val="000000"/>
        </w:rPr>
        <w:t>untransfected</w:t>
      </w:r>
      <w:proofErr w:type="spellEnd"/>
      <w:r>
        <w:rPr>
          <w:rFonts w:ascii="Book Antiqua" w:eastAsia="Book Antiqua" w:hAnsi="Book Antiqua" w:cs="Book Antiqua"/>
          <w:color w:val="000000"/>
        </w:rPr>
        <w:t xml:space="preserve"> and transfected MSCs determined by CCK8 assay. The experiment was repeated three times</w:t>
      </w:r>
      <w:r>
        <w:rPr>
          <w:rFonts w:ascii="Book Antiqua" w:eastAsiaTheme="minorEastAsia" w:hAnsi="Book Antiqua" w:cs="Book Antiqua"/>
          <w:color w:val="000000"/>
          <w:lang w:eastAsia="zh-CN"/>
        </w:rPr>
        <w:t xml:space="preserve">; </w:t>
      </w:r>
      <w:r w:rsidRPr="000F22E2">
        <w:rPr>
          <w:rFonts w:ascii="Book Antiqua" w:eastAsia="Book Antiqua" w:hAnsi="Book Antiqua" w:cs="Book Antiqua"/>
          <w:color w:val="000000"/>
        </w:rPr>
        <w:t>F</w:t>
      </w:r>
      <w:r w:rsidRPr="000F22E2">
        <w:rPr>
          <w:rFonts w:ascii="Book Antiqua" w:eastAsiaTheme="minorEastAsia" w:hAnsi="Book Antiqua" w:cs="Book Antiqua"/>
          <w:color w:val="000000"/>
          <w:lang w:eastAsia="zh-CN"/>
        </w:rPr>
        <w:t xml:space="preserve"> and</w:t>
      </w:r>
      <w:r w:rsidRPr="000F22E2">
        <w:rPr>
          <w:rFonts w:ascii="Book Antiqua" w:eastAsia="Book Antiqua" w:hAnsi="Book Antiqua" w:cs="Book Antiqua"/>
          <w:color w:val="000000"/>
        </w:rPr>
        <w:t xml:space="preserve"> G: Analysis of cell surface markers on MSC</w:t>
      </w:r>
      <w:r w:rsidRPr="000F22E2">
        <w:rPr>
          <w:rFonts w:ascii="Book Antiqua" w:eastAsia="Book Antiqua" w:hAnsi="Book Antiqua" w:cs="Book Antiqua"/>
          <w:color w:val="000000"/>
          <w:vertAlign w:val="superscript"/>
        </w:rPr>
        <w:t>ITGB3</w:t>
      </w:r>
      <w:r w:rsidRPr="000F22E2">
        <w:rPr>
          <w:rFonts w:ascii="Book Antiqua" w:eastAsiaTheme="minorEastAsia" w:hAnsi="Book Antiqua" w:cs="Book Antiqua"/>
          <w:color w:val="000000"/>
          <w:lang w:eastAsia="zh-CN"/>
        </w:rPr>
        <w:t xml:space="preserve"> </w:t>
      </w:r>
      <w:r w:rsidRPr="000F22E2">
        <w:rPr>
          <w:rFonts w:ascii="Book Antiqua" w:eastAsia="Book Antiqua" w:hAnsi="Book Antiqua" w:cs="Book Antiqua"/>
          <w:color w:val="000000"/>
        </w:rPr>
        <w:t>using flow cytometry to determine whether they have pluripotent characteristics</w:t>
      </w:r>
      <w:r w:rsidRPr="000F22E2">
        <w:rPr>
          <w:rFonts w:ascii="Book Antiqua" w:eastAsiaTheme="minorEastAsia" w:hAnsi="Book Antiqua" w:cs="Book Antiqua"/>
          <w:color w:val="000000"/>
          <w:lang w:eastAsia="zh-CN"/>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H: Osteogenic differentiation of MSC</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identified using Alizarin red staining</w:t>
      </w:r>
      <w:r>
        <w:rPr>
          <w:rFonts w:ascii="Book Antiqua" w:eastAsiaTheme="minorEastAsia" w:hAnsi="Book Antiqua" w:cs="Book Antiqua"/>
          <w:color w:val="000000"/>
          <w:lang w:eastAsia="zh-CN"/>
        </w:rPr>
        <w:t xml:space="preserve">;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 Oil Red O staining shows differentiation of MSC</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into adipocytes</w:t>
      </w:r>
      <w:r>
        <w:rPr>
          <w:rFonts w:ascii="Book Antiqua" w:eastAsiaTheme="minorEastAsia" w:hAnsi="Book Antiqua" w:cs="Book Antiqua"/>
          <w:color w:val="000000"/>
          <w:lang w:eastAsia="zh-CN"/>
        </w:rPr>
        <w:t xml:space="preserve">; </w:t>
      </w:r>
      <w:r>
        <w:rPr>
          <w:rFonts w:ascii="Book Antiqua" w:eastAsiaTheme="minorEastAsia" w:hAnsi="Book Antiqua" w:cs="Book Antiqua" w:hint="eastAsia"/>
          <w:color w:val="000000"/>
          <w:lang w:eastAsia="zh-CN"/>
        </w:rPr>
        <w:t>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PCR analysis of marker genes in induced osteoblasts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K: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of marker genes in induced adipocyte.</w:t>
      </w:r>
      <w:r>
        <w:rPr>
          <w:rFonts w:ascii="Book Antiqua" w:eastAsiaTheme="minorEastAsia" w:hAnsi="Book Antiqua" w:cs="Book Antiqua"/>
          <w:color w:val="000000"/>
          <w:lang w:eastAsia="zh-CN"/>
        </w:rPr>
        <w:t xml:space="preserve"> </w:t>
      </w:r>
      <w:proofErr w:type="spellStart"/>
      <w:r>
        <w:rPr>
          <w:rFonts w:ascii="Book Antiqua" w:eastAsia="Book Antiqua" w:hAnsi="Book Antiqua" w:cs="Book Antiqua"/>
          <w:color w:val="000000"/>
          <w:vertAlign w:val="superscript"/>
          <w:lang w:eastAsia="zh-Hans"/>
        </w:rPr>
        <w:t>b</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rPr>
        <w:t>&lt;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0.001. GFP: </w:t>
      </w:r>
      <w:r>
        <w:rPr>
          <w:rFonts w:ascii="Book Antiqua" w:eastAsiaTheme="minorEastAsia" w:hAnsi="Book Antiqua" w:cs="Book Antiqua"/>
          <w:color w:val="000000"/>
          <w:lang w:eastAsia="zh-CN"/>
        </w:rPr>
        <w:t>G</w:t>
      </w:r>
      <w:r>
        <w:rPr>
          <w:rFonts w:ascii="Book Antiqua" w:eastAsia="Book Antiqua" w:hAnsi="Book Antiqua" w:cs="Book Antiqua"/>
          <w:color w:val="000000"/>
        </w:rPr>
        <w:t xml:space="preserve">reen fluorescence protein; ITGB3: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ntegrin subunit beta 3; MSC: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ORO: Oil Red O;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w:t>
      </w:r>
    </w:p>
    <w:p w14:paraId="73EE6B79" w14:textId="77777777" w:rsidR="00C4529E" w:rsidRDefault="009D6006">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r>
        <w:rPr>
          <w:rFonts w:ascii="Book Antiqua" w:hAnsi="Book Antiqua"/>
          <w:noProof/>
          <w:lang w:eastAsia="zh-CN"/>
        </w:rPr>
        <w:lastRenderedPageBreak/>
        <w:drawing>
          <wp:inline distT="0" distB="0" distL="0" distR="0" wp14:anchorId="44CA2FE4" wp14:editId="1B9C1619">
            <wp:extent cx="5865495" cy="1740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865579" cy="1740665"/>
                    </a:xfrm>
                    <a:prstGeom prst="rect">
                      <a:avLst/>
                    </a:prstGeom>
                  </pic:spPr>
                </pic:pic>
              </a:graphicData>
            </a:graphic>
          </wp:inline>
        </w:drawing>
      </w:r>
    </w:p>
    <w:p w14:paraId="1C9DF4F3" w14:textId="77777777" w:rsidR="00C4529E" w:rsidRDefault="009D6006">
      <w:pPr>
        <w:spacing w:line="360" w:lineRule="auto"/>
        <w:jc w:val="both"/>
        <w:rPr>
          <w:rFonts w:ascii="Book Antiqua" w:eastAsiaTheme="minorEastAsia" w:hAnsi="Book Antiqua"/>
          <w:lang w:eastAsia="zh-CN"/>
        </w:rPr>
      </w:pPr>
      <w:r>
        <w:rPr>
          <w:rFonts w:ascii="Book Antiqua" w:hAnsi="Book Antiqua"/>
          <w:noProof/>
          <w:lang w:eastAsia="zh-CN"/>
        </w:rPr>
        <w:drawing>
          <wp:inline distT="0" distB="0" distL="0" distR="0" wp14:anchorId="4E086F82" wp14:editId="34AAB16F">
            <wp:extent cx="5854700" cy="1371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863148" cy="1373497"/>
                    </a:xfrm>
                    <a:prstGeom prst="rect">
                      <a:avLst/>
                    </a:prstGeom>
                  </pic:spPr>
                </pic:pic>
              </a:graphicData>
            </a:graphic>
          </wp:inline>
        </w:drawing>
      </w:r>
    </w:p>
    <w:p w14:paraId="72CAC8A5"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3</w:t>
      </w:r>
      <w:r>
        <w:rPr>
          <w:rFonts w:ascii="Book Antiqua" w:eastAsiaTheme="minorEastAsia" w:hAnsi="Book Antiqua" w:cs="Book Antiqua"/>
          <w:b/>
          <w:color w:val="000000"/>
          <w:lang w:eastAsia="zh-CN"/>
        </w:rPr>
        <w:t xml:space="preserve"> I</w:t>
      </w:r>
      <w:r>
        <w:rPr>
          <w:rFonts w:ascii="Book Antiqua" w:eastAsia="Book Antiqua" w:hAnsi="Book Antiqua" w:cs="Book Antiqua"/>
          <w:b/>
          <w:color w:val="000000"/>
        </w:rPr>
        <w:t>ntegrin subunit beta 3</w:t>
      </w:r>
      <w:r>
        <w:rPr>
          <w:rFonts w:ascii="Book Antiqua" w:eastAsia="Book Antiqua" w:hAnsi="Book Antiqua" w:cs="Book Antiqua"/>
          <w:b/>
          <w:bCs/>
          <w:color w:val="000000"/>
        </w:rPr>
        <w:t xml:space="preserve"> enhances </w:t>
      </w:r>
      <w:r>
        <w:rPr>
          <w:rFonts w:ascii="Book Antiqua" w:eastAsiaTheme="minorEastAsi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rPr>
        <w:t xml:space="preserve"> migration</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i/>
          <w:iCs/>
          <w:color w:val="000000"/>
        </w:rPr>
        <w:t>in vitro</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color w:val="000000"/>
        </w:rPr>
        <w:t>and</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i/>
          <w:iCs/>
          <w:color w:val="000000"/>
        </w:rPr>
        <w:t>in vivo</w:t>
      </w:r>
      <w:r>
        <w:rPr>
          <w:rFonts w:ascii="Book Antiqua" w:eastAsia="Book Antiqua" w:hAnsi="Book Antiqua" w:cs="Book Antiqua"/>
          <w:b/>
          <w:color w:val="000000"/>
        </w:rPr>
        <w:t>.</w:t>
      </w:r>
      <w:r>
        <w:rPr>
          <w:rFonts w:ascii="Book Antiqua" w:eastAsiaTheme="minorEastAsia" w:hAnsi="Book Antiqua" w:cs="Book Antiqua"/>
          <w:b/>
          <w:color w:val="000000"/>
          <w:lang w:eastAsia="zh-CN"/>
        </w:rPr>
        <w:t xml:space="preserve"> </w:t>
      </w:r>
      <w:r>
        <w:rPr>
          <w:rFonts w:ascii="Book Antiqua" w:eastAsia="Book Antiqua" w:hAnsi="Book Antiqua" w:cs="Book Antiqua"/>
          <w:color w:val="000000"/>
        </w:rPr>
        <w:t>A:</w:t>
      </w:r>
      <w:r>
        <w:rPr>
          <w:rFonts w:ascii="Book Antiqua" w:eastAsiaTheme="minorEastAsia" w:hAnsi="Book Antiqua" w:cs="Book Antiqua"/>
          <w:color w:val="000000"/>
          <w:lang w:eastAsia="zh-CN"/>
        </w:rPr>
        <w:t xml:space="preserve"> </w:t>
      </w:r>
      <w:r>
        <w:rPr>
          <w:rFonts w:ascii="Book Antiqua" w:eastAsia="Book Antiqua" w:hAnsi="Book Antiqua" w:cs="Book Antiqua"/>
          <w:i/>
          <w:iCs/>
          <w:color w:val="000000"/>
        </w:rPr>
        <w:t>In vitro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migration of </w:t>
      </w:r>
      <w:r>
        <w:rPr>
          <w:rFonts w:ascii="Book Antiqua" w:eastAsiaTheme="minorEastAsia" w:hAnsi="Book Antiqua" w:cs="Book Antiqua" w:hint="eastAsia"/>
          <w:color w:val="000000"/>
          <w:lang w:eastAsia="zh-CN"/>
        </w:rPr>
        <w:t>i</w:t>
      </w:r>
      <w:r>
        <w:rPr>
          <w:rFonts w:ascii="Book Antiqua" w:eastAsia="Book Antiqua" w:hAnsi="Book Antiqua" w:cs="Book Antiqua"/>
          <w:color w:val="000000"/>
        </w:rPr>
        <w:t>ntegrin subunit beta 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ITGB3</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-overexpressing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w:t>
      </w:r>
      <w:r>
        <w:rPr>
          <w:rFonts w:ascii="Book Antiqua" w:eastAsiaTheme="minorEastAsia" w:hAnsi="Book Antiqua" w:cs="Book Antiqua"/>
          <w:color w:val="000000"/>
          <w:lang w:eastAsia="zh-CN"/>
        </w:rPr>
        <w:t>(</w:t>
      </w:r>
      <w:r>
        <w:rPr>
          <w:rFonts w:ascii="Book Antiqua" w:eastAsia="Book Antiqua" w:hAnsi="Book Antiqua" w:cs="Book Antiqua"/>
          <w:color w:val="000000"/>
        </w:rPr>
        <w:t>MSC</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(MSCs</w:t>
      </w:r>
      <w:r>
        <w:rPr>
          <w:rFonts w:ascii="Book Antiqua" w:eastAsia="Book Antiqua" w:hAnsi="Book Antiqua" w:cs="Book Antiqua"/>
          <w:color w:val="000000"/>
          <w:vertAlign w:val="superscript"/>
        </w:rPr>
        <w:t>ITGB3</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toward lower Raw264.7, MVSMC and PMVEC stimulated by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α.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B: Quantification of migrated cells. Data are presented as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SEM</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C: Experimental scheme of chemotactic assays with mouse </w:t>
      </w:r>
      <w:r>
        <w:rPr>
          <w:rFonts w:ascii="Book Antiqua" w:eastAsiaTheme="minorEastAsia" w:hAnsi="Book Antiqua" w:cs="Book Antiqua"/>
          <w:color w:val="000000"/>
          <w:lang w:eastAsia="zh-CN"/>
        </w:rPr>
        <w:t>a</w:t>
      </w:r>
      <w:r>
        <w:rPr>
          <w:rFonts w:ascii="Book Antiqua" w:eastAsia="Book Antiqua" w:hAnsi="Book Antiqua" w:cs="Book Antiqua"/>
          <w:color w:val="000000"/>
        </w:rPr>
        <w:t>therosclerotic vascular samples. The blood vessel was divided into three parts. For each of the experiments, each part was cultured for 24 h in medium. To perform the assay, a suspension of 2</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MSCs, 2</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color w:val="000000"/>
          <w:vertAlign w:val="superscript"/>
          <w:lang w:eastAsia="zh-CN"/>
        </w:rPr>
        <w:t xml:space="preserve">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or 2</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Theme="minorEastAsia" w:hAnsi="Book Antiqua" w:cs="Book Antiqua"/>
          <w:color w:val="000000"/>
          <w:vertAlign w:val="superscript"/>
          <w:lang w:eastAsia="zh-CN"/>
        </w:rPr>
        <w:t xml:space="preserve"> </w:t>
      </w:r>
      <w:r>
        <w:rPr>
          <w:rFonts w:ascii="Book Antiqua" w:eastAsia="Book Antiqua" w:hAnsi="Book Antiqua" w:cs="Book Antiqua"/>
          <w:color w:val="000000"/>
        </w:rPr>
        <w:t>MSCs</w:t>
      </w:r>
      <w:r>
        <w:rPr>
          <w:rFonts w:ascii="Book Antiqua" w:eastAsia="Book Antiqua" w:hAnsi="Book Antiqua" w:cs="Book Antiqua"/>
          <w:color w:val="000000"/>
          <w:vertAlign w:val="superscript"/>
        </w:rPr>
        <w:t>ITGB3</w:t>
      </w:r>
      <w:r>
        <w:rPr>
          <w:rFonts w:ascii="Book Antiqua" w:eastAsiaTheme="minorEastAsia" w:hAnsi="Book Antiqua" w:cs="Book Antiqua"/>
          <w:color w:val="000000"/>
          <w:vertAlign w:val="superscript"/>
          <w:lang w:eastAsia="zh-CN"/>
        </w:rPr>
        <w:t xml:space="preserve"> </w:t>
      </w:r>
      <w:r>
        <w:rPr>
          <w:rFonts w:ascii="Book Antiqua" w:eastAsia="Book Antiqua" w:hAnsi="Book Antiqua" w:cs="Book Antiqua"/>
          <w:color w:val="000000"/>
        </w:rPr>
        <w:t>in medium were seeded in the upper chamber. Following incubation for 24 h, non-migrated cells were removed</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D: Representative image and quantification of migrated cells stuck in the porous membrane or the lower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stained with 0.1% crystal violet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E: MSCs</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MSCs</w:t>
      </w:r>
      <w:r>
        <w:rPr>
          <w:rFonts w:ascii="Book Antiqua" w:eastAsia="Book Antiqua" w:hAnsi="Book Antiqua" w:cs="Book Antiqua"/>
          <w:color w:val="000000"/>
          <w:vertAlign w:val="superscript"/>
        </w:rPr>
        <w:t>GFP</w:t>
      </w:r>
      <w:proofErr w:type="spellEnd"/>
      <w:r>
        <w:rPr>
          <w:rFonts w:ascii="Book Antiqua" w:eastAsia="Book Antiqua" w:hAnsi="Book Antiqua" w:cs="Book Antiqua"/>
          <w:color w:val="000000"/>
        </w:rPr>
        <w:t>, both expressing green fluorescence, were intravenously injected into mice.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 expression of</w:t>
      </w:r>
      <w:r>
        <w:rPr>
          <w:rFonts w:ascii="Book Antiqua" w:eastAsiaTheme="minorEastAsia" w:hAnsi="Book Antiqua" w:cs="Book Antiqua"/>
          <w:color w:val="000000"/>
          <w:lang w:eastAsia="zh-CN"/>
        </w:rPr>
        <w:t xml:space="preserve"> g</w:t>
      </w:r>
      <w:r>
        <w:rPr>
          <w:rFonts w:ascii="Book Antiqua" w:eastAsia="Book Antiqua" w:hAnsi="Book Antiqua" w:cs="Book Antiqua"/>
          <w:color w:val="000000"/>
        </w:rPr>
        <w:t xml:space="preserve">reen fluorescent protein </w:t>
      </w:r>
      <w:r>
        <w:rPr>
          <w:rFonts w:ascii="Book Antiqua" w:eastAsiaTheme="minorEastAsia" w:hAnsi="Book Antiqua" w:cs="Book Antiqua"/>
          <w:color w:val="000000"/>
          <w:lang w:eastAsia="zh-CN"/>
        </w:rPr>
        <w:t>(</w:t>
      </w:r>
      <w:r>
        <w:rPr>
          <w:rFonts w:ascii="Book Antiqua" w:eastAsia="Book Antiqua" w:hAnsi="Book Antiqua" w:cs="Book Antiqua"/>
          <w:color w:val="000000"/>
        </w:rPr>
        <w:t>GFP</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 CD31</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was examined by frozen staining. GFP-positive cells were quantified per microscopic field of vascular staining in triplicate mice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 expression 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GFP</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 SMA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were examined by frozen staining. GFP-positive cells were quantified per microscopic field of vascular staining in triplicate mice. Scale bars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G: </w:t>
      </w:r>
      <w:r>
        <w:rPr>
          <w:rFonts w:ascii="Book Antiqua" w:eastAsia="Book Antiqua" w:hAnsi="Book Antiqua" w:cs="Book Antiqua"/>
          <w:color w:val="000000"/>
        </w:rPr>
        <w:lastRenderedPageBreak/>
        <w:t xml:space="preserve">Expression levels of GFP in atherosclerosis analyzed using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 of mRNA samples extracted from MSC</w:t>
      </w:r>
      <w:r>
        <w:rPr>
          <w:rFonts w:ascii="Book Antiqua" w:eastAsia="Book Antiqua" w:hAnsi="Book Antiqua" w:cs="Book Antiqua"/>
          <w:color w:val="000000"/>
          <w:vertAlign w:val="superscript"/>
        </w:rPr>
        <w:t>GFP</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and MSC</w:t>
      </w:r>
      <w:r>
        <w:rPr>
          <w:rFonts w:ascii="Book Antiqua" w:eastAsia="Book Antiqua" w:hAnsi="Book Antiqua" w:cs="Book Antiqua"/>
          <w:color w:val="000000"/>
          <w:vertAlign w:val="superscript"/>
        </w:rPr>
        <w:t>ITGB3</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vessels of three mice.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Data are presented as the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SEM for each group. The data are representative of three independent experiments.</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vertAlign w:val="superscript"/>
          <w:lang w:eastAsia="zh-CN"/>
        </w:rPr>
        <w:t>a</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lang w:eastAsia="zh-CN" w:bidi="ar"/>
        </w:rPr>
        <w:t>&lt;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0.05,</w:t>
      </w:r>
      <w:r>
        <w:rPr>
          <w:rFonts w:ascii="Book Antiqua" w:eastAsiaTheme="minorEastAsia" w:hAnsi="Book Antiqua" w:cs="Book Antiqua"/>
          <w:color w:val="000000"/>
          <w:vertAlign w:val="superscript"/>
          <w:lang w:eastAsia="zh-CN"/>
        </w:rPr>
        <w:t xml:space="preserve"> </w:t>
      </w:r>
      <w:proofErr w:type="spellStart"/>
      <w:r>
        <w:rPr>
          <w:rFonts w:ascii="Book Antiqua" w:eastAsiaTheme="minorEastAsia" w:hAnsi="Book Antiqua" w:cs="Book Antiqua"/>
          <w:color w:val="000000"/>
          <w:vertAlign w:val="superscript"/>
          <w:lang w:eastAsia="zh-CN"/>
        </w:rPr>
        <w:t>b</w:t>
      </w:r>
      <w:r>
        <w:rPr>
          <w:rFonts w:ascii="Book Antiqua" w:eastAsiaTheme="minorEastAsia" w:hAnsi="Book Antiqua" w:cs="Book Antiqua"/>
          <w:i/>
          <w:color w:val="000000"/>
          <w:lang w:eastAsia="zh-CN"/>
        </w:rPr>
        <w:t>P</w:t>
      </w:r>
      <w:proofErr w:type="spellEnd"/>
      <w:r>
        <w:rPr>
          <w:rFonts w:ascii="Book Antiqua" w:eastAsia="Book Antiqua" w:hAnsi="Book Antiqua" w:cs="Book Antiqua"/>
          <w:color w:val="000000"/>
          <w:lang w:eastAsia="zh-CN" w:bidi="ar"/>
        </w:rPr>
        <w:t xml:space="preserve"> &lt;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0.001.</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rPr>
        <w:t xml:space="preserve">GFP: </w:t>
      </w:r>
      <w:r>
        <w:rPr>
          <w:rFonts w:ascii="Book Antiqua" w:eastAsiaTheme="minorEastAsia" w:hAnsi="Book Antiqua" w:cs="Book Antiqua"/>
          <w:color w:val="000000"/>
          <w:lang w:eastAsia="zh-CN"/>
        </w:rPr>
        <w:t>G</w:t>
      </w:r>
      <w:r>
        <w:rPr>
          <w:rFonts w:ascii="Book Antiqua" w:eastAsia="Book Antiqua" w:hAnsi="Book Antiqua" w:cs="Book Antiqua"/>
          <w:color w:val="000000"/>
        </w:rPr>
        <w:t xml:space="preserve">reen fluorescent protein; ITGB3: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ntegrin subunit beta 3; MSC: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SEM: </w:t>
      </w:r>
      <w:r>
        <w:rPr>
          <w:rFonts w:ascii="Book Antiqua" w:eastAsiaTheme="minorEastAsia" w:hAnsi="Book Antiqua" w:cs="Book Antiqua"/>
          <w:color w:val="000000"/>
          <w:lang w:eastAsia="zh-CN"/>
        </w:rPr>
        <w:t>S</w:t>
      </w:r>
      <w:r>
        <w:rPr>
          <w:rFonts w:ascii="Book Antiqua" w:eastAsia="Book Antiqua" w:hAnsi="Book Antiqua" w:cs="Book Antiqua"/>
          <w:color w:val="000000"/>
        </w:rPr>
        <w:t xml:space="preserve">tandard error of the mea; TNF: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w:t>
      </w:r>
      <w:r>
        <w:rPr>
          <w:rFonts w:ascii="Book Antiqua" w:eastAsiaTheme="minorEastAsia" w:hAnsi="Book Antiqua" w:cs="Book Antiqua"/>
          <w:color w:val="000000"/>
          <w:lang w:eastAsia="zh-CN"/>
        </w:rPr>
        <w:t>.</w:t>
      </w:r>
    </w:p>
    <w:p w14:paraId="68804EE3"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br w:type="page"/>
      </w:r>
      <w:r>
        <w:rPr>
          <w:rFonts w:ascii="Book Antiqua" w:hAnsi="Book Antiqua"/>
          <w:noProof/>
          <w:lang w:eastAsia="zh-CN"/>
        </w:rPr>
        <w:lastRenderedPageBreak/>
        <w:drawing>
          <wp:inline distT="0" distB="0" distL="0" distR="0" wp14:anchorId="1365B5AF" wp14:editId="3FF7C38E">
            <wp:extent cx="5763895" cy="11785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763936" cy="1178805"/>
                    </a:xfrm>
                    <a:prstGeom prst="rect">
                      <a:avLst/>
                    </a:prstGeom>
                  </pic:spPr>
                </pic:pic>
              </a:graphicData>
            </a:graphic>
          </wp:inline>
        </w:drawing>
      </w:r>
    </w:p>
    <w:p w14:paraId="1D5F3881"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hAnsi="Book Antiqua"/>
          <w:noProof/>
          <w:lang w:eastAsia="zh-CN"/>
        </w:rPr>
        <w:drawing>
          <wp:inline distT="0" distB="0" distL="0" distR="0" wp14:anchorId="1F15F548" wp14:editId="286F84B4">
            <wp:extent cx="5767070" cy="2032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767755" cy="2032733"/>
                    </a:xfrm>
                    <a:prstGeom prst="rect">
                      <a:avLst/>
                    </a:prstGeom>
                  </pic:spPr>
                </pic:pic>
              </a:graphicData>
            </a:graphic>
          </wp:inline>
        </w:drawing>
      </w:r>
    </w:p>
    <w:p w14:paraId="69075EC3"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hAnsi="Book Antiqua"/>
          <w:noProof/>
          <w:lang w:eastAsia="zh-CN"/>
        </w:rPr>
        <w:drawing>
          <wp:inline distT="0" distB="0" distL="0" distR="0" wp14:anchorId="5942B40C" wp14:editId="6F021536">
            <wp:extent cx="5486400" cy="27158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486400" cy="2715895"/>
                    </a:xfrm>
                    <a:prstGeom prst="rect">
                      <a:avLst/>
                    </a:prstGeom>
                  </pic:spPr>
                </pic:pic>
              </a:graphicData>
            </a:graphic>
          </wp:inline>
        </w:drawing>
      </w:r>
    </w:p>
    <w:p w14:paraId="5ACB5DFE"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hAnsi="Book Antiqua"/>
          <w:noProof/>
          <w:lang w:eastAsia="zh-CN"/>
        </w:rPr>
        <w:drawing>
          <wp:inline distT="0" distB="0" distL="0" distR="0" wp14:anchorId="3DF4A530" wp14:editId="6D7203EB">
            <wp:extent cx="5486400" cy="17945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486400" cy="1794510"/>
                    </a:xfrm>
                    <a:prstGeom prst="rect">
                      <a:avLst/>
                    </a:prstGeom>
                  </pic:spPr>
                </pic:pic>
              </a:graphicData>
            </a:graphic>
          </wp:inline>
        </w:drawing>
      </w:r>
    </w:p>
    <w:p w14:paraId="46E1BC7A"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lastRenderedPageBreak/>
        <w:t>Figure 4</w:t>
      </w:r>
      <w:r>
        <w:rPr>
          <w:rFonts w:ascii="Book Antiqua" w:eastAsiaTheme="minorEastAsia" w:hAnsi="Book Antiqua" w:cs="Book Antiqua"/>
          <w:b/>
          <w:color w:val="000000"/>
          <w:lang w:eastAsia="zh-CN"/>
        </w:rPr>
        <w:t xml:space="preserve"> </w:t>
      </w:r>
      <w:r>
        <w:rPr>
          <w:rFonts w:ascii="Book Antiqua" w:eastAsia="Book Antiqua" w:hAnsi="Book Antiqua" w:cs="Book Antiqua"/>
          <w:b/>
          <w:bCs/>
          <w:color w:val="000000"/>
        </w:rPr>
        <w:t xml:space="preserve">Injection of </w:t>
      </w:r>
      <w:r>
        <w:rPr>
          <w:rFonts w:ascii="Book Antiqua" w:eastAsiaTheme="minorEastAsi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vertAlign w:val="superscript"/>
        </w:rPr>
        <w:t>ITGB3</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color w:val="000000"/>
        </w:rPr>
        <w:t xml:space="preserve">attenuates </w:t>
      </w:r>
      <w:r>
        <w:rPr>
          <w:rFonts w:ascii="Book Antiqua" w:eastAsiaTheme="minorEastAsia" w:hAnsi="Book Antiqua" w:cs="Book Antiqua"/>
          <w:b/>
          <w:color w:val="000000"/>
          <w:lang w:eastAsia="zh-CN"/>
        </w:rPr>
        <w:t>a</w:t>
      </w:r>
      <w:r>
        <w:rPr>
          <w:rFonts w:ascii="Book Antiqua" w:eastAsia="Book Antiqua" w:hAnsi="Book Antiqua" w:cs="Book Antiqua"/>
          <w:b/>
          <w:color w:val="000000"/>
        </w:rPr>
        <w:t>therosclerotic</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i/>
          <w:iCs/>
          <w:color w:val="000000"/>
        </w:rPr>
        <w:t>in vivo</w:t>
      </w:r>
      <w:r>
        <w:rPr>
          <w:rFonts w:ascii="Book Antiqua" w:eastAsia="Book Antiqua" w:hAnsi="Book Antiqua" w:cs="Book Antiqua"/>
          <w:b/>
          <w:i/>
          <w:iCs/>
          <w:color w:val="000000"/>
        </w:rPr>
        <w:t>.</w:t>
      </w:r>
      <w:r>
        <w:rPr>
          <w:rFonts w:ascii="Book Antiqua" w:eastAsiaTheme="minorEastAsia" w:hAnsi="Book Antiqua" w:cs="Book Antiqua"/>
          <w:i/>
          <w:iCs/>
          <w:color w:val="000000"/>
          <w:lang w:eastAsia="zh-CN"/>
        </w:rPr>
        <w:t xml:space="preserve"> </w:t>
      </w:r>
      <w:r>
        <w:rPr>
          <w:rFonts w:ascii="Book Antiqua" w:eastAsia="Book Antiqua" w:hAnsi="Book Antiqua" w:cs="Book Antiqua"/>
          <w:color w:val="000000"/>
        </w:rPr>
        <w:t>A: Representative</w:t>
      </w:r>
      <w:r>
        <w:rPr>
          <w:rFonts w:ascii="Book Antiqua" w:eastAsiaTheme="minorEastAsia" w:hAnsi="Book Antiqua" w:cs="Book Antiqua"/>
          <w:color w:val="000000"/>
          <w:lang w:eastAsia="zh-CN"/>
        </w:rPr>
        <w:t xml:space="preserve"> </w:t>
      </w:r>
      <w:r>
        <w:rPr>
          <w:rFonts w:ascii="Book Antiqua" w:eastAsia="Book Antiqua" w:hAnsi="Book Antiqua" w:cs="Book Antiqua"/>
          <w:i/>
          <w:iCs/>
          <w:color w:val="000000"/>
        </w:rPr>
        <w:t>en face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images of mouse aortas stained with Oil Red O </w:t>
      </w:r>
      <w:r>
        <w:rPr>
          <w:rFonts w:ascii="Book Antiqua" w:eastAsiaTheme="minorEastAsia" w:hAnsi="Book Antiqua" w:cs="Book Antiqua"/>
          <w:color w:val="000000"/>
          <w:lang w:eastAsia="zh-CN"/>
        </w:rPr>
        <w:t>(</w:t>
      </w:r>
      <w:r>
        <w:rPr>
          <w:rFonts w:ascii="Book Antiqua" w:eastAsia="Book Antiqua" w:hAnsi="Book Antiqua" w:cs="Book Antiqua"/>
          <w:color w:val="000000"/>
        </w:rPr>
        <w:t>ORO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B: Quantification of the atherosclerotic plaque area as a ratio of the stained area to the total area of the aorta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 Representative section of mouse aortic arch and aortic root stained with ORO. The ORO-positive area in the aortic root is shown as the ratio of the stained area to the total area of the aortic sinus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D: Representative section of mouse aortic arch and aortic root stained with Masson staining. The Masson staining-positive area in the aortic arch and aortic root is shown as the ratio of the stained area to the total area of the aortic sinus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E: Representative section of mouse aortic arch and aortic root stained with hematoxylin eosin </w:t>
      </w:r>
      <w:r>
        <w:rPr>
          <w:rFonts w:ascii="Book Antiqua" w:eastAsiaTheme="minorEastAsia" w:hAnsi="Book Antiqua" w:cs="Book Antiqua"/>
          <w:color w:val="000000"/>
          <w:lang w:eastAsia="zh-CN"/>
        </w:rPr>
        <w:t>(</w:t>
      </w:r>
      <w:r>
        <w:rPr>
          <w:rFonts w:ascii="Book Antiqua" w:eastAsia="Book Antiqua" w:hAnsi="Book Antiqua" w:cs="Book Antiqua"/>
          <w:color w:val="000000"/>
        </w:rPr>
        <w:t>HE</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staining. The HE staining-positive area in the aortic arch and aortic root is shown as the ratio of the stained area to the total area of the aortic sinus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 Ultrasonography of the aorta in each group, including representative images, systolic diameter, diastolic diameter, and vessel wall thickness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G: Representative images of aortic arch section stained with anti-F4/80 antibody. The F4/80-positive area in the atherosclerotic plaque is shown as the ratio of the stained area to the total area of the atherosclerotic plaque. Scale bar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vertAlign w:val="superscript"/>
          <w:lang w:eastAsia="zh-CN"/>
        </w:rPr>
        <w:t>a</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lang w:eastAsia="zh-CN" w:bidi="ar"/>
        </w:rPr>
        <w:t>&lt;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0.05,</w:t>
      </w:r>
      <w:r>
        <w:rPr>
          <w:rFonts w:ascii="Book Antiqua" w:eastAsiaTheme="minorEastAsia" w:hAnsi="Book Antiqua" w:cs="Book Antiqua"/>
          <w:color w:val="000000"/>
          <w:vertAlign w:val="superscript"/>
          <w:lang w:eastAsia="zh-CN"/>
        </w:rPr>
        <w:t xml:space="preserve"> </w:t>
      </w:r>
      <w:proofErr w:type="spellStart"/>
      <w:r>
        <w:rPr>
          <w:rFonts w:ascii="Book Antiqua" w:eastAsiaTheme="minorEastAsia" w:hAnsi="Book Antiqua" w:cs="Book Antiqua"/>
          <w:color w:val="000000"/>
          <w:vertAlign w:val="superscript"/>
          <w:lang w:eastAsia="zh-CN"/>
        </w:rPr>
        <w:t>b</w:t>
      </w:r>
      <w:r>
        <w:rPr>
          <w:rFonts w:ascii="Book Antiqua" w:eastAsiaTheme="minorEastAsia" w:hAnsi="Book Antiqua" w:cs="Book Antiqua"/>
          <w:i/>
          <w:color w:val="000000"/>
          <w:lang w:eastAsia="zh-CN"/>
        </w:rPr>
        <w:t>P</w:t>
      </w:r>
      <w:proofErr w:type="spellEnd"/>
      <w:r>
        <w:rPr>
          <w:rFonts w:ascii="Book Antiqua" w:eastAsia="Book Antiqua" w:hAnsi="Book Antiqua" w:cs="Book Antiqua"/>
          <w:color w:val="000000"/>
          <w:lang w:eastAsia="zh-CN" w:bidi="ar"/>
        </w:rPr>
        <w:t xml:space="preserve"> &lt;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0.001</w:t>
      </w:r>
      <w:r>
        <w:rPr>
          <w:rFonts w:ascii="Book Antiqua" w:eastAsia="Book Antiqua" w:hAnsi="Book Antiqua" w:cs="Book Antiqua"/>
          <w:color w:val="000000"/>
          <w:lang w:eastAsia="zh-CN"/>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AS: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HE: </w:t>
      </w:r>
      <w:r>
        <w:rPr>
          <w:rFonts w:ascii="Book Antiqua" w:eastAsiaTheme="minorEastAsia" w:hAnsi="Book Antiqua" w:cs="Book Antiqua"/>
          <w:color w:val="000000"/>
          <w:lang w:eastAsia="zh-CN"/>
        </w:rPr>
        <w:t>H</w:t>
      </w:r>
      <w:r>
        <w:rPr>
          <w:rFonts w:ascii="Book Antiqua" w:eastAsia="Book Antiqua" w:hAnsi="Book Antiqua" w:cs="Book Antiqua"/>
          <w:color w:val="000000"/>
        </w:rPr>
        <w:t xml:space="preserve">ematoxylin eosin; MSC: </w:t>
      </w:r>
      <w:r>
        <w:rPr>
          <w:rFonts w:ascii="Book Antiqua" w:eastAsiaTheme="minorEastAsia" w:hAnsi="Book Antiqua" w:cs="Book Antiqua"/>
          <w:color w:val="000000"/>
          <w:lang w:eastAsia="zh-CN"/>
        </w:rPr>
        <w:t>M</w:t>
      </w:r>
      <w:r>
        <w:rPr>
          <w:rFonts w:ascii="Book Antiqua" w:eastAsia="Book Antiqua" w:hAnsi="Book Antiqua" w:cs="Book Antiqua"/>
          <w:color w:val="000000"/>
        </w:rPr>
        <w:t>esenchymal stem cell; ORO: Oil Red O.</w:t>
      </w:r>
    </w:p>
    <w:p w14:paraId="5D08810A" w14:textId="77777777" w:rsidR="00C4529E" w:rsidRDefault="009D6006">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r>
        <w:rPr>
          <w:rFonts w:ascii="Book Antiqua" w:hAnsi="Book Antiqua"/>
          <w:noProof/>
          <w:lang w:eastAsia="zh-CN"/>
        </w:rPr>
        <w:lastRenderedPageBreak/>
        <w:drawing>
          <wp:inline distT="0" distB="0" distL="0" distR="0" wp14:anchorId="4A0D3446" wp14:editId="779B3C77">
            <wp:extent cx="5966460" cy="25228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968577" cy="2523520"/>
                    </a:xfrm>
                    <a:prstGeom prst="rect">
                      <a:avLst/>
                    </a:prstGeom>
                  </pic:spPr>
                </pic:pic>
              </a:graphicData>
            </a:graphic>
          </wp:inline>
        </w:drawing>
      </w:r>
    </w:p>
    <w:p w14:paraId="2A4B4BFA" w14:textId="77777777" w:rsidR="00C4529E" w:rsidRDefault="009D6006">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5</w:t>
      </w:r>
      <w:r>
        <w:rPr>
          <w:rFonts w:ascii="Book Antiqua" w:eastAsiaTheme="minorEastAsia" w:hAnsi="Book Antiqua" w:cs="Book Antiqua"/>
          <w:b/>
          <w:color w:val="000000"/>
          <w:lang w:eastAsia="zh-CN"/>
        </w:rPr>
        <w:t xml:space="preserve"> M</w:t>
      </w:r>
      <w:r>
        <w:rPr>
          <w:rFonts w:ascii="Book Antiqua" w:eastAsia="Book Antiqua" w:hAnsi="Book Antiqua" w:cs="Book Antiqua"/>
          <w:b/>
          <w:color w:val="000000"/>
        </w:rPr>
        <w:t>esenchymal stem cell</w:t>
      </w:r>
      <w:r>
        <w:rPr>
          <w:rFonts w:ascii="Book Antiqua" w:eastAsia="Book Antiqua" w:hAnsi="Book Antiqua" w:cs="Book Antiqua"/>
          <w:b/>
          <w:bCs/>
          <w:color w:val="000000"/>
          <w:vertAlign w:val="superscript"/>
        </w:rPr>
        <w:t>ITGB3</w:t>
      </w:r>
      <w:r>
        <w:rPr>
          <w:rFonts w:ascii="Book Antiqua" w:eastAsiaTheme="minorEastAsia" w:hAnsi="Book Antiqua" w:cs="Book Antiqua"/>
          <w:b/>
          <w:bCs/>
          <w:color w:val="000000"/>
          <w:lang w:eastAsia="zh-CN"/>
        </w:rPr>
        <w:t xml:space="preserve"> </w:t>
      </w:r>
      <w:r>
        <w:rPr>
          <w:rFonts w:ascii="Book Antiqua" w:eastAsia="Book Antiqua" w:hAnsi="Book Antiqua" w:cs="Book Antiqua"/>
          <w:b/>
          <w:bCs/>
          <w:color w:val="000000"/>
        </w:rPr>
        <w:t>modulated cytokine expressions in an AS mouse model</w:t>
      </w:r>
      <w:r>
        <w:rPr>
          <w:rFonts w:ascii="Book Antiqua" w:eastAsia="Book Antiqua" w:hAnsi="Book Antiqua" w:cs="Book Antiqua"/>
          <w:b/>
          <w:color w:val="000000"/>
        </w:rPr>
        <w:t>.</w:t>
      </w:r>
      <w:r>
        <w:rPr>
          <w:rFonts w:ascii="Book Antiqua" w:eastAsiaTheme="minorEastAsia" w:hAnsi="Book Antiqua" w:cs="Book Antiqua"/>
          <w:b/>
          <w:color w:val="000000"/>
          <w:lang w:eastAsia="zh-CN"/>
        </w:rPr>
        <w:t xml:space="preserve"> </w:t>
      </w:r>
      <w:r>
        <w:rPr>
          <w:rFonts w:ascii="Book Antiqua" w:eastAsia="Book Antiqua" w:hAnsi="Book Antiqua" w:cs="Book Antiqua"/>
          <w:color w:val="000000"/>
        </w:rPr>
        <w:t xml:space="preserve">A: Serum pro-inflammatory factors </w:t>
      </w:r>
      <w:r>
        <w:rPr>
          <w:rFonts w:ascii="Book Antiqua" w:eastAsiaTheme="minorEastAsia" w:hAnsi="Book Antiqua" w:cs="Book Antiqua"/>
          <w:color w:val="000000"/>
          <w:lang w:eastAsia="zh-CN"/>
        </w:rPr>
        <w:t>t</w:t>
      </w:r>
      <w:r>
        <w:rPr>
          <w:rFonts w:ascii="Book Antiqua" w:eastAsia="Book Antiqua" w:hAnsi="Book Antiqua" w:cs="Book Antiqua"/>
          <w:color w:val="000000"/>
        </w:rPr>
        <w:t xml:space="preserve">umor necrosis factor </w:t>
      </w:r>
      <w:r>
        <w:rPr>
          <w:rFonts w:ascii="Book Antiqua" w:eastAsiaTheme="minorEastAsia" w:hAnsi="Book Antiqua" w:cs="Book Antiqua"/>
          <w:color w:val="000000"/>
          <w:lang w:eastAsia="zh-CN"/>
        </w:rPr>
        <w:t>(</w:t>
      </w:r>
      <w:r>
        <w:rPr>
          <w:rFonts w:ascii="Book Antiqua" w:eastAsia="Book Antiqua" w:hAnsi="Book Antiqua" w:cs="Book Antiqua"/>
          <w:color w:val="000000"/>
        </w:rPr>
        <w:t>TNF</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α,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nterleukin </w:t>
      </w:r>
      <w:r>
        <w:rPr>
          <w:rFonts w:ascii="Book Antiqua" w:eastAsiaTheme="minorEastAsia" w:hAnsi="Book Antiqua" w:cs="Book Antiqua"/>
          <w:color w:val="000000"/>
          <w:lang w:eastAsia="zh-CN"/>
        </w:rPr>
        <w:t>(</w:t>
      </w:r>
      <w:r>
        <w:rPr>
          <w:rFonts w:ascii="Book Antiqua" w:eastAsia="Book Antiqua" w:hAnsi="Book Antiqua" w:cs="Book Antiqua"/>
          <w:color w:val="000000"/>
        </w:rPr>
        <w:t>IL</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-1β, and IL-6 and anti-inflammatory factors IL-4, IL-10, and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factor-stimulated gene-6</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TSG-6</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l</w:t>
      </w:r>
      <w:r>
        <w:rPr>
          <w:rFonts w:ascii="Book Antiqua" w:eastAsia="Book Antiqua" w:hAnsi="Book Antiqua" w:cs="Book Antiqua"/>
          <w:color w:val="000000"/>
        </w:rPr>
        <w:t>evels measured using ELISA</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B: mRNA expression of pro-inflammatory factors TNFα, IL-1β, and IL-6 and anti-inflammatory factors IL-4, IL-10, and TSG-6 in aortic tissue, quantified using </w:t>
      </w:r>
      <w:r>
        <w:rPr>
          <w:rFonts w:ascii="Book Antiqua" w:eastAsiaTheme="minorEastAsia" w:hAnsi="Book Antiqua" w:cs="Book Antiqua"/>
          <w:color w:val="000000"/>
          <w:lang w:eastAsia="zh-CN"/>
        </w:rPr>
        <w:t>q</w:t>
      </w:r>
      <w:r>
        <w:rPr>
          <w:rFonts w:ascii="Book Antiqua" w:eastAsia="Book Antiqua" w:hAnsi="Book Antiqua" w:cs="Book Antiqua"/>
          <w:color w:val="000000"/>
        </w:rPr>
        <w:t>uantitative real-time polymerase chain reaction. Expression is shown relative to the expression of housekeeping genes (β-actin). All values are expressed as mean</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SEM. </w:t>
      </w:r>
      <w:proofErr w:type="spellStart"/>
      <w:r>
        <w:rPr>
          <w:rFonts w:ascii="Book Antiqua" w:eastAsiaTheme="minorEastAsia" w:hAnsi="Book Antiqua" w:cs="Book Antiqua"/>
          <w:color w:val="000000"/>
          <w:vertAlign w:val="superscript"/>
          <w:lang w:eastAsia="zh-CN"/>
        </w:rPr>
        <w:t>a</w:t>
      </w:r>
      <w:r>
        <w:rPr>
          <w:rFonts w:ascii="Book Antiqua" w:eastAsiaTheme="minorEastAsia" w:hAnsi="Book Antiqua" w:cs="Book Antiqua"/>
          <w:i/>
          <w:color w:val="000000"/>
          <w:lang w:eastAsia="zh-CN"/>
        </w:rPr>
        <w:t>P</w:t>
      </w:r>
      <w:proofErr w:type="spellEnd"/>
      <w:r>
        <w:rPr>
          <w:rFonts w:ascii="Book Antiqua" w:eastAsiaTheme="minorEastAsia" w:hAnsi="Book Antiqua" w:cs="Book Antiqua"/>
          <w:i/>
          <w:color w:val="000000"/>
          <w:lang w:eastAsia="zh-CN"/>
        </w:rPr>
        <w:t xml:space="preserve"> </w:t>
      </w:r>
      <w:r>
        <w:rPr>
          <w:rFonts w:ascii="Book Antiqua" w:eastAsia="Book Antiqua" w:hAnsi="Book Antiqua" w:cs="Book Antiqua"/>
          <w:color w:val="000000"/>
          <w:lang w:eastAsia="zh-CN" w:bidi="ar"/>
        </w:rPr>
        <w:t>&lt;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0.05,</w:t>
      </w:r>
      <w:r>
        <w:rPr>
          <w:rFonts w:ascii="Book Antiqua" w:eastAsiaTheme="minorEastAsia" w:hAnsi="Book Antiqua" w:cs="Book Antiqua"/>
          <w:color w:val="000000"/>
          <w:vertAlign w:val="superscript"/>
          <w:lang w:eastAsia="zh-CN"/>
        </w:rPr>
        <w:t xml:space="preserve"> </w:t>
      </w:r>
      <w:proofErr w:type="spellStart"/>
      <w:r>
        <w:rPr>
          <w:rFonts w:ascii="Book Antiqua" w:eastAsiaTheme="minorEastAsia" w:hAnsi="Book Antiqua" w:cs="Book Antiqua"/>
          <w:color w:val="000000"/>
          <w:vertAlign w:val="superscript"/>
          <w:lang w:eastAsia="zh-CN"/>
        </w:rPr>
        <w:t>b</w:t>
      </w:r>
      <w:r>
        <w:rPr>
          <w:rFonts w:ascii="Book Antiqua" w:eastAsiaTheme="minorEastAsia" w:hAnsi="Book Antiqua" w:cs="Book Antiqua"/>
          <w:i/>
          <w:color w:val="000000"/>
          <w:lang w:eastAsia="zh-CN"/>
        </w:rPr>
        <w:t>P</w:t>
      </w:r>
      <w:proofErr w:type="spellEnd"/>
      <w:r>
        <w:rPr>
          <w:rFonts w:ascii="Book Antiqua" w:eastAsia="Book Antiqua" w:hAnsi="Book Antiqua" w:cs="Book Antiqua"/>
          <w:color w:val="000000"/>
          <w:lang w:eastAsia="zh-CN" w:bidi="ar"/>
        </w:rPr>
        <w:t xml:space="preserve"> &lt;</w:t>
      </w:r>
      <w:r>
        <w:rPr>
          <w:rFonts w:ascii="Book Antiqua" w:eastAsiaTheme="minorEastAsia" w:hAnsi="Book Antiqua" w:cs="Book Antiqua"/>
          <w:color w:val="000000"/>
          <w:lang w:eastAsia="zh-CN" w:bidi="ar"/>
        </w:rPr>
        <w:t xml:space="preserve"> </w:t>
      </w:r>
      <w:r>
        <w:rPr>
          <w:rFonts w:ascii="Book Antiqua" w:eastAsia="Book Antiqua" w:hAnsi="Book Antiqua" w:cs="Book Antiqua"/>
          <w:color w:val="000000"/>
          <w:lang w:eastAsia="zh-CN" w:bidi="ar"/>
        </w:rPr>
        <w:t>0.001</w:t>
      </w:r>
      <w:r>
        <w:rPr>
          <w:rFonts w:ascii="Book Antiqua" w:eastAsia="Book Antiqua" w:hAnsi="Book Antiqua" w:cs="Book Antiqua"/>
          <w:color w:val="000000"/>
        </w:rPr>
        <w:t>.</w:t>
      </w:r>
      <w:r>
        <w:rPr>
          <w:rFonts w:ascii="Book Antiqua" w:eastAsiaTheme="minorEastAsia" w:hAnsi="Book Antiqua"/>
          <w:lang w:eastAsia="zh-CN"/>
        </w:rPr>
        <w:t xml:space="preserve"> </w:t>
      </w:r>
      <w:r>
        <w:rPr>
          <w:rFonts w:ascii="Book Antiqua" w:eastAsia="Book Antiqua" w:hAnsi="Book Antiqua" w:cs="Book Antiqua"/>
          <w:color w:val="000000"/>
        </w:rPr>
        <w:t xml:space="preserve">AS: </w:t>
      </w:r>
      <w:r>
        <w:rPr>
          <w:rFonts w:ascii="Book Antiqua" w:eastAsiaTheme="minorEastAsia" w:hAnsi="Book Antiqua" w:cs="Book Antiqua"/>
          <w:color w:val="000000"/>
          <w:lang w:eastAsia="zh-CN"/>
        </w:rPr>
        <w:t>A</w:t>
      </w:r>
      <w:r>
        <w:rPr>
          <w:rFonts w:ascii="Book Antiqua" w:eastAsia="Book Antiqua" w:hAnsi="Book Antiqua" w:cs="Book Antiqua"/>
          <w:color w:val="000000"/>
        </w:rPr>
        <w:t xml:space="preserve">therosclerotic; ELISA: </w:t>
      </w:r>
      <w:r>
        <w:rPr>
          <w:rFonts w:ascii="Book Antiqua" w:eastAsiaTheme="minorEastAsia" w:hAnsi="Book Antiqua" w:cs="Book Antiqua"/>
          <w:color w:val="000000"/>
          <w:lang w:eastAsia="zh-CN"/>
        </w:rPr>
        <w:t>E</w:t>
      </w:r>
      <w:r>
        <w:rPr>
          <w:rFonts w:ascii="Book Antiqua" w:eastAsia="Book Antiqua" w:hAnsi="Book Antiqua" w:cs="Book Antiqua"/>
          <w:color w:val="000000"/>
        </w:rPr>
        <w:t>nzyme-linked immunosorbent assay; IL</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color w:val="000000"/>
          <w:lang w:eastAsia="zh-CN"/>
        </w:rPr>
        <w:t>I</w:t>
      </w:r>
      <w:r>
        <w:rPr>
          <w:rFonts w:ascii="Book Antiqua" w:eastAsia="Book Antiqua" w:hAnsi="Book Antiqua" w:cs="Book Antiqua"/>
          <w:color w:val="000000"/>
        </w:rPr>
        <w:t xml:space="preserve">nterleukin; MSC: </w:t>
      </w:r>
      <w:r>
        <w:rPr>
          <w:rFonts w:ascii="Book Antiqua" w:eastAsiaTheme="minorEastAsia" w:hAnsi="Book Antiqua" w:cs="Book Antiqua"/>
          <w:color w:val="000000"/>
          <w:lang w:eastAsia="zh-CN"/>
        </w:rPr>
        <w:t>M</w:t>
      </w:r>
      <w:r>
        <w:rPr>
          <w:rFonts w:ascii="Book Antiqua" w:eastAsia="Book Antiqua" w:hAnsi="Book Antiqua" w:cs="Book Antiqua"/>
          <w:color w:val="000000"/>
        </w:rPr>
        <w:t xml:space="preserve">esenchymal stem cell;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t>
      </w:r>
      <w:r>
        <w:rPr>
          <w:rFonts w:ascii="Book Antiqua" w:eastAsiaTheme="minorEastAsia" w:hAnsi="Book Antiqua" w:cs="Book Antiqua"/>
          <w:color w:val="000000"/>
          <w:lang w:eastAsia="zh-CN"/>
        </w:rPr>
        <w:t>Q</w:t>
      </w:r>
      <w:r>
        <w:rPr>
          <w:rFonts w:ascii="Book Antiqua" w:eastAsia="Book Antiqua" w:hAnsi="Book Antiqua" w:cs="Book Antiqua"/>
          <w:color w:val="000000"/>
        </w:rPr>
        <w:t xml:space="preserve">uantitative real-time polymerase chain reaction; SEM: </w:t>
      </w:r>
      <w:r>
        <w:rPr>
          <w:rFonts w:ascii="Book Antiqua" w:eastAsiaTheme="minorEastAsia" w:hAnsi="Book Antiqua" w:cs="Book Antiqua"/>
          <w:color w:val="000000"/>
          <w:lang w:eastAsia="zh-CN"/>
        </w:rPr>
        <w:t>S</w:t>
      </w:r>
      <w:r>
        <w:rPr>
          <w:rFonts w:ascii="Book Antiqua" w:eastAsia="Book Antiqua" w:hAnsi="Book Antiqua" w:cs="Book Antiqua"/>
          <w:color w:val="000000"/>
        </w:rPr>
        <w:t xml:space="preserve">tandard error of the mean; TNF-α: </w:t>
      </w:r>
      <w:r>
        <w:rPr>
          <w:rFonts w:ascii="Book Antiqua" w:eastAsiaTheme="minorEastAsia" w:hAnsi="Book Antiqua" w:cs="Book Antiqua"/>
          <w:color w:val="000000"/>
          <w:lang w:eastAsia="zh-CN"/>
        </w:rPr>
        <w:t>T</w:t>
      </w:r>
      <w:r>
        <w:rPr>
          <w:rFonts w:ascii="Book Antiqua" w:eastAsia="Book Antiqua" w:hAnsi="Book Antiqua" w:cs="Book Antiqua"/>
          <w:color w:val="000000"/>
        </w:rPr>
        <w:t xml:space="preserve">umor necrosis factor-a; TSG-6: </w:t>
      </w:r>
      <w:r>
        <w:rPr>
          <w:rFonts w:ascii="Book Antiqua" w:eastAsiaTheme="minorEastAsia" w:hAnsi="Book Antiqua" w:cs="Book Antiqua"/>
          <w:color w:val="000000"/>
          <w:lang w:eastAsia="zh-CN"/>
        </w:rPr>
        <w:t>T</w:t>
      </w:r>
      <w:r>
        <w:rPr>
          <w:rFonts w:ascii="Book Antiqua" w:eastAsia="Book Antiqua" w:hAnsi="Book Antiqua" w:cs="Book Antiqua"/>
          <w:color w:val="000000"/>
        </w:rPr>
        <w:t>umor necrosis factor-stimulated gene-6.</w:t>
      </w:r>
    </w:p>
    <w:p w14:paraId="25AE8C84" w14:textId="77777777" w:rsidR="00C4529E" w:rsidRDefault="00C4529E">
      <w:pPr>
        <w:spacing w:line="360" w:lineRule="auto"/>
        <w:jc w:val="both"/>
        <w:rPr>
          <w:rFonts w:ascii="Book Antiqua" w:eastAsiaTheme="minorEastAsia" w:hAnsi="Book Antiqua"/>
          <w:lang w:eastAsia="zh-CN"/>
        </w:rPr>
      </w:pPr>
    </w:p>
    <w:sectPr w:rsidR="00C452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B9A1" w14:textId="77777777" w:rsidR="00803F8F" w:rsidRDefault="00803F8F">
      <w:r>
        <w:separator/>
      </w:r>
    </w:p>
  </w:endnote>
  <w:endnote w:type="continuationSeparator" w:id="0">
    <w:p w14:paraId="2F9FF37C" w14:textId="77777777" w:rsidR="00803F8F" w:rsidRDefault="0080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5387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5E0B45ED" w14:textId="77777777" w:rsidR="00C4529E" w:rsidRDefault="009D600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70CE5">
              <w:rPr>
                <w:rFonts w:ascii="Book Antiqua" w:hAnsi="Book Antiqua"/>
                <w:b/>
                <w:bCs/>
                <w:noProof/>
                <w:sz w:val="24"/>
                <w:szCs w:val="24"/>
              </w:rPr>
              <w:t>38</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70CE5">
              <w:rPr>
                <w:rFonts w:ascii="Book Antiqua" w:hAnsi="Book Antiqua"/>
                <w:b/>
                <w:bCs/>
                <w:noProof/>
                <w:sz w:val="24"/>
                <w:szCs w:val="24"/>
              </w:rPr>
              <w:t>38</w:t>
            </w:r>
            <w:r>
              <w:rPr>
                <w:rFonts w:ascii="Book Antiqua" w:hAnsi="Book Antiqua"/>
                <w:b/>
                <w:bCs/>
                <w:sz w:val="24"/>
                <w:szCs w:val="24"/>
              </w:rPr>
              <w:fldChar w:fldCharType="end"/>
            </w:r>
          </w:p>
        </w:sdtContent>
      </w:sdt>
    </w:sdtContent>
  </w:sdt>
  <w:p w14:paraId="71868137" w14:textId="77777777" w:rsidR="00C4529E" w:rsidRDefault="00C452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5D4B1" w14:textId="77777777" w:rsidR="00803F8F" w:rsidRDefault="00803F8F">
      <w:r>
        <w:separator/>
      </w:r>
    </w:p>
  </w:footnote>
  <w:footnote w:type="continuationSeparator" w:id="0">
    <w:p w14:paraId="782F6DAA" w14:textId="77777777" w:rsidR="00803F8F" w:rsidRDefault="00803F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B4BC21F6"/>
    <w:rsid w:val="CF7BF643"/>
    <w:rsid w:val="D7D75A04"/>
    <w:rsid w:val="E5F7DB13"/>
    <w:rsid w:val="EAFF2549"/>
    <w:rsid w:val="EFF7C0E3"/>
    <w:rsid w:val="F4FFECA3"/>
    <w:rsid w:val="F6E9F467"/>
    <w:rsid w:val="FFFC5951"/>
    <w:rsid w:val="0002583C"/>
    <w:rsid w:val="00043575"/>
    <w:rsid w:val="00074228"/>
    <w:rsid w:val="00085763"/>
    <w:rsid w:val="000B1E9B"/>
    <w:rsid w:val="000B42D1"/>
    <w:rsid w:val="000B7C54"/>
    <w:rsid w:val="000C7F09"/>
    <w:rsid w:val="000F22E2"/>
    <w:rsid w:val="00104AD0"/>
    <w:rsid w:val="00110E7E"/>
    <w:rsid w:val="00121ADC"/>
    <w:rsid w:val="00155214"/>
    <w:rsid w:val="00170A6C"/>
    <w:rsid w:val="0017263D"/>
    <w:rsid w:val="001925AF"/>
    <w:rsid w:val="00194152"/>
    <w:rsid w:val="001C67FE"/>
    <w:rsid w:val="001E3956"/>
    <w:rsid w:val="001F7F40"/>
    <w:rsid w:val="00204D89"/>
    <w:rsid w:val="00214D10"/>
    <w:rsid w:val="002163D1"/>
    <w:rsid w:val="00217013"/>
    <w:rsid w:val="00242A66"/>
    <w:rsid w:val="00275559"/>
    <w:rsid w:val="00275BE5"/>
    <w:rsid w:val="00283D4B"/>
    <w:rsid w:val="00296E2B"/>
    <w:rsid w:val="002D4DEB"/>
    <w:rsid w:val="002F5479"/>
    <w:rsid w:val="00333080"/>
    <w:rsid w:val="003370E0"/>
    <w:rsid w:val="00361033"/>
    <w:rsid w:val="00383403"/>
    <w:rsid w:val="003A4523"/>
    <w:rsid w:val="003A7A10"/>
    <w:rsid w:val="003B4564"/>
    <w:rsid w:val="003C1E9B"/>
    <w:rsid w:val="00405B91"/>
    <w:rsid w:val="00413D14"/>
    <w:rsid w:val="00436A3A"/>
    <w:rsid w:val="00447B1E"/>
    <w:rsid w:val="00463B40"/>
    <w:rsid w:val="004809AD"/>
    <w:rsid w:val="00482CD1"/>
    <w:rsid w:val="004B65AE"/>
    <w:rsid w:val="004C6235"/>
    <w:rsid w:val="004D39CC"/>
    <w:rsid w:val="005340BD"/>
    <w:rsid w:val="005526BD"/>
    <w:rsid w:val="00553A7E"/>
    <w:rsid w:val="00595F56"/>
    <w:rsid w:val="00601103"/>
    <w:rsid w:val="006018DF"/>
    <w:rsid w:val="00640F3E"/>
    <w:rsid w:val="00676510"/>
    <w:rsid w:val="0068686D"/>
    <w:rsid w:val="006D530B"/>
    <w:rsid w:val="006D5A6D"/>
    <w:rsid w:val="006E5D32"/>
    <w:rsid w:val="007111E9"/>
    <w:rsid w:val="00770CE5"/>
    <w:rsid w:val="0077484F"/>
    <w:rsid w:val="00775DD0"/>
    <w:rsid w:val="00777419"/>
    <w:rsid w:val="00782119"/>
    <w:rsid w:val="00783790"/>
    <w:rsid w:val="007968A9"/>
    <w:rsid w:val="007A0035"/>
    <w:rsid w:val="007D57D4"/>
    <w:rsid w:val="007F1F09"/>
    <w:rsid w:val="007F7DB5"/>
    <w:rsid w:val="00803F8F"/>
    <w:rsid w:val="00806AB1"/>
    <w:rsid w:val="00811AEE"/>
    <w:rsid w:val="00814B08"/>
    <w:rsid w:val="00862889"/>
    <w:rsid w:val="008634D1"/>
    <w:rsid w:val="0088298D"/>
    <w:rsid w:val="008B75FE"/>
    <w:rsid w:val="008C45CB"/>
    <w:rsid w:val="0090018B"/>
    <w:rsid w:val="00901F36"/>
    <w:rsid w:val="00902E3C"/>
    <w:rsid w:val="009168A4"/>
    <w:rsid w:val="009338AC"/>
    <w:rsid w:val="009651F1"/>
    <w:rsid w:val="00970065"/>
    <w:rsid w:val="00987697"/>
    <w:rsid w:val="00993EED"/>
    <w:rsid w:val="009D6006"/>
    <w:rsid w:val="009F705C"/>
    <w:rsid w:val="00A11119"/>
    <w:rsid w:val="00A50538"/>
    <w:rsid w:val="00A61A82"/>
    <w:rsid w:val="00A661F9"/>
    <w:rsid w:val="00A757FF"/>
    <w:rsid w:val="00A76F6F"/>
    <w:rsid w:val="00A77B3E"/>
    <w:rsid w:val="00A86D7A"/>
    <w:rsid w:val="00A91365"/>
    <w:rsid w:val="00AE4458"/>
    <w:rsid w:val="00B038E9"/>
    <w:rsid w:val="00B15FD8"/>
    <w:rsid w:val="00B564A2"/>
    <w:rsid w:val="00B70F29"/>
    <w:rsid w:val="00B813AA"/>
    <w:rsid w:val="00B96445"/>
    <w:rsid w:val="00BA7EC8"/>
    <w:rsid w:val="00BB3C77"/>
    <w:rsid w:val="00BD495C"/>
    <w:rsid w:val="00C20505"/>
    <w:rsid w:val="00C22680"/>
    <w:rsid w:val="00C37537"/>
    <w:rsid w:val="00C4529E"/>
    <w:rsid w:val="00C868CC"/>
    <w:rsid w:val="00CA21F7"/>
    <w:rsid w:val="00CA2A55"/>
    <w:rsid w:val="00CB1B64"/>
    <w:rsid w:val="00D53300"/>
    <w:rsid w:val="00D67355"/>
    <w:rsid w:val="00D72DC8"/>
    <w:rsid w:val="00DA11EE"/>
    <w:rsid w:val="00DA6350"/>
    <w:rsid w:val="00DD0CD1"/>
    <w:rsid w:val="00DD6327"/>
    <w:rsid w:val="00E00032"/>
    <w:rsid w:val="00E10146"/>
    <w:rsid w:val="00E20568"/>
    <w:rsid w:val="00E23852"/>
    <w:rsid w:val="00E23ED7"/>
    <w:rsid w:val="00E27EAF"/>
    <w:rsid w:val="00E570BF"/>
    <w:rsid w:val="00E57F66"/>
    <w:rsid w:val="00E66D53"/>
    <w:rsid w:val="00EA7107"/>
    <w:rsid w:val="00EF725E"/>
    <w:rsid w:val="00F0371A"/>
    <w:rsid w:val="00F37762"/>
    <w:rsid w:val="00F437DC"/>
    <w:rsid w:val="00F44C88"/>
    <w:rsid w:val="00F97811"/>
    <w:rsid w:val="00FC6C0A"/>
    <w:rsid w:val="00FF67E6"/>
    <w:rsid w:val="14E47130"/>
    <w:rsid w:val="36FE47B2"/>
    <w:rsid w:val="3B3FB020"/>
    <w:rsid w:val="3FFF284A"/>
    <w:rsid w:val="5BB7D436"/>
    <w:rsid w:val="5D3863BE"/>
    <w:rsid w:val="5F85EC66"/>
    <w:rsid w:val="77FF9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18A73"/>
  <w15:docId w15:val="{AF75AA9F-0643-477D-84A7-F8574177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rPr>
      <w:rFonts w:eastAsia="Times New Roman"/>
      <w:sz w:val="18"/>
      <w:szCs w:val="18"/>
      <w:lang w:eastAsia="en-US"/>
    </w:rPr>
  </w:style>
  <w:style w:type="character" w:customStyle="1" w:styleId="a6">
    <w:name w:val="批注框文本 字符"/>
    <w:basedOn w:val="a0"/>
    <w:link w:val="a5"/>
    <w:rPr>
      <w:rFonts w:eastAsia="Times New Roman"/>
      <w:sz w:val="18"/>
      <w:szCs w:val="18"/>
      <w:lang w:eastAsia="en-US"/>
    </w:rPr>
  </w:style>
  <w:style w:type="character" w:customStyle="1" w:styleId="dxdefaultcursor">
    <w:name w:val="dxdefaultcursor"/>
    <w:basedOn w:val="a0"/>
  </w:style>
  <w:style w:type="character" w:customStyle="1" w:styleId="a4">
    <w:name w:val="批注文字 字符"/>
    <w:basedOn w:val="a0"/>
    <w:link w:val="a3"/>
    <w:rPr>
      <w:rFonts w:eastAsia="Times New Roman"/>
      <w:sz w:val="24"/>
      <w:szCs w:val="24"/>
      <w:lang w:eastAsia="en-US"/>
    </w:rPr>
  </w:style>
  <w:style w:type="character" w:customStyle="1" w:styleId="ac">
    <w:name w:val="批注主题 字符"/>
    <w:basedOn w:val="a4"/>
    <w:link w:val="ab"/>
    <w:rPr>
      <w:rFonts w:eastAsia="Times New Roman"/>
      <w:b/>
      <w:bCs/>
      <w:sz w:val="24"/>
      <w:szCs w:val="24"/>
      <w:lang w:eastAsia="en-US"/>
    </w:rPr>
  </w:style>
  <w:style w:type="paragraph" w:styleId="ae">
    <w:name w:val="Revision"/>
    <w:hidden/>
    <w:uiPriority w:val="99"/>
    <w:unhideWhenUsed/>
    <w:rsid w:val="008C45CB"/>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22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8769</Words>
  <Characters>49984</Characters>
  <Application>Microsoft Office Word</Application>
  <DocSecurity>0</DocSecurity>
  <Lines>416</Lines>
  <Paragraphs>117</Paragraphs>
  <ScaleCrop>false</ScaleCrop>
  <Company>微软中国</Company>
  <LinksUpToDate>false</LinksUpToDate>
  <CharactersWithSpaces>58636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Wang Jin-Lei</cp:lastModifiedBy>
  <cp:revision>10</cp:revision>
  <dcterms:created xsi:type="dcterms:W3CDTF">2023-07-08T15:44:00Z</dcterms:created>
  <dcterms:modified xsi:type="dcterms:W3CDTF">2023-08-23T08:25:00Z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12872265CC2A743744C4A7646DFCC181_42</vt:lpwstr>
  </property>
</Properties>
</file>