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70E0"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rPr>
        <w:t xml:space="preserve">Name of Journal: </w:t>
      </w:r>
      <w:r w:rsidRPr="005B36A0">
        <w:rPr>
          <w:rFonts w:ascii="Book Antiqua" w:eastAsia="Book Antiqua" w:hAnsi="Book Antiqua" w:cs="Book Antiqua"/>
          <w:i/>
        </w:rPr>
        <w:t>World Journal of Clinical Cases</w:t>
      </w:r>
    </w:p>
    <w:p w14:paraId="59C607BB"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rPr>
        <w:t xml:space="preserve">Manuscript NO: </w:t>
      </w:r>
      <w:r w:rsidRPr="005B36A0">
        <w:rPr>
          <w:rFonts w:ascii="Book Antiqua" w:eastAsia="Book Antiqua" w:hAnsi="Book Antiqua" w:cs="Book Antiqua"/>
        </w:rPr>
        <w:t>86668</w:t>
      </w:r>
    </w:p>
    <w:p w14:paraId="1D238048"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rPr>
        <w:t xml:space="preserve">Manuscript Type: </w:t>
      </w:r>
      <w:r w:rsidRPr="005B36A0">
        <w:rPr>
          <w:rFonts w:ascii="Book Antiqua" w:eastAsia="Book Antiqua" w:hAnsi="Book Antiqua" w:cs="Book Antiqua"/>
        </w:rPr>
        <w:t>CASE REPORT</w:t>
      </w:r>
    </w:p>
    <w:p w14:paraId="75FCFA7B" w14:textId="77777777" w:rsidR="00A77B3E" w:rsidRPr="005B36A0" w:rsidRDefault="00A77B3E" w:rsidP="005B36A0">
      <w:pPr>
        <w:spacing w:line="360" w:lineRule="auto"/>
        <w:jc w:val="both"/>
        <w:rPr>
          <w:rFonts w:ascii="Book Antiqua" w:hAnsi="Book Antiqua"/>
        </w:rPr>
      </w:pPr>
    </w:p>
    <w:p w14:paraId="052246F6"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color w:val="000000"/>
        </w:rPr>
        <w:t xml:space="preserve">Treatment of </w:t>
      </w:r>
      <w:r w:rsidR="00A601BD" w:rsidRPr="005B36A0">
        <w:rPr>
          <w:rFonts w:ascii="Book Antiqua" w:eastAsia="Book Antiqua" w:hAnsi="Book Antiqua" w:cs="Book Antiqua"/>
          <w:b/>
          <w:bCs/>
          <w:color w:val="000000"/>
        </w:rPr>
        <w:t>posterior interosseous nerve entrapment syndrome with ultrasound-guided hydrodissection:</w:t>
      </w:r>
      <w:r w:rsidRPr="005B36A0">
        <w:rPr>
          <w:rFonts w:ascii="Book Antiqua" w:eastAsia="Book Antiqua" w:hAnsi="Book Antiqua" w:cs="Book Antiqua"/>
          <w:b/>
          <w:bCs/>
          <w:color w:val="000000"/>
        </w:rPr>
        <w:t xml:space="preserve"> </w:t>
      </w:r>
      <w:r w:rsidR="00E3193E" w:rsidRPr="005B36A0">
        <w:rPr>
          <w:rFonts w:ascii="Book Antiqua" w:eastAsia="Book Antiqua" w:hAnsi="Book Antiqua" w:cs="Book Antiqua"/>
          <w:b/>
          <w:bCs/>
          <w:color w:val="000000"/>
        </w:rPr>
        <w:t>A case report</w:t>
      </w:r>
    </w:p>
    <w:p w14:paraId="0F08EBAA" w14:textId="77777777" w:rsidR="00A77B3E" w:rsidRPr="005B36A0" w:rsidRDefault="00A77B3E" w:rsidP="005B36A0">
      <w:pPr>
        <w:spacing w:line="360" w:lineRule="auto"/>
        <w:jc w:val="both"/>
        <w:rPr>
          <w:rFonts w:ascii="Book Antiqua" w:hAnsi="Book Antiqua"/>
        </w:rPr>
      </w:pPr>
    </w:p>
    <w:p w14:paraId="6445973F" w14:textId="77777777" w:rsidR="00A77B3E" w:rsidRPr="005B36A0" w:rsidRDefault="00EE6A2D" w:rsidP="005B36A0">
      <w:pPr>
        <w:spacing w:line="360" w:lineRule="auto"/>
        <w:jc w:val="both"/>
        <w:rPr>
          <w:rFonts w:ascii="Book Antiqua" w:hAnsi="Book Antiqua"/>
        </w:rPr>
      </w:pPr>
      <w:r w:rsidRPr="005B36A0">
        <w:rPr>
          <w:rFonts w:ascii="Book Antiqua" w:eastAsia="Book Antiqua" w:hAnsi="Book Antiqua" w:cs="Book Antiqua"/>
          <w:color w:val="000000"/>
        </w:rPr>
        <w:t xml:space="preserve">Qin LH </w:t>
      </w:r>
      <w:r w:rsidRPr="005B36A0">
        <w:rPr>
          <w:rFonts w:ascii="Book Antiqua" w:eastAsia="Book Antiqua" w:hAnsi="Book Antiqua" w:cs="Book Antiqua"/>
          <w:i/>
          <w:color w:val="000000"/>
        </w:rPr>
        <w:t>et al</w:t>
      </w:r>
      <w:r w:rsidRPr="005B36A0">
        <w:rPr>
          <w:rFonts w:ascii="Book Antiqua" w:eastAsia="Book Antiqua" w:hAnsi="Book Antiqua" w:cs="Book Antiqua"/>
          <w:color w:val="000000"/>
        </w:rPr>
        <w:t xml:space="preserve">. </w:t>
      </w:r>
      <w:r w:rsidR="00776E9A" w:rsidRPr="005B36A0">
        <w:rPr>
          <w:rFonts w:ascii="Book Antiqua" w:eastAsia="Book Antiqua" w:hAnsi="Book Antiqua" w:cs="Book Antiqua"/>
          <w:color w:val="000000"/>
        </w:rPr>
        <w:t xml:space="preserve">Nerve </w:t>
      </w:r>
      <w:r w:rsidR="00B71C2C" w:rsidRPr="005B36A0">
        <w:rPr>
          <w:rFonts w:ascii="Book Antiqua" w:eastAsia="Book Antiqua" w:hAnsi="Book Antiqua" w:cs="Book Antiqua"/>
          <w:color w:val="000000"/>
        </w:rPr>
        <w:t xml:space="preserve">hydrodissection </w:t>
      </w:r>
      <w:r w:rsidR="00776E9A" w:rsidRPr="005B36A0">
        <w:rPr>
          <w:rFonts w:ascii="Book Antiqua" w:eastAsia="Book Antiqua" w:hAnsi="Book Antiqua" w:cs="Book Antiqua"/>
          <w:color w:val="000000"/>
        </w:rPr>
        <w:t>for PIN entrapment syndrome</w:t>
      </w:r>
    </w:p>
    <w:p w14:paraId="5CC83875" w14:textId="77777777" w:rsidR="00A77B3E" w:rsidRPr="005B36A0" w:rsidRDefault="00A77B3E" w:rsidP="005B36A0">
      <w:pPr>
        <w:spacing w:line="360" w:lineRule="auto"/>
        <w:jc w:val="both"/>
        <w:rPr>
          <w:rFonts w:ascii="Book Antiqua" w:hAnsi="Book Antiqua"/>
        </w:rPr>
      </w:pPr>
    </w:p>
    <w:p w14:paraId="082AC1EA" w14:textId="77777777" w:rsidR="00A77B3E" w:rsidRPr="005B36A0" w:rsidRDefault="008E7B34" w:rsidP="005B36A0">
      <w:pPr>
        <w:spacing w:line="360" w:lineRule="auto"/>
        <w:jc w:val="both"/>
        <w:rPr>
          <w:rFonts w:ascii="Book Antiqua" w:hAnsi="Book Antiqua"/>
        </w:rPr>
      </w:pPr>
      <w:r w:rsidRPr="005B36A0">
        <w:rPr>
          <w:rFonts w:ascii="Book Antiqua" w:eastAsia="Book Antiqua" w:hAnsi="Book Antiqua" w:cs="Book Antiqua"/>
          <w:color w:val="000000"/>
        </w:rPr>
        <w:t>Lan-Hui Qin, Wan Cao, Fei-Tong Chen, Qi-Bo Chen, Xi-Xia</w:t>
      </w:r>
      <w:r w:rsidR="00776E9A" w:rsidRPr="005B36A0">
        <w:rPr>
          <w:rFonts w:ascii="Book Antiqua" w:eastAsia="Book Antiqua" w:hAnsi="Book Antiqua" w:cs="Book Antiqua"/>
          <w:color w:val="000000"/>
        </w:rPr>
        <w:t xml:space="preserve"> Liu</w:t>
      </w:r>
    </w:p>
    <w:p w14:paraId="6B5DE694" w14:textId="77777777" w:rsidR="00A77B3E" w:rsidRPr="005B36A0" w:rsidRDefault="00A77B3E" w:rsidP="005B36A0">
      <w:pPr>
        <w:spacing w:line="360" w:lineRule="auto"/>
        <w:jc w:val="both"/>
        <w:rPr>
          <w:rFonts w:ascii="Book Antiqua" w:hAnsi="Book Antiqua"/>
        </w:rPr>
      </w:pPr>
    </w:p>
    <w:p w14:paraId="0C639AEE" w14:textId="77777777" w:rsidR="00A77B3E" w:rsidRPr="005B36A0" w:rsidRDefault="00A635A6" w:rsidP="005B36A0">
      <w:pPr>
        <w:spacing w:line="360" w:lineRule="auto"/>
        <w:jc w:val="both"/>
        <w:rPr>
          <w:rFonts w:ascii="Book Antiqua" w:hAnsi="Book Antiqua"/>
        </w:rPr>
      </w:pPr>
      <w:r w:rsidRPr="005B36A0">
        <w:rPr>
          <w:rFonts w:ascii="Book Antiqua" w:eastAsia="Book Antiqua" w:hAnsi="Book Antiqua" w:cs="Book Antiqua"/>
          <w:b/>
          <w:color w:val="000000"/>
        </w:rPr>
        <w:t>Lan-Hui Qin, Wan Cao, Fei-Tong Chen, Qi-Bo Chen, Xi-Xia Liu</w:t>
      </w:r>
      <w:r w:rsidRPr="005B36A0">
        <w:rPr>
          <w:rFonts w:ascii="Book Antiqua" w:eastAsia="Book Antiqua" w:hAnsi="Book Antiqua" w:cs="Book Antiqua"/>
          <w:b/>
          <w:bCs/>
          <w:color w:val="000000"/>
        </w:rPr>
        <w:t xml:space="preserve">, </w:t>
      </w:r>
      <w:r w:rsidR="00776E9A" w:rsidRPr="005B36A0">
        <w:rPr>
          <w:rFonts w:ascii="Book Antiqua" w:eastAsia="Book Antiqua" w:hAnsi="Book Antiqua" w:cs="Book Antiqua"/>
          <w:color w:val="000000"/>
        </w:rPr>
        <w:t xml:space="preserve">Department of Rehebalitation Medicine, The </w:t>
      </w:r>
      <w:r w:rsidR="006D55FA" w:rsidRPr="005B36A0">
        <w:rPr>
          <w:rFonts w:ascii="Book Antiqua" w:eastAsia="Book Antiqua" w:hAnsi="Book Antiqua" w:cs="Book Antiqua"/>
          <w:color w:val="000000"/>
        </w:rPr>
        <w:t xml:space="preserve">People's </w:t>
      </w:r>
      <w:r w:rsidR="007F2692" w:rsidRPr="005B36A0">
        <w:rPr>
          <w:rFonts w:ascii="Book Antiqua" w:eastAsia="Book Antiqua" w:hAnsi="Book Antiqua" w:cs="Book Antiqua"/>
          <w:color w:val="000000"/>
        </w:rPr>
        <w:t xml:space="preserve">Hospital </w:t>
      </w:r>
      <w:r w:rsidR="00776E9A" w:rsidRPr="005B36A0">
        <w:rPr>
          <w:rFonts w:ascii="Book Antiqua" w:eastAsia="Book Antiqua" w:hAnsi="Book Antiqua" w:cs="Book Antiqua"/>
          <w:color w:val="000000"/>
        </w:rPr>
        <w:t xml:space="preserve">of Guangxi Zhuang Autonomous Region, Nanning 530021, </w:t>
      </w:r>
      <w:bookmarkStart w:id="0" w:name="OLE_LINK1"/>
      <w:bookmarkStart w:id="1" w:name="OLE_LINK2"/>
      <w:r w:rsidR="00986565" w:rsidRPr="005B36A0">
        <w:rPr>
          <w:rFonts w:ascii="Book Antiqua" w:eastAsia="Book Antiqua" w:hAnsi="Book Antiqua" w:cs="Book Antiqua"/>
          <w:color w:val="000000"/>
        </w:rPr>
        <w:t>Guangxi Zhuang Autonomous Region</w:t>
      </w:r>
      <w:bookmarkEnd w:id="0"/>
      <w:bookmarkEnd w:id="1"/>
      <w:r w:rsidR="00986565" w:rsidRPr="005B36A0">
        <w:rPr>
          <w:rFonts w:ascii="Book Antiqua" w:eastAsia="Book Antiqua" w:hAnsi="Book Antiqua" w:cs="Book Antiqua"/>
          <w:color w:val="000000"/>
        </w:rPr>
        <w:t xml:space="preserve">, </w:t>
      </w:r>
      <w:r w:rsidR="00776E9A" w:rsidRPr="005B36A0">
        <w:rPr>
          <w:rFonts w:ascii="Book Antiqua" w:eastAsia="Book Antiqua" w:hAnsi="Book Antiqua" w:cs="Book Antiqua"/>
          <w:color w:val="000000"/>
        </w:rPr>
        <w:t>China</w:t>
      </w:r>
    </w:p>
    <w:p w14:paraId="643B43F2" w14:textId="77777777" w:rsidR="00A77B3E" w:rsidRPr="005B36A0" w:rsidRDefault="00A77B3E" w:rsidP="005B36A0">
      <w:pPr>
        <w:spacing w:line="360" w:lineRule="auto"/>
        <w:jc w:val="both"/>
        <w:rPr>
          <w:rFonts w:ascii="Book Antiqua" w:hAnsi="Book Antiqua"/>
        </w:rPr>
      </w:pPr>
    </w:p>
    <w:p w14:paraId="50AA908D"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color w:val="000000"/>
        </w:rPr>
        <w:t xml:space="preserve">Author contributions: </w:t>
      </w:r>
      <w:r w:rsidR="00272D79" w:rsidRPr="005B36A0">
        <w:rPr>
          <w:rFonts w:ascii="Book Antiqua" w:eastAsia="Book Antiqua" w:hAnsi="Book Antiqua" w:cs="Book Antiqua"/>
          <w:color w:val="000000"/>
        </w:rPr>
        <w:t xml:space="preserve">Qin </w:t>
      </w:r>
      <w:r w:rsidRPr="005B36A0">
        <w:rPr>
          <w:rFonts w:ascii="Book Antiqua" w:eastAsia="Book Antiqua" w:hAnsi="Book Antiqua" w:cs="Book Antiqua"/>
          <w:color w:val="000000"/>
        </w:rPr>
        <w:t>L</w:t>
      </w:r>
      <w:r w:rsidR="00272D79" w:rsidRPr="005B36A0">
        <w:rPr>
          <w:rFonts w:ascii="Book Antiqua" w:eastAsia="Book Antiqua" w:hAnsi="Book Antiqua" w:cs="Book Antiqua"/>
          <w:color w:val="000000"/>
        </w:rPr>
        <w:t xml:space="preserve">H </w:t>
      </w:r>
      <w:r w:rsidRPr="005B36A0">
        <w:rPr>
          <w:rFonts w:ascii="Book Antiqua" w:eastAsia="Book Antiqua" w:hAnsi="Book Antiqua" w:cs="Book Antiqua"/>
          <w:color w:val="000000"/>
        </w:rPr>
        <w:t>was a major contributor in writing the manuscript;</w:t>
      </w:r>
      <w:r w:rsidR="0082067E" w:rsidRPr="005B36A0">
        <w:rPr>
          <w:rFonts w:ascii="Book Antiqua" w:hAnsi="Book Antiqua"/>
          <w:lang w:eastAsia="zh-CN"/>
        </w:rPr>
        <w:t xml:space="preserve"> </w:t>
      </w:r>
      <w:r w:rsidRPr="005B36A0">
        <w:rPr>
          <w:rFonts w:ascii="Book Antiqua" w:eastAsia="Book Antiqua" w:hAnsi="Book Antiqua" w:cs="Book Antiqua"/>
          <w:color w:val="000000"/>
        </w:rPr>
        <w:t>Cao</w:t>
      </w:r>
      <w:r w:rsidR="0082067E" w:rsidRPr="005B36A0">
        <w:rPr>
          <w:rFonts w:ascii="Book Antiqua" w:eastAsia="Book Antiqua" w:hAnsi="Book Antiqua" w:cs="Book Antiqua"/>
          <w:color w:val="000000"/>
        </w:rPr>
        <w:t xml:space="preserve"> W</w:t>
      </w:r>
      <w:r w:rsidRPr="005B36A0">
        <w:rPr>
          <w:rFonts w:ascii="Book Antiqua" w:eastAsia="Book Antiqua" w:hAnsi="Book Antiqua" w:cs="Book Antiqua"/>
          <w:color w:val="000000"/>
        </w:rPr>
        <w:t>,</w:t>
      </w:r>
      <w:r w:rsidR="0082067E" w:rsidRPr="005B36A0">
        <w:rPr>
          <w:rFonts w:ascii="Book Antiqua" w:eastAsia="Book Antiqua" w:hAnsi="Book Antiqua" w:cs="Book Antiqua"/>
          <w:color w:val="000000"/>
        </w:rPr>
        <w:t xml:space="preserve"> </w:t>
      </w:r>
      <w:r w:rsidRPr="005B36A0">
        <w:rPr>
          <w:rFonts w:ascii="Book Antiqua" w:eastAsia="Book Antiqua" w:hAnsi="Book Antiqua" w:cs="Book Antiqua"/>
          <w:color w:val="000000"/>
        </w:rPr>
        <w:t xml:space="preserve">Chen </w:t>
      </w:r>
      <w:r w:rsidR="0082067E" w:rsidRPr="005B36A0">
        <w:rPr>
          <w:rFonts w:ascii="Book Antiqua" w:eastAsia="Book Antiqua" w:hAnsi="Book Antiqua" w:cs="Book Antiqua"/>
          <w:color w:val="000000"/>
        </w:rPr>
        <w:t xml:space="preserve">QB, </w:t>
      </w:r>
      <w:r w:rsidRPr="005B36A0">
        <w:rPr>
          <w:rFonts w:ascii="Book Antiqua" w:eastAsia="Book Antiqua" w:hAnsi="Book Antiqua" w:cs="Book Antiqua"/>
          <w:color w:val="000000"/>
        </w:rPr>
        <w:t>and</w:t>
      </w:r>
      <w:r w:rsidR="0082067E" w:rsidRPr="005B36A0">
        <w:rPr>
          <w:rFonts w:ascii="Book Antiqua" w:eastAsia="Book Antiqua" w:hAnsi="Book Antiqua" w:cs="Book Antiqua"/>
          <w:color w:val="000000"/>
        </w:rPr>
        <w:t xml:space="preserve"> Chen </w:t>
      </w:r>
      <w:r w:rsidRPr="005B36A0">
        <w:rPr>
          <w:rFonts w:ascii="Book Antiqua" w:eastAsia="Book Antiqua" w:hAnsi="Book Antiqua" w:cs="Book Antiqua"/>
          <w:color w:val="000000"/>
        </w:rPr>
        <w:t>F</w:t>
      </w:r>
      <w:r w:rsidR="0082067E" w:rsidRPr="005B36A0">
        <w:rPr>
          <w:rFonts w:ascii="Book Antiqua" w:eastAsia="Book Antiqua" w:hAnsi="Book Antiqua" w:cs="Book Antiqua"/>
          <w:color w:val="000000"/>
        </w:rPr>
        <w:t xml:space="preserve">T </w:t>
      </w:r>
      <w:r w:rsidRPr="005B36A0">
        <w:rPr>
          <w:rFonts w:ascii="Book Antiqua" w:eastAsia="Book Antiqua" w:hAnsi="Book Antiqua" w:cs="Book Antiqua"/>
          <w:color w:val="000000"/>
        </w:rPr>
        <w:t>analyzed and interpreted the patient data</w:t>
      </w:r>
      <w:r w:rsidR="0082067E" w:rsidRPr="005B36A0">
        <w:rPr>
          <w:rFonts w:ascii="Book Antiqua" w:eastAsia="Book Antiqua" w:hAnsi="Book Antiqua" w:cs="Book Antiqua"/>
          <w:color w:val="000000"/>
        </w:rPr>
        <w:t>;</w:t>
      </w:r>
      <w:r w:rsidR="0082067E" w:rsidRPr="005B36A0">
        <w:rPr>
          <w:rFonts w:ascii="Book Antiqua" w:hAnsi="Book Antiqua"/>
          <w:lang w:eastAsia="zh-CN"/>
        </w:rPr>
        <w:t xml:space="preserve"> </w:t>
      </w:r>
      <w:r w:rsidRPr="005B36A0">
        <w:rPr>
          <w:rFonts w:ascii="Book Antiqua" w:eastAsia="Book Antiqua" w:hAnsi="Book Antiqua" w:cs="Book Antiqua"/>
          <w:color w:val="000000"/>
        </w:rPr>
        <w:t>Liu</w:t>
      </w:r>
      <w:r w:rsidR="0082067E" w:rsidRPr="005B36A0">
        <w:rPr>
          <w:rFonts w:ascii="Book Antiqua" w:eastAsia="Book Antiqua" w:hAnsi="Book Antiqua" w:cs="Book Antiqua"/>
          <w:color w:val="000000"/>
        </w:rPr>
        <w:t xml:space="preserve"> XX </w:t>
      </w:r>
      <w:r w:rsidRPr="005B36A0">
        <w:rPr>
          <w:rFonts w:ascii="Book Antiqua" w:eastAsia="Book Antiqua" w:hAnsi="Book Antiqua" w:cs="Book Antiqua"/>
          <w:color w:val="000000"/>
        </w:rPr>
        <w:t>presented information and contributed to editing and revision of the article; All authors approved submission of the manuscript.</w:t>
      </w:r>
    </w:p>
    <w:p w14:paraId="3A7851CE" w14:textId="77777777" w:rsidR="00A77B3E" w:rsidRPr="005B36A0" w:rsidRDefault="00A77B3E" w:rsidP="005B36A0">
      <w:pPr>
        <w:spacing w:line="360" w:lineRule="auto"/>
        <w:jc w:val="both"/>
        <w:rPr>
          <w:rFonts w:ascii="Book Antiqua" w:hAnsi="Book Antiqua"/>
        </w:rPr>
      </w:pPr>
    </w:p>
    <w:p w14:paraId="34E72AD9"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color w:val="000000"/>
        </w:rPr>
        <w:t xml:space="preserve">Supported by </w:t>
      </w:r>
      <w:r w:rsidRPr="005B36A0">
        <w:rPr>
          <w:rFonts w:ascii="Book Antiqua" w:eastAsia="Book Antiqua" w:hAnsi="Book Antiqua" w:cs="Book Antiqua"/>
          <w:color w:val="000000"/>
          <w:shd w:val="clear" w:color="auto" w:fill="FFFFFF"/>
        </w:rPr>
        <w:t>the Guangxi Natural Science Foundation</w:t>
      </w:r>
      <w:r w:rsidR="00FF35B9" w:rsidRPr="005B36A0">
        <w:rPr>
          <w:rFonts w:ascii="Book Antiqua" w:eastAsia="Book Antiqua" w:hAnsi="Book Antiqua" w:cs="Book Antiqua"/>
          <w:color w:val="000000"/>
          <w:shd w:val="clear" w:color="auto" w:fill="FFFFFF"/>
        </w:rPr>
        <w:t>,</w:t>
      </w:r>
      <w:r w:rsidRPr="005B36A0">
        <w:rPr>
          <w:rFonts w:ascii="Book Antiqua" w:eastAsia="Book Antiqua" w:hAnsi="Book Antiqua" w:cs="Book Antiqua"/>
          <w:color w:val="000000"/>
          <w:shd w:val="clear" w:color="auto" w:fill="FFFFFF"/>
        </w:rPr>
        <w:t xml:space="preserve"> </w:t>
      </w:r>
      <w:r w:rsidR="00FF35B9" w:rsidRPr="005B36A0">
        <w:rPr>
          <w:rFonts w:ascii="Book Antiqua" w:eastAsia="Book Antiqua" w:hAnsi="Book Antiqua" w:cs="Book Antiqua"/>
          <w:color w:val="000000"/>
          <w:shd w:val="clear" w:color="auto" w:fill="FFFFFF"/>
        </w:rPr>
        <w:t>No</w:t>
      </w:r>
      <w:r w:rsidRPr="005B36A0">
        <w:rPr>
          <w:rFonts w:ascii="Book Antiqua" w:eastAsia="Book Antiqua" w:hAnsi="Book Antiqua" w:cs="Book Antiqua"/>
          <w:color w:val="000000"/>
          <w:shd w:val="clear" w:color="auto" w:fill="FFFFFF"/>
        </w:rPr>
        <w:t>. 2022GXNSFBA035519</w:t>
      </w:r>
      <w:r w:rsidR="009051E7" w:rsidRPr="005B36A0">
        <w:rPr>
          <w:rFonts w:ascii="Book Antiqua" w:eastAsia="Book Antiqua" w:hAnsi="Book Antiqua" w:cs="Book Antiqua"/>
          <w:color w:val="000000"/>
          <w:shd w:val="clear" w:color="auto" w:fill="FFFFFF"/>
        </w:rPr>
        <w:t>; and</w:t>
      </w:r>
      <w:r w:rsidRPr="005B36A0">
        <w:rPr>
          <w:rFonts w:ascii="Book Antiqua" w:eastAsia="Book Antiqua" w:hAnsi="Book Antiqua" w:cs="Book Antiqua"/>
          <w:color w:val="000000"/>
          <w:shd w:val="clear" w:color="auto" w:fill="FFFFFF"/>
        </w:rPr>
        <w:t xml:space="preserve"> </w:t>
      </w:r>
      <w:r w:rsidR="009051E7" w:rsidRPr="005B36A0">
        <w:rPr>
          <w:rFonts w:ascii="Book Antiqua" w:eastAsia="Book Antiqua" w:hAnsi="Book Antiqua" w:cs="Book Antiqua"/>
          <w:color w:val="000000"/>
          <w:shd w:val="clear" w:color="auto" w:fill="FFFFFF"/>
        </w:rPr>
        <w:t>No.</w:t>
      </w:r>
      <w:r w:rsidR="009051E7" w:rsidRPr="005B36A0">
        <w:rPr>
          <w:rFonts w:ascii="Book Antiqua" w:eastAsia="Book Antiqua" w:hAnsi="Book Antiqua" w:cs="Book Antiqua"/>
          <w:color w:val="000000"/>
        </w:rPr>
        <w:t xml:space="preserve"> </w:t>
      </w:r>
      <w:r w:rsidRPr="005B36A0">
        <w:rPr>
          <w:rFonts w:ascii="Book Antiqua" w:eastAsia="Book Antiqua" w:hAnsi="Book Antiqua" w:cs="Book Antiqua"/>
          <w:color w:val="000000"/>
        </w:rPr>
        <w:t>2023GXNSFAA026175</w:t>
      </w:r>
      <w:r w:rsidR="00881303" w:rsidRPr="005B36A0">
        <w:rPr>
          <w:rFonts w:ascii="Book Antiqua" w:hAnsi="Book Antiqua" w:cs="Book Antiqua"/>
          <w:color w:val="000000"/>
          <w:shd w:val="clear" w:color="auto" w:fill="FFFFFF"/>
          <w:lang w:eastAsia="zh-CN"/>
        </w:rPr>
        <w:t xml:space="preserve">; </w:t>
      </w:r>
      <w:r w:rsidRPr="005B36A0">
        <w:rPr>
          <w:rFonts w:ascii="Book Antiqua" w:eastAsia="Book Antiqua" w:hAnsi="Book Antiqua" w:cs="Book Antiqua"/>
          <w:color w:val="000000"/>
          <w:shd w:val="clear" w:color="auto" w:fill="FFFFFF"/>
        </w:rPr>
        <w:t>Self-funded Project of Guangxi Health Commission</w:t>
      </w:r>
      <w:r w:rsidR="00881303" w:rsidRPr="005B36A0">
        <w:rPr>
          <w:rFonts w:ascii="Book Antiqua" w:eastAsia="Book Antiqua" w:hAnsi="Book Antiqua" w:cs="Book Antiqua"/>
          <w:color w:val="000000"/>
          <w:shd w:val="clear" w:color="auto" w:fill="FFFFFF"/>
        </w:rPr>
        <w:t>,</w:t>
      </w:r>
      <w:r w:rsidR="00881303" w:rsidRPr="005B36A0">
        <w:rPr>
          <w:rFonts w:ascii="Book Antiqua" w:hAnsi="Book Antiqua" w:cs="Book Antiqua"/>
          <w:color w:val="000000"/>
          <w:shd w:val="clear" w:color="auto" w:fill="FFFFFF"/>
          <w:lang w:eastAsia="zh-CN"/>
        </w:rPr>
        <w:t xml:space="preserve"> </w:t>
      </w:r>
      <w:r w:rsidR="00881303" w:rsidRPr="005B36A0">
        <w:rPr>
          <w:rFonts w:ascii="Book Antiqua" w:eastAsia="Book Antiqua" w:hAnsi="Book Antiqua" w:cs="Book Antiqua"/>
          <w:color w:val="000000"/>
          <w:shd w:val="clear" w:color="auto" w:fill="FFFFFF"/>
        </w:rPr>
        <w:t>No</w:t>
      </w:r>
      <w:r w:rsidRPr="005B36A0">
        <w:rPr>
          <w:rFonts w:ascii="Book Antiqua" w:eastAsia="Book Antiqua" w:hAnsi="Book Antiqua" w:cs="Book Antiqua"/>
          <w:color w:val="000000"/>
          <w:shd w:val="clear" w:color="auto" w:fill="FFFFFF"/>
        </w:rPr>
        <w:t>. Z20180776</w:t>
      </w:r>
      <w:r w:rsidR="001F6F79" w:rsidRPr="005B36A0">
        <w:rPr>
          <w:rFonts w:ascii="Book Antiqua" w:eastAsia="Book Antiqua" w:hAnsi="Book Antiqua" w:cs="Book Antiqua"/>
          <w:color w:val="000000"/>
          <w:shd w:val="clear" w:color="auto" w:fill="FFFFFF"/>
        </w:rPr>
        <w:t xml:space="preserve"> and No.</w:t>
      </w:r>
      <w:r w:rsidR="001F6F79" w:rsidRPr="005B36A0">
        <w:rPr>
          <w:rFonts w:ascii="Book Antiqua" w:eastAsia="Book Antiqua" w:hAnsi="Book Antiqua" w:cs="Book Antiqua"/>
          <w:color w:val="000000"/>
        </w:rPr>
        <w:t xml:space="preserve"> </w:t>
      </w:r>
      <w:r w:rsidRPr="005B36A0">
        <w:rPr>
          <w:rFonts w:ascii="Book Antiqua" w:eastAsia="Book Antiqua" w:hAnsi="Book Antiqua" w:cs="Book Antiqua"/>
          <w:color w:val="000000"/>
          <w:shd w:val="clear" w:color="auto" w:fill="FFFFFF"/>
        </w:rPr>
        <w:t>Z20210179</w:t>
      </w:r>
      <w:r w:rsidR="00881303" w:rsidRPr="005B36A0">
        <w:rPr>
          <w:rFonts w:ascii="Book Antiqua" w:hAnsi="Book Antiqua" w:cs="Book Antiqua"/>
          <w:color w:val="000000"/>
          <w:shd w:val="clear" w:color="auto" w:fill="FFFFFF"/>
          <w:lang w:eastAsia="zh-CN"/>
        </w:rPr>
        <w:t>;</w:t>
      </w:r>
      <w:r w:rsidRPr="005B36A0">
        <w:rPr>
          <w:rFonts w:ascii="Book Antiqua" w:eastAsia="Book Antiqua" w:hAnsi="Book Antiqua" w:cs="Book Antiqua"/>
          <w:color w:val="000000"/>
          <w:shd w:val="clear" w:color="auto" w:fill="FFFFFF"/>
        </w:rPr>
        <w:t xml:space="preserve"> </w:t>
      </w:r>
      <w:r w:rsidRPr="005B36A0">
        <w:rPr>
          <w:rFonts w:ascii="Book Antiqua" w:eastAsia="Book Antiqua" w:hAnsi="Book Antiqua" w:cs="Book Antiqua"/>
          <w:color w:val="000000"/>
        </w:rPr>
        <w:t>and Guangxi Medical and Health Appropriate Technology Development and Promotion Application Project</w:t>
      </w:r>
      <w:r w:rsidR="001F6F79" w:rsidRPr="005B36A0">
        <w:rPr>
          <w:rFonts w:ascii="Book Antiqua" w:eastAsia="Book Antiqua" w:hAnsi="Book Antiqua" w:cs="Book Antiqua"/>
          <w:color w:val="000000"/>
        </w:rPr>
        <w:t>, No</w:t>
      </w:r>
      <w:r w:rsidR="00BE2545" w:rsidRPr="005B36A0">
        <w:rPr>
          <w:rFonts w:ascii="Book Antiqua" w:eastAsia="Book Antiqua" w:hAnsi="Book Antiqua" w:cs="Book Antiqua"/>
          <w:color w:val="000000"/>
        </w:rPr>
        <w:t>. S2020081</w:t>
      </w:r>
      <w:r w:rsidRPr="005B36A0">
        <w:rPr>
          <w:rFonts w:ascii="Book Antiqua" w:eastAsia="Book Antiqua" w:hAnsi="Book Antiqua" w:cs="Book Antiqua"/>
          <w:color w:val="000000"/>
        </w:rPr>
        <w:t>.</w:t>
      </w:r>
    </w:p>
    <w:p w14:paraId="23638699" w14:textId="77777777" w:rsidR="00A77B3E" w:rsidRPr="005B36A0" w:rsidRDefault="00A77B3E" w:rsidP="005B36A0">
      <w:pPr>
        <w:spacing w:line="360" w:lineRule="auto"/>
        <w:jc w:val="both"/>
        <w:rPr>
          <w:rFonts w:ascii="Book Antiqua" w:hAnsi="Book Antiqua"/>
        </w:rPr>
      </w:pPr>
    </w:p>
    <w:p w14:paraId="3C2F652A" w14:textId="3ED7B356"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color w:val="000000"/>
        </w:rPr>
        <w:t>Corresponding author: Xi</w:t>
      </w:r>
      <w:r w:rsidR="00D54634" w:rsidRPr="005B36A0">
        <w:rPr>
          <w:rFonts w:ascii="Book Antiqua" w:eastAsia="Book Antiqua" w:hAnsi="Book Antiqua" w:cs="Book Antiqua"/>
          <w:b/>
          <w:bCs/>
          <w:color w:val="000000"/>
        </w:rPr>
        <w:t xml:space="preserve">-Xia </w:t>
      </w:r>
      <w:r w:rsidRPr="005B36A0">
        <w:rPr>
          <w:rFonts w:ascii="Book Antiqua" w:eastAsia="Book Antiqua" w:hAnsi="Book Antiqua" w:cs="Book Antiqua"/>
          <w:b/>
          <w:bCs/>
          <w:color w:val="000000"/>
        </w:rPr>
        <w:t xml:space="preserve">Liu, PhD, Doctor, </w:t>
      </w:r>
      <w:r w:rsidRPr="005B36A0">
        <w:rPr>
          <w:rFonts w:ascii="Book Antiqua" w:eastAsia="Book Antiqua" w:hAnsi="Book Antiqua" w:cs="Book Antiqua"/>
          <w:color w:val="000000"/>
        </w:rPr>
        <w:t xml:space="preserve">Department of Rehebalitation Medicine, The People's Hospital of </w:t>
      </w:r>
      <w:r w:rsidR="00093B49" w:rsidRPr="005B36A0">
        <w:rPr>
          <w:rFonts w:ascii="Book Antiqua" w:eastAsia="Book Antiqua" w:hAnsi="Book Antiqua" w:cs="Book Antiqua"/>
          <w:color w:val="000000"/>
        </w:rPr>
        <w:t>Zhuang Autonomous Region, No. 6</w:t>
      </w:r>
      <w:r w:rsidRPr="005B36A0">
        <w:rPr>
          <w:rFonts w:ascii="Book Antiqua" w:eastAsia="Book Antiqua" w:hAnsi="Book Antiqua" w:cs="Book Antiqua"/>
          <w:color w:val="000000"/>
        </w:rPr>
        <w:t xml:space="preserve"> Taoyuan Road, Qingxiu District, Nanning 530021, </w:t>
      </w:r>
      <w:r w:rsidR="00553AE6" w:rsidRPr="005B36A0">
        <w:rPr>
          <w:rFonts w:ascii="Book Antiqua" w:eastAsia="Book Antiqua" w:hAnsi="Book Antiqua" w:cs="Book Antiqua"/>
          <w:color w:val="000000"/>
        </w:rPr>
        <w:t>Guangxi Zhuang Autonomous Region</w:t>
      </w:r>
      <w:r w:rsidRPr="005B36A0">
        <w:rPr>
          <w:rFonts w:ascii="Book Antiqua" w:eastAsia="Book Antiqua" w:hAnsi="Book Antiqua" w:cs="Book Antiqua"/>
          <w:color w:val="000000"/>
        </w:rPr>
        <w:t>, China. liuxixia2008@126.com</w:t>
      </w:r>
    </w:p>
    <w:p w14:paraId="0148BDF9" w14:textId="77777777" w:rsidR="00A77B3E" w:rsidRPr="005B36A0" w:rsidRDefault="00A77B3E" w:rsidP="005B36A0">
      <w:pPr>
        <w:spacing w:line="360" w:lineRule="auto"/>
        <w:jc w:val="both"/>
        <w:rPr>
          <w:rFonts w:ascii="Book Antiqua" w:hAnsi="Book Antiqua"/>
        </w:rPr>
      </w:pPr>
    </w:p>
    <w:p w14:paraId="5EACB865"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Received: </w:t>
      </w:r>
      <w:r w:rsidRPr="005B36A0">
        <w:rPr>
          <w:rFonts w:ascii="Book Antiqua" w:eastAsia="Book Antiqua" w:hAnsi="Book Antiqua" w:cs="Book Antiqua"/>
        </w:rPr>
        <w:t>July 5, 2023</w:t>
      </w:r>
    </w:p>
    <w:p w14:paraId="232AEAB6" w14:textId="71D24242"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Revised: </w:t>
      </w:r>
      <w:r w:rsidR="00AF23BA" w:rsidRPr="005B36A0">
        <w:rPr>
          <w:rFonts w:ascii="Book Antiqua" w:eastAsia="Book Antiqua" w:hAnsi="Book Antiqua" w:cs="Book Antiqua"/>
          <w:bCs/>
        </w:rPr>
        <w:t>August 20, 2023</w:t>
      </w:r>
    </w:p>
    <w:p w14:paraId="407B1C43" w14:textId="3343D755"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Accepted: </w:t>
      </w:r>
      <w:r w:rsidR="00140737" w:rsidRPr="00140737">
        <w:rPr>
          <w:rFonts w:ascii="Book Antiqua" w:eastAsia="Book Antiqua" w:hAnsi="Book Antiqua" w:cs="Book Antiqua"/>
        </w:rPr>
        <w:t>September 6, 2023</w:t>
      </w:r>
    </w:p>
    <w:p w14:paraId="4885267A" w14:textId="2A46BABE" w:rsidR="00A77B3E"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Published online: </w:t>
      </w:r>
      <w:r w:rsidR="0068027E" w:rsidRPr="0068027E">
        <w:rPr>
          <w:rFonts w:ascii="Book Antiqua" w:hAnsi="Book Antiqua"/>
        </w:rPr>
        <w:t>September 26, 2023</w:t>
      </w:r>
    </w:p>
    <w:p w14:paraId="4077A78C" w14:textId="7EC585ED" w:rsidR="0068027E" w:rsidRPr="005B36A0" w:rsidRDefault="0068027E" w:rsidP="005B36A0">
      <w:pPr>
        <w:spacing w:line="360" w:lineRule="auto"/>
        <w:jc w:val="both"/>
        <w:rPr>
          <w:rFonts w:ascii="Book Antiqua" w:hAnsi="Book Antiqua"/>
        </w:rPr>
        <w:sectPr w:rsidR="0068027E" w:rsidRPr="005B36A0" w:rsidSect="005B36A0">
          <w:footerReference w:type="default" r:id="rId6"/>
          <w:pgSz w:w="12240" w:h="15840"/>
          <w:pgMar w:top="1440" w:right="1440" w:bottom="1440" w:left="1440" w:header="720" w:footer="720" w:gutter="0"/>
          <w:cols w:space="720"/>
          <w:docGrid w:linePitch="360"/>
        </w:sectPr>
      </w:pPr>
    </w:p>
    <w:p w14:paraId="49637DFA"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lastRenderedPageBreak/>
        <w:t>Abstract</w:t>
      </w:r>
    </w:p>
    <w:p w14:paraId="08E4AAAD"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BACKGROUND</w:t>
      </w:r>
    </w:p>
    <w:p w14:paraId="477473EE" w14:textId="38D4DCFA"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shd w:val="clear" w:color="auto" w:fill="FFFFFF"/>
        </w:rPr>
        <w:t>Posterior interosseous nerve (PIN) entrapment syndrome is one of the causes of weakness and pain of the arm muscles, which is prone to missed diagnosis and misdiagnosis in clinic practice. This paper reports a case of PIN entrapment syndrome, with PIN injury indicated by electrophysiology. Musculoskeletal ultrasound was applied to identify that the entrapment point was located at the inlet of the Frohse arch and the outlet of the supinator muscle. Treatment with ultrasound-guided nerve hydrodissection was performed on the entrapment point, which significantly improved the symptoms. Ultrasound-guided nerve hydrodissection is an effective therapeutic method for PIN entrapment syndrome.</w:t>
      </w:r>
    </w:p>
    <w:p w14:paraId="59905D6E" w14:textId="77777777" w:rsidR="00A77B3E" w:rsidRPr="005B36A0" w:rsidRDefault="00A77B3E" w:rsidP="005B36A0">
      <w:pPr>
        <w:spacing w:line="360" w:lineRule="auto"/>
        <w:jc w:val="both"/>
        <w:rPr>
          <w:rFonts w:ascii="Book Antiqua" w:hAnsi="Book Antiqua"/>
        </w:rPr>
      </w:pPr>
    </w:p>
    <w:p w14:paraId="125D3B5A"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CASE SUMMARY</w:t>
      </w:r>
    </w:p>
    <w:p w14:paraId="1DBA9EE0"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t xml:space="preserve">A male patient, 35 years old, worked as an automobile mechanic. He felt slightly weak extension activity of his right fingers 2 years ago but sought no treatment. Later, the symptoms gradually became aggravated and led to finger drop, particularly severe in the right middle finger, accompanied by supination weakness of the right forearm. Neural electrophysiological examination showed that the patient had partial </w:t>
      </w:r>
      <w:r w:rsidRPr="005B36A0">
        <w:rPr>
          <w:rFonts w:ascii="Book Antiqua" w:eastAsia="Book Antiqua" w:hAnsi="Book Antiqua" w:cs="Book Antiqua"/>
          <w:shd w:val="clear" w:color="auto" w:fill="FFFFFF"/>
        </w:rPr>
        <w:t>PIN</w:t>
      </w:r>
      <w:r w:rsidRPr="005B36A0">
        <w:rPr>
          <w:rFonts w:ascii="Book Antiqua" w:eastAsia="Book Antiqua" w:hAnsi="Book Antiqua" w:cs="Book Antiqua"/>
        </w:rPr>
        <w:t xml:space="preserve"> injury of the right radius. Musculoskeletal ultrasound examination indicated </w:t>
      </w:r>
      <w:r w:rsidRPr="005B36A0">
        <w:rPr>
          <w:rFonts w:ascii="Book Antiqua" w:eastAsia="Book Antiqua" w:hAnsi="Book Antiqua" w:cs="Book Antiqua"/>
          <w:shd w:val="clear" w:color="auto" w:fill="FFFFFF"/>
        </w:rPr>
        <w:t>PIN entrapment</w:t>
      </w:r>
      <w:r w:rsidRPr="005B36A0">
        <w:rPr>
          <w:rFonts w:ascii="Book Antiqua" w:eastAsia="Book Antiqua" w:hAnsi="Book Antiqua" w:cs="Book Antiqua"/>
        </w:rPr>
        <w:t xml:space="preserve"> at the inlet of the Frohse arch and the outlet of the supinator muscle. Therefore, </w:t>
      </w:r>
      <w:r w:rsidRPr="005B36A0">
        <w:rPr>
          <w:rFonts w:ascii="Book Antiqua" w:eastAsia="Book Antiqua" w:hAnsi="Book Antiqua" w:cs="Book Antiqua"/>
          <w:shd w:val="clear" w:color="auto" w:fill="FFFFFF"/>
        </w:rPr>
        <w:t>PIN</w:t>
      </w:r>
      <w:r w:rsidRPr="005B36A0">
        <w:rPr>
          <w:rFonts w:ascii="Book Antiqua" w:eastAsia="Book Antiqua" w:hAnsi="Book Antiqua" w:cs="Book Antiqua"/>
        </w:rPr>
        <w:t xml:space="preserve"> entrapment syndrome was diagnosed. After treatment with ultrasound-guided nerve hydrodissection around the entrapment point, the dorsiflexion weakness of the right hand was significantly improved compared with before treatment.</w:t>
      </w:r>
    </w:p>
    <w:p w14:paraId="1B6DAD2D" w14:textId="77777777" w:rsidR="00A77B3E" w:rsidRPr="005B36A0" w:rsidRDefault="00A77B3E" w:rsidP="005B36A0">
      <w:pPr>
        <w:spacing w:line="360" w:lineRule="auto"/>
        <w:jc w:val="both"/>
        <w:rPr>
          <w:rFonts w:ascii="Book Antiqua" w:hAnsi="Book Antiqua"/>
        </w:rPr>
      </w:pPr>
    </w:p>
    <w:p w14:paraId="59995ADB"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CONCLUSION</w:t>
      </w:r>
    </w:p>
    <w:p w14:paraId="6B3F76A5"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shd w:val="clear" w:color="auto" w:fill="FFFFFF"/>
        </w:rPr>
        <w:t>Ultrasound-guided hydrodissection is efficacious for PIN entrapment syndrome, with high clinical value and great application prospects.</w:t>
      </w:r>
    </w:p>
    <w:p w14:paraId="7CB79824" w14:textId="77777777" w:rsidR="00A77B3E" w:rsidRPr="005B36A0" w:rsidRDefault="00A77B3E" w:rsidP="005B36A0">
      <w:pPr>
        <w:spacing w:line="360" w:lineRule="auto"/>
        <w:jc w:val="both"/>
        <w:rPr>
          <w:rFonts w:ascii="Book Antiqua" w:hAnsi="Book Antiqua"/>
        </w:rPr>
      </w:pPr>
    </w:p>
    <w:p w14:paraId="2A549531" w14:textId="2B6F1BA2"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lastRenderedPageBreak/>
        <w:t xml:space="preserve">Key Words: </w:t>
      </w:r>
      <w:r w:rsidRPr="005B36A0">
        <w:rPr>
          <w:rFonts w:ascii="Book Antiqua" w:eastAsia="Book Antiqua" w:hAnsi="Book Antiqua" w:cs="Book Antiqua"/>
        </w:rPr>
        <w:t xml:space="preserve">Ultrasound-guided injection; Nerve hydrodissection; </w:t>
      </w:r>
      <w:r w:rsidR="00425604" w:rsidRPr="005B36A0">
        <w:rPr>
          <w:rFonts w:ascii="Book Antiqua" w:eastAsia="Book Antiqua" w:hAnsi="Book Antiqua" w:cs="Book Antiqua"/>
        </w:rPr>
        <w:t xml:space="preserve">Posterior </w:t>
      </w:r>
      <w:r w:rsidRPr="005B36A0">
        <w:rPr>
          <w:rFonts w:ascii="Book Antiqua" w:eastAsia="Book Antiqua" w:hAnsi="Book Antiqua" w:cs="Book Antiqua"/>
        </w:rPr>
        <w:t>interosseous nerve entrapment syndrome; Radial nerve</w:t>
      </w:r>
      <w:r w:rsidR="00B147C6" w:rsidRPr="005B36A0">
        <w:rPr>
          <w:rFonts w:ascii="Book Antiqua" w:eastAsia="Book Antiqua" w:hAnsi="Book Antiqua" w:cs="Book Antiqua"/>
        </w:rPr>
        <w:t>; Case report</w:t>
      </w:r>
    </w:p>
    <w:p w14:paraId="7D1117B9" w14:textId="77777777" w:rsidR="00387D96" w:rsidRPr="006D4EDA" w:rsidRDefault="00387D96" w:rsidP="00387D96">
      <w:pPr>
        <w:spacing w:line="360" w:lineRule="auto"/>
        <w:rPr>
          <w:rFonts w:ascii="Book Antiqua" w:eastAsia="Book Antiqua" w:hAnsi="Book Antiqua" w:cs="Book Antiqua"/>
        </w:rPr>
      </w:pPr>
    </w:p>
    <w:p w14:paraId="13C7FE4F" w14:textId="77777777" w:rsidR="00387D96" w:rsidRPr="006D4EDA" w:rsidRDefault="00387D96" w:rsidP="00387D9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A73D7F7" w14:textId="77777777" w:rsidR="00387D96" w:rsidRPr="006D4EDA" w:rsidRDefault="00387D96" w:rsidP="00387D96">
      <w:pPr>
        <w:spacing w:line="360" w:lineRule="auto"/>
        <w:rPr>
          <w:rFonts w:ascii="Book Antiqua" w:eastAsia="Book Antiqua" w:hAnsi="Book Antiqua" w:cs="Book Antiqua"/>
        </w:rPr>
      </w:pPr>
    </w:p>
    <w:p w14:paraId="218CFB1A" w14:textId="61D4BCFE" w:rsidR="00DC010D" w:rsidRDefault="00DC010D" w:rsidP="005B36A0">
      <w:pPr>
        <w:spacing w:line="360" w:lineRule="auto"/>
        <w:jc w:val="both"/>
        <w:rPr>
          <w:rFonts w:ascii="Book Antiqua" w:eastAsia="Book Antiqua" w:hAnsi="Book Antiqua" w:cs="Book Antiqua"/>
        </w:rPr>
      </w:pPr>
      <w:r w:rsidRPr="00DC010D">
        <w:rPr>
          <w:rFonts w:ascii="Book Antiqua" w:eastAsia="Book Antiqua" w:hAnsi="Book Antiqua" w:cs="Book Antiqua"/>
          <w:b/>
          <w:bCs/>
          <w:color w:val="000000"/>
        </w:rPr>
        <w:t>Citation</w:t>
      </w:r>
      <w:r w:rsidRPr="00DC010D">
        <w:rPr>
          <w:rFonts w:ascii="Book Antiqua" w:eastAsia="Book Antiqua" w:hAnsi="Book Antiqua" w:cs="Book Antiqua"/>
          <w:color w:val="000000"/>
        </w:rPr>
        <w:t xml:space="preserve">: </w:t>
      </w:r>
      <w:r w:rsidR="00377BD5" w:rsidRPr="005B36A0">
        <w:rPr>
          <w:rFonts w:ascii="Book Antiqua" w:eastAsia="Book Antiqua" w:hAnsi="Book Antiqua" w:cs="Book Antiqua"/>
          <w:color w:val="000000"/>
        </w:rPr>
        <w:t>Qin LH, Cao W, Chen FT, Chen QB, Liu XX</w:t>
      </w:r>
      <w:r w:rsidR="00776E9A" w:rsidRPr="005B36A0">
        <w:rPr>
          <w:rFonts w:ascii="Book Antiqua" w:eastAsia="Book Antiqua" w:hAnsi="Book Antiqua" w:cs="Book Antiqua"/>
        </w:rPr>
        <w:t xml:space="preserve">. </w:t>
      </w:r>
      <w:r w:rsidR="00B147C6" w:rsidRPr="005B36A0">
        <w:rPr>
          <w:rFonts w:ascii="Book Antiqua" w:eastAsia="Book Antiqua" w:hAnsi="Book Antiqua" w:cs="Book Antiqua"/>
        </w:rPr>
        <w:t>Treatment of posterior interosseous nerve entrapment syndrome with ultrasound-guided hydrodissection: A case report</w:t>
      </w:r>
      <w:r w:rsidR="00776E9A" w:rsidRPr="005B36A0">
        <w:rPr>
          <w:rFonts w:ascii="Book Antiqua" w:eastAsia="Book Antiqua" w:hAnsi="Book Antiqua" w:cs="Book Antiqua"/>
        </w:rPr>
        <w:t xml:space="preserve">. </w:t>
      </w:r>
      <w:r w:rsidR="00776E9A" w:rsidRPr="005B36A0">
        <w:rPr>
          <w:rFonts w:ascii="Book Antiqua" w:eastAsia="Book Antiqua" w:hAnsi="Book Antiqua" w:cs="Book Antiqua"/>
          <w:i/>
          <w:iCs/>
        </w:rPr>
        <w:t>World J Clin Cases</w:t>
      </w:r>
      <w:r w:rsidR="00776E9A" w:rsidRPr="005B36A0">
        <w:rPr>
          <w:rFonts w:ascii="Book Antiqua" w:eastAsia="Book Antiqua" w:hAnsi="Book Antiqua" w:cs="Book Antiqua"/>
        </w:rPr>
        <w:t xml:space="preserve"> 2023; </w:t>
      </w:r>
      <w:r w:rsidR="00BD3E31" w:rsidRPr="00BD3E31">
        <w:rPr>
          <w:rFonts w:ascii="Book Antiqua" w:eastAsia="Book Antiqua" w:hAnsi="Book Antiqua" w:cs="Book Antiqua"/>
        </w:rPr>
        <w:t>11(2</w:t>
      </w:r>
      <w:r w:rsidR="00BD3E31">
        <w:rPr>
          <w:rFonts w:ascii="Book Antiqua" w:eastAsia="Book Antiqua" w:hAnsi="Book Antiqua" w:cs="Book Antiqua"/>
        </w:rPr>
        <w:t>7</w:t>
      </w:r>
      <w:r w:rsidR="00BD3E31" w:rsidRPr="00BD3E31">
        <w:rPr>
          <w:rFonts w:ascii="Book Antiqua" w:eastAsia="Book Antiqua" w:hAnsi="Book Antiqua" w:cs="Book Antiqua"/>
        </w:rPr>
        <w:t xml:space="preserve">): </w:t>
      </w:r>
      <w:r w:rsidR="00387D96" w:rsidRPr="00A3555F">
        <w:rPr>
          <w:rFonts w:ascii="Book Antiqua" w:eastAsia="等线" w:hAnsi="Book Antiqua" w:cs="宋体"/>
          <w:color w:val="000000"/>
        </w:rPr>
        <w:t>6624-6630</w:t>
      </w:r>
    </w:p>
    <w:p w14:paraId="1990B15B" w14:textId="2C084206" w:rsidR="00DC010D" w:rsidRDefault="00BD3E31" w:rsidP="005B36A0">
      <w:pPr>
        <w:spacing w:line="360" w:lineRule="auto"/>
        <w:jc w:val="both"/>
        <w:rPr>
          <w:rFonts w:ascii="Book Antiqua" w:eastAsia="Book Antiqua" w:hAnsi="Book Antiqua" w:cs="Book Antiqua"/>
        </w:rPr>
      </w:pPr>
      <w:r w:rsidRPr="00DC010D">
        <w:rPr>
          <w:rFonts w:ascii="Book Antiqua" w:eastAsia="Book Antiqua" w:hAnsi="Book Antiqua" w:cs="Book Antiqua"/>
          <w:b/>
          <w:bCs/>
        </w:rPr>
        <w:t>URL</w:t>
      </w:r>
      <w:r w:rsidRPr="00BD3E31">
        <w:rPr>
          <w:rFonts w:ascii="Book Antiqua" w:eastAsia="Book Antiqua" w:hAnsi="Book Antiqua" w:cs="Book Antiqua"/>
        </w:rPr>
        <w:t>: https://www.wjgnet.com/2307-8960/full/v11/i2</w:t>
      </w:r>
      <w:r>
        <w:rPr>
          <w:rFonts w:ascii="Book Antiqua" w:eastAsia="Book Antiqua" w:hAnsi="Book Antiqua" w:cs="Book Antiqua"/>
        </w:rPr>
        <w:t>7</w:t>
      </w:r>
      <w:r w:rsidRPr="00BD3E31">
        <w:rPr>
          <w:rFonts w:ascii="Book Antiqua" w:eastAsia="Book Antiqua" w:hAnsi="Book Antiqua" w:cs="Book Antiqua"/>
        </w:rPr>
        <w:t>/</w:t>
      </w:r>
      <w:r w:rsidR="00387D96" w:rsidRPr="00A3555F">
        <w:rPr>
          <w:rFonts w:ascii="Book Antiqua" w:eastAsia="等线" w:hAnsi="Book Antiqua" w:cs="宋体"/>
          <w:color w:val="000000"/>
        </w:rPr>
        <w:t>6624</w:t>
      </w:r>
      <w:r w:rsidRPr="00BD3E31">
        <w:rPr>
          <w:rFonts w:ascii="Book Antiqua" w:eastAsia="Book Antiqua" w:hAnsi="Book Antiqua" w:cs="Book Antiqua"/>
        </w:rPr>
        <w:t>.htm</w:t>
      </w:r>
    </w:p>
    <w:p w14:paraId="45686616" w14:textId="5E89541D" w:rsidR="00A77B3E" w:rsidRPr="005B36A0" w:rsidRDefault="00BD3E31" w:rsidP="005B36A0">
      <w:pPr>
        <w:spacing w:line="360" w:lineRule="auto"/>
        <w:jc w:val="both"/>
        <w:rPr>
          <w:rFonts w:ascii="Book Antiqua" w:hAnsi="Book Antiqua"/>
        </w:rPr>
      </w:pPr>
      <w:r w:rsidRPr="00DC010D">
        <w:rPr>
          <w:rFonts w:ascii="Book Antiqua" w:eastAsia="Book Antiqua" w:hAnsi="Book Antiqua" w:cs="Book Antiqua"/>
          <w:b/>
          <w:bCs/>
        </w:rPr>
        <w:t>DOI</w:t>
      </w:r>
      <w:r w:rsidRPr="00BD3E31">
        <w:rPr>
          <w:rFonts w:ascii="Book Antiqua" w:eastAsia="Book Antiqua" w:hAnsi="Book Antiqua" w:cs="Book Antiqua"/>
        </w:rPr>
        <w:t>: https://dx.doi.org/10.12998/wjcc.v11.i2</w:t>
      </w:r>
      <w:r>
        <w:rPr>
          <w:rFonts w:ascii="Book Antiqua" w:eastAsia="Book Antiqua" w:hAnsi="Book Antiqua" w:cs="Book Antiqua"/>
        </w:rPr>
        <w:t>7</w:t>
      </w:r>
      <w:r w:rsidRPr="00BD3E31">
        <w:rPr>
          <w:rFonts w:ascii="Book Antiqua" w:eastAsia="Book Antiqua" w:hAnsi="Book Antiqua" w:cs="Book Antiqua"/>
        </w:rPr>
        <w:t>.</w:t>
      </w:r>
      <w:r w:rsidR="00387D96" w:rsidRPr="00A3555F">
        <w:rPr>
          <w:rFonts w:ascii="Book Antiqua" w:eastAsia="等线" w:hAnsi="Book Antiqua" w:cs="宋体"/>
          <w:color w:val="000000"/>
        </w:rPr>
        <w:t>6624</w:t>
      </w:r>
    </w:p>
    <w:p w14:paraId="512121FF" w14:textId="77777777" w:rsidR="00A77B3E" w:rsidRPr="005B36A0" w:rsidRDefault="00A77B3E" w:rsidP="005B36A0">
      <w:pPr>
        <w:spacing w:line="360" w:lineRule="auto"/>
        <w:jc w:val="both"/>
        <w:rPr>
          <w:rFonts w:ascii="Book Antiqua" w:hAnsi="Book Antiqua"/>
        </w:rPr>
      </w:pPr>
    </w:p>
    <w:p w14:paraId="7F2222D4"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Core Tip: </w:t>
      </w:r>
      <w:r w:rsidRPr="005B36A0">
        <w:rPr>
          <w:rFonts w:ascii="Book Antiqua" w:eastAsia="Book Antiqua" w:hAnsi="Book Antiqua" w:cs="Book Antiqua"/>
        </w:rPr>
        <w:t>Posterior interosseous nerve (PIN) entrapment syndrome, a cause of weakness and pain of the arm muscles, can be easily missed and misdiagnosed. This paper reports a case of PIN entrapment syndrome in which the PIN entrapment was located at the supinator muscle, according to the diagnosis by ultrasound. The entrapment point was treated with ultrasound-guided nerve hydrodissection, which had good efficacy, making this an option for the treatment of PIN entrapment syndrome.</w:t>
      </w:r>
    </w:p>
    <w:p w14:paraId="5B9F0E22" w14:textId="77777777" w:rsidR="00A77B3E" w:rsidRPr="005B36A0" w:rsidRDefault="00A77B3E" w:rsidP="005B36A0">
      <w:pPr>
        <w:spacing w:line="360" w:lineRule="auto"/>
        <w:jc w:val="both"/>
        <w:rPr>
          <w:rFonts w:ascii="Book Antiqua" w:hAnsi="Book Antiqua"/>
        </w:rPr>
      </w:pPr>
    </w:p>
    <w:p w14:paraId="7FEE169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INTRODUCTION</w:t>
      </w:r>
    </w:p>
    <w:p w14:paraId="6BE4F8A4" w14:textId="103190A4"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 xml:space="preserve">Posterior interosseous nerve </w:t>
      </w:r>
      <w:r w:rsidRPr="005B36A0">
        <w:rPr>
          <w:rFonts w:ascii="Book Antiqua" w:eastAsia="Book Antiqua" w:hAnsi="Book Antiqua" w:cs="Book Antiqua"/>
          <w:color w:val="000000"/>
          <w:shd w:val="clear" w:color="auto" w:fill="FFFFFF"/>
        </w:rPr>
        <w:t xml:space="preserve">(PIN) </w:t>
      </w:r>
      <w:r w:rsidRPr="005B36A0">
        <w:rPr>
          <w:rFonts w:ascii="Book Antiqua" w:eastAsia="Book Antiqua" w:hAnsi="Book Antiqua" w:cs="Book Antiqua"/>
          <w:color w:val="000000"/>
        </w:rPr>
        <w:t>entrapment syndrome refers to a series of symptoms and signs of movement disorders caused by such factors as traction, friction, inflammation, and mechanical compression of the deep branch of the radial nerve on the proximal dorsal side of the forearm</w:t>
      </w:r>
      <w:r w:rsidRPr="005B36A0">
        <w:rPr>
          <w:rFonts w:ascii="Book Antiqua" w:eastAsia="Book Antiqua" w:hAnsi="Book Antiqua" w:cs="Book Antiqua"/>
          <w:color w:val="000000"/>
          <w:vertAlign w:val="superscript"/>
        </w:rPr>
        <w:t>[1]</w:t>
      </w:r>
      <w:r w:rsidRPr="005B36A0">
        <w:rPr>
          <w:rFonts w:ascii="Book Antiqua" w:eastAsia="Book Antiqua" w:hAnsi="Book Antiqua" w:cs="Book Antiqua"/>
          <w:color w:val="000000"/>
        </w:rPr>
        <w:t>. The key to the treatment of this disease is to relieve compression as soon as possible. However, drug therapies have poor effects</w:t>
      </w:r>
      <w:r w:rsidRPr="005B36A0">
        <w:rPr>
          <w:rFonts w:ascii="Book Antiqua" w:eastAsia="Book Antiqua" w:hAnsi="Book Antiqua" w:cs="Book Antiqua"/>
          <w:color w:val="000000"/>
          <w:vertAlign w:val="superscript"/>
        </w:rPr>
        <w:t>[2]</w:t>
      </w:r>
      <w:r w:rsidRPr="005B36A0">
        <w:rPr>
          <w:rFonts w:ascii="Book Antiqua" w:eastAsia="Book Antiqua" w:hAnsi="Book Antiqua" w:cs="Book Antiqua"/>
          <w:color w:val="000000"/>
        </w:rPr>
        <w:t>, and the large trauma from surgery may cause secondary injury</w:t>
      </w:r>
      <w:r w:rsidRPr="005B36A0">
        <w:rPr>
          <w:rFonts w:ascii="Book Antiqua" w:eastAsia="Book Antiqua" w:hAnsi="Book Antiqua" w:cs="Book Antiqua"/>
          <w:color w:val="000000"/>
          <w:vertAlign w:val="superscript"/>
        </w:rPr>
        <w:t>[3]</w:t>
      </w:r>
      <w:r w:rsidRPr="005B36A0">
        <w:rPr>
          <w:rFonts w:ascii="Book Antiqua" w:eastAsia="Book Antiqua" w:hAnsi="Book Antiqua" w:cs="Book Antiqua"/>
          <w:color w:val="000000"/>
        </w:rPr>
        <w:t>.</w:t>
      </w:r>
    </w:p>
    <w:p w14:paraId="4A239381" w14:textId="0F67F4AA" w:rsidR="00A77B3E" w:rsidRPr="005B36A0" w:rsidRDefault="00776E9A" w:rsidP="005B36A0">
      <w:pPr>
        <w:spacing w:line="360" w:lineRule="auto"/>
        <w:ind w:firstLineChars="200" w:firstLine="480"/>
        <w:jc w:val="both"/>
        <w:rPr>
          <w:rFonts w:ascii="Book Antiqua" w:hAnsi="Book Antiqua"/>
        </w:rPr>
      </w:pPr>
      <w:r w:rsidRPr="005B36A0">
        <w:rPr>
          <w:rFonts w:ascii="Book Antiqua" w:eastAsia="Book Antiqua" w:hAnsi="Book Antiqua" w:cs="Book Antiqua"/>
          <w:color w:val="000000"/>
        </w:rPr>
        <w:t xml:space="preserve">Musculoskeletal ultrasound applied to the diagnosis and treatment of peripheral nerves can reveal the cause and secondary changes of nerve entrapment, which is </w:t>
      </w:r>
      <w:r w:rsidRPr="005B36A0">
        <w:rPr>
          <w:rFonts w:ascii="Book Antiqua" w:eastAsia="Book Antiqua" w:hAnsi="Book Antiqua" w:cs="Book Antiqua"/>
          <w:color w:val="000000"/>
        </w:rPr>
        <w:lastRenderedPageBreak/>
        <w:t>conducive to the diagnosis of PIN entrapment syndrome</w:t>
      </w:r>
      <w:r w:rsidRPr="005B36A0">
        <w:rPr>
          <w:rFonts w:ascii="Book Antiqua" w:eastAsia="Book Antiqua" w:hAnsi="Book Antiqua" w:cs="Book Antiqua"/>
          <w:color w:val="000000"/>
          <w:vertAlign w:val="superscript"/>
        </w:rPr>
        <w:t>[4]</w:t>
      </w:r>
      <w:r w:rsidRPr="005B36A0">
        <w:rPr>
          <w:rFonts w:ascii="Book Antiqua" w:eastAsia="Book Antiqua" w:hAnsi="Book Antiqua" w:cs="Book Antiqua"/>
          <w:color w:val="000000"/>
        </w:rPr>
        <w:t>. Recently, our department conducted ultrasound-guided injection for nerve hydrodissection to treat a case of PIN entrapment, and good efficacy was obtained, providing a new idea for the treatment of the disease.</w:t>
      </w:r>
    </w:p>
    <w:p w14:paraId="51DE934E" w14:textId="77777777" w:rsidR="00A77B3E" w:rsidRPr="005B36A0" w:rsidRDefault="00A77B3E" w:rsidP="005B36A0">
      <w:pPr>
        <w:spacing w:line="360" w:lineRule="auto"/>
        <w:jc w:val="both"/>
        <w:rPr>
          <w:rFonts w:ascii="Book Antiqua" w:hAnsi="Book Antiqua"/>
        </w:rPr>
      </w:pPr>
    </w:p>
    <w:p w14:paraId="62C5F03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CASE PRESENTATION</w:t>
      </w:r>
    </w:p>
    <w:p w14:paraId="5E9CBEB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Chief complaints</w:t>
      </w:r>
    </w:p>
    <w:p w14:paraId="3E4CC1A1"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A 35-year-old male patient working as an automobile mechanic had a chronic course of disease. He visited the outpatient clinic of our hospital due to dorsiflexion weakness of the right fingers for 2 years and aggravated symptoms for 6 mo.</w:t>
      </w:r>
    </w:p>
    <w:p w14:paraId="21AD06D8" w14:textId="77777777" w:rsidR="00A77B3E" w:rsidRPr="005B36A0" w:rsidRDefault="00A77B3E" w:rsidP="005B36A0">
      <w:pPr>
        <w:spacing w:line="360" w:lineRule="auto"/>
        <w:ind w:firstLine="480"/>
        <w:jc w:val="both"/>
        <w:rPr>
          <w:rFonts w:ascii="Book Antiqua" w:hAnsi="Book Antiqua"/>
        </w:rPr>
      </w:pPr>
    </w:p>
    <w:p w14:paraId="05EC5FA5"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History of present illness</w:t>
      </w:r>
    </w:p>
    <w:p w14:paraId="581DE1E1"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The patient felt slight weakness of the extension activity of his right fingers 2 years ago but sought no treatment. Later, the symptoms gradually became aggravated and led to fingerdrop, particularly severe in the right middle finger.</w:t>
      </w:r>
    </w:p>
    <w:p w14:paraId="0D6F63A3" w14:textId="77777777" w:rsidR="00A77B3E" w:rsidRPr="005B36A0" w:rsidRDefault="00A77B3E" w:rsidP="005B36A0">
      <w:pPr>
        <w:spacing w:line="360" w:lineRule="auto"/>
        <w:ind w:firstLine="480"/>
        <w:jc w:val="both"/>
        <w:rPr>
          <w:rFonts w:ascii="Book Antiqua" w:hAnsi="Book Antiqua"/>
        </w:rPr>
      </w:pPr>
    </w:p>
    <w:p w14:paraId="054E111A"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History of past illness</w:t>
      </w:r>
    </w:p>
    <w:p w14:paraId="1EF2BE5B"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 xml:space="preserve">The patient denied any history of diabetes mellitus, trauma, drinking, poisoning, </w:t>
      </w:r>
      <w:r w:rsidRPr="005B36A0">
        <w:rPr>
          <w:rFonts w:ascii="Book Antiqua" w:eastAsia="Book Antiqua" w:hAnsi="Book Antiqua" w:cs="Book Antiqua"/>
          <w:i/>
          <w:iCs/>
          <w:color w:val="000000"/>
        </w:rPr>
        <w:t>etc.</w:t>
      </w:r>
    </w:p>
    <w:p w14:paraId="617D6D77" w14:textId="77777777" w:rsidR="00A77B3E" w:rsidRPr="005B36A0" w:rsidRDefault="00A77B3E" w:rsidP="005B36A0">
      <w:pPr>
        <w:spacing w:line="360" w:lineRule="auto"/>
        <w:jc w:val="both"/>
        <w:rPr>
          <w:rFonts w:ascii="Book Antiqua" w:hAnsi="Book Antiqua"/>
        </w:rPr>
      </w:pPr>
    </w:p>
    <w:p w14:paraId="23DD6837"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Personal and family history</w:t>
      </w:r>
    </w:p>
    <w:p w14:paraId="7FF3D4BA" w14:textId="2221DDC0"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The patient denied any family history of similar diseases or the past use of special drugs.</w:t>
      </w:r>
    </w:p>
    <w:p w14:paraId="4834E01A" w14:textId="77777777" w:rsidR="00A77B3E" w:rsidRPr="005B36A0" w:rsidRDefault="00A77B3E" w:rsidP="005B36A0">
      <w:pPr>
        <w:spacing w:line="360" w:lineRule="auto"/>
        <w:jc w:val="both"/>
        <w:rPr>
          <w:rFonts w:ascii="Book Antiqua" w:hAnsi="Book Antiqua"/>
        </w:rPr>
      </w:pPr>
    </w:p>
    <w:p w14:paraId="2F861B17"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Physical examination</w:t>
      </w:r>
    </w:p>
    <w:p w14:paraId="46CA0C6F"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 xml:space="preserve">There was no wound or scar on the right arm, no apparent muscle atrophy of the right forearm, but restricted active dorsiflexion of the right fingers. This was the most obvious for the middle finger, with muscle strength at grade 2. Passive dorsiflexion was possible, with no limitation of bilateral wrist extension (Figure 1A and B), but the strength of the supinator muscle of the right forearm was relatively poor (grade 4). The </w:t>
      </w:r>
      <w:r w:rsidRPr="005B36A0">
        <w:rPr>
          <w:rFonts w:ascii="Book Antiqua" w:eastAsia="Book Antiqua" w:hAnsi="Book Antiqua" w:cs="Book Antiqua"/>
          <w:color w:val="000000"/>
        </w:rPr>
        <w:lastRenderedPageBreak/>
        <w:t>flexion-extension motion of the elbow and wrist joints was normal, and there were no abnormalities in the sensations of pain or touch in the forearm or hand.</w:t>
      </w:r>
    </w:p>
    <w:p w14:paraId="504BD850" w14:textId="77777777" w:rsidR="00A77B3E" w:rsidRPr="005B36A0" w:rsidRDefault="00A77B3E" w:rsidP="005B36A0">
      <w:pPr>
        <w:spacing w:line="360" w:lineRule="auto"/>
        <w:ind w:firstLine="480"/>
        <w:jc w:val="both"/>
        <w:rPr>
          <w:rFonts w:ascii="Book Antiqua" w:hAnsi="Book Antiqua"/>
        </w:rPr>
      </w:pPr>
    </w:p>
    <w:p w14:paraId="08B654AD"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Laboratory examinations</w:t>
      </w:r>
    </w:p>
    <w:p w14:paraId="55DB1BA1" w14:textId="60DC20C2"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The neural electrophysiological examination performed on July 25, 2022, showed that the motor conduction amplitude and velocity of the right radial nerve were low, while the conduction of the right superficial radial nerve had no significant abnormality. Moreover, a small number of spontaneous potentials were detected in some of the right arm muscles. These are the electrophysiological manifestations of partial PIN injury of the right radius (Figure 2A</w:t>
      </w:r>
      <w:r w:rsidR="00992A78" w:rsidRPr="005B36A0">
        <w:rPr>
          <w:rFonts w:ascii="Book Antiqua" w:eastAsia="Book Antiqua" w:hAnsi="Book Antiqua" w:cs="Book Antiqua"/>
          <w:color w:val="000000"/>
        </w:rPr>
        <w:t>-</w:t>
      </w:r>
      <w:r w:rsidRPr="005B36A0">
        <w:rPr>
          <w:rFonts w:ascii="Book Antiqua" w:eastAsia="Book Antiqua" w:hAnsi="Book Antiqua" w:cs="Book Antiqua"/>
          <w:color w:val="000000"/>
        </w:rPr>
        <w:t>D).</w:t>
      </w:r>
    </w:p>
    <w:p w14:paraId="51BFE4D3" w14:textId="77777777" w:rsidR="00A77B3E" w:rsidRPr="005B36A0" w:rsidRDefault="00A77B3E" w:rsidP="005B36A0">
      <w:pPr>
        <w:spacing w:line="360" w:lineRule="auto"/>
        <w:ind w:firstLine="480"/>
        <w:jc w:val="both"/>
        <w:rPr>
          <w:rFonts w:ascii="Book Antiqua" w:hAnsi="Book Antiqua"/>
        </w:rPr>
      </w:pPr>
    </w:p>
    <w:p w14:paraId="49BA5DB9"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i/>
          <w:color w:val="000000"/>
        </w:rPr>
        <w:t>Imaging examinations</w:t>
      </w:r>
    </w:p>
    <w:p w14:paraId="0DAA71B4"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shd w:val="clear" w:color="auto" w:fill="FFFFFF"/>
        </w:rPr>
        <w:t>According to the musculoskeletal ultrasound examination on July 26, 2022, there were no abnormalities in the C5, C6, C7, or C8 nerve root, the brachial plexus nerve, the ulnar nerve, or the median nerve on the right side. No obvious mass was found in the region of the nerve course. The right supinator muscle was thicker than the left one, and tendinous thickening at the inlet of the Frohse arch was observed, where the nerves were compressed, thinned, and partially adhered to surrounding tissues, with unclear boundaries (Figure 3A). The branches of the PIN swelled and thickened after leaving the supinator tunnel (Figure 3C). PIN entrapment was observed on the longitudinal axis, and the nerves distal to the entrapment point showed swelling, thickening, and myelin thickening, with unclear boundaries with surrounding tissues (Figure 3E). Given all the above, entrapment of right PIN and its branches was diagnosed.</w:t>
      </w:r>
    </w:p>
    <w:p w14:paraId="5ED8C4A8" w14:textId="77777777" w:rsidR="00A77B3E" w:rsidRPr="005B36A0" w:rsidRDefault="00A77B3E" w:rsidP="005B36A0">
      <w:pPr>
        <w:spacing w:line="360" w:lineRule="auto"/>
        <w:ind w:firstLine="480"/>
        <w:jc w:val="both"/>
        <w:rPr>
          <w:rFonts w:ascii="Book Antiqua" w:hAnsi="Book Antiqua"/>
        </w:rPr>
      </w:pPr>
    </w:p>
    <w:p w14:paraId="3CFD38B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FINAL DIAGNOSIS</w:t>
      </w:r>
    </w:p>
    <w:p w14:paraId="5974F26F"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rPr>
        <w:t xml:space="preserve">As an automobile mechanic who had frequently repeated right forearm for a long time, the patient had a chronic course of disease, manifested as weakness of right finger extension (which was gradually exacerbated) and weakness of forearm supination. These were indicated by the neural electrophysiological finding that the PIN of the right </w:t>
      </w:r>
      <w:r w:rsidRPr="005B36A0">
        <w:rPr>
          <w:rFonts w:ascii="Book Antiqua" w:eastAsia="Book Antiqua" w:hAnsi="Book Antiqua" w:cs="Book Antiqua"/>
          <w:color w:val="000000"/>
        </w:rPr>
        <w:lastRenderedPageBreak/>
        <w:t>radius was partially injured. Musculoskeletal ultrasound showed that the PIN was compressed and thinned after passing through the supinator muscle, and it was thickened at the distal and proximal ends of the entrapment. Hence, PIN entrapment syndrome was diagnosed.</w:t>
      </w:r>
    </w:p>
    <w:p w14:paraId="76856A22" w14:textId="77777777" w:rsidR="00A77B3E" w:rsidRPr="005B36A0" w:rsidRDefault="00A77B3E" w:rsidP="005B36A0">
      <w:pPr>
        <w:spacing w:line="360" w:lineRule="auto"/>
        <w:ind w:firstLine="480"/>
        <w:jc w:val="both"/>
        <w:rPr>
          <w:rFonts w:ascii="Book Antiqua" w:hAnsi="Book Antiqua"/>
        </w:rPr>
      </w:pPr>
    </w:p>
    <w:p w14:paraId="7745841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TREATMENT</w:t>
      </w:r>
    </w:p>
    <w:p w14:paraId="40E8B221" w14:textId="769B4BA5"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shd w:val="clear" w:color="auto" w:fill="FFFFFF"/>
        </w:rPr>
        <w:t>The patient had a definite diagnosis, no obvious contraindications to puncture, and no history of drug allergy. After fully communicating with the patient and obtaining his informed consent, our department performed ultrasound-guided hydrodissection of the entrapped PIN with a 5</w:t>
      </w:r>
      <w:r w:rsidRPr="005B36A0">
        <w:rPr>
          <w:rFonts w:ascii="Book Antiqua" w:eastAsia="Book Antiqua" w:hAnsi="Book Antiqua" w:cs="Book Antiqua"/>
          <w:color w:val="000000"/>
        </w:rPr>
        <w:t>% glucose injection using a 5 mL</w:t>
      </w:r>
      <w:r w:rsidR="00FB1321" w:rsidRPr="005B36A0">
        <w:rPr>
          <w:rFonts w:ascii="Book Antiqua" w:eastAsia="Book Antiqua" w:hAnsi="Book Antiqua" w:cs="Book Antiqua"/>
          <w:color w:val="000000"/>
        </w:rPr>
        <w:t xml:space="preserve"> </w:t>
      </w:r>
      <w:r w:rsidRPr="005B36A0">
        <w:rPr>
          <w:rFonts w:ascii="Book Antiqua" w:eastAsia="Book Antiqua" w:hAnsi="Book Antiqua" w:cs="Book Antiqua"/>
          <w:color w:val="000000"/>
        </w:rPr>
        <w:t>syringe and matched</w:t>
      </w:r>
      <w:r w:rsidR="00FB1321" w:rsidRPr="005B36A0">
        <w:rPr>
          <w:rFonts w:ascii="Book Antiqua" w:eastAsia="Book Antiqua" w:hAnsi="Book Antiqua" w:cs="Book Antiqua"/>
          <w:color w:val="000000"/>
        </w:rPr>
        <w:t xml:space="preserve"> </w:t>
      </w:r>
      <w:r w:rsidR="00497823" w:rsidRPr="005B36A0">
        <w:rPr>
          <w:rFonts w:ascii="Book Antiqua" w:eastAsia="Book Antiqua" w:hAnsi="Book Antiqua" w:cs="Book Antiqua"/>
          <w:color w:val="000000"/>
        </w:rPr>
        <w:t>No</w:t>
      </w:r>
      <w:r w:rsidRPr="005B36A0">
        <w:rPr>
          <w:rFonts w:ascii="Book Antiqua" w:eastAsia="Book Antiqua" w:hAnsi="Book Antiqua" w:cs="Book Antiqua"/>
          <w:color w:val="000000"/>
        </w:rPr>
        <w:t>. 7</w:t>
      </w:r>
      <w:r w:rsidR="00FB1321" w:rsidRPr="005B36A0">
        <w:rPr>
          <w:rFonts w:ascii="Book Antiqua" w:eastAsia="Book Antiqua" w:hAnsi="Book Antiqua" w:cs="Book Antiqua"/>
          <w:color w:val="000000"/>
        </w:rPr>
        <w:t xml:space="preserve"> </w:t>
      </w:r>
      <w:r w:rsidRPr="005B36A0">
        <w:rPr>
          <w:rFonts w:ascii="Book Antiqua" w:eastAsia="Book Antiqua" w:hAnsi="Book Antiqua" w:cs="Book Antiqua"/>
          <w:color w:val="000000"/>
        </w:rPr>
        <w:t>needle. Specifically, 2-3 mL of 5% glucose was injected at each of the six points around the PIN entrapment points at the inlet of the Frohse arch and the outlet of the supinator muscle tunnel (Figure 4). Then, dissection of the nerve from the surrounding adhesive tissues could be observed. After injec</w:t>
      </w:r>
      <w:r w:rsidRPr="005B36A0">
        <w:rPr>
          <w:rFonts w:ascii="Book Antiqua" w:eastAsia="Book Antiqua" w:hAnsi="Book Antiqua" w:cs="Book Antiqua"/>
          <w:color w:val="000000"/>
          <w:shd w:val="clear" w:color="auto" w:fill="FFFFFF"/>
        </w:rPr>
        <w:t>tion, the patient received education on rehabilitation, and he was recommended to change the type of work he did to avoid repeated pronation and supination movements of the arm.</w:t>
      </w:r>
    </w:p>
    <w:p w14:paraId="3A06851D" w14:textId="77777777" w:rsidR="00A77B3E" w:rsidRPr="005B36A0" w:rsidRDefault="00A77B3E" w:rsidP="005B36A0">
      <w:pPr>
        <w:spacing w:line="360" w:lineRule="auto"/>
        <w:ind w:firstLine="480"/>
        <w:jc w:val="both"/>
        <w:rPr>
          <w:rFonts w:ascii="Book Antiqua" w:hAnsi="Book Antiqua"/>
        </w:rPr>
      </w:pPr>
    </w:p>
    <w:p w14:paraId="272D7D4F"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OUTCOME AND FOLLOW-UP</w:t>
      </w:r>
    </w:p>
    <w:p w14:paraId="172CF606" w14:textId="3E5EF891"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shd w:val="clear" w:color="auto" w:fill="FFFFFF"/>
        </w:rPr>
        <w:t xml:space="preserve">One week after injection, the weakness of right finger extension was improved compared with that before injection (Table 1), the strength of right extensor digitorum was recovered to grade 3, but the strength of the supinator muscle of the right forearm was not significantly ameliorated. After 3 mo, the strength of his right extensor digitorum had recovered to grade 4+, and that of the </w:t>
      </w:r>
      <w:r w:rsidRPr="005B36A0">
        <w:rPr>
          <w:rFonts w:ascii="Book Antiqua" w:eastAsia="Book Antiqua" w:hAnsi="Book Antiqua" w:cs="Book Antiqua"/>
          <w:color w:val="000000"/>
        </w:rPr>
        <w:t>supinator muscle</w:t>
      </w:r>
      <w:r w:rsidRPr="005B36A0">
        <w:rPr>
          <w:rFonts w:ascii="Book Antiqua" w:eastAsia="Book Antiqua" w:hAnsi="Book Antiqua" w:cs="Book Antiqua"/>
          <w:color w:val="000000"/>
          <w:shd w:val="clear" w:color="auto" w:fill="FFFFFF"/>
        </w:rPr>
        <w:t xml:space="preserve"> of his right forearm was at grade 5-. These both allowed fully normal daily life and work activities. </w:t>
      </w:r>
      <w:r w:rsidRPr="005B36A0">
        <w:rPr>
          <w:rFonts w:ascii="Book Antiqua" w:eastAsia="Book Antiqua" w:hAnsi="Book Antiqua" w:cs="Book Antiqua"/>
          <w:color w:val="000000"/>
        </w:rPr>
        <w:t xml:space="preserve">As revealed by the neural electrophysiological reexamination on October 28, 2022, the amplitude and velocity of motor conduction of the right radial nerve were basically restored to normal levels, markedly better than the findings of July 25. Moreover, no spontaneous potential was found in the right arm muscles. To sum up, the PIN of the right radius was generally normal (Figure 2, </w:t>
      </w:r>
      <w:r w:rsidR="00C911B2" w:rsidRPr="005B36A0">
        <w:rPr>
          <w:rFonts w:ascii="Book Antiqua" w:eastAsia="Book Antiqua" w:hAnsi="Book Antiqua" w:cs="Book Antiqua"/>
          <w:color w:val="000000"/>
        </w:rPr>
        <w:t>A</w:t>
      </w:r>
      <w:r w:rsidR="00C911B2">
        <w:rPr>
          <w:rFonts w:ascii="Book Antiqua" w:eastAsia="Book Antiqua" w:hAnsi="Book Antiqua" w:cs="Book Antiqua"/>
          <w:color w:val="000000"/>
        </w:rPr>
        <w:t>-I</w:t>
      </w:r>
      <w:r w:rsidRPr="005B36A0">
        <w:rPr>
          <w:rFonts w:ascii="Book Antiqua" w:eastAsia="Book Antiqua" w:hAnsi="Book Antiqua" w:cs="Book Antiqua"/>
          <w:color w:val="000000"/>
        </w:rPr>
        <w:t>/</w:t>
      </w:r>
      <w:r w:rsidR="00C911B2">
        <w:rPr>
          <w:rFonts w:ascii="Book Antiqua" w:eastAsia="Book Antiqua" w:hAnsi="Book Antiqua" w:cs="Book Antiqua"/>
          <w:color w:val="000000"/>
        </w:rPr>
        <w:t>II</w:t>
      </w:r>
      <w:r w:rsidRPr="005B36A0">
        <w:rPr>
          <w:rFonts w:ascii="Book Antiqua" w:eastAsia="Book Antiqua" w:hAnsi="Book Antiqua" w:cs="Book Antiqua"/>
          <w:color w:val="000000"/>
        </w:rPr>
        <w:t xml:space="preserve">, </w:t>
      </w:r>
      <w:r w:rsidR="00C911B2" w:rsidRPr="005B36A0">
        <w:rPr>
          <w:rFonts w:ascii="Book Antiqua" w:eastAsia="Book Antiqua" w:hAnsi="Book Antiqua" w:cs="Book Antiqua"/>
          <w:color w:val="000000"/>
        </w:rPr>
        <w:t>B</w:t>
      </w:r>
      <w:r w:rsidR="00C911B2">
        <w:rPr>
          <w:rFonts w:ascii="Book Antiqua" w:eastAsia="Book Antiqua" w:hAnsi="Book Antiqua" w:cs="Book Antiqua"/>
          <w:color w:val="000000"/>
        </w:rPr>
        <w:t>-I</w:t>
      </w:r>
      <w:r w:rsidRPr="005B36A0">
        <w:rPr>
          <w:rFonts w:ascii="Book Antiqua" w:eastAsia="Book Antiqua" w:hAnsi="Book Antiqua" w:cs="Book Antiqua"/>
          <w:color w:val="000000"/>
        </w:rPr>
        <w:t>/</w:t>
      </w:r>
      <w:r w:rsidR="00C911B2">
        <w:rPr>
          <w:rFonts w:ascii="Book Antiqua" w:eastAsia="Book Antiqua" w:hAnsi="Book Antiqua" w:cs="Book Antiqua"/>
          <w:color w:val="000000"/>
        </w:rPr>
        <w:t>II</w:t>
      </w:r>
      <w:r w:rsidRPr="005B36A0">
        <w:rPr>
          <w:rFonts w:ascii="Book Antiqua" w:eastAsia="Book Antiqua" w:hAnsi="Book Antiqua" w:cs="Book Antiqua"/>
          <w:color w:val="000000"/>
        </w:rPr>
        <w:t xml:space="preserve">, and </w:t>
      </w:r>
      <w:r w:rsidR="00C911B2" w:rsidRPr="005B36A0">
        <w:rPr>
          <w:rFonts w:ascii="Book Antiqua" w:eastAsia="Book Antiqua" w:hAnsi="Book Antiqua" w:cs="Book Antiqua"/>
          <w:color w:val="000000"/>
        </w:rPr>
        <w:t>C</w:t>
      </w:r>
      <w:r w:rsidR="00C911B2">
        <w:rPr>
          <w:rFonts w:ascii="Book Antiqua" w:eastAsia="Book Antiqua" w:hAnsi="Book Antiqua" w:cs="Book Antiqua"/>
          <w:color w:val="000000"/>
        </w:rPr>
        <w:t>-I</w:t>
      </w:r>
      <w:r w:rsidRPr="005B36A0">
        <w:rPr>
          <w:rFonts w:ascii="Book Antiqua" w:eastAsia="Book Antiqua" w:hAnsi="Book Antiqua" w:cs="Book Antiqua"/>
          <w:color w:val="000000"/>
        </w:rPr>
        <w:t>/</w:t>
      </w:r>
      <w:r w:rsidR="00C911B2">
        <w:rPr>
          <w:rFonts w:ascii="Book Antiqua" w:eastAsia="Book Antiqua" w:hAnsi="Book Antiqua" w:cs="Book Antiqua"/>
          <w:color w:val="000000"/>
        </w:rPr>
        <w:t>II</w:t>
      </w:r>
      <w:r w:rsidRPr="005B36A0">
        <w:rPr>
          <w:rFonts w:ascii="Book Antiqua" w:eastAsia="Book Antiqua" w:hAnsi="Book Antiqua" w:cs="Book Antiqua"/>
          <w:color w:val="000000"/>
        </w:rPr>
        <w:t>).</w:t>
      </w:r>
    </w:p>
    <w:p w14:paraId="32E7121B" w14:textId="77777777" w:rsidR="00A77B3E" w:rsidRPr="005B36A0" w:rsidRDefault="00A77B3E" w:rsidP="005B36A0">
      <w:pPr>
        <w:spacing w:line="360" w:lineRule="auto"/>
        <w:ind w:firstLine="480"/>
        <w:jc w:val="both"/>
        <w:rPr>
          <w:rFonts w:ascii="Book Antiqua" w:hAnsi="Book Antiqua"/>
        </w:rPr>
      </w:pPr>
    </w:p>
    <w:p w14:paraId="65AE6C0D"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DISCUSSION</w:t>
      </w:r>
    </w:p>
    <w:p w14:paraId="6F740B2E" w14:textId="3DE4BCAA"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shd w:val="clear" w:color="auto" w:fill="FFFFFF"/>
        </w:rPr>
        <w:t>PIN entrapment syndrome refers to the compression of the deep branch of the radial nerve, usually manifesting as incomplete paralysis of the forearm extensor muscles innervated by the deep branch of radial nerve, including thumb abduction dysfunction, finger extension dysfunction, and forearm pain. The etiology of nontraumatic PIN syndrome is classified as mechanical and nonmechanical. The former is induced by external pressure on the nerve, and the latter is attributed to inherent inflammatory response within the nerve</w:t>
      </w:r>
      <w:r w:rsidRPr="005B36A0">
        <w:rPr>
          <w:rFonts w:ascii="Book Antiqua" w:eastAsia="Book Antiqua" w:hAnsi="Book Antiqua" w:cs="Book Antiqua"/>
          <w:color w:val="000000"/>
          <w:shd w:val="clear" w:color="auto" w:fill="FFFFFF"/>
          <w:vertAlign w:val="superscript"/>
        </w:rPr>
        <w:t>[5]</w:t>
      </w:r>
      <w:r w:rsidRPr="005B36A0">
        <w:rPr>
          <w:rFonts w:ascii="Book Antiqua" w:eastAsia="Book Antiqua" w:hAnsi="Book Antiqua" w:cs="Book Antiqua"/>
          <w:color w:val="000000"/>
          <w:shd w:val="clear" w:color="auto" w:fill="FFFFFF"/>
        </w:rPr>
        <w:t>. The former is more common, and long-term mechanical repetition of pronation and supination movements of the forearm and entrapment of the Frohse tendon arch or tensioned supinator muscle are the leading causes of PIN entrapment syndrome</w:t>
      </w:r>
      <w:r w:rsidRPr="005B36A0">
        <w:rPr>
          <w:rFonts w:ascii="Book Antiqua" w:eastAsia="Book Antiqua" w:hAnsi="Book Antiqua" w:cs="Book Antiqua"/>
          <w:color w:val="000000"/>
          <w:shd w:val="clear" w:color="auto" w:fill="FFFFFF"/>
          <w:vertAlign w:val="superscript"/>
        </w:rPr>
        <w:t>[6]</w:t>
      </w:r>
      <w:r w:rsidRPr="005B36A0">
        <w:rPr>
          <w:rFonts w:ascii="Book Antiqua" w:eastAsia="Book Antiqua" w:hAnsi="Book Antiqua" w:cs="Book Antiqua"/>
          <w:color w:val="000000"/>
          <w:shd w:val="clear" w:color="auto" w:fill="FFFFFF"/>
        </w:rPr>
        <w:t>. Radial head fracture, dislocation, lipoma in the supinator tunnel, entrapment by a ganglion cyst, pyogenic arthritis, rheumatoid synovitis, and vasculitis can also result in PIN entrapment</w:t>
      </w:r>
      <w:r w:rsidRPr="005B36A0">
        <w:rPr>
          <w:rFonts w:ascii="Book Antiqua" w:eastAsia="Book Antiqua" w:hAnsi="Book Antiqua" w:cs="Book Antiqua"/>
          <w:color w:val="000000"/>
          <w:shd w:val="clear" w:color="auto" w:fill="FFFFFF"/>
          <w:vertAlign w:val="superscript"/>
        </w:rPr>
        <w:t>[7-9]</w:t>
      </w:r>
      <w:r w:rsidRPr="005B36A0">
        <w:rPr>
          <w:rFonts w:ascii="Book Antiqua" w:eastAsia="Book Antiqua" w:hAnsi="Book Antiqua" w:cs="Book Antiqua"/>
          <w:color w:val="000000"/>
          <w:shd w:val="clear" w:color="auto" w:fill="FFFFFF"/>
        </w:rPr>
        <w:t>. In this case, the patient was an automobile mechanic, so we concluded that the long-term, repetitive screwing and rotation movements of the forearm thickened the Frohse arch to cause PIN entrapment.</w:t>
      </w:r>
    </w:p>
    <w:p w14:paraId="51DDE975" w14:textId="09E4AD16" w:rsidR="00A77B3E" w:rsidRPr="005B36A0" w:rsidRDefault="00776E9A" w:rsidP="005B36A0">
      <w:pPr>
        <w:spacing w:line="360" w:lineRule="auto"/>
        <w:ind w:firstLine="480"/>
        <w:jc w:val="both"/>
        <w:rPr>
          <w:rFonts w:ascii="Book Antiqua" w:hAnsi="Book Antiqua"/>
        </w:rPr>
      </w:pPr>
      <w:r w:rsidRPr="005B36A0">
        <w:rPr>
          <w:rFonts w:ascii="Book Antiqua" w:eastAsia="Book Antiqua" w:hAnsi="Book Antiqua" w:cs="Book Antiqua"/>
          <w:color w:val="000000"/>
          <w:shd w:val="clear" w:color="auto" w:fill="FFFFFF"/>
        </w:rPr>
        <w:t>According to anatomical studies, the PIN presents a fishtail shape after passing through the supinator muscle. In its two relatively constant branches, the ulnar branch innervates the extensor digitorum minimis, extensor digitorum, and extensor carpi ulnaris, and the radial branch innervates the abductor pollicis longus, extensor pollicis brevis, and extensor indicis</w:t>
      </w:r>
      <w:r w:rsidRPr="005B36A0">
        <w:rPr>
          <w:rFonts w:ascii="Book Antiqua" w:eastAsia="Book Antiqua" w:hAnsi="Book Antiqua" w:cs="Book Antiqua"/>
          <w:color w:val="000000"/>
          <w:shd w:val="clear" w:color="auto" w:fill="FFFFFF"/>
          <w:vertAlign w:val="superscript"/>
        </w:rPr>
        <w:t>[10]</w:t>
      </w:r>
      <w:r w:rsidRPr="005B36A0">
        <w:rPr>
          <w:rFonts w:ascii="Book Antiqua" w:eastAsia="Book Antiqua" w:hAnsi="Book Antiqua" w:cs="Book Antiqua"/>
          <w:color w:val="000000"/>
          <w:shd w:val="clear" w:color="auto" w:fill="FFFFFF"/>
        </w:rPr>
        <w:t>. In this case, the patient only had weakness of finger extension and supination, with worse symptoms in the middle and ring fingers than the index finger, no disorders of thumb abduction or extension movements, and no pain in the elbow joint or forearm. We concluded that the ulnar branch of the PIN was the main part that was injured, the radial branch having no or mild injury.</w:t>
      </w:r>
    </w:p>
    <w:p w14:paraId="4952102F" w14:textId="24D0CEF4" w:rsidR="00A77B3E" w:rsidRPr="005B36A0" w:rsidRDefault="00776E9A" w:rsidP="005B36A0">
      <w:pPr>
        <w:spacing w:line="360" w:lineRule="auto"/>
        <w:ind w:firstLine="480"/>
        <w:jc w:val="both"/>
        <w:rPr>
          <w:rFonts w:ascii="Book Antiqua" w:hAnsi="Book Antiqua"/>
        </w:rPr>
      </w:pPr>
      <w:r w:rsidRPr="005B36A0">
        <w:rPr>
          <w:rFonts w:ascii="Book Antiqua" w:eastAsia="Book Antiqua" w:hAnsi="Book Antiqua" w:cs="Book Antiqua"/>
          <w:color w:val="000000"/>
          <w:shd w:val="clear" w:color="auto" w:fill="FFFFFF"/>
        </w:rPr>
        <w:t>The entrapment of peripheral nerves can lead to demyelinating changes in peripheral nerve fibers, and peripheral nerve myelin breakdown, axonal degeneration, and fibrous connective tissue hyperplasia are gradually worsen</w:t>
      </w:r>
      <w:r w:rsidRPr="005B36A0">
        <w:rPr>
          <w:rFonts w:ascii="Book Antiqua" w:eastAsia="Book Antiqua" w:hAnsi="Book Antiqua" w:cs="Book Antiqua"/>
          <w:color w:val="000000"/>
          <w:shd w:val="clear" w:color="auto" w:fill="FFFFFF"/>
          <w:vertAlign w:val="superscript"/>
        </w:rPr>
        <w:t>[3]</w:t>
      </w:r>
      <w:r w:rsidRPr="005B36A0">
        <w:rPr>
          <w:rFonts w:ascii="Book Antiqua" w:eastAsia="Book Antiqua" w:hAnsi="Book Antiqua" w:cs="Book Antiqua"/>
          <w:color w:val="000000"/>
          <w:shd w:val="clear" w:color="auto" w:fill="FFFFFF"/>
        </w:rPr>
        <w:t xml:space="preserve">, and the chance of nerve functional recovery decreases with longer entrapment time. Therefore, for similar </w:t>
      </w:r>
      <w:r w:rsidRPr="005B36A0">
        <w:rPr>
          <w:rFonts w:ascii="Book Antiqua" w:eastAsia="Book Antiqua" w:hAnsi="Book Antiqua" w:cs="Book Antiqua"/>
          <w:color w:val="000000"/>
          <w:shd w:val="clear" w:color="auto" w:fill="FFFFFF"/>
        </w:rPr>
        <w:lastRenderedPageBreak/>
        <w:t>cases in the clinic, definite diagnosis in the early stage, relief of nerve compression as early as possible, promotion of nerve functional recovery, and prevention of further nerve degeneration are the keys to treatment.</w:t>
      </w:r>
    </w:p>
    <w:p w14:paraId="6C43BD61" w14:textId="77777777" w:rsidR="00A77B3E" w:rsidRPr="005B36A0" w:rsidRDefault="00776E9A" w:rsidP="005B36A0">
      <w:pPr>
        <w:spacing w:line="360" w:lineRule="auto"/>
        <w:ind w:firstLine="480"/>
        <w:jc w:val="both"/>
        <w:rPr>
          <w:rFonts w:ascii="Book Antiqua" w:hAnsi="Book Antiqua"/>
        </w:rPr>
      </w:pPr>
      <w:r w:rsidRPr="005B36A0">
        <w:rPr>
          <w:rFonts w:ascii="Book Antiqua" w:eastAsia="Book Antiqua" w:hAnsi="Book Antiqua" w:cs="Book Antiqua"/>
          <w:color w:val="000000"/>
          <w:shd w:val="clear" w:color="auto" w:fill="FFFFFF"/>
        </w:rPr>
        <w:t>The clinical diagnosis of PIN entrapment syndrome mainly depends on its clinical symptoms. Due to the many similarities in PIN entrapment syndrome with other diseases in terms of etiology, clinical manifestations, and signs, misdiagnosis and missed diagnosis are likely. Various imaging methods for peripheral nerve injury fail to continuously and dynamically display the peripheral nerves, especially the small peripheral nerve branches, making them prone to misdiagnosis and missed diagnosis. Even the gold standard for diagnosing nerve entrapment lesions, electrophysiological diagnosis, cannot accurately locate the nerve compression. In this case, the electrophysiological examination of the patient suggest</w:t>
      </w:r>
      <w:r w:rsidRPr="005B36A0">
        <w:rPr>
          <w:rFonts w:ascii="Book Antiqua" w:eastAsia="Book Antiqua" w:hAnsi="Book Antiqua" w:cs="Book Antiqua"/>
          <w:color w:val="000000"/>
        </w:rPr>
        <w:t>ed PIN injury. Then, through ultrasound examination as well as observation and measurement of PIN morphology</w:t>
      </w:r>
      <w:r w:rsidRPr="005B36A0">
        <w:rPr>
          <w:rFonts w:ascii="Book Antiqua" w:eastAsia="Book Antiqua" w:hAnsi="Book Antiqua" w:cs="Book Antiqua"/>
          <w:color w:val="000000"/>
          <w:vertAlign w:val="superscript"/>
        </w:rPr>
        <w:t>[11]</w:t>
      </w:r>
      <w:r w:rsidRPr="005B36A0">
        <w:rPr>
          <w:rFonts w:ascii="Book Antiqua" w:eastAsia="Book Antiqua" w:hAnsi="Book Antiqua" w:cs="Book Antiqua"/>
          <w:color w:val="000000"/>
        </w:rPr>
        <w:t>, changes of internal echoes and surrounding anatomic structure, it was clar</w:t>
      </w:r>
      <w:r w:rsidRPr="005B36A0">
        <w:rPr>
          <w:rFonts w:ascii="Book Antiqua" w:eastAsia="Book Antiqua" w:hAnsi="Book Antiqua" w:cs="Book Antiqua"/>
          <w:color w:val="000000"/>
          <w:shd w:val="clear" w:color="auto" w:fill="FFFFFF"/>
        </w:rPr>
        <w:t>ified that the entrapment point was located at the inlet of the Frohse arch and the outlet of the supinator muscle. The patient's symptoms improved after the treatment with ultrasound-guided hydrodissection at the entrapment point. Therefore, ultrasound can serve as an important supplement to neural electrophysiology owing to its advantages of noninvasiveness, simplicity, continuous dynamic scanning, and bilateral comparison. It can provide precise visual guidance for injection therapies and more accurate treatment.</w:t>
      </w:r>
    </w:p>
    <w:p w14:paraId="7DC51810" w14:textId="7728388B" w:rsidR="00A77B3E" w:rsidRPr="005B36A0" w:rsidRDefault="00776E9A" w:rsidP="005B36A0">
      <w:pPr>
        <w:spacing w:line="360" w:lineRule="auto"/>
        <w:ind w:firstLine="480"/>
        <w:jc w:val="both"/>
        <w:rPr>
          <w:rFonts w:ascii="Book Antiqua" w:hAnsi="Book Antiqua"/>
        </w:rPr>
      </w:pPr>
      <w:r w:rsidRPr="005B36A0">
        <w:rPr>
          <w:rFonts w:ascii="Book Antiqua" w:eastAsia="Book Antiqua" w:hAnsi="Book Antiqua" w:cs="Book Antiqua"/>
          <w:color w:val="000000"/>
          <w:shd w:val="clear" w:color="auto" w:fill="FFFFFF"/>
        </w:rPr>
        <w:t xml:space="preserve">Currently, conventional conservative treatments (oral medication, physical therapy, </w:t>
      </w:r>
      <w:r w:rsidRPr="005B36A0">
        <w:rPr>
          <w:rFonts w:ascii="Book Antiqua" w:eastAsia="Book Antiqua" w:hAnsi="Book Antiqua" w:cs="Book Antiqua"/>
          <w:i/>
          <w:iCs/>
          <w:color w:val="000000"/>
          <w:shd w:val="clear" w:color="auto" w:fill="FFFFFF"/>
        </w:rPr>
        <w:t>etc.</w:t>
      </w:r>
      <w:r w:rsidRPr="005B36A0">
        <w:rPr>
          <w:rFonts w:ascii="Book Antiqua" w:eastAsia="Book Antiqua" w:hAnsi="Book Antiqua" w:cs="Book Antiqua"/>
          <w:color w:val="000000"/>
          <w:shd w:val="clear" w:color="auto" w:fill="FFFFFF"/>
        </w:rPr>
        <w:t xml:space="preserve">) for PIN entrapment syndrome have poor efficacy. PIN entrapment syndrome is mainly treated through surgery, where the Frohse arch and supinator tunnel are cut open to resect the tendinous part at the initial portion of the extensor carpi radialis brevis tendon and remove the causes of PIN entrapment. However, given the disadvantages of a long open incision and large trauma on the soft tissues around the forearm, this will cause soft tissue adhesion and scarring around the forearm after surgery, which may ultimately lead the PIN entrapment to recur. The nerve </w:t>
      </w:r>
      <w:r w:rsidRPr="005B36A0">
        <w:rPr>
          <w:rFonts w:ascii="Book Antiqua" w:eastAsia="Book Antiqua" w:hAnsi="Book Antiqua" w:cs="Book Antiqua"/>
          <w:color w:val="000000"/>
          <w:shd w:val="clear" w:color="auto" w:fill="FFFFFF"/>
        </w:rPr>
        <w:lastRenderedPageBreak/>
        <w:t>hydrodissection technique is a locally invasive treatment in which liquids are injected into the neuroanatomical space to promote perineural stripping and adhesion dissolution, reduce repetitive compression</w:t>
      </w:r>
      <w:r w:rsidRPr="005B36A0">
        <w:rPr>
          <w:rFonts w:ascii="Book Antiqua" w:eastAsia="Book Antiqua" w:hAnsi="Book Antiqua" w:cs="Book Antiqua"/>
          <w:color w:val="000000"/>
          <w:shd w:val="clear" w:color="auto" w:fill="FFFFFF"/>
          <w:vertAlign w:val="superscript"/>
        </w:rPr>
        <w:t>[12]</w:t>
      </w:r>
      <w:r w:rsidRPr="005B36A0">
        <w:rPr>
          <w:rFonts w:ascii="Book Antiqua" w:eastAsia="Book Antiqua" w:hAnsi="Book Antiqua" w:cs="Book Antiqua"/>
          <w:color w:val="000000"/>
          <w:shd w:val="clear" w:color="auto" w:fill="FFFFFF"/>
        </w:rPr>
        <w:t>, promote blood flow, enhance nerve conduction, and achieve physical separation and chemical repair, thereby exerting a therapeutic effect. The nerve hydrodissection technique has good clinical efficacy in treating carpal tunnel syndrome, cubital tunnel syndrome, lateral femoral cutaneous neuropathy, and common peroneal nerve entrapment syndrome</w:t>
      </w:r>
      <w:r w:rsidRPr="005B36A0">
        <w:rPr>
          <w:rFonts w:ascii="Book Antiqua" w:eastAsia="Book Antiqua" w:hAnsi="Book Antiqua" w:cs="Book Antiqua"/>
          <w:color w:val="000000"/>
          <w:shd w:val="clear" w:color="auto" w:fill="FFFFFF"/>
          <w:vertAlign w:val="superscript"/>
        </w:rPr>
        <w:t>[13</w:t>
      </w:r>
      <w:r w:rsidR="00953074" w:rsidRPr="005B36A0">
        <w:rPr>
          <w:rFonts w:ascii="Book Antiqua" w:eastAsia="Book Antiqua" w:hAnsi="Book Antiqua" w:cs="Book Antiqua"/>
          <w:color w:val="000000"/>
          <w:shd w:val="clear" w:color="auto" w:fill="FFFFFF"/>
          <w:vertAlign w:val="superscript"/>
        </w:rPr>
        <w:t>,</w:t>
      </w:r>
      <w:r w:rsidRPr="005B36A0">
        <w:rPr>
          <w:rFonts w:ascii="Book Antiqua" w:eastAsia="Book Antiqua" w:hAnsi="Book Antiqua" w:cs="Book Antiqua"/>
          <w:color w:val="000000"/>
          <w:shd w:val="clear" w:color="auto" w:fill="FFFFFF"/>
          <w:vertAlign w:val="superscript"/>
        </w:rPr>
        <w:t>14]</w:t>
      </w:r>
      <w:r w:rsidRPr="005B36A0">
        <w:rPr>
          <w:rFonts w:ascii="Book Antiqua" w:eastAsia="Book Antiqua" w:hAnsi="Book Antiqua" w:cs="Book Antiqua"/>
          <w:color w:val="000000"/>
          <w:shd w:val="clear" w:color="auto" w:fill="FFFFFF"/>
        </w:rPr>
        <w:t xml:space="preserve">. </w:t>
      </w:r>
      <w:r w:rsidRPr="005B36A0">
        <w:rPr>
          <w:rFonts w:ascii="Book Antiqua" w:eastAsia="Book Antiqua" w:hAnsi="Book Antiqua" w:cs="Book Antiqua"/>
          <w:color w:val="000000"/>
        </w:rPr>
        <w:t>By using ultrasound, perineural injections have become significantly safer and more effective</w:t>
      </w:r>
      <w:r w:rsidRPr="005B36A0">
        <w:rPr>
          <w:rFonts w:ascii="Book Antiqua" w:eastAsia="Book Antiqua" w:hAnsi="Book Antiqua" w:cs="Book Antiqua"/>
          <w:color w:val="000000"/>
          <w:vertAlign w:val="superscript"/>
        </w:rPr>
        <w:t>[15]</w:t>
      </w:r>
      <w:r w:rsidRPr="005B36A0">
        <w:rPr>
          <w:rFonts w:ascii="Book Antiqua" w:eastAsia="Book Antiqua" w:hAnsi="Book Antiqua" w:cs="Book Antiqua"/>
          <w:color w:val="000000"/>
        </w:rPr>
        <w:t xml:space="preserve">, but ultrasound-guided nerve hydrodissection for PIN entrapment syndrome has not </w:t>
      </w:r>
      <w:r w:rsidRPr="005B36A0">
        <w:rPr>
          <w:rFonts w:ascii="Book Antiqua" w:eastAsia="Book Antiqua" w:hAnsi="Book Antiqua" w:cs="Book Antiqua"/>
          <w:color w:val="000000"/>
          <w:shd w:val="clear" w:color="auto" w:fill="FFFFFF"/>
        </w:rPr>
        <w:t>been reported yet.</w:t>
      </w:r>
    </w:p>
    <w:p w14:paraId="0D391853" w14:textId="0CC72B6B" w:rsidR="00A77B3E" w:rsidRPr="005B36A0" w:rsidRDefault="00776E9A" w:rsidP="005B36A0">
      <w:pPr>
        <w:spacing w:line="360" w:lineRule="auto"/>
        <w:ind w:firstLine="480"/>
        <w:jc w:val="both"/>
        <w:rPr>
          <w:rFonts w:ascii="Book Antiqua" w:hAnsi="Book Antiqua"/>
        </w:rPr>
      </w:pPr>
      <w:r w:rsidRPr="005B36A0">
        <w:rPr>
          <w:rFonts w:ascii="Book Antiqua" w:eastAsia="Book Antiqua" w:hAnsi="Book Antiqua" w:cs="Book Antiqua"/>
          <w:color w:val="000000"/>
          <w:shd w:val="clear" w:color="auto" w:fill="FFFFFF"/>
        </w:rPr>
        <w:t>The available inject</w:t>
      </w:r>
      <w:r w:rsidRPr="005B36A0">
        <w:rPr>
          <w:rFonts w:ascii="Book Antiqua" w:eastAsia="Book Antiqua" w:hAnsi="Book Antiqua" w:cs="Book Antiqua"/>
          <w:color w:val="000000"/>
        </w:rPr>
        <w:t>ions for nerve hydrodissection include normal saline, 5% glucose, corticosteroid, local anesthetics, and platelet-rich plasma. Both 5% glucose and platelet-rich plasma always produce better results than vehicle control or corticosteroid, but the platelet-rich plasma has complex production process and high costs</w:t>
      </w:r>
      <w:r w:rsidRPr="005B36A0">
        <w:rPr>
          <w:rFonts w:ascii="Book Antiqua" w:eastAsia="Book Antiqua" w:hAnsi="Book Antiqua" w:cs="Book Antiqua"/>
          <w:color w:val="000000"/>
          <w:vertAlign w:val="superscript"/>
        </w:rPr>
        <w:t>[16]</w:t>
      </w:r>
      <w:r w:rsidRPr="005B36A0">
        <w:rPr>
          <w:rFonts w:ascii="Book Antiqua" w:eastAsia="Book Antiqua" w:hAnsi="Book Antiqua" w:cs="Book Antiqua"/>
          <w:color w:val="000000"/>
        </w:rPr>
        <w:t>. Therefore, this patient received nerve hydrodissection combined with 5% glucose solution. The efficacy study confirmed that nerve hydrodiss</w:t>
      </w:r>
      <w:r w:rsidRPr="005B36A0">
        <w:rPr>
          <w:rFonts w:ascii="Book Antiqua" w:eastAsia="Book Antiqua" w:hAnsi="Book Antiqua" w:cs="Book Antiqua"/>
          <w:color w:val="000000"/>
          <w:shd w:val="clear" w:color="auto" w:fill="FFFFFF"/>
        </w:rPr>
        <w:t>ection combined with 5% glucose effectively improved this patient’s PIN entrapment-induced motor dysfunction. Moreover, no immobilization of the elbow joint or forearm was needed after the injection. The treatment did not affect the daily life of the patient, nor did it cause forearm movement dysfunction due to long-term immobilization of the elbow joint and forearm.</w:t>
      </w:r>
    </w:p>
    <w:p w14:paraId="6266DB07" w14:textId="77777777" w:rsidR="00A77B3E" w:rsidRPr="005B36A0" w:rsidRDefault="00A77B3E" w:rsidP="005B36A0">
      <w:pPr>
        <w:spacing w:line="360" w:lineRule="auto"/>
        <w:ind w:firstLine="480"/>
        <w:jc w:val="both"/>
        <w:rPr>
          <w:rFonts w:ascii="Book Antiqua" w:hAnsi="Book Antiqua"/>
        </w:rPr>
      </w:pPr>
    </w:p>
    <w:p w14:paraId="1EED8232"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aps/>
          <w:color w:val="000000"/>
          <w:u w:val="single"/>
        </w:rPr>
        <w:t>CONCLUSION</w:t>
      </w:r>
    </w:p>
    <w:p w14:paraId="18A88C29"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color w:val="000000"/>
          <w:shd w:val="clear" w:color="auto" w:fill="FFFFFF"/>
        </w:rPr>
        <w:t xml:space="preserve">Ultrasound-guided injection is an ideal image-guided peripheral nerve interventional therapy, through which the appropriate path for needle insertion can be selected visually, and the nerve imaging and drug injection can be displayed in real time, thus reducing the patient's discomfort. There has been no report of ultrasound-guided nerve hydrodissection for PIN entrapment syndrome in China or elsewhere. This case report details the treatment of a patient by ultrasound-guided nerve hydrodissection in our </w:t>
      </w:r>
      <w:r w:rsidRPr="005B36A0">
        <w:rPr>
          <w:rFonts w:ascii="Book Antiqua" w:eastAsia="Book Antiqua" w:hAnsi="Book Antiqua" w:cs="Book Antiqua"/>
          <w:color w:val="000000"/>
          <w:shd w:val="clear" w:color="auto" w:fill="FFFFFF"/>
        </w:rPr>
        <w:lastRenderedPageBreak/>
        <w:t>department, the first report of its kind. A comprehensive evaluation of the efficacy suggests that the treatment is effective for PIN entrapment syndrome, with high clinical value and good application prospects.</w:t>
      </w:r>
    </w:p>
    <w:p w14:paraId="1515CC20" w14:textId="77777777" w:rsidR="00A77B3E" w:rsidRPr="005B36A0" w:rsidRDefault="00A77B3E" w:rsidP="005B36A0">
      <w:pPr>
        <w:spacing w:line="360" w:lineRule="auto"/>
        <w:ind w:firstLine="480"/>
        <w:jc w:val="both"/>
        <w:rPr>
          <w:rFonts w:ascii="Book Antiqua" w:hAnsi="Book Antiqua"/>
        </w:rPr>
      </w:pPr>
    </w:p>
    <w:p w14:paraId="0044A931"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REFERENCES</w:t>
      </w:r>
    </w:p>
    <w:p w14:paraId="53469C81"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 </w:t>
      </w:r>
      <w:r w:rsidRPr="005B36A0">
        <w:rPr>
          <w:rFonts w:ascii="Book Antiqua" w:hAnsi="Book Antiqua"/>
          <w:b/>
          <w:bCs/>
        </w:rPr>
        <w:t>Strohl AB</w:t>
      </w:r>
      <w:r w:rsidRPr="005B36A0">
        <w:rPr>
          <w:rFonts w:ascii="Book Antiqua" w:hAnsi="Book Antiqua"/>
        </w:rPr>
        <w:t xml:space="preserve">, Zelouf DS. Ulnar Tunnel Syndrome, Radial Tunnel Syndrome, Anterior Interosseous Nerve Syndrome, and Pronator Syndrome. </w:t>
      </w:r>
      <w:r w:rsidRPr="005B36A0">
        <w:rPr>
          <w:rFonts w:ascii="Book Antiqua" w:hAnsi="Book Antiqua"/>
          <w:i/>
          <w:iCs/>
        </w:rPr>
        <w:t>J Am Acad Orthop Surg</w:t>
      </w:r>
      <w:r w:rsidRPr="005B36A0">
        <w:rPr>
          <w:rFonts w:ascii="Book Antiqua" w:hAnsi="Book Antiqua"/>
        </w:rPr>
        <w:t xml:space="preserve"> 2017; </w:t>
      </w:r>
      <w:r w:rsidRPr="005B36A0">
        <w:rPr>
          <w:rFonts w:ascii="Book Antiqua" w:hAnsi="Book Antiqua"/>
          <w:b/>
          <w:bCs/>
        </w:rPr>
        <w:t>25</w:t>
      </w:r>
      <w:r w:rsidRPr="005B36A0">
        <w:rPr>
          <w:rFonts w:ascii="Book Antiqua" w:hAnsi="Book Antiqua"/>
        </w:rPr>
        <w:t>: e1-e10 [PMID: 27902538 DOI: 10.5435/JAAOS-D-16-00010]</w:t>
      </w:r>
    </w:p>
    <w:p w14:paraId="56EEE305"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2 </w:t>
      </w:r>
      <w:r w:rsidRPr="005B36A0">
        <w:rPr>
          <w:rFonts w:ascii="Book Antiqua" w:hAnsi="Book Antiqua"/>
          <w:b/>
          <w:bCs/>
        </w:rPr>
        <w:t>Bak K</w:t>
      </w:r>
      <w:r w:rsidRPr="005B36A0">
        <w:rPr>
          <w:rFonts w:ascii="Book Antiqua" w:hAnsi="Book Antiqua"/>
        </w:rPr>
        <w:t xml:space="preserve">, Tørholm C. [Supinator syndrome. Entrapment of the posterior interosseous nerve]. </w:t>
      </w:r>
      <w:r w:rsidRPr="005B36A0">
        <w:rPr>
          <w:rFonts w:ascii="Book Antiqua" w:hAnsi="Book Antiqua"/>
          <w:i/>
          <w:iCs/>
        </w:rPr>
        <w:t>Ugeskr Laeger</w:t>
      </w:r>
      <w:r w:rsidRPr="005B36A0">
        <w:rPr>
          <w:rFonts w:ascii="Book Antiqua" w:hAnsi="Book Antiqua"/>
        </w:rPr>
        <w:t xml:space="preserve"> 1996; </w:t>
      </w:r>
      <w:r w:rsidRPr="005B36A0">
        <w:rPr>
          <w:rFonts w:ascii="Book Antiqua" w:hAnsi="Book Antiqua"/>
          <w:b/>
          <w:bCs/>
        </w:rPr>
        <w:t>158</w:t>
      </w:r>
      <w:r w:rsidRPr="005B36A0">
        <w:rPr>
          <w:rFonts w:ascii="Book Antiqua" w:hAnsi="Book Antiqua"/>
        </w:rPr>
        <w:t>: 919-921 [PMID: 8638330]</w:t>
      </w:r>
    </w:p>
    <w:p w14:paraId="25880EB6"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3 </w:t>
      </w:r>
      <w:r w:rsidRPr="005B36A0">
        <w:rPr>
          <w:rFonts w:ascii="Book Antiqua" w:hAnsi="Book Antiqua"/>
          <w:b/>
          <w:bCs/>
        </w:rPr>
        <w:t>Matsumoto J</w:t>
      </w:r>
      <w:r w:rsidRPr="005B36A0">
        <w:rPr>
          <w:rFonts w:ascii="Book Antiqua" w:hAnsi="Book Antiqua"/>
        </w:rPr>
        <w:t xml:space="preserve">, Isu T, Kim K, Iwamoto N, Yamazaki K, Isobe M. Clinical Features and Surgical Treatment of Superficial Peroneal Nerve Entrapment Neuropathy. </w:t>
      </w:r>
      <w:r w:rsidRPr="005B36A0">
        <w:rPr>
          <w:rFonts w:ascii="Book Antiqua" w:hAnsi="Book Antiqua"/>
          <w:i/>
          <w:iCs/>
        </w:rPr>
        <w:t>Neurol Med Chir (Tokyo)</w:t>
      </w:r>
      <w:r w:rsidRPr="005B36A0">
        <w:rPr>
          <w:rFonts w:ascii="Book Antiqua" w:hAnsi="Book Antiqua"/>
        </w:rPr>
        <w:t xml:space="preserve"> 2018; </w:t>
      </w:r>
      <w:r w:rsidRPr="005B36A0">
        <w:rPr>
          <w:rFonts w:ascii="Book Antiqua" w:hAnsi="Book Antiqua"/>
          <w:b/>
          <w:bCs/>
        </w:rPr>
        <w:t>58</w:t>
      </w:r>
      <w:r w:rsidRPr="005B36A0">
        <w:rPr>
          <w:rFonts w:ascii="Book Antiqua" w:hAnsi="Book Antiqua"/>
        </w:rPr>
        <w:t>: 320-325 [PMID: 29925720 DOI: 10.2176/nmc.oa.2018-0039]</w:t>
      </w:r>
    </w:p>
    <w:p w14:paraId="6FA91210"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4 </w:t>
      </w:r>
      <w:r w:rsidRPr="005B36A0">
        <w:rPr>
          <w:rFonts w:ascii="Book Antiqua" w:hAnsi="Book Antiqua"/>
          <w:b/>
          <w:bCs/>
        </w:rPr>
        <w:t>Sancho Saldaña A</w:t>
      </w:r>
      <w:r w:rsidRPr="005B36A0">
        <w:rPr>
          <w:rFonts w:ascii="Book Antiqua" w:hAnsi="Book Antiqua"/>
        </w:rPr>
        <w:t xml:space="preserve">, Ciotti López M, Capablo Liesa JL. Posterior interosseous nerve syndrome as an isolated symptom of haemorrhagic stroke: The central mimicking the peripheral. </w:t>
      </w:r>
      <w:r w:rsidRPr="005B36A0">
        <w:rPr>
          <w:rFonts w:ascii="Book Antiqua" w:hAnsi="Book Antiqua"/>
          <w:i/>
          <w:iCs/>
        </w:rPr>
        <w:t>Neurologia (Engl Ed)</w:t>
      </w:r>
      <w:r w:rsidRPr="005B36A0">
        <w:rPr>
          <w:rFonts w:ascii="Book Antiqua" w:hAnsi="Book Antiqua"/>
        </w:rPr>
        <w:t xml:space="preserve"> 2020; </w:t>
      </w:r>
      <w:r w:rsidRPr="005B36A0">
        <w:rPr>
          <w:rFonts w:ascii="Book Antiqua" w:hAnsi="Book Antiqua"/>
          <w:b/>
          <w:bCs/>
        </w:rPr>
        <w:t>35</w:t>
      </w:r>
      <w:r w:rsidRPr="005B36A0">
        <w:rPr>
          <w:rFonts w:ascii="Book Antiqua" w:hAnsi="Book Antiqua"/>
        </w:rPr>
        <w:t>: 659-660 [PMID: 31771780 DOI: 10.1016/j.nrl.2019.08.003]</w:t>
      </w:r>
    </w:p>
    <w:p w14:paraId="4426E79F"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5 </w:t>
      </w:r>
      <w:r w:rsidRPr="005B36A0">
        <w:rPr>
          <w:rFonts w:ascii="Book Antiqua" w:hAnsi="Book Antiqua"/>
          <w:b/>
          <w:bCs/>
        </w:rPr>
        <w:t>Sigamoney KV</w:t>
      </w:r>
      <w:r w:rsidRPr="005B36A0">
        <w:rPr>
          <w:rFonts w:ascii="Book Antiqua" w:hAnsi="Book Antiqua"/>
        </w:rPr>
        <w:t xml:space="preserve">, Rashid A, Ng CY. Management of Atraumatic Posterior Interosseous Nerve Palsy. </w:t>
      </w:r>
      <w:r w:rsidRPr="005B36A0">
        <w:rPr>
          <w:rFonts w:ascii="Book Antiqua" w:hAnsi="Book Antiqua"/>
          <w:i/>
          <w:iCs/>
        </w:rPr>
        <w:t>J Hand Surg Am</w:t>
      </w:r>
      <w:r w:rsidRPr="005B36A0">
        <w:rPr>
          <w:rFonts w:ascii="Book Antiqua" w:hAnsi="Book Antiqua"/>
        </w:rPr>
        <w:t xml:space="preserve"> 2017; </w:t>
      </w:r>
      <w:r w:rsidRPr="005B36A0">
        <w:rPr>
          <w:rFonts w:ascii="Book Antiqua" w:hAnsi="Book Antiqua"/>
          <w:b/>
          <w:bCs/>
        </w:rPr>
        <w:t>42</w:t>
      </w:r>
      <w:r w:rsidRPr="005B36A0">
        <w:rPr>
          <w:rFonts w:ascii="Book Antiqua" w:hAnsi="Book Antiqua"/>
        </w:rPr>
        <w:t>: 826-830 [PMID: 28969808 DOI: 10.1016/j.jhsa.2017.07.026]</w:t>
      </w:r>
    </w:p>
    <w:p w14:paraId="2390A9B0"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6 </w:t>
      </w:r>
      <w:r w:rsidRPr="005B36A0">
        <w:rPr>
          <w:rFonts w:ascii="Book Antiqua" w:hAnsi="Book Antiqua"/>
          <w:b/>
          <w:bCs/>
        </w:rPr>
        <w:t>Schoen DC</w:t>
      </w:r>
      <w:r w:rsidRPr="005B36A0">
        <w:rPr>
          <w:rFonts w:ascii="Book Antiqua" w:hAnsi="Book Antiqua"/>
        </w:rPr>
        <w:t xml:space="preserve">. Upper extremity nerve entrapments. </w:t>
      </w:r>
      <w:r w:rsidRPr="005B36A0">
        <w:rPr>
          <w:rFonts w:ascii="Book Antiqua" w:hAnsi="Book Antiqua"/>
          <w:i/>
          <w:iCs/>
        </w:rPr>
        <w:t>Orthop Nurs</w:t>
      </w:r>
      <w:r w:rsidRPr="005B36A0">
        <w:rPr>
          <w:rFonts w:ascii="Book Antiqua" w:hAnsi="Book Antiqua"/>
        </w:rPr>
        <w:t xml:space="preserve"> 2002; </w:t>
      </w:r>
      <w:r w:rsidRPr="005B36A0">
        <w:rPr>
          <w:rFonts w:ascii="Book Antiqua" w:hAnsi="Book Antiqua"/>
          <w:b/>
          <w:bCs/>
        </w:rPr>
        <w:t>21</w:t>
      </w:r>
      <w:r w:rsidRPr="005B36A0">
        <w:rPr>
          <w:rFonts w:ascii="Book Antiqua" w:hAnsi="Book Antiqua"/>
        </w:rPr>
        <w:t>: 15-31; quiz 31-2 [PMID: 11949236 DOI: 10.1097/00006416-200203000-00005]</w:t>
      </w:r>
    </w:p>
    <w:p w14:paraId="7FCA8021"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7 </w:t>
      </w:r>
      <w:r w:rsidRPr="005B36A0">
        <w:rPr>
          <w:rFonts w:ascii="Book Antiqua" w:hAnsi="Book Antiqua"/>
          <w:b/>
          <w:bCs/>
        </w:rPr>
        <w:t>Kim Y</w:t>
      </w:r>
      <w:r w:rsidRPr="005B36A0">
        <w:rPr>
          <w:rFonts w:ascii="Book Antiqua" w:hAnsi="Book Antiqua"/>
        </w:rPr>
        <w:t xml:space="preserve">, Ha DH, Lee SM. Ultrasonographic findings of posterior interosseous nerve syndrome. </w:t>
      </w:r>
      <w:r w:rsidRPr="005B36A0">
        <w:rPr>
          <w:rFonts w:ascii="Book Antiqua" w:hAnsi="Book Antiqua"/>
          <w:i/>
          <w:iCs/>
        </w:rPr>
        <w:t>Ultrasonography</w:t>
      </w:r>
      <w:r w:rsidRPr="005B36A0">
        <w:rPr>
          <w:rFonts w:ascii="Book Antiqua" w:hAnsi="Book Antiqua"/>
        </w:rPr>
        <w:t xml:space="preserve"> 2017; </w:t>
      </w:r>
      <w:r w:rsidRPr="005B36A0">
        <w:rPr>
          <w:rFonts w:ascii="Book Antiqua" w:hAnsi="Book Antiqua"/>
          <w:b/>
          <w:bCs/>
        </w:rPr>
        <w:t>36</w:t>
      </w:r>
      <w:r w:rsidRPr="005B36A0">
        <w:rPr>
          <w:rFonts w:ascii="Book Antiqua" w:hAnsi="Book Antiqua"/>
        </w:rPr>
        <w:t>: 363-369 [PMID: 28494524 DOI: 10.14366/usg.17007]</w:t>
      </w:r>
    </w:p>
    <w:p w14:paraId="16A25EDD"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8 </w:t>
      </w:r>
      <w:r w:rsidRPr="005B36A0">
        <w:rPr>
          <w:rFonts w:ascii="Book Antiqua" w:hAnsi="Book Antiqua"/>
          <w:b/>
          <w:bCs/>
        </w:rPr>
        <w:t>Anania P</w:t>
      </w:r>
      <w:r w:rsidRPr="005B36A0">
        <w:rPr>
          <w:rFonts w:ascii="Book Antiqua" w:hAnsi="Book Antiqua"/>
        </w:rPr>
        <w:t xml:space="preserve">, Fiaschi P, Ceraudo M, Balestrino A, Zaottini F, Martinoli C, Gennaro S. Posterior interosseous nerve entrapments: review of the literature. Is the entrapment distal to the arcade of Frohse a really rare condition? </w:t>
      </w:r>
      <w:r w:rsidRPr="005B36A0">
        <w:rPr>
          <w:rFonts w:ascii="Book Antiqua" w:hAnsi="Book Antiqua"/>
          <w:i/>
          <w:iCs/>
        </w:rPr>
        <w:t>Acta Neurochir (Wien)</w:t>
      </w:r>
      <w:r w:rsidRPr="005B36A0">
        <w:rPr>
          <w:rFonts w:ascii="Book Antiqua" w:hAnsi="Book Antiqua"/>
        </w:rPr>
        <w:t xml:space="preserve"> 2018; </w:t>
      </w:r>
      <w:r w:rsidRPr="005B36A0">
        <w:rPr>
          <w:rFonts w:ascii="Book Antiqua" w:hAnsi="Book Antiqua"/>
          <w:b/>
          <w:bCs/>
        </w:rPr>
        <w:t>160</w:t>
      </w:r>
      <w:r w:rsidRPr="005B36A0">
        <w:rPr>
          <w:rFonts w:ascii="Book Antiqua" w:hAnsi="Book Antiqua"/>
        </w:rPr>
        <w:t>: 1857-1864 [PMID: 29974240 DOI: 10.1007/s00701-018-3615-8]</w:t>
      </w:r>
    </w:p>
    <w:p w14:paraId="6E1DF4E9" w14:textId="77777777" w:rsidR="003E196A" w:rsidRPr="005B36A0" w:rsidRDefault="003E196A" w:rsidP="005B36A0">
      <w:pPr>
        <w:spacing w:line="360" w:lineRule="auto"/>
        <w:jc w:val="both"/>
        <w:rPr>
          <w:rFonts w:ascii="Book Antiqua" w:hAnsi="Book Antiqua"/>
        </w:rPr>
      </w:pPr>
      <w:r w:rsidRPr="005B36A0">
        <w:rPr>
          <w:rFonts w:ascii="Book Antiqua" w:hAnsi="Book Antiqua"/>
        </w:rPr>
        <w:lastRenderedPageBreak/>
        <w:t xml:space="preserve">9 </w:t>
      </w:r>
      <w:r w:rsidRPr="005B36A0">
        <w:rPr>
          <w:rFonts w:ascii="Book Antiqua" w:hAnsi="Book Antiqua"/>
          <w:b/>
          <w:bCs/>
        </w:rPr>
        <w:t>Niu X</w:t>
      </w:r>
      <w:r w:rsidRPr="005B36A0">
        <w:rPr>
          <w:rFonts w:ascii="Book Antiqua" w:hAnsi="Book Antiqua"/>
        </w:rPr>
        <w:t xml:space="preserve">, Hu Y, Zha G, Hu J, Yi J, Xiao L. Posterior interosseous nerve syndrome secondary to compression by an intramuscular hemangioma. </w:t>
      </w:r>
      <w:r w:rsidRPr="005B36A0">
        <w:rPr>
          <w:rFonts w:ascii="Book Antiqua" w:hAnsi="Book Antiqua"/>
          <w:i/>
          <w:iCs/>
        </w:rPr>
        <w:t>Muscle Nerve</w:t>
      </w:r>
      <w:r w:rsidRPr="005B36A0">
        <w:rPr>
          <w:rFonts w:ascii="Book Antiqua" w:hAnsi="Book Antiqua"/>
        </w:rPr>
        <w:t xml:space="preserve"> 2019; </w:t>
      </w:r>
      <w:r w:rsidRPr="005B36A0">
        <w:rPr>
          <w:rFonts w:ascii="Book Antiqua" w:hAnsi="Book Antiqua"/>
          <w:b/>
          <w:bCs/>
        </w:rPr>
        <w:t>60</w:t>
      </w:r>
      <w:r w:rsidRPr="005B36A0">
        <w:rPr>
          <w:rFonts w:ascii="Book Antiqua" w:hAnsi="Book Antiqua"/>
        </w:rPr>
        <w:t>: E5-E6 [PMID: 31049980 DOI: 10.1002/mus.26506]</w:t>
      </w:r>
    </w:p>
    <w:p w14:paraId="0E498A6E"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10 </w:t>
      </w:r>
      <w:r w:rsidRPr="005B36A0">
        <w:rPr>
          <w:rFonts w:ascii="Book Antiqua" w:hAnsi="Book Antiqua"/>
          <w:b/>
          <w:bCs/>
        </w:rPr>
        <w:t>Hohenberger GM</w:t>
      </w:r>
      <w:r w:rsidRPr="005B36A0">
        <w:rPr>
          <w:rFonts w:ascii="Book Antiqua" w:hAnsi="Book Antiqua"/>
        </w:rPr>
        <w:t xml:space="preserve">, Schwarz AM, Grechenig P, Maier MJ, Schwarz U, Kuchling S, Gänsslen A, Weiglein AH. Morphology of the Posterior Interosseous Nerve with Regard to Entrapment Syndrome. </w:t>
      </w:r>
      <w:r w:rsidRPr="005B36A0">
        <w:rPr>
          <w:rFonts w:ascii="Book Antiqua" w:hAnsi="Book Antiqua"/>
          <w:i/>
          <w:iCs/>
        </w:rPr>
        <w:t>Indian J Orthop</w:t>
      </w:r>
      <w:r w:rsidRPr="005B36A0">
        <w:rPr>
          <w:rFonts w:ascii="Book Antiqua" w:hAnsi="Book Antiqua"/>
        </w:rPr>
        <w:t xml:space="preserve"> 2020; </w:t>
      </w:r>
      <w:r w:rsidRPr="005B36A0">
        <w:rPr>
          <w:rFonts w:ascii="Book Antiqua" w:hAnsi="Book Antiqua"/>
          <w:b/>
          <w:bCs/>
        </w:rPr>
        <w:t>54</w:t>
      </w:r>
      <w:r w:rsidRPr="005B36A0">
        <w:rPr>
          <w:rFonts w:ascii="Book Antiqua" w:hAnsi="Book Antiqua"/>
        </w:rPr>
        <w:t>: 188-192 [PMID: 32952929 DOI: 10.1007/s43465-020-00084-9]</w:t>
      </w:r>
    </w:p>
    <w:p w14:paraId="36505423"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11 </w:t>
      </w:r>
      <w:r w:rsidRPr="005B36A0">
        <w:rPr>
          <w:rFonts w:ascii="Book Antiqua" w:hAnsi="Book Antiqua"/>
          <w:b/>
          <w:bCs/>
        </w:rPr>
        <w:t>Wu CH</w:t>
      </w:r>
      <w:r w:rsidRPr="005B36A0">
        <w:rPr>
          <w:rFonts w:ascii="Book Antiqua" w:hAnsi="Book Antiqua"/>
        </w:rPr>
        <w:t xml:space="preserve">, Chang KV, Özçakar L, Hsiao MY, Hung CY, Shyu SG, Wang TG, Chen WS. Sonographic tracking of the upper limb peripheral nerves: a pictorial essay and video demonstration. </w:t>
      </w:r>
      <w:r w:rsidRPr="005B36A0">
        <w:rPr>
          <w:rFonts w:ascii="Book Antiqua" w:hAnsi="Book Antiqua"/>
          <w:i/>
          <w:iCs/>
        </w:rPr>
        <w:t>Am J Phys Med Rehabil</w:t>
      </w:r>
      <w:r w:rsidRPr="005B36A0">
        <w:rPr>
          <w:rFonts w:ascii="Book Antiqua" w:hAnsi="Book Antiqua"/>
        </w:rPr>
        <w:t xml:space="preserve"> 2015; </w:t>
      </w:r>
      <w:r w:rsidRPr="005B36A0">
        <w:rPr>
          <w:rFonts w:ascii="Book Antiqua" w:hAnsi="Book Antiqua"/>
          <w:b/>
          <w:bCs/>
        </w:rPr>
        <w:t>94</w:t>
      </w:r>
      <w:r w:rsidRPr="005B36A0">
        <w:rPr>
          <w:rFonts w:ascii="Book Antiqua" w:hAnsi="Book Antiqua"/>
        </w:rPr>
        <w:t>: 740-747 [PMID: 26135374 DOI: 10.1097/PHM.0000000000000344]</w:t>
      </w:r>
    </w:p>
    <w:p w14:paraId="42B882B4"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12 </w:t>
      </w:r>
      <w:r w:rsidRPr="005B36A0">
        <w:rPr>
          <w:rFonts w:ascii="Book Antiqua" w:hAnsi="Book Antiqua"/>
          <w:b/>
          <w:bCs/>
        </w:rPr>
        <w:t>Kim SD</w:t>
      </w:r>
      <w:r w:rsidRPr="005B36A0">
        <w:rPr>
          <w:rFonts w:ascii="Book Antiqua" w:hAnsi="Book Antiqua"/>
        </w:rPr>
        <w:t xml:space="preserve">. Efficacy of tendon and nerve gliding exercises for carpal tunnel syndrome: a systematic review of randomized controlled trials. </w:t>
      </w:r>
      <w:r w:rsidRPr="005B36A0">
        <w:rPr>
          <w:rFonts w:ascii="Book Antiqua" w:hAnsi="Book Antiqua"/>
          <w:i/>
          <w:iCs/>
        </w:rPr>
        <w:t>J Phys Ther Sci</w:t>
      </w:r>
      <w:r w:rsidRPr="005B36A0">
        <w:rPr>
          <w:rFonts w:ascii="Book Antiqua" w:hAnsi="Book Antiqua"/>
        </w:rPr>
        <w:t xml:space="preserve"> 2015; </w:t>
      </w:r>
      <w:r w:rsidRPr="005B36A0">
        <w:rPr>
          <w:rFonts w:ascii="Book Antiqua" w:hAnsi="Book Antiqua"/>
          <w:b/>
          <w:bCs/>
        </w:rPr>
        <w:t>27</w:t>
      </w:r>
      <w:r w:rsidRPr="005B36A0">
        <w:rPr>
          <w:rFonts w:ascii="Book Antiqua" w:hAnsi="Book Antiqua"/>
        </w:rPr>
        <w:t>: 2645-2648 [PMID: 26357452 DOI: 10.1589/jpts.27.2645]</w:t>
      </w:r>
    </w:p>
    <w:p w14:paraId="3B7B11E0" w14:textId="29FA2D20" w:rsidR="003E196A" w:rsidRPr="005B36A0" w:rsidRDefault="003E196A" w:rsidP="005B36A0">
      <w:pPr>
        <w:spacing w:line="360" w:lineRule="auto"/>
        <w:jc w:val="both"/>
        <w:rPr>
          <w:rFonts w:ascii="Book Antiqua" w:hAnsi="Book Antiqua"/>
        </w:rPr>
      </w:pPr>
      <w:r w:rsidRPr="005B36A0">
        <w:rPr>
          <w:rFonts w:ascii="Book Antiqua" w:hAnsi="Book Antiqua"/>
        </w:rPr>
        <w:t xml:space="preserve">13 </w:t>
      </w:r>
      <w:r w:rsidRPr="005B36A0">
        <w:rPr>
          <w:rFonts w:ascii="Book Antiqua" w:hAnsi="Book Antiqua"/>
          <w:b/>
          <w:bCs/>
        </w:rPr>
        <w:t>Alaa L,</w:t>
      </w:r>
      <w:r w:rsidRPr="005B36A0">
        <w:rPr>
          <w:rFonts w:ascii="Book Antiqua" w:hAnsi="Book Antiqua"/>
        </w:rPr>
        <w:t xml:space="preserve"> Dena MS, Asmaa ARAL, Dina SF. Clinical, electrophysiological, and ultrasound evaluation for early detection of musculoskeletal hand disorders and nerve entrapment in mobile phone users. </w:t>
      </w:r>
      <w:r w:rsidRPr="005B36A0">
        <w:rPr>
          <w:rFonts w:ascii="Book Antiqua" w:hAnsi="Book Antiqua"/>
          <w:i/>
        </w:rPr>
        <w:t>Revista Colombiana de Reumatología</w:t>
      </w:r>
      <w:r w:rsidRPr="005B36A0">
        <w:rPr>
          <w:rFonts w:ascii="Book Antiqua" w:hAnsi="Book Antiqua"/>
        </w:rPr>
        <w:t xml:space="preserve"> 2021</w:t>
      </w:r>
      <w:r w:rsidR="008A705D" w:rsidRPr="005B36A0">
        <w:rPr>
          <w:rFonts w:ascii="Book Antiqua" w:hAnsi="Book Antiqua" w:cs="MS Mincho"/>
          <w:lang w:eastAsia="zh-CN"/>
        </w:rPr>
        <w:t xml:space="preserve">; </w:t>
      </w:r>
      <w:r w:rsidRPr="005B36A0">
        <w:rPr>
          <w:rFonts w:ascii="Book Antiqua" w:hAnsi="Book Antiqua"/>
          <w:b/>
        </w:rPr>
        <w:t>28:</w:t>
      </w:r>
      <w:r w:rsidRPr="005B36A0">
        <w:rPr>
          <w:rFonts w:ascii="Book Antiqua" w:hAnsi="Book Antiqua"/>
        </w:rPr>
        <w:t xml:space="preserve"> 267-275 [DOI:</w:t>
      </w:r>
      <w:r w:rsidR="00F41FF5" w:rsidRPr="005B36A0">
        <w:rPr>
          <w:rFonts w:ascii="Book Antiqua" w:hAnsi="Book Antiqua"/>
        </w:rPr>
        <w:t xml:space="preserve"> </w:t>
      </w:r>
      <w:r w:rsidRPr="005B36A0">
        <w:rPr>
          <w:rFonts w:ascii="Book Antiqua" w:hAnsi="Book Antiqua"/>
        </w:rPr>
        <w:t>10.1016/j.rcreu.2020.08.008]</w:t>
      </w:r>
    </w:p>
    <w:p w14:paraId="7B699A15"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14 </w:t>
      </w:r>
      <w:r w:rsidRPr="005B36A0">
        <w:rPr>
          <w:rFonts w:ascii="Book Antiqua" w:hAnsi="Book Antiqua"/>
          <w:b/>
          <w:bCs/>
        </w:rPr>
        <w:t>Cass SP</w:t>
      </w:r>
      <w:r w:rsidRPr="005B36A0">
        <w:rPr>
          <w:rFonts w:ascii="Book Antiqua" w:hAnsi="Book Antiqua"/>
        </w:rPr>
        <w:t xml:space="preserve">. Ultrasound-Guided Nerve Hydrodissection: What is it? A Review of the Literature. </w:t>
      </w:r>
      <w:r w:rsidRPr="005B36A0">
        <w:rPr>
          <w:rFonts w:ascii="Book Antiqua" w:hAnsi="Book Antiqua"/>
          <w:i/>
          <w:iCs/>
        </w:rPr>
        <w:t>Curr Sports Med Rep</w:t>
      </w:r>
      <w:r w:rsidRPr="005B36A0">
        <w:rPr>
          <w:rFonts w:ascii="Book Antiqua" w:hAnsi="Book Antiqua"/>
        </w:rPr>
        <w:t xml:space="preserve"> 2016; </w:t>
      </w:r>
      <w:r w:rsidRPr="005B36A0">
        <w:rPr>
          <w:rFonts w:ascii="Book Antiqua" w:hAnsi="Book Antiqua"/>
          <w:b/>
          <w:bCs/>
        </w:rPr>
        <w:t>15</w:t>
      </w:r>
      <w:r w:rsidRPr="005B36A0">
        <w:rPr>
          <w:rFonts w:ascii="Book Antiqua" w:hAnsi="Book Antiqua"/>
        </w:rPr>
        <w:t>: 20-22 [PMID: 26745165 DOI: 10.1249/JSR.0000000000000226]</w:t>
      </w:r>
    </w:p>
    <w:p w14:paraId="1D49246C"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15 </w:t>
      </w:r>
      <w:r w:rsidRPr="005B36A0">
        <w:rPr>
          <w:rFonts w:ascii="Book Antiqua" w:hAnsi="Book Antiqua"/>
          <w:b/>
          <w:bCs/>
        </w:rPr>
        <w:t>Chang KV</w:t>
      </w:r>
      <w:r w:rsidRPr="005B36A0">
        <w:rPr>
          <w:rFonts w:ascii="Book Antiqua" w:hAnsi="Book Antiqua"/>
        </w:rPr>
        <w:t xml:space="preserve">, Wu WT, Özçakar L. Ultrasound imaging and guidance in peripheral nerve entrapment: hydrodissection highlighted. </w:t>
      </w:r>
      <w:r w:rsidRPr="005B36A0">
        <w:rPr>
          <w:rFonts w:ascii="Book Antiqua" w:hAnsi="Book Antiqua"/>
          <w:i/>
          <w:iCs/>
        </w:rPr>
        <w:t>Pain Manag</w:t>
      </w:r>
      <w:r w:rsidRPr="005B36A0">
        <w:rPr>
          <w:rFonts w:ascii="Book Antiqua" w:hAnsi="Book Antiqua"/>
        </w:rPr>
        <w:t xml:space="preserve"> 2020; </w:t>
      </w:r>
      <w:r w:rsidRPr="005B36A0">
        <w:rPr>
          <w:rFonts w:ascii="Book Antiqua" w:hAnsi="Book Antiqua"/>
          <w:b/>
          <w:bCs/>
        </w:rPr>
        <w:t>10</w:t>
      </w:r>
      <w:r w:rsidRPr="005B36A0">
        <w:rPr>
          <w:rFonts w:ascii="Book Antiqua" w:hAnsi="Book Antiqua"/>
        </w:rPr>
        <w:t>: 97-106 [PMID: 32162601 DOI: 10.2217/pmt-2019-0056]</w:t>
      </w:r>
    </w:p>
    <w:p w14:paraId="1A070267" w14:textId="77777777" w:rsidR="003E196A" w:rsidRPr="005B36A0" w:rsidRDefault="003E196A" w:rsidP="005B36A0">
      <w:pPr>
        <w:spacing w:line="360" w:lineRule="auto"/>
        <w:jc w:val="both"/>
        <w:rPr>
          <w:rFonts w:ascii="Book Antiqua" w:hAnsi="Book Antiqua"/>
        </w:rPr>
      </w:pPr>
      <w:r w:rsidRPr="005B36A0">
        <w:rPr>
          <w:rFonts w:ascii="Book Antiqua" w:hAnsi="Book Antiqua"/>
        </w:rPr>
        <w:t xml:space="preserve">16 </w:t>
      </w:r>
      <w:r w:rsidRPr="005B36A0">
        <w:rPr>
          <w:rFonts w:ascii="Book Antiqua" w:hAnsi="Book Antiqua"/>
          <w:b/>
          <w:bCs/>
        </w:rPr>
        <w:t>Lin CP</w:t>
      </w:r>
      <w:r w:rsidRPr="005B36A0">
        <w:rPr>
          <w:rFonts w:ascii="Book Antiqua" w:hAnsi="Book Antiqua"/>
        </w:rPr>
        <w:t xml:space="preserve">, Chang KV, Huang YK, Wu WT, Özçakar L. Regenerative Injections Including 5% Dextrose and Platelet-Rich Plasma for the Treatment of Carpal Tunnel Syndrome: A Systematic Review and Network Meta-Analysis. </w:t>
      </w:r>
      <w:r w:rsidRPr="005B36A0">
        <w:rPr>
          <w:rFonts w:ascii="Book Antiqua" w:hAnsi="Book Antiqua"/>
          <w:i/>
          <w:iCs/>
        </w:rPr>
        <w:t>Pharmaceuticals (Basel)</w:t>
      </w:r>
      <w:r w:rsidRPr="005B36A0">
        <w:rPr>
          <w:rFonts w:ascii="Book Antiqua" w:hAnsi="Book Antiqua"/>
        </w:rPr>
        <w:t xml:space="preserve"> 2020; </w:t>
      </w:r>
      <w:r w:rsidRPr="005B36A0">
        <w:rPr>
          <w:rFonts w:ascii="Book Antiqua" w:hAnsi="Book Antiqua"/>
          <w:b/>
          <w:bCs/>
        </w:rPr>
        <w:t>13</w:t>
      </w:r>
      <w:r w:rsidRPr="005B36A0">
        <w:rPr>
          <w:rFonts w:ascii="Book Antiqua" w:hAnsi="Book Antiqua"/>
        </w:rPr>
        <w:t xml:space="preserve"> [PMID: 32197544 DOI: 10.3390/ph13030049]</w:t>
      </w:r>
    </w:p>
    <w:p w14:paraId="052AB8B5" w14:textId="19C91C12" w:rsidR="00A77B3E" w:rsidRPr="005B36A0" w:rsidRDefault="00A77B3E" w:rsidP="005B36A0">
      <w:pPr>
        <w:spacing w:line="360" w:lineRule="auto"/>
        <w:jc w:val="both"/>
        <w:rPr>
          <w:rFonts w:ascii="Book Antiqua" w:hAnsi="Book Antiqua"/>
        </w:rPr>
      </w:pPr>
    </w:p>
    <w:p w14:paraId="52FC9FD7" w14:textId="77777777" w:rsidR="00A77B3E" w:rsidRPr="005B36A0" w:rsidRDefault="00A77B3E" w:rsidP="005B36A0">
      <w:pPr>
        <w:spacing w:line="360" w:lineRule="auto"/>
        <w:jc w:val="both"/>
        <w:rPr>
          <w:rFonts w:ascii="Book Antiqua" w:hAnsi="Book Antiqua"/>
        </w:rPr>
        <w:sectPr w:rsidR="00A77B3E" w:rsidRPr="005B36A0" w:rsidSect="005B36A0">
          <w:pgSz w:w="12240" w:h="15840"/>
          <w:pgMar w:top="1440" w:right="1440" w:bottom="1440" w:left="1440" w:header="720" w:footer="720" w:gutter="0"/>
          <w:cols w:space="720"/>
          <w:docGrid w:linePitch="360"/>
        </w:sectPr>
      </w:pPr>
    </w:p>
    <w:p w14:paraId="408CDBC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lastRenderedPageBreak/>
        <w:t>Footnotes</w:t>
      </w:r>
    </w:p>
    <w:p w14:paraId="76D7ADD0" w14:textId="5FD14E02"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Informed consent statement: </w:t>
      </w:r>
      <w:r w:rsidRPr="005B36A0">
        <w:rPr>
          <w:rFonts w:ascii="Book Antiqua" w:eastAsia="Book Antiqua" w:hAnsi="Book Antiqua" w:cs="Book Antiqua"/>
        </w:rPr>
        <w:t>Informed written consent was obtained from the patient’s parents for publication of this report and any accompanying images.</w:t>
      </w:r>
    </w:p>
    <w:p w14:paraId="4B340CEE" w14:textId="77777777" w:rsidR="00A77B3E" w:rsidRPr="005B36A0" w:rsidRDefault="00A77B3E" w:rsidP="005B36A0">
      <w:pPr>
        <w:spacing w:line="360" w:lineRule="auto"/>
        <w:jc w:val="both"/>
        <w:rPr>
          <w:rFonts w:ascii="Book Antiqua" w:hAnsi="Book Antiqua"/>
        </w:rPr>
      </w:pPr>
    </w:p>
    <w:p w14:paraId="26E0F6C8"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Conflict-of-interest statement: </w:t>
      </w:r>
      <w:r w:rsidRPr="005B36A0">
        <w:rPr>
          <w:rFonts w:ascii="Book Antiqua" w:eastAsia="Book Antiqua" w:hAnsi="Book Antiqua" w:cs="Book Antiqua"/>
        </w:rPr>
        <w:t>All the authors report no relevant conflicts of interest for this article.</w:t>
      </w:r>
    </w:p>
    <w:p w14:paraId="1F6814D9" w14:textId="77777777" w:rsidR="00A77B3E" w:rsidRPr="005B36A0" w:rsidRDefault="00A77B3E" w:rsidP="005B36A0">
      <w:pPr>
        <w:spacing w:line="360" w:lineRule="auto"/>
        <w:jc w:val="both"/>
        <w:rPr>
          <w:rFonts w:ascii="Book Antiqua" w:hAnsi="Book Antiqua"/>
        </w:rPr>
      </w:pPr>
    </w:p>
    <w:p w14:paraId="76F49987"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CARE Checklist (2016) statement: </w:t>
      </w:r>
      <w:r w:rsidRPr="005B36A0">
        <w:rPr>
          <w:rFonts w:ascii="Book Antiqua" w:eastAsia="Book Antiqua" w:hAnsi="Book Antiqua" w:cs="Book Antiqua"/>
        </w:rPr>
        <w:t>The authors have read the CARE Checklist (2016), and the manuscript was prepared and revised according to the CARE Checklist (2016).</w:t>
      </w:r>
    </w:p>
    <w:p w14:paraId="20B2C1F0" w14:textId="77777777" w:rsidR="00A77B3E" w:rsidRPr="005B36A0" w:rsidRDefault="00A77B3E" w:rsidP="005B36A0">
      <w:pPr>
        <w:spacing w:line="360" w:lineRule="auto"/>
        <w:jc w:val="both"/>
        <w:rPr>
          <w:rFonts w:ascii="Book Antiqua" w:hAnsi="Book Antiqua"/>
        </w:rPr>
      </w:pPr>
    </w:p>
    <w:p w14:paraId="04C6CB44"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bCs/>
        </w:rPr>
        <w:t xml:space="preserve">Open-Access: </w:t>
      </w:r>
      <w:r w:rsidRPr="005B36A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709039" w14:textId="77777777" w:rsidR="00A77B3E" w:rsidRPr="005B36A0" w:rsidRDefault="00A77B3E" w:rsidP="005B36A0">
      <w:pPr>
        <w:spacing w:line="360" w:lineRule="auto"/>
        <w:jc w:val="both"/>
        <w:rPr>
          <w:rFonts w:ascii="Book Antiqua" w:hAnsi="Book Antiqua"/>
        </w:rPr>
      </w:pPr>
    </w:p>
    <w:p w14:paraId="4E59AE1A"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Provenance and peer review: </w:t>
      </w:r>
      <w:r w:rsidRPr="005B36A0">
        <w:rPr>
          <w:rFonts w:ascii="Book Antiqua" w:eastAsia="Book Antiqua" w:hAnsi="Book Antiqua" w:cs="Book Antiqua"/>
        </w:rPr>
        <w:t>Unsolicited article; Externally peer reviewed.</w:t>
      </w:r>
    </w:p>
    <w:p w14:paraId="6178FBA7"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Peer-review model: </w:t>
      </w:r>
      <w:r w:rsidRPr="005B36A0">
        <w:rPr>
          <w:rFonts w:ascii="Book Antiqua" w:eastAsia="Book Antiqua" w:hAnsi="Book Antiqua" w:cs="Book Antiqua"/>
        </w:rPr>
        <w:t>Single blind</w:t>
      </w:r>
    </w:p>
    <w:p w14:paraId="795B1832" w14:textId="77777777" w:rsidR="00A77B3E" w:rsidRPr="005B36A0" w:rsidRDefault="00A77B3E" w:rsidP="005B36A0">
      <w:pPr>
        <w:spacing w:line="360" w:lineRule="auto"/>
        <w:jc w:val="both"/>
        <w:rPr>
          <w:rFonts w:ascii="Book Antiqua" w:hAnsi="Book Antiqua"/>
        </w:rPr>
      </w:pPr>
    </w:p>
    <w:p w14:paraId="36BC30E6"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Peer-review started: </w:t>
      </w:r>
      <w:r w:rsidRPr="005B36A0">
        <w:rPr>
          <w:rFonts w:ascii="Book Antiqua" w:eastAsia="Book Antiqua" w:hAnsi="Book Antiqua" w:cs="Book Antiqua"/>
        </w:rPr>
        <w:t>July 5, 2023</w:t>
      </w:r>
    </w:p>
    <w:p w14:paraId="6CACAF69"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First decision: </w:t>
      </w:r>
      <w:r w:rsidRPr="005B36A0">
        <w:rPr>
          <w:rFonts w:ascii="Book Antiqua" w:eastAsia="Book Antiqua" w:hAnsi="Book Antiqua" w:cs="Book Antiqua"/>
        </w:rPr>
        <w:t>August 10, 2023</w:t>
      </w:r>
    </w:p>
    <w:p w14:paraId="37D23067" w14:textId="3246A19C"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Article in press: </w:t>
      </w:r>
      <w:r w:rsidR="0068027E" w:rsidRPr="00140737">
        <w:rPr>
          <w:rFonts w:ascii="Book Antiqua" w:eastAsia="Book Antiqua" w:hAnsi="Book Antiqua" w:cs="Book Antiqua"/>
        </w:rPr>
        <w:t>September 6, 2023</w:t>
      </w:r>
    </w:p>
    <w:p w14:paraId="1597B091" w14:textId="77777777" w:rsidR="00A77B3E" w:rsidRPr="005B36A0" w:rsidRDefault="00A77B3E" w:rsidP="005B36A0">
      <w:pPr>
        <w:spacing w:line="360" w:lineRule="auto"/>
        <w:jc w:val="both"/>
        <w:rPr>
          <w:rFonts w:ascii="Book Antiqua" w:hAnsi="Book Antiqua"/>
        </w:rPr>
      </w:pPr>
    </w:p>
    <w:p w14:paraId="775D79A6"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Specialty type: </w:t>
      </w:r>
      <w:r w:rsidRPr="005B36A0">
        <w:rPr>
          <w:rFonts w:ascii="Book Antiqua" w:eastAsia="Book Antiqua" w:hAnsi="Book Antiqua" w:cs="Book Antiqua"/>
        </w:rPr>
        <w:t>Rehabilitation</w:t>
      </w:r>
    </w:p>
    <w:p w14:paraId="5810C060"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 xml:space="preserve">Country/Territory of origin: </w:t>
      </w:r>
      <w:r w:rsidRPr="005B36A0">
        <w:rPr>
          <w:rFonts w:ascii="Book Antiqua" w:eastAsia="Book Antiqua" w:hAnsi="Book Antiqua" w:cs="Book Antiqua"/>
        </w:rPr>
        <w:t>China</w:t>
      </w:r>
    </w:p>
    <w:p w14:paraId="15B11272"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t>Peer-review report’s scientific quality classification</w:t>
      </w:r>
    </w:p>
    <w:p w14:paraId="451D64A6"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t>Grade A (Excellent): 0</w:t>
      </w:r>
    </w:p>
    <w:p w14:paraId="13AB07DA"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lastRenderedPageBreak/>
        <w:t>Grade B (Very good): B, B, B</w:t>
      </w:r>
    </w:p>
    <w:p w14:paraId="2358FDFB"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t>Grade C (Good): 0</w:t>
      </w:r>
    </w:p>
    <w:p w14:paraId="28143A1C"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t>Grade D (Fair): 0</w:t>
      </w:r>
    </w:p>
    <w:p w14:paraId="2B06194B"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rPr>
        <w:t>Grade E (Poor): 0</w:t>
      </w:r>
    </w:p>
    <w:p w14:paraId="240512E9" w14:textId="77777777" w:rsidR="00A77B3E" w:rsidRPr="005B36A0" w:rsidRDefault="00A77B3E" w:rsidP="005B36A0">
      <w:pPr>
        <w:spacing w:line="360" w:lineRule="auto"/>
        <w:jc w:val="both"/>
        <w:rPr>
          <w:rFonts w:ascii="Book Antiqua" w:hAnsi="Book Antiqua"/>
        </w:rPr>
      </w:pPr>
    </w:p>
    <w:p w14:paraId="0467C0A9" w14:textId="1B56C54D" w:rsidR="00A77B3E" w:rsidRDefault="00776E9A" w:rsidP="005B36A0">
      <w:pPr>
        <w:spacing w:line="360" w:lineRule="auto"/>
        <w:jc w:val="both"/>
        <w:rPr>
          <w:rFonts w:ascii="Book Antiqua" w:eastAsia="Book Antiqua" w:hAnsi="Book Antiqua" w:cs="Book Antiqua"/>
          <w:b/>
          <w:color w:val="000000"/>
        </w:rPr>
      </w:pPr>
      <w:r w:rsidRPr="005B36A0">
        <w:rPr>
          <w:rFonts w:ascii="Book Antiqua" w:eastAsia="Book Antiqua" w:hAnsi="Book Antiqua" w:cs="Book Antiqua"/>
          <w:b/>
          <w:color w:val="000000"/>
        </w:rPr>
        <w:t xml:space="preserve">P-Reviewer: </w:t>
      </w:r>
      <w:r w:rsidRPr="005B36A0">
        <w:rPr>
          <w:rFonts w:ascii="Book Antiqua" w:eastAsia="Book Antiqua" w:hAnsi="Book Antiqua" w:cs="Book Antiqua"/>
        </w:rPr>
        <w:t>Chang KV</w:t>
      </w:r>
      <w:r w:rsidR="00A95905" w:rsidRPr="005B36A0">
        <w:rPr>
          <w:rFonts w:ascii="Book Antiqua" w:eastAsia="Book Antiqua" w:hAnsi="Book Antiqua" w:cs="Book Antiqua"/>
        </w:rPr>
        <w:t>,</w:t>
      </w:r>
      <w:r w:rsidR="00A95905" w:rsidRPr="005B36A0">
        <w:rPr>
          <w:rFonts w:ascii="Book Antiqua" w:hAnsi="Book Antiqua"/>
        </w:rPr>
        <w:t xml:space="preserve"> </w:t>
      </w:r>
      <w:r w:rsidR="00A95905" w:rsidRPr="005B36A0">
        <w:rPr>
          <w:rFonts w:ascii="Book Antiqua" w:eastAsia="Book Antiqua" w:hAnsi="Book Antiqua" w:cs="Book Antiqua"/>
        </w:rPr>
        <w:t>Taiwan</w:t>
      </w:r>
      <w:r w:rsidRPr="005B36A0">
        <w:rPr>
          <w:rFonts w:ascii="Book Antiqua" w:eastAsia="Book Antiqua" w:hAnsi="Book Antiqua" w:cs="Book Antiqua"/>
        </w:rPr>
        <w:t>; Naganuma H, Japan; Papazafiropoulou A, Greece</w:t>
      </w:r>
      <w:r w:rsidRPr="005B36A0">
        <w:rPr>
          <w:rFonts w:ascii="Book Antiqua" w:eastAsia="Book Antiqua" w:hAnsi="Book Antiqua" w:cs="Book Antiqua"/>
          <w:b/>
          <w:color w:val="000000"/>
        </w:rPr>
        <w:t xml:space="preserve"> S-Editor: </w:t>
      </w:r>
      <w:r w:rsidR="00C345C8" w:rsidRPr="005B36A0">
        <w:rPr>
          <w:rFonts w:ascii="Book Antiqua" w:eastAsia="Book Antiqua" w:hAnsi="Book Antiqua" w:cs="Book Antiqua"/>
          <w:color w:val="000000"/>
        </w:rPr>
        <w:t>Liu JH</w:t>
      </w:r>
      <w:r w:rsidRPr="005B36A0">
        <w:rPr>
          <w:rFonts w:ascii="Book Antiqua" w:eastAsia="Book Antiqua" w:hAnsi="Book Antiqua" w:cs="Book Antiqua"/>
          <w:b/>
          <w:color w:val="000000"/>
        </w:rPr>
        <w:t xml:space="preserve"> L-Editor: </w:t>
      </w:r>
      <w:r w:rsidR="007B65C8" w:rsidRPr="005B36A0">
        <w:rPr>
          <w:rFonts w:ascii="Book Antiqua" w:eastAsia="Book Antiqua" w:hAnsi="Book Antiqua" w:cs="Book Antiqua"/>
          <w:color w:val="000000"/>
        </w:rPr>
        <w:t>A</w:t>
      </w:r>
      <w:r w:rsidRPr="005B36A0">
        <w:rPr>
          <w:rFonts w:ascii="Book Antiqua" w:eastAsia="Book Antiqua" w:hAnsi="Book Antiqua" w:cs="Book Antiqua"/>
          <w:b/>
          <w:color w:val="000000"/>
        </w:rPr>
        <w:t xml:space="preserve"> P-Editor:</w:t>
      </w:r>
      <w:r w:rsidR="00000B77" w:rsidRPr="00000B77">
        <w:rPr>
          <w:rFonts w:ascii="Book Antiqua" w:eastAsia="Book Antiqua" w:hAnsi="Book Antiqua" w:cs="Book Antiqua"/>
          <w:color w:val="000000"/>
        </w:rPr>
        <w:t xml:space="preserve"> </w:t>
      </w:r>
      <w:r w:rsidR="00000B77" w:rsidRPr="005B36A0">
        <w:rPr>
          <w:rFonts w:ascii="Book Antiqua" w:eastAsia="Book Antiqua" w:hAnsi="Book Antiqua" w:cs="Book Antiqua"/>
          <w:color w:val="000000"/>
        </w:rPr>
        <w:t>Liu JH</w:t>
      </w:r>
    </w:p>
    <w:p w14:paraId="71B3451D" w14:textId="40855EE2" w:rsidR="00D96F67" w:rsidRPr="005B36A0" w:rsidRDefault="00D96F67" w:rsidP="005B36A0">
      <w:pPr>
        <w:spacing w:line="360" w:lineRule="auto"/>
        <w:jc w:val="both"/>
        <w:rPr>
          <w:rFonts w:ascii="Book Antiqua" w:hAnsi="Book Antiqua"/>
        </w:rPr>
        <w:sectPr w:rsidR="00D96F67" w:rsidRPr="005B36A0" w:rsidSect="005B36A0">
          <w:pgSz w:w="12240" w:h="15840"/>
          <w:pgMar w:top="1440" w:right="1440" w:bottom="1440" w:left="1440" w:header="720" w:footer="720" w:gutter="0"/>
          <w:cols w:space="720"/>
          <w:docGrid w:linePitch="360"/>
        </w:sectPr>
      </w:pPr>
    </w:p>
    <w:p w14:paraId="056F6CE3" w14:textId="77777777" w:rsidR="00A77B3E" w:rsidRPr="005B36A0" w:rsidRDefault="00776E9A" w:rsidP="005B36A0">
      <w:pPr>
        <w:spacing w:line="360" w:lineRule="auto"/>
        <w:jc w:val="both"/>
        <w:rPr>
          <w:rFonts w:ascii="Book Antiqua" w:hAnsi="Book Antiqua"/>
        </w:rPr>
      </w:pPr>
      <w:r w:rsidRPr="005B36A0">
        <w:rPr>
          <w:rFonts w:ascii="Book Antiqua" w:eastAsia="Book Antiqua" w:hAnsi="Book Antiqua" w:cs="Book Antiqua"/>
          <w:b/>
          <w:color w:val="000000"/>
        </w:rPr>
        <w:lastRenderedPageBreak/>
        <w:t>Figure Legends</w:t>
      </w:r>
    </w:p>
    <w:p w14:paraId="062A2272" w14:textId="4A5BCAE6" w:rsidR="00713D33" w:rsidRDefault="00FA331B" w:rsidP="005B36A0">
      <w:pPr>
        <w:spacing w:line="360" w:lineRule="auto"/>
        <w:jc w:val="both"/>
        <w:rPr>
          <w:rFonts w:ascii="Book Antiqua" w:eastAsia="Book Antiqua" w:hAnsi="Book Antiqua" w:cs="Book Antiqua"/>
          <w:b/>
        </w:rPr>
      </w:pPr>
      <w:r>
        <w:rPr>
          <w:noProof/>
        </w:rPr>
        <w:drawing>
          <wp:inline distT="0" distB="0" distL="0" distR="0" wp14:anchorId="7CE23888" wp14:editId="5680A9B3">
            <wp:extent cx="5502910" cy="1953895"/>
            <wp:effectExtent l="0" t="0" r="0" b="0"/>
            <wp:docPr id="1699048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2910" cy="1953895"/>
                    </a:xfrm>
                    <a:prstGeom prst="rect">
                      <a:avLst/>
                    </a:prstGeom>
                    <a:noFill/>
                    <a:ln>
                      <a:noFill/>
                    </a:ln>
                  </pic:spPr>
                </pic:pic>
              </a:graphicData>
            </a:graphic>
          </wp:inline>
        </w:drawing>
      </w:r>
    </w:p>
    <w:p w14:paraId="1EB103FA" w14:textId="19783134" w:rsidR="004164D5" w:rsidRDefault="0046164B" w:rsidP="005B36A0">
      <w:pPr>
        <w:spacing w:line="360" w:lineRule="auto"/>
        <w:jc w:val="both"/>
        <w:rPr>
          <w:rFonts w:ascii="Book Antiqua" w:eastAsia="Book Antiqua" w:hAnsi="Book Antiqua" w:cs="Book Antiqua"/>
        </w:rPr>
      </w:pPr>
      <w:r w:rsidRPr="00013521">
        <w:rPr>
          <w:rFonts w:ascii="Book Antiqua" w:eastAsia="Book Antiqua" w:hAnsi="Book Antiqua" w:cs="Book Antiqua"/>
          <w:b/>
        </w:rPr>
        <w:t>Figure 1</w:t>
      </w:r>
      <w:r w:rsidR="00776E9A" w:rsidRPr="00013521">
        <w:rPr>
          <w:rFonts w:ascii="Book Antiqua" w:eastAsia="Book Antiqua" w:hAnsi="Book Antiqua" w:cs="Book Antiqua"/>
          <w:b/>
        </w:rPr>
        <w:t xml:space="preserve"> </w:t>
      </w:r>
      <w:r w:rsidR="006A4040" w:rsidRPr="00013521">
        <w:rPr>
          <w:rFonts w:ascii="Book Antiqua" w:eastAsia="Book Antiqua" w:hAnsi="Book Antiqua" w:cs="Book Antiqua"/>
          <w:b/>
        </w:rPr>
        <w:t>Symptoms of finger extension disorder in patients</w:t>
      </w:r>
      <w:r w:rsidR="006A4040" w:rsidRPr="00013521">
        <w:rPr>
          <w:rFonts w:ascii="Book Antiqua" w:hAnsi="Book Antiqua" w:cs="Book Antiqua"/>
          <w:b/>
          <w:lang w:eastAsia="zh-CN"/>
        </w:rPr>
        <w:t xml:space="preserve">. </w:t>
      </w:r>
      <w:r w:rsidR="006A4040" w:rsidRPr="005B36A0">
        <w:rPr>
          <w:rFonts w:ascii="Book Antiqua" w:eastAsia="Book Antiqua" w:hAnsi="Book Antiqua" w:cs="Book Antiqua"/>
        </w:rPr>
        <w:t>A</w:t>
      </w:r>
      <w:r w:rsidR="006A4040">
        <w:rPr>
          <w:rFonts w:ascii="Book Antiqua" w:hAnsi="Book Antiqua" w:cs="Book Antiqua" w:hint="eastAsia"/>
          <w:lang w:eastAsia="zh-CN"/>
        </w:rPr>
        <w:t xml:space="preserve">: </w:t>
      </w:r>
      <w:r w:rsidR="00776E9A" w:rsidRPr="005B36A0">
        <w:rPr>
          <w:rFonts w:ascii="Book Antiqua" w:eastAsia="Book Antiqua" w:hAnsi="Book Antiqua" w:cs="Book Antiqua"/>
        </w:rPr>
        <w:t>The patient had poor strength of the extensor digitorum of the right hand</w:t>
      </w:r>
      <w:r w:rsidR="006A4040">
        <w:rPr>
          <w:rFonts w:ascii="Book Antiqua" w:hAnsi="Book Antiqua" w:cs="Book Antiqua" w:hint="eastAsia"/>
          <w:lang w:eastAsia="zh-CN"/>
        </w:rPr>
        <w:t>;</w:t>
      </w:r>
      <w:r w:rsidR="006A4040" w:rsidRPr="006A4040">
        <w:rPr>
          <w:rFonts w:ascii="Book Antiqua" w:eastAsia="Book Antiqua" w:hAnsi="Book Antiqua" w:cs="Book Antiqua"/>
        </w:rPr>
        <w:t xml:space="preserve"> </w:t>
      </w:r>
      <w:r w:rsidR="006A4040" w:rsidRPr="005B36A0">
        <w:rPr>
          <w:rFonts w:ascii="Book Antiqua" w:eastAsia="Book Antiqua" w:hAnsi="Book Antiqua" w:cs="Book Antiqua"/>
        </w:rPr>
        <w:t>B</w:t>
      </w:r>
      <w:r w:rsidR="006A4040">
        <w:rPr>
          <w:rFonts w:ascii="Book Antiqua" w:hAnsi="Book Antiqua" w:cs="Book Antiqua" w:hint="eastAsia"/>
          <w:lang w:eastAsia="zh-CN"/>
        </w:rPr>
        <w:t xml:space="preserve">: </w:t>
      </w:r>
      <w:r w:rsidR="00776E9A" w:rsidRPr="005B36A0">
        <w:rPr>
          <w:rFonts w:ascii="Book Antiqua" w:eastAsia="Book Antiqua" w:hAnsi="Book Antiqua" w:cs="Book Antiqua"/>
        </w:rPr>
        <w:t>but his wrist extension was not different from that on the normal side.</w:t>
      </w:r>
    </w:p>
    <w:p w14:paraId="189F5058" w14:textId="5BD88315" w:rsidR="006A4040" w:rsidRPr="00013521" w:rsidRDefault="004164D5" w:rsidP="00C02DD3">
      <w:pPr>
        <w:spacing w:line="360" w:lineRule="auto"/>
        <w:jc w:val="both"/>
        <w:rPr>
          <w:rFonts w:ascii="Book Antiqua" w:hAnsi="Book Antiqua" w:cs="Book Antiqua"/>
          <w:lang w:eastAsia="zh-CN"/>
        </w:rPr>
      </w:pPr>
      <w:r>
        <w:rPr>
          <w:rFonts w:ascii="Book Antiqua" w:eastAsia="Book Antiqua" w:hAnsi="Book Antiqua" w:cs="Book Antiqua"/>
        </w:rPr>
        <w:br w:type="page"/>
      </w:r>
      <w:r w:rsidR="00FA331B">
        <w:rPr>
          <w:noProof/>
        </w:rPr>
        <w:lastRenderedPageBreak/>
        <w:drawing>
          <wp:inline distT="0" distB="0" distL="0" distR="0" wp14:anchorId="689F4991" wp14:editId="0E7C6D7A">
            <wp:extent cx="5780405" cy="4044315"/>
            <wp:effectExtent l="0" t="0" r="0" b="0"/>
            <wp:docPr id="10816149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405" cy="4044315"/>
                    </a:xfrm>
                    <a:prstGeom prst="rect">
                      <a:avLst/>
                    </a:prstGeom>
                    <a:noFill/>
                    <a:ln>
                      <a:noFill/>
                    </a:ln>
                  </pic:spPr>
                </pic:pic>
              </a:graphicData>
            </a:graphic>
          </wp:inline>
        </w:drawing>
      </w:r>
    </w:p>
    <w:p w14:paraId="07F25A8D" w14:textId="5186843F" w:rsidR="00A77B3E" w:rsidRPr="005B36A0" w:rsidRDefault="0046164B" w:rsidP="005B36A0">
      <w:pPr>
        <w:spacing w:line="360" w:lineRule="auto"/>
        <w:jc w:val="both"/>
        <w:rPr>
          <w:rFonts w:ascii="Book Antiqua" w:eastAsia="Book Antiqua" w:hAnsi="Book Antiqua" w:cs="Book Antiqua"/>
        </w:rPr>
      </w:pPr>
      <w:r w:rsidRPr="005B36A0">
        <w:rPr>
          <w:rFonts w:ascii="Book Antiqua" w:eastAsia="Book Antiqua" w:hAnsi="Book Antiqua" w:cs="Book Antiqua"/>
          <w:b/>
        </w:rPr>
        <w:t>Figure 2</w:t>
      </w:r>
      <w:r w:rsidR="00776E9A" w:rsidRPr="005B36A0">
        <w:rPr>
          <w:rFonts w:ascii="Book Antiqua" w:eastAsia="Book Antiqua" w:hAnsi="Book Antiqua" w:cs="Book Antiqua"/>
          <w:b/>
        </w:rPr>
        <w:t xml:space="preserve"> Nerve conduction and electromyogram examination results. </w:t>
      </w:r>
      <w:r w:rsidR="00B3132C" w:rsidRPr="005B36A0">
        <w:rPr>
          <w:rFonts w:ascii="Book Antiqua" w:eastAsia="Book Antiqua" w:hAnsi="Book Antiqua" w:cs="Book Antiqua"/>
        </w:rPr>
        <w:t xml:space="preserve">A and B: </w:t>
      </w:r>
      <w:r w:rsidR="00776E9A" w:rsidRPr="005B36A0">
        <w:rPr>
          <w:rFonts w:ascii="Book Antiqua" w:eastAsia="Book Antiqua" w:hAnsi="Book Antiqua" w:cs="Book Antiqua"/>
        </w:rPr>
        <w:t>The amplitude of the right radial nerve conduction at the forearm and elbow joint was low, and the conduction time was long (A</w:t>
      </w:r>
      <w:r w:rsidR="00667756">
        <w:rPr>
          <w:rFonts w:ascii="Book Antiqua" w:eastAsia="Book Antiqua" w:hAnsi="Book Antiqua" w:cs="Book Antiqua"/>
        </w:rPr>
        <w:t>-I</w:t>
      </w:r>
      <w:r w:rsidR="00667756" w:rsidRPr="005B36A0">
        <w:rPr>
          <w:rFonts w:ascii="Book Antiqua" w:eastAsia="Book Antiqua" w:hAnsi="Book Antiqua" w:cs="Book Antiqua"/>
        </w:rPr>
        <w:t xml:space="preserve"> </w:t>
      </w:r>
      <w:r w:rsidR="00776E9A" w:rsidRPr="005B36A0">
        <w:rPr>
          <w:rFonts w:ascii="Book Antiqua" w:eastAsia="Book Antiqua" w:hAnsi="Book Antiqua" w:cs="Book Antiqua"/>
        </w:rPr>
        <w:t>and B</w:t>
      </w:r>
      <w:r w:rsidR="00667756">
        <w:rPr>
          <w:rFonts w:ascii="Book Antiqua" w:eastAsia="Book Antiqua" w:hAnsi="Book Antiqua" w:cs="Book Antiqua"/>
        </w:rPr>
        <w:t>-I</w:t>
      </w:r>
      <w:r w:rsidR="00776E9A" w:rsidRPr="005B36A0">
        <w:rPr>
          <w:rFonts w:ascii="Book Antiqua" w:eastAsia="Book Antiqua" w:hAnsi="Book Antiqua" w:cs="Book Antiqua"/>
        </w:rPr>
        <w:t>)</w:t>
      </w:r>
      <w:r w:rsidR="00F7157A" w:rsidRPr="005B36A0">
        <w:rPr>
          <w:rFonts w:ascii="Book Antiqua" w:eastAsia="Book Antiqua" w:hAnsi="Book Antiqua" w:cs="Book Antiqua"/>
        </w:rPr>
        <w:t>;</w:t>
      </w:r>
      <w:r w:rsidR="00776E9A" w:rsidRPr="005B36A0">
        <w:rPr>
          <w:rFonts w:ascii="Book Antiqua" w:eastAsia="Book Antiqua" w:hAnsi="Book Antiqua" w:cs="Book Antiqua"/>
        </w:rPr>
        <w:t xml:space="preserve"> </w:t>
      </w:r>
      <w:r w:rsidR="00F7157A" w:rsidRPr="005B36A0">
        <w:rPr>
          <w:rFonts w:ascii="Book Antiqua" w:eastAsia="Book Antiqua" w:hAnsi="Book Antiqua" w:cs="Book Antiqua"/>
        </w:rPr>
        <w:t xml:space="preserve">C: </w:t>
      </w:r>
      <w:r w:rsidR="00776E9A" w:rsidRPr="005B36A0">
        <w:rPr>
          <w:rFonts w:ascii="Book Antiqua" w:eastAsia="Book Antiqua" w:hAnsi="Book Antiqua" w:cs="Book Antiqua"/>
        </w:rPr>
        <w:t>A few spontaneous potentials were observed in some of the right arm muscles (C</w:t>
      </w:r>
      <w:r w:rsidR="00667756">
        <w:rPr>
          <w:rFonts w:ascii="Book Antiqua" w:eastAsia="Book Antiqua" w:hAnsi="Book Antiqua" w:cs="Book Antiqua"/>
        </w:rPr>
        <w:t>-I</w:t>
      </w:r>
      <w:r w:rsidR="00776E9A" w:rsidRPr="005B36A0">
        <w:rPr>
          <w:rFonts w:ascii="Book Antiqua" w:eastAsia="Book Antiqua" w:hAnsi="Book Antiqua" w:cs="Book Antiqua"/>
        </w:rPr>
        <w:t>)</w:t>
      </w:r>
      <w:r w:rsidR="00F7157A" w:rsidRPr="005B36A0">
        <w:rPr>
          <w:rFonts w:ascii="Book Antiqua" w:eastAsia="Book Antiqua" w:hAnsi="Book Antiqua" w:cs="Book Antiqua"/>
        </w:rPr>
        <w:t>;</w:t>
      </w:r>
      <w:r w:rsidR="00776E9A" w:rsidRPr="005B36A0">
        <w:rPr>
          <w:rFonts w:ascii="Book Antiqua" w:eastAsia="Book Antiqua" w:hAnsi="Book Antiqua" w:cs="Book Antiqua"/>
        </w:rPr>
        <w:t xml:space="preserve"> </w:t>
      </w:r>
      <w:r w:rsidR="00F7157A" w:rsidRPr="005B36A0">
        <w:rPr>
          <w:rFonts w:ascii="Book Antiqua" w:eastAsia="Book Antiqua" w:hAnsi="Book Antiqua" w:cs="Book Antiqua"/>
        </w:rPr>
        <w:t xml:space="preserve">D: </w:t>
      </w:r>
      <w:r w:rsidR="00776E9A" w:rsidRPr="005B36A0">
        <w:rPr>
          <w:rFonts w:ascii="Book Antiqua" w:eastAsia="Book Antiqua" w:hAnsi="Book Antiqua" w:cs="Book Antiqua"/>
        </w:rPr>
        <w:t>Right superficial radial nerve conduction was normal (D). After treatment, the amplitude and time of the right radial nerve conduction at the forearm and elbow joint had basically recovered to normal (A</w:t>
      </w:r>
      <w:r w:rsidR="00667756">
        <w:rPr>
          <w:rFonts w:ascii="Book Antiqua" w:eastAsia="Book Antiqua" w:hAnsi="Book Antiqua" w:cs="Book Antiqua"/>
        </w:rPr>
        <w:t>-II</w:t>
      </w:r>
      <w:r w:rsidR="00667756" w:rsidRPr="005B36A0">
        <w:rPr>
          <w:rFonts w:ascii="Book Antiqua" w:eastAsia="Book Antiqua" w:hAnsi="Book Antiqua" w:cs="Book Antiqua"/>
        </w:rPr>
        <w:t xml:space="preserve"> </w:t>
      </w:r>
      <w:r w:rsidR="00776E9A" w:rsidRPr="005B36A0">
        <w:rPr>
          <w:rFonts w:ascii="Book Antiqua" w:eastAsia="Book Antiqua" w:hAnsi="Book Antiqua" w:cs="Book Antiqua"/>
        </w:rPr>
        <w:t>and B</w:t>
      </w:r>
      <w:r w:rsidR="00667756">
        <w:rPr>
          <w:rFonts w:ascii="Book Antiqua" w:eastAsia="Book Antiqua" w:hAnsi="Book Antiqua" w:cs="Book Antiqua"/>
        </w:rPr>
        <w:t>-II</w:t>
      </w:r>
      <w:r w:rsidR="00776E9A" w:rsidRPr="005B36A0">
        <w:rPr>
          <w:rFonts w:ascii="Book Antiqua" w:eastAsia="Book Antiqua" w:hAnsi="Book Antiqua" w:cs="Book Antiqua"/>
        </w:rPr>
        <w:t>), and there was no spontaneous potential in the right arm muscles (C</w:t>
      </w:r>
      <w:r w:rsidR="00667756">
        <w:rPr>
          <w:rFonts w:ascii="Book Antiqua" w:eastAsia="Book Antiqua" w:hAnsi="Book Antiqua" w:cs="Book Antiqua"/>
        </w:rPr>
        <w:t>-II</w:t>
      </w:r>
      <w:r w:rsidR="00776E9A" w:rsidRPr="005B36A0">
        <w:rPr>
          <w:rFonts w:ascii="Book Antiqua" w:eastAsia="Book Antiqua" w:hAnsi="Book Antiqua" w:cs="Book Antiqua"/>
        </w:rPr>
        <w:t>).</w:t>
      </w:r>
    </w:p>
    <w:p w14:paraId="5C1EA227" w14:textId="77777777" w:rsidR="00AC38EB" w:rsidRPr="005B36A0" w:rsidRDefault="00AC38EB" w:rsidP="005B36A0">
      <w:pPr>
        <w:spacing w:line="360" w:lineRule="auto"/>
        <w:jc w:val="both"/>
        <w:rPr>
          <w:rFonts w:ascii="Book Antiqua" w:hAnsi="Book Antiqua"/>
        </w:rPr>
      </w:pPr>
    </w:p>
    <w:p w14:paraId="0D3486BF" w14:textId="799F4695" w:rsidR="0046164B" w:rsidRPr="005B36A0" w:rsidRDefault="00FA331B" w:rsidP="005B36A0">
      <w:pPr>
        <w:spacing w:line="360" w:lineRule="auto"/>
        <w:jc w:val="both"/>
        <w:rPr>
          <w:rFonts w:ascii="Book Antiqua" w:eastAsia="Book Antiqua" w:hAnsi="Book Antiqua" w:cs="Book Antiqua"/>
        </w:rPr>
      </w:pPr>
      <w:r>
        <w:rPr>
          <w:noProof/>
        </w:rPr>
        <w:lastRenderedPageBreak/>
        <w:drawing>
          <wp:inline distT="0" distB="0" distL="0" distR="0" wp14:anchorId="6BCFA0C1" wp14:editId="5F2E4E3D">
            <wp:extent cx="5513705" cy="4152900"/>
            <wp:effectExtent l="0" t="0" r="0" b="0"/>
            <wp:docPr id="18571764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3705" cy="4152900"/>
                    </a:xfrm>
                    <a:prstGeom prst="rect">
                      <a:avLst/>
                    </a:prstGeom>
                    <a:noFill/>
                    <a:ln>
                      <a:noFill/>
                    </a:ln>
                  </pic:spPr>
                </pic:pic>
              </a:graphicData>
            </a:graphic>
          </wp:inline>
        </w:drawing>
      </w:r>
    </w:p>
    <w:p w14:paraId="4BA452B3" w14:textId="48EED5F1" w:rsidR="00A77B3E" w:rsidRPr="005B36A0" w:rsidRDefault="0046164B" w:rsidP="005B36A0">
      <w:pPr>
        <w:spacing w:line="360" w:lineRule="auto"/>
        <w:jc w:val="both"/>
        <w:rPr>
          <w:rFonts w:ascii="Book Antiqua" w:hAnsi="Book Antiqua"/>
        </w:rPr>
      </w:pPr>
      <w:r w:rsidRPr="005B36A0">
        <w:rPr>
          <w:rFonts w:ascii="Book Antiqua" w:eastAsia="Book Antiqua" w:hAnsi="Book Antiqua" w:cs="Book Antiqua"/>
          <w:b/>
        </w:rPr>
        <w:t>Figure 3</w:t>
      </w:r>
      <w:r w:rsidR="00776E9A" w:rsidRPr="005B36A0">
        <w:rPr>
          <w:rFonts w:ascii="Book Antiqua" w:eastAsia="Book Antiqua" w:hAnsi="Book Antiqua" w:cs="Book Antiqua"/>
          <w:b/>
        </w:rPr>
        <w:t xml:space="preserve"> B-mode ultrasound images of the patient's </w:t>
      </w:r>
      <w:r w:rsidR="001C276F" w:rsidRPr="005B36A0">
        <w:rPr>
          <w:rFonts w:ascii="Book Antiqua" w:eastAsia="Book Antiqua" w:hAnsi="Book Antiqua" w:cs="Book Antiqua"/>
          <w:b/>
        </w:rPr>
        <w:t>posterior interosseous nerve</w:t>
      </w:r>
      <w:r w:rsidR="00776E9A" w:rsidRPr="005B36A0">
        <w:rPr>
          <w:rFonts w:ascii="Book Antiqua" w:eastAsia="Book Antiqua" w:hAnsi="Book Antiqua" w:cs="Book Antiqua"/>
          <w:b/>
        </w:rPr>
        <w:t xml:space="preserve">. </w:t>
      </w:r>
      <w:r w:rsidR="00732BB4" w:rsidRPr="005B36A0">
        <w:rPr>
          <w:rFonts w:ascii="Book Antiqua" w:eastAsia="Book Antiqua" w:hAnsi="Book Antiqua" w:cs="Book Antiqua"/>
        </w:rPr>
        <w:t xml:space="preserve">A and B: </w:t>
      </w:r>
      <w:r w:rsidR="00776E9A" w:rsidRPr="005B36A0">
        <w:rPr>
          <w:rFonts w:ascii="Book Antiqua" w:eastAsia="Book Antiqua" w:hAnsi="Book Antiqua" w:cs="Book Antiqua"/>
        </w:rPr>
        <w:t xml:space="preserve">Affected side (A) and healthy side (B): </w:t>
      </w:r>
      <w:r w:rsidR="0099571F" w:rsidRPr="005B36A0">
        <w:rPr>
          <w:rFonts w:ascii="Book Antiqua" w:eastAsia="Book Antiqua" w:hAnsi="Book Antiqua" w:cs="Book Antiqua"/>
        </w:rPr>
        <w:t xml:space="preserve">Transverse </w:t>
      </w:r>
      <w:r w:rsidR="00776E9A" w:rsidRPr="005B36A0">
        <w:rPr>
          <w:rFonts w:ascii="Book Antiqua" w:eastAsia="Book Antiqua" w:hAnsi="Book Antiqua" w:cs="Book Antiqua"/>
        </w:rPr>
        <w:t xml:space="preserve">axis of the </w:t>
      </w:r>
      <w:r w:rsidR="00FD424E" w:rsidRPr="005B36A0">
        <w:rPr>
          <w:rFonts w:ascii="Book Antiqua" w:eastAsia="Book Antiqua" w:hAnsi="Book Antiqua" w:cs="Book Antiqua"/>
          <w:shd w:val="clear" w:color="auto" w:fill="FFFFFF"/>
        </w:rPr>
        <w:t>posterior interosseous nerve</w:t>
      </w:r>
      <w:r w:rsidR="00FD424E" w:rsidRPr="005B36A0">
        <w:rPr>
          <w:rFonts w:ascii="Book Antiqua" w:eastAsia="Book Antiqua" w:hAnsi="Book Antiqua" w:cs="Book Antiqua"/>
        </w:rPr>
        <w:t xml:space="preserve"> (</w:t>
      </w:r>
      <w:r w:rsidR="00776E9A" w:rsidRPr="005B36A0">
        <w:rPr>
          <w:rFonts w:ascii="Book Antiqua" w:eastAsia="Book Antiqua" w:hAnsi="Book Antiqua" w:cs="Book Antiqua"/>
        </w:rPr>
        <w:t>PIN</w:t>
      </w:r>
      <w:r w:rsidR="00FD424E" w:rsidRPr="005B36A0">
        <w:rPr>
          <w:rFonts w:ascii="Book Antiqua" w:eastAsia="Book Antiqua" w:hAnsi="Book Antiqua" w:cs="Book Antiqua"/>
        </w:rPr>
        <w:t>)</w:t>
      </w:r>
      <w:r w:rsidR="00776E9A" w:rsidRPr="005B36A0">
        <w:rPr>
          <w:rFonts w:ascii="Book Antiqua" w:eastAsia="Book Antiqua" w:hAnsi="Book Antiqua" w:cs="Book Antiqua"/>
        </w:rPr>
        <w:t xml:space="preserve"> at the inlet of the Frohse arch of the supinator muscle</w:t>
      </w:r>
      <w:r w:rsidR="0016274A" w:rsidRPr="005B36A0">
        <w:rPr>
          <w:rFonts w:ascii="Book Antiqua" w:eastAsia="Book Antiqua" w:hAnsi="Book Antiqua" w:cs="Book Antiqua"/>
        </w:rPr>
        <w:t>; C and D:</w:t>
      </w:r>
      <w:r w:rsidR="00776E9A" w:rsidRPr="005B36A0">
        <w:rPr>
          <w:rFonts w:ascii="Book Antiqua" w:eastAsia="Book Antiqua" w:hAnsi="Book Antiqua" w:cs="Book Antiqua"/>
        </w:rPr>
        <w:t xml:space="preserve"> Affected side (C) and healthy side (D): </w:t>
      </w:r>
      <w:r w:rsidR="001141B9" w:rsidRPr="005B36A0">
        <w:rPr>
          <w:rFonts w:ascii="Book Antiqua" w:eastAsia="Book Antiqua" w:hAnsi="Book Antiqua" w:cs="Book Antiqua"/>
        </w:rPr>
        <w:t xml:space="preserve">Transverse </w:t>
      </w:r>
      <w:r w:rsidR="00776E9A" w:rsidRPr="005B36A0">
        <w:rPr>
          <w:rFonts w:ascii="Book Antiqua" w:eastAsia="Book Antiqua" w:hAnsi="Book Antiqua" w:cs="Book Antiqua"/>
        </w:rPr>
        <w:t>axis of the PIN at the outlet of the supinator muscle</w:t>
      </w:r>
      <w:r w:rsidR="00F3178F" w:rsidRPr="005B36A0">
        <w:rPr>
          <w:rFonts w:ascii="Book Antiqua" w:eastAsia="Book Antiqua" w:hAnsi="Book Antiqua" w:cs="Book Antiqua"/>
        </w:rPr>
        <w:t>;</w:t>
      </w:r>
      <w:r w:rsidR="00776E9A" w:rsidRPr="005B36A0">
        <w:rPr>
          <w:rFonts w:ascii="Book Antiqua" w:eastAsia="Book Antiqua" w:hAnsi="Book Antiqua" w:cs="Book Antiqua"/>
        </w:rPr>
        <w:t xml:space="preserve"> </w:t>
      </w:r>
      <w:r w:rsidR="00F3178F" w:rsidRPr="005B36A0">
        <w:rPr>
          <w:rFonts w:ascii="Book Antiqua" w:eastAsia="Book Antiqua" w:hAnsi="Book Antiqua" w:cs="Book Antiqua"/>
        </w:rPr>
        <w:t xml:space="preserve">E and F: </w:t>
      </w:r>
      <w:r w:rsidR="00776E9A" w:rsidRPr="005B36A0">
        <w:rPr>
          <w:rFonts w:ascii="Book Antiqua" w:eastAsia="Book Antiqua" w:hAnsi="Book Antiqua" w:cs="Book Antiqua"/>
        </w:rPr>
        <w:t xml:space="preserve">Affected side (E) and healthy side (F): longitudinal axis of a PIN segment inside the supinator muscle. White arrows: PIN; su: </w:t>
      </w:r>
      <w:r w:rsidR="005C095F" w:rsidRPr="005B36A0">
        <w:rPr>
          <w:rFonts w:ascii="Book Antiqua" w:eastAsia="Book Antiqua" w:hAnsi="Book Antiqua" w:cs="Book Antiqua"/>
        </w:rPr>
        <w:t xml:space="preserve">Supinator </w:t>
      </w:r>
      <w:r w:rsidR="00776E9A" w:rsidRPr="005B36A0">
        <w:rPr>
          <w:rFonts w:ascii="Book Antiqua" w:eastAsia="Book Antiqua" w:hAnsi="Book Antiqua" w:cs="Book Antiqua"/>
        </w:rPr>
        <w:t>muscle.</w:t>
      </w:r>
      <w:r w:rsidR="00A930C2" w:rsidRPr="005B36A0">
        <w:rPr>
          <w:rFonts w:ascii="Book Antiqua" w:hAnsi="Book Antiqua"/>
          <w:lang w:eastAsia="zh-CN"/>
        </w:rPr>
        <w:t xml:space="preserve"> </w:t>
      </w:r>
      <w:r w:rsidR="00776E9A" w:rsidRPr="005B36A0">
        <w:rPr>
          <w:rFonts w:ascii="Book Antiqua" w:eastAsia="Book Antiqua" w:hAnsi="Book Antiqua" w:cs="Book Antiqua"/>
          <w:shd w:val="clear" w:color="auto" w:fill="FFFFFF"/>
        </w:rPr>
        <w:t>The inlet of the right Frohse arch showed tendinous thickening, the PIN was compressed and thinned. T</w:t>
      </w:r>
      <w:r w:rsidR="00776E9A" w:rsidRPr="005B36A0">
        <w:rPr>
          <w:rFonts w:ascii="Book Antiqua" w:eastAsia="Book Antiqua" w:hAnsi="Book Antiqua" w:cs="Book Antiqua"/>
          <w:color w:val="000000"/>
        </w:rPr>
        <w:t>here was local adhesion with the surrounding tissues, with unclear demarcation</w:t>
      </w:r>
      <w:r w:rsidR="00776E9A" w:rsidRPr="005B36A0">
        <w:rPr>
          <w:rFonts w:ascii="Book Antiqua" w:eastAsia="Book Antiqua" w:hAnsi="Book Antiqua" w:cs="Book Antiqua"/>
          <w:shd w:val="clear" w:color="auto" w:fill="FFFFFF"/>
        </w:rPr>
        <w:t xml:space="preserve"> (A), and the left side was normal (B). The right PIN was swollen and thickened at the outlet of the supinator muscle (C), while the left PIN was normal (D). On the longitudinal axis, the right PIN is entrapped, the nerves distal to the entrapment point manifest swelling, thickening, and myelin thickening, with unclear boundaries with the surrounding tissues (E), and the left PIN is normal (F).</w:t>
      </w:r>
    </w:p>
    <w:p w14:paraId="764B3E35" w14:textId="409EA894" w:rsidR="00A930C2" w:rsidRPr="00FA331B" w:rsidRDefault="00FA331B" w:rsidP="005B36A0">
      <w:pPr>
        <w:spacing w:line="360" w:lineRule="auto"/>
        <w:jc w:val="both"/>
        <w:rPr>
          <w:rFonts w:ascii="Book Antiqua" w:hAnsi="Book Antiqua" w:cs="Book Antiqua" w:hint="eastAsia"/>
          <w:b/>
          <w:bCs/>
          <w:color w:val="101214"/>
          <w:shd w:val="clear" w:color="auto" w:fill="FFFFFF"/>
          <w:lang w:eastAsia="zh-CN"/>
        </w:rPr>
      </w:pPr>
      <w:r>
        <w:rPr>
          <w:noProof/>
        </w:rPr>
        <w:lastRenderedPageBreak/>
        <w:drawing>
          <wp:inline distT="0" distB="0" distL="0" distR="0" wp14:anchorId="71C9C6CC" wp14:editId="21B606C4">
            <wp:extent cx="4479290" cy="2313305"/>
            <wp:effectExtent l="0" t="0" r="0" b="0"/>
            <wp:docPr id="16920102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9290" cy="2313305"/>
                    </a:xfrm>
                    <a:prstGeom prst="rect">
                      <a:avLst/>
                    </a:prstGeom>
                    <a:noFill/>
                    <a:ln>
                      <a:noFill/>
                    </a:ln>
                  </pic:spPr>
                </pic:pic>
              </a:graphicData>
            </a:graphic>
          </wp:inline>
        </w:drawing>
      </w:r>
      <w:r>
        <w:rPr>
          <w:rFonts w:ascii="Book Antiqua" w:hAnsi="Book Antiqua" w:cs="Book Antiqua" w:hint="eastAsia"/>
          <w:b/>
          <w:bCs/>
          <w:color w:val="101214"/>
          <w:shd w:val="clear" w:color="auto" w:fill="FFFFFF"/>
          <w:lang w:eastAsia="zh-CN"/>
        </w:rPr>
        <w:t>v</w:t>
      </w:r>
    </w:p>
    <w:p w14:paraId="7A057690" w14:textId="743452D0" w:rsidR="00AB16FB" w:rsidRPr="005B36A0" w:rsidRDefault="00A930C2"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Figure 4</w:t>
      </w:r>
      <w:r w:rsidR="00776E9A" w:rsidRPr="005B36A0">
        <w:rPr>
          <w:rFonts w:ascii="Book Antiqua" w:eastAsia="Book Antiqua" w:hAnsi="Book Antiqua" w:cs="Book Antiqua"/>
          <w:b/>
          <w:bCs/>
          <w:color w:val="101214"/>
          <w:shd w:val="clear" w:color="auto" w:fill="FFFFFF"/>
        </w:rPr>
        <w:t xml:space="preserve"> Schematic diagram of hydrodissection injection of the </w:t>
      </w:r>
      <w:r w:rsidR="00A46212" w:rsidRPr="005B36A0">
        <w:rPr>
          <w:rFonts w:ascii="Book Antiqua" w:eastAsia="Book Antiqua" w:hAnsi="Book Antiqua" w:cs="Book Antiqua"/>
          <w:b/>
        </w:rPr>
        <w:t>posterior interosseous nerve</w:t>
      </w:r>
      <w:r w:rsidRPr="005B36A0">
        <w:rPr>
          <w:rFonts w:ascii="Book Antiqua" w:eastAsia="Book Antiqua" w:hAnsi="Book Antiqua" w:cs="Book Antiqua"/>
          <w:b/>
          <w:bCs/>
          <w:color w:val="101214"/>
          <w:shd w:val="clear" w:color="auto" w:fill="FFFFFF"/>
        </w:rPr>
        <w:t>.</w:t>
      </w:r>
    </w:p>
    <w:p w14:paraId="63D1C680" w14:textId="308C3B48" w:rsidR="00AB16FB" w:rsidRPr="003E2AFE" w:rsidRDefault="00AB16FB" w:rsidP="005B36A0">
      <w:pPr>
        <w:spacing w:line="360" w:lineRule="auto"/>
        <w:jc w:val="both"/>
        <w:rPr>
          <w:rFonts w:ascii="Book Antiqua" w:hAnsi="Book Antiqua" w:cs="Book Antiqua"/>
          <w:b/>
          <w:bCs/>
          <w:color w:val="101214"/>
          <w:shd w:val="clear" w:color="auto" w:fill="FFFFFF"/>
          <w:lang w:eastAsia="zh-CN"/>
        </w:rPr>
      </w:pPr>
      <w:r w:rsidRPr="005B36A0">
        <w:rPr>
          <w:rFonts w:ascii="Book Antiqua" w:eastAsia="Book Antiqua" w:hAnsi="Book Antiqua" w:cs="Book Antiqua"/>
          <w:b/>
          <w:bCs/>
          <w:color w:val="101214"/>
          <w:shd w:val="clear" w:color="auto" w:fill="FFFFFF"/>
        </w:rPr>
        <w:br w:type="page"/>
      </w:r>
      <w:r w:rsidRPr="003E2AFE">
        <w:rPr>
          <w:rFonts w:ascii="Book Antiqua" w:eastAsia="Book Antiqua" w:hAnsi="Book Antiqua" w:cs="Book Antiqua"/>
          <w:b/>
          <w:bCs/>
          <w:color w:val="101214"/>
        </w:rPr>
        <w:lastRenderedPageBreak/>
        <w:t>Table 1</w:t>
      </w:r>
      <w:r w:rsidR="00DA58F7" w:rsidRPr="003E2AFE">
        <w:rPr>
          <w:rFonts w:ascii="Book Antiqua" w:eastAsia="Book Antiqua" w:hAnsi="Book Antiqua" w:cs="Book Antiqua"/>
          <w:b/>
          <w:bCs/>
          <w:color w:val="101214"/>
        </w:rPr>
        <w:t xml:space="preserve"> </w:t>
      </w:r>
      <w:r w:rsidR="00AE5B6A" w:rsidRPr="003E2AFE">
        <w:rPr>
          <w:rFonts w:ascii="Book Antiqua" w:eastAsia="宋体" w:hAnsi="Book Antiqua"/>
          <w:b/>
          <w:color w:val="000000" w:themeColor="text1"/>
          <w:szCs w:val="21"/>
        </w:rPr>
        <w:t xml:space="preserve">Comparisons of muscle strength, </w:t>
      </w:r>
      <w:r w:rsidR="00AE5B6A" w:rsidRPr="003E2AFE">
        <w:rPr>
          <w:rFonts w:ascii="Book Antiqua" w:eastAsia="宋体" w:hAnsi="Book Antiqua"/>
          <w:b/>
          <w:color w:val="000000" w:themeColor="text1"/>
          <w:szCs w:val="21"/>
          <w:lang w:bidi="ar"/>
        </w:rPr>
        <w:t>motor conduction amplitude</w:t>
      </w:r>
      <w:r w:rsidR="00AE5B6A" w:rsidRPr="003E2AFE">
        <w:rPr>
          <w:rFonts w:ascii="Book Antiqua" w:eastAsia="宋体" w:hAnsi="Book Antiqua"/>
          <w:b/>
          <w:color w:val="000000" w:themeColor="text1"/>
          <w:szCs w:val="21"/>
        </w:rPr>
        <w:t xml:space="preserve">, and electromyography findings before and after treatment </w:t>
      </w:r>
    </w:p>
    <w:tbl>
      <w:tblPr>
        <w:tblW w:w="9180" w:type="dxa"/>
        <w:tblBorders>
          <w:top w:val="single" w:sz="8"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990"/>
        <w:gridCol w:w="2371"/>
        <w:gridCol w:w="1276"/>
        <w:gridCol w:w="1559"/>
        <w:gridCol w:w="1984"/>
      </w:tblGrid>
      <w:tr w:rsidR="0032442B" w:rsidRPr="005B36A0" w14:paraId="3074C799" w14:textId="77777777" w:rsidTr="002C569E">
        <w:trPr>
          <w:trHeight w:val="425"/>
        </w:trPr>
        <w:tc>
          <w:tcPr>
            <w:tcW w:w="1990" w:type="dxa"/>
            <w:vMerge w:val="restart"/>
            <w:tcBorders>
              <w:top w:val="single" w:sz="8" w:space="0" w:color="000000" w:themeColor="text1"/>
            </w:tcBorders>
            <w:shd w:val="clear" w:color="auto" w:fill="auto"/>
            <w:tcMar>
              <w:top w:w="15" w:type="dxa"/>
              <w:left w:w="108" w:type="dxa"/>
              <w:bottom w:w="0" w:type="dxa"/>
              <w:right w:w="108" w:type="dxa"/>
            </w:tcMar>
            <w:vAlign w:val="center"/>
            <w:hideMark/>
          </w:tcPr>
          <w:p w14:paraId="54321CE7" w14:textId="2B018BCE"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Examination</w:t>
            </w:r>
          </w:p>
        </w:tc>
        <w:tc>
          <w:tcPr>
            <w:tcW w:w="2371" w:type="dxa"/>
            <w:vMerge w:val="restart"/>
            <w:tcBorders>
              <w:top w:val="single" w:sz="8" w:space="0" w:color="000000" w:themeColor="text1"/>
            </w:tcBorders>
            <w:shd w:val="clear" w:color="auto" w:fill="auto"/>
            <w:tcMar>
              <w:top w:w="15" w:type="dxa"/>
              <w:left w:w="108" w:type="dxa"/>
              <w:bottom w:w="0" w:type="dxa"/>
              <w:right w:w="108" w:type="dxa"/>
            </w:tcMar>
            <w:vAlign w:val="center"/>
            <w:hideMark/>
          </w:tcPr>
          <w:p w14:paraId="218B9D51" w14:textId="0C616DD5"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Location</w:t>
            </w:r>
          </w:p>
        </w:tc>
        <w:tc>
          <w:tcPr>
            <w:tcW w:w="4819" w:type="dxa"/>
            <w:gridSpan w:val="3"/>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041EE646" w14:textId="77777777"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Time</w:t>
            </w:r>
          </w:p>
        </w:tc>
      </w:tr>
      <w:tr w:rsidR="0032442B" w:rsidRPr="005B36A0" w14:paraId="17FD0B09" w14:textId="77777777" w:rsidTr="002C569E">
        <w:trPr>
          <w:trHeight w:val="850"/>
        </w:trPr>
        <w:tc>
          <w:tcPr>
            <w:tcW w:w="1990" w:type="dxa"/>
            <w:vMerge/>
            <w:tcBorders>
              <w:bottom w:val="single" w:sz="8" w:space="0" w:color="000000" w:themeColor="text1"/>
            </w:tcBorders>
            <w:shd w:val="clear" w:color="auto" w:fill="auto"/>
            <w:tcMar>
              <w:top w:w="15" w:type="dxa"/>
              <w:left w:w="108" w:type="dxa"/>
              <w:bottom w:w="0" w:type="dxa"/>
              <w:right w:w="108" w:type="dxa"/>
            </w:tcMar>
            <w:vAlign w:val="center"/>
            <w:hideMark/>
          </w:tcPr>
          <w:p w14:paraId="0B1A0CF4" w14:textId="780D22EB"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p>
        </w:tc>
        <w:tc>
          <w:tcPr>
            <w:tcW w:w="2371" w:type="dxa"/>
            <w:vMerge/>
            <w:tcBorders>
              <w:bottom w:val="single" w:sz="8" w:space="0" w:color="000000" w:themeColor="text1"/>
            </w:tcBorders>
            <w:shd w:val="clear" w:color="auto" w:fill="auto"/>
            <w:tcMar>
              <w:top w:w="15" w:type="dxa"/>
              <w:left w:w="108" w:type="dxa"/>
              <w:bottom w:w="0" w:type="dxa"/>
              <w:right w:w="108" w:type="dxa"/>
            </w:tcMar>
            <w:vAlign w:val="center"/>
            <w:hideMark/>
          </w:tcPr>
          <w:p w14:paraId="016FB45A" w14:textId="41CA63BF"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p>
        </w:tc>
        <w:tc>
          <w:tcPr>
            <w:tcW w:w="1276"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35668DA7" w14:textId="77777777"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Before treatment</w:t>
            </w:r>
          </w:p>
        </w:tc>
        <w:tc>
          <w:tcPr>
            <w:tcW w:w="1559"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3A5518E9" w14:textId="70538AC8"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Pr>
                <w:rFonts w:ascii="Book Antiqua" w:eastAsia="Book Antiqua" w:hAnsi="Book Antiqua" w:cs="Book Antiqua"/>
                <w:b/>
                <w:bCs/>
                <w:color w:val="101214"/>
                <w:shd w:val="clear" w:color="auto" w:fill="FFFFFF"/>
              </w:rPr>
              <w:t>1 w</w:t>
            </w:r>
            <w:r w:rsidRPr="005B36A0">
              <w:rPr>
                <w:rFonts w:ascii="Book Antiqua" w:eastAsia="Book Antiqua" w:hAnsi="Book Antiqua" w:cs="Book Antiqua"/>
                <w:b/>
                <w:bCs/>
                <w:color w:val="101214"/>
                <w:shd w:val="clear" w:color="auto" w:fill="FFFFFF"/>
              </w:rPr>
              <w:t>k after treatment</w:t>
            </w:r>
          </w:p>
        </w:tc>
        <w:tc>
          <w:tcPr>
            <w:tcW w:w="1984"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6DA96E65" w14:textId="50001A09" w:rsidR="0032442B" w:rsidRPr="005B36A0" w:rsidRDefault="0032442B" w:rsidP="005B36A0">
            <w:pPr>
              <w:spacing w:line="360" w:lineRule="auto"/>
              <w:jc w:val="both"/>
              <w:rPr>
                <w:rFonts w:ascii="Book Antiqua" w:eastAsia="Book Antiqua" w:hAnsi="Book Antiqua" w:cs="Book Antiqua"/>
                <w:b/>
                <w:bCs/>
                <w:color w:val="101214"/>
                <w:shd w:val="clear" w:color="auto" w:fill="FFFFFF"/>
              </w:rPr>
            </w:pPr>
            <w:r w:rsidRPr="005B36A0">
              <w:rPr>
                <w:rFonts w:ascii="Book Antiqua" w:eastAsia="Book Antiqua" w:hAnsi="Book Antiqua" w:cs="Book Antiqua"/>
                <w:b/>
                <w:bCs/>
                <w:color w:val="101214"/>
                <w:shd w:val="clear" w:color="auto" w:fill="FFFFFF"/>
              </w:rPr>
              <w:t>3 mo after treatment</w:t>
            </w:r>
          </w:p>
        </w:tc>
      </w:tr>
      <w:tr w:rsidR="005B36A0" w:rsidRPr="005B36A0" w14:paraId="318B2FD9" w14:textId="77777777" w:rsidTr="005B36A0">
        <w:trPr>
          <w:trHeight w:val="425"/>
        </w:trPr>
        <w:tc>
          <w:tcPr>
            <w:tcW w:w="1990" w:type="dxa"/>
            <w:vMerge w:val="restart"/>
            <w:tcBorders>
              <w:top w:val="single" w:sz="8" w:space="0" w:color="000000" w:themeColor="text1"/>
            </w:tcBorders>
            <w:shd w:val="clear" w:color="auto" w:fill="auto"/>
            <w:tcMar>
              <w:top w:w="15" w:type="dxa"/>
              <w:left w:w="108" w:type="dxa"/>
              <w:bottom w:w="0" w:type="dxa"/>
              <w:right w:w="108" w:type="dxa"/>
            </w:tcMar>
            <w:vAlign w:val="center"/>
            <w:hideMark/>
          </w:tcPr>
          <w:p w14:paraId="619D12F0"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Manual muscle test (grade)</w:t>
            </w:r>
          </w:p>
        </w:tc>
        <w:tc>
          <w:tcPr>
            <w:tcW w:w="2371" w:type="dxa"/>
            <w:tcBorders>
              <w:top w:val="single" w:sz="8" w:space="0" w:color="000000" w:themeColor="text1"/>
            </w:tcBorders>
            <w:shd w:val="clear" w:color="auto" w:fill="auto"/>
            <w:tcMar>
              <w:top w:w="15" w:type="dxa"/>
              <w:left w:w="108" w:type="dxa"/>
              <w:bottom w:w="0" w:type="dxa"/>
              <w:right w:w="108" w:type="dxa"/>
            </w:tcMar>
            <w:vAlign w:val="center"/>
            <w:hideMark/>
          </w:tcPr>
          <w:p w14:paraId="61EC63A4"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Extensor digitorum</w:t>
            </w:r>
          </w:p>
        </w:tc>
        <w:tc>
          <w:tcPr>
            <w:tcW w:w="1276" w:type="dxa"/>
            <w:tcBorders>
              <w:top w:val="single" w:sz="8" w:space="0" w:color="000000" w:themeColor="text1"/>
            </w:tcBorders>
            <w:shd w:val="clear" w:color="auto" w:fill="auto"/>
            <w:tcMar>
              <w:top w:w="15" w:type="dxa"/>
              <w:left w:w="108" w:type="dxa"/>
              <w:bottom w:w="0" w:type="dxa"/>
              <w:right w:w="108" w:type="dxa"/>
            </w:tcMar>
            <w:vAlign w:val="center"/>
            <w:hideMark/>
          </w:tcPr>
          <w:p w14:paraId="44B77E58"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2</w:t>
            </w:r>
          </w:p>
        </w:tc>
        <w:tc>
          <w:tcPr>
            <w:tcW w:w="1559" w:type="dxa"/>
            <w:tcBorders>
              <w:top w:val="single" w:sz="8" w:space="0" w:color="000000" w:themeColor="text1"/>
            </w:tcBorders>
            <w:shd w:val="clear" w:color="auto" w:fill="auto"/>
            <w:tcMar>
              <w:top w:w="15" w:type="dxa"/>
              <w:left w:w="108" w:type="dxa"/>
              <w:bottom w:w="0" w:type="dxa"/>
              <w:right w:w="108" w:type="dxa"/>
            </w:tcMar>
            <w:vAlign w:val="center"/>
            <w:hideMark/>
          </w:tcPr>
          <w:p w14:paraId="4E76C1CC"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3</w:t>
            </w:r>
          </w:p>
        </w:tc>
        <w:tc>
          <w:tcPr>
            <w:tcW w:w="1984" w:type="dxa"/>
            <w:tcBorders>
              <w:top w:val="single" w:sz="8" w:space="0" w:color="000000" w:themeColor="text1"/>
            </w:tcBorders>
            <w:shd w:val="clear" w:color="auto" w:fill="auto"/>
            <w:tcMar>
              <w:top w:w="15" w:type="dxa"/>
              <w:left w:w="108" w:type="dxa"/>
              <w:bottom w:w="0" w:type="dxa"/>
              <w:right w:w="108" w:type="dxa"/>
            </w:tcMar>
            <w:vAlign w:val="center"/>
            <w:hideMark/>
          </w:tcPr>
          <w:p w14:paraId="3CF5820E"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4+</w:t>
            </w:r>
          </w:p>
        </w:tc>
      </w:tr>
      <w:tr w:rsidR="005B36A0" w:rsidRPr="005B36A0" w14:paraId="787BAB4D" w14:textId="77777777" w:rsidTr="005B36A0">
        <w:trPr>
          <w:trHeight w:val="425"/>
        </w:trPr>
        <w:tc>
          <w:tcPr>
            <w:tcW w:w="1990" w:type="dxa"/>
            <w:vMerge/>
            <w:shd w:val="clear" w:color="auto" w:fill="auto"/>
            <w:vAlign w:val="center"/>
            <w:hideMark/>
          </w:tcPr>
          <w:p w14:paraId="43B76CBA"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p>
        </w:tc>
        <w:tc>
          <w:tcPr>
            <w:tcW w:w="2371" w:type="dxa"/>
            <w:shd w:val="clear" w:color="auto" w:fill="auto"/>
            <w:tcMar>
              <w:top w:w="15" w:type="dxa"/>
              <w:left w:w="108" w:type="dxa"/>
              <w:bottom w:w="0" w:type="dxa"/>
              <w:right w:w="108" w:type="dxa"/>
            </w:tcMar>
            <w:vAlign w:val="center"/>
            <w:hideMark/>
          </w:tcPr>
          <w:p w14:paraId="6ED2EDB0"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Supinator muscle</w:t>
            </w:r>
          </w:p>
        </w:tc>
        <w:tc>
          <w:tcPr>
            <w:tcW w:w="1276" w:type="dxa"/>
            <w:shd w:val="clear" w:color="auto" w:fill="auto"/>
            <w:tcMar>
              <w:top w:w="15" w:type="dxa"/>
              <w:left w:w="108" w:type="dxa"/>
              <w:bottom w:w="0" w:type="dxa"/>
              <w:right w:w="108" w:type="dxa"/>
            </w:tcMar>
            <w:vAlign w:val="center"/>
            <w:hideMark/>
          </w:tcPr>
          <w:p w14:paraId="2CF57C2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4</w:t>
            </w:r>
          </w:p>
        </w:tc>
        <w:tc>
          <w:tcPr>
            <w:tcW w:w="1559" w:type="dxa"/>
            <w:shd w:val="clear" w:color="auto" w:fill="auto"/>
            <w:tcMar>
              <w:top w:w="15" w:type="dxa"/>
              <w:left w:w="108" w:type="dxa"/>
              <w:bottom w:w="0" w:type="dxa"/>
              <w:right w:w="108" w:type="dxa"/>
            </w:tcMar>
            <w:vAlign w:val="center"/>
            <w:hideMark/>
          </w:tcPr>
          <w:p w14:paraId="60A826A6"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4</w:t>
            </w:r>
          </w:p>
        </w:tc>
        <w:tc>
          <w:tcPr>
            <w:tcW w:w="1984" w:type="dxa"/>
            <w:shd w:val="clear" w:color="auto" w:fill="auto"/>
            <w:tcMar>
              <w:top w:w="15" w:type="dxa"/>
              <w:left w:w="108" w:type="dxa"/>
              <w:bottom w:w="0" w:type="dxa"/>
              <w:right w:w="108" w:type="dxa"/>
            </w:tcMar>
            <w:vAlign w:val="center"/>
            <w:hideMark/>
          </w:tcPr>
          <w:p w14:paraId="2DDFA9A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5-</w:t>
            </w:r>
          </w:p>
        </w:tc>
      </w:tr>
      <w:tr w:rsidR="005B36A0" w:rsidRPr="005B36A0" w14:paraId="2828B412" w14:textId="77777777" w:rsidTr="005B36A0">
        <w:trPr>
          <w:trHeight w:val="850"/>
        </w:trPr>
        <w:tc>
          <w:tcPr>
            <w:tcW w:w="1990" w:type="dxa"/>
            <w:vMerge w:val="restart"/>
            <w:shd w:val="clear" w:color="auto" w:fill="auto"/>
            <w:tcMar>
              <w:top w:w="15" w:type="dxa"/>
              <w:left w:w="108" w:type="dxa"/>
              <w:bottom w:w="0" w:type="dxa"/>
              <w:right w:w="108" w:type="dxa"/>
            </w:tcMar>
            <w:vAlign w:val="center"/>
            <w:hideMark/>
          </w:tcPr>
          <w:p w14:paraId="3B67A80D"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Motor conduction amplitude</w:t>
            </w:r>
          </w:p>
        </w:tc>
        <w:tc>
          <w:tcPr>
            <w:tcW w:w="2371" w:type="dxa"/>
            <w:shd w:val="clear" w:color="auto" w:fill="auto"/>
            <w:tcMar>
              <w:top w:w="15" w:type="dxa"/>
              <w:left w:w="108" w:type="dxa"/>
              <w:bottom w:w="0" w:type="dxa"/>
              <w:right w:w="108" w:type="dxa"/>
            </w:tcMar>
            <w:vAlign w:val="center"/>
            <w:hideMark/>
          </w:tcPr>
          <w:p w14:paraId="12A6D6F6"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Radial nerve at the forearm (mV)</w:t>
            </w:r>
          </w:p>
        </w:tc>
        <w:tc>
          <w:tcPr>
            <w:tcW w:w="1276" w:type="dxa"/>
            <w:shd w:val="clear" w:color="auto" w:fill="auto"/>
            <w:tcMar>
              <w:top w:w="15" w:type="dxa"/>
              <w:left w:w="108" w:type="dxa"/>
              <w:bottom w:w="0" w:type="dxa"/>
              <w:right w:w="108" w:type="dxa"/>
            </w:tcMar>
            <w:vAlign w:val="center"/>
            <w:hideMark/>
          </w:tcPr>
          <w:p w14:paraId="259165D9"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4.55</w:t>
            </w:r>
          </w:p>
        </w:tc>
        <w:tc>
          <w:tcPr>
            <w:tcW w:w="1559" w:type="dxa"/>
            <w:shd w:val="clear" w:color="auto" w:fill="auto"/>
            <w:tcMar>
              <w:top w:w="15" w:type="dxa"/>
              <w:left w:w="108" w:type="dxa"/>
              <w:bottom w:w="0" w:type="dxa"/>
              <w:right w:w="108" w:type="dxa"/>
            </w:tcMar>
            <w:vAlign w:val="center"/>
            <w:hideMark/>
          </w:tcPr>
          <w:p w14:paraId="55FCFE70" w14:textId="400EA856"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65B9E8E6"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6</w:t>
            </w:r>
          </w:p>
        </w:tc>
      </w:tr>
      <w:tr w:rsidR="005B36A0" w:rsidRPr="005B36A0" w14:paraId="6AC04A18" w14:textId="77777777" w:rsidTr="005B36A0">
        <w:trPr>
          <w:trHeight w:val="850"/>
        </w:trPr>
        <w:tc>
          <w:tcPr>
            <w:tcW w:w="1990" w:type="dxa"/>
            <w:vMerge/>
            <w:shd w:val="clear" w:color="auto" w:fill="auto"/>
            <w:vAlign w:val="center"/>
            <w:hideMark/>
          </w:tcPr>
          <w:p w14:paraId="3C90DB5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p>
        </w:tc>
        <w:tc>
          <w:tcPr>
            <w:tcW w:w="2371" w:type="dxa"/>
            <w:shd w:val="clear" w:color="auto" w:fill="auto"/>
            <w:tcMar>
              <w:top w:w="15" w:type="dxa"/>
              <w:left w:w="108" w:type="dxa"/>
              <w:bottom w:w="0" w:type="dxa"/>
              <w:right w:w="108" w:type="dxa"/>
            </w:tcMar>
            <w:vAlign w:val="center"/>
            <w:hideMark/>
          </w:tcPr>
          <w:p w14:paraId="1C3ACF41"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Radial nerve at the elbow (mV)</w:t>
            </w:r>
          </w:p>
        </w:tc>
        <w:tc>
          <w:tcPr>
            <w:tcW w:w="1276" w:type="dxa"/>
            <w:shd w:val="clear" w:color="auto" w:fill="auto"/>
            <w:tcMar>
              <w:top w:w="15" w:type="dxa"/>
              <w:left w:w="108" w:type="dxa"/>
              <w:bottom w:w="0" w:type="dxa"/>
              <w:right w:w="108" w:type="dxa"/>
            </w:tcMar>
            <w:vAlign w:val="center"/>
            <w:hideMark/>
          </w:tcPr>
          <w:p w14:paraId="172DAAC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2.3</w:t>
            </w:r>
          </w:p>
        </w:tc>
        <w:tc>
          <w:tcPr>
            <w:tcW w:w="1559" w:type="dxa"/>
            <w:shd w:val="clear" w:color="auto" w:fill="auto"/>
            <w:tcMar>
              <w:top w:w="15" w:type="dxa"/>
              <w:left w:w="108" w:type="dxa"/>
              <w:bottom w:w="0" w:type="dxa"/>
              <w:right w:w="108" w:type="dxa"/>
            </w:tcMar>
            <w:vAlign w:val="center"/>
            <w:hideMark/>
          </w:tcPr>
          <w:p w14:paraId="4DFCAC84" w14:textId="3C4BB940"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71732E3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5.06</w:t>
            </w:r>
          </w:p>
        </w:tc>
      </w:tr>
      <w:tr w:rsidR="005B36A0" w:rsidRPr="005B36A0" w14:paraId="15E27521" w14:textId="77777777" w:rsidTr="005B36A0">
        <w:trPr>
          <w:trHeight w:val="850"/>
        </w:trPr>
        <w:tc>
          <w:tcPr>
            <w:tcW w:w="1990" w:type="dxa"/>
            <w:vMerge/>
            <w:shd w:val="clear" w:color="auto" w:fill="auto"/>
            <w:vAlign w:val="center"/>
            <w:hideMark/>
          </w:tcPr>
          <w:p w14:paraId="6DE7666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p>
        </w:tc>
        <w:tc>
          <w:tcPr>
            <w:tcW w:w="2371" w:type="dxa"/>
            <w:shd w:val="clear" w:color="auto" w:fill="auto"/>
            <w:tcMar>
              <w:top w:w="15" w:type="dxa"/>
              <w:left w:w="108" w:type="dxa"/>
              <w:bottom w:w="0" w:type="dxa"/>
              <w:right w:w="108" w:type="dxa"/>
            </w:tcMar>
            <w:vAlign w:val="center"/>
            <w:hideMark/>
          </w:tcPr>
          <w:p w14:paraId="614FE4D7"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Superficial radial nerve (mV)</w:t>
            </w:r>
          </w:p>
        </w:tc>
        <w:tc>
          <w:tcPr>
            <w:tcW w:w="1276" w:type="dxa"/>
            <w:shd w:val="clear" w:color="auto" w:fill="auto"/>
            <w:tcMar>
              <w:top w:w="15" w:type="dxa"/>
              <w:left w:w="108" w:type="dxa"/>
              <w:bottom w:w="0" w:type="dxa"/>
              <w:right w:w="108" w:type="dxa"/>
            </w:tcMar>
            <w:vAlign w:val="center"/>
            <w:hideMark/>
          </w:tcPr>
          <w:p w14:paraId="510AF621"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27.4</w:t>
            </w:r>
          </w:p>
        </w:tc>
        <w:tc>
          <w:tcPr>
            <w:tcW w:w="1559" w:type="dxa"/>
            <w:shd w:val="clear" w:color="auto" w:fill="auto"/>
            <w:tcMar>
              <w:top w:w="15" w:type="dxa"/>
              <w:left w:w="108" w:type="dxa"/>
              <w:bottom w:w="0" w:type="dxa"/>
              <w:right w:w="108" w:type="dxa"/>
            </w:tcMar>
            <w:vAlign w:val="center"/>
            <w:hideMark/>
          </w:tcPr>
          <w:p w14:paraId="2C912AA7" w14:textId="16184640"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581E1A44"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r>
      <w:tr w:rsidR="005B36A0" w:rsidRPr="005B36A0" w14:paraId="3352D29B" w14:textId="77777777" w:rsidTr="005B36A0">
        <w:trPr>
          <w:trHeight w:val="425"/>
        </w:trPr>
        <w:tc>
          <w:tcPr>
            <w:tcW w:w="1990" w:type="dxa"/>
            <w:vMerge w:val="restart"/>
            <w:shd w:val="clear" w:color="auto" w:fill="auto"/>
            <w:tcMar>
              <w:top w:w="15" w:type="dxa"/>
              <w:left w:w="108" w:type="dxa"/>
              <w:bottom w:w="0" w:type="dxa"/>
              <w:right w:w="108" w:type="dxa"/>
            </w:tcMar>
            <w:vAlign w:val="center"/>
            <w:hideMark/>
          </w:tcPr>
          <w:p w14:paraId="2BB41EF9"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Spontaneous potential on electromyogram</w:t>
            </w:r>
          </w:p>
        </w:tc>
        <w:tc>
          <w:tcPr>
            <w:tcW w:w="2371" w:type="dxa"/>
            <w:shd w:val="clear" w:color="auto" w:fill="auto"/>
            <w:tcMar>
              <w:top w:w="15" w:type="dxa"/>
              <w:left w:w="108" w:type="dxa"/>
              <w:bottom w:w="0" w:type="dxa"/>
              <w:right w:w="108" w:type="dxa"/>
            </w:tcMar>
            <w:vAlign w:val="center"/>
            <w:hideMark/>
          </w:tcPr>
          <w:p w14:paraId="381501D6"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Extensor indicis</w:t>
            </w:r>
          </w:p>
        </w:tc>
        <w:tc>
          <w:tcPr>
            <w:tcW w:w="1276" w:type="dxa"/>
            <w:shd w:val="clear" w:color="auto" w:fill="auto"/>
            <w:tcMar>
              <w:top w:w="15" w:type="dxa"/>
              <w:left w:w="108" w:type="dxa"/>
              <w:bottom w:w="0" w:type="dxa"/>
              <w:right w:w="108" w:type="dxa"/>
            </w:tcMar>
            <w:vAlign w:val="center"/>
            <w:hideMark/>
          </w:tcPr>
          <w:p w14:paraId="18F43E3E" w14:textId="6C823D38" w:rsidR="00AB16FB" w:rsidRPr="008A0CED" w:rsidRDefault="00AB16FB" w:rsidP="0028122C">
            <w:pPr>
              <w:spacing w:line="360" w:lineRule="auto"/>
              <w:jc w:val="both"/>
              <w:rPr>
                <w:rFonts w:ascii="Book Antiqua" w:eastAsia="Book Antiqua" w:hAnsi="Book Antiqua" w:cs="Book Antiqua"/>
                <w:bCs/>
                <w:color w:val="101214"/>
                <w:shd w:val="clear" w:color="auto" w:fill="FFFFFF"/>
                <w:lang w:eastAsia="zh-CN"/>
              </w:rPr>
            </w:pPr>
            <w:r w:rsidRPr="008A0CED">
              <w:rPr>
                <w:rFonts w:ascii="Book Antiqua" w:eastAsia="Book Antiqua" w:hAnsi="Book Antiqua" w:cs="Book Antiqua"/>
                <w:bCs/>
                <w:color w:val="101214"/>
                <w:shd w:val="clear" w:color="auto" w:fill="FFFFFF"/>
              </w:rPr>
              <w:t>DP</w:t>
            </w:r>
            <w:r w:rsidR="0028122C">
              <w:rPr>
                <w:rFonts w:ascii="Book Antiqua" w:eastAsia="Book Antiqua" w:hAnsi="Book Antiqua" w:cs="Book Antiqua"/>
                <w:bCs/>
                <w:color w:val="101214"/>
                <w:shd w:val="clear" w:color="auto" w:fill="FFFFFF"/>
              </w:rPr>
              <w:t xml:space="preserve"> </w:t>
            </w:r>
            <w:r w:rsidR="0028122C">
              <w:rPr>
                <w:rFonts w:ascii="Book Antiqua" w:eastAsia="宋体" w:hAnsi="Book Antiqua" w:cs="宋体" w:hint="eastAsia"/>
                <w:bCs/>
                <w:color w:val="101214"/>
                <w:shd w:val="clear" w:color="auto" w:fill="FFFFFF"/>
                <w:lang w:eastAsia="zh-CN"/>
              </w:rPr>
              <w:t>(</w:t>
            </w:r>
            <w:r w:rsidRPr="008A0CED">
              <w:rPr>
                <w:rFonts w:ascii="Book Antiqua" w:eastAsia="Book Antiqua" w:hAnsi="Book Antiqua" w:cs="Book Antiqua"/>
                <w:bCs/>
                <w:color w:val="101214"/>
                <w:shd w:val="clear" w:color="auto" w:fill="FFFFFF"/>
              </w:rPr>
              <w:t>1+</w:t>
            </w:r>
            <w:r w:rsidR="0028122C">
              <w:rPr>
                <w:rFonts w:ascii="Book Antiqua" w:eastAsia="宋体" w:hAnsi="Book Antiqua" w:cs="宋体" w:hint="eastAsia"/>
                <w:bCs/>
                <w:color w:val="101214"/>
                <w:shd w:val="clear" w:color="auto" w:fill="FFFFFF"/>
                <w:lang w:eastAsia="zh-CN"/>
              </w:rPr>
              <w:t>)</w:t>
            </w:r>
          </w:p>
        </w:tc>
        <w:tc>
          <w:tcPr>
            <w:tcW w:w="1559" w:type="dxa"/>
            <w:shd w:val="clear" w:color="auto" w:fill="auto"/>
            <w:tcMar>
              <w:top w:w="15" w:type="dxa"/>
              <w:left w:w="108" w:type="dxa"/>
              <w:bottom w:w="0" w:type="dxa"/>
              <w:right w:w="108" w:type="dxa"/>
            </w:tcMar>
            <w:vAlign w:val="center"/>
            <w:hideMark/>
          </w:tcPr>
          <w:p w14:paraId="6D049FA5" w14:textId="0D5CCE2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656D75F3"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0</w:t>
            </w:r>
          </w:p>
        </w:tc>
      </w:tr>
      <w:tr w:rsidR="005B36A0" w:rsidRPr="005B36A0" w14:paraId="4A3DC3FB" w14:textId="77777777" w:rsidTr="005B36A0">
        <w:trPr>
          <w:trHeight w:val="850"/>
        </w:trPr>
        <w:tc>
          <w:tcPr>
            <w:tcW w:w="1990" w:type="dxa"/>
            <w:vMerge/>
            <w:shd w:val="clear" w:color="auto" w:fill="auto"/>
            <w:vAlign w:val="center"/>
            <w:hideMark/>
          </w:tcPr>
          <w:p w14:paraId="0B664A4C"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p>
        </w:tc>
        <w:tc>
          <w:tcPr>
            <w:tcW w:w="2371" w:type="dxa"/>
            <w:shd w:val="clear" w:color="auto" w:fill="auto"/>
            <w:tcMar>
              <w:top w:w="15" w:type="dxa"/>
              <w:left w:w="108" w:type="dxa"/>
              <w:bottom w:w="0" w:type="dxa"/>
              <w:right w:w="108" w:type="dxa"/>
            </w:tcMar>
            <w:vAlign w:val="center"/>
            <w:hideMark/>
          </w:tcPr>
          <w:p w14:paraId="6E3CEBBF"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Extensor digitorum communis muscle</w:t>
            </w:r>
          </w:p>
        </w:tc>
        <w:tc>
          <w:tcPr>
            <w:tcW w:w="1276" w:type="dxa"/>
            <w:shd w:val="clear" w:color="auto" w:fill="auto"/>
            <w:tcMar>
              <w:top w:w="15" w:type="dxa"/>
              <w:left w:w="108" w:type="dxa"/>
              <w:bottom w:w="0" w:type="dxa"/>
              <w:right w:w="108" w:type="dxa"/>
            </w:tcMar>
            <w:vAlign w:val="center"/>
            <w:hideMark/>
          </w:tcPr>
          <w:p w14:paraId="322CE9AF" w14:textId="77750EC8" w:rsidR="00AB16FB" w:rsidRPr="008A0CED" w:rsidRDefault="00AB16FB" w:rsidP="0028122C">
            <w:pPr>
              <w:spacing w:line="360" w:lineRule="auto"/>
              <w:jc w:val="both"/>
              <w:rPr>
                <w:rFonts w:ascii="Book Antiqua" w:eastAsia="Book Antiqua" w:hAnsi="Book Antiqua" w:cs="Book Antiqua"/>
                <w:bCs/>
                <w:color w:val="101214"/>
                <w:shd w:val="clear" w:color="auto" w:fill="FFFFFF"/>
                <w:lang w:eastAsia="zh-CN"/>
              </w:rPr>
            </w:pPr>
            <w:r w:rsidRPr="008A0CED">
              <w:rPr>
                <w:rFonts w:ascii="Book Antiqua" w:eastAsia="Book Antiqua" w:hAnsi="Book Antiqua" w:cs="Book Antiqua"/>
                <w:bCs/>
                <w:color w:val="101214"/>
                <w:shd w:val="clear" w:color="auto" w:fill="FFFFFF"/>
              </w:rPr>
              <w:t>DP</w:t>
            </w:r>
            <w:r w:rsidR="0028122C">
              <w:rPr>
                <w:rFonts w:ascii="Book Antiqua" w:eastAsia="Book Antiqua" w:hAnsi="Book Antiqua" w:cs="Book Antiqua"/>
                <w:bCs/>
                <w:color w:val="101214"/>
                <w:shd w:val="clear" w:color="auto" w:fill="FFFFFF"/>
              </w:rPr>
              <w:t xml:space="preserve"> </w:t>
            </w:r>
            <w:r w:rsidR="0028122C">
              <w:rPr>
                <w:rFonts w:ascii="Book Antiqua" w:eastAsia="宋体" w:hAnsi="Book Antiqua" w:cs="宋体" w:hint="eastAsia"/>
                <w:bCs/>
                <w:color w:val="101214"/>
                <w:shd w:val="clear" w:color="auto" w:fill="FFFFFF"/>
                <w:lang w:eastAsia="zh-CN"/>
              </w:rPr>
              <w:t>(</w:t>
            </w:r>
            <w:r w:rsidRPr="008A0CED">
              <w:rPr>
                <w:rFonts w:ascii="Book Antiqua" w:eastAsia="Book Antiqua" w:hAnsi="Book Antiqua" w:cs="Book Antiqua"/>
                <w:bCs/>
                <w:color w:val="101214"/>
                <w:shd w:val="clear" w:color="auto" w:fill="FFFFFF"/>
              </w:rPr>
              <w:t>2+</w:t>
            </w:r>
            <w:r w:rsidR="0028122C">
              <w:rPr>
                <w:rFonts w:ascii="Book Antiqua" w:eastAsia="宋体" w:hAnsi="Book Antiqua" w:cs="宋体" w:hint="eastAsia"/>
                <w:bCs/>
                <w:color w:val="101214"/>
                <w:shd w:val="clear" w:color="auto" w:fill="FFFFFF"/>
                <w:lang w:eastAsia="zh-CN"/>
              </w:rPr>
              <w:t>)</w:t>
            </w:r>
          </w:p>
        </w:tc>
        <w:tc>
          <w:tcPr>
            <w:tcW w:w="1559" w:type="dxa"/>
            <w:shd w:val="clear" w:color="auto" w:fill="auto"/>
            <w:tcMar>
              <w:top w:w="15" w:type="dxa"/>
              <w:left w:w="108" w:type="dxa"/>
              <w:bottom w:w="0" w:type="dxa"/>
              <w:right w:w="108" w:type="dxa"/>
            </w:tcMar>
            <w:vAlign w:val="center"/>
            <w:hideMark/>
          </w:tcPr>
          <w:p w14:paraId="000DBC9D" w14:textId="3C5D58A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2A0984F0"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0</w:t>
            </w:r>
          </w:p>
        </w:tc>
      </w:tr>
      <w:tr w:rsidR="005B36A0" w:rsidRPr="005B36A0" w14:paraId="4A27E49C" w14:textId="77777777" w:rsidTr="005B36A0">
        <w:trPr>
          <w:trHeight w:val="850"/>
        </w:trPr>
        <w:tc>
          <w:tcPr>
            <w:tcW w:w="1990" w:type="dxa"/>
            <w:vMerge/>
            <w:shd w:val="clear" w:color="auto" w:fill="auto"/>
            <w:vAlign w:val="center"/>
            <w:hideMark/>
          </w:tcPr>
          <w:p w14:paraId="3E943EAA"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p>
        </w:tc>
        <w:tc>
          <w:tcPr>
            <w:tcW w:w="2371" w:type="dxa"/>
            <w:shd w:val="clear" w:color="auto" w:fill="auto"/>
            <w:tcMar>
              <w:top w:w="15" w:type="dxa"/>
              <w:left w:w="108" w:type="dxa"/>
              <w:bottom w:w="0" w:type="dxa"/>
              <w:right w:w="108" w:type="dxa"/>
            </w:tcMar>
            <w:vAlign w:val="center"/>
            <w:hideMark/>
          </w:tcPr>
          <w:p w14:paraId="5834C85D"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Extensor carpi radialis muscle</w:t>
            </w:r>
          </w:p>
        </w:tc>
        <w:tc>
          <w:tcPr>
            <w:tcW w:w="1276" w:type="dxa"/>
            <w:shd w:val="clear" w:color="auto" w:fill="auto"/>
            <w:tcMar>
              <w:top w:w="15" w:type="dxa"/>
              <w:left w:w="108" w:type="dxa"/>
              <w:bottom w:w="0" w:type="dxa"/>
              <w:right w:w="108" w:type="dxa"/>
            </w:tcMar>
            <w:vAlign w:val="center"/>
            <w:hideMark/>
          </w:tcPr>
          <w:p w14:paraId="7BF771FF"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0</w:t>
            </w:r>
          </w:p>
        </w:tc>
        <w:tc>
          <w:tcPr>
            <w:tcW w:w="1559" w:type="dxa"/>
            <w:shd w:val="clear" w:color="auto" w:fill="auto"/>
            <w:tcMar>
              <w:top w:w="15" w:type="dxa"/>
              <w:left w:w="108" w:type="dxa"/>
              <w:bottom w:w="0" w:type="dxa"/>
              <w:right w:w="108" w:type="dxa"/>
            </w:tcMar>
            <w:vAlign w:val="center"/>
            <w:hideMark/>
          </w:tcPr>
          <w:p w14:paraId="5EDD3826" w14:textId="641ED821"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w:t>
            </w:r>
          </w:p>
        </w:tc>
        <w:tc>
          <w:tcPr>
            <w:tcW w:w="1984" w:type="dxa"/>
            <w:shd w:val="clear" w:color="auto" w:fill="auto"/>
            <w:tcMar>
              <w:top w:w="15" w:type="dxa"/>
              <w:left w:w="108" w:type="dxa"/>
              <w:bottom w:w="0" w:type="dxa"/>
              <w:right w:w="108" w:type="dxa"/>
            </w:tcMar>
            <w:vAlign w:val="center"/>
            <w:hideMark/>
          </w:tcPr>
          <w:p w14:paraId="67BFF506" w14:textId="77777777" w:rsidR="00AB16FB" w:rsidRPr="008A0CED" w:rsidRDefault="00AB16FB" w:rsidP="005B36A0">
            <w:pPr>
              <w:spacing w:line="360" w:lineRule="auto"/>
              <w:jc w:val="both"/>
              <w:rPr>
                <w:rFonts w:ascii="Book Antiqua" w:eastAsia="Book Antiqua" w:hAnsi="Book Antiqua" w:cs="Book Antiqua"/>
                <w:bCs/>
                <w:color w:val="101214"/>
                <w:shd w:val="clear" w:color="auto" w:fill="FFFFFF"/>
              </w:rPr>
            </w:pPr>
            <w:r w:rsidRPr="008A0CED">
              <w:rPr>
                <w:rFonts w:ascii="Book Antiqua" w:eastAsia="Book Antiqua" w:hAnsi="Book Antiqua" w:cs="Book Antiqua"/>
                <w:bCs/>
                <w:color w:val="101214"/>
                <w:shd w:val="clear" w:color="auto" w:fill="FFFFFF"/>
              </w:rPr>
              <w:t>0</w:t>
            </w:r>
          </w:p>
        </w:tc>
      </w:tr>
    </w:tbl>
    <w:p w14:paraId="3481D77B" w14:textId="52E450F7" w:rsidR="00A77B3E" w:rsidRPr="005B36A0" w:rsidRDefault="00110F64" w:rsidP="005B36A0">
      <w:pPr>
        <w:spacing w:line="360" w:lineRule="auto"/>
        <w:jc w:val="both"/>
        <w:rPr>
          <w:rFonts w:ascii="Book Antiqua" w:eastAsia="Book Antiqua" w:hAnsi="Book Antiqua" w:cs="Book Antiqua"/>
          <w:b/>
          <w:bCs/>
          <w:color w:val="101214"/>
          <w:shd w:val="clear" w:color="auto" w:fill="FFFFFF"/>
        </w:rPr>
      </w:pPr>
      <w:r w:rsidRPr="00A530B7">
        <w:rPr>
          <w:rFonts w:ascii="Book Antiqua" w:eastAsia="Book Antiqua" w:hAnsi="Book Antiqua" w:cs="Book Antiqua"/>
          <w:bCs/>
          <w:color w:val="101214"/>
          <w:shd w:val="clear" w:color="auto" w:fill="FFFFFF"/>
        </w:rPr>
        <w:t xml:space="preserve">DP: </w:t>
      </w:r>
      <w:r w:rsidR="006003B4" w:rsidRPr="00A530B7">
        <w:rPr>
          <w:rFonts w:ascii="Book Antiqua" w:eastAsia="Book Antiqua" w:hAnsi="Book Antiqua" w:cs="Book Antiqua"/>
          <w:bCs/>
          <w:color w:val="101214"/>
          <w:shd w:val="clear" w:color="auto" w:fill="FFFFFF"/>
        </w:rPr>
        <w:t>Deep potential.</w:t>
      </w:r>
    </w:p>
    <w:p w14:paraId="1659DA32" w14:textId="77777777" w:rsidR="00AB16FB" w:rsidRPr="005B36A0" w:rsidRDefault="00AB16FB" w:rsidP="005B36A0">
      <w:pPr>
        <w:spacing w:line="360" w:lineRule="auto"/>
        <w:jc w:val="both"/>
        <w:rPr>
          <w:rFonts w:ascii="Book Antiqua" w:eastAsia="Book Antiqua" w:hAnsi="Book Antiqua" w:cs="Book Antiqua"/>
          <w:b/>
          <w:bCs/>
          <w:color w:val="101214"/>
          <w:shd w:val="clear" w:color="auto" w:fill="FFFFFF"/>
        </w:rPr>
      </w:pPr>
    </w:p>
    <w:p w14:paraId="1014618C" w14:textId="77777777" w:rsidR="00AB16FB" w:rsidRPr="005B36A0" w:rsidRDefault="00AB16FB" w:rsidP="005B36A0">
      <w:pPr>
        <w:spacing w:line="360" w:lineRule="auto"/>
        <w:jc w:val="both"/>
        <w:rPr>
          <w:rFonts w:ascii="Book Antiqua" w:eastAsia="Book Antiqua" w:hAnsi="Book Antiqua" w:cs="Book Antiqua"/>
          <w:b/>
          <w:bCs/>
          <w:color w:val="101214"/>
          <w:shd w:val="clear" w:color="auto" w:fill="FFFFFF"/>
        </w:rPr>
      </w:pPr>
    </w:p>
    <w:p w14:paraId="78EEDFDE" w14:textId="33FDF034" w:rsidR="008B1B83" w:rsidRDefault="008B1B83" w:rsidP="005B36A0">
      <w:pPr>
        <w:spacing w:line="360" w:lineRule="auto"/>
        <w:jc w:val="both"/>
        <w:rPr>
          <w:rFonts w:ascii="Book Antiqua" w:hAnsi="Book Antiqua"/>
        </w:rPr>
      </w:pPr>
    </w:p>
    <w:p w14:paraId="2FF4CAEA" w14:textId="77777777" w:rsidR="008B1B83" w:rsidRPr="006D4EDA" w:rsidRDefault="008B1B83" w:rsidP="008B1B83">
      <w:pPr>
        <w:snapToGrid w:val="0"/>
        <w:ind w:leftChars="100" w:left="240"/>
        <w:jc w:val="center"/>
        <w:rPr>
          <w:rFonts w:ascii="Book Antiqua" w:hAnsi="Book Antiqua"/>
        </w:rPr>
      </w:pPr>
      <w:r>
        <w:rPr>
          <w:rFonts w:ascii="Book Antiqua" w:hAnsi="Book Antiqua"/>
        </w:rPr>
        <w:br w:type="page"/>
      </w:r>
    </w:p>
    <w:p w14:paraId="5D194C8C" w14:textId="77777777" w:rsidR="008B1B83" w:rsidRPr="006D4EDA" w:rsidRDefault="008B1B83" w:rsidP="008B1B83">
      <w:pPr>
        <w:snapToGrid w:val="0"/>
        <w:ind w:leftChars="100" w:left="240"/>
        <w:jc w:val="center"/>
        <w:rPr>
          <w:rFonts w:ascii="Book Antiqua" w:hAnsi="Book Antiqua"/>
        </w:rPr>
      </w:pPr>
    </w:p>
    <w:p w14:paraId="2E9A7306" w14:textId="77777777" w:rsidR="008B1B83" w:rsidRPr="006D4EDA" w:rsidRDefault="008B1B83" w:rsidP="008B1B83">
      <w:pPr>
        <w:snapToGrid w:val="0"/>
        <w:ind w:leftChars="100" w:left="240"/>
        <w:jc w:val="center"/>
        <w:rPr>
          <w:rFonts w:ascii="Book Antiqua" w:hAnsi="Book Antiqua"/>
        </w:rPr>
      </w:pPr>
    </w:p>
    <w:p w14:paraId="763B70B0" w14:textId="77777777" w:rsidR="008B1B83" w:rsidRPr="006D4EDA" w:rsidRDefault="008B1B83" w:rsidP="008B1B83">
      <w:pPr>
        <w:snapToGrid w:val="0"/>
        <w:ind w:leftChars="100" w:left="240"/>
        <w:jc w:val="center"/>
        <w:rPr>
          <w:rFonts w:ascii="Book Antiqua" w:hAnsi="Book Antiqua"/>
        </w:rPr>
      </w:pPr>
    </w:p>
    <w:p w14:paraId="615F0307" w14:textId="77777777" w:rsidR="008B1B83" w:rsidRPr="006D4EDA" w:rsidRDefault="008B1B83" w:rsidP="008B1B83">
      <w:pPr>
        <w:snapToGrid w:val="0"/>
        <w:ind w:leftChars="100" w:left="240"/>
        <w:jc w:val="center"/>
        <w:rPr>
          <w:rFonts w:ascii="Book Antiqua" w:hAnsi="Book Antiqua"/>
        </w:rPr>
      </w:pPr>
      <w:r w:rsidRPr="006D4EDA">
        <w:rPr>
          <w:rFonts w:ascii="Book Antiqua" w:hAnsi="Book Antiqua"/>
          <w:noProof/>
        </w:rPr>
        <w:drawing>
          <wp:inline distT="0" distB="0" distL="0" distR="0" wp14:anchorId="7A79BE17" wp14:editId="2B7E7A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503FD63" w14:textId="77777777" w:rsidR="008B1B83" w:rsidRPr="006D4EDA" w:rsidRDefault="008B1B83" w:rsidP="008B1B83">
      <w:pPr>
        <w:snapToGrid w:val="0"/>
        <w:ind w:leftChars="100" w:left="240"/>
        <w:jc w:val="center"/>
        <w:rPr>
          <w:rFonts w:ascii="Book Antiqua" w:hAnsi="Book Antiqua"/>
        </w:rPr>
      </w:pPr>
    </w:p>
    <w:p w14:paraId="551C6A46" w14:textId="77777777" w:rsidR="008B1B83" w:rsidRPr="006D4EDA" w:rsidRDefault="008B1B83" w:rsidP="008B1B8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E25D8D2" w14:textId="77777777" w:rsidR="008B1B83" w:rsidRPr="006D4EDA" w:rsidRDefault="008B1B83" w:rsidP="008B1B8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CFBBE84" w14:textId="77777777" w:rsidR="008B1B83" w:rsidRPr="006D4EDA" w:rsidRDefault="008B1B83" w:rsidP="008B1B8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0C899B4" w14:textId="77777777" w:rsidR="008B1B83" w:rsidRPr="006D4EDA" w:rsidRDefault="008B1B83" w:rsidP="008B1B8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ABD80BB" w14:textId="77777777" w:rsidR="008B1B83" w:rsidRPr="006D4EDA" w:rsidRDefault="008B1B83" w:rsidP="008B1B8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30066F8" w14:textId="77777777" w:rsidR="008B1B83" w:rsidRPr="006D4EDA" w:rsidRDefault="008B1B83" w:rsidP="008B1B8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17AF430" w14:textId="77777777" w:rsidR="008B1B83" w:rsidRPr="006D4EDA" w:rsidRDefault="008B1B83" w:rsidP="008B1B83">
      <w:pPr>
        <w:snapToGrid w:val="0"/>
        <w:ind w:leftChars="100" w:left="240"/>
        <w:jc w:val="center"/>
        <w:rPr>
          <w:rFonts w:ascii="Book Antiqua" w:hAnsi="Book Antiqua"/>
        </w:rPr>
      </w:pPr>
    </w:p>
    <w:p w14:paraId="54F6A2D6" w14:textId="77777777" w:rsidR="008B1B83" w:rsidRPr="006D4EDA" w:rsidRDefault="008B1B83" w:rsidP="008B1B83">
      <w:pPr>
        <w:snapToGrid w:val="0"/>
        <w:ind w:leftChars="100" w:left="240"/>
        <w:jc w:val="center"/>
        <w:rPr>
          <w:rFonts w:ascii="Book Antiqua" w:hAnsi="Book Antiqua"/>
        </w:rPr>
      </w:pPr>
    </w:p>
    <w:p w14:paraId="14D1DDF0" w14:textId="77777777" w:rsidR="008B1B83" w:rsidRPr="006D4EDA" w:rsidRDefault="008B1B83" w:rsidP="008B1B83">
      <w:pPr>
        <w:snapToGrid w:val="0"/>
        <w:ind w:leftChars="100" w:left="240"/>
        <w:jc w:val="center"/>
        <w:rPr>
          <w:rFonts w:ascii="Book Antiqua" w:hAnsi="Book Antiqua"/>
        </w:rPr>
      </w:pPr>
    </w:p>
    <w:p w14:paraId="523BECC5" w14:textId="77777777" w:rsidR="008B1B83" w:rsidRPr="006D4EDA" w:rsidRDefault="008B1B83" w:rsidP="008B1B83">
      <w:pPr>
        <w:snapToGrid w:val="0"/>
        <w:ind w:leftChars="100" w:left="240"/>
        <w:jc w:val="center"/>
        <w:rPr>
          <w:rFonts w:ascii="Book Antiqua" w:hAnsi="Book Antiqua"/>
        </w:rPr>
      </w:pPr>
      <w:r w:rsidRPr="006D4EDA">
        <w:rPr>
          <w:rFonts w:ascii="Book Antiqua" w:hAnsi="Book Antiqua"/>
          <w:noProof/>
        </w:rPr>
        <w:drawing>
          <wp:inline distT="0" distB="0" distL="0" distR="0" wp14:anchorId="2E2034E8" wp14:editId="249A77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FF71E53" w14:textId="77777777" w:rsidR="008B1B83" w:rsidRPr="006D4EDA" w:rsidRDefault="008B1B83" w:rsidP="008B1B83">
      <w:pPr>
        <w:snapToGrid w:val="0"/>
        <w:ind w:leftChars="100" w:left="240"/>
        <w:jc w:val="center"/>
        <w:rPr>
          <w:rFonts w:ascii="Book Antiqua" w:hAnsi="Book Antiqua"/>
        </w:rPr>
      </w:pPr>
    </w:p>
    <w:p w14:paraId="26535169" w14:textId="77777777" w:rsidR="008B1B83" w:rsidRPr="006D4EDA" w:rsidRDefault="008B1B83" w:rsidP="008B1B83">
      <w:pPr>
        <w:snapToGrid w:val="0"/>
        <w:ind w:leftChars="100" w:left="240"/>
        <w:jc w:val="center"/>
        <w:rPr>
          <w:rFonts w:ascii="Book Antiqua" w:hAnsi="Book Antiqua"/>
        </w:rPr>
      </w:pPr>
    </w:p>
    <w:p w14:paraId="6566FB44" w14:textId="77777777" w:rsidR="008B1B83" w:rsidRPr="006D4EDA" w:rsidRDefault="008B1B83" w:rsidP="008B1B83">
      <w:pPr>
        <w:snapToGrid w:val="0"/>
        <w:ind w:leftChars="100" w:left="240"/>
        <w:jc w:val="center"/>
        <w:rPr>
          <w:rFonts w:ascii="Book Antiqua" w:hAnsi="Book Antiqua"/>
        </w:rPr>
      </w:pPr>
    </w:p>
    <w:p w14:paraId="3AC23C8A" w14:textId="77777777" w:rsidR="008B1B83" w:rsidRPr="006D4EDA" w:rsidRDefault="008B1B83" w:rsidP="008B1B83">
      <w:pPr>
        <w:snapToGrid w:val="0"/>
        <w:ind w:leftChars="100" w:left="240"/>
        <w:jc w:val="center"/>
        <w:rPr>
          <w:rFonts w:ascii="Book Antiqua" w:hAnsi="Book Antiqua"/>
        </w:rPr>
      </w:pPr>
    </w:p>
    <w:p w14:paraId="489955FF" w14:textId="77777777" w:rsidR="008B1B83" w:rsidRPr="006D4EDA" w:rsidRDefault="008B1B83" w:rsidP="008B1B83">
      <w:pPr>
        <w:snapToGrid w:val="0"/>
        <w:ind w:leftChars="100" w:left="240"/>
        <w:jc w:val="center"/>
        <w:rPr>
          <w:rFonts w:ascii="Book Antiqua" w:hAnsi="Book Antiqua"/>
        </w:rPr>
      </w:pPr>
    </w:p>
    <w:p w14:paraId="3D84E5A3" w14:textId="77777777" w:rsidR="008B1B83" w:rsidRPr="006D4EDA" w:rsidRDefault="008B1B83" w:rsidP="008B1B83">
      <w:pPr>
        <w:snapToGrid w:val="0"/>
        <w:ind w:leftChars="100" w:left="240"/>
        <w:jc w:val="center"/>
        <w:rPr>
          <w:rFonts w:ascii="Book Antiqua" w:hAnsi="Book Antiqua"/>
        </w:rPr>
      </w:pPr>
    </w:p>
    <w:p w14:paraId="2E6A7B6D" w14:textId="77777777" w:rsidR="008B1B83" w:rsidRPr="006D4EDA" w:rsidRDefault="008B1B83" w:rsidP="008B1B83">
      <w:pPr>
        <w:snapToGrid w:val="0"/>
        <w:ind w:leftChars="100" w:left="240"/>
        <w:jc w:val="center"/>
        <w:rPr>
          <w:rFonts w:ascii="Book Antiqua" w:hAnsi="Book Antiqua"/>
        </w:rPr>
      </w:pPr>
    </w:p>
    <w:p w14:paraId="460DDCF0" w14:textId="77777777" w:rsidR="008B1B83" w:rsidRPr="006D4EDA" w:rsidRDefault="008B1B83" w:rsidP="008B1B83">
      <w:pPr>
        <w:snapToGrid w:val="0"/>
        <w:ind w:leftChars="100" w:left="240"/>
        <w:jc w:val="center"/>
        <w:rPr>
          <w:rFonts w:ascii="Book Antiqua" w:hAnsi="Book Antiqua"/>
        </w:rPr>
      </w:pPr>
    </w:p>
    <w:p w14:paraId="1CE1C2F3" w14:textId="77777777" w:rsidR="008B1B83" w:rsidRPr="006D4EDA" w:rsidRDefault="008B1B83" w:rsidP="008B1B83">
      <w:pPr>
        <w:snapToGrid w:val="0"/>
        <w:ind w:leftChars="100" w:left="240"/>
        <w:jc w:val="center"/>
        <w:rPr>
          <w:rFonts w:ascii="Book Antiqua" w:hAnsi="Book Antiqua"/>
        </w:rPr>
      </w:pPr>
    </w:p>
    <w:p w14:paraId="1C009D00" w14:textId="77777777" w:rsidR="008B1B83" w:rsidRPr="006D4EDA" w:rsidRDefault="008B1B83" w:rsidP="008B1B83">
      <w:pPr>
        <w:snapToGrid w:val="0"/>
        <w:ind w:leftChars="100" w:left="240"/>
        <w:jc w:val="right"/>
        <w:rPr>
          <w:rFonts w:ascii="Book Antiqua" w:hAnsi="Book Antiqua"/>
          <w:color w:val="000000" w:themeColor="text1"/>
        </w:rPr>
      </w:pPr>
    </w:p>
    <w:p w14:paraId="5E93CFBB" w14:textId="77777777" w:rsidR="008B1B83" w:rsidRPr="006D4EDA" w:rsidRDefault="008B1B83" w:rsidP="008B1B8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79524C1" w14:textId="77777777" w:rsidR="008B1B83" w:rsidRPr="006D4EDA" w:rsidRDefault="008B1B83" w:rsidP="008B1B83">
      <w:pPr>
        <w:rPr>
          <w:rFonts w:ascii="Book Antiqua" w:hAnsi="Book Antiqua" w:cs="Book Antiqua"/>
          <w:b/>
          <w:bCs/>
          <w:color w:val="000000"/>
        </w:rPr>
      </w:pPr>
    </w:p>
    <w:p w14:paraId="59BFF3EF" w14:textId="5FAFE890" w:rsidR="00AB16FB" w:rsidRPr="005B36A0" w:rsidRDefault="00AB16FB" w:rsidP="005B36A0">
      <w:pPr>
        <w:spacing w:line="360" w:lineRule="auto"/>
        <w:jc w:val="both"/>
        <w:rPr>
          <w:rFonts w:ascii="Book Antiqua" w:hAnsi="Book Antiqua"/>
        </w:rPr>
      </w:pPr>
    </w:p>
    <w:sectPr w:rsidR="00AB16FB" w:rsidRPr="005B36A0" w:rsidSect="005B36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E490" w14:textId="77777777" w:rsidR="00C618E0" w:rsidRDefault="00C618E0" w:rsidP="00AF23BA">
      <w:r>
        <w:separator/>
      </w:r>
    </w:p>
  </w:endnote>
  <w:endnote w:type="continuationSeparator" w:id="0">
    <w:p w14:paraId="66FFE763" w14:textId="77777777" w:rsidR="00C618E0" w:rsidRDefault="00C618E0" w:rsidP="00AF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357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62F518A" w14:textId="696385DE" w:rsidR="00AF23BA" w:rsidRPr="00AF23BA" w:rsidRDefault="00AF23BA">
            <w:pPr>
              <w:pStyle w:val="ac"/>
              <w:jc w:val="right"/>
              <w:rPr>
                <w:rFonts w:ascii="Book Antiqua" w:hAnsi="Book Antiqua"/>
                <w:sz w:val="24"/>
                <w:szCs w:val="24"/>
              </w:rPr>
            </w:pPr>
            <w:r w:rsidRPr="00AF23BA">
              <w:rPr>
                <w:rFonts w:ascii="Book Antiqua" w:hAnsi="Book Antiqua"/>
                <w:sz w:val="24"/>
                <w:szCs w:val="24"/>
                <w:lang w:val="zh-CN" w:eastAsia="zh-CN"/>
              </w:rPr>
              <w:t xml:space="preserve"> </w:t>
            </w:r>
            <w:r w:rsidRPr="00AF23BA">
              <w:rPr>
                <w:rFonts w:ascii="Book Antiqua" w:hAnsi="Book Antiqua"/>
                <w:b/>
                <w:bCs/>
                <w:sz w:val="24"/>
                <w:szCs w:val="24"/>
              </w:rPr>
              <w:fldChar w:fldCharType="begin"/>
            </w:r>
            <w:r w:rsidRPr="00AF23BA">
              <w:rPr>
                <w:rFonts w:ascii="Book Antiqua" w:hAnsi="Book Antiqua"/>
                <w:b/>
                <w:bCs/>
                <w:sz w:val="24"/>
                <w:szCs w:val="24"/>
              </w:rPr>
              <w:instrText>PAGE</w:instrText>
            </w:r>
            <w:r w:rsidRPr="00AF23BA">
              <w:rPr>
                <w:rFonts w:ascii="Book Antiqua" w:hAnsi="Book Antiqua"/>
                <w:b/>
                <w:bCs/>
                <w:sz w:val="24"/>
                <w:szCs w:val="24"/>
              </w:rPr>
              <w:fldChar w:fldCharType="separate"/>
            </w:r>
            <w:r w:rsidR="00786E07">
              <w:rPr>
                <w:rFonts w:ascii="Book Antiqua" w:hAnsi="Book Antiqua"/>
                <w:b/>
                <w:bCs/>
                <w:noProof/>
                <w:sz w:val="24"/>
                <w:szCs w:val="24"/>
              </w:rPr>
              <w:t>1</w:t>
            </w:r>
            <w:r w:rsidRPr="00AF23BA">
              <w:rPr>
                <w:rFonts w:ascii="Book Antiqua" w:hAnsi="Book Antiqua"/>
                <w:b/>
                <w:bCs/>
                <w:sz w:val="24"/>
                <w:szCs w:val="24"/>
              </w:rPr>
              <w:fldChar w:fldCharType="end"/>
            </w:r>
            <w:r w:rsidRPr="00AF23BA">
              <w:rPr>
                <w:rFonts w:ascii="Book Antiqua" w:hAnsi="Book Antiqua"/>
                <w:sz w:val="24"/>
                <w:szCs w:val="24"/>
                <w:lang w:val="zh-CN" w:eastAsia="zh-CN"/>
              </w:rPr>
              <w:t xml:space="preserve"> / </w:t>
            </w:r>
            <w:r w:rsidRPr="00AF23BA">
              <w:rPr>
                <w:rFonts w:ascii="Book Antiqua" w:hAnsi="Book Antiqua"/>
                <w:b/>
                <w:bCs/>
                <w:sz w:val="24"/>
                <w:szCs w:val="24"/>
              </w:rPr>
              <w:fldChar w:fldCharType="begin"/>
            </w:r>
            <w:r w:rsidRPr="00AF23BA">
              <w:rPr>
                <w:rFonts w:ascii="Book Antiqua" w:hAnsi="Book Antiqua"/>
                <w:b/>
                <w:bCs/>
                <w:sz w:val="24"/>
                <w:szCs w:val="24"/>
              </w:rPr>
              <w:instrText>NUMPAGES</w:instrText>
            </w:r>
            <w:r w:rsidRPr="00AF23BA">
              <w:rPr>
                <w:rFonts w:ascii="Book Antiqua" w:hAnsi="Book Antiqua"/>
                <w:b/>
                <w:bCs/>
                <w:sz w:val="24"/>
                <w:szCs w:val="24"/>
              </w:rPr>
              <w:fldChar w:fldCharType="separate"/>
            </w:r>
            <w:r w:rsidR="00786E07">
              <w:rPr>
                <w:rFonts w:ascii="Book Antiqua" w:hAnsi="Book Antiqua"/>
                <w:b/>
                <w:bCs/>
                <w:noProof/>
                <w:sz w:val="24"/>
                <w:szCs w:val="24"/>
              </w:rPr>
              <w:t>19</w:t>
            </w:r>
            <w:r w:rsidRPr="00AF23BA">
              <w:rPr>
                <w:rFonts w:ascii="Book Antiqua" w:hAnsi="Book Antiqua"/>
                <w:b/>
                <w:bCs/>
                <w:sz w:val="24"/>
                <w:szCs w:val="24"/>
              </w:rPr>
              <w:fldChar w:fldCharType="end"/>
            </w:r>
          </w:p>
        </w:sdtContent>
      </w:sdt>
    </w:sdtContent>
  </w:sdt>
  <w:p w14:paraId="62F95F81" w14:textId="77777777" w:rsidR="00AF23BA" w:rsidRDefault="00AF23B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CBB1" w14:textId="77777777" w:rsidR="00C618E0" w:rsidRDefault="00C618E0" w:rsidP="00AF23BA">
      <w:r>
        <w:separator/>
      </w:r>
    </w:p>
  </w:footnote>
  <w:footnote w:type="continuationSeparator" w:id="0">
    <w:p w14:paraId="418FF4ED" w14:textId="77777777" w:rsidR="00C618E0" w:rsidRDefault="00C618E0" w:rsidP="00AF23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77"/>
    <w:rsid w:val="00013521"/>
    <w:rsid w:val="00044EBB"/>
    <w:rsid w:val="00051E5A"/>
    <w:rsid w:val="000520E1"/>
    <w:rsid w:val="00052C7E"/>
    <w:rsid w:val="00062EDC"/>
    <w:rsid w:val="000756B8"/>
    <w:rsid w:val="00093B49"/>
    <w:rsid w:val="000B02D9"/>
    <w:rsid w:val="00110F64"/>
    <w:rsid w:val="001141B9"/>
    <w:rsid w:val="001236E4"/>
    <w:rsid w:val="00140737"/>
    <w:rsid w:val="001505F0"/>
    <w:rsid w:val="00154825"/>
    <w:rsid w:val="0016274A"/>
    <w:rsid w:val="001B12DE"/>
    <w:rsid w:val="001C276F"/>
    <w:rsid w:val="001C7118"/>
    <w:rsid w:val="001F6F79"/>
    <w:rsid w:val="002037B2"/>
    <w:rsid w:val="00212F74"/>
    <w:rsid w:val="00213C06"/>
    <w:rsid w:val="00272D79"/>
    <w:rsid w:val="0028122C"/>
    <w:rsid w:val="00285C2B"/>
    <w:rsid w:val="002A18E8"/>
    <w:rsid w:val="002E3139"/>
    <w:rsid w:val="002E5954"/>
    <w:rsid w:val="002F7D46"/>
    <w:rsid w:val="0032442B"/>
    <w:rsid w:val="00377BD5"/>
    <w:rsid w:val="003861D1"/>
    <w:rsid w:val="00387D96"/>
    <w:rsid w:val="0039542C"/>
    <w:rsid w:val="003C1728"/>
    <w:rsid w:val="003E196A"/>
    <w:rsid w:val="003E2AFE"/>
    <w:rsid w:val="004164D5"/>
    <w:rsid w:val="00425604"/>
    <w:rsid w:val="0046164B"/>
    <w:rsid w:val="00497823"/>
    <w:rsid w:val="004A3A0D"/>
    <w:rsid w:val="0054133E"/>
    <w:rsid w:val="00553AE6"/>
    <w:rsid w:val="00585C70"/>
    <w:rsid w:val="00590C4F"/>
    <w:rsid w:val="005A4FD6"/>
    <w:rsid w:val="005B36A0"/>
    <w:rsid w:val="005C095F"/>
    <w:rsid w:val="006003B4"/>
    <w:rsid w:val="00606014"/>
    <w:rsid w:val="00624295"/>
    <w:rsid w:val="00667756"/>
    <w:rsid w:val="0068027E"/>
    <w:rsid w:val="006A4040"/>
    <w:rsid w:val="006D55FA"/>
    <w:rsid w:val="006E6449"/>
    <w:rsid w:val="00702424"/>
    <w:rsid w:val="00713D33"/>
    <w:rsid w:val="00732BB4"/>
    <w:rsid w:val="00756058"/>
    <w:rsid w:val="00776E9A"/>
    <w:rsid w:val="00786E07"/>
    <w:rsid w:val="007B65C8"/>
    <w:rsid w:val="007E3E24"/>
    <w:rsid w:val="007F2692"/>
    <w:rsid w:val="00806BF3"/>
    <w:rsid w:val="0082067E"/>
    <w:rsid w:val="00833585"/>
    <w:rsid w:val="00834559"/>
    <w:rsid w:val="00881303"/>
    <w:rsid w:val="00882032"/>
    <w:rsid w:val="008A0930"/>
    <w:rsid w:val="008A0CED"/>
    <w:rsid w:val="008A705D"/>
    <w:rsid w:val="008B1B83"/>
    <w:rsid w:val="008E3128"/>
    <w:rsid w:val="008E7B34"/>
    <w:rsid w:val="009010F9"/>
    <w:rsid w:val="009051E7"/>
    <w:rsid w:val="00910A84"/>
    <w:rsid w:val="00953074"/>
    <w:rsid w:val="00986565"/>
    <w:rsid w:val="00992A78"/>
    <w:rsid w:val="0099571F"/>
    <w:rsid w:val="009C1097"/>
    <w:rsid w:val="009C3E53"/>
    <w:rsid w:val="009D46C2"/>
    <w:rsid w:val="00A46212"/>
    <w:rsid w:val="00A530B7"/>
    <w:rsid w:val="00A601BD"/>
    <w:rsid w:val="00A635A6"/>
    <w:rsid w:val="00A77B3E"/>
    <w:rsid w:val="00A930C2"/>
    <w:rsid w:val="00A93B60"/>
    <w:rsid w:val="00A95905"/>
    <w:rsid w:val="00AA2E3E"/>
    <w:rsid w:val="00AB16FB"/>
    <w:rsid w:val="00AC38EB"/>
    <w:rsid w:val="00AC75DC"/>
    <w:rsid w:val="00AD24B5"/>
    <w:rsid w:val="00AE12BB"/>
    <w:rsid w:val="00AE5B6A"/>
    <w:rsid w:val="00AE71DD"/>
    <w:rsid w:val="00AF23BA"/>
    <w:rsid w:val="00B05BDC"/>
    <w:rsid w:val="00B147C6"/>
    <w:rsid w:val="00B3132C"/>
    <w:rsid w:val="00B3252C"/>
    <w:rsid w:val="00B71C2C"/>
    <w:rsid w:val="00B96387"/>
    <w:rsid w:val="00BD3E31"/>
    <w:rsid w:val="00BE2545"/>
    <w:rsid w:val="00C02DD3"/>
    <w:rsid w:val="00C345C8"/>
    <w:rsid w:val="00C618E0"/>
    <w:rsid w:val="00C911B2"/>
    <w:rsid w:val="00CA052B"/>
    <w:rsid w:val="00CA2A55"/>
    <w:rsid w:val="00CC13C9"/>
    <w:rsid w:val="00CD6562"/>
    <w:rsid w:val="00CE3183"/>
    <w:rsid w:val="00CE3A56"/>
    <w:rsid w:val="00D006A3"/>
    <w:rsid w:val="00D54634"/>
    <w:rsid w:val="00D60748"/>
    <w:rsid w:val="00D62C60"/>
    <w:rsid w:val="00D96F67"/>
    <w:rsid w:val="00DA58F7"/>
    <w:rsid w:val="00DC010D"/>
    <w:rsid w:val="00DF4CB9"/>
    <w:rsid w:val="00E04510"/>
    <w:rsid w:val="00E12869"/>
    <w:rsid w:val="00E3193E"/>
    <w:rsid w:val="00EC0218"/>
    <w:rsid w:val="00ED3897"/>
    <w:rsid w:val="00EE6A2D"/>
    <w:rsid w:val="00F20F38"/>
    <w:rsid w:val="00F3178F"/>
    <w:rsid w:val="00F41FF5"/>
    <w:rsid w:val="00F46CD0"/>
    <w:rsid w:val="00F7157A"/>
    <w:rsid w:val="00F76F4A"/>
    <w:rsid w:val="00F840EC"/>
    <w:rsid w:val="00FA331B"/>
    <w:rsid w:val="00FB1321"/>
    <w:rsid w:val="00FD424E"/>
    <w:rsid w:val="00FF1707"/>
    <w:rsid w:val="00FF3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14248"/>
  <w15:docId w15:val="{A43BED76-FBAA-4FAD-A589-36375406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CE3A56"/>
    <w:rPr>
      <w:sz w:val="21"/>
      <w:szCs w:val="21"/>
    </w:rPr>
  </w:style>
  <w:style w:type="paragraph" w:styleId="a4">
    <w:name w:val="annotation text"/>
    <w:basedOn w:val="a"/>
    <w:link w:val="a5"/>
    <w:semiHidden/>
    <w:unhideWhenUsed/>
    <w:rsid w:val="00CE3A56"/>
  </w:style>
  <w:style w:type="character" w:customStyle="1" w:styleId="a5">
    <w:name w:val="批注文字 字符"/>
    <w:basedOn w:val="a0"/>
    <w:link w:val="a4"/>
    <w:semiHidden/>
    <w:rsid w:val="00CE3A56"/>
    <w:rPr>
      <w:sz w:val="24"/>
      <w:szCs w:val="24"/>
    </w:rPr>
  </w:style>
  <w:style w:type="paragraph" w:styleId="a6">
    <w:name w:val="annotation subject"/>
    <w:basedOn w:val="a4"/>
    <w:next w:val="a4"/>
    <w:link w:val="a7"/>
    <w:semiHidden/>
    <w:unhideWhenUsed/>
    <w:rsid w:val="00CE3A56"/>
    <w:rPr>
      <w:b/>
      <w:bCs/>
    </w:rPr>
  </w:style>
  <w:style w:type="character" w:customStyle="1" w:styleId="a7">
    <w:name w:val="批注主题 字符"/>
    <w:basedOn w:val="a5"/>
    <w:link w:val="a6"/>
    <w:semiHidden/>
    <w:rsid w:val="00CE3A56"/>
    <w:rPr>
      <w:b/>
      <w:bCs/>
      <w:sz w:val="24"/>
      <w:szCs w:val="24"/>
    </w:rPr>
  </w:style>
  <w:style w:type="paragraph" w:styleId="a8">
    <w:name w:val="Balloon Text"/>
    <w:basedOn w:val="a"/>
    <w:link w:val="a9"/>
    <w:semiHidden/>
    <w:unhideWhenUsed/>
    <w:rsid w:val="00CE3A56"/>
    <w:rPr>
      <w:sz w:val="18"/>
      <w:szCs w:val="18"/>
    </w:rPr>
  </w:style>
  <w:style w:type="character" w:customStyle="1" w:styleId="a9">
    <w:name w:val="批注框文本 字符"/>
    <w:basedOn w:val="a0"/>
    <w:link w:val="a8"/>
    <w:semiHidden/>
    <w:rsid w:val="00CE3A56"/>
    <w:rPr>
      <w:sz w:val="18"/>
      <w:szCs w:val="18"/>
    </w:rPr>
  </w:style>
  <w:style w:type="paragraph" w:customStyle="1" w:styleId="1">
    <w:name w:val="正文1"/>
    <w:uiPriority w:val="99"/>
    <w:rsid w:val="009010F9"/>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AF23B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F23BA"/>
    <w:rPr>
      <w:sz w:val="18"/>
      <w:szCs w:val="18"/>
    </w:rPr>
  </w:style>
  <w:style w:type="paragraph" w:styleId="ac">
    <w:name w:val="footer"/>
    <w:basedOn w:val="a"/>
    <w:link w:val="ad"/>
    <w:uiPriority w:val="99"/>
    <w:unhideWhenUsed/>
    <w:rsid w:val="00AF23BA"/>
    <w:pPr>
      <w:tabs>
        <w:tab w:val="center" w:pos="4153"/>
        <w:tab w:val="right" w:pos="8306"/>
      </w:tabs>
      <w:snapToGrid w:val="0"/>
    </w:pPr>
    <w:rPr>
      <w:sz w:val="18"/>
      <w:szCs w:val="18"/>
    </w:rPr>
  </w:style>
  <w:style w:type="character" w:customStyle="1" w:styleId="ad">
    <w:name w:val="页脚 字符"/>
    <w:basedOn w:val="a0"/>
    <w:link w:val="ac"/>
    <w:uiPriority w:val="99"/>
    <w:rsid w:val="00AF23BA"/>
    <w:rPr>
      <w:sz w:val="18"/>
      <w:szCs w:val="18"/>
    </w:rPr>
  </w:style>
  <w:style w:type="paragraph" w:styleId="ae">
    <w:name w:val="Normal (Web)"/>
    <w:basedOn w:val="a"/>
    <w:uiPriority w:val="99"/>
    <w:semiHidden/>
    <w:unhideWhenUsed/>
    <w:rsid w:val="00AB16FB"/>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1407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826665">
      <w:bodyDiv w:val="1"/>
      <w:marLeft w:val="0"/>
      <w:marRight w:val="0"/>
      <w:marTop w:val="0"/>
      <w:marBottom w:val="0"/>
      <w:divBdr>
        <w:top w:val="none" w:sz="0" w:space="0" w:color="auto"/>
        <w:left w:val="none" w:sz="0" w:space="0" w:color="auto"/>
        <w:bottom w:val="none" w:sz="0" w:space="0" w:color="auto"/>
        <w:right w:val="none" w:sz="0" w:space="0" w:color="auto"/>
      </w:divBdr>
    </w:div>
    <w:div w:id="1643846139">
      <w:bodyDiv w:val="1"/>
      <w:marLeft w:val="0"/>
      <w:marRight w:val="0"/>
      <w:marTop w:val="0"/>
      <w:marBottom w:val="0"/>
      <w:divBdr>
        <w:top w:val="none" w:sz="0" w:space="0" w:color="auto"/>
        <w:left w:val="none" w:sz="0" w:space="0" w:color="auto"/>
        <w:bottom w:val="none" w:sz="0" w:space="0" w:color="auto"/>
        <w:right w:val="none" w:sz="0" w:space="0" w:color="auto"/>
      </w:divBdr>
    </w:div>
    <w:div w:id="1667971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20</Pages>
  <Words>3788</Words>
  <Characters>21598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144</cp:revision>
  <dcterms:created xsi:type="dcterms:W3CDTF">2023-08-22T09:43:00Z</dcterms:created>
  <dcterms:modified xsi:type="dcterms:W3CDTF">2023-09-15T04:01:00Z</dcterms:modified>
</cp:coreProperties>
</file>