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2CD0E"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rPr>
        <w:t xml:space="preserve">Name of Journal: </w:t>
      </w:r>
      <w:r w:rsidRPr="00BB734F">
        <w:rPr>
          <w:rFonts w:ascii="Book Antiqua" w:eastAsia="Book Antiqua" w:hAnsi="Book Antiqua" w:cs="Book Antiqua"/>
          <w:i/>
        </w:rPr>
        <w:t>World Journal of Clinical Cases</w:t>
      </w:r>
    </w:p>
    <w:p w14:paraId="7A414868"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rPr>
        <w:t xml:space="preserve">Manuscript NO: </w:t>
      </w:r>
      <w:r w:rsidRPr="00BB734F">
        <w:rPr>
          <w:rFonts w:ascii="Book Antiqua" w:eastAsia="Book Antiqua" w:hAnsi="Book Antiqua" w:cs="Book Antiqua"/>
        </w:rPr>
        <w:t>87084</w:t>
      </w:r>
    </w:p>
    <w:p w14:paraId="3583B212"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rPr>
        <w:t xml:space="preserve">Manuscript Type: </w:t>
      </w:r>
      <w:r w:rsidRPr="00BB734F">
        <w:rPr>
          <w:rFonts w:ascii="Book Antiqua" w:eastAsia="Book Antiqua" w:hAnsi="Book Antiqua" w:cs="Book Antiqua"/>
        </w:rPr>
        <w:t>ORIGINAL ARTICLE</w:t>
      </w:r>
    </w:p>
    <w:p w14:paraId="185332C9" w14:textId="77777777" w:rsidR="0003522D" w:rsidRPr="00BB734F" w:rsidRDefault="0003522D">
      <w:pPr>
        <w:adjustRightInd w:val="0"/>
        <w:snapToGrid w:val="0"/>
        <w:spacing w:line="360" w:lineRule="auto"/>
        <w:jc w:val="both"/>
        <w:rPr>
          <w:rFonts w:ascii="Book Antiqua" w:hAnsi="Book Antiqua" w:cs="Book Antiqua"/>
        </w:rPr>
      </w:pPr>
    </w:p>
    <w:p w14:paraId="4ACFFF1E"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i/>
        </w:rPr>
        <w:t>Retrospective Study</w:t>
      </w:r>
    </w:p>
    <w:p w14:paraId="287B0149" w14:textId="77777777" w:rsidR="0003522D" w:rsidRPr="00BB734F" w:rsidRDefault="00000000">
      <w:pPr>
        <w:adjustRightInd w:val="0"/>
        <w:snapToGrid w:val="0"/>
        <w:spacing w:line="360" w:lineRule="auto"/>
        <w:jc w:val="both"/>
        <w:rPr>
          <w:rFonts w:ascii="Book Antiqua" w:eastAsia="宋体" w:hAnsi="Book Antiqua" w:cs="Book Antiqua"/>
          <w:lang w:eastAsia="zh-CN"/>
        </w:rPr>
      </w:pPr>
      <w:r w:rsidRPr="00BB734F">
        <w:rPr>
          <w:rFonts w:ascii="Book Antiqua" w:eastAsia="Book Antiqua" w:hAnsi="Book Antiqua" w:cs="Book Antiqua"/>
          <w:b/>
          <w:bCs/>
          <w:color w:val="000000"/>
        </w:rPr>
        <w:t xml:space="preserve">Subchondral fatigue fracture of the femoral head in young military recruits: </w:t>
      </w:r>
      <w:r w:rsidRPr="00BB734F">
        <w:rPr>
          <w:rFonts w:ascii="Book Antiqua" w:eastAsia="宋体" w:hAnsi="Book Antiqua" w:cs="Book Antiqua"/>
          <w:b/>
          <w:bCs/>
          <w:color w:val="000000"/>
          <w:lang w:eastAsia="zh-CN"/>
        </w:rPr>
        <w:t>P</w:t>
      </w:r>
      <w:r w:rsidRPr="00BB734F">
        <w:rPr>
          <w:rFonts w:ascii="Book Antiqua" w:eastAsia="Book Antiqua" w:hAnsi="Book Antiqua" w:cs="Book Antiqua"/>
          <w:b/>
          <w:bCs/>
          <w:color w:val="000000"/>
        </w:rPr>
        <w:t>otential risk factor</w:t>
      </w:r>
      <w:r w:rsidRPr="00BB734F">
        <w:rPr>
          <w:rFonts w:ascii="Book Antiqua" w:eastAsia="宋体" w:hAnsi="Book Antiqua" w:cs="Book Antiqua"/>
          <w:b/>
          <w:bCs/>
          <w:color w:val="000000"/>
          <w:lang w:eastAsia="zh-CN"/>
        </w:rPr>
        <w:t>s</w:t>
      </w:r>
    </w:p>
    <w:p w14:paraId="11ED09C4" w14:textId="77777777" w:rsidR="0003522D" w:rsidRPr="00BB734F" w:rsidRDefault="0003522D">
      <w:pPr>
        <w:adjustRightInd w:val="0"/>
        <w:snapToGrid w:val="0"/>
        <w:spacing w:line="360" w:lineRule="auto"/>
        <w:jc w:val="both"/>
        <w:rPr>
          <w:rFonts w:ascii="Book Antiqua" w:hAnsi="Book Antiqua" w:cs="Book Antiqua"/>
        </w:rPr>
      </w:pPr>
    </w:p>
    <w:p w14:paraId="4D9C592D" w14:textId="77777777" w:rsidR="0003522D" w:rsidRPr="00BB734F" w:rsidRDefault="00000000">
      <w:pPr>
        <w:adjustRightInd w:val="0"/>
        <w:snapToGrid w:val="0"/>
        <w:spacing w:line="360" w:lineRule="auto"/>
        <w:jc w:val="both"/>
        <w:rPr>
          <w:rFonts w:ascii="Book Antiqua" w:eastAsia="Book Antiqua" w:hAnsi="Book Antiqua" w:cs="Book Antiqua"/>
          <w:color w:val="000000"/>
        </w:rPr>
      </w:pPr>
      <w:r w:rsidRPr="00BB734F">
        <w:rPr>
          <w:rFonts w:ascii="Book Antiqua" w:eastAsia="Book Antiqua" w:hAnsi="Book Antiqua" w:cs="Book Antiqua"/>
          <w:color w:val="000000"/>
        </w:rPr>
        <w:t xml:space="preserve">Yang JZ </w:t>
      </w:r>
      <w:r w:rsidRPr="00BB734F">
        <w:rPr>
          <w:rFonts w:ascii="Book Antiqua" w:eastAsia="Book Antiqua" w:hAnsi="Book Antiqua" w:cs="Book Antiqua"/>
          <w:i/>
          <w:iCs/>
          <w:color w:val="000000"/>
        </w:rPr>
        <w:t>et al</w:t>
      </w:r>
      <w:r w:rsidRPr="00BB734F">
        <w:rPr>
          <w:rFonts w:ascii="Book Antiqua" w:eastAsia="Book Antiqua" w:hAnsi="Book Antiqua" w:cs="Book Antiqua"/>
          <w:color w:val="000000"/>
        </w:rPr>
        <w:t xml:space="preserve">. </w:t>
      </w:r>
      <w:r w:rsidRPr="00BB734F">
        <w:rPr>
          <w:rFonts w:ascii="Book Antiqua" w:eastAsia="宋体" w:hAnsi="Book Antiqua" w:cs="Book Antiqua"/>
          <w:color w:val="000000"/>
          <w:lang w:eastAsia="zh-CN"/>
        </w:rPr>
        <w:t>P</w:t>
      </w:r>
      <w:r w:rsidRPr="00BB734F">
        <w:rPr>
          <w:rFonts w:ascii="Book Antiqua" w:eastAsia="Book Antiqua" w:hAnsi="Book Antiqua" w:cs="Book Antiqua"/>
          <w:color w:val="000000"/>
        </w:rPr>
        <w:t>otential risk factor</w:t>
      </w:r>
      <w:r w:rsidRPr="00BB734F">
        <w:rPr>
          <w:rFonts w:ascii="Book Antiqua" w:eastAsia="宋体" w:hAnsi="Book Antiqua" w:cs="Book Antiqua"/>
          <w:color w:val="000000"/>
          <w:lang w:eastAsia="zh-CN"/>
        </w:rPr>
        <w:t>s</w:t>
      </w:r>
      <w:r w:rsidRPr="00BB734F">
        <w:rPr>
          <w:rFonts w:ascii="Book Antiqua" w:eastAsia="Book Antiqua" w:hAnsi="Book Antiqua" w:cs="Book Antiqua"/>
          <w:color w:val="000000"/>
        </w:rPr>
        <w:t xml:space="preserve"> </w:t>
      </w:r>
      <w:r w:rsidRPr="00BB734F">
        <w:rPr>
          <w:rFonts w:ascii="Book Antiqua" w:eastAsia="宋体" w:hAnsi="Book Antiqua" w:cs="Book Antiqua"/>
          <w:color w:val="000000"/>
          <w:lang w:eastAsia="zh-CN"/>
        </w:rPr>
        <w:t>for</w:t>
      </w:r>
      <w:r w:rsidRPr="00BB734F">
        <w:rPr>
          <w:rFonts w:ascii="Book Antiqua" w:eastAsia="Book Antiqua" w:hAnsi="Book Antiqua" w:cs="Book Antiqua"/>
          <w:color w:val="000000"/>
        </w:rPr>
        <w:t xml:space="preserve"> SFFFH</w:t>
      </w:r>
    </w:p>
    <w:p w14:paraId="0215FD4D" w14:textId="77777777" w:rsidR="0003522D" w:rsidRPr="00BB734F" w:rsidRDefault="0003522D">
      <w:pPr>
        <w:adjustRightInd w:val="0"/>
        <w:snapToGrid w:val="0"/>
        <w:spacing w:line="360" w:lineRule="auto"/>
        <w:jc w:val="both"/>
        <w:rPr>
          <w:rFonts w:ascii="Book Antiqua" w:hAnsi="Book Antiqua" w:cs="Book Antiqua"/>
        </w:rPr>
      </w:pPr>
    </w:p>
    <w:p w14:paraId="20A3204E"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Jun-Zheng Yang, Peng Chen, Bai-Hao Chen, Bin Zhao</w:t>
      </w:r>
    </w:p>
    <w:p w14:paraId="2D1B260F" w14:textId="77777777" w:rsidR="0003522D" w:rsidRPr="00BB734F" w:rsidRDefault="0003522D">
      <w:pPr>
        <w:adjustRightInd w:val="0"/>
        <w:snapToGrid w:val="0"/>
        <w:spacing w:line="360" w:lineRule="auto"/>
        <w:jc w:val="both"/>
        <w:rPr>
          <w:rFonts w:ascii="Book Antiqua" w:hAnsi="Book Antiqua" w:cs="Book Antiqua"/>
        </w:rPr>
      </w:pPr>
    </w:p>
    <w:p w14:paraId="058FD024"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color w:val="000000"/>
        </w:rPr>
        <w:t xml:space="preserve">Jun-Zheng Yang, </w:t>
      </w:r>
      <w:r w:rsidRPr="00BB734F">
        <w:rPr>
          <w:rFonts w:ascii="Book Antiqua" w:eastAsia="Book Antiqua" w:hAnsi="Book Antiqua" w:cs="Book Antiqua"/>
          <w:color w:val="000000"/>
        </w:rPr>
        <w:t>The Fifth Clinical College, Guangzhou University of Chinese Medicine, Guangzhou 510405, Guangdong Province, China</w:t>
      </w:r>
    </w:p>
    <w:p w14:paraId="79309B83" w14:textId="77777777" w:rsidR="0003522D" w:rsidRPr="00BB734F" w:rsidRDefault="0003522D">
      <w:pPr>
        <w:adjustRightInd w:val="0"/>
        <w:snapToGrid w:val="0"/>
        <w:spacing w:line="360" w:lineRule="auto"/>
        <w:jc w:val="both"/>
        <w:rPr>
          <w:rFonts w:ascii="Book Antiqua" w:hAnsi="Book Antiqua" w:cs="Book Antiqua"/>
        </w:rPr>
      </w:pPr>
    </w:p>
    <w:p w14:paraId="58CAF7C2"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color w:val="000000"/>
        </w:rPr>
        <w:t xml:space="preserve">Peng Chen, </w:t>
      </w:r>
      <w:r w:rsidRPr="00BB734F">
        <w:rPr>
          <w:rFonts w:ascii="Book Antiqua" w:eastAsia="Book Antiqua" w:hAnsi="Book Antiqua" w:cs="Book Antiqua"/>
          <w:color w:val="000000"/>
        </w:rPr>
        <w:t>Department of Orthopaedics, The First Affiliated Hospital, Guangzhou University of Chinese Medicine, Guangzhou 510405, Guangdong Province, China</w:t>
      </w:r>
    </w:p>
    <w:p w14:paraId="7D8FC163" w14:textId="77777777" w:rsidR="0003522D" w:rsidRPr="00BB734F" w:rsidRDefault="0003522D">
      <w:pPr>
        <w:adjustRightInd w:val="0"/>
        <w:snapToGrid w:val="0"/>
        <w:spacing w:line="360" w:lineRule="auto"/>
        <w:jc w:val="both"/>
        <w:rPr>
          <w:rFonts w:ascii="Book Antiqua" w:hAnsi="Book Antiqua" w:cs="Book Antiqua"/>
        </w:rPr>
      </w:pPr>
    </w:p>
    <w:p w14:paraId="0EFAF318"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color w:val="000000"/>
        </w:rPr>
        <w:t xml:space="preserve">Bai-Hao Chen, </w:t>
      </w:r>
      <w:r w:rsidRPr="00BB734F">
        <w:rPr>
          <w:rFonts w:ascii="Book Antiqua" w:eastAsia="Book Antiqua" w:hAnsi="Book Antiqua" w:cs="Book Antiqua"/>
          <w:color w:val="000000"/>
        </w:rPr>
        <w:t>First School of Clinical Medicine, Guangzhou University of Chinese Medicine, Guangzhou 510405, Guangdong Province, China</w:t>
      </w:r>
    </w:p>
    <w:p w14:paraId="4C4CAA92" w14:textId="77777777" w:rsidR="0003522D" w:rsidRPr="00BB734F" w:rsidRDefault="0003522D">
      <w:pPr>
        <w:adjustRightInd w:val="0"/>
        <w:snapToGrid w:val="0"/>
        <w:spacing w:line="360" w:lineRule="auto"/>
        <w:jc w:val="both"/>
        <w:rPr>
          <w:rFonts w:ascii="Book Antiqua" w:hAnsi="Book Antiqua" w:cs="Book Antiqua"/>
        </w:rPr>
      </w:pPr>
    </w:p>
    <w:p w14:paraId="34388E7D"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color w:val="000000"/>
        </w:rPr>
        <w:t xml:space="preserve">Bin Zhao, </w:t>
      </w:r>
      <w:r w:rsidRPr="00BB734F">
        <w:rPr>
          <w:rFonts w:ascii="Book Antiqua" w:eastAsia="Book Antiqua" w:hAnsi="Book Antiqua" w:cs="Book Antiqua"/>
          <w:color w:val="000000"/>
        </w:rPr>
        <w:t>Department of Sports Medicine, the Fourth Medical Center, Chinese PLA General Hospital, Beijing 100048, China</w:t>
      </w:r>
    </w:p>
    <w:p w14:paraId="78BF1704" w14:textId="77777777" w:rsidR="0003522D" w:rsidRPr="00BB734F" w:rsidRDefault="0003522D">
      <w:pPr>
        <w:adjustRightInd w:val="0"/>
        <w:snapToGrid w:val="0"/>
        <w:spacing w:line="360" w:lineRule="auto"/>
        <w:jc w:val="both"/>
        <w:rPr>
          <w:rFonts w:ascii="Book Antiqua" w:hAnsi="Book Antiqua" w:cs="Book Antiqua"/>
        </w:rPr>
      </w:pPr>
    </w:p>
    <w:p w14:paraId="55E2EAD7"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color w:val="000000"/>
        </w:rPr>
        <w:t xml:space="preserve">Author contributions: </w:t>
      </w:r>
      <w:r w:rsidRPr="00BB734F">
        <w:rPr>
          <w:rFonts w:ascii="Book Antiqua" w:eastAsia="Book Antiqua" w:hAnsi="Book Antiqua" w:cs="Book Antiqua"/>
          <w:color w:val="000000"/>
        </w:rPr>
        <w:t xml:space="preserve">Yang JZ and Chen P </w:t>
      </w:r>
      <w:r w:rsidRPr="00BB734F">
        <w:rPr>
          <w:rFonts w:ascii="Book Antiqua" w:eastAsia="宋体" w:hAnsi="Book Antiqua" w:cs="Book Antiqua"/>
          <w:color w:val="000000"/>
          <w:lang w:eastAsia="zh-CN"/>
        </w:rPr>
        <w:t>prepared</w:t>
      </w:r>
      <w:r w:rsidRPr="00BB734F">
        <w:rPr>
          <w:rFonts w:ascii="Book Antiqua" w:eastAsia="Book Antiqua" w:hAnsi="Book Antiqua" w:cs="Book Antiqua"/>
          <w:color w:val="000000"/>
        </w:rPr>
        <w:t xml:space="preserve"> the manuscript; Chen P and Zhao B </w:t>
      </w:r>
      <w:r w:rsidRPr="00BB734F">
        <w:rPr>
          <w:rFonts w:ascii="Book Antiqua" w:eastAsia="宋体" w:hAnsi="Book Antiqua" w:cs="Book Antiqua"/>
          <w:color w:val="000000"/>
          <w:lang w:eastAsia="zh-CN"/>
        </w:rPr>
        <w:t>collected</w:t>
      </w:r>
      <w:r w:rsidRPr="00BB734F">
        <w:rPr>
          <w:rFonts w:ascii="Book Antiqua" w:eastAsia="Book Antiqua" w:hAnsi="Book Antiqua" w:cs="Book Antiqua"/>
          <w:color w:val="000000"/>
        </w:rPr>
        <w:t xml:space="preserve"> the clinical data; Yang JZ and Chen BH analyzed the clinical data and </w:t>
      </w:r>
      <w:r w:rsidRPr="00BB734F">
        <w:rPr>
          <w:rFonts w:ascii="Book Antiqua" w:eastAsia="宋体" w:hAnsi="Book Antiqua" w:cs="Book Antiqua"/>
          <w:color w:val="000000"/>
          <w:lang w:eastAsia="zh-CN"/>
        </w:rPr>
        <w:t>prepared</w:t>
      </w:r>
      <w:r w:rsidRPr="00BB734F">
        <w:rPr>
          <w:rFonts w:ascii="Book Antiqua" w:eastAsia="Book Antiqua" w:hAnsi="Book Antiqua" w:cs="Book Antiqua"/>
          <w:color w:val="000000"/>
        </w:rPr>
        <w:t xml:space="preserve"> the tables and figures; Zhao B revised the</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manuscript.</w:t>
      </w:r>
    </w:p>
    <w:p w14:paraId="7D5813A4" w14:textId="77777777" w:rsidR="0003522D" w:rsidRPr="00BB734F" w:rsidRDefault="0003522D">
      <w:pPr>
        <w:adjustRightInd w:val="0"/>
        <w:snapToGrid w:val="0"/>
        <w:spacing w:line="360" w:lineRule="auto"/>
        <w:jc w:val="both"/>
        <w:rPr>
          <w:rFonts w:ascii="Book Antiqua" w:hAnsi="Book Antiqua" w:cs="Book Antiqua"/>
        </w:rPr>
      </w:pPr>
    </w:p>
    <w:p w14:paraId="36F67D1B"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color w:val="000000"/>
        </w:rPr>
        <w:lastRenderedPageBreak/>
        <w:t xml:space="preserve">Corresponding author: Bin Zhao, MD, PhD, Surgeon, </w:t>
      </w:r>
      <w:r w:rsidRPr="00BB734F">
        <w:rPr>
          <w:rFonts w:ascii="Book Antiqua" w:eastAsia="Book Antiqua" w:hAnsi="Book Antiqua" w:cs="Book Antiqua"/>
          <w:color w:val="000000"/>
        </w:rPr>
        <w:t>Department of Sports Medicine, the Fourth Medical Center, Chinese PLA General Hospital, No.</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 xml:space="preserve">51 Fucheng Road, Haidian </w:t>
      </w:r>
      <w:r w:rsidRPr="00BB734F">
        <w:rPr>
          <w:rFonts w:ascii="Book Antiqua" w:eastAsia="宋体" w:hAnsi="Book Antiqua" w:cs="Book Antiqua"/>
          <w:color w:val="000000"/>
          <w:lang w:eastAsia="zh-CN"/>
        </w:rPr>
        <w:t>D</w:t>
      </w:r>
      <w:r w:rsidRPr="00BB734F">
        <w:rPr>
          <w:rFonts w:ascii="Book Antiqua" w:eastAsia="Book Antiqua" w:hAnsi="Book Antiqua" w:cs="Book Antiqua"/>
          <w:color w:val="000000"/>
        </w:rPr>
        <w:t>istrict, Beijing 100048, China. zhao7202bin@163.com</w:t>
      </w:r>
    </w:p>
    <w:p w14:paraId="292A3878" w14:textId="77777777" w:rsidR="0003522D" w:rsidRPr="00BB734F" w:rsidRDefault="0003522D">
      <w:pPr>
        <w:adjustRightInd w:val="0"/>
        <w:snapToGrid w:val="0"/>
        <w:spacing w:line="360" w:lineRule="auto"/>
        <w:jc w:val="both"/>
        <w:rPr>
          <w:rFonts w:ascii="Book Antiqua" w:hAnsi="Book Antiqua" w:cs="Book Antiqua"/>
        </w:rPr>
      </w:pPr>
    </w:p>
    <w:p w14:paraId="53C52E42"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rPr>
        <w:t xml:space="preserve">Received: </w:t>
      </w:r>
      <w:r w:rsidRPr="00BB734F">
        <w:rPr>
          <w:rFonts w:ascii="Book Antiqua" w:eastAsia="Book Antiqua" w:hAnsi="Book Antiqua" w:cs="Book Antiqua"/>
        </w:rPr>
        <w:t>July 25, 2023</w:t>
      </w:r>
    </w:p>
    <w:p w14:paraId="4E8C6B93"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rPr>
        <w:t xml:space="preserve">Revised: </w:t>
      </w:r>
      <w:r w:rsidRPr="00BB734F">
        <w:rPr>
          <w:rFonts w:ascii="Book Antiqua" w:eastAsia="Book Antiqua" w:hAnsi="Book Antiqua" w:cs="Book Antiqua"/>
        </w:rPr>
        <w:t>August 20, 2023</w:t>
      </w:r>
    </w:p>
    <w:p w14:paraId="7C07B8D2" w14:textId="3D7912B4"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rPr>
        <w:t xml:space="preserve">Accepted: </w:t>
      </w:r>
      <w:bookmarkStart w:id="0" w:name="_Hlk145514420"/>
      <w:r w:rsidR="0064269F" w:rsidRPr="00BB734F">
        <w:rPr>
          <w:rFonts w:ascii="Book Antiqua" w:eastAsia="Book Antiqua" w:hAnsi="Book Antiqua" w:cs="Book Antiqua"/>
        </w:rPr>
        <w:t>September 11, 2023</w:t>
      </w:r>
      <w:bookmarkEnd w:id="0"/>
    </w:p>
    <w:p w14:paraId="4F4A48FF" w14:textId="17C6D3D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rPr>
        <w:t xml:space="preserve">Published online: </w:t>
      </w:r>
      <w:r w:rsidR="002869E9" w:rsidRPr="00BB734F">
        <w:rPr>
          <w:rFonts w:ascii="Book Antiqua" w:eastAsia="Book Antiqua" w:hAnsi="Book Antiqua" w:cs="Book Antiqua"/>
        </w:rPr>
        <w:t>October 6, 2023</w:t>
      </w:r>
    </w:p>
    <w:p w14:paraId="6FDF5073" w14:textId="77777777" w:rsidR="0003522D" w:rsidRPr="00BB734F" w:rsidRDefault="0003522D">
      <w:pPr>
        <w:adjustRightInd w:val="0"/>
        <w:snapToGrid w:val="0"/>
        <w:spacing w:line="360" w:lineRule="auto"/>
        <w:jc w:val="both"/>
        <w:rPr>
          <w:rFonts w:ascii="Book Antiqua" w:hAnsi="Book Antiqua" w:cs="Book Antiqua"/>
        </w:rPr>
        <w:sectPr w:rsidR="0003522D" w:rsidRPr="00BB734F">
          <w:footerReference w:type="default" r:id="rId6"/>
          <w:pgSz w:w="12240" w:h="15840"/>
          <w:pgMar w:top="1440" w:right="1440" w:bottom="1440" w:left="1440" w:header="720" w:footer="720" w:gutter="0"/>
          <w:cols w:space="720"/>
          <w:docGrid w:linePitch="360"/>
        </w:sectPr>
      </w:pPr>
    </w:p>
    <w:p w14:paraId="651E489B"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color w:val="000000"/>
        </w:rPr>
        <w:lastRenderedPageBreak/>
        <w:t>Abstract</w:t>
      </w:r>
    </w:p>
    <w:p w14:paraId="55D453D3"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BACKGROUND</w:t>
      </w:r>
    </w:p>
    <w:p w14:paraId="4DA0A69C"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Subchondral fatigue fracture of the femoral head (SFFFH) mainly occurs in young military recruits and might be confused with osteonecrosis of the femoral head. However, less research focus</w:t>
      </w:r>
      <w:r w:rsidRPr="00BB734F">
        <w:rPr>
          <w:rFonts w:ascii="Book Antiqua" w:eastAsia="宋体" w:hAnsi="Book Antiqua" w:cs="Book Antiqua"/>
          <w:lang w:eastAsia="zh-CN"/>
        </w:rPr>
        <w:t>es</w:t>
      </w:r>
      <w:r w:rsidRPr="00BB734F">
        <w:rPr>
          <w:rFonts w:ascii="Book Antiqua" w:eastAsia="Book Antiqua" w:hAnsi="Book Antiqua" w:cs="Book Antiqua"/>
        </w:rPr>
        <w:t xml:space="preserve"> on the risk factor for SFFFH.</w:t>
      </w:r>
    </w:p>
    <w:p w14:paraId="27248A29" w14:textId="77777777" w:rsidR="0003522D" w:rsidRPr="00BB734F" w:rsidRDefault="0003522D">
      <w:pPr>
        <w:adjustRightInd w:val="0"/>
        <w:snapToGrid w:val="0"/>
        <w:spacing w:line="360" w:lineRule="auto"/>
        <w:jc w:val="both"/>
        <w:rPr>
          <w:rFonts w:ascii="Book Antiqua" w:hAnsi="Book Antiqua" w:cs="Book Antiqua"/>
        </w:rPr>
      </w:pPr>
    </w:p>
    <w:p w14:paraId="3FD5186B"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AIM</w:t>
      </w:r>
    </w:p>
    <w:p w14:paraId="6D168C52"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To evaluate the intrinsic risk factors for SFFFH in young military recruits.</w:t>
      </w:r>
    </w:p>
    <w:p w14:paraId="1512229F" w14:textId="77777777" w:rsidR="0003522D" w:rsidRPr="00BB734F" w:rsidRDefault="0003522D">
      <w:pPr>
        <w:adjustRightInd w:val="0"/>
        <w:snapToGrid w:val="0"/>
        <w:spacing w:line="360" w:lineRule="auto"/>
        <w:jc w:val="both"/>
        <w:rPr>
          <w:rFonts w:ascii="Book Antiqua" w:hAnsi="Book Antiqua" w:cs="Book Antiqua"/>
        </w:rPr>
      </w:pPr>
    </w:p>
    <w:p w14:paraId="73C6F8E9"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METHODS</w:t>
      </w:r>
    </w:p>
    <w:p w14:paraId="334809F7"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X-ray and </w:t>
      </w:r>
      <w:r w:rsidRPr="00BB734F">
        <w:rPr>
          <w:rFonts w:ascii="Book Antiqua" w:eastAsia="Book Antiqua" w:hAnsi="Book Antiqua" w:cs="Book Antiqua"/>
          <w:color w:val="000000"/>
        </w:rPr>
        <w:t>magnetic resonance imaging</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rPr>
        <w:t xml:space="preserve">data </w:t>
      </w:r>
      <w:r w:rsidRPr="00BB734F">
        <w:rPr>
          <w:rFonts w:ascii="Book Antiqua" w:eastAsia="宋体" w:hAnsi="Book Antiqua" w:cs="Book Antiqua"/>
          <w:lang w:eastAsia="zh-CN"/>
        </w:rPr>
        <w:t xml:space="preserve">were used </w:t>
      </w:r>
      <w:r w:rsidRPr="00BB734F">
        <w:rPr>
          <w:rFonts w:ascii="Book Antiqua" w:eastAsia="Book Antiqua" w:hAnsi="Book Antiqua" w:cs="Book Antiqua"/>
        </w:rPr>
        <w:t>for analysis. Acetabular anteversion of the superior acetabulum, acetabular anteversion of the center of the acetabulum (AVcen), anterior acetabular sector angle (AASA), posterior acetabular sector angle, superior acetabular sector angle, neck-shaft angle (NSA), inferior iliac angle (IIA)</w:t>
      </w:r>
      <w:r w:rsidRPr="00BB734F">
        <w:rPr>
          <w:rFonts w:ascii="Book Antiqua" w:eastAsia="宋体" w:hAnsi="Book Antiqua" w:cs="Book Antiqua"/>
          <w:lang w:eastAsia="zh-CN"/>
        </w:rPr>
        <w:t>,</w:t>
      </w:r>
      <w:r w:rsidRPr="00BB734F">
        <w:rPr>
          <w:rFonts w:ascii="Book Antiqua" w:eastAsia="Book Antiqua" w:hAnsi="Book Antiqua" w:cs="Book Antiqua"/>
        </w:rPr>
        <w:t xml:space="preserve"> and ischiopubic angle were calculated. Then, logistic regression, receiver operating characteristic curve</w:t>
      </w:r>
      <w:r w:rsidRPr="00BB734F">
        <w:rPr>
          <w:rFonts w:ascii="Book Antiqua" w:eastAsia="宋体" w:hAnsi="Book Antiqua" w:cs="Book Antiqua"/>
          <w:lang w:eastAsia="zh-CN"/>
        </w:rPr>
        <w:t xml:space="preserve"> analysis</w:t>
      </w:r>
      <w:r w:rsidRPr="00BB734F">
        <w:rPr>
          <w:rFonts w:ascii="Book Antiqua" w:eastAsia="Book Antiqua" w:hAnsi="Book Antiqua" w:cs="Book Antiqua"/>
        </w:rPr>
        <w:t xml:space="preserve">, and independent samples </w:t>
      </w:r>
      <w:r w:rsidRPr="00BB734F">
        <w:rPr>
          <w:rFonts w:ascii="Book Antiqua" w:eastAsia="宋体" w:hAnsi="Book Antiqua" w:cs="Book Antiqua"/>
          <w:i/>
          <w:iCs/>
          <w:lang w:eastAsia="zh-CN"/>
        </w:rPr>
        <w:t>t</w:t>
      </w:r>
      <w:r w:rsidRPr="00BB734F">
        <w:rPr>
          <w:rFonts w:ascii="Book Antiqua" w:eastAsia="Book Antiqua" w:hAnsi="Book Antiqua" w:cs="Book Antiqua"/>
        </w:rPr>
        <w:t>-test were performed to</w:t>
      </w:r>
      <w:r w:rsidRPr="00BB734F">
        <w:rPr>
          <w:rFonts w:ascii="Book Antiqua" w:eastAsia="宋体" w:hAnsi="Book Antiqua" w:cs="Book Antiqua"/>
          <w:lang w:eastAsia="zh-CN"/>
        </w:rPr>
        <w:t xml:space="preserve"> identify</w:t>
      </w:r>
      <w:r w:rsidRPr="00BB734F">
        <w:rPr>
          <w:rFonts w:ascii="Book Antiqua" w:eastAsia="Book Antiqua" w:hAnsi="Book Antiqua" w:cs="Book Antiqua"/>
        </w:rPr>
        <w:t xml:space="preserve"> the risk factors </w:t>
      </w:r>
      <w:r w:rsidRPr="00BB734F">
        <w:rPr>
          <w:rFonts w:ascii="Book Antiqua" w:eastAsia="宋体" w:hAnsi="Book Antiqua" w:cs="Book Antiqua"/>
          <w:lang w:eastAsia="zh-CN"/>
        </w:rPr>
        <w:t>for</w:t>
      </w:r>
      <w:r w:rsidRPr="00BB734F">
        <w:rPr>
          <w:rFonts w:ascii="Book Antiqua" w:eastAsia="Book Antiqua" w:hAnsi="Book Antiqua" w:cs="Book Antiqua"/>
        </w:rPr>
        <w:t xml:space="preserve"> SFFFH.</w:t>
      </w:r>
    </w:p>
    <w:p w14:paraId="6DB3245E" w14:textId="77777777" w:rsidR="0003522D" w:rsidRPr="00BB734F" w:rsidRDefault="0003522D">
      <w:pPr>
        <w:adjustRightInd w:val="0"/>
        <w:snapToGrid w:val="0"/>
        <w:spacing w:line="360" w:lineRule="auto"/>
        <w:jc w:val="both"/>
        <w:rPr>
          <w:rFonts w:ascii="Book Antiqua" w:hAnsi="Book Antiqua" w:cs="Book Antiqua"/>
        </w:rPr>
      </w:pPr>
    </w:p>
    <w:p w14:paraId="0C87099C"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RESULTS</w:t>
      </w:r>
    </w:p>
    <w:p w14:paraId="33886909"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Based on the results of logistic regression, age [odds ratio (OR): 1.33; 95% confidence interval (95%CI): 1.12-1.65; </w:t>
      </w:r>
      <w:r w:rsidRPr="00BB734F">
        <w:rPr>
          <w:rFonts w:ascii="Book Antiqua" w:eastAsia="Book Antiqua" w:hAnsi="Book Antiqua" w:cs="Book Antiqua"/>
          <w:i/>
          <w:iCs/>
        </w:rPr>
        <w:t>P</w:t>
      </w:r>
      <w:r w:rsidRPr="00BB734F">
        <w:rPr>
          <w:rFonts w:ascii="Book Antiqua" w:eastAsia="宋体" w:hAnsi="Book Antiqua" w:cs="Book Antiqua"/>
          <w:lang w:eastAsia="zh-CN"/>
        </w:rPr>
        <w:t xml:space="preserve"> </w:t>
      </w:r>
      <w:r w:rsidRPr="00BB734F">
        <w:rPr>
          <w:rFonts w:ascii="Book Antiqua" w:eastAsia="Book Antiqua" w:hAnsi="Book Antiqua" w:cs="Book Antiqua"/>
        </w:rPr>
        <w:t xml:space="preserve">= 0.0031] and treatment timing (OR: 0.86; 95%CI: 0.75-0.96; </w:t>
      </w:r>
      <w:r w:rsidRPr="00BB734F">
        <w:rPr>
          <w:rFonts w:ascii="Book Antiqua" w:eastAsia="Book Antiqua" w:hAnsi="Book Antiqua" w:cs="Book Antiqua"/>
          <w:i/>
          <w:iCs/>
        </w:rPr>
        <w:t>P</w:t>
      </w:r>
      <w:r w:rsidRPr="00BB734F">
        <w:rPr>
          <w:rFonts w:ascii="Book Antiqua" w:eastAsia="宋体" w:hAnsi="Book Antiqua" w:cs="Book Antiqua"/>
          <w:lang w:eastAsia="zh-CN"/>
        </w:rPr>
        <w:t xml:space="preserve"> </w:t>
      </w:r>
      <w:r w:rsidRPr="00BB734F">
        <w:rPr>
          <w:rFonts w:ascii="Book Antiqua" w:eastAsia="Book Antiqua" w:hAnsi="Book Antiqua" w:cs="Book Antiqua"/>
        </w:rPr>
        <w:t>= 0.015) could be considered as the indicator</w:t>
      </w:r>
      <w:r w:rsidRPr="00BB734F">
        <w:rPr>
          <w:rFonts w:ascii="Book Antiqua" w:eastAsia="宋体" w:hAnsi="Book Antiqua" w:cs="Book Antiqua"/>
          <w:lang w:eastAsia="zh-CN"/>
        </w:rPr>
        <w:t xml:space="preserve">s for </w:t>
      </w:r>
      <w:r w:rsidRPr="00BB734F">
        <w:rPr>
          <w:rFonts w:ascii="Book Antiqua" w:eastAsia="Book Antiqua" w:hAnsi="Book Antiqua" w:cs="Book Antiqua"/>
        </w:rPr>
        <w:t>SFFFH. AVcen (</w:t>
      </w:r>
      <w:r w:rsidRPr="00BB734F">
        <w:rPr>
          <w:rFonts w:ascii="Book Antiqua" w:eastAsia="Book Antiqua" w:hAnsi="Book Antiqua" w:cs="Book Antiqua"/>
          <w:i/>
          <w:iCs/>
        </w:rPr>
        <w:t>P</w:t>
      </w:r>
      <w:r w:rsidRPr="00BB734F">
        <w:rPr>
          <w:rFonts w:ascii="Book Antiqua" w:eastAsia="宋体" w:hAnsi="Book Antiqua" w:cs="Book Antiqua"/>
          <w:lang w:eastAsia="zh-CN"/>
        </w:rPr>
        <w:t xml:space="preserve"> </w:t>
      </w:r>
      <w:r w:rsidRPr="00BB734F">
        <w:rPr>
          <w:rFonts w:ascii="Book Antiqua" w:eastAsia="Book Antiqua" w:hAnsi="Book Antiqua" w:cs="Book Antiqua"/>
        </w:rPr>
        <w:t>= 0.0334), AASA (</w:t>
      </w:r>
      <w:r w:rsidRPr="00BB734F">
        <w:rPr>
          <w:rFonts w:ascii="Book Antiqua" w:eastAsia="Book Antiqua" w:hAnsi="Book Antiqua" w:cs="Book Antiqua"/>
          <w:i/>
          <w:iCs/>
        </w:rPr>
        <w:t>P</w:t>
      </w:r>
      <w:r w:rsidRPr="00BB734F">
        <w:rPr>
          <w:rFonts w:ascii="Book Antiqua" w:eastAsia="宋体" w:hAnsi="Book Antiqua" w:cs="Book Antiqua"/>
          <w:lang w:eastAsia="zh-CN"/>
        </w:rPr>
        <w:t xml:space="preserve"> </w:t>
      </w:r>
      <w:r w:rsidRPr="00BB734F">
        <w:rPr>
          <w:rFonts w:ascii="Book Antiqua" w:eastAsia="Book Antiqua" w:hAnsi="Book Antiqua" w:cs="Book Antiqua"/>
        </w:rPr>
        <w:t>= 0.0002), NSA (</w:t>
      </w:r>
      <w:r w:rsidRPr="00BB734F">
        <w:rPr>
          <w:rFonts w:ascii="Book Antiqua" w:eastAsia="Book Antiqua" w:hAnsi="Book Antiqua" w:cs="Book Antiqua"/>
          <w:i/>
          <w:iCs/>
        </w:rPr>
        <w:t>P</w:t>
      </w:r>
      <w:r w:rsidRPr="00BB734F">
        <w:rPr>
          <w:rFonts w:ascii="Book Antiqua" w:eastAsia="宋体" w:hAnsi="Book Antiqua" w:cs="Book Antiqua"/>
          <w:lang w:eastAsia="zh-CN"/>
        </w:rPr>
        <w:t xml:space="preserve"> </w:t>
      </w:r>
      <w:r w:rsidRPr="00BB734F">
        <w:rPr>
          <w:rFonts w:ascii="Book Antiqua" w:eastAsia="Book Antiqua" w:hAnsi="Book Antiqua" w:cs="Book Antiqua"/>
        </w:rPr>
        <w:t xml:space="preserve">= 0.0007), </w:t>
      </w:r>
      <w:r w:rsidRPr="00BB734F">
        <w:rPr>
          <w:rFonts w:ascii="Book Antiqua" w:eastAsia="宋体" w:hAnsi="Book Antiqua" w:cs="Book Antiqua"/>
          <w:lang w:eastAsia="zh-CN"/>
        </w:rPr>
        <w:t xml:space="preserve">and </w:t>
      </w:r>
      <w:r w:rsidRPr="00BB734F">
        <w:rPr>
          <w:rFonts w:ascii="Book Antiqua" w:eastAsia="Book Antiqua" w:hAnsi="Book Antiqua" w:cs="Book Antiqua"/>
        </w:rPr>
        <w:t>IIA (</w:t>
      </w:r>
      <w:r w:rsidRPr="00BB734F">
        <w:rPr>
          <w:rFonts w:ascii="Book Antiqua" w:eastAsia="Book Antiqua" w:hAnsi="Book Antiqua" w:cs="Book Antiqua"/>
          <w:i/>
          <w:iCs/>
        </w:rPr>
        <w:t>P</w:t>
      </w:r>
      <w:r w:rsidRPr="00BB734F">
        <w:rPr>
          <w:rFonts w:ascii="Book Antiqua" w:eastAsia="宋体" w:hAnsi="Book Antiqua" w:cs="Book Antiqua"/>
          <w:lang w:eastAsia="zh-CN"/>
        </w:rPr>
        <w:t xml:space="preserve"> </w:t>
      </w:r>
      <w:r w:rsidRPr="00BB734F">
        <w:rPr>
          <w:rFonts w:ascii="Book Antiqua" w:eastAsia="Book Antiqua" w:hAnsi="Book Antiqua" w:cs="Book Antiqua"/>
        </w:rPr>
        <w:t xml:space="preserve">= 0.0316) were considered to </w:t>
      </w:r>
      <w:r w:rsidRPr="00BB734F">
        <w:rPr>
          <w:rFonts w:ascii="Book Antiqua" w:eastAsia="宋体" w:hAnsi="Book Antiqua" w:cs="Book Antiqua"/>
          <w:lang w:eastAsia="zh-CN"/>
        </w:rPr>
        <w:t>have</w:t>
      </w:r>
      <w:r w:rsidRPr="00BB734F">
        <w:rPr>
          <w:rFonts w:ascii="Book Antiqua" w:eastAsia="Book Antiqua" w:hAnsi="Book Antiqua" w:cs="Book Antiqua"/>
        </w:rPr>
        <w:t xml:space="preserve"> statistical significance. Further, AVcen (OR: 1.41; 95%CI: 1.04-1.95) and AASA (OR: 1.44; 95%CI: 1.21-1.77)</w:t>
      </w:r>
      <w:r w:rsidRPr="00BB734F">
        <w:rPr>
          <w:rFonts w:ascii="Book Antiqua" w:eastAsia="宋体" w:hAnsi="Book Antiqua" w:cs="Book Antiqua"/>
          <w:lang w:eastAsia="zh-CN"/>
        </w:rPr>
        <w:t>,</w:t>
      </w:r>
      <w:r w:rsidRPr="00BB734F">
        <w:rPr>
          <w:rFonts w:ascii="Book Antiqua" w:eastAsia="Book Antiqua" w:hAnsi="Book Antiqua" w:cs="Book Antiqua"/>
        </w:rPr>
        <w:t xml:space="preserve"> especially AASA (area under curve: 66.6%)</w:t>
      </w:r>
      <w:r w:rsidRPr="00BB734F">
        <w:rPr>
          <w:rFonts w:ascii="Book Antiqua" w:eastAsia="宋体" w:hAnsi="Book Antiqua" w:cs="Book Antiqua"/>
          <w:lang w:eastAsia="zh-CN"/>
        </w:rPr>
        <w:t>,</w:t>
      </w:r>
      <w:r w:rsidRPr="00BB734F">
        <w:rPr>
          <w:rFonts w:ascii="Book Antiqua" w:eastAsia="Book Antiqua" w:hAnsi="Book Antiqua" w:cs="Book Antiqua"/>
        </w:rPr>
        <w:t xml:space="preserve"> should be paid much more attention</w:t>
      </w:r>
      <w:r w:rsidRPr="00BB734F">
        <w:rPr>
          <w:rFonts w:ascii="Book Antiqua" w:eastAsia="宋体" w:hAnsi="Book Antiqua" w:cs="Book Antiqua"/>
          <w:lang w:eastAsia="zh-CN"/>
        </w:rPr>
        <w:t xml:space="preserve"> </w:t>
      </w:r>
      <w:r w:rsidRPr="00BB734F">
        <w:rPr>
          <w:rFonts w:ascii="Book Antiqua" w:eastAsia="Book Antiqua" w:hAnsi="Book Antiqua" w:cs="Book Antiqua"/>
          <w:color w:val="000000"/>
        </w:rPr>
        <w:t>due to the higher OR than other indicators</w:t>
      </w:r>
      <w:r w:rsidRPr="00BB734F">
        <w:rPr>
          <w:rFonts w:ascii="Book Antiqua" w:eastAsia="Book Antiqua" w:hAnsi="Book Antiqua" w:cs="Book Antiqua"/>
        </w:rPr>
        <w:t>.</w:t>
      </w:r>
    </w:p>
    <w:p w14:paraId="13323D10" w14:textId="77777777" w:rsidR="0003522D" w:rsidRPr="00BB734F" w:rsidRDefault="0003522D">
      <w:pPr>
        <w:adjustRightInd w:val="0"/>
        <w:snapToGrid w:val="0"/>
        <w:spacing w:line="360" w:lineRule="auto"/>
        <w:jc w:val="both"/>
        <w:rPr>
          <w:rFonts w:ascii="Book Antiqua" w:hAnsi="Book Antiqua" w:cs="Book Antiqua"/>
        </w:rPr>
      </w:pPr>
    </w:p>
    <w:p w14:paraId="095D4A89"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CONCLUSION</w:t>
      </w:r>
    </w:p>
    <w:p w14:paraId="5B011454"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lastRenderedPageBreak/>
        <w:t xml:space="preserve">We </w:t>
      </w:r>
      <w:r w:rsidRPr="00BB734F">
        <w:rPr>
          <w:rFonts w:ascii="Book Antiqua" w:eastAsia="宋体" w:hAnsi="Book Antiqua" w:cs="Book Antiqua"/>
          <w:lang w:eastAsia="zh-CN"/>
        </w:rPr>
        <w:t xml:space="preserve">have for the </w:t>
      </w:r>
      <w:r w:rsidRPr="00BB734F">
        <w:rPr>
          <w:rFonts w:ascii="Book Antiqua" w:eastAsia="Book Antiqua" w:hAnsi="Book Antiqua" w:cs="Book Antiqua"/>
        </w:rPr>
        <w:t>first</w:t>
      </w:r>
      <w:r w:rsidRPr="00BB734F">
        <w:rPr>
          <w:rFonts w:ascii="Book Antiqua" w:eastAsia="宋体" w:hAnsi="Book Antiqua" w:cs="Book Antiqua"/>
          <w:lang w:eastAsia="zh-CN"/>
        </w:rPr>
        <w:t xml:space="preserve"> time</w:t>
      </w:r>
      <w:r w:rsidRPr="00BB734F">
        <w:rPr>
          <w:rFonts w:ascii="Book Antiqua" w:eastAsia="Book Antiqua" w:hAnsi="Book Antiqua" w:cs="Book Antiqua"/>
        </w:rPr>
        <w:t xml:space="preserve"> unveiled that AASA and age could be</w:t>
      </w:r>
      <w:r w:rsidRPr="00BB734F">
        <w:rPr>
          <w:rFonts w:ascii="Book Antiqua" w:eastAsia="宋体" w:hAnsi="Book Antiqua" w:cs="Book Antiqua"/>
          <w:lang w:eastAsia="zh-CN"/>
        </w:rPr>
        <w:t xml:space="preserve"> </w:t>
      </w:r>
      <w:r w:rsidRPr="00BB734F">
        <w:rPr>
          <w:rFonts w:ascii="Book Antiqua" w:eastAsia="Book Antiqua" w:hAnsi="Book Antiqua" w:cs="Book Antiqua"/>
        </w:rPr>
        <w:t>key risk factor</w:t>
      </w:r>
      <w:r w:rsidRPr="00BB734F">
        <w:rPr>
          <w:rFonts w:ascii="Book Antiqua" w:eastAsia="宋体" w:hAnsi="Book Antiqua" w:cs="Book Antiqua"/>
          <w:lang w:eastAsia="zh-CN"/>
        </w:rPr>
        <w:t>s</w:t>
      </w:r>
      <w:r w:rsidRPr="00BB734F">
        <w:rPr>
          <w:rFonts w:ascii="Book Antiqua" w:eastAsia="Book Antiqua" w:hAnsi="Book Antiqua" w:cs="Book Antiqua"/>
        </w:rPr>
        <w:t xml:space="preserve"> for SFFFH, which further verifie</w:t>
      </w:r>
      <w:r w:rsidRPr="00BB734F">
        <w:rPr>
          <w:rFonts w:ascii="Book Antiqua" w:eastAsia="宋体" w:hAnsi="Book Antiqua" w:cs="Book Antiqua"/>
          <w:lang w:eastAsia="zh-CN"/>
        </w:rPr>
        <w:t>s</w:t>
      </w:r>
      <w:r w:rsidRPr="00BB734F">
        <w:rPr>
          <w:rFonts w:ascii="Book Antiqua" w:eastAsia="Book Antiqua" w:hAnsi="Book Antiqua" w:cs="Book Antiqua"/>
        </w:rPr>
        <w:t xml:space="preserve"> that deficient anterior coverage of the acetabulum might be the main cause of SFFFH.</w:t>
      </w:r>
    </w:p>
    <w:p w14:paraId="5375BAF3" w14:textId="77777777" w:rsidR="0003522D" w:rsidRPr="00BB734F" w:rsidRDefault="0003522D">
      <w:pPr>
        <w:adjustRightInd w:val="0"/>
        <w:snapToGrid w:val="0"/>
        <w:spacing w:line="360" w:lineRule="auto"/>
        <w:jc w:val="both"/>
        <w:rPr>
          <w:rFonts w:ascii="Book Antiqua" w:hAnsi="Book Antiqua" w:cs="Book Antiqua"/>
        </w:rPr>
      </w:pPr>
    </w:p>
    <w:p w14:paraId="6691CD59" w14:textId="77777777" w:rsidR="0003522D" w:rsidRPr="00BB734F" w:rsidRDefault="00000000">
      <w:pPr>
        <w:adjustRightInd w:val="0"/>
        <w:snapToGrid w:val="0"/>
        <w:spacing w:line="360" w:lineRule="auto"/>
        <w:jc w:val="both"/>
        <w:rPr>
          <w:rFonts w:ascii="Book Antiqua" w:eastAsia="宋体" w:hAnsi="Book Antiqua" w:cs="Book Antiqua"/>
          <w:lang w:eastAsia="zh-CN"/>
        </w:rPr>
      </w:pPr>
      <w:r w:rsidRPr="00BB734F">
        <w:rPr>
          <w:rFonts w:ascii="Book Antiqua" w:eastAsia="Book Antiqua" w:hAnsi="Book Antiqua" w:cs="Book Antiqua"/>
          <w:b/>
          <w:bCs/>
        </w:rPr>
        <w:t xml:space="preserve">Key Words: </w:t>
      </w:r>
      <w:r w:rsidRPr="00BB734F">
        <w:rPr>
          <w:rFonts w:ascii="Book Antiqua" w:eastAsia="Book Antiqua" w:hAnsi="Book Antiqua" w:cs="Book Antiqua"/>
        </w:rPr>
        <w:t>Subchondral fatigue fracture of the femoral head; Age; Anterior acetabular sector angle; Risk factor</w:t>
      </w:r>
      <w:r w:rsidRPr="00BB734F">
        <w:rPr>
          <w:rFonts w:ascii="Book Antiqua" w:eastAsia="宋体" w:hAnsi="Book Antiqua" w:cs="Book Antiqua"/>
          <w:lang w:eastAsia="zh-CN"/>
        </w:rPr>
        <w:t>s</w:t>
      </w:r>
    </w:p>
    <w:p w14:paraId="7C50FAB0" w14:textId="77777777" w:rsidR="001F4F2D" w:rsidRPr="006D4EDA" w:rsidRDefault="001F4F2D" w:rsidP="001F4F2D">
      <w:pPr>
        <w:spacing w:line="360" w:lineRule="auto"/>
        <w:rPr>
          <w:rFonts w:ascii="Book Antiqua" w:eastAsia="Book Antiqua" w:hAnsi="Book Antiqua" w:cs="Book Antiqua"/>
        </w:rPr>
      </w:pPr>
    </w:p>
    <w:p w14:paraId="49AE2002" w14:textId="77777777" w:rsidR="001F4F2D" w:rsidRPr="006D4EDA" w:rsidRDefault="001F4F2D" w:rsidP="001F4F2D">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380EC01F" w14:textId="77777777" w:rsidR="001F4F2D" w:rsidRPr="006D4EDA" w:rsidRDefault="001F4F2D" w:rsidP="001F4F2D">
      <w:pPr>
        <w:spacing w:line="360" w:lineRule="auto"/>
        <w:rPr>
          <w:rFonts w:ascii="Book Antiqua" w:eastAsia="Book Antiqua" w:hAnsi="Book Antiqua" w:cs="Book Antiqua"/>
        </w:rPr>
      </w:pPr>
    </w:p>
    <w:p w14:paraId="64183C74" w14:textId="5884E564" w:rsidR="001F4F2D" w:rsidRDefault="001F4F2D" w:rsidP="001F4F2D">
      <w:pPr>
        <w:spacing w:line="360" w:lineRule="auto"/>
        <w:jc w:val="both"/>
        <w:rPr>
          <w:rFonts w:ascii="Book Antiqua" w:eastAsia="Book Antiqua" w:hAnsi="Book Antiqua" w:cs="Book Antiqua"/>
        </w:rPr>
      </w:pPr>
      <w:r w:rsidRPr="00CB1BFB">
        <w:rPr>
          <w:rFonts w:ascii="Book Antiqua" w:eastAsia="Book Antiqua" w:hAnsi="Book Antiqua" w:cs="Book Antiqua"/>
          <w:b/>
          <w:bCs/>
        </w:rPr>
        <w:t>Citation</w:t>
      </w:r>
      <w:r w:rsidRPr="00CB1BFB">
        <w:rPr>
          <w:rFonts w:ascii="Book Antiqua" w:eastAsia="Book Antiqua" w:hAnsi="Book Antiqua" w:cs="Book Antiqua"/>
        </w:rPr>
        <w:t xml:space="preserve">: </w:t>
      </w:r>
      <w:r w:rsidRPr="00BB734F">
        <w:rPr>
          <w:rFonts w:ascii="Book Antiqua" w:eastAsia="Book Antiqua" w:hAnsi="Book Antiqua" w:cs="Book Antiqua"/>
        </w:rPr>
        <w:t xml:space="preserve">Yang JZ, Chen P, Chen BH, Zhao B. Subchondral fatigue fracture of the femoral head in young military recruits: </w:t>
      </w:r>
      <w:r w:rsidRPr="00BB734F">
        <w:rPr>
          <w:rFonts w:ascii="Book Antiqua" w:eastAsia="宋体" w:hAnsi="Book Antiqua" w:cs="Book Antiqua"/>
          <w:lang w:eastAsia="zh-CN"/>
        </w:rPr>
        <w:t>P</w:t>
      </w:r>
      <w:r w:rsidRPr="00BB734F">
        <w:rPr>
          <w:rFonts w:ascii="Book Antiqua" w:eastAsia="Book Antiqua" w:hAnsi="Book Antiqua" w:cs="Book Antiqua"/>
        </w:rPr>
        <w:t>otential risk factor</w:t>
      </w:r>
      <w:r w:rsidRPr="00BB734F">
        <w:rPr>
          <w:rFonts w:ascii="Book Antiqua" w:eastAsia="宋体" w:hAnsi="Book Antiqua" w:cs="Book Antiqua"/>
          <w:lang w:eastAsia="zh-CN"/>
        </w:rPr>
        <w:t>s</w:t>
      </w:r>
      <w:r w:rsidRPr="00BB734F">
        <w:rPr>
          <w:rFonts w:ascii="Book Antiqua" w:eastAsia="Book Antiqua" w:hAnsi="Book Antiqua" w:cs="Book Antiqua"/>
        </w:rPr>
        <w:t xml:space="preserve">. </w:t>
      </w:r>
      <w:r w:rsidRPr="00BB734F">
        <w:rPr>
          <w:rFonts w:ascii="Book Antiqua" w:eastAsia="Book Antiqua" w:hAnsi="Book Antiqua" w:cs="Book Antiqua"/>
          <w:i/>
          <w:iCs/>
        </w:rPr>
        <w:t>World J Clin Cases</w:t>
      </w:r>
      <w:r w:rsidRPr="00BB734F">
        <w:rPr>
          <w:rFonts w:ascii="Book Antiqua" w:eastAsia="Book Antiqua" w:hAnsi="Book Antiqua" w:cs="Book Antiqua"/>
        </w:rPr>
        <w:t xml:space="preserve"> 2023; </w:t>
      </w:r>
      <w:r w:rsidRPr="00CB1BFB">
        <w:rPr>
          <w:rFonts w:ascii="Book Antiqua" w:eastAsia="Book Antiqua" w:hAnsi="Book Antiqua" w:cs="Book Antiqua"/>
        </w:rPr>
        <w:t xml:space="preserve">11(28): </w:t>
      </w:r>
      <w:r w:rsidRPr="001678F1">
        <w:rPr>
          <w:rFonts w:ascii="Book Antiqua" w:eastAsia="等线" w:hAnsi="Book Antiqua"/>
          <w:color w:val="000000"/>
        </w:rPr>
        <w:t>6733-6743</w:t>
      </w:r>
    </w:p>
    <w:p w14:paraId="10D4274E" w14:textId="5A140C9F" w:rsidR="001F4F2D" w:rsidRDefault="001F4F2D" w:rsidP="001F4F2D">
      <w:pPr>
        <w:spacing w:line="360" w:lineRule="auto"/>
        <w:jc w:val="both"/>
        <w:rPr>
          <w:rFonts w:ascii="Book Antiqua" w:eastAsia="Book Antiqua" w:hAnsi="Book Antiqua" w:cs="Book Antiqua"/>
        </w:rPr>
      </w:pPr>
      <w:r w:rsidRPr="006C335C">
        <w:rPr>
          <w:rFonts w:ascii="Book Antiqua" w:eastAsia="Book Antiqua" w:hAnsi="Book Antiqua" w:cs="Book Antiqua"/>
          <w:b/>
          <w:bCs/>
        </w:rPr>
        <w:t>URL</w:t>
      </w:r>
      <w:r w:rsidRPr="00CB1BFB">
        <w:rPr>
          <w:rFonts w:ascii="Book Antiqua" w:eastAsia="Book Antiqua" w:hAnsi="Book Antiqua" w:cs="Book Antiqua"/>
        </w:rPr>
        <w:t>: https://www.wjgnet.com/2307-8960/full/v11/i28/</w:t>
      </w:r>
      <w:r w:rsidRPr="001678F1">
        <w:rPr>
          <w:rFonts w:ascii="Book Antiqua" w:eastAsia="等线" w:hAnsi="Book Antiqua"/>
          <w:color w:val="000000"/>
        </w:rPr>
        <w:t>6733</w:t>
      </w:r>
      <w:r w:rsidRPr="00CB1BFB">
        <w:rPr>
          <w:rFonts w:ascii="Book Antiqua" w:eastAsia="Book Antiqua" w:hAnsi="Book Antiqua" w:cs="Book Antiqua"/>
        </w:rPr>
        <w:t>.htm</w:t>
      </w:r>
    </w:p>
    <w:p w14:paraId="799D6B38" w14:textId="6750417D" w:rsidR="0003522D" w:rsidRPr="00BB734F" w:rsidRDefault="001F4F2D" w:rsidP="001F4F2D">
      <w:pPr>
        <w:adjustRightInd w:val="0"/>
        <w:snapToGrid w:val="0"/>
        <w:spacing w:line="360" w:lineRule="auto"/>
        <w:jc w:val="both"/>
        <w:rPr>
          <w:rFonts w:ascii="Book Antiqua" w:hAnsi="Book Antiqua" w:cs="Book Antiqua"/>
        </w:rPr>
      </w:pPr>
      <w:r w:rsidRPr="006C335C">
        <w:rPr>
          <w:rFonts w:ascii="Book Antiqua" w:eastAsia="Book Antiqua" w:hAnsi="Book Antiqua" w:cs="Book Antiqua"/>
          <w:b/>
          <w:bCs/>
        </w:rPr>
        <w:t>DOI</w:t>
      </w:r>
      <w:r w:rsidRPr="00CB1BFB">
        <w:rPr>
          <w:rFonts w:ascii="Book Antiqua" w:eastAsia="Book Antiqua" w:hAnsi="Book Antiqua" w:cs="Book Antiqua"/>
        </w:rPr>
        <w:t>: https://dx.doi.org/10.12998/wjcc.v11.i28.</w:t>
      </w:r>
      <w:r w:rsidRPr="001678F1">
        <w:rPr>
          <w:rFonts w:ascii="Book Antiqua" w:eastAsia="等线" w:hAnsi="Book Antiqua"/>
          <w:color w:val="000000"/>
        </w:rPr>
        <w:t>6733</w:t>
      </w:r>
    </w:p>
    <w:p w14:paraId="27273277" w14:textId="77777777" w:rsidR="0003522D" w:rsidRPr="00BB734F" w:rsidRDefault="0003522D">
      <w:pPr>
        <w:adjustRightInd w:val="0"/>
        <w:snapToGrid w:val="0"/>
        <w:spacing w:line="360" w:lineRule="auto"/>
        <w:jc w:val="both"/>
        <w:rPr>
          <w:rFonts w:ascii="Book Antiqua" w:hAnsi="Book Antiqua" w:cs="Book Antiqua"/>
        </w:rPr>
      </w:pPr>
    </w:p>
    <w:p w14:paraId="25C7D806"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rPr>
        <w:t xml:space="preserve">Core Tip: </w:t>
      </w:r>
      <w:r w:rsidRPr="00BB734F">
        <w:rPr>
          <w:rFonts w:ascii="Book Antiqua" w:eastAsia="Book Antiqua" w:hAnsi="Book Antiqua" w:cs="Book Antiqua"/>
        </w:rPr>
        <w:t>Our findings indicate that a small anterior acetabular sector angle (AASA) indicates poor anterior coverage of the femoral head and can increase the risk of subchondral fatigue fracture of the femoral head (SFFFH) in young patients. Since patients with a history of intense military training may be at higher risk for SFFFH, early detection and appropriate management are crucial to prevent further deterioration of the femoral head and preserve joint function. Based on these findings, we, therefore, recommend orthopedic surgeons not to exclude the possibility of SFFFH in patients who present with hip pain and have a history of intense military training, particularly if they have a small AASA.</w:t>
      </w:r>
    </w:p>
    <w:p w14:paraId="7EB71B05" w14:textId="77777777" w:rsidR="0003522D" w:rsidRPr="00BB734F" w:rsidRDefault="0003522D">
      <w:pPr>
        <w:adjustRightInd w:val="0"/>
        <w:snapToGrid w:val="0"/>
        <w:spacing w:line="360" w:lineRule="auto"/>
        <w:jc w:val="both"/>
        <w:rPr>
          <w:rFonts w:ascii="Book Antiqua" w:hAnsi="Book Antiqua" w:cs="Book Antiqua"/>
        </w:rPr>
      </w:pPr>
    </w:p>
    <w:p w14:paraId="51947B89"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caps/>
          <w:color w:val="000000"/>
          <w:u w:val="single"/>
        </w:rPr>
        <w:t>INTRODUCTION</w:t>
      </w:r>
    </w:p>
    <w:p w14:paraId="48542630"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 xml:space="preserve">Subchondral fatigue fracture of the femoral head </w:t>
      </w:r>
      <w:r w:rsidRPr="00BB734F">
        <w:rPr>
          <w:rFonts w:ascii="Book Antiqua" w:eastAsia="Book Antiqua" w:hAnsi="Book Antiqua" w:cs="Book Antiqua"/>
        </w:rPr>
        <w:t>(SFFFH)</w:t>
      </w:r>
      <w:r w:rsidRPr="00BB734F">
        <w:rPr>
          <w:rFonts w:ascii="Book Antiqua" w:eastAsia="宋体" w:hAnsi="Book Antiqua" w:cs="Book Antiqua"/>
          <w:lang w:eastAsia="zh-CN"/>
        </w:rPr>
        <w:t xml:space="preserve"> </w:t>
      </w:r>
      <w:r w:rsidRPr="00BB734F">
        <w:rPr>
          <w:rFonts w:ascii="Book Antiqua" w:eastAsia="Book Antiqua" w:hAnsi="Book Antiqua" w:cs="Book Antiqua"/>
          <w:color w:val="000000"/>
        </w:rPr>
        <w:t>is rare but occurs in people with vigorous exercise including soldiers and athletes</w:t>
      </w:r>
      <w:r w:rsidRPr="00BB734F">
        <w:rPr>
          <w:rFonts w:ascii="Book Antiqua" w:eastAsia="Book Antiqua" w:hAnsi="Book Antiqua" w:cs="Book Antiqua"/>
          <w:color w:val="000000"/>
          <w:vertAlign w:val="superscript"/>
        </w:rPr>
        <w:t>[1,2]</w:t>
      </w:r>
      <w:r w:rsidRPr="00BB734F">
        <w:rPr>
          <w:rFonts w:ascii="Book Antiqua" w:eastAsia="Book Antiqua" w:hAnsi="Book Antiqua" w:cs="Book Antiqua"/>
          <w:color w:val="000000"/>
        </w:rPr>
        <w:t xml:space="preserve">. Apart from subchondral </w:t>
      </w:r>
      <w:r w:rsidRPr="00BB734F">
        <w:rPr>
          <w:rFonts w:ascii="Book Antiqua" w:eastAsia="Book Antiqua" w:hAnsi="Book Antiqua" w:cs="Book Antiqua"/>
          <w:color w:val="000000"/>
        </w:rPr>
        <w:lastRenderedPageBreak/>
        <w:t>insufficiency fracture of the femoral head (SIFFH)</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secondary to osteoporo</w:t>
      </w:r>
      <w:r w:rsidRPr="00BB734F">
        <w:rPr>
          <w:rFonts w:ascii="Book Antiqua" w:eastAsia="宋体" w:hAnsi="Book Antiqua" w:cs="Book Antiqua"/>
          <w:color w:val="000000"/>
          <w:lang w:eastAsia="zh-CN"/>
        </w:rPr>
        <w:t>si</w:t>
      </w:r>
      <w:r w:rsidRPr="00BB734F">
        <w:rPr>
          <w:rFonts w:ascii="Book Antiqua" w:eastAsia="Book Antiqua" w:hAnsi="Book Antiqua" w:cs="Book Antiqua"/>
          <w:color w:val="000000"/>
        </w:rPr>
        <w:t xml:space="preserve">s, </w:t>
      </w:r>
      <w:r w:rsidRPr="00BB734F">
        <w:rPr>
          <w:rFonts w:ascii="Book Antiqua" w:eastAsia="Book Antiqua" w:hAnsi="Book Antiqua" w:cs="Book Antiqua"/>
        </w:rPr>
        <w:t>SFFFH</w:t>
      </w:r>
      <w:r w:rsidRPr="00BB734F">
        <w:rPr>
          <w:rFonts w:ascii="Book Antiqua" w:eastAsia="Book Antiqua" w:hAnsi="Book Antiqua" w:cs="Book Antiqua"/>
          <w:color w:val="000000"/>
        </w:rPr>
        <w:t xml:space="preserve"> occurs in healthy adults with normal bone quality after repeated abnormal stress or sudden increases in activity</w:t>
      </w:r>
      <w:r w:rsidRPr="00BB734F">
        <w:rPr>
          <w:rFonts w:ascii="Book Antiqua" w:eastAsia="Book Antiqua" w:hAnsi="Book Antiqua" w:cs="Book Antiqua"/>
          <w:color w:val="000000"/>
          <w:vertAlign w:val="superscript"/>
        </w:rPr>
        <w:t>[2-4]</w:t>
      </w:r>
      <w:r w:rsidRPr="00BB734F">
        <w:rPr>
          <w:rFonts w:ascii="Book Antiqua" w:eastAsia="Book Antiqua" w:hAnsi="Book Antiqua" w:cs="Book Antiqua"/>
          <w:color w:val="000000"/>
        </w:rPr>
        <w:t>. SFFFH is characterized by hip pain, limited range of motion</w:t>
      </w:r>
      <w:r w:rsidRPr="00BB734F">
        <w:rPr>
          <w:rFonts w:ascii="Book Antiqua" w:eastAsia="宋体" w:hAnsi="Book Antiqua" w:cs="Book Antiqua"/>
          <w:color w:val="000000"/>
          <w:lang w:eastAsia="zh-CN"/>
        </w:rPr>
        <w:t>,</w:t>
      </w:r>
      <w:r w:rsidRPr="00BB734F">
        <w:rPr>
          <w:rFonts w:ascii="Book Antiqua" w:eastAsia="Book Antiqua" w:hAnsi="Book Antiqua" w:cs="Book Antiqua"/>
          <w:color w:val="000000"/>
        </w:rPr>
        <w:t xml:space="preserve"> and collapse of the femoral head, similar to the manifestation of </w:t>
      </w:r>
      <w:r w:rsidRPr="00BB734F">
        <w:rPr>
          <w:rFonts w:ascii="Book Antiqua" w:eastAsia="Book Antiqua" w:hAnsi="Book Antiqua" w:cs="Book Antiqua"/>
        </w:rPr>
        <w:t>osteonecrosis of the femoral head (ONFH)</w:t>
      </w:r>
      <w:r w:rsidRPr="00BB734F">
        <w:rPr>
          <w:rFonts w:ascii="Book Antiqua" w:eastAsia="Book Antiqua" w:hAnsi="Book Antiqua" w:cs="Book Antiqua"/>
          <w:color w:val="000000"/>
          <w:vertAlign w:val="superscript"/>
        </w:rPr>
        <w:t>[2,5,6]</w:t>
      </w:r>
      <w:r w:rsidRPr="00BB734F">
        <w:rPr>
          <w:rFonts w:ascii="Book Antiqua" w:eastAsia="Book Antiqua" w:hAnsi="Book Antiqua" w:cs="Book Antiqua"/>
          <w:color w:val="000000"/>
        </w:rPr>
        <w:t>. At the onset of hip pain, magnetic resonance imaging (MRI) but not X-ray should be performed to detect the lesion</w:t>
      </w:r>
      <w:r w:rsidRPr="00BB734F">
        <w:rPr>
          <w:rFonts w:ascii="Book Antiqua" w:eastAsia="Book Antiqua" w:hAnsi="Book Antiqua" w:cs="Book Antiqua"/>
          <w:color w:val="000000"/>
          <w:vertAlign w:val="superscript"/>
        </w:rPr>
        <w:t>[7]</w:t>
      </w:r>
      <w:r w:rsidRPr="00BB734F">
        <w:rPr>
          <w:rFonts w:ascii="Book Antiqua" w:eastAsia="Book Antiqua" w:hAnsi="Book Antiqua" w:cs="Book Antiqua"/>
          <w:color w:val="000000"/>
        </w:rPr>
        <w:t>. However, there is little research on risk factors related to the occurrence of SFFFH.</w:t>
      </w:r>
    </w:p>
    <w:p w14:paraId="5F49DD19" w14:textId="77777777" w:rsidR="0003522D" w:rsidRPr="00BB734F" w:rsidRDefault="00000000">
      <w:pPr>
        <w:adjustRightInd w:val="0"/>
        <w:snapToGrid w:val="0"/>
        <w:spacing w:line="360" w:lineRule="auto"/>
        <w:ind w:firstLineChars="200" w:firstLine="480"/>
        <w:jc w:val="both"/>
        <w:rPr>
          <w:rFonts w:ascii="Book Antiqua" w:hAnsi="Book Antiqua" w:cs="Book Antiqua"/>
        </w:rPr>
      </w:pPr>
      <w:r w:rsidRPr="00BB734F">
        <w:rPr>
          <w:rFonts w:ascii="Book Antiqua" w:eastAsia="宋体" w:hAnsi="Book Antiqua" w:cs="Book Antiqua"/>
          <w:color w:val="000000"/>
          <w:lang w:eastAsia="zh-CN"/>
        </w:rPr>
        <w:t>S</w:t>
      </w:r>
      <w:r w:rsidRPr="00BB734F">
        <w:rPr>
          <w:rFonts w:ascii="Book Antiqua" w:eastAsia="Book Antiqua" w:hAnsi="Book Antiqua" w:cs="Book Antiqua"/>
          <w:color w:val="000000"/>
        </w:rPr>
        <w:t xml:space="preserve">ome </w:t>
      </w:r>
      <w:r w:rsidRPr="00BB734F">
        <w:rPr>
          <w:rFonts w:ascii="Book Antiqua" w:eastAsia="宋体" w:hAnsi="Book Antiqua" w:cs="Book Antiqua"/>
          <w:color w:val="000000"/>
          <w:lang w:eastAsia="zh-CN"/>
        </w:rPr>
        <w:t>studies</w:t>
      </w:r>
      <w:r w:rsidRPr="00BB734F">
        <w:rPr>
          <w:rFonts w:ascii="Book Antiqua" w:eastAsia="Book Antiqua" w:hAnsi="Book Antiqua" w:cs="Book Antiqua"/>
          <w:color w:val="000000"/>
        </w:rPr>
        <w:t xml:space="preserve"> indicated that intrinsic factors </w:t>
      </w:r>
      <w:r w:rsidRPr="00BB734F">
        <w:rPr>
          <w:rFonts w:ascii="Book Antiqua" w:eastAsia="宋体" w:hAnsi="Book Antiqua" w:cs="Book Antiqua"/>
          <w:color w:val="000000"/>
          <w:lang w:eastAsia="zh-CN"/>
        </w:rPr>
        <w:t xml:space="preserve">are </w:t>
      </w:r>
      <w:r w:rsidRPr="00BB734F">
        <w:rPr>
          <w:rFonts w:ascii="Book Antiqua" w:eastAsia="Book Antiqua" w:hAnsi="Book Antiqua" w:cs="Book Antiqua"/>
          <w:color w:val="000000"/>
        </w:rPr>
        <w:t>related to SFFFH. Kim DK and Kim TH</w:t>
      </w:r>
      <w:r w:rsidRPr="00BB734F">
        <w:rPr>
          <w:rFonts w:ascii="Book Antiqua" w:eastAsia="Book Antiqua" w:hAnsi="Book Antiqua" w:cs="Book Antiqua"/>
          <w:color w:val="000000"/>
          <w:vertAlign w:val="superscript"/>
        </w:rPr>
        <w:t>[8]</w:t>
      </w:r>
      <w:r w:rsidRPr="00BB734F">
        <w:rPr>
          <w:rFonts w:ascii="Book Antiqua" w:eastAsia="Book Antiqua" w:hAnsi="Book Antiqua" w:cs="Book Antiqua"/>
          <w:color w:val="000000"/>
        </w:rPr>
        <w:t xml:space="preserve"> indicated that the femoral neck-shaft angle (NSA) is associated with the location of the femoral stress fracture after retrospectively studying 37 patients with femoral stress fractures. Iwasaki </w:t>
      </w:r>
      <w:r w:rsidRPr="00BB734F">
        <w:rPr>
          <w:rFonts w:ascii="Book Antiqua" w:eastAsia="Book Antiqua" w:hAnsi="Book Antiqua" w:cs="Book Antiqua"/>
          <w:i/>
          <w:iCs/>
          <w:color w:val="000000"/>
        </w:rPr>
        <w:t>et al</w:t>
      </w:r>
      <w:r w:rsidRPr="00BB734F">
        <w:rPr>
          <w:rFonts w:ascii="Book Antiqua" w:eastAsia="Book Antiqua" w:hAnsi="Book Antiqua" w:cs="Book Antiqua"/>
          <w:color w:val="000000"/>
          <w:vertAlign w:val="superscript"/>
        </w:rPr>
        <w:t>[9]</w:t>
      </w:r>
      <w:r w:rsidRPr="00BB734F">
        <w:rPr>
          <w:rFonts w:ascii="Book Antiqua" w:eastAsia="Book Antiqua" w:hAnsi="Book Antiqua" w:cs="Book Antiqua"/>
          <w:color w:val="000000"/>
        </w:rPr>
        <w:t xml:space="preserve"> found that both the acetabular head index and band length ratio are important factors in the progress</w:t>
      </w:r>
      <w:r w:rsidRPr="00BB734F">
        <w:rPr>
          <w:rFonts w:ascii="Book Antiqua" w:eastAsia="宋体" w:hAnsi="Book Antiqua" w:cs="Book Antiqua"/>
          <w:color w:val="000000"/>
          <w:lang w:eastAsia="zh-CN"/>
        </w:rPr>
        <w:t>ion</w:t>
      </w:r>
      <w:r w:rsidRPr="00BB734F">
        <w:rPr>
          <w:rFonts w:ascii="Book Antiqua" w:eastAsia="Book Antiqua" w:hAnsi="Book Antiqua" w:cs="Book Antiqua"/>
          <w:color w:val="000000"/>
        </w:rPr>
        <w:t xml:space="preserve"> of SIFFH after reviewing 29 patients with </w:t>
      </w:r>
      <w:r w:rsidRPr="00BB734F">
        <w:rPr>
          <w:rFonts w:ascii="Book Antiqua" w:eastAsia="宋体" w:hAnsi="Book Antiqua" w:cs="Book Antiqua"/>
          <w:color w:val="000000"/>
          <w:lang w:eastAsia="zh-CN"/>
        </w:rPr>
        <w:t>this condition</w:t>
      </w:r>
      <w:r w:rsidRPr="00BB734F">
        <w:rPr>
          <w:rFonts w:ascii="Book Antiqua" w:eastAsia="Book Antiqua" w:hAnsi="Book Antiqua" w:cs="Book Antiqua"/>
          <w:color w:val="000000"/>
        </w:rPr>
        <w:t>. According to the previous observation, we believed that some hip geometry indicators play crucial roles in the development of SFFFH.</w:t>
      </w:r>
    </w:p>
    <w:p w14:paraId="2FB3E3DF" w14:textId="77777777" w:rsidR="0003522D" w:rsidRPr="00BB734F" w:rsidRDefault="00000000">
      <w:pPr>
        <w:adjustRightInd w:val="0"/>
        <w:snapToGrid w:val="0"/>
        <w:spacing w:line="360" w:lineRule="auto"/>
        <w:ind w:firstLineChars="200" w:firstLine="480"/>
        <w:jc w:val="both"/>
        <w:rPr>
          <w:rFonts w:ascii="Book Antiqua" w:hAnsi="Book Antiqua" w:cs="Book Antiqua"/>
        </w:rPr>
      </w:pPr>
      <w:r w:rsidRPr="00BB734F">
        <w:rPr>
          <w:rFonts w:ascii="Book Antiqua" w:eastAsia="Book Antiqua" w:hAnsi="Book Antiqua" w:cs="Book Antiqua"/>
          <w:color w:val="000000"/>
        </w:rPr>
        <w:t xml:space="preserve">In this study, we reviewed 122 patients from the Chinese People's Liberation Army who complained of hip pain to find some characteristics of SFFFH. Furthermore, we aimed to discover some new risk factors for SFFFH by comparing SFFFH with </w:t>
      </w:r>
      <w:r w:rsidRPr="00BB734F">
        <w:rPr>
          <w:rFonts w:ascii="Book Antiqua" w:eastAsia="Book Antiqua" w:hAnsi="Book Antiqua" w:cs="Book Antiqua"/>
        </w:rPr>
        <w:t>ONFH</w:t>
      </w:r>
      <w:r w:rsidRPr="00BB734F">
        <w:rPr>
          <w:rFonts w:ascii="Book Antiqua" w:eastAsia="Book Antiqua" w:hAnsi="Book Antiqua" w:cs="Book Antiqua"/>
          <w:color w:val="000000"/>
        </w:rPr>
        <w:t xml:space="preserve"> patients.</w:t>
      </w:r>
    </w:p>
    <w:p w14:paraId="2339A90C" w14:textId="77777777" w:rsidR="0003522D" w:rsidRPr="00BB734F" w:rsidRDefault="0003522D">
      <w:pPr>
        <w:adjustRightInd w:val="0"/>
        <w:snapToGrid w:val="0"/>
        <w:spacing w:line="360" w:lineRule="auto"/>
        <w:jc w:val="both"/>
        <w:rPr>
          <w:rFonts w:ascii="Book Antiqua" w:hAnsi="Book Antiqua" w:cs="Book Antiqua"/>
        </w:rPr>
      </w:pPr>
    </w:p>
    <w:p w14:paraId="7616EC53"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caps/>
          <w:color w:val="000000"/>
          <w:u w:val="single"/>
        </w:rPr>
        <w:t>MATERIALS AND METHODS</w:t>
      </w:r>
    </w:p>
    <w:p w14:paraId="68752A7B" w14:textId="77777777" w:rsidR="0003522D" w:rsidRPr="00BB734F" w:rsidRDefault="00000000">
      <w:pPr>
        <w:adjustRightInd w:val="0"/>
        <w:snapToGrid w:val="0"/>
        <w:spacing w:line="360" w:lineRule="auto"/>
        <w:jc w:val="both"/>
        <w:rPr>
          <w:rFonts w:ascii="Book Antiqua" w:hAnsi="Book Antiqua" w:cs="Book Antiqua"/>
          <w:i/>
          <w:iCs/>
        </w:rPr>
      </w:pPr>
      <w:r w:rsidRPr="00BB734F">
        <w:rPr>
          <w:rFonts w:ascii="Book Antiqua" w:eastAsia="Book Antiqua" w:hAnsi="Book Antiqua" w:cs="Book Antiqua"/>
          <w:b/>
          <w:bCs/>
          <w:i/>
          <w:iCs/>
          <w:color w:val="000000"/>
        </w:rPr>
        <w:t>Study population and clinical records</w:t>
      </w:r>
    </w:p>
    <w:p w14:paraId="71EB941C"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The retrospective study was approved by the Ethics Review Board of PLA General Hospital. Patients who underwent hip MRI due to hip pain from June 2013 to June 2019 (</w:t>
      </w:r>
      <w:r w:rsidRPr="00BB734F">
        <w:rPr>
          <w:rFonts w:ascii="Book Antiqua" w:eastAsia="Book Antiqua" w:hAnsi="Book Antiqua" w:cs="Book Antiqua"/>
          <w:i/>
          <w:iCs/>
          <w:color w:val="000000"/>
        </w:rPr>
        <w:t>n</w:t>
      </w:r>
      <w:r w:rsidRPr="00BB734F">
        <w:rPr>
          <w:rFonts w:ascii="Book Antiqua" w:eastAsia="Book Antiqua" w:hAnsi="Book Antiqua" w:cs="Book Antiqua"/>
          <w:color w:val="000000"/>
        </w:rPr>
        <w:t xml:space="preserve"> = 2463) in a military tertiary care hospital were identified. </w:t>
      </w:r>
      <w:r w:rsidRPr="00BB734F">
        <w:rPr>
          <w:rFonts w:ascii="Book Antiqua" w:eastAsia="宋体" w:hAnsi="Book Antiqua" w:cs="Book Antiqua"/>
          <w:color w:val="000000"/>
          <w:lang w:eastAsia="zh-CN"/>
        </w:rPr>
        <w:t>These p</w:t>
      </w:r>
      <w:r w:rsidRPr="00BB734F">
        <w:rPr>
          <w:rFonts w:ascii="Book Antiqua" w:eastAsia="Book Antiqua" w:hAnsi="Book Antiqua" w:cs="Book Antiqua"/>
          <w:color w:val="000000"/>
        </w:rPr>
        <w:t xml:space="preserve">atients were diagnosed with </w:t>
      </w:r>
      <w:r w:rsidRPr="00BB734F">
        <w:rPr>
          <w:rFonts w:ascii="Book Antiqua" w:eastAsia="宋体" w:hAnsi="Book Antiqua" w:cs="Book Antiqua"/>
          <w:color w:val="000000"/>
          <w:lang w:eastAsia="zh-CN"/>
        </w:rPr>
        <w:t xml:space="preserve">either </w:t>
      </w:r>
      <w:r w:rsidRPr="00BB734F">
        <w:rPr>
          <w:rFonts w:ascii="Book Antiqua" w:eastAsia="Book Antiqua" w:hAnsi="Book Antiqua" w:cs="Book Antiqua"/>
          <w:color w:val="000000"/>
        </w:rPr>
        <w:t>ONFH (</w:t>
      </w:r>
      <w:r w:rsidRPr="00BB734F">
        <w:rPr>
          <w:rFonts w:ascii="Book Antiqua" w:eastAsia="Book Antiqua" w:hAnsi="Book Antiqua" w:cs="Book Antiqua"/>
          <w:i/>
          <w:iCs/>
          <w:color w:val="000000"/>
        </w:rPr>
        <w:t>n</w:t>
      </w:r>
      <w:r w:rsidRPr="00BB734F">
        <w:rPr>
          <w:rFonts w:ascii="Book Antiqua" w:eastAsia="Book Antiqua" w:hAnsi="Book Antiqua" w:cs="Book Antiqua"/>
          <w:color w:val="000000"/>
        </w:rPr>
        <w:t xml:space="preserve"> = 24) </w:t>
      </w:r>
      <w:r w:rsidRPr="00BB734F">
        <w:rPr>
          <w:rFonts w:ascii="Book Antiqua" w:eastAsia="宋体" w:hAnsi="Book Antiqua" w:cs="Book Antiqua"/>
          <w:color w:val="000000"/>
          <w:lang w:eastAsia="zh-CN"/>
        </w:rPr>
        <w:t>or</w:t>
      </w:r>
      <w:r w:rsidRPr="00BB734F">
        <w:rPr>
          <w:rFonts w:ascii="Book Antiqua" w:eastAsia="Book Antiqua" w:hAnsi="Book Antiqua" w:cs="Book Antiqua"/>
          <w:color w:val="000000"/>
        </w:rPr>
        <w:t xml:space="preserve"> SFFFH (</w:t>
      </w:r>
      <w:r w:rsidRPr="00BB734F">
        <w:rPr>
          <w:rFonts w:ascii="Book Antiqua" w:eastAsia="Book Antiqua" w:hAnsi="Book Antiqua" w:cs="Book Antiqua"/>
          <w:i/>
          <w:iCs/>
          <w:color w:val="000000"/>
        </w:rPr>
        <w:t>n</w:t>
      </w:r>
      <w:r w:rsidRPr="00BB734F">
        <w:rPr>
          <w:rFonts w:ascii="Book Antiqua" w:eastAsia="Book Antiqua" w:hAnsi="Book Antiqua" w:cs="Book Antiqua"/>
          <w:color w:val="000000"/>
        </w:rPr>
        <w:t xml:space="preserve"> = 98) based on hip MRI and X-ray. The diagnostic criteri</w:t>
      </w:r>
      <w:r w:rsidRPr="00BB734F">
        <w:rPr>
          <w:rFonts w:ascii="Book Antiqua" w:eastAsia="宋体" w:hAnsi="Book Antiqua" w:cs="Book Antiqua"/>
          <w:color w:val="000000"/>
          <w:lang w:eastAsia="zh-CN"/>
        </w:rPr>
        <w:t>a</w:t>
      </w:r>
      <w:r w:rsidRPr="00BB734F">
        <w:rPr>
          <w:rFonts w:ascii="Book Antiqua" w:eastAsia="Book Antiqua" w:hAnsi="Book Antiqua" w:cs="Book Antiqua"/>
          <w:color w:val="000000"/>
        </w:rPr>
        <w:t xml:space="preserve"> </w:t>
      </w:r>
      <w:r w:rsidRPr="00BB734F">
        <w:rPr>
          <w:rFonts w:ascii="Book Antiqua" w:eastAsia="宋体" w:hAnsi="Book Antiqua" w:cs="Book Antiqua"/>
          <w:color w:val="000000"/>
          <w:lang w:eastAsia="zh-CN"/>
        </w:rPr>
        <w:t>for</w:t>
      </w:r>
      <w:r w:rsidRPr="00BB734F">
        <w:rPr>
          <w:rFonts w:ascii="Book Antiqua" w:eastAsia="Book Antiqua" w:hAnsi="Book Antiqua" w:cs="Book Antiqua"/>
          <w:color w:val="000000"/>
        </w:rPr>
        <w:t xml:space="preserve"> SFFFH w</w:t>
      </w:r>
      <w:r w:rsidRPr="00BB734F">
        <w:rPr>
          <w:rFonts w:ascii="Book Antiqua" w:eastAsia="宋体" w:hAnsi="Book Antiqua" w:cs="Book Antiqua"/>
          <w:color w:val="000000"/>
          <w:lang w:eastAsia="zh-CN"/>
        </w:rPr>
        <w:t>ere</w:t>
      </w:r>
      <w:r w:rsidRPr="00BB734F">
        <w:rPr>
          <w:rFonts w:ascii="Book Antiqua" w:eastAsia="Book Antiqua" w:hAnsi="Book Antiqua" w:cs="Book Antiqua"/>
          <w:color w:val="000000"/>
        </w:rPr>
        <w:t xml:space="preserve"> according to the previous study while </w:t>
      </w:r>
      <w:r w:rsidRPr="00BB734F">
        <w:rPr>
          <w:rFonts w:ascii="Book Antiqua" w:eastAsia="宋体" w:hAnsi="Book Antiqua" w:cs="Book Antiqua"/>
          <w:color w:val="000000"/>
          <w:lang w:eastAsia="zh-CN"/>
        </w:rPr>
        <w:t xml:space="preserve">those for </w:t>
      </w:r>
      <w:r w:rsidRPr="00BB734F">
        <w:rPr>
          <w:rFonts w:ascii="Book Antiqua" w:eastAsia="Book Antiqua" w:hAnsi="Book Antiqua" w:cs="Book Antiqua"/>
          <w:color w:val="000000"/>
        </w:rPr>
        <w:t>ONFH w</w:t>
      </w:r>
      <w:r w:rsidRPr="00BB734F">
        <w:rPr>
          <w:rFonts w:ascii="Book Antiqua" w:eastAsia="宋体" w:hAnsi="Book Antiqua" w:cs="Book Antiqua"/>
          <w:color w:val="000000"/>
          <w:lang w:eastAsia="zh-CN"/>
        </w:rPr>
        <w:t>ere</w:t>
      </w:r>
      <w:r w:rsidRPr="00BB734F">
        <w:rPr>
          <w:rFonts w:ascii="Book Antiqua" w:eastAsia="Book Antiqua" w:hAnsi="Book Antiqua" w:cs="Book Antiqua"/>
          <w:color w:val="000000"/>
        </w:rPr>
        <w:t xml:space="preserve"> based on the Association Research Circulation Osseous staging system of ONFH</w:t>
      </w:r>
      <w:r w:rsidRPr="00BB734F">
        <w:rPr>
          <w:rFonts w:ascii="Book Antiqua" w:eastAsia="Book Antiqua" w:hAnsi="Book Antiqua" w:cs="Book Antiqua"/>
          <w:color w:val="000000"/>
          <w:vertAlign w:val="superscript"/>
        </w:rPr>
        <w:t>[10,11]</w:t>
      </w:r>
      <w:r w:rsidRPr="00BB734F">
        <w:rPr>
          <w:rFonts w:ascii="Book Antiqua" w:eastAsia="Book Antiqua" w:hAnsi="Book Antiqua" w:cs="Book Antiqua"/>
          <w:color w:val="000000"/>
        </w:rPr>
        <w:t>. All of the clinical records including age, height, weight, and body mass index were extracted from the patient chart.</w:t>
      </w:r>
    </w:p>
    <w:p w14:paraId="759DF7CB" w14:textId="77777777" w:rsidR="0003522D" w:rsidRPr="00BB734F" w:rsidRDefault="0003522D">
      <w:pPr>
        <w:adjustRightInd w:val="0"/>
        <w:snapToGrid w:val="0"/>
        <w:spacing w:line="360" w:lineRule="auto"/>
        <w:jc w:val="both"/>
        <w:rPr>
          <w:rFonts w:ascii="Book Antiqua" w:hAnsi="Book Antiqua" w:cs="Book Antiqua"/>
        </w:rPr>
      </w:pPr>
    </w:p>
    <w:p w14:paraId="4838303D"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i/>
          <w:iCs/>
          <w:color w:val="000000"/>
        </w:rPr>
        <w:t>MRI</w:t>
      </w:r>
    </w:p>
    <w:p w14:paraId="2E9F79FD"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MRI examinations</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 xml:space="preserve">were performed </w:t>
      </w:r>
      <w:r w:rsidRPr="00BB734F">
        <w:rPr>
          <w:rFonts w:ascii="Book Antiqua" w:eastAsia="宋体" w:hAnsi="Book Antiqua" w:cs="Book Antiqua"/>
          <w:color w:val="000000"/>
          <w:lang w:eastAsia="zh-CN"/>
        </w:rPr>
        <w:t>with a</w:t>
      </w:r>
      <w:r w:rsidRPr="00BB734F">
        <w:rPr>
          <w:rFonts w:ascii="Book Antiqua" w:eastAsia="Book Antiqua" w:hAnsi="Book Antiqua" w:cs="Book Antiqua"/>
          <w:color w:val="000000"/>
        </w:rPr>
        <w:t xml:space="preserve"> 1.5-T or 3.0-T MR scanner.</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 xml:space="preserve">The standard MRI protocol </w:t>
      </w:r>
      <w:r w:rsidRPr="00BB734F">
        <w:rPr>
          <w:rFonts w:ascii="Book Antiqua" w:eastAsia="宋体" w:hAnsi="Book Antiqua" w:cs="Book Antiqua"/>
          <w:color w:val="000000"/>
          <w:lang w:eastAsia="zh-CN"/>
        </w:rPr>
        <w:t>was used according to</w:t>
      </w:r>
      <w:r w:rsidRPr="00BB734F">
        <w:rPr>
          <w:rFonts w:ascii="Book Antiqua" w:eastAsia="Book Antiqua" w:hAnsi="Book Antiqua" w:cs="Book Antiqua"/>
          <w:color w:val="000000"/>
        </w:rPr>
        <w:t xml:space="preserve"> </w:t>
      </w:r>
      <w:r w:rsidRPr="00BB734F">
        <w:rPr>
          <w:rFonts w:ascii="Book Antiqua" w:eastAsia="宋体" w:hAnsi="Book Antiqua" w:cs="Book Antiqua"/>
          <w:color w:val="000000"/>
          <w:lang w:eastAsia="zh-CN"/>
        </w:rPr>
        <w:t>a</w:t>
      </w:r>
      <w:r w:rsidRPr="00BB734F">
        <w:rPr>
          <w:rFonts w:ascii="Book Antiqua" w:eastAsia="Book Antiqua" w:hAnsi="Book Antiqua" w:cs="Book Antiqua"/>
          <w:color w:val="000000"/>
        </w:rPr>
        <w:t xml:space="preserve"> previous study</w:t>
      </w:r>
      <w:r w:rsidRPr="00BB734F">
        <w:rPr>
          <w:rFonts w:ascii="Book Antiqua" w:eastAsia="Book Antiqua" w:hAnsi="Book Antiqua" w:cs="Book Antiqua"/>
          <w:color w:val="000000"/>
          <w:vertAlign w:val="superscript"/>
        </w:rPr>
        <w:t>[8]</w:t>
      </w:r>
      <w:r w:rsidRPr="00BB734F">
        <w:rPr>
          <w:rFonts w:ascii="Book Antiqua" w:eastAsia="Book Antiqua" w:hAnsi="Book Antiqua" w:cs="Book Antiqua"/>
          <w:color w:val="000000"/>
        </w:rPr>
        <w:t>. 1.5-T MRI consisted of axial T1-weighted [repetition time (TR)/echo time (TE) 632/9 ms, 4-mm slice thickness, 0.5-mm gap], axial and coronal T2-weighted (TR/TE 3102/77 ms, 4-mm slice thickness, 0.5-mm gap), and T2-weighted fat saturation (TR/TE 4500/77 ms, 4-mm slice thickness, 0.5-mm gap) sequences through the entire pelvis using a 32-channel body coil. Each sequential field of view (FOV) was 42 cm × 42 cm with a 384 cm × 256 matrix. The protocol of 3.0-T MRI consisted of axial T1-weighted (TR/TE 455/8 ms, 4-mm slice thickness, 0.5-mm gap), axial and coronal T2-weighted</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fat saturation (TR/TE 4287/81 ms, 4-mm slice thickness, 0.5-mm gap), and coronal short tau inversion recovery sequence (TR/TE 8291/47 ms, inversion time 150 ms, 4-mm slice thickness, 0.5-mm gap) using a 23-channel body coil with a FOV of 41 cm × 41 cm and 416 cm × 288 cm acquisition matrix.</w:t>
      </w:r>
    </w:p>
    <w:p w14:paraId="3717B2FB" w14:textId="77777777" w:rsidR="0003522D" w:rsidRPr="00BB734F" w:rsidRDefault="0003522D">
      <w:pPr>
        <w:adjustRightInd w:val="0"/>
        <w:snapToGrid w:val="0"/>
        <w:spacing w:line="360" w:lineRule="auto"/>
        <w:jc w:val="both"/>
        <w:rPr>
          <w:rFonts w:ascii="Book Antiqua" w:hAnsi="Book Antiqua" w:cs="Book Antiqua"/>
        </w:rPr>
      </w:pPr>
    </w:p>
    <w:p w14:paraId="233A1962" w14:textId="77777777" w:rsidR="0003522D" w:rsidRPr="00BB734F" w:rsidRDefault="00000000">
      <w:pPr>
        <w:adjustRightInd w:val="0"/>
        <w:snapToGrid w:val="0"/>
        <w:spacing w:line="360" w:lineRule="auto"/>
        <w:jc w:val="both"/>
        <w:rPr>
          <w:rFonts w:ascii="Book Antiqua" w:hAnsi="Book Antiqua" w:cs="Book Antiqua"/>
          <w:i/>
          <w:iCs/>
        </w:rPr>
      </w:pPr>
      <w:r w:rsidRPr="00BB734F">
        <w:rPr>
          <w:rFonts w:ascii="Book Antiqua" w:eastAsia="Book Antiqua" w:hAnsi="Book Antiqua" w:cs="Book Antiqua"/>
          <w:b/>
          <w:bCs/>
          <w:i/>
          <w:iCs/>
          <w:color w:val="000000"/>
        </w:rPr>
        <w:t>Image analysis</w:t>
      </w:r>
    </w:p>
    <w:p w14:paraId="06EC820C"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MRI image evaluation was mainly based on bone marrow edema, joint effusion, and cartilage collapse. Besides, acetabular coverage indicators including acetabular anteversion of the superior acetabulum, acetabular anteversion of the center of the acetabulum (AVcen), anterior acetabular sector angle (AASA), posterior acetabular sector angle (PASA), superior acetabular sector angle (SASA), NSA</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inferior iliac angle (IIA), and ischiopubic angle were measured three times by two observers</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independently and blindly (Figure 1).</w:t>
      </w:r>
    </w:p>
    <w:p w14:paraId="3A45B7BD" w14:textId="77777777" w:rsidR="0003522D" w:rsidRPr="00BB734F" w:rsidRDefault="0003522D">
      <w:pPr>
        <w:adjustRightInd w:val="0"/>
        <w:snapToGrid w:val="0"/>
        <w:spacing w:line="360" w:lineRule="auto"/>
        <w:jc w:val="both"/>
        <w:rPr>
          <w:rFonts w:ascii="Book Antiqua" w:hAnsi="Book Antiqua" w:cs="Book Antiqua"/>
        </w:rPr>
      </w:pPr>
    </w:p>
    <w:p w14:paraId="1FA69C0A" w14:textId="77777777" w:rsidR="0003522D" w:rsidRPr="00BB734F" w:rsidRDefault="00000000">
      <w:pPr>
        <w:adjustRightInd w:val="0"/>
        <w:snapToGrid w:val="0"/>
        <w:spacing w:line="360" w:lineRule="auto"/>
        <w:jc w:val="both"/>
        <w:rPr>
          <w:rFonts w:ascii="Book Antiqua" w:hAnsi="Book Antiqua" w:cs="Book Antiqua"/>
          <w:i/>
          <w:iCs/>
        </w:rPr>
      </w:pPr>
      <w:r w:rsidRPr="00BB734F">
        <w:rPr>
          <w:rFonts w:ascii="Book Antiqua" w:eastAsia="Book Antiqua" w:hAnsi="Book Antiqua" w:cs="Book Antiqua"/>
          <w:b/>
          <w:bCs/>
          <w:i/>
          <w:iCs/>
          <w:color w:val="000000"/>
        </w:rPr>
        <w:t>Statistical analysis</w:t>
      </w:r>
    </w:p>
    <w:p w14:paraId="55BCDEF5"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ONFH and SFFFH were defined as two elements. Then, binary logistic regression was performed to obtain the odds ratio (OR). Independent</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sample</w:t>
      </w:r>
      <w:r w:rsidRPr="00BB734F">
        <w:rPr>
          <w:rFonts w:ascii="Book Antiqua" w:eastAsia="宋体" w:hAnsi="Book Antiqua" w:cs="Book Antiqua"/>
          <w:color w:val="000000"/>
          <w:lang w:eastAsia="zh-CN"/>
        </w:rPr>
        <w:t>s</w:t>
      </w:r>
      <w:r w:rsidRPr="00BB734F">
        <w:rPr>
          <w:rFonts w:ascii="Book Antiqua" w:eastAsia="Book Antiqua" w:hAnsi="Book Antiqua" w:cs="Book Antiqua"/>
          <w:color w:val="000000"/>
        </w:rPr>
        <w:t xml:space="preserve"> </w:t>
      </w:r>
      <w:r w:rsidRPr="00BB734F">
        <w:rPr>
          <w:rFonts w:ascii="Book Antiqua" w:eastAsia="宋体" w:hAnsi="Book Antiqua" w:cs="Book Antiqua"/>
          <w:i/>
          <w:iCs/>
          <w:color w:val="000000"/>
          <w:lang w:eastAsia="zh-CN"/>
        </w:rPr>
        <w:t>t</w:t>
      </w:r>
      <w:r w:rsidRPr="00BB734F">
        <w:rPr>
          <w:rFonts w:ascii="Book Antiqua" w:eastAsia="Book Antiqua" w:hAnsi="Book Antiqua" w:cs="Book Antiqua"/>
          <w:color w:val="000000"/>
        </w:rPr>
        <w:t>-test was also performed. The statistical analys</w:t>
      </w:r>
      <w:r w:rsidRPr="00BB734F">
        <w:rPr>
          <w:rFonts w:ascii="Book Antiqua" w:eastAsia="宋体" w:hAnsi="Book Antiqua" w:cs="Book Antiqua"/>
          <w:color w:val="000000"/>
          <w:lang w:eastAsia="zh-CN"/>
        </w:rPr>
        <w:t>e</w:t>
      </w:r>
      <w:r w:rsidRPr="00BB734F">
        <w:rPr>
          <w:rFonts w:ascii="Book Antiqua" w:eastAsia="Book Antiqua" w:hAnsi="Book Antiqua" w:cs="Book Antiqua"/>
          <w:color w:val="000000"/>
        </w:rPr>
        <w:t>s and visualization were performed using the ‘rms’, ‘ggplot2’, ‘ggpubr’, ‘pROC’ packages of R studio (version 1.3.1093).</w:t>
      </w:r>
    </w:p>
    <w:p w14:paraId="49C2471A" w14:textId="77777777" w:rsidR="0003522D" w:rsidRPr="00BB734F" w:rsidRDefault="0003522D">
      <w:pPr>
        <w:adjustRightInd w:val="0"/>
        <w:snapToGrid w:val="0"/>
        <w:spacing w:line="360" w:lineRule="auto"/>
        <w:jc w:val="both"/>
        <w:rPr>
          <w:rFonts w:ascii="Book Antiqua" w:hAnsi="Book Antiqua" w:cs="Book Antiqua"/>
        </w:rPr>
      </w:pPr>
    </w:p>
    <w:p w14:paraId="3D2E9214"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caps/>
          <w:color w:val="000000"/>
          <w:u w:val="single"/>
        </w:rPr>
        <w:t>RESULTS</w:t>
      </w:r>
    </w:p>
    <w:p w14:paraId="3EA6D6BE" w14:textId="77777777" w:rsidR="0003522D" w:rsidRPr="00BB734F" w:rsidRDefault="00000000">
      <w:pPr>
        <w:adjustRightInd w:val="0"/>
        <w:snapToGrid w:val="0"/>
        <w:spacing w:line="360" w:lineRule="auto"/>
        <w:jc w:val="both"/>
        <w:rPr>
          <w:rFonts w:ascii="Book Antiqua" w:hAnsi="Book Antiqua" w:cs="Book Antiqua"/>
          <w:i/>
          <w:iCs/>
        </w:rPr>
      </w:pPr>
      <w:r w:rsidRPr="00BB734F">
        <w:rPr>
          <w:rFonts w:ascii="Book Antiqua" w:eastAsia="Book Antiqua" w:hAnsi="Book Antiqua" w:cs="Book Antiqua"/>
          <w:b/>
          <w:bCs/>
          <w:i/>
          <w:iCs/>
          <w:color w:val="000000"/>
        </w:rPr>
        <w:t>Characteristics of SFFFH</w:t>
      </w:r>
    </w:p>
    <w:p w14:paraId="218909D2"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Based on the radiograph</w:t>
      </w:r>
      <w:r w:rsidRPr="00BB734F">
        <w:rPr>
          <w:rFonts w:ascii="Book Antiqua" w:eastAsia="宋体" w:hAnsi="Book Antiqua" w:cs="Book Antiqua"/>
          <w:color w:val="000000"/>
          <w:lang w:eastAsia="zh-CN"/>
        </w:rPr>
        <w:t>s</w:t>
      </w:r>
      <w:r w:rsidRPr="00BB734F">
        <w:rPr>
          <w:rFonts w:ascii="Book Antiqua" w:eastAsia="Book Antiqua" w:hAnsi="Book Antiqua" w:cs="Book Antiqua"/>
          <w:color w:val="000000"/>
        </w:rPr>
        <w:t xml:space="preserve"> of 98 SFFFH patients (108 hips), subchondral fracture lines could be found in 95 hips (88.0%), collapsed bone loss could be found in 52</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(48.1%), and sclerotic margin below the fracture lines could be seen in 61</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(56.5%). Furthermore, there were 41 hips (38.0%) with mismatched head and mortar and 19 (17.6%) with degenerative change. Figure 2</w:t>
      </w:r>
      <w:r w:rsidRPr="00BB734F">
        <w:rPr>
          <w:rFonts w:ascii="Book Antiqua" w:eastAsia="宋体" w:hAnsi="Book Antiqua" w:cs="Book Antiqua"/>
          <w:color w:val="000000"/>
          <w:lang w:eastAsia="zh-CN"/>
        </w:rPr>
        <w:t xml:space="preserve"> shows the</w:t>
      </w:r>
      <w:r w:rsidRPr="00BB734F">
        <w:rPr>
          <w:rFonts w:ascii="Book Antiqua" w:eastAsia="Book Antiqua" w:hAnsi="Book Antiqua" w:cs="Book Antiqua"/>
          <w:color w:val="000000"/>
        </w:rPr>
        <w:t xml:space="preserve"> radiographs of SFFFH patients</w:t>
      </w:r>
      <w:r w:rsidRPr="00BB734F">
        <w:rPr>
          <w:rFonts w:ascii="Book Antiqua" w:eastAsia="宋体" w:hAnsi="Book Antiqua" w:cs="Book Antiqua"/>
          <w:color w:val="000000"/>
          <w:lang w:eastAsia="zh-CN"/>
        </w:rPr>
        <w:t xml:space="preserve"> at </w:t>
      </w:r>
      <w:r w:rsidRPr="00BB734F">
        <w:rPr>
          <w:rFonts w:ascii="Book Antiqua" w:eastAsia="Book Antiqua" w:hAnsi="Book Antiqua" w:cs="Book Antiqua"/>
          <w:color w:val="000000"/>
        </w:rPr>
        <w:t>different stage</w:t>
      </w:r>
      <w:r w:rsidRPr="00BB734F">
        <w:rPr>
          <w:rFonts w:ascii="Book Antiqua" w:eastAsia="宋体" w:hAnsi="Book Antiqua" w:cs="Book Antiqua"/>
          <w:color w:val="000000"/>
          <w:lang w:eastAsia="zh-CN"/>
        </w:rPr>
        <w:t>s</w:t>
      </w:r>
      <w:r w:rsidRPr="00BB734F">
        <w:rPr>
          <w:rFonts w:ascii="Book Antiqua" w:eastAsia="Book Antiqua" w:hAnsi="Book Antiqua" w:cs="Book Antiqua"/>
          <w:color w:val="000000"/>
        </w:rPr>
        <w:t>. According to the results of</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 xml:space="preserve">MRI, all hips </w:t>
      </w:r>
      <w:r w:rsidRPr="00BB734F">
        <w:rPr>
          <w:rFonts w:ascii="Book Antiqua" w:eastAsia="宋体" w:hAnsi="Book Antiqua" w:cs="Book Antiqua"/>
          <w:color w:val="000000"/>
          <w:lang w:eastAsia="zh-CN"/>
        </w:rPr>
        <w:t>had</w:t>
      </w:r>
      <w:r w:rsidRPr="00BB734F">
        <w:rPr>
          <w:rFonts w:ascii="Book Antiqua" w:eastAsia="Book Antiqua" w:hAnsi="Book Antiqua" w:cs="Book Antiqua"/>
          <w:color w:val="000000"/>
        </w:rPr>
        <w:t xml:space="preserve"> bone marrow edema, and 96</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 xml:space="preserve">(88.9%) </w:t>
      </w:r>
      <w:r w:rsidRPr="00BB734F">
        <w:rPr>
          <w:rFonts w:ascii="Book Antiqua" w:eastAsia="宋体" w:hAnsi="Book Antiqua" w:cs="Book Antiqua"/>
          <w:color w:val="000000"/>
          <w:lang w:eastAsia="zh-CN"/>
        </w:rPr>
        <w:t>had</w:t>
      </w:r>
      <w:r w:rsidRPr="00BB734F">
        <w:rPr>
          <w:rFonts w:ascii="Book Antiqua" w:eastAsia="Book Antiqua" w:hAnsi="Book Antiqua" w:cs="Book Antiqua"/>
          <w:color w:val="000000"/>
        </w:rPr>
        <w:t xml:space="preserve"> joint effusion. All hips were identified with low signal and 94</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(87.0%) with discontinued cartilage in T2 weighted images.</w:t>
      </w:r>
    </w:p>
    <w:p w14:paraId="214A8C1E" w14:textId="77777777" w:rsidR="0003522D" w:rsidRPr="00BB734F" w:rsidRDefault="0003522D">
      <w:pPr>
        <w:adjustRightInd w:val="0"/>
        <w:snapToGrid w:val="0"/>
        <w:spacing w:line="360" w:lineRule="auto"/>
        <w:jc w:val="both"/>
        <w:rPr>
          <w:rFonts w:ascii="Book Antiqua" w:hAnsi="Book Antiqua" w:cs="Book Antiqua"/>
        </w:rPr>
      </w:pPr>
    </w:p>
    <w:p w14:paraId="43EE11AC" w14:textId="77777777" w:rsidR="0003522D" w:rsidRPr="00BB734F" w:rsidRDefault="00000000">
      <w:pPr>
        <w:adjustRightInd w:val="0"/>
        <w:snapToGrid w:val="0"/>
        <w:spacing w:line="360" w:lineRule="auto"/>
        <w:jc w:val="both"/>
        <w:rPr>
          <w:rFonts w:ascii="Book Antiqua" w:hAnsi="Book Antiqua" w:cs="Book Antiqua"/>
          <w:i/>
          <w:iCs/>
        </w:rPr>
      </w:pPr>
      <w:r w:rsidRPr="00BB734F">
        <w:rPr>
          <w:rFonts w:ascii="Book Antiqua" w:eastAsia="Book Antiqua" w:hAnsi="Book Antiqua" w:cs="Book Antiqua"/>
          <w:b/>
          <w:bCs/>
          <w:i/>
          <w:iCs/>
          <w:color w:val="000000"/>
        </w:rPr>
        <w:t>Different appearances between SFFFH and ONFH</w:t>
      </w:r>
    </w:p>
    <w:p w14:paraId="1F28C4DC"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 xml:space="preserve">According to the baseline characteristics of 122 patients, we could </w:t>
      </w:r>
      <w:r w:rsidRPr="00BB734F">
        <w:rPr>
          <w:rFonts w:ascii="Book Antiqua" w:eastAsia="宋体" w:hAnsi="Book Antiqua" w:cs="Book Antiqua"/>
          <w:color w:val="000000"/>
          <w:lang w:eastAsia="zh-CN"/>
        </w:rPr>
        <w:t>find</w:t>
      </w:r>
      <w:r w:rsidRPr="00BB734F">
        <w:rPr>
          <w:rFonts w:ascii="Book Antiqua" w:eastAsia="Book Antiqua" w:hAnsi="Book Antiqua" w:cs="Book Antiqua"/>
          <w:color w:val="000000"/>
        </w:rPr>
        <w:t xml:space="preserve"> that SFFFH patients were younger and they got treatment much later than ONFH patients (Table 1). Most patients with SFFFH </w:t>
      </w:r>
      <w:r w:rsidRPr="00BB734F">
        <w:rPr>
          <w:rFonts w:ascii="Book Antiqua" w:eastAsia="宋体" w:hAnsi="Book Antiqua" w:cs="Book Antiqua"/>
          <w:color w:val="000000"/>
          <w:lang w:eastAsia="zh-CN"/>
        </w:rPr>
        <w:t xml:space="preserve">were </w:t>
      </w:r>
      <w:r w:rsidRPr="00BB734F">
        <w:rPr>
          <w:rFonts w:ascii="Book Antiqua" w:eastAsia="Book Antiqua" w:hAnsi="Book Antiqua" w:cs="Book Antiqua"/>
          <w:color w:val="000000"/>
        </w:rPr>
        <w:t xml:space="preserve">treated later than those with ONFH. And most ONFH patients but none of the SFFFH patients had </w:t>
      </w:r>
      <w:r w:rsidRPr="00BB734F">
        <w:rPr>
          <w:rFonts w:ascii="Book Antiqua" w:eastAsia="宋体" w:hAnsi="Book Antiqua" w:cs="Book Antiqua"/>
          <w:color w:val="000000"/>
          <w:lang w:eastAsia="zh-CN"/>
        </w:rPr>
        <w:t xml:space="preserve">a </w:t>
      </w:r>
      <w:r w:rsidRPr="00BB734F">
        <w:rPr>
          <w:rFonts w:ascii="Book Antiqua" w:eastAsia="Book Antiqua" w:hAnsi="Book Antiqua" w:cs="Book Antiqua"/>
          <w:color w:val="000000"/>
        </w:rPr>
        <w:t>histor</w:t>
      </w:r>
      <w:r w:rsidRPr="00BB734F">
        <w:rPr>
          <w:rFonts w:ascii="Book Antiqua" w:eastAsia="宋体" w:hAnsi="Book Antiqua" w:cs="Book Antiqua"/>
          <w:color w:val="000000"/>
          <w:lang w:eastAsia="zh-CN"/>
        </w:rPr>
        <w:t xml:space="preserve">y </w:t>
      </w:r>
      <w:r w:rsidRPr="00BB734F">
        <w:rPr>
          <w:rFonts w:ascii="Book Antiqua" w:eastAsia="Book Antiqua" w:hAnsi="Book Antiqua" w:cs="Book Antiqua"/>
          <w:color w:val="000000"/>
        </w:rPr>
        <w:t>of glucocorticoid or alcoholism. Besides, unlike</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ONFH that</w:t>
      </w:r>
      <w:r w:rsidRPr="00BB734F">
        <w:rPr>
          <w:rFonts w:ascii="Book Antiqua" w:eastAsia="宋体" w:hAnsi="Book Antiqua" w:cs="Book Antiqua"/>
          <w:color w:val="000000"/>
          <w:lang w:eastAsia="zh-CN"/>
        </w:rPr>
        <w:t xml:space="preserve"> mostly</w:t>
      </w:r>
      <w:r w:rsidRPr="00BB734F">
        <w:rPr>
          <w:rFonts w:ascii="Book Antiqua" w:eastAsia="Book Antiqua" w:hAnsi="Book Antiqua" w:cs="Book Antiqua"/>
          <w:color w:val="000000"/>
        </w:rPr>
        <w:t xml:space="preserve"> affects bilateral hip joints, SFFFH often involves unilateral hip joints. And SFFFH was more likely to </w:t>
      </w:r>
      <w:r w:rsidRPr="00BB734F">
        <w:rPr>
          <w:rFonts w:ascii="Book Antiqua" w:eastAsia="宋体" w:hAnsi="Book Antiqua" w:cs="Book Antiqua"/>
          <w:color w:val="000000"/>
          <w:lang w:eastAsia="zh-CN"/>
        </w:rPr>
        <w:t>have</w:t>
      </w:r>
      <w:r w:rsidRPr="00BB734F">
        <w:rPr>
          <w:rFonts w:ascii="Book Antiqua" w:eastAsia="Book Antiqua" w:hAnsi="Book Antiqua" w:cs="Book Antiqua"/>
          <w:color w:val="000000"/>
        </w:rPr>
        <w:t xml:space="preserve"> collapse of</w:t>
      </w:r>
      <w:r w:rsidRPr="00BB734F">
        <w:rPr>
          <w:rFonts w:ascii="Book Antiqua" w:eastAsia="宋体" w:hAnsi="Book Antiqua" w:cs="Book Antiqua"/>
          <w:color w:val="000000"/>
          <w:lang w:eastAsia="zh-CN"/>
        </w:rPr>
        <w:t xml:space="preserve"> the</w:t>
      </w:r>
      <w:r w:rsidRPr="00BB734F">
        <w:rPr>
          <w:rFonts w:ascii="Book Antiqua" w:eastAsia="Book Antiqua" w:hAnsi="Book Antiqua" w:cs="Book Antiqua"/>
          <w:color w:val="000000"/>
        </w:rPr>
        <w:t xml:space="preserve"> femoral head than ONFH. We show a</w:t>
      </w:r>
      <w:r w:rsidRPr="00BB734F">
        <w:rPr>
          <w:rFonts w:ascii="Book Antiqua" w:eastAsia="宋体" w:hAnsi="Book Antiqua" w:cs="Book Antiqua"/>
          <w:color w:val="000000"/>
          <w:lang w:eastAsia="zh-CN"/>
        </w:rPr>
        <w:t xml:space="preserve"> 19-year-old</w:t>
      </w:r>
      <w:r w:rsidRPr="00BB734F">
        <w:rPr>
          <w:rFonts w:ascii="Book Antiqua" w:eastAsia="Book Antiqua" w:hAnsi="Book Antiqua" w:cs="Book Antiqua"/>
          <w:color w:val="000000"/>
        </w:rPr>
        <w:t xml:space="preserve"> SFFFH</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soldier who complained of right hip pain for 3 wk (Figure 3A-D)</w:t>
      </w:r>
      <w:r w:rsidRPr="00BB734F">
        <w:rPr>
          <w:rFonts w:ascii="Book Antiqua" w:eastAsia="宋体" w:hAnsi="Book Antiqua" w:cs="Book Antiqua"/>
          <w:color w:val="000000"/>
          <w:lang w:eastAsia="zh-CN"/>
        </w:rPr>
        <w:t xml:space="preserve"> and a 35-year-old </w:t>
      </w:r>
      <w:r w:rsidRPr="00BB734F">
        <w:rPr>
          <w:rFonts w:ascii="Book Antiqua" w:eastAsia="Book Antiqua" w:hAnsi="Book Antiqua" w:cs="Book Antiqua"/>
          <w:color w:val="000000"/>
        </w:rPr>
        <w:t xml:space="preserve">ONFH patient </w:t>
      </w:r>
      <w:r w:rsidRPr="00BB734F">
        <w:rPr>
          <w:rFonts w:ascii="Book Antiqua" w:eastAsia="宋体" w:hAnsi="Book Antiqua" w:cs="Book Antiqua"/>
          <w:color w:val="000000"/>
          <w:lang w:eastAsia="zh-CN"/>
        </w:rPr>
        <w:t>who</w:t>
      </w:r>
      <w:r w:rsidRPr="00BB734F">
        <w:rPr>
          <w:rFonts w:ascii="Book Antiqua" w:eastAsia="Book Antiqua" w:hAnsi="Book Antiqua" w:cs="Book Antiqua"/>
          <w:color w:val="000000"/>
        </w:rPr>
        <w:t xml:space="preserve"> complained of left hip pain for 6 mo (Figure 3E-H). There was a resemblance between SFFFH and ONFH in the radiographs. Subchondral fracture lines could be found on both patients’ femoral heads (Figure 3A and E). The necrotic zone could be vaguely found on the second patient’s femoral head (Figure 3E). More different appearances could be seen from MRI images. T1</w:t>
      </w:r>
      <w:r w:rsidRPr="00BB734F">
        <w:rPr>
          <w:rFonts w:ascii="Book Antiqua" w:eastAsia="宋体" w:hAnsi="Book Antiqua" w:cs="Book Antiqua"/>
          <w:color w:val="000000"/>
          <w:lang w:eastAsia="zh-CN"/>
        </w:rPr>
        <w:t>-</w:t>
      </w:r>
      <w:r w:rsidRPr="00BB734F">
        <w:rPr>
          <w:rFonts w:ascii="Book Antiqua" w:eastAsia="Book Antiqua" w:hAnsi="Book Antiqua" w:cs="Book Antiqua"/>
          <w:color w:val="000000"/>
        </w:rPr>
        <w:t>weighted images showed that the hypointense signal was found on the SFFFH patient’s femoral head while an uneven signal was found on the ONFH patient’s whole femoral head (Figure 3B, C, F</w:t>
      </w:r>
      <w:r w:rsidRPr="00BB734F">
        <w:rPr>
          <w:rFonts w:ascii="Book Antiqua" w:eastAsia="宋体" w:hAnsi="Book Antiqua" w:cs="Book Antiqua"/>
          <w:color w:val="000000"/>
          <w:lang w:eastAsia="zh-CN"/>
        </w:rPr>
        <w:t>,</w:t>
      </w:r>
      <w:r w:rsidRPr="00BB734F">
        <w:rPr>
          <w:rFonts w:ascii="Book Antiqua" w:eastAsia="Book Antiqua" w:hAnsi="Book Antiqua" w:cs="Book Antiqua"/>
          <w:color w:val="000000"/>
        </w:rPr>
        <w:t xml:space="preserve"> and G). T2</w:t>
      </w:r>
      <w:r w:rsidRPr="00BB734F">
        <w:rPr>
          <w:rFonts w:ascii="Book Antiqua" w:eastAsia="宋体" w:hAnsi="Book Antiqua" w:cs="Book Antiqua"/>
          <w:color w:val="000000"/>
          <w:lang w:eastAsia="zh-CN"/>
        </w:rPr>
        <w:t>-</w:t>
      </w:r>
      <w:r w:rsidRPr="00BB734F">
        <w:rPr>
          <w:rFonts w:ascii="Book Antiqua" w:eastAsia="Book Antiqua" w:hAnsi="Book Antiqua" w:cs="Book Antiqua"/>
          <w:color w:val="000000"/>
        </w:rPr>
        <w:t xml:space="preserve">weighted images demonstrated that </w:t>
      </w:r>
      <w:r w:rsidRPr="00BB734F">
        <w:rPr>
          <w:rFonts w:ascii="Book Antiqua" w:eastAsia="Book Antiqua" w:hAnsi="Book Antiqua" w:cs="Book Antiqua"/>
          <w:color w:val="000000"/>
        </w:rPr>
        <w:lastRenderedPageBreak/>
        <w:t>effusion appeared around the fracture line of the SFFFH patient while double line sign and cystic lesions arose on the ONFH patient’s femoral head (Figure 3D and H).</w:t>
      </w:r>
    </w:p>
    <w:p w14:paraId="7A14E96F" w14:textId="77777777" w:rsidR="0003522D" w:rsidRPr="00BB734F" w:rsidRDefault="0003522D">
      <w:pPr>
        <w:adjustRightInd w:val="0"/>
        <w:snapToGrid w:val="0"/>
        <w:spacing w:line="360" w:lineRule="auto"/>
        <w:jc w:val="both"/>
        <w:rPr>
          <w:rFonts w:ascii="Book Antiqua" w:hAnsi="Book Antiqua" w:cs="Book Antiqua"/>
        </w:rPr>
      </w:pPr>
    </w:p>
    <w:p w14:paraId="0F4C4C66" w14:textId="77777777" w:rsidR="0003522D" w:rsidRPr="00BB734F" w:rsidRDefault="00000000">
      <w:pPr>
        <w:adjustRightInd w:val="0"/>
        <w:snapToGrid w:val="0"/>
        <w:spacing w:line="360" w:lineRule="auto"/>
        <w:jc w:val="both"/>
        <w:rPr>
          <w:rFonts w:ascii="Book Antiqua" w:hAnsi="Book Antiqua" w:cs="Book Antiqua"/>
          <w:i/>
          <w:iCs/>
        </w:rPr>
      </w:pPr>
      <w:r w:rsidRPr="00BB734F">
        <w:rPr>
          <w:rFonts w:ascii="Book Antiqua" w:eastAsia="Book Antiqua" w:hAnsi="Book Antiqua" w:cs="Book Antiqua"/>
          <w:b/>
          <w:bCs/>
          <w:i/>
          <w:iCs/>
          <w:color w:val="000000"/>
        </w:rPr>
        <w:t xml:space="preserve">Risk factors </w:t>
      </w:r>
      <w:r w:rsidRPr="00BB734F">
        <w:rPr>
          <w:rFonts w:ascii="Book Antiqua" w:eastAsia="宋体" w:hAnsi="Book Antiqua" w:cs="Book Antiqua"/>
          <w:b/>
          <w:bCs/>
          <w:i/>
          <w:iCs/>
          <w:color w:val="000000"/>
          <w:lang w:eastAsia="zh-CN"/>
        </w:rPr>
        <w:t>for</w:t>
      </w:r>
      <w:r w:rsidRPr="00BB734F">
        <w:rPr>
          <w:rFonts w:ascii="Book Antiqua" w:eastAsia="Book Antiqua" w:hAnsi="Book Antiqua" w:cs="Book Antiqua"/>
          <w:b/>
          <w:bCs/>
          <w:i/>
          <w:iCs/>
          <w:color w:val="000000"/>
        </w:rPr>
        <w:t xml:space="preserve"> SFFFH</w:t>
      </w:r>
    </w:p>
    <w:p w14:paraId="7D1BAF4E"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宋体" w:hAnsi="Book Antiqua" w:cs="Book Antiqua"/>
          <w:color w:val="000000"/>
          <w:lang w:eastAsia="zh-CN"/>
        </w:rPr>
        <w:t xml:space="preserve">A total of </w:t>
      </w:r>
      <w:r w:rsidRPr="00BB734F">
        <w:rPr>
          <w:rFonts w:ascii="Book Antiqua" w:eastAsia="Book Antiqua" w:hAnsi="Book Antiqua" w:cs="Book Antiqua"/>
          <w:color w:val="000000"/>
        </w:rPr>
        <w:t xml:space="preserve">98 SFFFH patients (108 hips) and 24 ONFH patients (39 hips) were included. All patients participated in a basic-training program that included forced marching with a back-pack, double-time marching, and martial arts. No patient had a history of trauma. Based on the results of logistic regression, we found that age [OR: 1.33; </w:t>
      </w:r>
      <w:r w:rsidRPr="00BB734F">
        <w:rPr>
          <w:rFonts w:ascii="Book Antiqua" w:eastAsia="Book Antiqua" w:hAnsi="Book Antiqua" w:cs="Book Antiqua"/>
        </w:rPr>
        <w:t>95% confidence interval (95%CI)</w:t>
      </w:r>
      <w:r w:rsidRPr="00BB734F">
        <w:rPr>
          <w:rFonts w:ascii="Book Antiqua" w:eastAsia="Book Antiqua" w:hAnsi="Book Antiqua" w:cs="Book Antiqua"/>
          <w:color w:val="000000"/>
        </w:rPr>
        <w:t xml:space="preserve">: 1.12-1.65; </w:t>
      </w:r>
      <w:r w:rsidRPr="00BB734F">
        <w:rPr>
          <w:rFonts w:ascii="Book Antiqua" w:eastAsia="Book Antiqua" w:hAnsi="Book Antiqua" w:cs="Book Antiqua"/>
          <w:i/>
          <w:iCs/>
          <w:color w:val="000000"/>
        </w:rPr>
        <w:t>P</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 xml:space="preserve">= 0.0031] and treatment timing (OR: 0.86; 95%CI: 0.75-0.96; </w:t>
      </w:r>
      <w:r w:rsidRPr="00BB734F">
        <w:rPr>
          <w:rFonts w:ascii="Book Antiqua" w:eastAsia="Book Antiqua" w:hAnsi="Book Antiqua" w:cs="Book Antiqua"/>
          <w:i/>
          <w:iCs/>
          <w:color w:val="000000"/>
        </w:rPr>
        <w:t>P</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 xml:space="preserve">= 0.015) could be considered as the indicators </w:t>
      </w:r>
      <w:r w:rsidRPr="00BB734F">
        <w:rPr>
          <w:rFonts w:ascii="Book Antiqua" w:eastAsia="宋体" w:hAnsi="Book Antiqua" w:cs="Book Antiqua"/>
          <w:lang w:eastAsia="zh-CN"/>
        </w:rPr>
        <w:t xml:space="preserve">for </w:t>
      </w:r>
      <w:r w:rsidRPr="00BB734F">
        <w:rPr>
          <w:rFonts w:ascii="Book Antiqua" w:eastAsia="Book Antiqua" w:hAnsi="Book Antiqua" w:cs="Book Antiqua"/>
        </w:rPr>
        <w:t>SFFFH</w:t>
      </w:r>
      <w:r w:rsidRPr="00BB734F">
        <w:rPr>
          <w:rFonts w:ascii="Book Antiqua" w:eastAsia="宋体" w:hAnsi="Book Antiqua" w:cs="Book Antiqua"/>
          <w:lang w:eastAsia="zh-CN"/>
        </w:rPr>
        <w:t xml:space="preserve"> </w:t>
      </w:r>
      <w:r w:rsidRPr="00BB734F">
        <w:rPr>
          <w:rFonts w:ascii="Book Antiqua" w:eastAsia="Book Antiqua" w:hAnsi="Book Antiqua" w:cs="Book Antiqua"/>
          <w:color w:val="000000"/>
        </w:rPr>
        <w:t>(Figure 4). Besides, AVcen (</w:t>
      </w:r>
      <w:r w:rsidRPr="00BB734F">
        <w:rPr>
          <w:rFonts w:ascii="Book Antiqua" w:eastAsia="Book Antiqua" w:hAnsi="Book Antiqua" w:cs="Book Antiqua"/>
          <w:i/>
          <w:iCs/>
          <w:color w:val="000000"/>
        </w:rPr>
        <w:t>P</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 0.0334), AASA (</w:t>
      </w:r>
      <w:r w:rsidRPr="00BB734F">
        <w:rPr>
          <w:rFonts w:ascii="Book Antiqua" w:eastAsia="Book Antiqua" w:hAnsi="Book Antiqua" w:cs="Book Antiqua"/>
          <w:i/>
          <w:iCs/>
          <w:color w:val="000000"/>
        </w:rPr>
        <w:t>P</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 0.0002), NSA (</w:t>
      </w:r>
      <w:r w:rsidRPr="00BB734F">
        <w:rPr>
          <w:rFonts w:ascii="Book Antiqua" w:eastAsia="Book Antiqua" w:hAnsi="Book Antiqua" w:cs="Book Antiqua"/>
          <w:i/>
          <w:iCs/>
          <w:color w:val="000000"/>
        </w:rPr>
        <w:t>P</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 xml:space="preserve">= 0.0007), </w:t>
      </w:r>
      <w:r w:rsidRPr="00BB734F">
        <w:rPr>
          <w:rFonts w:ascii="Book Antiqua" w:eastAsia="宋体" w:hAnsi="Book Antiqua" w:cs="Book Antiqua"/>
          <w:color w:val="000000"/>
          <w:lang w:eastAsia="zh-CN"/>
        </w:rPr>
        <w:t xml:space="preserve">and </w:t>
      </w:r>
      <w:r w:rsidRPr="00BB734F">
        <w:rPr>
          <w:rFonts w:ascii="Book Antiqua" w:eastAsia="Book Antiqua" w:hAnsi="Book Antiqua" w:cs="Book Antiqua"/>
          <w:color w:val="000000"/>
        </w:rPr>
        <w:t>IIA (</w:t>
      </w:r>
      <w:r w:rsidRPr="00BB734F">
        <w:rPr>
          <w:rFonts w:ascii="Book Antiqua" w:eastAsia="Book Antiqua" w:hAnsi="Book Antiqua" w:cs="Book Antiqua"/>
          <w:i/>
          <w:iCs/>
          <w:color w:val="000000"/>
        </w:rPr>
        <w:t>P</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 xml:space="preserve">= 0.0316) were considered to </w:t>
      </w:r>
      <w:r w:rsidRPr="00BB734F">
        <w:rPr>
          <w:rFonts w:ascii="Book Antiqua" w:eastAsia="宋体" w:hAnsi="Book Antiqua" w:cs="Book Antiqua"/>
          <w:color w:val="000000"/>
          <w:lang w:eastAsia="zh-CN"/>
        </w:rPr>
        <w:t>have</w:t>
      </w:r>
      <w:r w:rsidRPr="00BB734F">
        <w:rPr>
          <w:rFonts w:ascii="Book Antiqua" w:eastAsia="Book Antiqua" w:hAnsi="Book Antiqua" w:cs="Book Antiqua"/>
          <w:color w:val="000000"/>
        </w:rPr>
        <w:t xml:space="preserve"> statistical significance (Figure 5). Further, AVcen (OR: 1.41; 95%CI: 1.04-1.95) and AASA (OR: 1.44; 95%CI: 1.21-1.77) should be paid much more attention due to the higher OR than other indicators. We constructed receiver operating characteristic curves to </w:t>
      </w:r>
      <w:r w:rsidRPr="00BB734F">
        <w:rPr>
          <w:rFonts w:ascii="Book Antiqua" w:eastAsia="宋体" w:hAnsi="Book Antiqua" w:cs="Book Antiqua"/>
          <w:color w:val="000000"/>
          <w:lang w:eastAsia="zh-CN"/>
        </w:rPr>
        <w:t>assess the predictive performance of</w:t>
      </w:r>
      <w:r w:rsidRPr="00BB734F">
        <w:rPr>
          <w:rFonts w:ascii="Book Antiqua" w:eastAsia="Book Antiqua" w:hAnsi="Book Antiqua" w:cs="Book Antiqua"/>
          <w:color w:val="000000"/>
        </w:rPr>
        <w:t xml:space="preserve"> AVcen and AASA</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 xml:space="preserve">and </w:t>
      </w:r>
      <w:r w:rsidRPr="00BB734F">
        <w:rPr>
          <w:rFonts w:ascii="Book Antiqua" w:eastAsia="宋体" w:hAnsi="Book Antiqua" w:cs="Book Antiqua"/>
          <w:color w:val="000000"/>
          <w:lang w:eastAsia="zh-CN"/>
        </w:rPr>
        <w:t>found</w:t>
      </w:r>
      <w:r w:rsidRPr="00BB734F">
        <w:rPr>
          <w:rFonts w:ascii="Book Antiqua" w:eastAsia="Book Antiqua" w:hAnsi="Book Antiqua" w:cs="Book Antiqua"/>
          <w:color w:val="000000"/>
        </w:rPr>
        <w:t xml:space="preserve"> that the area under </w:t>
      </w:r>
      <w:r w:rsidRPr="00BB734F">
        <w:rPr>
          <w:rFonts w:ascii="Book Antiqua" w:eastAsia="宋体" w:hAnsi="Book Antiqua" w:cs="Book Antiqua"/>
          <w:color w:val="000000"/>
          <w:lang w:eastAsia="zh-CN"/>
        </w:rPr>
        <w:t xml:space="preserve">the </w:t>
      </w:r>
      <w:r w:rsidRPr="00BB734F">
        <w:rPr>
          <w:rFonts w:ascii="Book Antiqua" w:eastAsia="Book Antiqua" w:hAnsi="Book Antiqua" w:cs="Book Antiqua"/>
          <w:color w:val="000000"/>
        </w:rPr>
        <w:t>curve was 66.6% and 55.7%</w:t>
      </w:r>
      <w:r w:rsidRPr="00BB734F">
        <w:rPr>
          <w:rFonts w:ascii="Book Antiqua" w:eastAsia="宋体" w:hAnsi="Book Antiqua" w:cs="Book Antiqua"/>
          <w:color w:val="000000"/>
          <w:lang w:eastAsia="zh-CN"/>
        </w:rPr>
        <w:t>,</w:t>
      </w:r>
      <w:r w:rsidRPr="00BB734F">
        <w:rPr>
          <w:rFonts w:ascii="Book Antiqua" w:eastAsia="Book Antiqua" w:hAnsi="Book Antiqua" w:cs="Book Antiqua"/>
          <w:color w:val="000000"/>
        </w:rPr>
        <w:t xml:space="preserve"> respectively, which means </w:t>
      </w:r>
      <w:r w:rsidRPr="00BB734F">
        <w:rPr>
          <w:rFonts w:ascii="Book Antiqua" w:eastAsia="宋体" w:hAnsi="Book Antiqua" w:cs="Book Antiqua"/>
          <w:color w:val="000000"/>
          <w:lang w:eastAsia="zh-CN"/>
        </w:rPr>
        <w:t xml:space="preserve">that </w:t>
      </w:r>
      <w:r w:rsidRPr="00BB734F">
        <w:rPr>
          <w:rFonts w:ascii="Book Antiqua" w:eastAsia="Book Antiqua" w:hAnsi="Book Antiqua" w:cs="Book Antiqua"/>
          <w:color w:val="000000"/>
        </w:rPr>
        <w:t>AASA had more predictive significance (Figure 6). Combin</w:t>
      </w:r>
      <w:r w:rsidRPr="00BB734F">
        <w:rPr>
          <w:rFonts w:ascii="Book Antiqua" w:eastAsia="宋体" w:hAnsi="Book Antiqua" w:cs="Book Antiqua"/>
          <w:color w:val="000000"/>
          <w:lang w:eastAsia="zh-CN"/>
        </w:rPr>
        <w:t>ed</w:t>
      </w:r>
      <w:r w:rsidRPr="00BB734F">
        <w:rPr>
          <w:rFonts w:ascii="Book Antiqua" w:eastAsia="Book Antiqua" w:hAnsi="Book Antiqua" w:cs="Book Antiqua"/>
          <w:color w:val="000000"/>
        </w:rPr>
        <w:t xml:space="preserve"> with the results of independent samples </w:t>
      </w:r>
      <w:r w:rsidRPr="00BB734F">
        <w:rPr>
          <w:rFonts w:ascii="Book Antiqua" w:eastAsia="宋体" w:hAnsi="Book Antiqua" w:cs="Book Antiqua"/>
          <w:i/>
          <w:iCs/>
          <w:color w:val="000000"/>
          <w:lang w:eastAsia="zh-CN"/>
        </w:rPr>
        <w:t>t</w:t>
      </w:r>
      <w:r w:rsidRPr="00BB734F">
        <w:rPr>
          <w:rFonts w:ascii="Book Antiqua" w:eastAsia="Book Antiqua" w:hAnsi="Book Antiqua" w:cs="Book Antiqua"/>
          <w:color w:val="000000"/>
        </w:rPr>
        <w:t xml:space="preserve">-test, we indicated that </w:t>
      </w:r>
      <w:r w:rsidRPr="00BB734F">
        <w:rPr>
          <w:rFonts w:ascii="Book Antiqua" w:eastAsia="宋体" w:hAnsi="Book Antiqua" w:cs="Book Antiqua"/>
          <w:color w:val="000000"/>
          <w:lang w:eastAsia="zh-CN"/>
        </w:rPr>
        <w:t xml:space="preserve">the </w:t>
      </w:r>
      <w:r w:rsidRPr="00BB734F">
        <w:rPr>
          <w:rFonts w:ascii="Book Antiqua" w:eastAsia="Book Antiqua" w:hAnsi="Book Antiqua" w:cs="Book Antiqua"/>
          <w:color w:val="000000"/>
        </w:rPr>
        <w:t xml:space="preserve">AASA of SFFFH was smaller than </w:t>
      </w:r>
      <w:r w:rsidRPr="00BB734F">
        <w:rPr>
          <w:rFonts w:ascii="Book Antiqua" w:eastAsia="宋体" w:hAnsi="Book Antiqua" w:cs="Book Antiqua"/>
          <w:color w:val="000000"/>
          <w:lang w:eastAsia="zh-CN"/>
        </w:rPr>
        <w:t>that</w:t>
      </w:r>
      <w:r w:rsidRPr="00BB734F">
        <w:rPr>
          <w:rFonts w:ascii="Book Antiqua" w:eastAsia="Book Antiqua" w:hAnsi="Book Antiqua" w:cs="Book Antiqua"/>
          <w:color w:val="000000"/>
        </w:rPr>
        <w:t xml:space="preserve"> of ONFH (Figure 7, Table 2).</w:t>
      </w:r>
    </w:p>
    <w:p w14:paraId="2A2143C4" w14:textId="77777777" w:rsidR="0003522D" w:rsidRPr="00BB734F" w:rsidRDefault="0003522D">
      <w:pPr>
        <w:adjustRightInd w:val="0"/>
        <w:snapToGrid w:val="0"/>
        <w:spacing w:line="360" w:lineRule="auto"/>
        <w:jc w:val="both"/>
        <w:rPr>
          <w:rFonts w:ascii="Book Antiqua" w:hAnsi="Book Antiqua" w:cs="Book Antiqua"/>
        </w:rPr>
      </w:pPr>
    </w:p>
    <w:p w14:paraId="59317691"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caps/>
          <w:color w:val="000000"/>
          <w:u w:val="single"/>
        </w:rPr>
        <w:t>DISCUSSION</w:t>
      </w:r>
    </w:p>
    <w:p w14:paraId="599E73A3"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 xml:space="preserve">SIFFH was considered </w:t>
      </w:r>
      <w:r w:rsidRPr="00BB734F">
        <w:rPr>
          <w:rFonts w:ascii="Book Antiqua" w:eastAsia="宋体" w:hAnsi="Book Antiqua" w:cs="Book Antiqua"/>
          <w:color w:val="000000"/>
          <w:lang w:eastAsia="zh-CN"/>
        </w:rPr>
        <w:t>a</w:t>
      </w:r>
      <w:r w:rsidRPr="00BB734F">
        <w:rPr>
          <w:rFonts w:ascii="Book Antiqua" w:eastAsia="Book Antiqua" w:hAnsi="Book Antiqua" w:cs="Book Antiqua"/>
          <w:color w:val="000000"/>
        </w:rPr>
        <w:t xml:space="preserve"> kind of pathological fracture due to poor bone quality, which is a disease predominantly affecting elderly patients. Currently, labral tears</w:t>
      </w:r>
      <w:r w:rsidRPr="00BB734F">
        <w:rPr>
          <w:rFonts w:ascii="Book Antiqua" w:eastAsia="Book Antiqua" w:hAnsi="Book Antiqua" w:cs="Book Antiqua"/>
          <w:color w:val="000000"/>
          <w:vertAlign w:val="superscript"/>
        </w:rPr>
        <w:t>[12]</w:t>
      </w:r>
      <w:r w:rsidRPr="00BB734F">
        <w:rPr>
          <w:rFonts w:ascii="Book Antiqua" w:eastAsia="Book Antiqua" w:hAnsi="Book Antiqua" w:cs="Book Antiqua"/>
          <w:color w:val="000000"/>
        </w:rPr>
        <w:t>, acetabular over-coverage</w:t>
      </w:r>
      <w:r w:rsidRPr="00BB734F">
        <w:rPr>
          <w:rFonts w:ascii="Book Antiqua" w:eastAsia="Book Antiqua" w:hAnsi="Book Antiqua" w:cs="Book Antiqua"/>
          <w:color w:val="000000"/>
          <w:vertAlign w:val="superscript"/>
        </w:rPr>
        <w:t>[13,14]</w:t>
      </w:r>
      <w:r w:rsidRPr="00BB734F">
        <w:rPr>
          <w:rFonts w:ascii="Book Antiqua" w:eastAsia="Book Antiqua" w:hAnsi="Book Antiqua" w:cs="Book Antiqua"/>
          <w:color w:val="000000"/>
        </w:rPr>
        <w:t>, and deficient anterior coverage of the acetabulum</w:t>
      </w:r>
      <w:r w:rsidRPr="00BB734F">
        <w:rPr>
          <w:rFonts w:ascii="Book Antiqua" w:eastAsia="Book Antiqua" w:hAnsi="Book Antiqua" w:cs="Book Antiqua"/>
          <w:color w:val="000000"/>
          <w:vertAlign w:val="superscript"/>
        </w:rPr>
        <w:t>[15,16]</w:t>
      </w:r>
      <w:r w:rsidRPr="00BB734F">
        <w:rPr>
          <w:rFonts w:ascii="Book Antiqua" w:eastAsia="Book Antiqua" w:hAnsi="Book Antiqua" w:cs="Book Antiqua"/>
          <w:color w:val="000000"/>
        </w:rPr>
        <w:t xml:space="preserve"> were considered the risk factors </w:t>
      </w:r>
      <w:r w:rsidRPr="00BB734F">
        <w:rPr>
          <w:rFonts w:ascii="Book Antiqua" w:eastAsia="宋体" w:hAnsi="Book Antiqua" w:cs="Book Antiqua"/>
          <w:color w:val="000000"/>
          <w:lang w:eastAsia="zh-CN"/>
        </w:rPr>
        <w:t>for</w:t>
      </w:r>
      <w:r w:rsidRPr="00BB734F">
        <w:rPr>
          <w:rFonts w:ascii="Book Antiqua" w:eastAsia="Book Antiqua" w:hAnsi="Book Antiqua" w:cs="Book Antiqua"/>
          <w:color w:val="000000"/>
        </w:rPr>
        <w:t xml:space="preserve"> SIFFH. Uchida </w:t>
      </w:r>
      <w:r w:rsidRPr="00BB734F">
        <w:rPr>
          <w:rFonts w:ascii="Book Antiqua" w:eastAsia="Book Antiqua" w:hAnsi="Book Antiqua" w:cs="Book Antiqua"/>
          <w:i/>
          <w:iCs/>
          <w:color w:val="000000"/>
        </w:rPr>
        <w:t>et al</w:t>
      </w:r>
      <w:r w:rsidRPr="00BB734F">
        <w:rPr>
          <w:rFonts w:ascii="Book Antiqua" w:eastAsia="Book Antiqua" w:hAnsi="Book Antiqua" w:cs="Book Antiqua"/>
          <w:color w:val="000000"/>
          <w:vertAlign w:val="superscript"/>
        </w:rPr>
        <w:t>[12]</w:t>
      </w:r>
      <w:r w:rsidRPr="00BB734F">
        <w:rPr>
          <w:rFonts w:ascii="Book Antiqua" w:eastAsia="Book Antiqua" w:hAnsi="Book Antiqua" w:cs="Book Antiqua"/>
          <w:color w:val="000000"/>
        </w:rPr>
        <w:t xml:space="preserve"> observed that the acetabular labr</w:t>
      </w:r>
      <w:r w:rsidRPr="00BB734F">
        <w:rPr>
          <w:rFonts w:ascii="Book Antiqua" w:eastAsia="宋体" w:hAnsi="Book Antiqua" w:cs="Book Antiqua"/>
          <w:color w:val="000000"/>
          <w:lang w:eastAsia="zh-CN"/>
        </w:rPr>
        <w:t>um</w:t>
      </w:r>
      <w:r w:rsidRPr="00BB734F">
        <w:rPr>
          <w:rFonts w:ascii="Book Antiqua" w:eastAsia="Book Antiqua" w:hAnsi="Book Antiqua" w:cs="Book Antiqua"/>
          <w:color w:val="000000"/>
        </w:rPr>
        <w:t xml:space="preserve"> of all </w:t>
      </w:r>
      <w:r w:rsidRPr="00BB734F">
        <w:rPr>
          <w:rFonts w:ascii="Book Antiqua" w:eastAsia="宋体" w:hAnsi="Book Antiqua" w:cs="Book Antiqua"/>
          <w:color w:val="000000"/>
          <w:lang w:eastAsia="zh-CN"/>
        </w:rPr>
        <w:t>nine</w:t>
      </w:r>
      <w:r w:rsidRPr="00BB734F">
        <w:rPr>
          <w:rFonts w:ascii="Book Antiqua" w:eastAsia="Book Antiqua" w:hAnsi="Book Antiqua" w:cs="Book Antiqua"/>
          <w:color w:val="000000"/>
        </w:rPr>
        <w:t xml:space="preserve"> SIFFH patients were torn </w:t>
      </w:r>
      <w:r w:rsidRPr="00BB734F">
        <w:rPr>
          <w:rFonts w:ascii="Book Antiqua" w:eastAsia="Book Antiqua" w:hAnsi="Book Antiqua" w:cs="Book Antiqua"/>
          <w:i/>
          <w:iCs/>
          <w:color w:val="000000"/>
        </w:rPr>
        <w:t>via</w:t>
      </w:r>
      <w:r w:rsidRPr="00BB734F">
        <w:rPr>
          <w:rFonts w:ascii="Book Antiqua" w:eastAsia="Book Antiqua" w:hAnsi="Book Antiqua" w:cs="Book Antiqua"/>
          <w:color w:val="000000"/>
        </w:rPr>
        <w:t xml:space="preserve"> hip arthroscopy. Acetabular over-coverage is one of the manifestations of pincer impingement</w:t>
      </w:r>
      <w:r w:rsidRPr="00BB734F">
        <w:rPr>
          <w:rFonts w:ascii="Book Antiqua" w:eastAsia="Book Antiqua" w:hAnsi="Book Antiqua" w:cs="Book Antiqua"/>
          <w:color w:val="000000"/>
          <w:vertAlign w:val="superscript"/>
        </w:rPr>
        <w:t>[17]</w:t>
      </w:r>
      <w:r w:rsidRPr="00BB734F">
        <w:rPr>
          <w:rFonts w:ascii="Book Antiqua" w:eastAsia="Book Antiqua" w:hAnsi="Book Antiqua" w:cs="Book Antiqua"/>
          <w:color w:val="000000"/>
        </w:rPr>
        <w:t xml:space="preserve"> and usually thought to have high morbidity of femoral acetabular impingement in youth</w:t>
      </w:r>
      <w:r w:rsidRPr="00BB734F">
        <w:rPr>
          <w:rFonts w:ascii="Book Antiqua" w:eastAsia="Book Antiqua" w:hAnsi="Book Antiqua" w:cs="Book Antiqua"/>
          <w:color w:val="000000"/>
          <w:vertAlign w:val="superscript"/>
        </w:rPr>
        <w:t>[18]</w:t>
      </w:r>
      <w:r w:rsidRPr="00BB734F">
        <w:rPr>
          <w:rFonts w:ascii="Book Antiqua" w:eastAsia="Book Antiqua" w:hAnsi="Book Antiqua" w:cs="Book Antiqua"/>
          <w:color w:val="000000"/>
        </w:rPr>
        <w:t xml:space="preserve">. However, Kimura </w:t>
      </w:r>
      <w:r w:rsidRPr="00BB734F">
        <w:rPr>
          <w:rFonts w:ascii="Book Antiqua" w:eastAsia="Book Antiqua" w:hAnsi="Book Antiqua" w:cs="Book Antiqua"/>
          <w:i/>
          <w:iCs/>
          <w:color w:val="000000"/>
        </w:rPr>
        <w:t>et al</w:t>
      </w:r>
      <w:r w:rsidRPr="00BB734F">
        <w:rPr>
          <w:rFonts w:ascii="Book Antiqua" w:eastAsia="Book Antiqua" w:hAnsi="Book Antiqua" w:cs="Book Antiqua"/>
          <w:color w:val="000000"/>
          <w:vertAlign w:val="superscript"/>
        </w:rPr>
        <w:t>[13]</w:t>
      </w:r>
      <w:r w:rsidRPr="00BB734F">
        <w:rPr>
          <w:rFonts w:ascii="Book Antiqua" w:eastAsia="Book Antiqua" w:hAnsi="Book Antiqua" w:cs="Book Antiqua"/>
          <w:color w:val="000000"/>
        </w:rPr>
        <w:t xml:space="preserve"> first reported a case of a 53-year-old woman with SIFFH due to acetabular over-</w:t>
      </w:r>
      <w:r w:rsidRPr="00BB734F">
        <w:rPr>
          <w:rFonts w:ascii="Book Antiqua" w:eastAsia="Book Antiqua" w:hAnsi="Book Antiqua" w:cs="Book Antiqua"/>
          <w:color w:val="000000"/>
        </w:rPr>
        <w:lastRenderedPageBreak/>
        <w:t>coverage.</w:t>
      </w:r>
      <w:r w:rsidRPr="00BB734F">
        <w:rPr>
          <w:rFonts w:ascii="Book Antiqua" w:eastAsia="Book Antiqua" w:hAnsi="Book Antiqua" w:cs="Book Antiqua"/>
          <w:color w:val="000000"/>
          <w:shd w:val="clear" w:color="auto" w:fill="FFFFFF"/>
        </w:rPr>
        <w:t xml:space="preserve"> The patient’s bone mineral density was relatively low (</w:t>
      </w:r>
      <w:r w:rsidRPr="00BB734F">
        <w:rPr>
          <w:rFonts w:ascii="Book Antiqua" w:eastAsia="Book Antiqua" w:hAnsi="Book Antiqua" w:cs="Book Antiqua"/>
          <w:i/>
          <w:iCs/>
          <w:color w:val="000000"/>
          <w:shd w:val="clear" w:color="auto" w:fill="FFFFFF"/>
        </w:rPr>
        <w:t>T</w:t>
      </w:r>
      <w:r w:rsidRPr="00BB734F">
        <w:rPr>
          <w:rFonts w:ascii="Book Antiqua" w:eastAsia="Book Antiqua" w:hAnsi="Book Antiqua" w:cs="Book Antiqua"/>
          <w:color w:val="000000"/>
          <w:shd w:val="clear" w:color="auto" w:fill="FFFFFF"/>
        </w:rPr>
        <w:t>-score: −1.3)</w:t>
      </w:r>
      <w:r w:rsidRPr="00BB734F">
        <w:rPr>
          <w:rFonts w:ascii="Book Antiqua" w:eastAsia="Book Antiqua" w:hAnsi="Book Antiqua" w:cs="Book Antiqua"/>
          <w:color w:val="000000"/>
          <w:vertAlign w:val="superscript"/>
        </w:rPr>
        <w:t>[13]</w:t>
      </w:r>
      <w:r w:rsidRPr="00BB734F">
        <w:rPr>
          <w:rFonts w:ascii="Book Antiqua" w:eastAsia="Book Antiqua" w:hAnsi="Book Antiqua" w:cs="Book Antiqua"/>
          <w:color w:val="000000"/>
        </w:rPr>
        <w:t xml:space="preserve">. The above previous studies were all based on insufficiency-type fractures but </w:t>
      </w:r>
      <w:r w:rsidRPr="00BB734F">
        <w:rPr>
          <w:rFonts w:ascii="Book Antiqua" w:eastAsia="宋体" w:hAnsi="Book Antiqua" w:cs="Book Antiqua"/>
          <w:color w:val="000000"/>
          <w:lang w:eastAsia="zh-CN"/>
        </w:rPr>
        <w:t>few studies</w:t>
      </w:r>
      <w:r w:rsidRPr="00BB734F">
        <w:rPr>
          <w:rFonts w:ascii="Book Antiqua" w:eastAsia="Book Antiqua" w:hAnsi="Book Antiqua" w:cs="Book Antiqua"/>
          <w:color w:val="000000"/>
        </w:rPr>
        <w:t xml:space="preserve"> reported that hip geometry could also serve as an intrinsic factor related to fatigue-type fracture</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in young</w:t>
      </w:r>
      <w:r w:rsidRPr="00BB734F">
        <w:rPr>
          <w:rFonts w:ascii="Book Antiqua" w:eastAsia="宋体" w:hAnsi="Book Antiqua" w:cs="Book Antiqua"/>
          <w:color w:val="000000"/>
          <w:lang w:eastAsia="zh-CN"/>
        </w:rPr>
        <w:t xml:space="preserve"> people</w:t>
      </w:r>
      <w:r w:rsidRPr="00BB734F">
        <w:rPr>
          <w:rFonts w:ascii="Book Antiqua" w:eastAsia="Book Antiqua" w:hAnsi="Book Antiqua" w:cs="Book Antiqua"/>
          <w:color w:val="000000"/>
        </w:rPr>
        <w:t>, especially in young military recruits.</w:t>
      </w:r>
    </w:p>
    <w:p w14:paraId="2EC721B0" w14:textId="77777777" w:rsidR="0003522D" w:rsidRPr="00BB734F" w:rsidRDefault="00000000">
      <w:pPr>
        <w:adjustRightInd w:val="0"/>
        <w:snapToGrid w:val="0"/>
        <w:spacing w:line="360" w:lineRule="auto"/>
        <w:ind w:firstLineChars="200" w:firstLine="480"/>
        <w:jc w:val="both"/>
        <w:rPr>
          <w:rFonts w:ascii="Book Antiqua" w:hAnsi="Book Antiqua" w:cs="Book Antiqua"/>
        </w:rPr>
      </w:pPr>
      <w:r w:rsidRPr="00BB734F">
        <w:rPr>
          <w:rFonts w:ascii="Book Antiqua" w:eastAsia="Book Antiqua" w:hAnsi="Book Antiqua" w:cs="Book Antiqua"/>
          <w:color w:val="000000"/>
        </w:rPr>
        <w:t>In 2021, Kim DK and Kim TH</w:t>
      </w:r>
      <w:r w:rsidRPr="00BB734F">
        <w:rPr>
          <w:rFonts w:ascii="Book Antiqua" w:eastAsia="Book Antiqua" w:hAnsi="Book Antiqua" w:cs="Book Antiqua"/>
          <w:color w:val="000000"/>
          <w:vertAlign w:val="superscript"/>
        </w:rPr>
        <w:t>[8]</w:t>
      </w:r>
      <w:r w:rsidRPr="00BB734F">
        <w:rPr>
          <w:rFonts w:ascii="Book Antiqua" w:eastAsia="Book Antiqua" w:hAnsi="Book Antiqua" w:cs="Book Antiqua"/>
          <w:color w:val="000000"/>
        </w:rPr>
        <w:t xml:space="preserve"> first found that NSA is </w:t>
      </w:r>
      <w:r w:rsidRPr="00BB734F">
        <w:rPr>
          <w:rFonts w:ascii="Book Antiqua" w:eastAsia="宋体" w:hAnsi="Book Antiqua" w:cs="Book Antiqua"/>
          <w:color w:val="000000"/>
          <w:lang w:eastAsia="zh-CN"/>
        </w:rPr>
        <w:t>a</w:t>
      </w:r>
      <w:r w:rsidRPr="00BB734F">
        <w:rPr>
          <w:rFonts w:ascii="Book Antiqua" w:eastAsia="Book Antiqua" w:hAnsi="Book Antiqua" w:cs="Book Antiqua"/>
          <w:color w:val="000000"/>
        </w:rPr>
        <w:t xml:space="preserve"> risk factor associated with SFFFH. The NSA of SFFFH was higher than </w:t>
      </w:r>
      <w:r w:rsidRPr="00BB734F">
        <w:rPr>
          <w:rFonts w:ascii="Book Antiqua" w:eastAsia="宋体" w:hAnsi="Book Antiqua" w:cs="Book Antiqua"/>
          <w:color w:val="000000"/>
          <w:lang w:eastAsia="zh-CN"/>
        </w:rPr>
        <w:t>that</w:t>
      </w:r>
      <w:r w:rsidRPr="00BB734F">
        <w:rPr>
          <w:rFonts w:ascii="Book Antiqua" w:eastAsia="Book Antiqua" w:hAnsi="Book Antiqua" w:cs="Book Antiqua"/>
          <w:color w:val="000000"/>
        </w:rPr>
        <w:t xml:space="preserve"> of the femoral neck stress fracture (FNSF), which means that a higher NSA might increase the morbidity and severity of SFFFH. On the other hand, </w:t>
      </w:r>
      <w:r w:rsidRPr="00BB734F">
        <w:rPr>
          <w:rFonts w:ascii="Book Antiqua" w:eastAsia="宋体" w:hAnsi="Book Antiqua" w:cs="Book Antiqua"/>
          <w:color w:val="000000"/>
          <w:lang w:eastAsia="zh-CN"/>
        </w:rPr>
        <w:t>p</w:t>
      </w:r>
      <w:r w:rsidRPr="00BB734F">
        <w:rPr>
          <w:rFonts w:ascii="Book Antiqua" w:eastAsia="Book Antiqua" w:hAnsi="Book Antiqua" w:cs="Book Antiqua"/>
          <w:color w:val="000000"/>
        </w:rPr>
        <w:t xml:space="preserve">revious data by Kuhn </w:t>
      </w:r>
      <w:r w:rsidRPr="00BB734F">
        <w:rPr>
          <w:rFonts w:ascii="Book Antiqua" w:eastAsia="Book Antiqua" w:hAnsi="Book Antiqua" w:cs="Book Antiqua"/>
          <w:i/>
          <w:iCs/>
          <w:color w:val="000000"/>
        </w:rPr>
        <w:t>et al</w:t>
      </w:r>
      <w:r w:rsidRPr="00BB734F">
        <w:rPr>
          <w:rFonts w:ascii="Book Antiqua" w:eastAsia="Book Antiqua" w:hAnsi="Book Antiqua" w:cs="Book Antiqua"/>
          <w:color w:val="000000"/>
          <w:vertAlign w:val="superscript"/>
        </w:rPr>
        <w:t>[19]</w:t>
      </w:r>
      <w:r w:rsidRPr="00BB734F">
        <w:rPr>
          <w:rFonts w:ascii="Book Antiqua" w:eastAsia="Book Antiqua" w:hAnsi="Book Antiqua" w:cs="Book Antiqua"/>
          <w:color w:val="000000"/>
        </w:rPr>
        <w:t xml:space="preserve"> confirmed that acetabular retroversion is associated with an increased risk of sustaining an FNSF. </w:t>
      </w:r>
      <w:r w:rsidRPr="00BB734F">
        <w:rPr>
          <w:rFonts w:ascii="Book Antiqua" w:eastAsia="Book Antiqua" w:hAnsi="Book Antiqua" w:cs="Book Antiqua"/>
          <w:color w:val="000000"/>
          <w:shd w:val="clear" w:color="auto" w:fill="FFFFFF"/>
        </w:rPr>
        <w:t>Franken</w:t>
      </w:r>
      <w:r w:rsidRPr="00BB734F">
        <w:rPr>
          <w:rFonts w:ascii="Book Antiqua" w:eastAsia="Book Antiqua" w:hAnsi="Book Antiqua" w:cs="Book Antiqua"/>
          <w:color w:val="000000"/>
        </w:rPr>
        <w:t xml:space="preserve"> </w:t>
      </w:r>
      <w:r w:rsidRPr="00BB734F">
        <w:rPr>
          <w:rFonts w:ascii="Book Antiqua" w:eastAsia="Book Antiqua" w:hAnsi="Book Antiqua" w:cs="Book Antiqua"/>
          <w:i/>
          <w:iCs/>
          <w:color w:val="000000"/>
        </w:rPr>
        <w:t>et al</w:t>
      </w:r>
      <w:r w:rsidRPr="00BB734F">
        <w:rPr>
          <w:rFonts w:ascii="Book Antiqua" w:eastAsia="Book Antiqua" w:hAnsi="Book Antiqua" w:cs="Book Antiqua"/>
          <w:color w:val="000000"/>
          <w:vertAlign w:val="superscript"/>
        </w:rPr>
        <w:t>[20]</w:t>
      </w:r>
      <w:r w:rsidRPr="00BB734F">
        <w:rPr>
          <w:rFonts w:ascii="Book Antiqua" w:eastAsia="Book Antiqua" w:hAnsi="Book Antiqua" w:cs="Book Antiqua"/>
          <w:color w:val="000000"/>
        </w:rPr>
        <w:t xml:space="preserve"> also found that </w:t>
      </w:r>
      <w:r w:rsidRPr="00BB734F">
        <w:rPr>
          <w:rFonts w:ascii="Book Antiqua" w:eastAsia="Book Antiqua" w:hAnsi="Book Antiqua" w:cs="Book Antiqua"/>
          <w:color w:val="000000"/>
          <w:shd w:val="clear" w:color="auto" w:fill="FFFFFF"/>
        </w:rPr>
        <w:t xml:space="preserve">impingement-associated deformities of the hip may cause FNSF. Tokyay </w:t>
      </w:r>
      <w:r w:rsidRPr="00BB734F">
        <w:rPr>
          <w:rFonts w:ascii="Book Antiqua" w:eastAsia="Book Antiqua" w:hAnsi="Book Antiqua" w:cs="Book Antiqua"/>
          <w:i/>
          <w:iCs/>
          <w:color w:val="000000"/>
          <w:shd w:val="clear" w:color="auto" w:fill="FFFFFF"/>
        </w:rPr>
        <w:t>et al</w:t>
      </w:r>
      <w:r w:rsidRPr="00BB734F">
        <w:rPr>
          <w:rFonts w:ascii="Book Antiqua" w:eastAsia="Book Antiqua" w:hAnsi="Book Antiqua" w:cs="Book Antiqua"/>
          <w:color w:val="000000"/>
          <w:vertAlign w:val="superscript"/>
        </w:rPr>
        <w:t>[21]</w:t>
      </w:r>
      <w:r w:rsidRPr="00BB734F">
        <w:rPr>
          <w:rFonts w:ascii="Book Antiqua" w:eastAsia="Book Antiqua" w:hAnsi="Book Antiqua" w:cs="Book Antiqua"/>
          <w:color w:val="000000"/>
          <w:shd w:val="clear" w:color="auto" w:fill="FFFFFF"/>
        </w:rPr>
        <w:t xml:space="preserve"> pointed out that acetabular morphology can predict the types of proximal femoral fractures among elderly patients. </w:t>
      </w:r>
      <w:r w:rsidRPr="00BB734F">
        <w:rPr>
          <w:rFonts w:ascii="Book Antiqua" w:eastAsia="Book Antiqua" w:hAnsi="Book Antiqua" w:cs="Book Antiqua"/>
          <w:color w:val="000000"/>
        </w:rPr>
        <w:t xml:space="preserve">NSA of trochanteric fracture was found to be less than </w:t>
      </w:r>
      <w:r w:rsidRPr="00BB734F">
        <w:rPr>
          <w:rFonts w:ascii="Book Antiqua" w:eastAsia="宋体" w:hAnsi="Book Antiqua" w:cs="Book Antiqua"/>
          <w:color w:val="000000"/>
          <w:lang w:eastAsia="zh-CN"/>
        </w:rPr>
        <w:t xml:space="preserve">that of </w:t>
      </w:r>
      <w:r w:rsidRPr="00BB734F">
        <w:rPr>
          <w:rFonts w:ascii="Book Antiqua" w:eastAsia="Book Antiqua" w:hAnsi="Book Antiqua" w:cs="Book Antiqua"/>
          <w:color w:val="000000"/>
        </w:rPr>
        <w:t>the femoral neck fracture, but there was no statistically significant difference</w:t>
      </w:r>
      <w:r w:rsidRPr="00BB734F">
        <w:rPr>
          <w:rFonts w:ascii="Book Antiqua" w:eastAsia="宋体" w:hAnsi="Book Antiqua" w:cs="Book Antiqua"/>
          <w:color w:val="000000"/>
          <w:lang w:eastAsia="zh-CN"/>
        </w:rPr>
        <w:t xml:space="preserve"> between them</w:t>
      </w:r>
      <w:r w:rsidRPr="00BB734F">
        <w:rPr>
          <w:rFonts w:ascii="Book Antiqua" w:eastAsia="Book Antiqua" w:hAnsi="Book Antiqua" w:cs="Book Antiqua"/>
          <w:color w:val="000000"/>
        </w:rPr>
        <w:t>. In our study, the NSA of SFFFH was significantly higher than th</w:t>
      </w:r>
      <w:r w:rsidRPr="00BB734F">
        <w:rPr>
          <w:rFonts w:ascii="Book Antiqua" w:eastAsia="宋体" w:hAnsi="Book Antiqua" w:cs="Book Antiqua"/>
          <w:color w:val="000000"/>
          <w:lang w:eastAsia="zh-CN"/>
        </w:rPr>
        <w:t>at</w:t>
      </w:r>
      <w:r w:rsidRPr="00BB734F">
        <w:rPr>
          <w:rFonts w:ascii="Book Antiqua" w:eastAsia="Book Antiqua" w:hAnsi="Book Antiqua" w:cs="Book Antiqua"/>
          <w:color w:val="000000"/>
        </w:rPr>
        <w:t xml:space="preserve"> of ONFH. However, we can</w:t>
      </w:r>
      <w:r w:rsidRPr="00BB734F">
        <w:rPr>
          <w:rFonts w:ascii="Book Antiqua" w:eastAsia="宋体" w:hAnsi="Book Antiqua" w:cs="Book Antiqua"/>
          <w:color w:val="000000"/>
          <w:lang w:eastAsia="zh-CN"/>
        </w:rPr>
        <w:t>not</w:t>
      </w:r>
      <w:r w:rsidRPr="00BB734F">
        <w:rPr>
          <w:rFonts w:ascii="Book Antiqua" w:eastAsia="Book Antiqua" w:hAnsi="Book Antiqua" w:cs="Book Antiqua"/>
          <w:color w:val="000000"/>
        </w:rPr>
        <w:t xml:space="preserve"> identify the clinical significance from the results of logistic</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regression. Above all, we believe</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that NSA might be related to SFFFH but NSA can</w:t>
      </w:r>
      <w:r w:rsidRPr="00BB734F">
        <w:rPr>
          <w:rFonts w:ascii="Book Antiqua" w:eastAsia="宋体" w:hAnsi="Book Antiqua" w:cs="Book Antiqua"/>
          <w:color w:val="000000"/>
          <w:lang w:eastAsia="zh-CN"/>
        </w:rPr>
        <w:t>not</w:t>
      </w:r>
      <w:r w:rsidRPr="00BB734F">
        <w:rPr>
          <w:rFonts w:ascii="Book Antiqua" w:eastAsia="Book Antiqua" w:hAnsi="Book Antiqua" w:cs="Book Antiqua"/>
          <w:color w:val="000000"/>
        </w:rPr>
        <w:t xml:space="preserve"> cause SFFFH directly. </w:t>
      </w:r>
    </w:p>
    <w:p w14:paraId="28641EE0" w14:textId="77777777" w:rsidR="0003522D" w:rsidRPr="00BB734F" w:rsidRDefault="00000000">
      <w:pPr>
        <w:adjustRightInd w:val="0"/>
        <w:snapToGrid w:val="0"/>
        <w:spacing w:line="360" w:lineRule="auto"/>
        <w:ind w:firstLineChars="200" w:firstLine="480"/>
        <w:jc w:val="both"/>
        <w:rPr>
          <w:rFonts w:ascii="Book Antiqua" w:hAnsi="Book Antiqua" w:cs="Book Antiqua"/>
        </w:rPr>
      </w:pPr>
      <w:r w:rsidRPr="00BB734F">
        <w:rPr>
          <w:rFonts w:ascii="Book Antiqua" w:eastAsia="Book Antiqua" w:hAnsi="Book Antiqua" w:cs="Book Antiqua"/>
          <w:color w:val="000000"/>
        </w:rPr>
        <w:t xml:space="preserve">The acetabular morphology </w:t>
      </w:r>
      <w:r w:rsidRPr="00BB734F">
        <w:rPr>
          <w:rFonts w:ascii="Book Antiqua" w:eastAsia="Book Antiqua" w:hAnsi="Book Antiqua" w:cs="Book Antiqua"/>
          <w:color w:val="000000"/>
          <w:shd w:val="clear" w:color="auto" w:fill="FFFFFF"/>
        </w:rPr>
        <w:t>is believed to provide mechanical stability to the hip joint.</w:t>
      </w:r>
      <w:r w:rsidRPr="00BB734F">
        <w:rPr>
          <w:rFonts w:ascii="Book Antiqua" w:eastAsia="Book Antiqua" w:hAnsi="Book Antiqua" w:cs="Book Antiqua"/>
          <w:color w:val="000000"/>
        </w:rPr>
        <w:t xml:space="preserve"> The morphology of the acetabulum distinctly differs from skeletal maturity. Albers </w:t>
      </w:r>
      <w:r w:rsidRPr="00BB734F">
        <w:rPr>
          <w:rFonts w:ascii="Book Antiqua" w:eastAsia="Book Antiqua" w:hAnsi="Book Antiqua" w:cs="Book Antiqua"/>
          <w:i/>
          <w:iCs/>
          <w:color w:val="000000"/>
        </w:rPr>
        <w:t>et al</w:t>
      </w:r>
      <w:r w:rsidRPr="00BB734F">
        <w:rPr>
          <w:rFonts w:ascii="Book Antiqua" w:eastAsia="Book Antiqua" w:hAnsi="Book Antiqua" w:cs="Book Antiqua"/>
          <w:color w:val="000000"/>
          <w:vertAlign w:val="superscript"/>
        </w:rPr>
        <w:t>[22]</w:t>
      </w:r>
      <w:r w:rsidRPr="00BB734F">
        <w:rPr>
          <w:rFonts w:ascii="Book Antiqua" w:eastAsia="Book Antiqua" w:hAnsi="Book Antiqua" w:cs="Book Antiqua"/>
          <w:color w:val="000000"/>
        </w:rPr>
        <w:t xml:space="preserve"> found distinct differences of the acetabular version related to skeletal maturity. Version, assessed by MRI, was decreased in hips with open triradiate cartilage complex and increased during skeletal maturation. By contrast, Monazzam </w:t>
      </w:r>
      <w:r w:rsidRPr="00BB734F">
        <w:rPr>
          <w:rFonts w:ascii="Book Antiqua" w:eastAsia="Book Antiqua" w:hAnsi="Book Antiqua" w:cs="Book Antiqua"/>
          <w:i/>
          <w:iCs/>
          <w:color w:val="000000"/>
        </w:rPr>
        <w:t>et al</w:t>
      </w:r>
      <w:r w:rsidRPr="00BB734F">
        <w:rPr>
          <w:rFonts w:ascii="Book Antiqua" w:eastAsia="Book Antiqua" w:hAnsi="Book Antiqua" w:cs="Book Antiqua"/>
          <w:color w:val="000000"/>
          <w:vertAlign w:val="superscript"/>
        </w:rPr>
        <w:t>[23]</w:t>
      </w:r>
      <w:r w:rsidRPr="00BB734F">
        <w:rPr>
          <w:rFonts w:ascii="Book Antiqua" w:eastAsia="Book Antiqua" w:hAnsi="Book Antiqua" w:cs="Book Antiqua"/>
          <w:color w:val="000000"/>
        </w:rPr>
        <w:t xml:space="preserve"> found that there were no substantial differences in the acetabular version in children younger than 11 years, but a progressive increase of anteversion was noted in patients older than 12 years of age. Hingsammer </w:t>
      </w:r>
      <w:r w:rsidRPr="00BB734F">
        <w:rPr>
          <w:rFonts w:ascii="Book Antiqua" w:eastAsia="Book Antiqua" w:hAnsi="Book Antiqua" w:cs="Book Antiqua"/>
          <w:i/>
          <w:iCs/>
          <w:color w:val="000000"/>
        </w:rPr>
        <w:t>et al</w:t>
      </w:r>
      <w:r w:rsidRPr="00BB734F">
        <w:rPr>
          <w:rFonts w:ascii="Book Antiqua" w:eastAsia="Book Antiqua" w:hAnsi="Book Antiqua" w:cs="Book Antiqua"/>
          <w:color w:val="000000"/>
          <w:vertAlign w:val="superscript"/>
        </w:rPr>
        <w:t>[24]</w:t>
      </w:r>
      <w:r w:rsidRPr="00BB734F">
        <w:rPr>
          <w:rFonts w:ascii="Book Antiqua" w:eastAsia="Book Antiqua" w:hAnsi="Book Antiqua" w:cs="Book Antiqua"/>
          <w:color w:val="000000"/>
        </w:rPr>
        <w:t xml:space="preserve"> reported decreased anteversion in skeletally immature compared with skeletally mature subjects. However, it should be noted that the data of both studies were derived from computed tomography (CT). CT cannot measure the true dimensions of the acetabulum</w:t>
      </w:r>
      <w:r w:rsidRPr="00BB734F">
        <w:rPr>
          <w:rFonts w:ascii="Book Antiqua" w:eastAsia="宋体" w:hAnsi="Book Antiqua" w:cs="Book Antiqua"/>
          <w:color w:val="000000"/>
          <w:lang w:eastAsia="zh-CN"/>
        </w:rPr>
        <w:t xml:space="preserve">, while </w:t>
      </w:r>
      <w:r w:rsidRPr="00BB734F">
        <w:rPr>
          <w:rFonts w:ascii="Book Antiqua" w:eastAsia="Book Antiqua" w:hAnsi="Book Antiqua" w:cs="Book Antiqua"/>
          <w:color w:val="000000"/>
        </w:rPr>
        <w:t xml:space="preserve">MRI </w:t>
      </w:r>
      <w:r w:rsidRPr="00BB734F">
        <w:rPr>
          <w:rFonts w:ascii="Book Antiqua" w:eastAsia="宋体" w:hAnsi="Book Antiqua" w:cs="Book Antiqua"/>
          <w:color w:val="000000"/>
          <w:lang w:eastAsia="zh-CN"/>
        </w:rPr>
        <w:t>i</w:t>
      </w:r>
      <w:r w:rsidRPr="00BB734F">
        <w:rPr>
          <w:rFonts w:ascii="Book Antiqua" w:eastAsia="Book Antiqua" w:hAnsi="Book Antiqua" w:cs="Book Antiqua"/>
          <w:color w:val="000000"/>
        </w:rPr>
        <w:t xml:space="preserve">s suitable for accurately measuring the margins of the acetabular wall in both skeletally mature and </w:t>
      </w:r>
      <w:r w:rsidRPr="00BB734F">
        <w:rPr>
          <w:rFonts w:ascii="Book Antiqua" w:eastAsia="Book Antiqua" w:hAnsi="Book Antiqua" w:cs="Book Antiqua"/>
          <w:color w:val="000000"/>
        </w:rPr>
        <w:lastRenderedPageBreak/>
        <w:t xml:space="preserve">immature subjects. In our study, clinical data from the new recruits were analyzed by MRI and the age of SFFFH </w:t>
      </w:r>
      <w:r w:rsidRPr="00BB734F">
        <w:rPr>
          <w:rFonts w:ascii="Book Antiqua" w:eastAsia="宋体" w:hAnsi="Book Antiqua" w:cs="Book Antiqua"/>
          <w:color w:val="000000"/>
          <w:lang w:eastAsia="zh-CN"/>
        </w:rPr>
        <w:t xml:space="preserve">patients </w:t>
      </w:r>
      <w:r w:rsidRPr="00BB734F">
        <w:rPr>
          <w:rFonts w:ascii="Book Antiqua" w:eastAsia="Book Antiqua" w:hAnsi="Book Antiqua" w:cs="Book Antiqua"/>
          <w:color w:val="000000"/>
        </w:rPr>
        <w:t>was significantly younger than that of ONFH</w:t>
      </w:r>
      <w:r w:rsidRPr="00BB734F">
        <w:rPr>
          <w:rFonts w:ascii="Book Antiqua" w:eastAsia="宋体" w:hAnsi="Book Antiqua" w:cs="Book Antiqua"/>
          <w:color w:val="000000"/>
          <w:lang w:eastAsia="zh-CN"/>
        </w:rPr>
        <w:t xml:space="preserve"> ones</w:t>
      </w:r>
      <w:r w:rsidRPr="00BB734F">
        <w:rPr>
          <w:rFonts w:ascii="Book Antiqua" w:eastAsia="Book Antiqua" w:hAnsi="Book Antiqua" w:cs="Book Antiqua"/>
          <w:color w:val="000000"/>
        </w:rPr>
        <w:t>. We identif</w:t>
      </w:r>
      <w:r w:rsidRPr="00BB734F">
        <w:rPr>
          <w:rFonts w:ascii="Book Antiqua" w:eastAsia="宋体" w:hAnsi="Book Antiqua" w:cs="Book Antiqua"/>
          <w:color w:val="000000"/>
          <w:lang w:eastAsia="zh-CN"/>
        </w:rPr>
        <w:t>ied</w:t>
      </w:r>
      <w:r w:rsidRPr="00BB734F">
        <w:rPr>
          <w:rFonts w:ascii="Book Antiqua" w:eastAsia="Book Antiqua" w:hAnsi="Book Antiqua" w:cs="Book Antiqua"/>
          <w:color w:val="000000"/>
        </w:rPr>
        <w:t xml:space="preserve"> that age</w:t>
      </w:r>
      <w:r w:rsidRPr="00BB734F">
        <w:rPr>
          <w:rFonts w:ascii="Book Antiqua" w:eastAsia="宋体" w:hAnsi="Book Antiqua" w:cs="Book Antiqua"/>
          <w:color w:val="000000"/>
          <w:lang w:eastAsia="zh-CN"/>
        </w:rPr>
        <w:t xml:space="preserve"> was</w:t>
      </w:r>
      <w:r w:rsidRPr="00BB734F">
        <w:rPr>
          <w:rFonts w:ascii="Book Antiqua" w:eastAsia="Book Antiqua" w:hAnsi="Book Antiqua" w:cs="Book Antiqua"/>
          <w:color w:val="000000"/>
        </w:rPr>
        <w:t xml:space="preserve"> a risk factor for SFFFH </w:t>
      </w:r>
      <w:r w:rsidRPr="00BB734F">
        <w:rPr>
          <w:rFonts w:ascii="Book Antiqua" w:eastAsia="宋体" w:hAnsi="Book Antiqua" w:cs="Book Antiqua"/>
          <w:color w:val="000000"/>
          <w:lang w:eastAsia="zh-CN"/>
        </w:rPr>
        <w:t>based on</w:t>
      </w:r>
      <w:r w:rsidRPr="00BB734F">
        <w:rPr>
          <w:rFonts w:ascii="Book Antiqua" w:eastAsia="Book Antiqua" w:hAnsi="Book Antiqua" w:cs="Book Antiqua"/>
          <w:color w:val="000000"/>
        </w:rPr>
        <w:t xml:space="preserve"> logistic</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regression. Younger people are more susceptible to SFFFH. Besides, patients with SFFFH tend to ignore the disease</w:t>
      </w:r>
      <w:r w:rsidRPr="00BB734F">
        <w:rPr>
          <w:rFonts w:ascii="Book Antiqua" w:eastAsia="宋体" w:hAnsi="Book Antiqua" w:cs="Book Antiqua"/>
          <w:color w:val="000000"/>
          <w:lang w:eastAsia="zh-CN"/>
        </w:rPr>
        <w:t>,</w:t>
      </w:r>
      <w:r w:rsidRPr="00BB734F">
        <w:rPr>
          <w:rFonts w:ascii="Book Antiqua" w:eastAsia="Book Antiqua" w:hAnsi="Book Antiqua" w:cs="Book Antiqua"/>
          <w:color w:val="000000"/>
        </w:rPr>
        <w:t xml:space="preserve"> leading to </w:t>
      </w:r>
      <w:r w:rsidRPr="00BB734F">
        <w:rPr>
          <w:rFonts w:ascii="Book Antiqua" w:eastAsia="宋体" w:hAnsi="Book Antiqua" w:cs="Book Antiqua"/>
          <w:color w:val="000000"/>
          <w:lang w:eastAsia="zh-CN"/>
        </w:rPr>
        <w:t>delayed</w:t>
      </w:r>
      <w:r w:rsidRPr="00BB734F">
        <w:rPr>
          <w:rFonts w:ascii="Book Antiqua" w:eastAsia="Book Antiqua" w:hAnsi="Book Antiqua" w:cs="Book Antiqua"/>
          <w:color w:val="000000"/>
        </w:rPr>
        <w:t xml:space="preserve"> treatment. Therefore, encouraging high-risk groups to promptly seek medical attention upon the detection of symptoms has been shown to be conducive to a shortened duration of the disease.</w:t>
      </w:r>
    </w:p>
    <w:p w14:paraId="24014B39" w14:textId="77777777" w:rsidR="0003522D" w:rsidRPr="00BB734F" w:rsidRDefault="00000000">
      <w:pPr>
        <w:adjustRightInd w:val="0"/>
        <w:snapToGrid w:val="0"/>
        <w:spacing w:line="360" w:lineRule="auto"/>
        <w:ind w:firstLineChars="200" w:firstLine="480"/>
        <w:jc w:val="both"/>
        <w:rPr>
          <w:rFonts w:ascii="Book Antiqua" w:hAnsi="Book Antiqua" w:cs="Book Antiqua"/>
        </w:rPr>
      </w:pPr>
      <w:r w:rsidRPr="00BB734F">
        <w:rPr>
          <w:rFonts w:ascii="Book Antiqua" w:eastAsia="Book Antiqua" w:hAnsi="Book Antiqua" w:cs="Book Antiqua"/>
          <w:color w:val="000000"/>
        </w:rPr>
        <w:t>We classified the acetabular morphology with a focus on acetabular coverage parameters such as the SASA, AASA, and PASA. None of the patients with SFFFH or ONFH had severe acetabular dysplasia (SASA &lt; 110°). Therefore, the lateral coverage was normal in patients with SFFFH and ONFH. In addition, a PASA of less than 86° is associated with sports-related posterior hip dislocation</w:t>
      </w:r>
      <w:r w:rsidRPr="00BB734F">
        <w:rPr>
          <w:rFonts w:ascii="Book Antiqua" w:eastAsia="Book Antiqua" w:hAnsi="Book Antiqua" w:cs="Book Antiqua"/>
          <w:color w:val="000000"/>
          <w:vertAlign w:val="superscript"/>
        </w:rPr>
        <w:t>[25]</w:t>
      </w:r>
      <w:r w:rsidRPr="00BB734F">
        <w:rPr>
          <w:rFonts w:ascii="Book Antiqua" w:eastAsia="Book Antiqua" w:hAnsi="Book Antiqua" w:cs="Book Antiqua"/>
          <w:color w:val="000000"/>
        </w:rPr>
        <w:t xml:space="preserve">. In our study, none of the patients with SFFFH or ONFH was </w:t>
      </w:r>
      <w:r w:rsidRPr="00BB734F">
        <w:rPr>
          <w:rFonts w:ascii="Book Antiqua" w:eastAsia="宋体" w:hAnsi="Book Antiqua" w:cs="Book Antiqua"/>
          <w:color w:val="000000"/>
          <w:lang w:eastAsia="zh-CN"/>
        </w:rPr>
        <w:t>found to have</w:t>
      </w:r>
      <w:r w:rsidRPr="00BB734F">
        <w:rPr>
          <w:rFonts w:ascii="Book Antiqua" w:eastAsia="Book Antiqua" w:hAnsi="Book Antiqua" w:cs="Book Antiqua"/>
          <w:color w:val="000000"/>
        </w:rPr>
        <w:t xml:space="preserve"> a posterior wall defect. Although both the lateral coverage and posterior wall were normal, the AASA of SFFFH </w:t>
      </w:r>
      <w:r w:rsidRPr="00BB734F">
        <w:rPr>
          <w:rFonts w:ascii="Book Antiqua" w:eastAsia="宋体" w:hAnsi="Book Antiqua" w:cs="Book Antiqua"/>
          <w:color w:val="000000"/>
          <w:lang w:eastAsia="zh-CN"/>
        </w:rPr>
        <w:t xml:space="preserve">patients </w:t>
      </w:r>
      <w:r w:rsidRPr="00BB734F">
        <w:rPr>
          <w:rFonts w:ascii="Book Antiqua" w:eastAsia="Book Antiqua" w:hAnsi="Book Antiqua" w:cs="Book Antiqua"/>
          <w:color w:val="000000"/>
        </w:rPr>
        <w:t>was smaller than the AASA of ONFH</w:t>
      </w:r>
      <w:r w:rsidRPr="00BB734F">
        <w:rPr>
          <w:rFonts w:ascii="Book Antiqua" w:eastAsia="宋体" w:hAnsi="Book Antiqua" w:cs="Book Antiqua"/>
          <w:color w:val="000000"/>
          <w:lang w:eastAsia="zh-CN"/>
        </w:rPr>
        <w:t xml:space="preserve"> patients</w:t>
      </w:r>
      <w:r w:rsidRPr="00BB734F">
        <w:rPr>
          <w:rFonts w:ascii="Book Antiqua" w:eastAsia="Book Antiqua" w:hAnsi="Book Antiqua" w:cs="Book Antiqua"/>
          <w:color w:val="000000"/>
        </w:rPr>
        <w:t xml:space="preserve">, which verified </w:t>
      </w:r>
      <w:r w:rsidRPr="00BB734F">
        <w:rPr>
          <w:rFonts w:ascii="Book Antiqua" w:eastAsia="宋体" w:hAnsi="Book Antiqua" w:cs="Book Antiqua"/>
          <w:color w:val="000000"/>
          <w:lang w:eastAsia="zh-CN"/>
        </w:rPr>
        <w:t xml:space="preserve">that </w:t>
      </w:r>
      <w:r w:rsidRPr="00BB734F">
        <w:rPr>
          <w:rFonts w:ascii="Book Antiqua" w:eastAsia="Book Antiqua" w:hAnsi="Book Antiqua" w:cs="Book Antiqua"/>
          <w:color w:val="000000"/>
        </w:rPr>
        <w:t xml:space="preserve">deficient anterior coverage of the acetabulum should be </w:t>
      </w:r>
      <w:r w:rsidRPr="00BB734F">
        <w:rPr>
          <w:rFonts w:ascii="Book Antiqua" w:eastAsia="宋体" w:hAnsi="Book Antiqua" w:cs="Book Antiqua"/>
          <w:color w:val="000000"/>
          <w:lang w:eastAsia="zh-CN"/>
        </w:rPr>
        <w:t>a</w:t>
      </w:r>
      <w:r w:rsidRPr="00BB734F">
        <w:rPr>
          <w:rFonts w:ascii="Book Antiqua" w:eastAsia="Book Antiqua" w:hAnsi="Book Antiqua" w:cs="Book Antiqua"/>
          <w:color w:val="000000"/>
        </w:rPr>
        <w:t xml:space="preserve"> risk factor for SFFFH. Deficient anterior coverage of the acetabulum causes SFFFH </w:t>
      </w:r>
      <w:r w:rsidRPr="00BB734F">
        <w:rPr>
          <w:rFonts w:ascii="Book Antiqua" w:eastAsia="宋体" w:hAnsi="Book Antiqua" w:cs="Book Antiqua"/>
          <w:color w:val="000000"/>
          <w:lang w:eastAsia="zh-CN"/>
        </w:rPr>
        <w:t xml:space="preserve">possibly due </w:t>
      </w:r>
      <w:r w:rsidRPr="00BB734F">
        <w:rPr>
          <w:rFonts w:ascii="Book Antiqua" w:eastAsia="Book Antiqua" w:hAnsi="Book Antiqua" w:cs="Book Antiqua"/>
          <w:color w:val="000000"/>
        </w:rPr>
        <w:t>to the abnormal stress distributions on the articular weight-bearing area</w:t>
      </w:r>
      <w:r w:rsidRPr="00BB734F">
        <w:rPr>
          <w:rFonts w:ascii="Book Antiqua" w:eastAsia="Book Antiqua" w:hAnsi="Book Antiqua" w:cs="Book Antiqua"/>
          <w:color w:val="000000"/>
          <w:vertAlign w:val="superscript"/>
        </w:rPr>
        <w:t>[26]</w:t>
      </w:r>
      <w:r w:rsidRPr="00BB734F">
        <w:rPr>
          <w:rFonts w:ascii="Book Antiqua" w:eastAsia="Book Antiqua" w:hAnsi="Book Antiqua" w:cs="Book Antiqua"/>
          <w:color w:val="000000"/>
        </w:rPr>
        <w:t>. Hip dysplasia is characterized by shallow acetabulum leading to increased mechanical load on the femoral head and labrum</w:t>
      </w:r>
      <w:r w:rsidRPr="00BB734F">
        <w:rPr>
          <w:rFonts w:ascii="Book Antiqua" w:eastAsia="Book Antiqua" w:hAnsi="Book Antiqua" w:cs="Book Antiqua"/>
          <w:color w:val="000000"/>
          <w:vertAlign w:val="superscript"/>
        </w:rPr>
        <w:t>[27]</w:t>
      </w:r>
      <w:r w:rsidRPr="00BB734F">
        <w:rPr>
          <w:rFonts w:ascii="Book Antiqua" w:eastAsia="Book Antiqua" w:hAnsi="Book Antiqua" w:cs="Book Antiqua"/>
          <w:color w:val="000000"/>
        </w:rPr>
        <w:t xml:space="preserve">. Henak </w:t>
      </w:r>
      <w:r w:rsidRPr="00BB734F">
        <w:rPr>
          <w:rFonts w:ascii="Book Antiqua" w:eastAsia="Book Antiqua" w:hAnsi="Book Antiqua" w:cs="Book Antiqua"/>
          <w:i/>
          <w:iCs/>
          <w:color w:val="000000"/>
        </w:rPr>
        <w:t>et al</w:t>
      </w:r>
      <w:r w:rsidRPr="00BB734F">
        <w:rPr>
          <w:rFonts w:ascii="Book Antiqua" w:eastAsia="Book Antiqua" w:hAnsi="Book Antiqua" w:cs="Book Antiqua"/>
          <w:color w:val="000000"/>
          <w:vertAlign w:val="superscript"/>
        </w:rPr>
        <w:t>[26]</w:t>
      </w:r>
      <w:r w:rsidRPr="00BB734F">
        <w:rPr>
          <w:rFonts w:ascii="Book Antiqua" w:eastAsia="Book Antiqua" w:hAnsi="Book Antiqua" w:cs="Book Antiqua"/>
          <w:color w:val="000000"/>
        </w:rPr>
        <w:t xml:space="preserve"> indicated that the labrum under poor coverage supported 2%-10% of the applied load more than </w:t>
      </w:r>
      <w:r w:rsidRPr="00BB734F">
        <w:rPr>
          <w:rFonts w:ascii="Book Antiqua" w:eastAsia="宋体" w:hAnsi="Book Antiqua" w:cs="Book Antiqua"/>
          <w:color w:val="000000"/>
          <w:lang w:eastAsia="zh-CN"/>
        </w:rPr>
        <w:t xml:space="preserve">the </w:t>
      </w:r>
      <w:r w:rsidRPr="00BB734F">
        <w:rPr>
          <w:rFonts w:ascii="Book Antiqua" w:eastAsia="Book Antiqua" w:hAnsi="Book Antiqua" w:cs="Book Antiqua"/>
          <w:color w:val="000000"/>
        </w:rPr>
        <w:t>normal labrum by performing subject-specific finite element modeling. However, there is no further study about how poor coverage induces SFFFH. Combining activities beyond the physiologic tolerance level with abnormal mechanical properties of the hip joint, SFFFH might be triggered easily. In the future, more research should focus on the mechanism of deficient anterior coverage causing SFFFH.</w:t>
      </w:r>
    </w:p>
    <w:p w14:paraId="60AF86FF" w14:textId="77777777" w:rsidR="0003522D" w:rsidRPr="00BB734F" w:rsidRDefault="00000000">
      <w:pPr>
        <w:adjustRightInd w:val="0"/>
        <w:snapToGrid w:val="0"/>
        <w:spacing w:line="360" w:lineRule="auto"/>
        <w:ind w:firstLineChars="200" w:firstLine="480"/>
        <w:jc w:val="both"/>
        <w:rPr>
          <w:rFonts w:ascii="Book Antiqua" w:eastAsia="Book Antiqua" w:hAnsi="Book Antiqua" w:cs="Book Antiqua"/>
          <w:color w:val="000000"/>
        </w:rPr>
      </w:pPr>
      <w:r w:rsidRPr="00BB734F">
        <w:rPr>
          <w:rFonts w:ascii="Book Antiqua" w:eastAsia="Book Antiqua" w:hAnsi="Book Antiqua" w:cs="Book Antiqua"/>
          <w:color w:val="000000"/>
        </w:rPr>
        <w:t xml:space="preserve">MRI </w:t>
      </w:r>
      <w:r w:rsidRPr="00BB734F">
        <w:rPr>
          <w:rFonts w:ascii="Book Antiqua" w:eastAsia="宋体" w:hAnsi="Book Antiqua" w:cs="Book Antiqua"/>
          <w:color w:val="000000"/>
          <w:lang w:eastAsia="zh-CN"/>
        </w:rPr>
        <w:t>i</w:t>
      </w:r>
      <w:r w:rsidRPr="00BB734F">
        <w:rPr>
          <w:rFonts w:ascii="Book Antiqua" w:eastAsia="Book Antiqua" w:hAnsi="Book Antiqua" w:cs="Book Antiqua"/>
          <w:color w:val="000000"/>
        </w:rPr>
        <w:t xml:space="preserve">s the most essential imaging </w:t>
      </w:r>
      <w:r w:rsidRPr="00BB734F">
        <w:rPr>
          <w:rFonts w:ascii="Book Antiqua" w:eastAsia="宋体" w:hAnsi="Book Antiqua" w:cs="Book Antiqua"/>
          <w:color w:val="000000"/>
          <w:lang w:eastAsia="zh-CN"/>
        </w:rPr>
        <w:t>modality</w:t>
      </w:r>
      <w:r w:rsidRPr="00BB734F">
        <w:rPr>
          <w:rFonts w:ascii="Book Antiqua" w:eastAsia="Book Antiqua" w:hAnsi="Book Antiqua" w:cs="Book Antiqua"/>
          <w:color w:val="000000"/>
        </w:rPr>
        <w:t xml:space="preserve"> for both patients with SFFFH and ONFH, so the comprehensiveness and accuracy of the retrospective study were guaranteed. We found some evidence about distinguishing SFFFH and ONFH mainly </w:t>
      </w:r>
      <w:r w:rsidRPr="00BB734F">
        <w:rPr>
          <w:rFonts w:ascii="Book Antiqua" w:eastAsia="Book Antiqua" w:hAnsi="Book Antiqua" w:cs="Book Antiqua"/>
          <w:color w:val="000000"/>
        </w:rPr>
        <w:lastRenderedPageBreak/>
        <w:t>based on</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MRI</w:t>
      </w:r>
      <w:r w:rsidRPr="00BB734F">
        <w:rPr>
          <w:rFonts w:ascii="Book Antiqua" w:eastAsia="宋体" w:hAnsi="Book Antiqua" w:cs="Book Antiqua"/>
          <w:color w:val="000000"/>
          <w:lang w:eastAsia="zh-CN"/>
        </w:rPr>
        <w:t xml:space="preserve"> findings</w:t>
      </w:r>
      <w:r w:rsidRPr="00BB734F">
        <w:rPr>
          <w:rFonts w:ascii="Book Antiqua" w:eastAsia="Book Antiqua" w:hAnsi="Book Antiqua" w:cs="Book Antiqua"/>
          <w:color w:val="000000"/>
        </w:rPr>
        <w:t xml:space="preserve">. First, reactive interface (RI), </w:t>
      </w:r>
      <w:r w:rsidRPr="00BB734F">
        <w:rPr>
          <w:rFonts w:ascii="Book Antiqua" w:eastAsia="Book Antiqua" w:hAnsi="Book Antiqua" w:cs="Book Antiqua"/>
          <w:color w:val="000000"/>
          <w:shd w:val="clear" w:color="auto" w:fill="FFFFFF"/>
        </w:rPr>
        <w:t>surrounding the necrotic area,</w:t>
      </w:r>
      <w:r w:rsidRPr="00BB734F">
        <w:rPr>
          <w:rFonts w:ascii="Book Antiqua" w:eastAsia="Book Antiqua" w:hAnsi="Book Antiqua" w:cs="Book Antiqua"/>
          <w:color w:val="000000"/>
        </w:rPr>
        <w:t xml:space="preserve"> could be mainly seen in ONFH but not in SFFFH. RI,</w:t>
      </w:r>
      <w:r w:rsidRPr="00BB734F">
        <w:rPr>
          <w:rFonts w:ascii="Book Antiqua" w:eastAsia="Book Antiqua" w:hAnsi="Book Antiqua" w:cs="Book Antiqua"/>
          <w:color w:val="000000"/>
          <w:shd w:val="clear" w:color="auto" w:fill="FFFFFF"/>
        </w:rPr>
        <w:t xml:space="preserve"> also named sclerosis rim in X-ray or CT, </w:t>
      </w:r>
      <w:r w:rsidRPr="00BB734F">
        <w:rPr>
          <w:rFonts w:ascii="Book Antiqua" w:eastAsia="Book Antiqua" w:hAnsi="Book Antiqua" w:cs="Book Antiqua"/>
          <w:color w:val="000000"/>
        </w:rPr>
        <w:t>had a protective effect on femoral head collapse</w:t>
      </w:r>
      <w:r w:rsidRPr="00BB734F">
        <w:rPr>
          <w:rFonts w:ascii="Book Antiqua" w:eastAsia="Book Antiqua" w:hAnsi="Book Antiqua" w:cs="Book Antiqua"/>
          <w:color w:val="000000"/>
          <w:vertAlign w:val="superscript"/>
        </w:rPr>
        <w:t>[28,29]</w:t>
      </w:r>
      <w:r w:rsidRPr="00BB734F">
        <w:rPr>
          <w:rFonts w:ascii="Book Antiqua" w:eastAsia="Book Antiqua" w:hAnsi="Book Antiqua" w:cs="Book Antiqua"/>
          <w:color w:val="000000"/>
        </w:rPr>
        <w:t xml:space="preserve">. </w:t>
      </w:r>
      <w:r w:rsidRPr="00BB734F">
        <w:rPr>
          <w:rFonts w:ascii="Book Antiqua" w:eastAsia="Book Antiqua" w:hAnsi="Book Antiqua" w:cs="Book Antiqua"/>
          <w:color w:val="000000"/>
          <w:shd w:val="clear" w:color="auto" w:fill="FFFFFF"/>
        </w:rPr>
        <w:t>Yu</w:t>
      </w:r>
      <w:r w:rsidRPr="00BB734F">
        <w:rPr>
          <w:rFonts w:ascii="Book Antiqua" w:eastAsia="Book Antiqua" w:hAnsi="Book Antiqua" w:cs="Book Antiqua"/>
          <w:i/>
          <w:iCs/>
          <w:color w:val="000000"/>
          <w:shd w:val="clear" w:color="auto" w:fill="FFFFFF"/>
        </w:rPr>
        <w:t xml:space="preserve"> et al</w:t>
      </w:r>
      <w:r w:rsidRPr="00BB734F">
        <w:rPr>
          <w:rFonts w:ascii="Book Antiqua" w:eastAsia="Book Antiqua" w:hAnsi="Book Antiqua" w:cs="Book Antiqua"/>
          <w:color w:val="000000"/>
          <w:vertAlign w:val="superscript"/>
        </w:rPr>
        <w:t>[30]</w:t>
      </w:r>
      <w:r w:rsidRPr="00BB734F">
        <w:rPr>
          <w:rFonts w:ascii="Book Antiqua" w:eastAsia="Book Antiqua" w:hAnsi="Book Antiqua" w:cs="Book Antiqua"/>
          <w:i/>
          <w:iCs/>
          <w:color w:val="000000"/>
          <w:shd w:val="clear" w:color="auto" w:fill="FFFFFF"/>
        </w:rPr>
        <w:t xml:space="preserve"> </w:t>
      </w:r>
      <w:r w:rsidRPr="00BB734F">
        <w:rPr>
          <w:rFonts w:ascii="Book Antiqua" w:eastAsia="Book Antiqua" w:hAnsi="Book Antiqua" w:cs="Book Antiqua"/>
          <w:color w:val="000000"/>
          <w:shd w:val="clear" w:color="auto" w:fill="FFFFFF"/>
        </w:rPr>
        <w:t>found that there was a negative correlation between the collapse rate and the proportion of proximal RI. When the proportion is &gt; 30%, the collapse risk is low, whereas at &lt; 30%, the risk is high.</w:t>
      </w:r>
      <w:r w:rsidRPr="00BB734F">
        <w:rPr>
          <w:rFonts w:ascii="Book Antiqua" w:eastAsia="Book Antiqua" w:hAnsi="Book Antiqua" w:cs="Book Antiqua"/>
          <w:color w:val="000000"/>
        </w:rPr>
        <w:t xml:space="preserve"> Second, </w:t>
      </w:r>
      <w:r w:rsidRPr="00BB734F">
        <w:rPr>
          <w:rFonts w:ascii="Book Antiqua" w:eastAsia="Book Antiqua" w:hAnsi="Book Antiqua" w:cs="Book Antiqua"/>
          <w:color w:val="000000"/>
          <w:shd w:val="clear" w:color="auto" w:fill="FFFFFF"/>
        </w:rPr>
        <w:t>cystic lesions, often close to RI in viable areas of the femoral head, could be a common pathologic feature in ONFH but not in SFFFH</w:t>
      </w:r>
      <w:r w:rsidRPr="00BB734F">
        <w:rPr>
          <w:rFonts w:ascii="Book Antiqua" w:eastAsia="Book Antiqua" w:hAnsi="Book Antiqua" w:cs="Book Antiqua"/>
          <w:color w:val="000000"/>
          <w:vertAlign w:val="superscript"/>
        </w:rPr>
        <w:t>[31]</w:t>
      </w:r>
      <w:r w:rsidRPr="00BB734F">
        <w:rPr>
          <w:rFonts w:ascii="Book Antiqua" w:eastAsia="Book Antiqua" w:hAnsi="Book Antiqua" w:cs="Book Antiqua"/>
          <w:color w:val="000000"/>
          <w:shd w:val="clear" w:color="auto" w:fill="FFFFFF"/>
        </w:rPr>
        <w:t xml:space="preserve">. Gao </w:t>
      </w:r>
      <w:r w:rsidRPr="00BB734F">
        <w:rPr>
          <w:rFonts w:ascii="Book Antiqua" w:eastAsia="Book Antiqua" w:hAnsi="Book Antiqua" w:cs="Book Antiqua"/>
          <w:i/>
          <w:iCs/>
          <w:color w:val="000000"/>
          <w:shd w:val="clear" w:color="auto" w:fill="FFFFFF"/>
        </w:rPr>
        <w:t>et al</w:t>
      </w:r>
      <w:r w:rsidRPr="00BB734F">
        <w:rPr>
          <w:rFonts w:ascii="Book Antiqua" w:eastAsia="Book Antiqua" w:hAnsi="Book Antiqua" w:cs="Book Antiqua"/>
          <w:color w:val="000000"/>
          <w:vertAlign w:val="superscript"/>
        </w:rPr>
        <w:t>[32]</w:t>
      </w:r>
      <w:r w:rsidRPr="00BB734F">
        <w:rPr>
          <w:rFonts w:ascii="Book Antiqua" w:eastAsia="Book Antiqua" w:hAnsi="Book Antiqua" w:cs="Book Antiqua"/>
          <w:i/>
          <w:iCs/>
          <w:color w:val="000000"/>
          <w:shd w:val="clear" w:color="auto" w:fill="FFFFFF"/>
        </w:rPr>
        <w:t xml:space="preserve"> </w:t>
      </w:r>
      <w:r w:rsidRPr="00BB734F">
        <w:rPr>
          <w:rFonts w:ascii="Book Antiqua" w:eastAsia="Book Antiqua" w:hAnsi="Book Antiqua" w:cs="Book Antiqua"/>
          <w:color w:val="000000"/>
          <w:shd w:val="clear" w:color="auto" w:fill="FFFFFF"/>
        </w:rPr>
        <w:t xml:space="preserve">also observed that the predilection locations of cystic lesions were mainly close to RI in ONFH and the main factor inducing the formation of cystic lesions may be the peak stress at RI edge </w:t>
      </w:r>
      <w:r w:rsidRPr="00BB734F">
        <w:rPr>
          <w:rFonts w:ascii="Book Antiqua" w:eastAsia="Book Antiqua" w:hAnsi="Book Antiqua" w:cs="Book Antiqua"/>
          <w:i/>
          <w:iCs/>
          <w:color w:val="000000"/>
          <w:shd w:val="clear" w:color="auto" w:fill="FFFFFF"/>
        </w:rPr>
        <w:t>via</w:t>
      </w:r>
      <w:r w:rsidRPr="00BB734F">
        <w:rPr>
          <w:rFonts w:ascii="Book Antiqua" w:eastAsia="Book Antiqua" w:hAnsi="Book Antiqua" w:cs="Book Antiqua"/>
          <w:color w:val="000000"/>
          <w:shd w:val="clear" w:color="auto" w:fill="FFFFFF"/>
        </w:rPr>
        <w:t xml:space="preserve"> an osteoarthritis-like mechanism.</w:t>
      </w:r>
      <w:r w:rsidRPr="00BB734F">
        <w:rPr>
          <w:rFonts w:ascii="Book Antiqua" w:eastAsia="Book Antiqua" w:hAnsi="Book Antiqua" w:cs="Book Antiqua"/>
          <w:color w:val="000000"/>
        </w:rPr>
        <w:t xml:space="preserve"> Third</w:t>
      </w:r>
      <w:r w:rsidRPr="00BB734F">
        <w:rPr>
          <w:rFonts w:ascii="Book Antiqua" w:eastAsia="Book Antiqua" w:hAnsi="Book Antiqua" w:cs="Book Antiqua"/>
          <w:color w:val="000000"/>
          <w:shd w:val="clear" w:color="auto" w:fill="FFFFFF"/>
        </w:rPr>
        <w:t xml:space="preserve">, </w:t>
      </w:r>
      <w:r w:rsidRPr="00BB734F">
        <w:rPr>
          <w:rFonts w:ascii="Book Antiqua" w:eastAsia="Book Antiqua" w:hAnsi="Book Antiqua" w:cs="Book Antiqua"/>
          <w:color w:val="000000"/>
        </w:rPr>
        <w:t>the</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 xml:space="preserve">femoral head </w:t>
      </w:r>
      <w:r w:rsidRPr="00BB734F">
        <w:rPr>
          <w:rFonts w:ascii="Book Antiqua" w:eastAsia="宋体" w:hAnsi="Book Antiqua" w:cs="Book Antiqua"/>
          <w:color w:val="000000"/>
          <w:lang w:eastAsia="zh-CN"/>
        </w:rPr>
        <w:t xml:space="preserve">of </w:t>
      </w:r>
      <w:r w:rsidRPr="00BB734F">
        <w:rPr>
          <w:rFonts w:ascii="Book Antiqua" w:eastAsia="Book Antiqua" w:hAnsi="Book Antiqua" w:cs="Book Antiqua"/>
          <w:color w:val="000000"/>
        </w:rPr>
        <w:t>SFFFH patients</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collapse</w:t>
      </w:r>
      <w:r w:rsidRPr="00BB734F">
        <w:rPr>
          <w:rFonts w:ascii="Book Antiqua" w:eastAsia="宋体" w:hAnsi="Book Antiqua" w:cs="Book Antiqua"/>
          <w:color w:val="000000"/>
          <w:lang w:eastAsia="zh-CN"/>
        </w:rPr>
        <w:t>s</w:t>
      </w:r>
      <w:r w:rsidRPr="00BB734F">
        <w:rPr>
          <w:rFonts w:ascii="Book Antiqua" w:eastAsia="Book Antiqua" w:hAnsi="Book Antiqua" w:cs="Book Antiqua"/>
          <w:color w:val="000000"/>
        </w:rPr>
        <w:t xml:space="preserve"> rapidly due to a large amount of joint fluid flowing into the cancellous bone, causing osteocyte death once the cartilage is destroyed. The above three points could</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explain</w:t>
      </w:r>
      <w:r w:rsidRPr="00BB734F">
        <w:rPr>
          <w:rFonts w:ascii="Book Antiqua" w:eastAsia="宋体" w:hAnsi="Book Antiqua" w:cs="Book Antiqua"/>
          <w:color w:val="000000"/>
          <w:lang w:eastAsia="zh-CN"/>
        </w:rPr>
        <w:t xml:space="preserve"> the observation</w:t>
      </w:r>
      <w:r w:rsidRPr="00BB734F">
        <w:rPr>
          <w:rFonts w:ascii="Book Antiqua" w:eastAsia="Book Antiqua" w:hAnsi="Book Antiqua" w:cs="Book Antiqua"/>
          <w:color w:val="000000"/>
        </w:rPr>
        <w:t xml:space="preserve"> that </w:t>
      </w:r>
      <w:r w:rsidRPr="00BB734F">
        <w:rPr>
          <w:rFonts w:ascii="Book Antiqua" w:eastAsia="宋体" w:hAnsi="Book Antiqua" w:cs="Book Antiqua"/>
          <w:color w:val="000000"/>
          <w:lang w:eastAsia="zh-CN"/>
        </w:rPr>
        <w:t xml:space="preserve">the </w:t>
      </w:r>
      <w:r w:rsidRPr="00BB734F">
        <w:rPr>
          <w:rFonts w:ascii="Book Antiqua" w:eastAsia="Book Antiqua" w:hAnsi="Book Antiqua" w:cs="Book Antiqua"/>
          <w:color w:val="000000"/>
        </w:rPr>
        <w:t>collapse ratio of the femoral head of SFFFH (69.4%) was higher than that of ONFH (25%) in our study. Fourth, SFFFH</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unlike ONFH</w:t>
      </w:r>
      <w:r w:rsidRPr="00BB734F">
        <w:rPr>
          <w:rFonts w:ascii="Book Antiqua" w:eastAsia="宋体" w:hAnsi="Book Antiqua" w:cs="Book Antiqua"/>
          <w:color w:val="000000"/>
          <w:lang w:eastAsia="zh-CN"/>
        </w:rPr>
        <w:t>,</w:t>
      </w:r>
      <w:r w:rsidRPr="00BB734F">
        <w:rPr>
          <w:rFonts w:ascii="Book Antiqua" w:eastAsia="Book Antiqua" w:hAnsi="Book Antiqua" w:cs="Book Antiqua"/>
          <w:color w:val="000000"/>
        </w:rPr>
        <w:t xml:space="preserve"> usually involves the unilateral femoral head.</w:t>
      </w:r>
    </w:p>
    <w:p w14:paraId="48DAD4CE" w14:textId="77777777" w:rsidR="0003522D" w:rsidRPr="00BB734F" w:rsidRDefault="00000000">
      <w:pPr>
        <w:adjustRightInd w:val="0"/>
        <w:snapToGrid w:val="0"/>
        <w:spacing w:line="360" w:lineRule="auto"/>
        <w:ind w:firstLineChars="200" w:firstLine="480"/>
        <w:jc w:val="both"/>
        <w:rPr>
          <w:rFonts w:ascii="Book Antiqua" w:hAnsi="Book Antiqua" w:cs="Book Antiqua"/>
        </w:rPr>
      </w:pPr>
      <w:r w:rsidRPr="00BB734F">
        <w:rPr>
          <w:rFonts w:ascii="Book Antiqua" w:eastAsia="Book Antiqua" w:hAnsi="Book Antiqua" w:cs="Book Antiqua"/>
          <w:color w:val="000000"/>
        </w:rPr>
        <w:t>For those SFFFH patients with</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pre-collapse lesion</w:t>
      </w:r>
      <w:r w:rsidRPr="00BB734F">
        <w:rPr>
          <w:rFonts w:ascii="Book Antiqua" w:eastAsia="宋体" w:hAnsi="Book Antiqua" w:cs="Book Antiqua"/>
          <w:color w:val="000000"/>
          <w:lang w:eastAsia="zh-CN"/>
        </w:rPr>
        <w:t>s</w:t>
      </w:r>
      <w:r w:rsidRPr="00BB734F">
        <w:rPr>
          <w:rFonts w:ascii="Book Antiqua" w:eastAsia="Book Antiqua" w:hAnsi="Book Antiqua" w:cs="Book Antiqua"/>
          <w:color w:val="000000"/>
        </w:rPr>
        <w:t>, conservative treatment including non-weight bearing with crutches and non-steroidal anti-inflammatory agents should be performed</w:t>
      </w:r>
      <w:r w:rsidRPr="00BB734F">
        <w:rPr>
          <w:rFonts w:ascii="Book Antiqua" w:eastAsia="Book Antiqua" w:hAnsi="Book Antiqua" w:cs="Book Antiqua"/>
          <w:color w:val="000000"/>
          <w:vertAlign w:val="superscript"/>
        </w:rPr>
        <w:t>[33]</w:t>
      </w:r>
      <w:r w:rsidRPr="00BB734F">
        <w:rPr>
          <w:rFonts w:ascii="Book Antiqua" w:eastAsia="Book Antiqua" w:hAnsi="Book Antiqua" w:cs="Book Antiqua"/>
          <w:color w:val="000000"/>
        </w:rPr>
        <w:t xml:space="preserve">. Patients with collapse lesions can be divided into two groups: </w:t>
      </w:r>
      <w:r w:rsidRPr="00BB734F">
        <w:rPr>
          <w:rFonts w:ascii="Book Antiqua" w:eastAsia="宋体" w:hAnsi="Book Antiqua" w:cs="Book Antiqua"/>
          <w:color w:val="000000"/>
          <w:lang w:eastAsia="zh-CN"/>
        </w:rPr>
        <w:t>N</w:t>
      </w:r>
      <w:r w:rsidRPr="00BB734F">
        <w:rPr>
          <w:rFonts w:ascii="Book Antiqua" w:eastAsia="Book Antiqua" w:hAnsi="Book Antiqua" w:cs="Book Antiqua"/>
          <w:color w:val="000000"/>
        </w:rPr>
        <w:t>on-progression of collapse and</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progressive collapse with a diversity of etiologies. It is difficult to highlight reasons for collapse of the femoral head on imaging in some patients. Besides, variation of recovery or worsening could be found even among similar etiological cohorts</w:t>
      </w:r>
      <w:r w:rsidRPr="00BB734F">
        <w:rPr>
          <w:rFonts w:ascii="Book Antiqua" w:eastAsia="Book Antiqua" w:hAnsi="Book Antiqua" w:cs="Book Antiqua"/>
          <w:color w:val="000000"/>
          <w:vertAlign w:val="superscript"/>
        </w:rPr>
        <w:t>[34]</w:t>
      </w:r>
      <w:r w:rsidRPr="00BB734F">
        <w:rPr>
          <w:rFonts w:ascii="Book Antiqua" w:eastAsia="Book Antiqua" w:hAnsi="Book Antiqua" w:cs="Book Antiqua"/>
          <w:color w:val="000000"/>
        </w:rPr>
        <w:t>. Once the femoral head progress</w:t>
      </w:r>
      <w:r w:rsidRPr="00BB734F">
        <w:rPr>
          <w:rFonts w:ascii="Book Antiqua" w:eastAsia="宋体" w:hAnsi="Book Antiqua" w:cs="Book Antiqua"/>
          <w:color w:val="000000"/>
          <w:lang w:eastAsia="zh-CN"/>
        </w:rPr>
        <w:t>ed</w:t>
      </w:r>
      <w:r w:rsidRPr="00BB734F">
        <w:rPr>
          <w:rFonts w:ascii="Book Antiqua" w:eastAsia="Book Antiqua" w:hAnsi="Book Antiqua" w:cs="Book Antiqua"/>
          <w:color w:val="000000"/>
        </w:rPr>
        <w:t xml:space="preserve"> to collapse following the loss of the articular bony margin or arthritic change, their prognosis seemed to be the radiological findings in rapidly destructive arthrosis of the hip joint (RDA)</w:t>
      </w:r>
      <w:r w:rsidRPr="00BB734F">
        <w:rPr>
          <w:rFonts w:ascii="Book Antiqua" w:eastAsia="Book Antiqua" w:hAnsi="Book Antiqua" w:cs="Book Antiqua"/>
          <w:color w:val="000000"/>
          <w:vertAlign w:val="superscript"/>
        </w:rPr>
        <w:t>[7,35]</w:t>
      </w:r>
      <w:r w:rsidRPr="00BB734F">
        <w:rPr>
          <w:rFonts w:ascii="Book Antiqua" w:eastAsia="Book Antiqua" w:hAnsi="Book Antiqua" w:cs="Book Antiqua"/>
          <w:color w:val="000000"/>
        </w:rPr>
        <w:t xml:space="preserve">. Kubo </w:t>
      </w:r>
      <w:r w:rsidRPr="00BB734F">
        <w:rPr>
          <w:rFonts w:ascii="Book Antiqua" w:eastAsia="Book Antiqua" w:hAnsi="Book Antiqua" w:cs="Book Antiqua"/>
          <w:i/>
          <w:iCs/>
          <w:color w:val="000000"/>
        </w:rPr>
        <w:t>et al</w:t>
      </w:r>
      <w:r w:rsidRPr="00BB734F">
        <w:rPr>
          <w:rFonts w:ascii="Book Antiqua" w:eastAsia="Book Antiqua" w:hAnsi="Book Antiqua" w:cs="Book Antiqua"/>
          <w:color w:val="000000"/>
          <w:vertAlign w:val="superscript"/>
        </w:rPr>
        <w:t>[36]</w:t>
      </w:r>
      <w:r w:rsidRPr="00BB734F">
        <w:rPr>
          <w:rFonts w:ascii="Book Antiqua" w:eastAsia="Book Antiqua" w:hAnsi="Book Antiqua" w:cs="Book Antiqua"/>
          <w:color w:val="000000"/>
        </w:rPr>
        <w:t xml:space="preserve"> found that </w:t>
      </w:r>
      <w:r w:rsidRPr="00BB734F">
        <w:rPr>
          <w:rFonts w:ascii="Book Antiqua" w:eastAsia="Book Antiqua" w:hAnsi="Book Antiqua" w:cs="Book Antiqua"/>
          <w:color w:val="000000"/>
          <w:shd w:val="clear" w:color="auto" w:fill="FFFFFF"/>
        </w:rPr>
        <w:t>tartrate-resistant acid phosphatase 5b, a specific bone resorption marker associated with osteoclast cells,</w:t>
      </w:r>
      <w:r w:rsidRPr="00BB734F">
        <w:rPr>
          <w:rFonts w:ascii="Book Antiqua" w:eastAsia="Book Antiqua" w:hAnsi="Book Antiqua" w:cs="Book Antiqua"/>
          <w:color w:val="000000"/>
        </w:rPr>
        <w:t xml:space="preserve"> reflects the condition of progressive collapse in SIFFH as well as RDA. Due to high activity levels in SFFFH patients, </w:t>
      </w:r>
      <w:r w:rsidRPr="00BB734F">
        <w:rPr>
          <w:rFonts w:ascii="Book Antiqua" w:eastAsia="Book Antiqua" w:hAnsi="Book Antiqua" w:cs="Book Antiqua"/>
          <w:color w:val="000000"/>
          <w:shd w:val="clear" w:color="auto" w:fill="FFFFFF"/>
        </w:rPr>
        <w:t xml:space="preserve">hip preservation techniques, such as </w:t>
      </w:r>
      <w:r w:rsidRPr="00BB734F">
        <w:rPr>
          <w:rFonts w:ascii="Book Antiqua" w:eastAsia="宋体" w:hAnsi="Book Antiqua" w:cs="Book Antiqua"/>
          <w:color w:val="000000"/>
          <w:shd w:val="clear" w:color="auto" w:fill="FFFFFF"/>
          <w:lang w:eastAsia="zh-CN"/>
        </w:rPr>
        <w:t>t</w:t>
      </w:r>
      <w:r w:rsidRPr="00BB734F">
        <w:rPr>
          <w:rFonts w:ascii="Book Antiqua" w:eastAsia="Book Antiqua" w:hAnsi="Book Antiqua" w:cs="Book Antiqua"/>
          <w:color w:val="000000"/>
          <w:shd w:val="clear" w:color="auto" w:fill="FFFFFF"/>
        </w:rPr>
        <w:t xml:space="preserve">ranstrochanteric </w:t>
      </w:r>
      <w:r w:rsidRPr="00BB734F">
        <w:rPr>
          <w:rFonts w:ascii="Book Antiqua" w:eastAsia="宋体" w:hAnsi="Book Antiqua" w:cs="Book Antiqua"/>
          <w:color w:val="000000"/>
          <w:shd w:val="clear" w:color="auto" w:fill="FFFFFF"/>
          <w:lang w:eastAsia="zh-CN"/>
        </w:rPr>
        <w:t>a</w:t>
      </w:r>
      <w:r w:rsidRPr="00BB734F">
        <w:rPr>
          <w:rFonts w:ascii="Book Antiqua" w:eastAsia="Book Antiqua" w:hAnsi="Book Antiqua" w:cs="Book Antiqua"/>
          <w:color w:val="000000"/>
          <w:shd w:val="clear" w:color="auto" w:fill="FFFFFF"/>
        </w:rPr>
        <w:t xml:space="preserve">nterior </w:t>
      </w:r>
      <w:r w:rsidRPr="00BB734F">
        <w:rPr>
          <w:rFonts w:ascii="Book Antiqua" w:eastAsia="宋体" w:hAnsi="Book Antiqua" w:cs="Book Antiqua"/>
          <w:color w:val="000000"/>
          <w:shd w:val="clear" w:color="auto" w:fill="FFFFFF"/>
          <w:lang w:eastAsia="zh-CN"/>
        </w:rPr>
        <w:t>r</w:t>
      </w:r>
      <w:r w:rsidRPr="00BB734F">
        <w:rPr>
          <w:rFonts w:ascii="Book Antiqua" w:eastAsia="Book Antiqua" w:hAnsi="Book Antiqua" w:cs="Book Antiqua"/>
          <w:color w:val="000000"/>
          <w:shd w:val="clear" w:color="auto" w:fill="FFFFFF"/>
        </w:rPr>
        <w:t xml:space="preserve">otational </w:t>
      </w:r>
      <w:r w:rsidRPr="00BB734F">
        <w:rPr>
          <w:rFonts w:ascii="Book Antiqua" w:eastAsia="宋体" w:hAnsi="Book Antiqua" w:cs="Book Antiqua"/>
          <w:color w:val="000000"/>
          <w:shd w:val="clear" w:color="auto" w:fill="FFFFFF"/>
          <w:lang w:eastAsia="zh-CN"/>
        </w:rPr>
        <w:t>o</w:t>
      </w:r>
      <w:r w:rsidRPr="00BB734F">
        <w:rPr>
          <w:rFonts w:ascii="Book Antiqua" w:eastAsia="Book Antiqua" w:hAnsi="Book Antiqua" w:cs="Book Antiqua"/>
          <w:color w:val="000000"/>
          <w:shd w:val="clear" w:color="auto" w:fill="FFFFFF"/>
        </w:rPr>
        <w:t>steotomy</w:t>
      </w:r>
      <w:r w:rsidRPr="00BB734F">
        <w:rPr>
          <w:rFonts w:ascii="Book Antiqua" w:eastAsia="Book Antiqua" w:hAnsi="Book Antiqua" w:cs="Book Antiqua"/>
          <w:color w:val="000000"/>
        </w:rPr>
        <w:t>, have been recommended by many previous studies</w:t>
      </w:r>
      <w:r w:rsidRPr="00BB734F">
        <w:rPr>
          <w:rFonts w:ascii="Book Antiqua" w:eastAsia="Book Antiqua" w:hAnsi="Book Antiqua" w:cs="Book Antiqua"/>
          <w:color w:val="000000"/>
          <w:vertAlign w:val="superscript"/>
        </w:rPr>
        <w:t>[37,38]</w:t>
      </w:r>
      <w:r w:rsidRPr="00BB734F">
        <w:rPr>
          <w:rFonts w:ascii="Book Antiqua" w:eastAsia="Book Antiqua" w:hAnsi="Book Antiqua" w:cs="Book Antiqua"/>
          <w:color w:val="000000"/>
        </w:rPr>
        <w:t>.</w:t>
      </w:r>
    </w:p>
    <w:p w14:paraId="0E22B975" w14:textId="77777777" w:rsidR="0003522D" w:rsidRPr="00BB734F" w:rsidRDefault="0003522D">
      <w:pPr>
        <w:adjustRightInd w:val="0"/>
        <w:snapToGrid w:val="0"/>
        <w:spacing w:line="360" w:lineRule="auto"/>
        <w:jc w:val="both"/>
        <w:rPr>
          <w:rFonts w:ascii="Book Antiqua" w:hAnsi="Book Antiqua" w:cs="Book Antiqua"/>
        </w:rPr>
      </w:pPr>
    </w:p>
    <w:p w14:paraId="65317014"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caps/>
          <w:color w:val="000000"/>
          <w:u w:val="single"/>
        </w:rPr>
        <w:t>CONCLUSION</w:t>
      </w:r>
    </w:p>
    <w:p w14:paraId="34A5A069"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 xml:space="preserve">Taken together, we </w:t>
      </w:r>
      <w:r w:rsidRPr="00BB734F">
        <w:rPr>
          <w:rFonts w:ascii="Book Antiqua" w:eastAsia="宋体" w:hAnsi="Book Antiqua" w:cs="Book Antiqua"/>
          <w:color w:val="000000"/>
          <w:lang w:eastAsia="zh-CN"/>
        </w:rPr>
        <w:t xml:space="preserve">have, for the </w:t>
      </w:r>
      <w:r w:rsidRPr="00BB734F">
        <w:rPr>
          <w:rFonts w:ascii="Book Antiqua" w:eastAsia="Book Antiqua" w:hAnsi="Book Antiqua" w:cs="Book Antiqua"/>
          <w:color w:val="000000"/>
        </w:rPr>
        <w:t xml:space="preserve">first </w:t>
      </w:r>
      <w:r w:rsidRPr="00BB734F">
        <w:rPr>
          <w:rFonts w:ascii="Book Antiqua" w:eastAsia="宋体" w:hAnsi="Book Antiqua" w:cs="Book Antiqua"/>
          <w:color w:val="000000"/>
          <w:lang w:eastAsia="zh-CN"/>
        </w:rPr>
        <w:t xml:space="preserve">time, </w:t>
      </w:r>
      <w:r w:rsidRPr="00BB734F">
        <w:rPr>
          <w:rFonts w:ascii="Book Antiqua" w:eastAsia="Book Antiqua" w:hAnsi="Book Antiqua" w:cs="Book Antiqua"/>
          <w:color w:val="000000"/>
        </w:rPr>
        <w:t xml:space="preserve">identified AASA as </w:t>
      </w:r>
      <w:r w:rsidRPr="00BB734F">
        <w:rPr>
          <w:rFonts w:ascii="Book Antiqua" w:eastAsia="宋体" w:hAnsi="Book Antiqua" w:cs="Book Antiqua"/>
          <w:color w:val="000000"/>
          <w:lang w:eastAsia="zh-CN"/>
        </w:rPr>
        <w:t>a</w:t>
      </w:r>
      <w:r w:rsidRPr="00BB734F">
        <w:rPr>
          <w:rFonts w:ascii="Book Antiqua" w:eastAsia="Book Antiqua" w:hAnsi="Book Antiqua" w:cs="Book Antiqua"/>
          <w:color w:val="000000"/>
        </w:rPr>
        <w:t xml:space="preserve"> risk factor </w:t>
      </w:r>
      <w:r w:rsidRPr="00BB734F">
        <w:rPr>
          <w:rFonts w:ascii="Book Antiqua" w:eastAsia="宋体" w:hAnsi="Book Antiqua" w:cs="Book Antiqua"/>
          <w:color w:val="000000"/>
          <w:lang w:eastAsia="zh-CN"/>
        </w:rPr>
        <w:t>for</w:t>
      </w:r>
      <w:r w:rsidRPr="00BB734F">
        <w:rPr>
          <w:rFonts w:ascii="Book Antiqua" w:eastAsia="Book Antiqua" w:hAnsi="Book Antiqua" w:cs="Book Antiqua"/>
          <w:color w:val="000000"/>
        </w:rPr>
        <w:t xml:space="preserve"> SFFFH, which means </w:t>
      </w:r>
      <w:r w:rsidRPr="00BB734F">
        <w:rPr>
          <w:rFonts w:ascii="Book Antiqua" w:eastAsia="宋体" w:hAnsi="Book Antiqua" w:cs="Book Antiqua"/>
          <w:color w:val="000000"/>
          <w:lang w:eastAsia="zh-CN"/>
        </w:rPr>
        <w:t xml:space="preserve">that </w:t>
      </w:r>
      <w:r w:rsidRPr="00BB734F">
        <w:rPr>
          <w:rFonts w:ascii="Book Antiqua" w:eastAsia="Book Antiqua" w:hAnsi="Book Antiqua" w:cs="Book Antiqua"/>
          <w:color w:val="000000"/>
        </w:rPr>
        <w:t>deficient anterior coverage of the acetabulum could induce SFFFH directly. Besides, young people</w:t>
      </w:r>
      <w:r w:rsidRPr="00BB734F">
        <w:rPr>
          <w:rFonts w:ascii="Book Antiqua" w:eastAsia="宋体" w:hAnsi="Book Antiqua" w:cs="Book Antiqua"/>
          <w:color w:val="000000"/>
          <w:lang w:eastAsia="zh-CN"/>
        </w:rPr>
        <w:t>,</w:t>
      </w:r>
      <w:r w:rsidRPr="00BB734F">
        <w:rPr>
          <w:rFonts w:ascii="Book Antiqua" w:eastAsia="Book Antiqua" w:hAnsi="Book Antiqua" w:cs="Book Antiqua"/>
          <w:color w:val="000000"/>
        </w:rPr>
        <w:t xml:space="preserve"> especially those with a history of intense training</w:t>
      </w:r>
      <w:r w:rsidRPr="00BB734F">
        <w:rPr>
          <w:rFonts w:ascii="Book Antiqua" w:eastAsia="宋体" w:hAnsi="Book Antiqua" w:cs="Book Antiqua"/>
          <w:color w:val="000000"/>
          <w:lang w:eastAsia="zh-CN"/>
        </w:rPr>
        <w:t>,</w:t>
      </w:r>
      <w:r w:rsidRPr="00BB734F">
        <w:rPr>
          <w:rFonts w:ascii="Book Antiqua" w:eastAsia="Book Antiqua" w:hAnsi="Book Antiqua" w:cs="Book Antiqua"/>
          <w:color w:val="000000"/>
        </w:rPr>
        <w:t xml:space="preserve"> are at high</w:t>
      </w:r>
      <w:r w:rsidRPr="00BB734F">
        <w:rPr>
          <w:rFonts w:ascii="Book Antiqua" w:eastAsia="宋体" w:hAnsi="Book Antiqua" w:cs="Book Antiqua"/>
          <w:color w:val="000000"/>
          <w:lang w:eastAsia="zh-CN"/>
        </w:rPr>
        <w:t>er</w:t>
      </w:r>
      <w:r w:rsidRPr="00BB734F">
        <w:rPr>
          <w:rFonts w:ascii="Book Antiqua" w:eastAsia="Book Antiqua" w:hAnsi="Book Antiqua" w:cs="Book Antiqua"/>
          <w:color w:val="000000"/>
        </w:rPr>
        <w:t xml:space="preserve"> risk</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 xml:space="preserve">for SFFFH. We advocate for the dissemination of scientific knowledge amongst high-risk populations in order to promote timely intervention in cases of SFFFH. However, we only compared the indicators of SFFFH and ONFH, </w:t>
      </w:r>
      <w:r w:rsidRPr="00BB734F">
        <w:rPr>
          <w:rFonts w:ascii="Book Antiqua" w:eastAsia="宋体" w:hAnsi="Book Antiqua" w:cs="Book Antiqua"/>
          <w:color w:val="000000"/>
          <w:lang w:eastAsia="zh-CN"/>
        </w:rPr>
        <w:t xml:space="preserve">and </w:t>
      </w:r>
      <w:r w:rsidRPr="00BB734F">
        <w:rPr>
          <w:rFonts w:ascii="Book Antiqua" w:eastAsia="Book Antiqua" w:hAnsi="Book Antiqua" w:cs="Book Antiqua"/>
          <w:color w:val="000000"/>
        </w:rPr>
        <w:t>healthy people need</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to be included to solidify the results.</w:t>
      </w:r>
    </w:p>
    <w:p w14:paraId="51079A42" w14:textId="77777777" w:rsidR="0003522D" w:rsidRPr="00BB734F" w:rsidRDefault="0003522D">
      <w:pPr>
        <w:adjustRightInd w:val="0"/>
        <w:snapToGrid w:val="0"/>
        <w:spacing w:line="360" w:lineRule="auto"/>
        <w:jc w:val="both"/>
        <w:rPr>
          <w:rFonts w:ascii="Book Antiqua" w:hAnsi="Book Antiqua" w:cs="Book Antiqua"/>
        </w:rPr>
      </w:pPr>
    </w:p>
    <w:p w14:paraId="2BB5C612"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caps/>
          <w:color w:val="000000"/>
          <w:u w:val="single"/>
        </w:rPr>
        <w:t>ARTICLE HIGHLIGHTS</w:t>
      </w:r>
    </w:p>
    <w:p w14:paraId="777C702F"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i/>
          <w:color w:val="000000"/>
        </w:rPr>
        <w:t>Research background</w:t>
      </w:r>
    </w:p>
    <w:p w14:paraId="7BE8BE7F"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Osteoporosis was considered the main risk factor for hip fracture. However, hip fractures can also occur in young patients with no osteoporosis. Although several studies have reported on insufficiency-type fractures of the femur, there are limited reports on the impact of hip geometry on fatigue-type femoral fractures in young individuals, particularly in young military recruits.</w:t>
      </w:r>
    </w:p>
    <w:p w14:paraId="2AE0FF0E" w14:textId="77777777" w:rsidR="0003522D" w:rsidRPr="00BB734F" w:rsidRDefault="0003522D">
      <w:pPr>
        <w:adjustRightInd w:val="0"/>
        <w:snapToGrid w:val="0"/>
        <w:spacing w:line="360" w:lineRule="auto"/>
        <w:jc w:val="both"/>
        <w:rPr>
          <w:rFonts w:ascii="Book Antiqua" w:hAnsi="Book Antiqua" w:cs="Book Antiqua"/>
        </w:rPr>
      </w:pPr>
    </w:p>
    <w:p w14:paraId="14A58BBD"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i/>
          <w:color w:val="000000"/>
        </w:rPr>
        <w:t>Research motivation</w:t>
      </w:r>
    </w:p>
    <w:p w14:paraId="2DEE885C"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Subchondral fatigue fracture of the femoral head (SFFFH) mainly occurs in young military recruits and might be confused with osteonecrosis of the femoral head (ONFH). However, less research focus</w:t>
      </w:r>
      <w:r w:rsidRPr="00BB734F">
        <w:rPr>
          <w:rFonts w:ascii="Book Antiqua" w:eastAsia="宋体" w:hAnsi="Book Antiqua" w:cs="Book Antiqua"/>
          <w:color w:val="000000"/>
          <w:lang w:eastAsia="zh-CN"/>
        </w:rPr>
        <w:t>es</w:t>
      </w:r>
      <w:r w:rsidRPr="00BB734F">
        <w:rPr>
          <w:rFonts w:ascii="Book Antiqua" w:eastAsia="Book Antiqua" w:hAnsi="Book Antiqua" w:cs="Book Antiqua"/>
          <w:color w:val="000000"/>
        </w:rPr>
        <w:t xml:space="preserve"> on the risk factor for SFFFH.</w:t>
      </w:r>
    </w:p>
    <w:p w14:paraId="32F1FBD4" w14:textId="77777777" w:rsidR="0003522D" w:rsidRPr="00BB734F" w:rsidRDefault="0003522D">
      <w:pPr>
        <w:adjustRightInd w:val="0"/>
        <w:snapToGrid w:val="0"/>
        <w:spacing w:line="360" w:lineRule="auto"/>
        <w:jc w:val="both"/>
        <w:rPr>
          <w:rFonts w:ascii="Book Antiqua" w:hAnsi="Book Antiqua" w:cs="Book Antiqua"/>
        </w:rPr>
      </w:pPr>
    </w:p>
    <w:p w14:paraId="0856B5A8"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i/>
          <w:color w:val="000000"/>
        </w:rPr>
        <w:t>Research objectives</w:t>
      </w:r>
    </w:p>
    <w:p w14:paraId="0183A602"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Our study aimed to identify the intrinsic risk factors for SFFFH in young Chinese military recruits.</w:t>
      </w:r>
    </w:p>
    <w:p w14:paraId="32844224" w14:textId="77777777" w:rsidR="0003522D" w:rsidRPr="00BB734F" w:rsidRDefault="0003522D">
      <w:pPr>
        <w:adjustRightInd w:val="0"/>
        <w:snapToGrid w:val="0"/>
        <w:spacing w:line="360" w:lineRule="auto"/>
        <w:jc w:val="both"/>
        <w:rPr>
          <w:rFonts w:ascii="Book Antiqua" w:hAnsi="Book Antiqua" w:cs="Book Antiqua"/>
        </w:rPr>
      </w:pPr>
    </w:p>
    <w:p w14:paraId="16EA2763"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i/>
          <w:color w:val="000000"/>
        </w:rPr>
        <w:t>Research methods</w:t>
      </w:r>
    </w:p>
    <w:p w14:paraId="2FF5CACF"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lastRenderedPageBreak/>
        <w:t xml:space="preserve">X-ray and magnetic resonance imaging </w:t>
      </w:r>
      <w:r w:rsidRPr="00BB734F">
        <w:rPr>
          <w:rFonts w:ascii="Book Antiqua" w:eastAsia="宋体" w:hAnsi="Book Antiqua" w:cs="Book Antiqua"/>
          <w:color w:val="000000"/>
          <w:lang w:eastAsia="zh-CN"/>
        </w:rPr>
        <w:t xml:space="preserve">data </w:t>
      </w:r>
      <w:r w:rsidRPr="00BB734F">
        <w:rPr>
          <w:rFonts w:ascii="Book Antiqua" w:eastAsia="Book Antiqua" w:hAnsi="Book Antiqua" w:cs="Book Antiqua"/>
          <w:color w:val="000000"/>
        </w:rPr>
        <w:t xml:space="preserve">were </w:t>
      </w:r>
      <w:r w:rsidRPr="00BB734F">
        <w:rPr>
          <w:rFonts w:ascii="Book Antiqua" w:eastAsia="宋体" w:hAnsi="Book Antiqua" w:cs="Book Antiqua"/>
          <w:color w:val="000000"/>
          <w:lang w:eastAsia="zh-CN"/>
        </w:rPr>
        <w:t>used</w:t>
      </w:r>
      <w:r w:rsidRPr="00BB734F">
        <w:rPr>
          <w:rFonts w:ascii="Book Antiqua" w:eastAsia="Book Antiqua" w:hAnsi="Book Antiqua" w:cs="Book Antiqua"/>
          <w:color w:val="000000"/>
        </w:rPr>
        <w:t xml:space="preserve"> for analysis. And logistic regression, receiver operating characteristic curve</w:t>
      </w:r>
      <w:r w:rsidRPr="00BB734F">
        <w:rPr>
          <w:rFonts w:ascii="Book Antiqua" w:eastAsia="宋体" w:hAnsi="Book Antiqua" w:cs="Book Antiqua"/>
          <w:color w:val="000000"/>
          <w:lang w:eastAsia="zh-CN"/>
        </w:rPr>
        <w:t xml:space="preserve"> analysis</w:t>
      </w:r>
      <w:r w:rsidRPr="00BB734F">
        <w:rPr>
          <w:rFonts w:ascii="Book Antiqua" w:eastAsia="Book Antiqua" w:hAnsi="Book Antiqua" w:cs="Book Antiqua"/>
          <w:color w:val="000000"/>
        </w:rPr>
        <w:t xml:space="preserve">, and independent samples </w:t>
      </w:r>
      <w:r w:rsidRPr="00BB734F">
        <w:rPr>
          <w:rFonts w:ascii="Book Antiqua" w:eastAsia="宋体" w:hAnsi="Book Antiqua" w:cs="Book Antiqua"/>
          <w:i/>
          <w:iCs/>
          <w:color w:val="000000"/>
          <w:lang w:eastAsia="zh-CN"/>
        </w:rPr>
        <w:t>t</w:t>
      </w:r>
      <w:r w:rsidRPr="00BB734F">
        <w:rPr>
          <w:rFonts w:ascii="Book Antiqua" w:eastAsia="Book Antiqua" w:hAnsi="Book Antiqua" w:cs="Book Antiqua"/>
          <w:color w:val="000000"/>
        </w:rPr>
        <w:t>-test were performed to</w:t>
      </w:r>
      <w:r w:rsidRPr="00BB734F">
        <w:rPr>
          <w:rFonts w:ascii="Book Antiqua" w:eastAsia="宋体" w:hAnsi="Book Antiqua" w:cs="Book Antiqua"/>
          <w:color w:val="000000"/>
          <w:lang w:eastAsia="zh-CN"/>
        </w:rPr>
        <w:t xml:space="preserve"> identify</w:t>
      </w:r>
      <w:r w:rsidRPr="00BB734F">
        <w:rPr>
          <w:rFonts w:ascii="Book Antiqua" w:eastAsia="Book Antiqua" w:hAnsi="Book Antiqua" w:cs="Book Antiqua"/>
          <w:color w:val="000000"/>
        </w:rPr>
        <w:t xml:space="preserve"> the risk factors </w:t>
      </w:r>
      <w:r w:rsidRPr="00BB734F">
        <w:rPr>
          <w:rFonts w:ascii="Book Antiqua" w:eastAsia="宋体" w:hAnsi="Book Antiqua" w:cs="Book Antiqua"/>
          <w:color w:val="000000"/>
          <w:lang w:eastAsia="zh-CN"/>
        </w:rPr>
        <w:t>for</w:t>
      </w:r>
      <w:r w:rsidRPr="00BB734F">
        <w:rPr>
          <w:rFonts w:ascii="Book Antiqua" w:eastAsia="Book Antiqua" w:hAnsi="Book Antiqua" w:cs="Book Antiqua"/>
          <w:color w:val="000000"/>
        </w:rPr>
        <w:t xml:space="preserve"> SFFFH.</w:t>
      </w:r>
    </w:p>
    <w:p w14:paraId="03722E1F" w14:textId="77777777" w:rsidR="0003522D" w:rsidRPr="00BB734F" w:rsidRDefault="0003522D">
      <w:pPr>
        <w:adjustRightInd w:val="0"/>
        <w:snapToGrid w:val="0"/>
        <w:spacing w:line="360" w:lineRule="auto"/>
        <w:jc w:val="both"/>
        <w:rPr>
          <w:rFonts w:ascii="Book Antiqua" w:hAnsi="Book Antiqua" w:cs="Book Antiqua"/>
        </w:rPr>
      </w:pPr>
    </w:p>
    <w:p w14:paraId="4E601EF5"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i/>
          <w:color w:val="000000"/>
        </w:rPr>
        <w:t>Research results</w:t>
      </w:r>
    </w:p>
    <w:p w14:paraId="58908E55"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Overall</w:t>
      </w:r>
      <w:r w:rsidRPr="00BB734F">
        <w:rPr>
          <w:rFonts w:ascii="Book Antiqua" w:eastAsia="宋体" w:hAnsi="Book Antiqua" w:cs="Book Antiqua"/>
          <w:color w:val="000000"/>
          <w:lang w:eastAsia="zh-CN"/>
        </w:rPr>
        <w:t>,</w:t>
      </w:r>
      <w:r w:rsidRPr="00BB734F">
        <w:rPr>
          <w:rFonts w:ascii="Book Antiqua" w:eastAsia="Book Antiqua" w:hAnsi="Book Antiqua" w:cs="Book Antiqua"/>
          <w:color w:val="000000"/>
        </w:rPr>
        <w:t xml:space="preserve"> our findings indicate that a small anterior acetabular sector angle (AASA) indicates poor anterior coverage of the femoral head and can increase the risk of SFFFH in young patients. Since patients with a history of intense military training may be at higher risk for SFFFH, early detection and appropriate management are crucial to prevent further deterioration of the femoral head and preserve joint function.</w:t>
      </w:r>
    </w:p>
    <w:p w14:paraId="3CB135A3" w14:textId="77777777" w:rsidR="0003522D" w:rsidRPr="00BB734F" w:rsidRDefault="0003522D">
      <w:pPr>
        <w:adjustRightInd w:val="0"/>
        <w:snapToGrid w:val="0"/>
        <w:spacing w:line="360" w:lineRule="auto"/>
        <w:jc w:val="both"/>
        <w:rPr>
          <w:rFonts w:ascii="Book Antiqua" w:hAnsi="Book Antiqua" w:cs="Book Antiqua"/>
        </w:rPr>
      </w:pPr>
    </w:p>
    <w:p w14:paraId="7563711F"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i/>
          <w:color w:val="000000"/>
        </w:rPr>
        <w:t>Research conclusions</w:t>
      </w:r>
    </w:p>
    <w:p w14:paraId="02F7BA56"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Based on the</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findings</w:t>
      </w:r>
      <w:r w:rsidRPr="00BB734F">
        <w:rPr>
          <w:rFonts w:ascii="Book Antiqua" w:eastAsia="宋体" w:hAnsi="Book Antiqua" w:cs="Book Antiqua"/>
          <w:color w:val="000000"/>
          <w:lang w:eastAsia="zh-CN"/>
        </w:rPr>
        <w:t xml:space="preserve"> of the study</w:t>
      </w:r>
      <w:r w:rsidRPr="00BB734F">
        <w:rPr>
          <w:rFonts w:ascii="Book Antiqua" w:eastAsia="Book Antiqua" w:hAnsi="Book Antiqua" w:cs="Book Antiqua"/>
          <w:color w:val="000000"/>
        </w:rPr>
        <w:t>, we</w:t>
      </w:r>
      <w:r w:rsidRPr="00BB734F">
        <w:rPr>
          <w:rFonts w:ascii="Book Antiqua" w:eastAsia="宋体" w:hAnsi="Book Antiqua" w:cs="Book Antiqua"/>
          <w:color w:val="000000"/>
          <w:lang w:eastAsia="zh-CN"/>
        </w:rPr>
        <w:t xml:space="preserve"> </w:t>
      </w:r>
      <w:r w:rsidRPr="00BB734F">
        <w:rPr>
          <w:rFonts w:ascii="Book Antiqua" w:eastAsia="Book Antiqua" w:hAnsi="Book Antiqua" w:cs="Book Antiqua"/>
          <w:color w:val="000000"/>
        </w:rPr>
        <w:t>recommend orthopedic surgeons not to exclude the possibility of SFFFH in patients who present with hip pain and have a history of intense military training, particularly if they have a small AASA.</w:t>
      </w:r>
    </w:p>
    <w:p w14:paraId="74B42352" w14:textId="77777777" w:rsidR="0003522D" w:rsidRPr="00BB734F" w:rsidRDefault="0003522D">
      <w:pPr>
        <w:adjustRightInd w:val="0"/>
        <w:snapToGrid w:val="0"/>
        <w:spacing w:line="360" w:lineRule="auto"/>
        <w:jc w:val="both"/>
        <w:rPr>
          <w:rFonts w:ascii="Book Antiqua" w:hAnsi="Book Antiqua" w:cs="Book Antiqua"/>
        </w:rPr>
      </w:pPr>
    </w:p>
    <w:p w14:paraId="3DBBF5D4"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i/>
          <w:color w:val="000000"/>
        </w:rPr>
        <w:t>Research perspectives</w:t>
      </w:r>
    </w:p>
    <w:p w14:paraId="6ED2AC4A"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color w:val="000000"/>
        </w:rPr>
        <w:t>We advocate for the dissemination of scientific knowledge amongst high-risk populations in order to promote timely intervention in cases of SFFFH.</w:t>
      </w:r>
    </w:p>
    <w:p w14:paraId="232890C4" w14:textId="77777777" w:rsidR="0003522D" w:rsidRPr="00BB734F" w:rsidRDefault="0003522D">
      <w:pPr>
        <w:adjustRightInd w:val="0"/>
        <w:snapToGrid w:val="0"/>
        <w:spacing w:line="360" w:lineRule="auto"/>
        <w:jc w:val="both"/>
        <w:rPr>
          <w:rFonts w:ascii="Book Antiqua" w:hAnsi="Book Antiqua" w:cs="Book Antiqua"/>
        </w:rPr>
      </w:pPr>
    </w:p>
    <w:p w14:paraId="664668AC"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color w:val="000000"/>
        </w:rPr>
        <w:t>REFERENCES</w:t>
      </w:r>
    </w:p>
    <w:p w14:paraId="362A748A"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1 </w:t>
      </w:r>
      <w:r w:rsidRPr="00BB734F">
        <w:rPr>
          <w:rFonts w:ascii="Book Antiqua" w:eastAsia="Book Antiqua" w:hAnsi="Book Antiqua" w:cs="Book Antiqua"/>
          <w:b/>
          <w:bCs/>
        </w:rPr>
        <w:t>Lee S</w:t>
      </w:r>
      <w:r w:rsidRPr="00BB734F">
        <w:rPr>
          <w:rFonts w:ascii="Book Antiqua" w:eastAsia="Book Antiqua" w:hAnsi="Book Antiqua" w:cs="Book Antiqua"/>
        </w:rPr>
        <w:t xml:space="preserve">, Kim HJ, Yoo JJ. Factors Affecting the Clinical Course of Subchondral Fatigue Fracture of the Femoral Head. </w:t>
      </w:r>
      <w:r w:rsidRPr="00BB734F">
        <w:rPr>
          <w:rFonts w:ascii="Book Antiqua" w:eastAsia="Book Antiqua" w:hAnsi="Book Antiqua" w:cs="Book Antiqua"/>
          <w:i/>
          <w:iCs/>
        </w:rPr>
        <w:t>Clin Orthop Surg</w:t>
      </w:r>
      <w:r w:rsidRPr="00BB734F">
        <w:rPr>
          <w:rFonts w:ascii="Book Antiqua" w:eastAsia="Book Antiqua" w:hAnsi="Book Antiqua" w:cs="Book Antiqua"/>
        </w:rPr>
        <w:t xml:space="preserve"> 2023; </w:t>
      </w:r>
      <w:r w:rsidRPr="00BB734F">
        <w:rPr>
          <w:rFonts w:ascii="Book Antiqua" w:eastAsia="Book Antiqua" w:hAnsi="Book Antiqua" w:cs="Book Antiqua"/>
          <w:b/>
          <w:bCs/>
        </w:rPr>
        <w:t>15</w:t>
      </w:r>
      <w:r w:rsidRPr="00BB734F">
        <w:rPr>
          <w:rFonts w:ascii="Book Antiqua" w:eastAsia="Book Antiqua" w:hAnsi="Book Antiqua" w:cs="Book Antiqua"/>
        </w:rPr>
        <w:t>: 203-210 [PMID: 37008972 DOI: 10.4055/cios22044]</w:t>
      </w:r>
    </w:p>
    <w:p w14:paraId="15C594BF"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2 </w:t>
      </w:r>
      <w:r w:rsidRPr="00BB734F">
        <w:rPr>
          <w:rFonts w:ascii="Book Antiqua" w:eastAsia="Book Antiqua" w:hAnsi="Book Antiqua" w:cs="Book Antiqua"/>
          <w:b/>
          <w:bCs/>
        </w:rPr>
        <w:t>Yoon HK</w:t>
      </w:r>
      <w:r w:rsidRPr="00BB734F">
        <w:rPr>
          <w:rFonts w:ascii="Book Antiqua" w:eastAsia="Book Antiqua" w:hAnsi="Book Antiqua" w:cs="Book Antiqua"/>
        </w:rPr>
        <w:t xml:space="preserve">, Choi MH, Lee H, Park J, Ahn J. Subchondral stress fracture of the femoral head (SSFFH) in young and healthy military recruits: clinical recommendations and fracture configurations on MRI. </w:t>
      </w:r>
      <w:r w:rsidRPr="00BB734F">
        <w:rPr>
          <w:rFonts w:ascii="Book Antiqua" w:eastAsia="Book Antiqua" w:hAnsi="Book Antiqua" w:cs="Book Antiqua"/>
          <w:i/>
          <w:iCs/>
        </w:rPr>
        <w:t>Int Orthop</w:t>
      </w:r>
      <w:r w:rsidRPr="00BB734F">
        <w:rPr>
          <w:rFonts w:ascii="Book Antiqua" w:eastAsia="Book Antiqua" w:hAnsi="Book Antiqua" w:cs="Book Antiqua"/>
        </w:rPr>
        <w:t xml:space="preserve"> 2023; </w:t>
      </w:r>
      <w:r w:rsidRPr="00BB734F">
        <w:rPr>
          <w:rFonts w:ascii="Book Antiqua" w:eastAsia="Book Antiqua" w:hAnsi="Book Antiqua" w:cs="Book Antiqua"/>
          <w:b/>
          <w:bCs/>
        </w:rPr>
        <w:t>47</w:t>
      </w:r>
      <w:r w:rsidRPr="00BB734F">
        <w:rPr>
          <w:rFonts w:ascii="Book Antiqua" w:eastAsia="Book Antiqua" w:hAnsi="Book Antiqua" w:cs="Book Antiqua"/>
        </w:rPr>
        <w:t>: 1315-1321 [PMID: 36829086 DOI: 10.1007/s00264-023-05739-4]</w:t>
      </w:r>
    </w:p>
    <w:p w14:paraId="57E82938"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lastRenderedPageBreak/>
        <w:t xml:space="preserve">3 </w:t>
      </w:r>
      <w:r w:rsidRPr="00BB734F">
        <w:rPr>
          <w:rFonts w:ascii="Book Antiqua" w:eastAsia="Book Antiqua" w:hAnsi="Book Antiqua" w:cs="Book Antiqua"/>
          <w:b/>
          <w:bCs/>
        </w:rPr>
        <w:t>Lee YK</w:t>
      </w:r>
      <w:r w:rsidRPr="00BB734F">
        <w:rPr>
          <w:rFonts w:ascii="Book Antiqua" w:eastAsia="Book Antiqua" w:hAnsi="Book Antiqua" w:cs="Book Antiqua"/>
        </w:rPr>
        <w:t xml:space="preserve">, Won SH, Park JW, Im JW, Ha YC, Koo KH. Cementless Hip Arthroplasty in Patients with Subchondral Insufficiency Fracture of the Femoral Head. </w:t>
      </w:r>
      <w:r w:rsidRPr="00BB734F">
        <w:rPr>
          <w:rFonts w:ascii="Book Antiqua" w:eastAsia="Book Antiqua" w:hAnsi="Book Antiqua" w:cs="Book Antiqua"/>
          <w:i/>
          <w:iCs/>
        </w:rPr>
        <w:t>J Bone Joint Surg Am</w:t>
      </w:r>
      <w:r w:rsidRPr="00BB734F">
        <w:rPr>
          <w:rFonts w:ascii="Book Antiqua" w:eastAsia="Book Antiqua" w:hAnsi="Book Antiqua" w:cs="Book Antiqua"/>
        </w:rPr>
        <w:t xml:space="preserve"> 2022; </w:t>
      </w:r>
      <w:r w:rsidRPr="00BB734F">
        <w:rPr>
          <w:rFonts w:ascii="Book Antiqua" w:eastAsia="Book Antiqua" w:hAnsi="Book Antiqua" w:cs="Book Antiqua"/>
          <w:b/>
          <w:bCs/>
        </w:rPr>
        <w:t>104</w:t>
      </w:r>
      <w:r w:rsidRPr="00BB734F">
        <w:rPr>
          <w:rFonts w:ascii="Book Antiqua" w:eastAsia="Book Antiqua" w:hAnsi="Book Antiqua" w:cs="Book Antiqua"/>
        </w:rPr>
        <w:t>: 84-89 [PMID: 34788256 DOI: 10.2106/JBJS.20.00410]</w:t>
      </w:r>
    </w:p>
    <w:p w14:paraId="00822E47"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4 </w:t>
      </w:r>
      <w:r w:rsidRPr="00BB734F">
        <w:rPr>
          <w:rFonts w:ascii="Book Antiqua" w:eastAsia="Book Antiqua" w:hAnsi="Book Antiqua" w:cs="Book Antiqua"/>
          <w:b/>
          <w:bCs/>
        </w:rPr>
        <w:t>Lee YJ</w:t>
      </w:r>
      <w:r w:rsidRPr="00BB734F">
        <w:rPr>
          <w:rFonts w:ascii="Book Antiqua" w:eastAsia="Book Antiqua" w:hAnsi="Book Antiqua" w:cs="Book Antiqua"/>
        </w:rPr>
        <w:t xml:space="preserve">, Kim YG. Subchondral insufficiency fracture of the femoral head in a patient with ankylosing spondylitis: Case report and literature review. </w:t>
      </w:r>
      <w:r w:rsidRPr="00BB734F">
        <w:rPr>
          <w:rFonts w:ascii="Book Antiqua" w:eastAsia="Book Antiqua" w:hAnsi="Book Antiqua" w:cs="Book Antiqua"/>
          <w:i/>
          <w:iCs/>
        </w:rPr>
        <w:t>Int J Rheum Dis</w:t>
      </w:r>
      <w:r w:rsidRPr="00BB734F">
        <w:rPr>
          <w:rFonts w:ascii="Book Antiqua" w:eastAsia="Book Antiqua" w:hAnsi="Book Antiqua" w:cs="Book Antiqua"/>
        </w:rPr>
        <w:t xml:space="preserve"> 2023; </w:t>
      </w:r>
      <w:r w:rsidRPr="00BB734F">
        <w:rPr>
          <w:rFonts w:ascii="Book Antiqua" w:eastAsia="Book Antiqua" w:hAnsi="Book Antiqua" w:cs="Book Antiqua"/>
          <w:b/>
          <w:bCs/>
        </w:rPr>
        <w:t>26</w:t>
      </w:r>
      <w:r w:rsidRPr="00BB734F">
        <w:rPr>
          <w:rFonts w:ascii="Book Antiqua" w:eastAsia="Book Antiqua" w:hAnsi="Book Antiqua" w:cs="Book Antiqua"/>
        </w:rPr>
        <w:t>: 1599-1602 [PMID: 36896680 DOI: 10.1111/1756-185X.14641]</w:t>
      </w:r>
    </w:p>
    <w:p w14:paraId="1D36009C"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5 </w:t>
      </w:r>
      <w:r w:rsidRPr="00BB734F">
        <w:rPr>
          <w:rFonts w:ascii="Book Antiqua" w:eastAsia="Book Antiqua" w:hAnsi="Book Antiqua" w:cs="Book Antiqua"/>
          <w:b/>
          <w:bCs/>
        </w:rPr>
        <w:t>Kawano K</w:t>
      </w:r>
      <w:r w:rsidRPr="00BB734F">
        <w:rPr>
          <w:rFonts w:ascii="Book Antiqua" w:eastAsia="Book Antiqua" w:hAnsi="Book Antiqua" w:cs="Book Antiqua"/>
        </w:rPr>
        <w:t xml:space="preserve">, Motomura G, Ikemura S, Yamaguchi R, Baba S, Xu M, Nakashima Y. Differences in the microarchitectural features of the lateral collapsed lesion between osteonecrosis and subchondral insufficiency fracture of the femoral head. </w:t>
      </w:r>
      <w:r w:rsidRPr="00BB734F">
        <w:rPr>
          <w:rFonts w:ascii="Book Antiqua" w:eastAsia="Book Antiqua" w:hAnsi="Book Antiqua" w:cs="Book Antiqua"/>
          <w:i/>
          <w:iCs/>
        </w:rPr>
        <w:t>Bone</w:t>
      </w:r>
      <w:r w:rsidRPr="00BB734F">
        <w:rPr>
          <w:rFonts w:ascii="Book Antiqua" w:eastAsia="Book Antiqua" w:hAnsi="Book Antiqua" w:cs="Book Antiqua"/>
        </w:rPr>
        <w:t xml:space="preserve"> 2020; </w:t>
      </w:r>
      <w:r w:rsidRPr="00BB734F">
        <w:rPr>
          <w:rFonts w:ascii="Book Antiqua" w:eastAsia="Book Antiqua" w:hAnsi="Book Antiqua" w:cs="Book Antiqua"/>
          <w:b/>
          <w:bCs/>
        </w:rPr>
        <w:t>141</w:t>
      </w:r>
      <w:r w:rsidRPr="00BB734F">
        <w:rPr>
          <w:rFonts w:ascii="Book Antiqua" w:eastAsia="Book Antiqua" w:hAnsi="Book Antiqua" w:cs="Book Antiqua"/>
        </w:rPr>
        <w:t>: 115585 [PMID: 32795680 DOI: 10.1016/j.bone.2020.115585]</w:t>
      </w:r>
    </w:p>
    <w:p w14:paraId="3BC21799"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6 </w:t>
      </w:r>
      <w:r w:rsidRPr="00BB734F">
        <w:rPr>
          <w:rFonts w:ascii="Book Antiqua" w:eastAsia="Book Antiqua" w:hAnsi="Book Antiqua" w:cs="Book Antiqua"/>
          <w:b/>
          <w:bCs/>
        </w:rPr>
        <w:t>Chen M</w:t>
      </w:r>
      <w:r w:rsidRPr="00BB734F">
        <w:rPr>
          <w:rFonts w:ascii="Book Antiqua" w:eastAsia="Book Antiqua" w:hAnsi="Book Antiqua" w:cs="Book Antiqua"/>
        </w:rPr>
        <w:t xml:space="preserve">, Wang X, Takahashi E, Kaneuji A, Zhou Y, Kawahara N. Current Research on Subchondral Insufficiency Fracture of the Femoral Head. </w:t>
      </w:r>
      <w:r w:rsidRPr="00BB734F">
        <w:rPr>
          <w:rFonts w:ascii="Book Antiqua" w:eastAsia="Book Antiqua" w:hAnsi="Book Antiqua" w:cs="Book Antiqua"/>
          <w:i/>
          <w:iCs/>
        </w:rPr>
        <w:t>Clin Orthop Surg</w:t>
      </w:r>
      <w:r w:rsidRPr="00BB734F">
        <w:rPr>
          <w:rFonts w:ascii="Book Antiqua" w:eastAsia="Book Antiqua" w:hAnsi="Book Antiqua" w:cs="Book Antiqua"/>
        </w:rPr>
        <w:t xml:space="preserve"> 2022; </w:t>
      </w:r>
      <w:r w:rsidRPr="00BB734F">
        <w:rPr>
          <w:rFonts w:ascii="Book Antiqua" w:eastAsia="Book Antiqua" w:hAnsi="Book Antiqua" w:cs="Book Antiqua"/>
          <w:b/>
          <w:bCs/>
        </w:rPr>
        <w:t>14</w:t>
      </w:r>
      <w:r w:rsidRPr="00BB734F">
        <w:rPr>
          <w:rFonts w:ascii="Book Antiqua" w:eastAsia="Book Antiqua" w:hAnsi="Book Antiqua" w:cs="Book Antiqua"/>
        </w:rPr>
        <w:t>: 477-485 [PMID: 36518923 DOI: 10.4055/cios22175]</w:t>
      </w:r>
    </w:p>
    <w:p w14:paraId="20100D08"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7 </w:t>
      </w:r>
      <w:r w:rsidRPr="00BB734F">
        <w:rPr>
          <w:rFonts w:ascii="Book Antiqua" w:eastAsia="Book Antiqua" w:hAnsi="Book Antiqua" w:cs="Book Antiqua"/>
          <w:b/>
          <w:bCs/>
        </w:rPr>
        <w:t>Yamamoto T</w:t>
      </w:r>
      <w:r w:rsidRPr="00BB734F">
        <w:rPr>
          <w:rFonts w:ascii="Book Antiqua" w:eastAsia="Book Antiqua" w:hAnsi="Book Antiqua" w:cs="Book Antiqua"/>
        </w:rPr>
        <w:t xml:space="preserve">, Schneider R, Bullough PG. Subchondral insufficiency fracture of the femoral head: histopathologic correlation with MRI. </w:t>
      </w:r>
      <w:r w:rsidRPr="00BB734F">
        <w:rPr>
          <w:rFonts w:ascii="Book Antiqua" w:eastAsia="Book Antiqua" w:hAnsi="Book Antiqua" w:cs="Book Antiqua"/>
          <w:i/>
          <w:iCs/>
        </w:rPr>
        <w:t>Skeletal Radiol</w:t>
      </w:r>
      <w:r w:rsidRPr="00BB734F">
        <w:rPr>
          <w:rFonts w:ascii="Book Antiqua" w:eastAsia="Book Antiqua" w:hAnsi="Book Antiqua" w:cs="Book Antiqua"/>
        </w:rPr>
        <w:t xml:space="preserve"> 2001; </w:t>
      </w:r>
      <w:r w:rsidRPr="00BB734F">
        <w:rPr>
          <w:rFonts w:ascii="Book Antiqua" w:eastAsia="Book Antiqua" w:hAnsi="Book Antiqua" w:cs="Book Antiqua"/>
          <w:b/>
          <w:bCs/>
        </w:rPr>
        <w:t>30</w:t>
      </w:r>
      <w:r w:rsidRPr="00BB734F">
        <w:rPr>
          <w:rFonts w:ascii="Book Antiqua" w:eastAsia="Book Antiqua" w:hAnsi="Book Antiqua" w:cs="Book Antiqua"/>
        </w:rPr>
        <w:t>: 247-254 [PMID: 11407715 DOI: 10.1007/s002560100348]</w:t>
      </w:r>
    </w:p>
    <w:p w14:paraId="22D0AFCB"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8 </w:t>
      </w:r>
      <w:r w:rsidRPr="00BB734F">
        <w:rPr>
          <w:rFonts w:ascii="Book Antiqua" w:eastAsia="Book Antiqua" w:hAnsi="Book Antiqua" w:cs="Book Antiqua"/>
          <w:b/>
          <w:bCs/>
        </w:rPr>
        <w:t>Kim DK</w:t>
      </w:r>
      <w:r w:rsidRPr="00BB734F">
        <w:rPr>
          <w:rFonts w:ascii="Book Antiqua" w:eastAsia="Book Antiqua" w:hAnsi="Book Antiqua" w:cs="Book Antiqua"/>
        </w:rPr>
        <w:t xml:space="preserve">, Kim TH. Femoral neck shaft angle in relation to the location of femoral stress fracture in young military recruits: femoral head </w:t>
      </w:r>
      <w:r w:rsidRPr="00BB734F">
        <w:rPr>
          <w:rFonts w:ascii="Book Antiqua" w:eastAsia="Book Antiqua" w:hAnsi="Book Antiqua" w:cs="Book Antiqua"/>
          <w:i/>
          <w:iCs/>
        </w:rPr>
        <w:t>vs</w:t>
      </w:r>
      <w:r w:rsidRPr="00BB734F">
        <w:rPr>
          <w:rFonts w:ascii="Book Antiqua" w:eastAsia="Book Antiqua" w:hAnsi="Book Antiqua" w:cs="Book Antiqua"/>
        </w:rPr>
        <w:t xml:space="preserve"> femoral neck stress fracture. </w:t>
      </w:r>
      <w:r w:rsidRPr="00BB734F">
        <w:rPr>
          <w:rFonts w:ascii="Book Antiqua" w:eastAsia="Book Antiqua" w:hAnsi="Book Antiqua" w:cs="Book Antiqua"/>
          <w:i/>
          <w:iCs/>
        </w:rPr>
        <w:t>Skeletal Radiol</w:t>
      </w:r>
      <w:r w:rsidRPr="00BB734F">
        <w:rPr>
          <w:rFonts w:ascii="Book Antiqua" w:eastAsia="Book Antiqua" w:hAnsi="Book Antiqua" w:cs="Book Antiqua"/>
        </w:rPr>
        <w:t xml:space="preserve"> 2021; </w:t>
      </w:r>
      <w:r w:rsidRPr="00BB734F">
        <w:rPr>
          <w:rFonts w:ascii="Book Antiqua" w:eastAsia="Book Antiqua" w:hAnsi="Book Antiqua" w:cs="Book Antiqua"/>
          <w:b/>
          <w:bCs/>
        </w:rPr>
        <w:t>50</w:t>
      </w:r>
      <w:r w:rsidRPr="00BB734F">
        <w:rPr>
          <w:rFonts w:ascii="Book Antiqua" w:eastAsia="Book Antiqua" w:hAnsi="Book Antiqua" w:cs="Book Antiqua"/>
        </w:rPr>
        <w:t>: 1163-1168 [PMID: 33145605 DOI: 10.1007/s00256-020-03661-z]</w:t>
      </w:r>
    </w:p>
    <w:p w14:paraId="3AF4C7F4"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9 </w:t>
      </w:r>
      <w:r w:rsidRPr="00BB734F">
        <w:rPr>
          <w:rFonts w:ascii="Book Antiqua" w:eastAsia="Book Antiqua" w:hAnsi="Book Antiqua" w:cs="Book Antiqua"/>
          <w:b/>
          <w:bCs/>
        </w:rPr>
        <w:t>Iwasaki K</w:t>
      </w:r>
      <w:r w:rsidRPr="00BB734F">
        <w:rPr>
          <w:rFonts w:ascii="Book Antiqua" w:eastAsia="Book Antiqua" w:hAnsi="Book Antiqua" w:cs="Book Antiqua"/>
        </w:rPr>
        <w:t xml:space="preserve">, Yamamoto T, Motomura G, Ikemura S, Yamaguchi R, Iwamoto Y. Radiologic measurements associated with the prognosis and need for surgery in patients with subchondral insufficiency fractures of the femoral head. </w:t>
      </w:r>
      <w:r w:rsidRPr="00BB734F">
        <w:rPr>
          <w:rFonts w:ascii="Book Antiqua" w:eastAsia="Book Antiqua" w:hAnsi="Book Antiqua" w:cs="Book Antiqua"/>
          <w:i/>
          <w:iCs/>
        </w:rPr>
        <w:t>AJR Am J Roentgenol</w:t>
      </w:r>
      <w:r w:rsidRPr="00BB734F">
        <w:rPr>
          <w:rFonts w:ascii="Book Antiqua" w:eastAsia="Book Antiqua" w:hAnsi="Book Antiqua" w:cs="Book Antiqua"/>
        </w:rPr>
        <w:t xml:space="preserve"> 2013; </w:t>
      </w:r>
      <w:r w:rsidRPr="00BB734F">
        <w:rPr>
          <w:rFonts w:ascii="Book Antiqua" w:eastAsia="Book Antiqua" w:hAnsi="Book Antiqua" w:cs="Book Antiqua"/>
          <w:b/>
          <w:bCs/>
        </w:rPr>
        <w:t>201</w:t>
      </w:r>
      <w:r w:rsidRPr="00BB734F">
        <w:rPr>
          <w:rFonts w:ascii="Book Antiqua" w:eastAsia="Book Antiqua" w:hAnsi="Book Antiqua" w:cs="Book Antiqua"/>
        </w:rPr>
        <w:t>: W97-103 [PMID: 23789704 DOI: 10.2214/AJR.12.9615]</w:t>
      </w:r>
    </w:p>
    <w:p w14:paraId="5BA7A0DF"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10 </w:t>
      </w:r>
      <w:r w:rsidRPr="00BB734F">
        <w:rPr>
          <w:rFonts w:ascii="Book Antiqua" w:eastAsia="Book Antiqua" w:hAnsi="Book Antiqua" w:cs="Book Antiqua"/>
          <w:b/>
          <w:bCs/>
        </w:rPr>
        <w:t>Song WS</w:t>
      </w:r>
      <w:r w:rsidRPr="00BB734F">
        <w:rPr>
          <w:rFonts w:ascii="Book Antiqua" w:eastAsia="Book Antiqua" w:hAnsi="Book Antiqua" w:cs="Book Antiqua"/>
        </w:rPr>
        <w:t xml:space="preserve">, Yoo JJ, Koo KH, Yoon KS, Kim YM, Kim HJ. Subchondral fatigue fracture of the femoral head in military recruits. </w:t>
      </w:r>
      <w:r w:rsidRPr="00BB734F">
        <w:rPr>
          <w:rFonts w:ascii="Book Antiqua" w:eastAsia="Book Antiqua" w:hAnsi="Book Antiqua" w:cs="Book Antiqua"/>
          <w:i/>
          <w:iCs/>
        </w:rPr>
        <w:t>J Bone Joint Surg Am</w:t>
      </w:r>
      <w:r w:rsidRPr="00BB734F">
        <w:rPr>
          <w:rFonts w:ascii="Book Antiqua" w:eastAsia="Book Antiqua" w:hAnsi="Book Antiqua" w:cs="Book Antiqua"/>
        </w:rPr>
        <w:t xml:space="preserve"> 2004; </w:t>
      </w:r>
      <w:r w:rsidRPr="00BB734F">
        <w:rPr>
          <w:rFonts w:ascii="Book Antiqua" w:eastAsia="Book Antiqua" w:hAnsi="Book Antiqua" w:cs="Book Antiqua"/>
          <w:b/>
          <w:bCs/>
        </w:rPr>
        <w:t>86</w:t>
      </w:r>
      <w:r w:rsidRPr="00BB734F">
        <w:rPr>
          <w:rFonts w:ascii="Book Antiqua" w:eastAsia="Book Antiqua" w:hAnsi="Book Antiqua" w:cs="Book Antiqua"/>
        </w:rPr>
        <w:t>: 1917-1924 [PMID: 15342753 DOI: 10.2106/00004623-200409000-00009]</w:t>
      </w:r>
      <w:r w:rsidRPr="00BB734F">
        <w:rPr>
          <w:rFonts w:ascii="Book Antiqua" w:hAnsi="Book Antiqua" w:cs="Book Antiqua"/>
          <w:noProof/>
          <w:color w:val="0000EE"/>
          <w:u w:color="0000EE"/>
        </w:rPr>
        <w:drawing>
          <wp:inline distT="0" distB="0" distL="0" distR="0" wp14:anchorId="3675BEEE" wp14:editId="5E2A8534">
            <wp:extent cx="215265" cy="215265"/>
            <wp:effectExtent l="0" t="0" r="0" b="0"/>
            <wp:docPr id="100001" name="图片 10000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215634" cy="215754"/>
                    </a:xfrm>
                    <a:prstGeom prst="rect">
                      <a:avLst/>
                    </a:prstGeom>
                  </pic:spPr>
                </pic:pic>
              </a:graphicData>
            </a:graphic>
          </wp:inline>
        </w:drawing>
      </w:r>
    </w:p>
    <w:p w14:paraId="48D384EB"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11 </w:t>
      </w:r>
      <w:r w:rsidRPr="00BB734F">
        <w:rPr>
          <w:rFonts w:ascii="Book Antiqua" w:eastAsia="Book Antiqua" w:hAnsi="Book Antiqua" w:cs="Book Antiqua"/>
          <w:b/>
          <w:bCs/>
        </w:rPr>
        <w:t>Yoon BH</w:t>
      </w:r>
      <w:r w:rsidRPr="00BB734F">
        <w:rPr>
          <w:rFonts w:ascii="Book Antiqua" w:eastAsia="Book Antiqua" w:hAnsi="Book Antiqua" w:cs="Book Antiqua"/>
        </w:rPr>
        <w:t xml:space="preserve">, Mont MA, Koo KH, Chen CH, Cheng EY, Cui Q, Drescher W, Gangji V, Goodman SB, Ha YC, Hernigou P, Hungerford MW, Iorio R, Jo WL, Jones LC, Khanduja V, Kim HKW, Kim SY, Kim TY, Lee HY, Lee MS, Lee YK, Lee YJ, Nakamura J, Parvizi J, </w:t>
      </w:r>
      <w:r w:rsidRPr="00BB734F">
        <w:rPr>
          <w:rFonts w:ascii="Book Antiqua" w:eastAsia="Book Antiqua" w:hAnsi="Book Antiqua" w:cs="Book Antiqua"/>
        </w:rPr>
        <w:lastRenderedPageBreak/>
        <w:t xml:space="preserve">Sakai T, Sugano N, Takao M, Yamamoto T, Zhao DW. The 2019 Revised Version of Association Research Circulation Osseous Staging System of Osteonecrosis of the Femoral Head. </w:t>
      </w:r>
      <w:r w:rsidRPr="00BB734F">
        <w:rPr>
          <w:rFonts w:ascii="Book Antiqua" w:eastAsia="Book Antiqua" w:hAnsi="Book Antiqua" w:cs="Book Antiqua"/>
          <w:i/>
          <w:iCs/>
        </w:rPr>
        <w:t>J Arthroplasty</w:t>
      </w:r>
      <w:r w:rsidRPr="00BB734F">
        <w:rPr>
          <w:rFonts w:ascii="Book Antiqua" w:eastAsia="Book Antiqua" w:hAnsi="Book Antiqua" w:cs="Book Antiqua"/>
        </w:rPr>
        <w:t xml:space="preserve"> 2020; </w:t>
      </w:r>
      <w:r w:rsidRPr="00BB734F">
        <w:rPr>
          <w:rFonts w:ascii="Book Antiqua" w:eastAsia="Book Antiqua" w:hAnsi="Book Antiqua" w:cs="Book Antiqua"/>
          <w:b/>
          <w:bCs/>
        </w:rPr>
        <w:t>35</w:t>
      </w:r>
      <w:r w:rsidRPr="00BB734F">
        <w:rPr>
          <w:rFonts w:ascii="Book Antiqua" w:eastAsia="Book Antiqua" w:hAnsi="Book Antiqua" w:cs="Book Antiqua"/>
        </w:rPr>
        <w:t>: 933-940 [PMID: 31866252 DOI: 10.1016/j.arth.2019.11.029]</w:t>
      </w:r>
    </w:p>
    <w:p w14:paraId="759F1983"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12 </w:t>
      </w:r>
      <w:r w:rsidRPr="00BB734F">
        <w:rPr>
          <w:rFonts w:ascii="Book Antiqua" w:eastAsia="Book Antiqua" w:hAnsi="Book Antiqua" w:cs="Book Antiqua"/>
          <w:b/>
          <w:bCs/>
        </w:rPr>
        <w:t>Uchida S</w:t>
      </w:r>
      <w:r w:rsidRPr="00BB734F">
        <w:rPr>
          <w:rFonts w:ascii="Book Antiqua" w:eastAsia="Book Antiqua" w:hAnsi="Book Antiqua" w:cs="Book Antiqua"/>
        </w:rPr>
        <w:t xml:space="preserve">, Noguchi M, Utsunomiya H, Kanezaki S, Mori T, Matsuda DK, Sakai A. Hip arthroscopy enables classification and treatment of precollapse subchondral insufficiency fracture of the femoral head associated intra-articular pathology. </w:t>
      </w:r>
      <w:r w:rsidRPr="00BB734F">
        <w:rPr>
          <w:rFonts w:ascii="Book Antiqua" w:eastAsia="Book Antiqua" w:hAnsi="Book Antiqua" w:cs="Book Antiqua"/>
          <w:i/>
          <w:iCs/>
        </w:rPr>
        <w:t>Knee Surg Sports Traumatol Arthrosc</w:t>
      </w:r>
      <w:r w:rsidRPr="00BB734F">
        <w:rPr>
          <w:rFonts w:ascii="Book Antiqua" w:eastAsia="Book Antiqua" w:hAnsi="Book Antiqua" w:cs="Book Antiqua"/>
        </w:rPr>
        <w:t xml:space="preserve"> 2018; </w:t>
      </w:r>
      <w:r w:rsidRPr="00BB734F">
        <w:rPr>
          <w:rFonts w:ascii="Book Antiqua" w:eastAsia="Book Antiqua" w:hAnsi="Book Antiqua" w:cs="Book Antiqua"/>
          <w:b/>
          <w:bCs/>
        </w:rPr>
        <w:t>26</w:t>
      </w:r>
      <w:r w:rsidRPr="00BB734F">
        <w:rPr>
          <w:rFonts w:ascii="Book Antiqua" w:eastAsia="Book Antiqua" w:hAnsi="Book Antiqua" w:cs="Book Antiqua"/>
        </w:rPr>
        <w:t>: 2527-2535 [PMID: 28942460 DOI: 10.1007/s00167-017-4722-4]</w:t>
      </w:r>
    </w:p>
    <w:p w14:paraId="73A2B73D"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13 </w:t>
      </w:r>
      <w:r w:rsidRPr="00BB734F">
        <w:rPr>
          <w:rFonts w:ascii="Book Antiqua" w:eastAsia="Book Antiqua" w:hAnsi="Book Antiqua" w:cs="Book Antiqua"/>
          <w:b/>
          <w:bCs/>
        </w:rPr>
        <w:t>Kimura T</w:t>
      </w:r>
      <w:r w:rsidRPr="00BB734F">
        <w:rPr>
          <w:rFonts w:ascii="Book Antiqua" w:eastAsia="Book Antiqua" w:hAnsi="Book Antiqua" w:cs="Book Antiqua"/>
        </w:rPr>
        <w:t xml:space="preserve">, Goto T, Hamada D, Tsutsui T, Wada K, Fukuta S, Nagamachi A, Sairyo K. Subchondral Insufficiency Fracture of the Femoral Head Caused by Excessive Lateralization of the Acetabular Rim. </w:t>
      </w:r>
      <w:r w:rsidRPr="00BB734F">
        <w:rPr>
          <w:rFonts w:ascii="Book Antiqua" w:eastAsia="Book Antiqua" w:hAnsi="Book Antiqua" w:cs="Book Antiqua"/>
          <w:i/>
          <w:iCs/>
        </w:rPr>
        <w:t>Case Rep Orthop</w:t>
      </w:r>
      <w:r w:rsidRPr="00BB734F">
        <w:rPr>
          <w:rFonts w:ascii="Book Antiqua" w:eastAsia="Book Antiqua" w:hAnsi="Book Antiqua" w:cs="Book Antiqua"/>
        </w:rPr>
        <w:t xml:space="preserve"> 2016; </w:t>
      </w:r>
      <w:r w:rsidRPr="00BB734F">
        <w:rPr>
          <w:rFonts w:ascii="Book Antiqua" w:eastAsia="Book Antiqua" w:hAnsi="Book Antiqua" w:cs="Book Antiqua"/>
          <w:b/>
          <w:bCs/>
        </w:rPr>
        <w:t>2016</w:t>
      </w:r>
      <w:r w:rsidRPr="00BB734F">
        <w:rPr>
          <w:rFonts w:ascii="Book Antiqua" w:eastAsia="Book Antiqua" w:hAnsi="Book Antiqua" w:cs="Book Antiqua"/>
        </w:rPr>
        <w:t>: 4371679 [PMID: 27293935 DOI: 10.1155/2016/4371679]</w:t>
      </w:r>
    </w:p>
    <w:p w14:paraId="445C9AB8"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14 </w:t>
      </w:r>
      <w:r w:rsidRPr="00BB734F">
        <w:rPr>
          <w:rFonts w:ascii="Book Antiqua" w:eastAsia="Book Antiqua" w:hAnsi="Book Antiqua" w:cs="Book Antiqua"/>
          <w:b/>
          <w:bCs/>
        </w:rPr>
        <w:t>Sutter R</w:t>
      </w:r>
      <w:r w:rsidRPr="00BB734F">
        <w:rPr>
          <w:rFonts w:ascii="Book Antiqua" w:eastAsia="Book Antiqua" w:hAnsi="Book Antiqua" w:cs="Book Antiqua"/>
        </w:rPr>
        <w:t xml:space="preserve">, Pfirrmann CW. Atypical hip impingement. </w:t>
      </w:r>
      <w:r w:rsidRPr="00BB734F">
        <w:rPr>
          <w:rFonts w:ascii="Book Antiqua" w:eastAsia="Book Antiqua" w:hAnsi="Book Antiqua" w:cs="Book Antiqua"/>
          <w:i/>
          <w:iCs/>
        </w:rPr>
        <w:t>AJR Am J Roentgenol</w:t>
      </w:r>
      <w:r w:rsidRPr="00BB734F">
        <w:rPr>
          <w:rFonts w:ascii="Book Antiqua" w:eastAsia="Book Antiqua" w:hAnsi="Book Antiqua" w:cs="Book Antiqua"/>
        </w:rPr>
        <w:t xml:space="preserve"> 2013; </w:t>
      </w:r>
      <w:r w:rsidRPr="00BB734F">
        <w:rPr>
          <w:rFonts w:ascii="Book Antiqua" w:eastAsia="Book Antiqua" w:hAnsi="Book Antiqua" w:cs="Book Antiqua"/>
          <w:b/>
          <w:bCs/>
        </w:rPr>
        <w:t>201</w:t>
      </w:r>
      <w:r w:rsidRPr="00BB734F">
        <w:rPr>
          <w:rFonts w:ascii="Book Antiqua" w:eastAsia="Book Antiqua" w:hAnsi="Book Antiqua" w:cs="Book Antiqua"/>
        </w:rPr>
        <w:t>: W437-W442 [PMID: 23971474 DOI: 10.2214/AJR.13.10692]</w:t>
      </w:r>
    </w:p>
    <w:p w14:paraId="2FA84C8D"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15 </w:t>
      </w:r>
      <w:r w:rsidRPr="00BB734F">
        <w:rPr>
          <w:rFonts w:ascii="Book Antiqua" w:eastAsia="Book Antiqua" w:hAnsi="Book Antiqua" w:cs="Book Antiqua"/>
          <w:b/>
          <w:bCs/>
        </w:rPr>
        <w:t>Jo WL</w:t>
      </w:r>
      <w:r w:rsidRPr="00BB734F">
        <w:rPr>
          <w:rFonts w:ascii="Book Antiqua" w:eastAsia="Book Antiqua" w:hAnsi="Book Antiqua" w:cs="Book Antiqua"/>
        </w:rPr>
        <w:t xml:space="preserve">, Lee WS, Chae DS, Yang IH, Lee KM, Koo KH. Decreased Lumbar Lordosis and Deficient Acetabular Coverage Are Risk Factors for Subchondral Insufficiency Fracture. </w:t>
      </w:r>
      <w:r w:rsidRPr="00BB734F">
        <w:rPr>
          <w:rFonts w:ascii="Book Antiqua" w:eastAsia="Book Antiqua" w:hAnsi="Book Antiqua" w:cs="Book Antiqua"/>
          <w:i/>
          <w:iCs/>
        </w:rPr>
        <w:t>J Korean Med Sci</w:t>
      </w:r>
      <w:r w:rsidRPr="00BB734F">
        <w:rPr>
          <w:rFonts w:ascii="Book Antiqua" w:eastAsia="Book Antiqua" w:hAnsi="Book Antiqua" w:cs="Book Antiqua"/>
        </w:rPr>
        <w:t xml:space="preserve"> 2016; </w:t>
      </w:r>
      <w:r w:rsidRPr="00BB734F">
        <w:rPr>
          <w:rFonts w:ascii="Book Antiqua" w:eastAsia="Book Antiqua" w:hAnsi="Book Antiqua" w:cs="Book Antiqua"/>
          <w:b/>
          <w:bCs/>
        </w:rPr>
        <w:t>31</w:t>
      </w:r>
      <w:r w:rsidRPr="00BB734F">
        <w:rPr>
          <w:rFonts w:ascii="Book Antiqua" w:eastAsia="Book Antiqua" w:hAnsi="Book Antiqua" w:cs="Book Antiqua"/>
        </w:rPr>
        <w:t>: 1650-1655 [PMID: 27550496 DOI: 10.3346/jkms.2016.31.10.1650]</w:t>
      </w:r>
    </w:p>
    <w:p w14:paraId="668D908A"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16 </w:t>
      </w:r>
      <w:r w:rsidRPr="00BB734F">
        <w:rPr>
          <w:rFonts w:ascii="Book Antiqua" w:eastAsia="Book Antiqua" w:hAnsi="Book Antiqua" w:cs="Book Antiqua"/>
          <w:b/>
          <w:bCs/>
        </w:rPr>
        <w:t>Kubo Y</w:t>
      </w:r>
      <w:r w:rsidRPr="00BB734F">
        <w:rPr>
          <w:rFonts w:ascii="Book Antiqua" w:eastAsia="Book Antiqua" w:hAnsi="Book Antiqua" w:cs="Book Antiqua"/>
        </w:rPr>
        <w:t xml:space="preserve">, Motomura G, Utsunomiya T, Fujii M, Ikemura S, Sonoda K, Nakashima Y. Distribution of Femoral Head Subchondral Fracture Site Relates to Contact Pressures, Age, and Acetabular Structure. </w:t>
      </w:r>
      <w:r w:rsidRPr="00BB734F">
        <w:rPr>
          <w:rFonts w:ascii="Book Antiqua" w:eastAsia="Book Antiqua" w:hAnsi="Book Antiqua" w:cs="Book Antiqua"/>
          <w:i/>
          <w:iCs/>
        </w:rPr>
        <w:t>AJR Am J Roentgenol</w:t>
      </w:r>
      <w:r w:rsidRPr="00BB734F">
        <w:rPr>
          <w:rFonts w:ascii="Book Antiqua" w:eastAsia="Book Antiqua" w:hAnsi="Book Antiqua" w:cs="Book Antiqua"/>
        </w:rPr>
        <w:t xml:space="preserve"> 2020; </w:t>
      </w:r>
      <w:r w:rsidRPr="00BB734F">
        <w:rPr>
          <w:rFonts w:ascii="Book Antiqua" w:eastAsia="Book Antiqua" w:hAnsi="Book Antiqua" w:cs="Book Antiqua"/>
          <w:b/>
          <w:bCs/>
        </w:rPr>
        <w:t>215</w:t>
      </w:r>
      <w:r w:rsidRPr="00BB734F">
        <w:rPr>
          <w:rFonts w:ascii="Book Antiqua" w:eastAsia="Book Antiqua" w:hAnsi="Book Antiqua" w:cs="Book Antiqua"/>
        </w:rPr>
        <w:t>: 448-457 [PMID: 32551906 DOI: 10.2214/AJR.19.21895]</w:t>
      </w:r>
    </w:p>
    <w:p w14:paraId="5FEEFDBC"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17 </w:t>
      </w:r>
      <w:r w:rsidRPr="00BB734F">
        <w:rPr>
          <w:rFonts w:ascii="Book Antiqua" w:eastAsia="Book Antiqua" w:hAnsi="Book Antiqua" w:cs="Book Antiqua"/>
          <w:b/>
          <w:bCs/>
        </w:rPr>
        <w:t>Tannenbaum EP</w:t>
      </w:r>
      <w:r w:rsidRPr="00BB734F">
        <w:rPr>
          <w:rFonts w:ascii="Book Antiqua" w:eastAsia="Book Antiqua" w:hAnsi="Book Antiqua" w:cs="Book Antiqua"/>
        </w:rPr>
        <w:t xml:space="preserve">, Zhang P, Maratt JD, Gombera MM, Holcombe SA, Wang SC, Bedi A, Goulet JA. A Computed Tomography Study of Gender Differences in Acetabular Version and Morphology: Implications for Femoroacetabular Impingement. </w:t>
      </w:r>
      <w:r w:rsidRPr="00BB734F">
        <w:rPr>
          <w:rFonts w:ascii="Book Antiqua" w:eastAsia="Book Antiqua" w:hAnsi="Book Antiqua" w:cs="Book Antiqua"/>
          <w:i/>
          <w:iCs/>
        </w:rPr>
        <w:t>Arthroscopy</w:t>
      </w:r>
      <w:r w:rsidRPr="00BB734F">
        <w:rPr>
          <w:rFonts w:ascii="Book Antiqua" w:eastAsia="Book Antiqua" w:hAnsi="Book Antiqua" w:cs="Book Antiqua"/>
        </w:rPr>
        <w:t xml:space="preserve"> 2015; </w:t>
      </w:r>
      <w:r w:rsidRPr="00BB734F">
        <w:rPr>
          <w:rFonts w:ascii="Book Antiqua" w:eastAsia="Book Antiqua" w:hAnsi="Book Antiqua" w:cs="Book Antiqua"/>
          <w:b/>
          <w:bCs/>
        </w:rPr>
        <w:t>31</w:t>
      </w:r>
      <w:r w:rsidRPr="00BB734F">
        <w:rPr>
          <w:rFonts w:ascii="Book Antiqua" w:eastAsia="Book Antiqua" w:hAnsi="Book Antiqua" w:cs="Book Antiqua"/>
        </w:rPr>
        <w:t>: 1247-1254 [PMID: 25979688 DOI: 10.1016/j.arthro.2015.02.007]</w:t>
      </w:r>
    </w:p>
    <w:p w14:paraId="6E88FBF2"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18 </w:t>
      </w:r>
      <w:r w:rsidRPr="00BB734F">
        <w:rPr>
          <w:rFonts w:ascii="Book Antiqua" w:eastAsia="Book Antiqua" w:hAnsi="Book Antiqua" w:cs="Book Antiqua"/>
          <w:b/>
          <w:bCs/>
        </w:rPr>
        <w:t>Kapron AL</w:t>
      </w:r>
      <w:r w:rsidRPr="00BB734F">
        <w:rPr>
          <w:rFonts w:ascii="Book Antiqua" w:eastAsia="Book Antiqua" w:hAnsi="Book Antiqua" w:cs="Book Antiqua"/>
        </w:rPr>
        <w:t xml:space="preserve">, Anderson AE, Aoki SK, Phillips LG, Petron DJ, Toth R, Peters CL. Radiographic prevalence of femoroacetabular impingement in collegiate football </w:t>
      </w:r>
      <w:r w:rsidRPr="00BB734F">
        <w:rPr>
          <w:rFonts w:ascii="Book Antiqua" w:eastAsia="Book Antiqua" w:hAnsi="Book Antiqua" w:cs="Book Antiqua"/>
        </w:rPr>
        <w:lastRenderedPageBreak/>
        <w:t xml:space="preserve">players: AAOS Exhibit Selection. </w:t>
      </w:r>
      <w:r w:rsidRPr="00BB734F">
        <w:rPr>
          <w:rFonts w:ascii="Book Antiqua" w:eastAsia="Book Antiqua" w:hAnsi="Book Antiqua" w:cs="Book Antiqua"/>
          <w:i/>
          <w:iCs/>
        </w:rPr>
        <w:t>J Bone Joint Surg Am</w:t>
      </w:r>
      <w:r w:rsidRPr="00BB734F">
        <w:rPr>
          <w:rFonts w:ascii="Book Antiqua" w:eastAsia="Book Antiqua" w:hAnsi="Book Antiqua" w:cs="Book Antiqua"/>
        </w:rPr>
        <w:t xml:space="preserve"> 2011; </w:t>
      </w:r>
      <w:r w:rsidRPr="00BB734F">
        <w:rPr>
          <w:rFonts w:ascii="Book Antiqua" w:eastAsia="Book Antiqua" w:hAnsi="Book Antiqua" w:cs="Book Antiqua"/>
          <w:b/>
          <w:bCs/>
        </w:rPr>
        <w:t>93</w:t>
      </w:r>
      <w:r w:rsidRPr="00BB734F">
        <w:rPr>
          <w:rFonts w:ascii="Book Antiqua" w:eastAsia="Book Antiqua" w:hAnsi="Book Antiqua" w:cs="Book Antiqua"/>
        </w:rPr>
        <w:t>: e111(1-e1110) [PMID: 22005872 DOI: 10.2106/JBJS.K.00544]</w:t>
      </w:r>
    </w:p>
    <w:p w14:paraId="18366D46"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19 </w:t>
      </w:r>
      <w:r w:rsidRPr="00BB734F">
        <w:rPr>
          <w:rFonts w:ascii="Book Antiqua" w:eastAsia="Book Antiqua" w:hAnsi="Book Antiqua" w:cs="Book Antiqua"/>
          <w:b/>
          <w:bCs/>
        </w:rPr>
        <w:t>Kuhn KM</w:t>
      </w:r>
      <w:r w:rsidRPr="00BB734F">
        <w:rPr>
          <w:rFonts w:ascii="Book Antiqua" w:eastAsia="Book Antiqua" w:hAnsi="Book Antiqua" w:cs="Book Antiqua"/>
        </w:rPr>
        <w:t xml:space="preserve">, Riccio AI, Saldua NS, Cassidy J. Acetabular retroversion in military recruits with femoral neck stress fractures. </w:t>
      </w:r>
      <w:r w:rsidRPr="00BB734F">
        <w:rPr>
          <w:rFonts w:ascii="Book Antiqua" w:eastAsia="Book Antiqua" w:hAnsi="Book Antiqua" w:cs="Book Antiqua"/>
          <w:i/>
          <w:iCs/>
        </w:rPr>
        <w:t>Clin Orthop Relat Res</w:t>
      </w:r>
      <w:r w:rsidRPr="00BB734F">
        <w:rPr>
          <w:rFonts w:ascii="Book Antiqua" w:eastAsia="Book Antiqua" w:hAnsi="Book Antiqua" w:cs="Book Antiqua"/>
        </w:rPr>
        <w:t xml:space="preserve"> 2010; </w:t>
      </w:r>
      <w:r w:rsidRPr="00BB734F">
        <w:rPr>
          <w:rFonts w:ascii="Book Antiqua" w:eastAsia="Book Antiqua" w:hAnsi="Book Antiqua" w:cs="Book Antiqua"/>
          <w:b/>
          <w:bCs/>
        </w:rPr>
        <w:t>468</w:t>
      </w:r>
      <w:r w:rsidRPr="00BB734F">
        <w:rPr>
          <w:rFonts w:ascii="Book Antiqua" w:eastAsia="Book Antiqua" w:hAnsi="Book Antiqua" w:cs="Book Antiqua"/>
        </w:rPr>
        <w:t>: 846-851 [PMID: 19588210 DOI: 10.1007/s11999-009-0969-5]</w:t>
      </w:r>
    </w:p>
    <w:p w14:paraId="7B0AE1BB"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20 </w:t>
      </w:r>
      <w:r w:rsidRPr="00BB734F">
        <w:rPr>
          <w:rFonts w:ascii="Book Antiqua" w:eastAsia="Book Antiqua" w:hAnsi="Book Antiqua" w:cs="Book Antiqua"/>
          <w:b/>
          <w:bCs/>
        </w:rPr>
        <w:t>Franken L</w:t>
      </w:r>
      <w:r w:rsidRPr="00BB734F">
        <w:rPr>
          <w:rFonts w:ascii="Book Antiqua" w:eastAsia="Book Antiqua" w:hAnsi="Book Antiqua" w:cs="Book Antiqua"/>
        </w:rPr>
        <w:t xml:space="preserve">, Goronzy J, Olusile OO, Slullitel PA, Blum S, Nowotny J, Hartmann A, Thielemann F, Günther KP. [Femoral neck stress fractures and femoroacetabular impingement : A retrospective case study and literature review]. </w:t>
      </w:r>
      <w:r w:rsidRPr="00BB734F">
        <w:rPr>
          <w:rFonts w:ascii="Book Antiqua" w:eastAsia="Book Antiqua" w:hAnsi="Book Antiqua" w:cs="Book Antiqua"/>
          <w:i/>
          <w:iCs/>
        </w:rPr>
        <w:t>Orthopade</w:t>
      </w:r>
      <w:r w:rsidRPr="00BB734F">
        <w:rPr>
          <w:rFonts w:ascii="Book Antiqua" w:eastAsia="Book Antiqua" w:hAnsi="Book Antiqua" w:cs="Book Antiqua"/>
        </w:rPr>
        <w:t xml:space="preserve"> 2021; </w:t>
      </w:r>
      <w:r w:rsidRPr="00BB734F">
        <w:rPr>
          <w:rFonts w:ascii="Book Antiqua" w:eastAsia="Book Antiqua" w:hAnsi="Book Antiqua" w:cs="Book Antiqua"/>
          <w:b/>
          <w:bCs/>
        </w:rPr>
        <w:t>50</w:t>
      </w:r>
      <w:r w:rsidRPr="00BB734F">
        <w:rPr>
          <w:rFonts w:ascii="Book Antiqua" w:eastAsia="Book Antiqua" w:hAnsi="Book Antiqua" w:cs="Book Antiqua"/>
        </w:rPr>
        <w:t>: 224-236 [PMID: 32346780 DOI: 10.1007/s00132-020-03916-6]</w:t>
      </w:r>
    </w:p>
    <w:p w14:paraId="6B82B1D3"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21 </w:t>
      </w:r>
      <w:r w:rsidRPr="00BB734F">
        <w:rPr>
          <w:rFonts w:ascii="Book Antiqua" w:eastAsia="Book Antiqua" w:hAnsi="Book Antiqua" w:cs="Book Antiqua"/>
          <w:b/>
          <w:bCs/>
        </w:rPr>
        <w:t>Tokyay A</w:t>
      </w:r>
      <w:r w:rsidRPr="00BB734F">
        <w:rPr>
          <w:rFonts w:ascii="Book Antiqua" w:eastAsia="Book Antiqua" w:hAnsi="Book Antiqua" w:cs="Book Antiqua"/>
        </w:rPr>
        <w:t xml:space="preserve">, Güven M, Encan ME, Okay E, Akbaba O. The influence of acetabular morphology on prediction of proximal femur fractures types in an elderly population. </w:t>
      </w:r>
      <w:r w:rsidRPr="00BB734F">
        <w:rPr>
          <w:rFonts w:ascii="Book Antiqua" w:eastAsia="Book Antiqua" w:hAnsi="Book Antiqua" w:cs="Book Antiqua"/>
          <w:i/>
          <w:iCs/>
        </w:rPr>
        <w:t>Hip Int</w:t>
      </w:r>
      <w:r w:rsidRPr="00BB734F">
        <w:rPr>
          <w:rFonts w:ascii="Book Antiqua" w:eastAsia="Book Antiqua" w:hAnsi="Book Antiqua" w:cs="Book Antiqua"/>
        </w:rPr>
        <w:t xml:space="preserve"> 2017; </w:t>
      </w:r>
      <w:r w:rsidRPr="00BB734F">
        <w:rPr>
          <w:rFonts w:ascii="Book Antiqua" w:eastAsia="Book Antiqua" w:hAnsi="Book Antiqua" w:cs="Book Antiqua"/>
          <w:b/>
          <w:bCs/>
        </w:rPr>
        <w:t>27</w:t>
      </w:r>
      <w:r w:rsidRPr="00BB734F">
        <w:rPr>
          <w:rFonts w:ascii="Book Antiqua" w:eastAsia="Book Antiqua" w:hAnsi="Book Antiqua" w:cs="Book Antiqua"/>
        </w:rPr>
        <w:t>: 489-493 [PMID: 28574116 DOI: 10.5301/hipint.5000476]</w:t>
      </w:r>
    </w:p>
    <w:p w14:paraId="0FECE544"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22 </w:t>
      </w:r>
      <w:r w:rsidRPr="00BB734F">
        <w:rPr>
          <w:rFonts w:ascii="Book Antiqua" w:eastAsia="Book Antiqua" w:hAnsi="Book Antiqua" w:cs="Book Antiqua"/>
          <w:b/>
          <w:bCs/>
        </w:rPr>
        <w:t>Albers CE</w:t>
      </w:r>
      <w:r w:rsidRPr="00BB734F">
        <w:rPr>
          <w:rFonts w:ascii="Book Antiqua" w:eastAsia="Book Antiqua" w:hAnsi="Book Antiqua" w:cs="Book Antiqua"/>
        </w:rPr>
        <w:t xml:space="preserve">, Schwarz A, Hanke MS, Kienle KP, Werlen S, Siebenrock KA. Acetabular Version Increases After Closure of the Triradiate Cartilage Complex. </w:t>
      </w:r>
      <w:r w:rsidRPr="00BB734F">
        <w:rPr>
          <w:rFonts w:ascii="Book Antiqua" w:eastAsia="Book Antiqua" w:hAnsi="Book Antiqua" w:cs="Book Antiqua"/>
          <w:i/>
          <w:iCs/>
        </w:rPr>
        <w:t>Clin Orthop Relat Res</w:t>
      </w:r>
      <w:r w:rsidRPr="00BB734F">
        <w:rPr>
          <w:rFonts w:ascii="Book Antiqua" w:eastAsia="Book Antiqua" w:hAnsi="Book Antiqua" w:cs="Book Antiqua"/>
        </w:rPr>
        <w:t xml:space="preserve"> 2017; </w:t>
      </w:r>
      <w:r w:rsidRPr="00BB734F">
        <w:rPr>
          <w:rFonts w:ascii="Book Antiqua" w:eastAsia="Book Antiqua" w:hAnsi="Book Antiqua" w:cs="Book Antiqua"/>
          <w:b/>
          <w:bCs/>
        </w:rPr>
        <w:t>475</w:t>
      </w:r>
      <w:r w:rsidRPr="00BB734F">
        <w:rPr>
          <w:rFonts w:ascii="Book Antiqua" w:eastAsia="Book Antiqua" w:hAnsi="Book Antiqua" w:cs="Book Antiqua"/>
        </w:rPr>
        <w:t>: 983-994 [PMID: 27586654 DOI: 10.1007/s11999-016-5048-0]</w:t>
      </w:r>
    </w:p>
    <w:p w14:paraId="0E240DB0"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23 </w:t>
      </w:r>
      <w:r w:rsidRPr="00BB734F">
        <w:rPr>
          <w:rFonts w:ascii="Book Antiqua" w:eastAsia="Book Antiqua" w:hAnsi="Book Antiqua" w:cs="Book Antiqua"/>
          <w:b/>
          <w:bCs/>
        </w:rPr>
        <w:t>Monazzam S</w:t>
      </w:r>
      <w:r w:rsidRPr="00BB734F">
        <w:rPr>
          <w:rFonts w:ascii="Book Antiqua" w:eastAsia="Book Antiqua" w:hAnsi="Book Antiqua" w:cs="Book Antiqua"/>
        </w:rPr>
        <w:t xml:space="preserve">, Bomar JD, Dwek JR, Hosalkar HS, Pennock AT. Development and prevalence of femoroacetabular impingement-associated morphology in a paediatric and adolescent population: a CT study of 225 patients. </w:t>
      </w:r>
      <w:r w:rsidRPr="00BB734F">
        <w:rPr>
          <w:rFonts w:ascii="Book Antiqua" w:eastAsia="Book Antiqua" w:hAnsi="Book Antiqua" w:cs="Book Antiqua"/>
          <w:i/>
          <w:iCs/>
        </w:rPr>
        <w:t>Bone Joint J</w:t>
      </w:r>
      <w:r w:rsidRPr="00BB734F">
        <w:rPr>
          <w:rFonts w:ascii="Book Antiqua" w:eastAsia="Book Antiqua" w:hAnsi="Book Antiqua" w:cs="Book Antiqua"/>
        </w:rPr>
        <w:t xml:space="preserve"> 2013; </w:t>
      </w:r>
      <w:r w:rsidRPr="00BB734F">
        <w:rPr>
          <w:rFonts w:ascii="Book Antiqua" w:eastAsia="Book Antiqua" w:hAnsi="Book Antiqua" w:cs="Book Antiqua"/>
          <w:b/>
          <w:bCs/>
        </w:rPr>
        <w:t>95-B</w:t>
      </w:r>
      <w:r w:rsidRPr="00BB734F">
        <w:rPr>
          <w:rFonts w:ascii="Book Antiqua" w:eastAsia="Book Antiqua" w:hAnsi="Book Antiqua" w:cs="Book Antiqua"/>
        </w:rPr>
        <w:t>: 598-604 [PMID: 23632667 DOI: 10.1302/0301-620X.95B5.30118]</w:t>
      </w:r>
    </w:p>
    <w:p w14:paraId="182DE451"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24 </w:t>
      </w:r>
      <w:r w:rsidRPr="00BB734F">
        <w:rPr>
          <w:rFonts w:ascii="Book Antiqua" w:eastAsia="Book Antiqua" w:hAnsi="Book Antiqua" w:cs="Book Antiqua"/>
          <w:b/>
          <w:bCs/>
        </w:rPr>
        <w:t>Hingsammer AM</w:t>
      </w:r>
      <w:r w:rsidRPr="00BB734F">
        <w:rPr>
          <w:rFonts w:ascii="Book Antiqua" w:eastAsia="Book Antiqua" w:hAnsi="Book Antiqua" w:cs="Book Antiqua"/>
        </w:rPr>
        <w:t xml:space="preserve">, Bixby S, Zurakowski D, Yen YM, Kim YJ. How do acetabular version and femoral head coverage change with skeletal maturity? </w:t>
      </w:r>
      <w:r w:rsidRPr="00BB734F">
        <w:rPr>
          <w:rFonts w:ascii="Book Antiqua" w:eastAsia="Book Antiqua" w:hAnsi="Book Antiqua" w:cs="Book Antiqua"/>
          <w:i/>
          <w:iCs/>
        </w:rPr>
        <w:t>Clin Orthop Relat Res</w:t>
      </w:r>
      <w:r w:rsidRPr="00BB734F">
        <w:rPr>
          <w:rFonts w:ascii="Book Antiqua" w:eastAsia="Book Antiqua" w:hAnsi="Book Antiqua" w:cs="Book Antiqua"/>
        </w:rPr>
        <w:t xml:space="preserve"> 2015; </w:t>
      </w:r>
      <w:r w:rsidRPr="00BB734F">
        <w:rPr>
          <w:rFonts w:ascii="Book Antiqua" w:eastAsia="Book Antiqua" w:hAnsi="Book Antiqua" w:cs="Book Antiqua"/>
          <w:b/>
          <w:bCs/>
        </w:rPr>
        <w:t>473</w:t>
      </w:r>
      <w:r w:rsidRPr="00BB734F">
        <w:rPr>
          <w:rFonts w:ascii="Book Antiqua" w:eastAsia="Book Antiqua" w:hAnsi="Book Antiqua" w:cs="Book Antiqua"/>
        </w:rPr>
        <w:t>: 1224-1233 [PMID: 25344405 DOI: 10.1007/s11999-014-4014-y]</w:t>
      </w:r>
    </w:p>
    <w:p w14:paraId="339CC6ED"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25 </w:t>
      </w:r>
      <w:r w:rsidRPr="00BB734F">
        <w:rPr>
          <w:rFonts w:ascii="Book Antiqua" w:eastAsia="Book Antiqua" w:hAnsi="Book Antiqua" w:cs="Book Antiqua"/>
          <w:b/>
          <w:bCs/>
        </w:rPr>
        <w:t>Novais EN</w:t>
      </w:r>
      <w:r w:rsidRPr="00BB734F">
        <w:rPr>
          <w:rFonts w:ascii="Book Antiqua" w:eastAsia="Book Antiqua" w:hAnsi="Book Antiqua" w:cs="Book Antiqua"/>
        </w:rPr>
        <w:t xml:space="preserve">, Ferrer MG, Williams KA, Bixby SD. Acetabular Retroversion and Decreased Posterior Coverage Are Associated With Sports-related Posterior Hip Dislocation in Adolescents. </w:t>
      </w:r>
      <w:r w:rsidRPr="00BB734F">
        <w:rPr>
          <w:rFonts w:ascii="Book Antiqua" w:eastAsia="Book Antiqua" w:hAnsi="Book Antiqua" w:cs="Book Antiqua"/>
          <w:i/>
          <w:iCs/>
        </w:rPr>
        <w:t>Clin Orthop Relat Res</w:t>
      </w:r>
      <w:r w:rsidRPr="00BB734F">
        <w:rPr>
          <w:rFonts w:ascii="Book Antiqua" w:eastAsia="Book Antiqua" w:hAnsi="Book Antiqua" w:cs="Book Antiqua"/>
        </w:rPr>
        <w:t xml:space="preserve"> 2019; </w:t>
      </w:r>
      <w:r w:rsidRPr="00BB734F">
        <w:rPr>
          <w:rFonts w:ascii="Book Antiqua" w:eastAsia="Book Antiqua" w:hAnsi="Book Antiqua" w:cs="Book Antiqua"/>
          <w:b/>
          <w:bCs/>
        </w:rPr>
        <w:t>477</w:t>
      </w:r>
      <w:r w:rsidRPr="00BB734F">
        <w:rPr>
          <w:rFonts w:ascii="Book Antiqua" w:eastAsia="Book Antiqua" w:hAnsi="Book Antiqua" w:cs="Book Antiqua"/>
        </w:rPr>
        <w:t>: 1101-1108 [PMID: 30272610 DOI: 10.1097/CORR.0000000000000514]</w:t>
      </w:r>
    </w:p>
    <w:p w14:paraId="20884139"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26 </w:t>
      </w:r>
      <w:r w:rsidRPr="00BB734F">
        <w:rPr>
          <w:rFonts w:ascii="Book Antiqua" w:eastAsia="Book Antiqua" w:hAnsi="Book Antiqua" w:cs="Book Antiqua"/>
          <w:b/>
          <w:bCs/>
        </w:rPr>
        <w:t>Henak CR</w:t>
      </w:r>
      <w:r w:rsidRPr="00BB734F">
        <w:rPr>
          <w:rFonts w:ascii="Book Antiqua" w:eastAsia="Book Antiqua" w:hAnsi="Book Antiqua" w:cs="Book Antiqua"/>
        </w:rPr>
        <w:t xml:space="preserve">, Ellis BJ, Harris MD, Anderson AE, Peters CL, Weiss JA. Role of the acetabular labrum in load support across the hip joint. </w:t>
      </w:r>
      <w:r w:rsidRPr="00BB734F">
        <w:rPr>
          <w:rFonts w:ascii="Book Antiqua" w:eastAsia="Book Antiqua" w:hAnsi="Book Antiqua" w:cs="Book Antiqua"/>
          <w:i/>
          <w:iCs/>
        </w:rPr>
        <w:t>J Biomech</w:t>
      </w:r>
      <w:r w:rsidRPr="00BB734F">
        <w:rPr>
          <w:rFonts w:ascii="Book Antiqua" w:eastAsia="Book Antiqua" w:hAnsi="Book Antiqua" w:cs="Book Antiqua"/>
        </w:rPr>
        <w:t xml:space="preserve"> 2011; </w:t>
      </w:r>
      <w:r w:rsidRPr="00BB734F">
        <w:rPr>
          <w:rFonts w:ascii="Book Antiqua" w:eastAsia="Book Antiqua" w:hAnsi="Book Antiqua" w:cs="Book Antiqua"/>
          <w:b/>
          <w:bCs/>
        </w:rPr>
        <w:t>44</w:t>
      </w:r>
      <w:r w:rsidRPr="00BB734F">
        <w:rPr>
          <w:rFonts w:ascii="Book Antiqua" w:eastAsia="Book Antiqua" w:hAnsi="Book Antiqua" w:cs="Book Antiqua"/>
        </w:rPr>
        <w:t>: 2201-2206 [PMID: 21757198 DOI: 10.1016/j.jbiomech.2011.06.011]</w:t>
      </w:r>
    </w:p>
    <w:p w14:paraId="263AFA5B"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lastRenderedPageBreak/>
        <w:t xml:space="preserve">27 </w:t>
      </w:r>
      <w:r w:rsidRPr="00BB734F">
        <w:rPr>
          <w:rFonts w:ascii="Book Antiqua" w:eastAsia="Book Antiqua" w:hAnsi="Book Antiqua" w:cs="Book Antiqua"/>
          <w:b/>
          <w:bCs/>
        </w:rPr>
        <w:t>Gala L</w:t>
      </w:r>
      <w:r w:rsidRPr="00BB734F">
        <w:rPr>
          <w:rFonts w:ascii="Book Antiqua" w:eastAsia="Book Antiqua" w:hAnsi="Book Antiqua" w:cs="Book Antiqua"/>
        </w:rPr>
        <w:t xml:space="preserve">, Clohisy JC, Beaulé PE. Hip Dysplasia in the Young Adult. </w:t>
      </w:r>
      <w:r w:rsidRPr="00BB734F">
        <w:rPr>
          <w:rFonts w:ascii="Book Antiqua" w:eastAsia="Book Antiqua" w:hAnsi="Book Antiqua" w:cs="Book Antiqua"/>
          <w:i/>
          <w:iCs/>
        </w:rPr>
        <w:t>J Bone Joint Surg Am</w:t>
      </w:r>
      <w:r w:rsidRPr="00BB734F">
        <w:rPr>
          <w:rFonts w:ascii="Book Antiqua" w:eastAsia="Book Antiqua" w:hAnsi="Book Antiqua" w:cs="Book Antiqua"/>
        </w:rPr>
        <w:t xml:space="preserve"> 2016; </w:t>
      </w:r>
      <w:r w:rsidRPr="00BB734F">
        <w:rPr>
          <w:rFonts w:ascii="Book Antiqua" w:eastAsia="Book Antiqua" w:hAnsi="Book Antiqua" w:cs="Book Antiqua"/>
          <w:b/>
          <w:bCs/>
        </w:rPr>
        <w:t>98</w:t>
      </w:r>
      <w:r w:rsidRPr="00BB734F">
        <w:rPr>
          <w:rFonts w:ascii="Book Antiqua" w:eastAsia="Book Antiqua" w:hAnsi="Book Antiqua" w:cs="Book Antiqua"/>
        </w:rPr>
        <w:t>: 63-73 [PMID: 26738905 DOI: 10.2106/JBJS.O.00109]</w:t>
      </w:r>
    </w:p>
    <w:p w14:paraId="3FA335F2"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28 </w:t>
      </w:r>
      <w:r w:rsidRPr="00BB734F">
        <w:rPr>
          <w:rFonts w:ascii="Book Antiqua" w:eastAsia="Book Antiqua" w:hAnsi="Book Antiqua" w:cs="Book Antiqua"/>
          <w:b/>
          <w:bCs/>
        </w:rPr>
        <w:t>Yu T</w:t>
      </w:r>
      <w:r w:rsidRPr="00BB734F">
        <w:rPr>
          <w:rFonts w:ascii="Book Antiqua" w:eastAsia="Book Antiqua" w:hAnsi="Book Antiqua" w:cs="Book Antiqua"/>
        </w:rPr>
        <w:t xml:space="preserve">, Xie L, Chu F. A sclerotic rim provides mechanical support for the femoral head in osteonecrosis. </w:t>
      </w:r>
      <w:r w:rsidRPr="00BB734F">
        <w:rPr>
          <w:rFonts w:ascii="Book Antiqua" w:eastAsia="Book Antiqua" w:hAnsi="Book Antiqua" w:cs="Book Antiqua"/>
          <w:i/>
          <w:iCs/>
        </w:rPr>
        <w:t>Orthopedics</w:t>
      </w:r>
      <w:r w:rsidRPr="00BB734F">
        <w:rPr>
          <w:rFonts w:ascii="Book Antiqua" w:eastAsia="Book Antiqua" w:hAnsi="Book Antiqua" w:cs="Book Antiqua"/>
        </w:rPr>
        <w:t xml:space="preserve"> 2015; </w:t>
      </w:r>
      <w:r w:rsidRPr="00BB734F">
        <w:rPr>
          <w:rFonts w:ascii="Book Antiqua" w:eastAsia="Book Antiqua" w:hAnsi="Book Antiqua" w:cs="Book Antiqua"/>
          <w:b/>
          <w:bCs/>
        </w:rPr>
        <w:t>38</w:t>
      </w:r>
      <w:r w:rsidRPr="00BB734F">
        <w:rPr>
          <w:rFonts w:ascii="Book Antiqua" w:eastAsia="Book Antiqua" w:hAnsi="Book Antiqua" w:cs="Book Antiqua"/>
        </w:rPr>
        <w:t>: e374-e379 [PMID: 25970363 DOI: 10.3928/01477447-20150504-53]</w:t>
      </w:r>
    </w:p>
    <w:p w14:paraId="73596A4A"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29 </w:t>
      </w:r>
      <w:r w:rsidRPr="00BB734F">
        <w:rPr>
          <w:rFonts w:ascii="Book Antiqua" w:eastAsia="Book Antiqua" w:hAnsi="Book Antiqua" w:cs="Book Antiqua"/>
          <w:b/>
          <w:bCs/>
        </w:rPr>
        <w:t>Chen Y</w:t>
      </w:r>
      <w:r w:rsidRPr="00BB734F">
        <w:rPr>
          <w:rFonts w:ascii="Book Antiqua" w:eastAsia="Book Antiqua" w:hAnsi="Book Antiqua" w:cs="Book Antiqua"/>
        </w:rPr>
        <w:t xml:space="preserve">, Miao Y, Liu K, Zhu B, Xue F, Yin J, Zou J, Li G, Zhang C, Feng Y. Less sclerotic microarchitecture pattern with increased bone resorption in glucocorticoid-associated osteonecrosis of femoral head as compared to alcohol-associated osteonecrosis of femoral head. </w:t>
      </w:r>
      <w:r w:rsidRPr="00BB734F">
        <w:rPr>
          <w:rFonts w:ascii="Book Antiqua" w:eastAsia="Book Antiqua" w:hAnsi="Book Antiqua" w:cs="Book Antiqua"/>
          <w:i/>
          <w:iCs/>
        </w:rPr>
        <w:t>Front Endocrinol (Lausanne)</w:t>
      </w:r>
      <w:r w:rsidRPr="00BB734F">
        <w:rPr>
          <w:rFonts w:ascii="Book Antiqua" w:eastAsia="Book Antiqua" w:hAnsi="Book Antiqua" w:cs="Book Antiqua"/>
        </w:rPr>
        <w:t xml:space="preserve"> 2023; </w:t>
      </w:r>
      <w:r w:rsidRPr="00BB734F">
        <w:rPr>
          <w:rFonts w:ascii="Book Antiqua" w:eastAsia="Book Antiqua" w:hAnsi="Book Antiqua" w:cs="Book Antiqua"/>
          <w:b/>
          <w:bCs/>
        </w:rPr>
        <w:t>14</w:t>
      </w:r>
      <w:r w:rsidRPr="00BB734F">
        <w:rPr>
          <w:rFonts w:ascii="Book Antiqua" w:eastAsia="Book Antiqua" w:hAnsi="Book Antiqua" w:cs="Book Antiqua"/>
        </w:rPr>
        <w:t>: 1133674 [PMID: 36967755 DOI: 10.3389/fendo.2023.1133674]</w:t>
      </w:r>
    </w:p>
    <w:p w14:paraId="484F8FDE"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30 </w:t>
      </w:r>
      <w:r w:rsidRPr="00BB734F">
        <w:rPr>
          <w:rFonts w:ascii="Book Antiqua" w:eastAsia="Book Antiqua" w:hAnsi="Book Antiqua" w:cs="Book Antiqua"/>
          <w:b/>
          <w:bCs/>
        </w:rPr>
        <w:t>Yu T</w:t>
      </w:r>
      <w:r w:rsidRPr="00BB734F">
        <w:rPr>
          <w:rFonts w:ascii="Book Antiqua" w:eastAsia="Book Antiqua" w:hAnsi="Book Antiqua" w:cs="Book Antiqua"/>
        </w:rPr>
        <w:t xml:space="preserve">, Xie L, Zhang Z, Ke X, Liu Y. Prediction of osteonecrosis collapse of the femoral head based on the proportion of the proximal sclerotic rim. </w:t>
      </w:r>
      <w:r w:rsidRPr="00BB734F">
        <w:rPr>
          <w:rFonts w:ascii="Book Antiqua" w:eastAsia="Book Antiqua" w:hAnsi="Book Antiqua" w:cs="Book Antiqua"/>
          <w:i/>
          <w:iCs/>
        </w:rPr>
        <w:t>Int Orthop</w:t>
      </w:r>
      <w:r w:rsidRPr="00BB734F">
        <w:rPr>
          <w:rFonts w:ascii="Book Antiqua" w:eastAsia="Book Antiqua" w:hAnsi="Book Antiqua" w:cs="Book Antiqua"/>
        </w:rPr>
        <w:t xml:space="preserve"> 2015; </w:t>
      </w:r>
      <w:r w:rsidRPr="00BB734F">
        <w:rPr>
          <w:rFonts w:ascii="Book Antiqua" w:eastAsia="Book Antiqua" w:hAnsi="Book Antiqua" w:cs="Book Antiqua"/>
          <w:b/>
          <w:bCs/>
        </w:rPr>
        <w:t>39</w:t>
      </w:r>
      <w:r w:rsidRPr="00BB734F">
        <w:rPr>
          <w:rFonts w:ascii="Book Antiqua" w:eastAsia="Book Antiqua" w:hAnsi="Book Antiqua" w:cs="Book Antiqua"/>
        </w:rPr>
        <w:t>: 1045-1050 [PMID: 25428189 DOI: 10.1007/s00264-014-2602-9]</w:t>
      </w:r>
    </w:p>
    <w:p w14:paraId="2F4F2293"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31 </w:t>
      </w:r>
      <w:r w:rsidRPr="00BB734F">
        <w:rPr>
          <w:rFonts w:ascii="Book Antiqua" w:eastAsia="Book Antiqua" w:hAnsi="Book Antiqua" w:cs="Book Antiqua"/>
          <w:b/>
          <w:bCs/>
        </w:rPr>
        <w:t>Kim J</w:t>
      </w:r>
      <w:r w:rsidRPr="00BB734F">
        <w:rPr>
          <w:rFonts w:ascii="Book Antiqua" w:eastAsia="Book Antiqua" w:hAnsi="Book Antiqua" w:cs="Book Antiqua"/>
        </w:rPr>
        <w:t xml:space="preserve">, Lee SK, Kim JY, Kim JH. CT and MRI findings beyond the subchondral bone in osteonecrosis of the femoral head to distinguish between ARCO stages 2 and 3A. </w:t>
      </w:r>
      <w:r w:rsidRPr="00BB734F">
        <w:rPr>
          <w:rFonts w:ascii="Book Antiqua" w:eastAsia="Book Antiqua" w:hAnsi="Book Antiqua" w:cs="Book Antiqua"/>
          <w:i/>
          <w:iCs/>
        </w:rPr>
        <w:t>Eur Radiol</w:t>
      </w:r>
      <w:r w:rsidRPr="00BB734F">
        <w:rPr>
          <w:rFonts w:ascii="Book Antiqua" w:eastAsia="Book Antiqua" w:hAnsi="Book Antiqua" w:cs="Book Antiqua"/>
        </w:rPr>
        <w:t xml:space="preserve"> 2023; </w:t>
      </w:r>
      <w:r w:rsidRPr="00BB734F">
        <w:rPr>
          <w:rFonts w:ascii="Book Antiqua" w:eastAsia="Book Antiqua" w:hAnsi="Book Antiqua" w:cs="Book Antiqua"/>
          <w:b/>
          <w:bCs/>
        </w:rPr>
        <w:t>33</w:t>
      </w:r>
      <w:r w:rsidRPr="00BB734F">
        <w:rPr>
          <w:rFonts w:ascii="Book Antiqua" w:eastAsia="Book Antiqua" w:hAnsi="Book Antiqua" w:cs="Book Antiqua"/>
        </w:rPr>
        <w:t>: 4789-4800 [PMID: 36640174 DOI: 10.1007/s00330-023-09403-8]</w:t>
      </w:r>
    </w:p>
    <w:p w14:paraId="09EE1C99"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32 </w:t>
      </w:r>
      <w:r w:rsidRPr="00BB734F">
        <w:rPr>
          <w:rFonts w:ascii="Book Antiqua" w:eastAsia="Book Antiqua" w:hAnsi="Book Antiqua" w:cs="Book Antiqua"/>
          <w:b/>
          <w:bCs/>
        </w:rPr>
        <w:t>Gao F</w:t>
      </w:r>
      <w:r w:rsidRPr="00BB734F">
        <w:rPr>
          <w:rFonts w:ascii="Book Antiqua" w:eastAsia="Book Antiqua" w:hAnsi="Book Antiqua" w:cs="Book Antiqua"/>
        </w:rPr>
        <w:t xml:space="preserve">, Han J, He Z, Li Z. Radiological analysis of cystic lesion in osteonecrosis of the femoral head. </w:t>
      </w:r>
      <w:r w:rsidRPr="00BB734F">
        <w:rPr>
          <w:rFonts w:ascii="Book Antiqua" w:eastAsia="Book Antiqua" w:hAnsi="Book Antiqua" w:cs="Book Antiqua"/>
          <w:i/>
          <w:iCs/>
        </w:rPr>
        <w:t>Int Orthop</w:t>
      </w:r>
      <w:r w:rsidRPr="00BB734F">
        <w:rPr>
          <w:rFonts w:ascii="Book Antiqua" w:eastAsia="Book Antiqua" w:hAnsi="Book Antiqua" w:cs="Book Antiqua"/>
        </w:rPr>
        <w:t xml:space="preserve"> 2018; </w:t>
      </w:r>
      <w:r w:rsidRPr="00BB734F">
        <w:rPr>
          <w:rFonts w:ascii="Book Antiqua" w:eastAsia="Book Antiqua" w:hAnsi="Book Antiqua" w:cs="Book Antiqua"/>
          <w:b/>
          <w:bCs/>
        </w:rPr>
        <w:t>42</w:t>
      </w:r>
      <w:r w:rsidRPr="00BB734F">
        <w:rPr>
          <w:rFonts w:ascii="Book Antiqua" w:eastAsia="Book Antiqua" w:hAnsi="Book Antiqua" w:cs="Book Antiqua"/>
        </w:rPr>
        <w:t>: 1615-1621 [PMID: 29704023 DOI: 10.1007/s00264-018-3958-z]</w:t>
      </w:r>
    </w:p>
    <w:p w14:paraId="0ECBE018"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33 </w:t>
      </w:r>
      <w:r w:rsidRPr="00BB734F">
        <w:rPr>
          <w:rFonts w:ascii="Book Antiqua" w:eastAsia="Book Antiqua" w:hAnsi="Book Antiqua" w:cs="Book Antiqua"/>
          <w:b/>
          <w:bCs/>
        </w:rPr>
        <w:t>Di Martino A</w:t>
      </w:r>
      <w:r w:rsidRPr="00BB734F">
        <w:rPr>
          <w:rFonts w:ascii="Book Antiqua" w:eastAsia="Book Antiqua" w:hAnsi="Book Antiqua" w:cs="Book Antiqua"/>
        </w:rPr>
        <w:t xml:space="preserve">, Brunello M, Villari E, Cataldi P, D'Agostino C, Faldini C. Bone marrow edema of the hip: a narrative review. </w:t>
      </w:r>
      <w:r w:rsidRPr="00BB734F">
        <w:rPr>
          <w:rFonts w:ascii="Book Antiqua" w:eastAsia="Book Antiqua" w:hAnsi="Book Antiqua" w:cs="Book Antiqua"/>
          <w:i/>
          <w:iCs/>
        </w:rPr>
        <w:t>Arch Orthop Trauma Surg</w:t>
      </w:r>
      <w:r w:rsidRPr="00BB734F">
        <w:rPr>
          <w:rFonts w:ascii="Book Antiqua" w:eastAsia="Book Antiqua" w:hAnsi="Book Antiqua" w:cs="Book Antiqua"/>
        </w:rPr>
        <w:t xml:space="preserve"> 2023 [PMID: 37378892 DOI: 10.1007/s00402-023-04961-4]</w:t>
      </w:r>
    </w:p>
    <w:p w14:paraId="3E60A946"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34 </w:t>
      </w:r>
      <w:r w:rsidRPr="00BB734F">
        <w:rPr>
          <w:rFonts w:ascii="Book Antiqua" w:eastAsia="Book Antiqua" w:hAnsi="Book Antiqua" w:cs="Book Antiqua"/>
          <w:b/>
          <w:bCs/>
        </w:rPr>
        <w:t>Gaudiani MA</w:t>
      </w:r>
      <w:r w:rsidRPr="00BB734F">
        <w:rPr>
          <w:rFonts w:ascii="Book Antiqua" w:eastAsia="Book Antiqua" w:hAnsi="Book Antiqua" w:cs="Book Antiqua"/>
        </w:rPr>
        <w:t xml:space="preserve">, Samuel LT, Mahmood B, Sultan AA, Kamath AF. Subchondral insufficiency fractures of the femoral head: systematic review of diagnosis, treatment and outcomes. </w:t>
      </w:r>
      <w:r w:rsidRPr="00BB734F">
        <w:rPr>
          <w:rFonts w:ascii="Book Antiqua" w:eastAsia="Book Antiqua" w:hAnsi="Book Antiqua" w:cs="Book Antiqua"/>
          <w:i/>
          <w:iCs/>
        </w:rPr>
        <w:t>J Hip Preserv Surg</w:t>
      </w:r>
      <w:r w:rsidRPr="00BB734F">
        <w:rPr>
          <w:rFonts w:ascii="Book Antiqua" w:eastAsia="Book Antiqua" w:hAnsi="Book Antiqua" w:cs="Book Antiqua"/>
        </w:rPr>
        <w:t xml:space="preserve"> 2020; </w:t>
      </w:r>
      <w:r w:rsidRPr="00BB734F">
        <w:rPr>
          <w:rFonts w:ascii="Book Antiqua" w:eastAsia="Book Antiqua" w:hAnsi="Book Antiqua" w:cs="Book Antiqua"/>
          <w:b/>
          <w:bCs/>
        </w:rPr>
        <w:t>7</w:t>
      </w:r>
      <w:r w:rsidRPr="00BB734F">
        <w:rPr>
          <w:rFonts w:ascii="Book Antiqua" w:eastAsia="Book Antiqua" w:hAnsi="Book Antiqua" w:cs="Book Antiqua"/>
        </w:rPr>
        <w:t>: 85-94 [PMID: 32382434 DOI: 10.1093/jhps/hnz054]</w:t>
      </w:r>
    </w:p>
    <w:p w14:paraId="1D4AB0E2"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35 </w:t>
      </w:r>
      <w:r w:rsidRPr="00BB734F">
        <w:rPr>
          <w:rFonts w:ascii="Book Antiqua" w:eastAsia="Book Antiqua" w:hAnsi="Book Antiqua" w:cs="Book Antiqua"/>
          <w:b/>
          <w:bCs/>
        </w:rPr>
        <w:t>Kim SM</w:t>
      </w:r>
      <w:r w:rsidRPr="00BB734F">
        <w:rPr>
          <w:rFonts w:ascii="Book Antiqua" w:eastAsia="Book Antiqua" w:hAnsi="Book Antiqua" w:cs="Book Antiqua"/>
        </w:rPr>
        <w:t xml:space="preserve">, Oh SM, Cho CH, Lim SJ, Moon YW, Choi SH, Park YS. Fate of subchondral fatigue fractures of femoral head in young adults differs from general outcome of </w:t>
      </w:r>
      <w:r w:rsidRPr="00BB734F">
        <w:rPr>
          <w:rFonts w:ascii="Book Antiqua" w:eastAsia="Book Antiqua" w:hAnsi="Book Antiqua" w:cs="Book Antiqua"/>
        </w:rPr>
        <w:lastRenderedPageBreak/>
        <w:t xml:space="preserve">fracture healing. </w:t>
      </w:r>
      <w:r w:rsidRPr="00BB734F">
        <w:rPr>
          <w:rFonts w:ascii="Book Antiqua" w:eastAsia="Book Antiqua" w:hAnsi="Book Antiqua" w:cs="Book Antiqua"/>
          <w:i/>
          <w:iCs/>
        </w:rPr>
        <w:t>Injury</w:t>
      </w:r>
      <w:r w:rsidRPr="00BB734F">
        <w:rPr>
          <w:rFonts w:ascii="Book Antiqua" w:eastAsia="Book Antiqua" w:hAnsi="Book Antiqua" w:cs="Book Antiqua"/>
        </w:rPr>
        <w:t xml:space="preserve"> 2016; </w:t>
      </w:r>
      <w:r w:rsidRPr="00BB734F">
        <w:rPr>
          <w:rFonts w:ascii="Book Antiqua" w:eastAsia="Book Antiqua" w:hAnsi="Book Antiqua" w:cs="Book Antiqua"/>
          <w:b/>
          <w:bCs/>
        </w:rPr>
        <w:t>47</w:t>
      </w:r>
      <w:r w:rsidRPr="00BB734F">
        <w:rPr>
          <w:rFonts w:ascii="Book Antiqua" w:eastAsia="Book Antiqua" w:hAnsi="Book Antiqua" w:cs="Book Antiqua"/>
        </w:rPr>
        <w:t>: 2789-2794 [PMID: 27771040 DOI: 10.1016/j.injury.2016.10.014]</w:t>
      </w:r>
    </w:p>
    <w:p w14:paraId="55708865"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36 </w:t>
      </w:r>
      <w:r w:rsidRPr="00BB734F">
        <w:rPr>
          <w:rFonts w:ascii="Book Antiqua" w:eastAsia="Book Antiqua" w:hAnsi="Book Antiqua" w:cs="Book Antiqua"/>
          <w:b/>
          <w:bCs/>
        </w:rPr>
        <w:t>Kubo Y</w:t>
      </w:r>
      <w:r w:rsidRPr="00BB734F">
        <w:rPr>
          <w:rFonts w:ascii="Book Antiqua" w:eastAsia="Book Antiqua" w:hAnsi="Book Antiqua" w:cs="Book Antiqua"/>
        </w:rPr>
        <w:t xml:space="preserve">, Motomura G, Ikemura S, Hatanaka H, Fukushi JI, Hamai S, Yamamoto T, Nakashima Y. Osteoclast-related markers in the hip joint fluid with subchondral insufficiency fracture of the femoral head. </w:t>
      </w:r>
      <w:r w:rsidRPr="00BB734F">
        <w:rPr>
          <w:rFonts w:ascii="Book Antiqua" w:eastAsia="Book Antiqua" w:hAnsi="Book Antiqua" w:cs="Book Antiqua"/>
          <w:i/>
          <w:iCs/>
        </w:rPr>
        <w:t>J Orthop Res</w:t>
      </w:r>
      <w:r w:rsidRPr="00BB734F">
        <w:rPr>
          <w:rFonts w:ascii="Book Antiqua" w:eastAsia="Book Antiqua" w:hAnsi="Book Antiqua" w:cs="Book Antiqua"/>
        </w:rPr>
        <w:t xml:space="preserve"> 2018; </w:t>
      </w:r>
      <w:r w:rsidRPr="00BB734F">
        <w:rPr>
          <w:rFonts w:ascii="Book Antiqua" w:eastAsia="Book Antiqua" w:hAnsi="Book Antiqua" w:cs="Book Antiqua"/>
          <w:b/>
          <w:bCs/>
        </w:rPr>
        <w:t>36</w:t>
      </w:r>
      <w:r w:rsidRPr="00BB734F">
        <w:rPr>
          <w:rFonts w:ascii="Book Antiqua" w:eastAsia="Book Antiqua" w:hAnsi="Book Antiqua" w:cs="Book Antiqua"/>
        </w:rPr>
        <w:t>: 2987-2995 [PMID: 29877577 DOI: 10.1002/jor.24066]</w:t>
      </w:r>
    </w:p>
    <w:p w14:paraId="592D70AB"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37 </w:t>
      </w:r>
      <w:r w:rsidRPr="00BB734F">
        <w:rPr>
          <w:rFonts w:ascii="Book Antiqua" w:eastAsia="Book Antiqua" w:hAnsi="Book Antiqua" w:cs="Book Antiqua"/>
          <w:b/>
          <w:bCs/>
        </w:rPr>
        <w:t>Sonoda K</w:t>
      </w:r>
      <w:r w:rsidRPr="00BB734F">
        <w:rPr>
          <w:rFonts w:ascii="Book Antiqua" w:eastAsia="Book Antiqua" w:hAnsi="Book Antiqua" w:cs="Book Antiqua"/>
        </w:rPr>
        <w:t xml:space="preserve">, Motomura G, Ikemura S, Kubo Y, Yamamoto T, Nakashima Y. Favorable Clinical and Radiographic Results of Transtrochanteric Anterior Rotational Osteotomy for Collapsed Subchondral Insufficiency Fracture of the Femoral Head in Young Adults. </w:t>
      </w:r>
      <w:r w:rsidRPr="00BB734F">
        <w:rPr>
          <w:rFonts w:ascii="Book Antiqua" w:eastAsia="Book Antiqua" w:hAnsi="Book Antiqua" w:cs="Book Antiqua"/>
          <w:i/>
          <w:iCs/>
        </w:rPr>
        <w:t>JB JS Open Access</w:t>
      </w:r>
      <w:r w:rsidRPr="00BB734F">
        <w:rPr>
          <w:rFonts w:ascii="Book Antiqua" w:eastAsia="Book Antiqua" w:hAnsi="Book Antiqua" w:cs="Book Antiqua"/>
        </w:rPr>
        <w:t xml:space="preserve"> 2017; </w:t>
      </w:r>
      <w:r w:rsidRPr="00BB734F">
        <w:rPr>
          <w:rFonts w:ascii="Book Antiqua" w:eastAsia="Book Antiqua" w:hAnsi="Book Antiqua" w:cs="Book Antiqua"/>
          <w:b/>
          <w:bCs/>
        </w:rPr>
        <w:t>2</w:t>
      </w:r>
      <w:r w:rsidRPr="00BB734F">
        <w:rPr>
          <w:rFonts w:ascii="Book Antiqua" w:eastAsia="Book Antiqua" w:hAnsi="Book Antiqua" w:cs="Book Antiqua"/>
        </w:rPr>
        <w:t>: e0013 [PMID: 30229211 DOI: 10.2106/JBJS.OA.16.00013]</w:t>
      </w:r>
    </w:p>
    <w:p w14:paraId="3F483221"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 xml:space="preserve">38 </w:t>
      </w:r>
      <w:r w:rsidRPr="00BB734F">
        <w:rPr>
          <w:rFonts w:ascii="Book Antiqua" w:eastAsia="Book Antiqua" w:hAnsi="Book Antiqua" w:cs="Book Antiqua"/>
          <w:b/>
          <w:bCs/>
        </w:rPr>
        <w:t>Miyake Y</w:t>
      </w:r>
      <w:r w:rsidRPr="00BB734F">
        <w:rPr>
          <w:rFonts w:ascii="Book Antiqua" w:eastAsia="Book Antiqua" w:hAnsi="Book Antiqua" w:cs="Book Antiqua"/>
        </w:rPr>
        <w:t xml:space="preserve">, Mitani S. Subchondral fatigue fracture of the femoral head with acetabular dysplasia treated by transposition osteotomy of the acetabulum: a case report. </w:t>
      </w:r>
      <w:r w:rsidRPr="00BB734F">
        <w:rPr>
          <w:rFonts w:ascii="Book Antiqua" w:eastAsia="Book Antiqua" w:hAnsi="Book Antiqua" w:cs="Book Antiqua"/>
          <w:i/>
          <w:iCs/>
        </w:rPr>
        <w:t>J Orthop Case Rep</w:t>
      </w:r>
      <w:r w:rsidRPr="00BB734F">
        <w:rPr>
          <w:rFonts w:ascii="Book Antiqua" w:eastAsia="Book Antiqua" w:hAnsi="Book Antiqua" w:cs="Book Antiqua"/>
        </w:rPr>
        <w:t xml:space="preserve"> 2023; </w:t>
      </w:r>
      <w:r w:rsidRPr="00BB734F">
        <w:rPr>
          <w:rFonts w:ascii="Book Antiqua" w:eastAsia="Book Antiqua" w:hAnsi="Book Antiqua" w:cs="Book Antiqua"/>
          <w:b/>
          <w:bCs/>
        </w:rPr>
        <w:t>13</w:t>
      </w:r>
      <w:r w:rsidRPr="00BB734F">
        <w:rPr>
          <w:rFonts w:ascii="Book Antiqua" w:eastAsia="Book Antiqua" w:hAnsi="Book Antiqua" w:cs="Book Antiqua"/>
        </w:rPr>
        <w:t>: 82-86 [PMID: 37255646 DOI: 10.13107/jocr.2023.v13.i05.3656]</w:t>
      </w:r>
    </w:p>
    <w:p w14:paraId="4FB7E5F1" w14:textId="77777777" w:rsidR="0003522D" w:rsidRPr="00BB734F" w:rsidRDefault="0003522D">
      <w:pPr>
        <w:adjustRightInd w:val="0"/>
        <w:snapToGrid w:val="0"/>
        <w:spacing w:line="360" w:lineRule="auto"/>
        <w:jc w:val="both"/>
        <w:rPr>
          <w:rFonts w:ascii="Book Antiqua" w:hAnsi="Book Antiqua" w:cs="Book Antiqua"/>
        </w:rPr>
        <w:sectPr w:rsidR="0003522D" w:rsidRPr="00BB734F">
          <w:pgSz w:w="12240" w:h="15840"/>
          <w:pgMar w:top="1440" w:right="1440" w:bottom="1440" w:left="1440" w:header="720" w:footer="720" w:gutter="0"/>
          <w:cols w:space="720"/>
          <w:docGrid w:linePitch="360"/>
        </w:sectPr>
      </w:pPr>
    </w:p>
    <w:p w14:paraId="5CFD331A"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color w:val="000000"/>
        </w:rPr>
        <w:lastRenderedPageBreak/>
        <w:t>Footnotes</w:t>
      </w:r>
    </w:p>
    <w:p w14:paraId="789E6381"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rPr>
        <w:t xml:space="preserve">Institutional review board statement: </w:t>
      </w:r>
      <w:r w:rsidRPr="00BB734F">
        <w:rPr>
          <w:rFonts w:ascii="Book Antiqua" w:eastAsia="Book Antiqua" w:hAnsi="Book Antiqua" w:cs="Book Antiqua"/>
        </w:rPr>
        <w:t>This study was approved by the Ethics Review Board of PLA General Hospital, which waived the need to obtain written informed consent (No. 2019-019-01).</w:t>
      </w:r>
    </w:p>
    <w:p w14:paraId="6F5C3DC0" w14:textId="77777777" w:rsidR="0003522D" w:rsidRPr="00BB734F" w:rsidRDefault="0003522D">
      <w:pPr>
        <w:adjustRightInd w:val="0"/>
        <w:snapToGrid w:val="0"/>
        <w:spacing w:line="360" w:lineRule="auto"/>
        <w:jc w:val="both"/>
        <w:rPr>
          <w:rFonts w:ascii="Book Antiqua" w:hAnsi="Book Antiqua" w:cs="Book Antiqua"/>
        </w:rPr>
      </w:pPr>
    </w:p>
    <w:p w14:paraId="40B9F28D"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rPr>
        <w:t xml:space="preserve">Informed consent statement: </w:t>
      </w:r>
      <w:r w:rsidRPr="00BB734F">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389AD22E" w14:textId="77777777" w:rsidR="0003522D" w:rsidRPr="00BB734F" w:rsidRDefault="0003522D">
      <w:pPr>
        <w:adjustRightInd w:val="0"/>
        <w:snapToGrid w:val="0"/>
        <w:spacing w:line="360" w:lineRule="auto"/>
        <w:jc w:val="both"/>
        <w:rPr>
          <w:rFonts w:ascii="Book Antiqua" w:hAnsi="Book Antiqua" w:cs="Book Antiqua"/>
        </w:rPr>
      </w:pPr>
    </w:p>
    <w:p w14:paraId="267E0914"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rPr>
        <w:t xml:space="preserve">Conflict-of-interest statement: </w:t>
      </w:r>
      <w:r w:rsidRPr="00BB734F">
        <w:rPr>
          <w:rFonts w:ascii="Book Antiqua" w:eastAsia="宋体" w:hAnsi="Book Antiqua" w:cs="Book Antiqua"/>
          <w:lang w:eastAsia="zh-CN"/>
        </w:rPr>
        <w:t>The authors</w:t>
      </w:r>
      <w:r w:rsidRPr="00BB734F">
        <w:rPr>
          <w:rFonts w:ascii="Book Antiqua" w:eastAsia="Book Antiqua" w:hAnsi="Book Antiqua" w:cs="Book Antiqua"/>
        </w:rPr>
        <w:t xml:space="preserve"> ha</w:t>
      </w:r>
      <w:r w:rsidRPr="00BB734F">
        <w:rPr>
          <w:rFonts w:ascii="Book Antiqua" w:eastAsia="宋体" w:hAnsi="Book Antiqua" w:cs="Book Antiqua"/>
          <w:lang w:eastAsia="zh-CN"/>
        </w:rPr>
        <w:t>ve</w:t>
      </w:r>
      <w:r w:rsidRPr="00BB734F">
        <w:rPr>
          <w:rFonts w:ascii="Book Antiqua" w:eastAsia="Book Antiqua" w:hAnsi="Book Antiqua" w:cs="Book Antiqua"/>
        </w:rPr>
        <w:t xml:space="preserve"> nothing to disclose.</w:t>
      </w:r>
    </w:p>
    <w:p w14:paraId="4C2EF9FD" w14:textId="77777777" w:rsidR="0003522D" w:rsidRPr="00BB734F" w:rsidRDefault="0003522D">
      <w:pPr>
        <w:adjustRightInd w:val="0"/>
        <w:snapToGrid w:val="0"/>
        <w:spacing w:line="360" w:lineRule="auto"/>
        <w:jc w:val="both"/>
        <w:rPr>
          <w:rFonts w:ascii="Book Antiqua" w:hAnsi="Book Antiqua" w:cs="Book Antiqua"/>
        </w:rPr>
      </w:pPr>
    </w:p>
    <w:p w14:paraId="413941D1"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rPr>
        <w:t xml:space="preserve">Data sharing statement: </w:t>
      </w:r>
      <w:r w:rsidRPr="00BB734F">
        <w:rPr>
          <w:rFonts w:ascii="Book Antiqua" w:eastAsia="Book Antiqua" w:hAnsi="Book Antiqua" w:cs="Book Antiqua"/>
          <w:color w:val="000000"/>
          <w:shd w:val="clear" w:color="auto" w:fill="FFFFFF"/>
        </w:rPr>
        <w:t>No additional data are available.</w:t>
      </w:r>
    </w:p>
    <w:p w14:paraId="4C9EBFC6" w14:textId="77777777" w:rsidR="0003522D" w:rsidRPr="00BB734F" w:rsidRDefault="0003522D">
      <w:pPr>
        <w:adjustRightInd w:val="0"/>
        <w:snapToGrid w:val="0"/>
        <w:spacing w:line="360" w:lineRule="auto"/>
        <w:jc w:val="both"/>
        <w:rPr>
          <w:rFonts w:ascii="Book Antiqua" w:hAnsi="Book Antiqua" w:cs="Book Antiqua"/>
        </w:rPr>
      </w:pPr>
    </w:p>
    <w:p w14:paraId="012FE866"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rPr>
        <w:t xml:space="preserve">Open-Access: </w:t>
      </w:r>
      <w:r w:rsidRPr="00BB734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F33FE3" w14:textId="77777777" w:rsidR="0003522D" w:rsidRPr="00BB734F" w:rsidRDefault="0003522D">
      <w:pPr>
        <w:adjustRightInd w:val="0"/>
        <w:snapToGrid w:val="0"/>
        <w:spacing w:line="360" w:lineRule="auto"/>
        <w:jc w:val="both"/>
        <w:rPr>
          <w:rFonts w:ascii="Book Antiqua" w:hAnsi="Book Antiqua" w:cs="Book Antiqua"/>
        </w:rPr>
      </w:pPr>
    </w:p>
    <w:p w14:paraId="7FE6AF18" w14:textId="77777777" w:rsidR="0003522D" w:rsidRPr="00BB734F" w:rsidRDefault="00000000">
      <w:pPr>
        <w:adjustRightInd w:val="0"/>
        <w:snapToGrid w:val="0"/>
        <w:spacing w:line="360" w:lineRule="auto"/>
        <w:jc w:val="both"/>
        <w:rPr>
          <w:rFonts w:ascii="Book Antiqua" w:eastAsia="Book Antiqua" w:hAnsi="Book Antiqua" w:cs="Book Antiqua"/>
        </w:rPr>
      </w:pPr>
      <w:r w:rsidRPr="00BB734F">
        <w:rPr>
          <w:rFonts w:ascii="Book Antiqua" w:eastAsia="Book Antiqua" w:hAnsi="Book Antiqua" w:cs="Book Antiqua"/>
          <w:b/>
          <w:color w:val="000000"/>
        </w:rPr>
        <w:t xml:space="preserve">Provenance and peer review: </w:t>
      </w:r>
      <w:r w:rsidRPr="00BB734F">
        <w:rPr>
          <w:rFonts w:ascii="Book Antiqua" w:eastAsia="Book Antiqua" w:hAnsi="Book Antiqua" w:cs="Book Antiqua"/>
        </w:rPr>
        <w:t>Unsolicited article; Externally peer reviewed.</w:t>
      </w:r>
    </w:p>
    <w:p w14:paraId="4FD829EF" w14:textId="77777777" w:rsidR="0003522D" w:rsidRPr="00BB734F" w:rsidRDefault="0003522D">
      <w:pPr>
        <w:adjustRightInd w:val="0"/>
        <w:snapToGrid w:val="0"/>
        <w:spacing w:line="360" w:lineRule="auto"/>
        <w:jc w:val="both"/>
        <w:rPr>
          <w:rFonts w:ascii="Book Antiqua" w:hAnsi="Book Antiqua" w:cs="Book Antiqua"/>
        </w:rPr>
      </w:pPr>
    </w:p>
    <w:p w14:paraId="32CDA1F2"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color w:val="000000"/>
        </w:rPr>
        <w:t xml:space="preserve">Peer-review model: </w:t>
      </w:r>
      <w:r w:rsidRPr="00BB734F">
        <w:rPr>
          <w:rFonts w:ascii="Book Antiqua" w:eastAsia="Book Antiqua" w:hAnsi="Book Antiqua" w:cs="Book Antiqua"/>
        </w:rPr>
        <w:t>Single blind</w:t>
      </w:r>
    </w:p>
    <w:p w14:paraId="15CA9EE1" w14:textId="77777777" w:rsidR="0003522D" w:rsidRPr="00BB734F" w:rsidRDefault="0003522D">
      <w:pPr>
        <w:adjustRightInd w:val="0"/>
        <w:snapToGrid w:val="0"/>
        <w:spacing w:line="360" w:lineRule="auto"/>
        <w:jc w:val="both"/>
        <w:rPr>
          <w:rFonts w:ascii="Book Antiqua" w:hAnsi="Book Antiqua" w:cs="Book Antiqua"/>
        </w:rPr>
      </w:pPr>
    </w:p>
    <w:p w14:paraId="193DC8AD"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color w:val="000000"/>
        </w:rPr>
        <w:t xml:space="preserve">Peer-review started: </w:t>
      </w:r>
      <w:r w:rsidRPr="00BB734F">
        <w:rPr>
          <w:rFonts w:ascii="Book Antiqua" w:eastAsia="Book Antiqua" w:hAnsi="Book Antiqua" w:cs="Book Antiqua"/>
        </w:rPr>
        <w:t>July 25, 2023</w:t>
      </w:r>
    </w:p>
    <w:p w14:paraId="72484B65"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color w:val="000000"/>
        </w:rPr>
        <w:t xml:space="preserve">First decision: </w:t>
      </w:r>
      <w:r w:rsidRPr="00BB734F">
        <w:rPr>
          <w:rFonts w:ascii="Book Antiqua" w:eastAsia="Book Antiqua" w:hAnsi="Book Antiqua" w:cs="Book Antiqua"/>
        </w:rPr>
        <w:t>August 16, 2023</w:t>
      </w:r>
    </w:p>
    <w:p w14:paraId="5A814485" w14:textId="4C6B500A"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color w:val="000000"/>
        </w:rPr>
        <w:t xml:space="preserve">Article in press: </w:t>
      </w:r>
      <w:r w:rsidR="002869E9" w:rsidRPr="00BB734F">
        <w:rPr>
          <w:rFonts w:ascii="Book Antiqua" w:eastAsia="Book Antiqua" w:hAnsi="Book Antiqua" w:cs="Book Antiqua"/>
        </w:rPr>
        <w:t>September 11, 2023</w:t>
      </w:r>
    </w:p>
    <w:p w14:paraId="2C2E92A3" w14:textId="77777777" w:rsidR="0003522D" w:rsidRPr="00BB734F" w:rsidRDefault="0003522D">
      <w:pPr>
        <w:adjustRightInd w:val="0"/>
        <w:snapToGrid w:val="0"/>
        <w:spacing w:line="360" w:lineRule="auto"/>
        <w:jc w:val="both"/>
        <w:rPr>
          <w:rFonts w:ascii="Book Antiqua" w:hAnsi="Book Antiqua" w:cs="Book Antiqua"/>
        </w:rPr>
      </w:pPr>
    </w:p>
    <w:p w14:paraId="11BC3569"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color w:val="000000"/>
        </w:rPr>
        <w:t xml:space="preserve">Specialty type: </w:t>
      </w:r>
      <w:r w:rsidRPr="00BB734F">
        <w:rPr>
          <w:rFonts w:ascii="Book Antiqua" w:eastAsia="Book Antiqua" w:hAnsi="Book Antiqua" w:cs="Book Antiqua"/>
        </w:rPr>
        <w:t>Medicine, research and experimental</w:t>
      </w:r>
    </w:p>
    <w:p w14:paraId="7C59A77A"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color w:val="000000"/>
        </w:rPr>
        <w:lastRenderedPageBreak/>
        <w:t xml:space="preserve">Country/Territory of origin: </w:t>
      </w:r>
      <w:r w:rsidRPr="00BB734F">
        <w:rPr>
          <w:rFonts w:ascii="Book Antiqua" w:eastAsia="Book Antiqua" w:hAnsi="Book Antiqua" w:cs="Book Antiqua"/>
        </w:rPr>
        <w:t>China</w:t>
      </w:r>
    </w:p>
    <w:p w14:paraId="167AE537"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color w:val="000000"/>
        </w:rPr>
        <w:t>Peer-review report’s scientific quality classification</w:t>
      </w:r>
    </w:p>
    <w:p w14:paraId="03B8260F"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Grade A (Excellent): 0</w:t>
      </w:r>
    </w:p>
    <w:p w14:paraId="4A98ADF8"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Grade B (Very good): B</w:t>
      </w:r>
    </w:p>
    <w:p w14:paraId="5E56D67D"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Grade C (Good): 0</w:t>
      </w:r>
    </w:p>
    <w:p w14:paraId="446F599E"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Grade D (Fair): 0</w:t>
      </w:r>
    </w:p>
    <w:p w14:paraId="7ECDE4ED"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rPr>
        <w:t>Grade E (Poor): 0</w:t>
      </w:r>
    </w:p>
    <w:p w14:paraId="3BD452D5" w14:textId="77777777" w:rsidR="0003522D" w:rsidRPr="00BB734F" w:rsidRDefault="0003522D">
      <w:pPr>
        <w:adjustRightInd w:val="0"/>
        <w:snapToGrid w:val="0"/>
        <w:spacing w:line="360" w:lineRule="auto"/>
        <w:jc w:val="both"/>
        <w:rPr>
          <w:rFonts w:ascii="Book Antiqua" w:hAnsi="Book Antiqua" w:cs="Book Antiqua"/>
        </w:rPr>
      </w:pPr>
    </w:p>
    <w:p w14:paraId="5B7A7D3C" w14:textId="637DFE0D" w:rsidR="0003522D" w:rsidRPr="00BB734F" w:rsidRDefault="00000000">
      <w:pPr>
        <w:adjustRightInd w:val="0"/>
        <w:snapToGrid w:val="0"/>
        <w:spacing w:line="360" w:lineRule="auto"/>
        <w:jc w:val="both"/>
        <w:rPr>
          <w:rFonts w:ascii="Book Antiqua" w:hAnsi="Book Antiqua" w:cs="Book Antiqua"/>
        </w:rPr>
        <w:sectPr w:rsidR="0003522D" w:rsidRPr="00BB734F">
          <w:pgSz w:w="12240" w:h="15840"/>
          <w:pgMar w:top="1440" w:right="1440" w:bottom="1440" w:left="1440" w:header="720" w:footer="720" w:gutter="0"/>
          <w:cols w:space="720"/>
          <w:docGrid w:linePitch="360"/>
        </w:sectPr>
      </w:pPr>
      <w:r w:rsidRPr="00BB734F">
        <w:rPr>
          <w:rFonts w:ascii="Book Antiqua" w:eastAsia="Book Antiqua" w:hAnsi="Book Antiqua" w:cs="Book Antiqua"/>
          <w:b/>
          <w:color w:val="000000"/>
        </w:rPr>
        <w:t xml:space="preserve">P-Reviewer: </w:t>
      </w:r>
      <w:r w:rsidRPr="00BB734F">
        <w:rPr>
          <w:rFonts w:ascii="Book Antiqua" w:eastAsia="Book Antiqua" w:hAnsi="Book Antiqua" w:cs="Book Antiqua"/>
        </w:rPr>
        <w:t>Mahmoud MZ, Saudi Arabia</w:t>
      </w:r>
      <w:r w:rsidRPr="00BB734F">
        <w:rPr>
          <w:rFonts w:ascii="Book Antiqua" w:eastAsia="Book Antiqua" w:hAnsi="Book Antiqua" w:cs="Book Antiqua"/>
          <w:b/>
          <w:color w:val="000000"/>
        </w:rPr>
        <w:t xml:space="preserve"> S-Editor: </w:t>
      </w:r>
      <w:r w:rsidRPr="00BB734F">
        <w:rPr>
          <w:rFonts w:ascii="Book Antiqua" w:eastAsia="Book Antiqua" w:hAnsi="Book Antiqua" w:cs="Book Antiqua"/>
          <w:bCs/>
          <w:color w:val="000000"/>
        </w:rPr>
        <w:t>Lin C</w:t>
      </w:r>
      <w:r w:rsidRPr="00BB734F">
        <w:rPr>
          <w:rFonts w:ascii="Book Antiqua" w:eastAsia="Book Antiqua" w:hAnsi="Book Antiqua" w:cs="Book Antiqua"/>
          <w:b/>
          <w:color w:val="000000"/>
        </w:rPr>
        <w:t xml:space="preserve"> L-Editor: </w:t>
      </w:r>
      <w:r w:rsidRPr="00BB734F">
        <w:rPr>
          <w:rFonts w:ascii="Book Antiqua" w:eastAsia="宋体" w:hAnsi="Book Antiqua" w:cs="Book Antiqua"/>
          <w:bCs/>
          <w:color w:val="000000"/>
          <w:lang w:eastAsia="zh-CN"/>
        </w:rPr>
        <w:t>Wang TQ</w:t>
      </w:r>
      <w:r w:rsidRPr="00BB734F">
        <w:rPr>
          <w:rFonts w:ascii="Book Antiqua" w:eastAsia="宋体" w:hAnsi="Book Antiqua" w:cs="Book Antiqua"/>
          <w:b/>
          <w:color w:val="000000"/>
          <w:lang w:eastAsia="zh-CN"/>
        </w:rPr>
        <w:t xml:space="preserve"> </w:t>
      </w:r>
      <w:r w:rsidRPr="00BB734F">
        <w:rPr>
          <w:rFonts w:ascii="Book Antiqua" w:eastAsia="Book Antiqua" w:hAnsi="Book Antiqua" w:cs="Book Antiqua"/>
          <w:b/>
          <w:color w:val="000000"/>
        </w:rPr>
        <w:t xml:space="preserve">P-Editor: </w:t>
      </w:r>
      <w:r w:rsidR="002869E9" w:rsidRPr="00BB734F">
        <w:rPr>
          <w:rFonts w:ascii="Book Antiqua" w:eastAsia="Book Antiqua" w:hAnsi="Book Antiqua" w:cs="Book Antiqua"/>
          <w:bCs/>
          <w:color w:val="000000"/>
        </w:rPr>
        <w:t>Yu HG</w:t>
      </w:r>
    </w:p>
    <w:p w14:paraId="0523480F" w14:textId="77777777" w:rsidR="0003522D" w:rsidRPr="00BB734F" w:rsidRDefault="00000000">
      <w:pPr>
        <w:adjustRightInd w:val="0"/>
        <w:snapToGrid w:val="0"/>
        <w:spacing w:line="360" w:lineRule="auto"/>
        <w:jc w:val="both"/>
        <w:rPr>
          <w:rFonts w:ascii="Book Antiqua" w:eastAsia="Book Antiqua" w:hAnsi="Book Antiqua" w:cs="Book Antiqua"/>
          <w:b/>
          <w:color w:val="000000"/>
        </w:rPr>
      </w:pPr>
      <w:r w:rsidRPr="00BB734F">
        <w:rPr>
          <w:rFonts w:ascii="Book Antiqua" w:eastAsia="Book Antiqua" w:hAnsi="Book Antiqua" w:cs="Book Antiqua"/>
          <w:b/>
          <w:color w:val="000000"/>
        </w:rPr>
        <w:lastRenderedPageBreak/>
        <w:t>Figure Legends</w:t>
      </w:r>
    </w:p>
    <w:p w14:paraId="35901216" w14:textId="52FB2B54" w:rsidR="0003522D" w:rsidRPr="00BB734F" w:rsidRDefault="00DA631A">
      <w:pPr>
        <w:adjustRightInd w:val="0"/>
        <w:snapToGrid w:val="0"/>
        <w:spacing w:line="360" w:lineRule="auto"/>
        <w:jc w:val="both"/>
        <w:rPr>
          <w:rFonts w:ascii="Book Antiqua" w:hAnsi="Book Antiqua" w:cs="Book Antiqua"/>
        </w:rPr>
      </w:pPr>
      <w:r>
        <w:rPr>
          <w:noProof/>
        </w:rPr>
        <w:drawing>
          <wp:inline distT="0" distB="0" distL="0" distR="0" wp14:anchorId="37A468EE" wp14:editId="182431AE">
            <wp:extent cx="4680585" cy="3461385"/>
            <wp:effectExtent l="0" t="0" r="5715" b="5715"/>
            <wp:docPr id="2141378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585" cy="3461385"/>
                    </a:xfrm>
                    <a:prstGeom prst="rect">
                      <a:avLst/>
                    </a:prstGeom>
                    <a:noFill/>
                    <a:ln>
                      <a:noFill/>
                    </a:ln>
                  </pic:spPr>
                </pic:pic>
              </a:graphicData>
            </a:graphic>
          </wp:inline>
        </w:drawing>
      </w:r>
    </w:p>
    <w:p w14:paraId="73129707" w14:textId="77777777" w:rsidR="0003522D" w:rsidRPr="00BB734F" w:rsidRDefault="00000000">
      <w:pPr>
        <w:adjustRightInd w:val="0"/>
        <w:snapToGrid w:val="0"/>
        <w:spacing w:line="360" w:lineRule="auto"/>
        <w:jc w:val="both"/>
        <w:rPr>
          <w:rFonts w:ascii="Book Antiqua" w:hAnsi="Book Antiqua" w:cs="Book Antiqua"/>
          <w:b/>
          <w:bCs/>
        </w:rPr>
      </w:pPr>
      <w:r w:rsidRPr="00BB734F">
        <w:rPr>
          <w:rFonts w:ascii="Book Antiqua" w:eastAsia="Book Antiqua" w:hAnsi="Book Antiqua" w:cs="Book Antiqua"/>
          <w:b/>
          <w:bCs/>
        </w:rPr>
        <w:t xml:space="preserve">Figure 1 </w:t>
      </w:r>
      <w:r w:rsidRPr="00BB734F">
        <w:rPr>
          <w:rFonts w:ascii="Book Antiqua" w:eastAsia="宋体" w:hAnsi="Book Antiqua" w:cs="Book Antiqua"/>
          <w:b/>
          <w:bCs/>
          <w:lang w:eastAsia="zh-CN"/>
        </w:rPr>
        <w:t>M</w:t>
      </w:r>
      <w:r w:rsidRPr="00BB734F">
        <w:rPr>
          <w:rFonts w:ascii="Book Antiqua" w:eastAsia="Book Antiqua" w:hAnsi="Book Antiqua" w:cs="Book Antiqua"/>
          <w:b/>
          <w:bCs/>
        </w:rPr>
        <w:t>easurement diagrams of each angle.</w:t>
      </w:r>
    </w:p>
    <w:p w14:paraId="2B38DADC" w14:textId="77777777" w:rsidR="0003522D" w:rsidRPr="00BB734F" w:rsidRDefault="0003522D">
      <w:pPr>
        <w:adjustRightInd w:val="0"/>
        <w:snapToGrid w:val="0"/>
        <w:spacing w:line="360" w:lineRule="auto"/>
        <w:jc w:val="both"/>
        <w:rPr>
          <w:rFonts w:ascii="Book Antiqua" w:hAnsi="Book Antiqua" w:cs="Book Antiqua"/>
        </w:rPr>
      </w:pPr>
    </w:p>
    <w:p w14:paraId="3F30F261" w14:textId="3E02B16E" w:rsidR="0003522D" w:rsidRPr="00BB734F" w:rsidRDefault="00DA631A">
      <w:pPr>
        <w:adjustRightInd w:val="0"/>
        <w:snapToGrid w:val="0"/>
        <w:spacing w:line="360" w:lineRule="auto"/>
        <w:jc w:val="both"/>
        <w:rPr>
          <w:rFonts w:ascii="Book Antiqua" w:hAnsi="Book Antiqua" w:cs="Book Antiqua"/>
        </w:rPr>
      </w:pPr>
      <w:r>
        <w:rPr>
          <w:noProof/>
        </w:rPr>
        <w:lastRenderedPageBreak/>
        <w:drawing>
          <wp:inline distT="0" distB="0" distL="0" distR="0" wp14:anchorId="1318CF51" wp14:editId="41E5636D">
            <wp:extent cx="5943600" cy="4064635"/>
            <wp:effectExtent l="0" t="0" r="0" b="0"/>
            <wp:docPr id="977433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064635"/>
                    </a:xfrm>
                    <a:prstGeom prst="rect">
                      <a:avLst/>
                    </a:prstGeom>
                    <a:noFill/>
                    <a:ln>
                      <a:noFill/>
                    </a:ln>
                  </pic:spPr>
                </pic:pic>
              </a:graphicData>
            </a:graphic>
          </wp:inline>
        </w:drawing>
      </w:r>
    </w:p>
    <w:p w14:paraId="53CF3F84" w14:textId="77777777" w:rsidR="0003522D" w:rsidRPr="00BB734F" w:rsidRDefault="00000000">
      <w:pPr>
        <w:adjustRightInd w:val="0"/>
        <w:snapToGrid w:val="0"/>
        <w:spacing w:line="360" w:lineRule="auto"/>
        <w:jc w:val="both"/>
        <w:rPr>
          <w:rFonts w:ascii="Book Antiqua" w:hAnsi="Book Antiqua" w:cs="Book Antiqua"/>
        </w:rPr>
      </w:pPr>
      <w:bookmarkStart w:id="1" w:name="_Hlk145060571"/>
      <w:r w:rsidRPr="00BB734F">
        <w:rPr>
          <w:rFonts w:ascii="Book Antiqua" w:eastAsia="Book Antiqua" w:hAnsi="Book Antiqua" w:cs="Book Antiqua"/>
          <w:b/>
          <w:bCs/>
        </w:rPr>
        <w:t>Figure 2 Radiographs of subchondral fatigue fracture of the femoral head.</w:t>
      </w:r>
      <w:r w:rsidRPr="00BB734F">
        <w:rPr>
          <w:rFonts w:ascii="Book Antiqua" w:eastAsia="Book Antiqua" w:hAnsi="Book Antiqua" w:cs="Book Antiqua"/>
        </w:rPr>
        <w:t xml:space="preserve"> A: Precollapse stage; B: Subchondral fracture lines (arrowhead); C: Sclerotic margin below the fracture lines; D: Subchondral bone collapse; E: Subchondral bone defect; F: Osteoarthritis.</w:t>
      </w:r>
      <w:bookmarkEnd w:id="1"/>
    </w:p>
    <w:p w14:paraId="50C48158" w14:textId="77777777" w:rsidR="0003522D" w:rsidRPr="00BB734F" w:rsidRDefault="0003522D">
      <w:pPr>
        <w:adjustRightInd w:val="0"/>
        <w:snapToGrid w:val="0"/>
        <w:spacing w:line="360" w:lineRule="auto"/>
        <w:jc w:val="both"/>
        <w:rPr>
          <w:rFonts w:ascii="Book Antiqua" w:hAnsi="Book Antiqua" w:cs="Book Antiqua"/>
        </w:rPr>
      </w:pPr>
    </w:p>
    <w:p w14:paraId="2E1322EF" w14:textId="77777777" w:rsidR="00BB734F" w:rsidRPr="00BB734F" w:rsidRDefault="00BB734F">
      <w:pPr>
        <w:rPr>
          <w:rFonts w:ascii="Book Antiqua" w:hAnsi="Book Antiqua" w:cs="Book Antiqua"/>
        </w:rPr>
      </w:pPr>
      <w:r w:rsidRPr="00BB734F">
        <w:rPr>
          <w:rFonts w:ascii="Book Antiqua" w:hAnsi="Book Antiqua" w:cs="Book Antiqua"/>
        </w:rPr>
        <w:br w:type="page"/>
      </w:r>
    </w:p>
    <w:p w14:paraId="1DA2F75F" w14:textId="09F5811B" w:rsidR="0003522D" w:rsidRPr="00BB734F" w:rsidRDefault="00DA631A">
      <w:pPr>
        <w:adjustRightInd w:val="0"/>
        <w:snapToGrid w:val="0"/>
        <w:spacing w:line="360" w:lineRule="auto"/>
        <w:jc w:val="both"/>
        <w:rPr>
          <w:rFonts w:ascii="Book Antiqua" w:hAnsi="Book Antiqua" w:cs="Book Antiqua"/>
        </w:rPr>
      </w:pPr>
      <w:r>
        <w:rPr>
          <w:noProof/>
        </w:rPr>
        <w:lastRenderedPageBreak/>
        <w:drawing>
          <wp:inline distT="0" distB="0" distL="0" distR="0" wp14:anchorId="30A513D7" wp14:editId="3E46EC56">
            <wp:extent cx="5943600" cy="3288030"/>
            <wp:effectExtent l="0" t="0" r="0" b="7620"/>
            <wp:docPr id="15990745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88030"/>
                    </a:xfrm>
                    <a:prstGeom prst="rect">
                      <a:avLst/>
                    </a:prstGeom>
                    <a:noFill/>
                    <a:ln>
                      <a:noFill/>
                    </a:ln>
                  </pic:spPr>
                </pic:pic>
              </a:graphicData>
            </a:graphic>
          </wp:inline>
        </w:drawing>
      </w:r>
    </w:p>
    <w:p w14:paraId="0FF8A84B"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rPr>
        <w:t>Figure 3 Representative radiograph</w:t>
      </w:r>
      <w:r w:rsidRPr="00BB734F">
        <w:rPr>
          <w:rFonts w:ascii="Book Antiqua" w:eastAsia="宋体" w:hAnsi="Book Antiqua" w:cs="Book Antiqua"/>
          <w:b/>
          <w:bCs/>
          <w:lang w:eastAsia="zh-CN"/>
        </w:rPr>
        <w:t>s</w:t>
      </w:r>
      <w:r w:rsidRPr="00BB734F">
        <w:rPr>
          <w:rFonts w:ascii="Book Antiqua" w:eastAsia="Book Antiqua" w:hAnsi="Book Antiqua" w:cs="Book Antiqua"/>
          <w:b/>
          <w:bCs/>
        </w:rPr>
        <w:t xml:space="preserve"> and magnetic resonance imaging images of subchondral fatigue fracture of the femoral head and osteonecrosis of the femoral head.</w:t>
      </w:r>
      <w:r w:rsidRPr="00BB734F">
        <w:rPr>
          <w:rFonts w:ascii="Book Antiqua" w:eastAsia="Book Antiqua" w:hAnsi="Book Antiqua" w:cs="Book Antiqua"/>
        </w:rPr>
        <w:t xml:space="preserve"> A: Subchondral fracture lines (arrowhead); B and C: Hypointense signal in T1</w:t>
      </w:r>
      <w:r w:rsidRPr="00BB734F">
        <w:rPr>
          <w:rFonts w:ascii="Book Antiqua" w:eastAsia="宋体" w:hAnsi="Book Antiqua" w:cs="Book Antiqua"/>
          <w:lang w:eastAsia="zh-CN"/>
        </w:rPr>
        <w:t>-</w:t>
      </w:r>
      <w:r w:rsidRPr="00BB734F">
        <w:rPr>
          <w:rFonts w:ascii="Book Antiqua" w:eastAsia="Book Antiqua" w:hAnsi="Book Antiqua" w:cs="Book Antiqua"/>
        </w:rPr>
        <w:t>weighted images; D: Hypointense signal with joint effusion in T2</w:t>
      </w:r>
      <w:r w:rsidRPr="00BB734F">
        <w:rPr>
          <w:rFonts w:ascii="Book Antiqua" w:eastAsia="宋体" w:hAnsi="Book Antiqua" w:cs="Book Antiqua"/>
          <w:lang w:eastAsia="zh-CN"/>
        </w:rPr>
        <w:t>-</w:t>
      </w:r>
      <w:r w:rsidRPr="00BB734F">
        <w:rPr>
          <w:rFonts w:ascii="Book Antiqua" w:eastAsia="Book Antiqua" w:hAnsi="Book Antiqua" w:cs="Book Antiqua"/>
        </w:rPr>
        <w:t>weighted image; E: Subchondral fracture lines (arrowhead); F and G: Reactive interface line in T1</w:t>
      </w:r>
      <w:r w:rsidRPr="00BB734F">
        <w:rPr>
          <w:rFonts w:ascii="Book Antiqua" w:eastAsia="宋体" w:hAnsi="Book Antiqua" w:cs="Book Antiqua"/>
          <w:lang w:eastAsia="zh-CN"/>
        </w:rPr>
        <w:t>-</w:t>
      </w:r>
      <w:r w:rsidRPr="00BB734F">
        <w:rPr>
          <w:rFonts w:ascii="Book Antiqua" w:eastAsia="Book Antiqua" w:hAnsi="Book Antiqua" w:cs="Book Antiqua"/>
        </w:rPr>
        <w:t>weighted image (arrow); H: Cystic degeneration in T2</w:t>
      </w:r>
      <w:r w:rsidRPr="00BB734F">
        <w:rPr>
          <w:rFonts w:ascii="Book Antiqua" w:eastAsia="宋体" w:hAnsi="Book Antiqua" w:cs="Book Antiqua"/>
          <w:lang w:eastAsia="zh-CN"/>
        </w:rPr>
        <w:t>-</w:t>
      </w:r>
      <w:r w:rsidRPr="00BB734F">
        <w:rPr>
          <w:rFonts w:ascii="Book Antiqua" w:eastAsia="Book Antiqua" w:hAnsi="Book Antiqua" w:cs="Book Antiqua"/>
        </w:rPr>
        <w:t>weighted image (star).</w:t>
      </w:r>
    </w:p>
    <w:p w14:paraId="515D023D" w14:textId="77777777" w:rsidR="0003522D" w:rsidRPr="00BB734F" w:rsidRDefault="0003522D">
      <w:pPr>
        <w:adjustRightInd w:val="0"/>
        <w:snapToGrid w:val="0"/>
        <w:spacing w:line="360" w:lineRule="auto"/>
        <w:jc w:val="both"/>
        <w:rPr>
          <w:rFonts w:ascii="Book Antiqua" w:hAnsi="Book Antiqua" w:cs="Book Antiqua"/>
        </w:rPr>
      </w:pPr>
    </w:p>
    <w:p w14:paraId="07CEA526" w14:textId="77777777" w:rsidR="00BB734F" w:rsidRPr="00BB734F" w:rsidRDefault="00BB734F">
      <w:pPr>
        <w:rPr>
          <w:rFonts w:ascii="Book Antiqua" w:hAnsi="Book Antiqua" w:cs="Book Antiqua"/>
        </w:rPr>
      </w:pPr>
      <w:r w:rsidRPr="00BB734F">
        <w:rPr>
          <w:rFonts w:ascii="Book Antiqua" w:hAnsi="Book Antiqua" w:cs="Book Antiqua"/>
        </w:rPr>
        <w:br w:type="page"/>
      </w:r>
    </w:p>
    <w:p w14:paraId="782BB274" w14:textId="14729C1B" w:rsidR="0003522D" w:rsidRPr="00BB734F" w:rsidRDefault="00DA631A">
      <w:pPr>
        <w:adjustRightInd w:val="0"/>
        <w:snapToGrid w:val="0"/>
        <w:spacing w:line="360" w:lineRule="auto"/>
        <w:jc w:val="both"/>
        <w:rPr>
          <w:rFonts w:ascii="Book Antiqua" w:hAnsi="Book Antiqua" w:cs="Book Antiqua"/>
        </w:rPr>
      </w:pPr>
      <w:r>
        <w:rPr>
          <w:noProof/>
        </w:rPr>
        <w:lastRenderedPageBreak/>
        <w:drawing>
          <wp:inline distT="0" distB="0" distL="0" distR="0" wp14:anchorId="5B9B4CA3" wp14:editId="0DACEE84">
            <wp:extent cx="3592195" cy="3058795"/>
            <wp:effectExtent l="0" t="0" r="8255" b="8255"/>
            <wp:docPr id="14022031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2195" cy="3058795"/>
                    </a:xfrm>
                    <a:prstGeom prst="rect">
                      <a:avLst/>
                    </a:prstGeom>
                    <a:noFill/>
                    <a:ln>
                      <a:noFill/>
                    </a:ln>
                  </pic:spPr>
                </pic:pic>
              </a:graphicData>
            </a:graphic>
          </wp:inline>
        </w:drawing>
      </w:r>
    </w:p>
    <w:p w14:paraId="3F69F33E"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rPr>
        <w:t>Figure 4 Logistic</w:t>
      </w:r>
      <w:r w:rsidRPr="00BB734F">
        <w:rPr>
          <w:rFonts w:ascii="Book Antiqua" w:eastAsia="宋体" w:hAnsi="Book Antiqua" w:cs="Book Antiqua"/>
          <w:b/>
          <w:bCs/>
          <w:lang w:eastAsia="zh-CN"/>
        </w:rPr>
        <w:t xml:space="preserve"> </w:t>
      </w:r>
      <w:r w:rsidRPr="00BB734F">
        <w:rPr>
          <w:rFonts w:ascii="Book Antiqua" w:eastAsia="Book Antiqua" w:hAnsi="Book Antiqua" w:cs="Book Antiqua"/>
          <w:b/>
          <w:bCs/>
        </w:rPr>
        <w:t xml:space="preserve">regression </w:t>
      </w:r>
      <w:r w:rsidRPr="00BB734F">
        <w:rPr>
          <w:rFonts w:ascii="Book Antiqua" w:eastAsia="宋体" w:hAnsi="Book Antiqua" w:cs="Book Antiqua"/>
          <w:b/>
          <w:bCs/>
          <w:lang w:eastAsia="zh-CN"/>
        </w:rPr>
        <w:t xml:space="preserve">analysis </w:t>
      </w:r>
      <w:r w:rsidRPr="00BB734F">
        <w:rPr>
          <w:rFonts w:ascii="Book Antiqua" w:eastAsia="Book Antiqua" w:hAnsi="Book Antiqua" w:cs="Book Antiqua"/>
          <w:b/>
          <w:bCs/>
        </w:rPr>
        <w:t xml:space="preserve">of clinical </w:t>
      </w:r>
      <w:r w:rsidRPr="00BB734F">
        <w:rPr>
          <w:rFonts w:ascii="Book Antiqua" w:eastAsia="宋体" w:hAnsi="Book Antiqua" w:cs="Book Antiqua"/>
          <w:b/>
          <w:bCs/>
          <w:lang w:eastAsia="zh-CN"/>
        </w:rPr>
        <w:t>factors</w:t>
      </w:r>
      <w:r w:rsidRPr="00BB734F">
        <w:rPr>
          <w:rFonts w:ascii="Book Antiqua" w:eastAsia="Book Antiqua" w:hAnsi="Book Antiqua" w:cs="Book Antiqua"/>
          <w:b/>
          <w:bCs/>
        </w:rPr>
        <w:t>.</w:t>
      </w:r>
      <w:r w:rsidRPr="00BB734F">
        <w:rPr>
          <w:rFonts w:ascii="Book Antiqua" w:eastAsia="Book Antiqua" w:hAnsi="Book Antiqua" w:cs="Book Antiqua"/>
        </w:rPr>
        <w:t xml:space="preserve"> Odds ratio (OR) &gt; 1 indicates that the </w:t>
      </w:r>
      <w:r w:rsidRPr="00BB734F">
        <w:rPr>
          <w:rFonts w:ascii="Book Antiqua" w:eastAsia="宋体" w:hAnsi="Book Antiqua" w:cs="Book Antiqua"/>
          <w:lang w:eastAsia="zh-CN"/>
        </w:rPr>
        <w:t>variable</w:t>
      </w:r>
      <w:r w:rsidRPr="00BB734F">
        <w:rPr>
          <w:rFonts w:ascii="Book Antiqua" w:eastAsia="Book Antiqua" w:hAnsi="Book Antiqua" w:cs="Book Antiqua"/>
        </w:rPr>
        <w:t xml:space="preserve"> might be a protective factor; OR &lt; 1 indicates that the </w:t>
      </w:r>
      <w:r w:rsidRPr="00BB734F">
        <w:rPr>
          <w:rFonts w:ascii="Book Antiqua" w:eastAsia="宋体" w:hAnsi="Book Antiqua" w:cs="Book Antiqua"/>
          <w:lang w:eastAsia="zh-CN"/>
        </w:rPr>
        <w:t>variable</w:t>
      </w:r>
      <w:r w:rsidRPr="00BB734F">
        <w:rPr>
          <w:rFonts w:ascii="Book Antiqua" w:eastAsia="Book Antiqua" w:hAnsi="Book Antiqua" w:cs="Book Antiqua"/>
        </w:rPr>
        <w:t xml:space="preserve"> might be a risk factor. BMI: </w:t>
      </w:r>
      <w:r w:rsidRPr="00BB734F">
        <w:rPr>
          <w:rFonts w:ascii="Book Antiqua" w:hAnsi="Book Antiqua" w:cs="Book Antiqua"/>
        </w:rPr>
        <w:t>Body mass index.</w:t>
      </w:r>
    </w:p>
    <w:p w14:paraId="5EA568F7" w14:textId="77777777" w:rsidR="0003522D" w:rsidRPr="00BB734F" w:rsidRDefault="0003522D">
      <w:pPr>
        <w:adjustRightInd w:val="0"/>
        <w:snapToGrid w:val="0"/>
        <w:spacing w:line="360" w:lineRule="auto"/>
        <w:jc w:val="both"/>
        <w:rPr>
          <w:rFonts w:ascii="Book Antiqua" w:hAnsi="Book Antiqua" w:cs="Book Antiqua"/>
        </w:rPr>
      </w:pPr>
    </w:p>
    <w:p w14:paraId="0AB8A499" w14:textId="5A490CD1" w:rsidR="0003522D" w:rsidRPr="00BB734F" w:rsidRDefault="00DA631A">
      <w:pPr>
        <w:adjustRightInd w:val="0"/>
        <w:snapToGrid w:val="0"/>
        <w:spacing w:line="360" w:lineRule="auto"/>
        <w:jc w:val="both"/>
        <w:rPr>
          <w:rFonts w:ascii="Book Antiqua" w:hAnsi="Book Antiqua" w:cs="Book Antiqua"/>
        </w:rPr>
      </w:pPr>
      <w:r>
        <w:rPr>
          <w:noProof/>
        </w:rPr>
        <w:drawing>
          <wp:inline distT="0" distB="0" distL="0" distR="0" wp14:anchorId="0BB9CBEB" wp14:editId="75EFDAE1">
            <wp:extent cx="4745990" cy="3679190"/>
            <wp:effectExtent l="0" t="0" r="0" b="0"/>
            <wp:docPr id="17080701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5990" cy="3679190"/>
                    </a:xfrm>
                    <a:prstGeom prst="rect">
                      <a:avLst/>
                    </a:prstGeom>
                    <a:noFill/>
                    <a:ln>
                      <a:noFill/>
                    </a:ln>
                  </pic:spPr>
                </pic:pic>
              </a:graphicData>
            </a:graphic>
          </wp:inline>
        </w:drawing>
      </w:r>
    </w:p>
    <w:p w14:paraId="688F4564"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rPr>
        <w:lastRenderedPageBreak/>
        <w:t>Figure 5 Logistic</w:t>
      </w:r>
      <w:r w:rsidRPr="00BB734F">
        <w:rPr>
          <w:rFonts w:ascii="Book Antiqua" w:eastAsia="宋体" w:hAnsi="Book Antiqua" w:cs="Book Antiqua"/>
          <w:b/>
          <w:bCs/>
          <w:lang w:eastAsia="zh-CN"/>
        </w:rPr>
        <w:t xml:space="preserve"> </w:t>
      </w:r>
      <w:r w:rsidRPr="00BB734F">
        <w:rPr>
          <w:rFonts w:ascii="Book Antiqua" w:eastAsia="Book Antiqua" w:hAnsi="Book Antiqua" w:cs="Book Antiqua"/>
          <w:b/>
          <w:bCs/>
        </w:rPr>
        <w:t xml:space="preserve">regression </w:t>
      </w:r>
      <w:r w:rsidRPr="00BB734F">
        <w:rPr>
          <w:rFonts w:ascii="Book Antiqua" w:eastAsia="宋体" w:hAnsi="Book Antiqua" w:cs="Book Antiqua"/>
          <w:b/>
          <w:bCs/>
          <w:lang w:eastAsia="zh-CN"/>
        </w:rPr>
        <w:t xml:space="preserve">analysis </w:t>
      </w:r>
      <w:r w:rsidRPr="00BB734F">
        <w:rPr>
          <w:rFonts w:ascii="Book Antiqua" w:eastAsia="Book Antiqua" w:hAnsi="Book Antiqua" w:cs="Book Antiqua"/>
          <w:b/>
          <w:bCs/>
        </w:rPr>
        <w:t>of hip anatomy factors.</w:t>
      </w:r>
      <w:r w:rsidRPr="00BB734F">
        <w:rPr>
          <w:rFonts w:ascii="Book Antiqua" w:eastAsia="Book Antiqua" w:hAnsi="Book Antiqua" w:cs="Book Antiqua"/>
        </w:rPr>
        <w:t xml:space="preserve"> Odds ratio (OR) &gt; 1 indicates that the </w:t>
      </w:r>
      <w:r w:rsidRPr="00BB734F">
        <w:rPr>
          <w:rFonts w:ascii="Book Antiqua" w:eastAsia="宋体" w:hAnsi="Book Antiqua" w:cs="Book Antiqua"/>
          <w:lang w:eastAsia="zh-CN"/>
        </w:rPr>
        <w:t>variable</w:t>
      </w:r>
      <w:r w:rsidRPr="00BB734F">
        <w:rPr>
          <w:rFonts w:ascii="Book Antiqua" w:eastAsia="Book Antiqua" w:hAnsi="Book Antiqua" w:cs="Book Antiqua"/>
        </w:rPr>
        <w:t xml:space="preserve"> might be a protective factor; OR &lt; 1 indicates that the </w:t>
      </w:r>
      <w:r w:rsidRPr="00BB734F">
        <w:rPr>
          <w:rFonts w:ascii="Book Antiqua" w:eastAsia="宋体" w:hAnsi="Book Antiqua" w:cs="Book Antiqua"/>
          <w:lang w:eastAsia="zh-CN"/>
        </w:rPr>
        <w:t xml:space="preserve">variable </w:t>
      </w:r>
      <w:r w:rsidRPr="00BB734F">
        <w:rPr>
          <w:rFonts w:ascii="Book Antiqua" w:eastAsia="Book Antiqua" w:hAnsi="Book Antiqua" w:cs="Book Antiqua"/>
        </w:rPr>
        <w:t xml:space="preserve">might be a risk factor. </w:t>
      </w:r>
      <w:r w:rsidRPr="00BB734F">
        <w:rPr>
          <w:rFonts w:ascii="Book Antiqua" w:hAnsi="Book Antiqua" w:cs="Book Antiqua"/>
        </w:rPr>
        <w:t>AASA: Anterior acetabular sector angle; AVcen: Acetabular anteversion of the center of the acetabulum; AVsup: Acetabular anteversion of the superior acetabulum; IIA: Inferior iliac angle; IPA: Ischiopubic angle; NSA: Neck-shaft angle; PASA: Posterior acetabular sector angle; SASA: Superior acetabular sector angle.</w:t>
      </w:r>
    </w:p>
    <w:p w14:paraId="5B65F5ED" w14:textId="77777777" w:rsidR="0003522D" w:rsidRPr="00BB734F" w:rsidRDefault="0003522D">
      <w:pPr>
        <w:adjustRightInd w:val="0"/>
        <w:snapToGrid w:val="0"/>
        <w:spacing w:line="360" w:lineRule="auto"/>
        <w:jc w:val="both"/>
        <w:rPr>
          <w:rFonts w:ascii="Book Antiqua" w:hAnsi="Book Antiqua" w:cs="Book Antiqua"/>
        </w:rPr>
      </w:pPr>
    </w:p>
    <w:p w14:paraId="719874D0" w14:textId="1B96BFA4" w:rsidR="0003522D" w:rsidRPr="00BB734F" w:rsidRDefault="00DA631A">
      <w:pPr>
        <w:adjustRightInd w:val="0"/>
        <w:snapToGrid w:val="0"/>
        <w:spacing w:line="360" w:lineRule="auto"/>
        <w:jc w:val="both"/>
        <w:rPr>
          <w:rFonts w:ascii="Book Antiqua" w:hAnsi="Book Antiqua" w:cs="Book Antiqua"/>
        </w:rPr>
      </w:pPr>
      <w:r>
        <w:rPr>
          <w:noProof/>
        </w:rPr>
        <w:drawing>
          <wp:inline distT="0" distB="0" distL="0" distR="0" wp14:anchorId="6CD9F266" wp14:editId="48AB7D39">
            <wp:extent cx="4963795" cy="2084705"/>
            <wp:effectExtent l="0" t="0" r="8255" b="0"/>
            <wp:docPr id="5853628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3795" cy="2084705"/>
                    </a:xfrm>
                    <a:prstGeom prst="rect">
                      <a:avLst/>
                    </a:prstGeom>
                    <a:noFill/>
                    <a:ln>
                      <a:noFill/>
                    </a:ln>
                  </pic:spPr>
                </pic:pic>
              </a:graphicData>
            </a:graphic>
          </wp:inline>
        </w:drawing>
      </w:r>
    </w:p>
    <w:p w14:paraId="00C6491A"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eastAsia="Book Antiqua" w:hAnsi="Book Antiqua" w:cs="Book Antiqua"/>
          <w:b/>
          <w:bCs/>
        </w:rPr>
        <w:t xml:space="preserve">Figure 6 Receiver operating characteristic </w:t>
      </w:r>
      <w:r w:rsidRPr="00BB734F">
        <w:rPr>
          <w:rFonts w:ascii="Book Antiqua" w:eastAsia="宋体" w:hAnsi="Book Antiqua" w:cs="Book Antiqua"/>
          <w:b/>
          <w:bCs/>
          <w:lang w:eastAsia="zh-CN"/>
        </w:rPr>
        <w:t>curve</w:t>
      </w:r>
      <w:r w:rsidRPr="00BB734F">
        <w:rPr>
          <w:rFonts w:ascii="Book Antiqua" w:eastAsia="Book Antiqua" w:hAnsi="Book Antiqua" w:cs="Book Antiqua"/>
          <w:b/>
          <w:bCs/>
        </w:rPr>
        <w:t>s.</w:t>
      </w:r>
      <w:r w:rsidRPr="00BB734F">
        <w:rPr>
          <w:rFonts w:ascii="Book Antiqua" w:eastAsia="Book Antiqua" w:hAnsi="Book Antiqua" w:cs="Book Antiqua"/>
        </w:rPr>
        <w:t xml:space="preserve"> A: </w:t>
      </w:r>
      <w:r w:rsidRPr="00BB734F">
        <w:rPr>
          <w:rFonts w:ascii="Book Antiqua" w:eastAsia="宋体" w:hAnsi="Book Antiqua" w:cs="Book Antiqua"/>
          <w:lang w:eastAsia="zh-CN"/>
        </w:rPr>
        <w:t>Curve</w:t>
      </w:r>
      <w:r w:rsidRPr="00BB734F">
        <w:rPr>
          <w:rFonts w:ascii="Book Antiqua" w:eastAsia="Book Antiqua" w:hAnsi="Book Antiqua" w:cs="Book Antiqua"/>
        </w:rPr>
        <w:t xml:space="preserve"> of anterior acetabular sector angle; B: </w:t>
      </w:r>
      <w:r w:rsidRPr="00BB734F">
        <w:rPr>
          <w:rFonts w:ascii="Book Antiqua" w:eastAsia="宋体" w:hAnsi="Book Antiqua" w:cs="Book Antiqua"/>
          <w:lang w:eastAsia="zh-CN"/>
        </w:rPr>
        <w:t>Curve</w:t>
      </w:r>
      <w:r w:rsidRPr="00BB734F">
        <w:rPr>
          <w:rFonts w:ascii="Book Antiqua" w:eastAsia="Book Antiqua" w:hAnsi="Book Antiqua" w:cs="Book Antiqua"/>
        </w:rPr>
        <w:t xml:space="preserve"> of acetabular anteversion of the center of the acetabulum. AUC: A</w:t>
      </w:r>
      <w:r w:rsidRPr="00BB734F">
        <w:rPr>
          <w:rFonts w:ascii="Book Antiqua" w:eastAsia="宋体" w:hAnsi="Book Antiqua" w:cs="Book Antiqua"/>
          <w:lang w:eastAsia="zh-CN"/>
        </w:rPr>
        <w:t>r</w:t>
      </w:r>
      <w:r w:rsidRPr="00BB734F">
        <w:rPr>
          <w:rFonts w:ascii="Book Antiqua" w:eastAsia="宋体" w:hAnsi="Book Antiqua" w:cs="Book Antiqua"/>
          <w:u w:val="dotted"/>
          <w:lang w:eastAsia="zh-CN"/>
        </w:rPr>
        <w:t>e</w:t>
      </w:r>
      <w:r w:rsidRPr="00BB734F">
        <w:rPr>
          <w:rFonts w:ascii="Book Antiqua" w:eastAsia="Book Antiqua" w:hAnsi="Book Antiqua" w:cs="Book Antiqua"/>
        </w:rPr>
        <w:t>a under the curve.</w:t>
      </w:r>
    </w:p>
    <w:p w14:paraId="51EF0F89" w14:textId="77777777" w:rsidR="0003522D" w:rsidRPr="00BB734F" w:rsidRDefault="0003522D">
      <w:pPr>
        <w:adjustRightInd w:val="0"/>
        <w:snapToGrid w:val="0"/>
        <w:spacing w:line="360" w:lineRule="auto"/>
        <w:jc w:val="both"/>
        <w:rPr>
          <w:rFonts w:ascii="Book Antiqua" w:hAnsi="Book Antiqua" w:cs="Book Antiqua"/>
        </w:rPr>
      </w:pPr>
    </w:p>
    <w:p w14:paraId="60243FF2" w14:textId="77777777" w:rsidR="00BB734F" w:rsidRPr="00BB734F" w:rsidRDefault="00BB734F">
      <w:pPr>
        <w:rPr>
          <w:rFonts w:ascii="Book Antiqua" w:hAnsi="Book Antiqua" w:cs="Book Antiqua"/>
        </w:rPr>
      </w:pPr>
      <w:r w:rsidRPr="00BB734F">
        <w:rPr>
          <w:rFonts w:ascii="Book Antiqua" w:hAnsi="Book Antiqua" w:cs="Book Antiqua"/>
        </w:rPr>
        <w:br w:type="page"/>
      </w:r>
    </w:p>
    <w:p w14:paraId="5B33D13D" w14:textId="3EB2A8DE" w:rsidR="0003522D" w:rsidRPr="00BB734F" w:rsidRDefault="00DA631A">
      <w:pPr>
        <w:adjustRightInd w:val="0"/>
        <w:snapToGrid w:val="0"/>
        <w:spacing w:line="360" w:lineRule="auto"/>
        <w:jc w:val="both"/>
        <w:rPr>
          <w:rFonts w:ascii="Book Antiqua" w:hAnsi="Book Antiqua" w:cs="Book Antiqua"/>
        </w:rPr>
      </w:pPr>
      <w:r>
        <w:rPr>
          <w:noProof/>
        </w:rPr>
        <w:lastRenderedPageBreak/>
        <w:drawing>
          <wp:inline distT="0" distB="0" distL="0" distR="0" wp14:anchorId="3A834F54" wp14:editId="670512B4">
            <wp:extent cx="4152900" cy="2884805"/>
            <wp:effectExtent l="0" t="0" r="0" b="0"/>
            <wp:docPr id="16680640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2900" cy="2884805"/>
                    </a:xfrm>
                    <a:prstGeom prst="rect">
                      <a:avLst/>
                    </a:prstGeom>
                    <a:noFill/>
                    <a:ln>
                      <a:noFill/>
                    </a:ln>
                  </pic:spPr>
                </pic:pic>
              </a:graphicData>
            </a:graphic>
          </wp:inline>
        </w:drawing>
      </w:r>
    </w:p>
    <w:p w14:paraId="6DEEE7A0" w14:textId="304CB2F6" w:rsidR="0003522D" w:rsidRPr="00BB734F" w:rsidRDefault="00000000">
      <w:pPr>
        <w:adjustRightInd w:val="0"/>
        <w:snapToGrid w:val="0"/>
        <w:spacing w:line="360" w:lineRule="auto"/>
        <w:jc w:val="both"/>
        <w:rPr>
          <w:rFonts w:ascii="Book Antiqua" w:eastAsia="Book Antiqua" w:hAnsi="Book Antiqua" w:cs="Book Antiqua"/>
        </w:rPr>
      </w:pPr>
      <w:r w:rsidRPr="00BB734F">
        <w:rPr>
          <w:rFonts w:ascii="Book Antiqua" w:eastAsia="Book Antiqua" w:hAnsi="Book Antiqua" w:cs="Book Antiqua"/>
          <w:b/>
          <w:bCs/>
        </w:rPr>
        <w:t>Figure 7 Violin plot of anterior acetabular sector angle and acetabular anteversion of the center of the acetabulum comparing subchondral fatigue fracture of the femoral head with osteonecrosis of the femoral head.</w:t>
      </w:r>
      <w:r w:rsidRPr="00BB734F">
        <w:rPr>
          <w:rFonts w:ascii="Book Antiqua" w:eastAsia="Book Antiqua" w:hAnsi="Book Antiqua" w:cs="Book Antiqua"/>
        </w:rPr>
        <w:t xml:space="preserve"> </w:t>
      </w:r>
      <w:r w:rsidRPr="00BB734F">
        <w:rPr>
          <w:rFonts w:ascii="Book Antiqua" w:eastAsia="Book Antiqua" w:hAnsi="Book Antiqua" w:cs="Book Antiqua"/>
          <w:vertAlign w:val="superscript"/>
        </w:rPr>
        <w:t>a</w:t>
      </w:r>
      <w:r w:rsidRPr="00BB734F">
        <w:rPr>
          <w:rFonts w:ascii="Book Antiqua" w:eastAsia="Book Antiqua" w:hAnsi="Book Antiqua" w:cs="Book Antiqua"/>
          <w:i/>
          <w:iCs/>
        </w:rPr>
        <w:t>P</w:t>
      </w:r>
      <w:r w:rsidR="002869E9" w:rsidRPr="00BB734F">
        <w:rPr>
          <w:rFonts w:ascii="Book Antiqua" w:eastAsia="Book Antiqua" w:hAnsi="Book Antiqua" w:cs="Book Antiqua"/>
        </w:rPr>
        <w:t xml:space="preserve"> </w:t>
      </w:r>
      <w:r w:rsidRPr="00BB734F">
        <w:rPr>
          <w:rFonts w:ascii="Book Antiqua" w:eastAsia="Book Antiqua" w:hAnsi="Book Antiqua" w:cs="Book Antiqua"/>
        </w:rPr>
        <w:t>value &lt; 0.0001.</w:t>
      </w:r>
      <w:r w:rsidRPr="00BB734F">
        <w:rPr>
          <w:rFonts w:ascii="Book Antiqua" w:hAnsi="Book Antiqua" w:cs="Book Antiqua"/>
        </w:rPr>
        <w:t xml:space="preserve"> AASA: Anterior acetabular sector angle; AVcen: Acetabular anteversion of the center of the acetabulum; ONFH: Osteonecrosis of the femoral head; SFFFH: Subchondral fatigue fracture of the femoral head.</w:t>
      </w:r>
    </w:p>
    <w:p w14:paraId="0138D67F" w14:textId="77777777" w:rsidR="0003522D" w:rsidRPr="00BB734F" w:rsidRDefault="0003522D">
      <w:pPr>
        <w:adjustRightInd w:val="0"/>
        <w:snapToGrid w:val="0"/>
        <w:spacing w:line="360" w:lineRule="auto"/>
        <w:jc w:val="both"/>
        <w:rPr>
          <w:rFonts w:ascii="Book Antiqua" w:eastAsia="Book Antiqua" w:hAnsi="Book Antiqua" w:cs="Book Antiqua"/>
        </w:rPr>
      </w:pPr>
    </w:p>
    <w:p w14:paraId="759BB36F" w14:textId="77777777" w:rsidR="00BB734F" w:rsidRPr="00BB734F" w:rsidRDefault="00BB734F">
      <w:pPr>
        <w:rPr>
          <w:rFonts w:ascii="Book Antiqua" w:hAnsi="Book Antiqua" w:cs="Book Antiqua"/>
          <w:b/>
          <w:bCs/>
        </w:rPr>
      </w:pPr>
      <w:r w:rsidRPr="00BB734F">
        <w:rPr>
          <w:rFonts w:ascii="Book Antiqua" w:hAnsi="Book Antiqua" w:cs="Book Antiqua"/>
          <w:b/>
          <w:bCs/>
        </w:rPr>
        <w:br w:type="page"/>
      </w:r>
    </w:p>
    <w:p w14:paraId="7C8972DE" w14:textId="1DA24772" w:rsidR="0003522D" w:rsidRPr="00BB734F" w:rsidRDefault="00000000">
      <w:pPr>
        <w:adjustRightInd w:val="0"/>
        <w:snapToGrid w:val="0"/>
        <w:spacing w:line="360" w:lineRule="auto"/>
        <w:jc w:val="both"/>
        <w:rPr>
          <w:rFonts w:ascii="Book Antiqua" w:hAnsi="Book Antiqua" w:cs="Book Antiqua"/>
          <w:b/>
          <w:bCs/>
        </w:rPr>
      </w:pPr>
      <w:r w:rsidRPr="00BB734F">
        <w:rPr>
          <w:rFonts w:ascii="Book Antiqua" w:hAnsi="Book Antiqua" w:cs="Book Antiqua"/>
          <w:b/>
          <w:bCs/>
        </w:rPr>
        <w:lastRenderedPageBreak/>
        <w:t>Table 1 Baseline characteristics of subchondral fatigue fracture of the femoral head and osteonecrosis of the femoral head patients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126"/>
        <w:gridCol w:w="2084"/>
        <w:gridCol w:w="1044"/>
        <w:gridCol w:w="925"/>
      </w:tblGrid>
      <w:tr w:rsidR="0003522D" w:rsidRPr="00BB734F" w14:paraId="0A167981" w14:textId="77777777" w:rsidTr="002869E9">
        <w:tc>
          <w:tcPr>
            <w:tcW w:w="2127" w:type="dxa"/>
            <w:tcBorders>
              <w:top w:val="single" w:sz="4" w:space="0" w:color="auto"/>
              <w:bottom w:val="single" w:sz="4" w:space="0" w:color="auto"/>
            </w:tcBorders>
            <w:vAlign w:val="center"/>
          </w:tcPr>
          <w:p w14:paraId="40089959" w14:textId="77777777" w:rsidR="0003522D" w:rsidRPr="00BB734F" w:rsidRDefault="0003522D">
            <w:pPr>
              <w:adjustRightInd w:val="0"/>
              <w:snapToGrid w:val="0"/>
              <w:spacing w:line="360" w:lineRule="auto"/>
              <w:jc w:val="both"/>
              <w:rPr>
                <w:rFonts w:ascii="Book Antiqua" w:hAnsi="Book Antiqua" w:cs="Book Antiqua"/>
                <w:b/>
                <w:bCs/>
                <w:lang w:eastAsia="zh-CN"/>
              </w:rPr>
            </w:pPr>
          </w:p>
        </w:tc>
        <w:tc>
          <w:tcPr>
            <w:tcW w:w="2126" w:type="dxa"/>
            <w:tcBorders>
              <w:top w:val="single" w:sz="4" w:space="0" w:color="auto"/>
              <w:bottom w:val="single" w:sz="4" w:space="0" w:color="auto"/>
            </w:tcBorders>
            <w:vAlign w:val="center"/>
          </w:tcPr>
          <w:p w14:paraId="24EFC386" w14:textId="77777777" w:rsidR="0003522D" w:rsidRPr="00BB734F" w:rsidRDefault="00000000">
            <w:pPr>
              <w:adjustRightInd w:val="0"/>
              <w:snapToGrid w:val="0"/>
              <w:spacing w:line="360" w:lineRule="auto"/>
              <w:jc w:val="both"/>
              <w:rPr>
                <w:rFonts w:ascii="Book Antiqua" w:hAnsi="Book Antiqua" w:cs="Book Antiqua"/>
                <w:b/>
                <w:bCs/>
                <w:lang w:eastAsia="zh-CN"/>
              </w:rPr>
            </w:pPr>
            <w:r w:rsidRPr="00BB734F">
              <w:rPr>
                <w:rFonts w:ascii="Book Antiqua" w:hAnsi="Book Antiqua" w:cs="Book Antiqua"/>
                <w:b/>
                <w:bCs/>
                <w:lang w:eastAsia="zh-CN"/>
              </w:rPr>
              <w:t>SFFFH (</w:t>
            </w:r>
            <w:r w:rsidRPr="00BB734F">
              <w:rPr>
                <w:rFonts w:ascii="Book Antiqua" w:hAnsi="Book Antiqua" w:cs="Book Antiqua"/>
                <w:b/>
                <w:bCs/>
                <w:i/>
                <w:iCs/>
                <w:lang w:eastAsia="zh-CN"/>
              </w:rPr>
              <w:t>n</w:t>
            </w:r>
            <w:r w:rsidRPr="00BB734F">
              <w:rPr>
                <w:rFonts w:ascii="Book Antiqua" w:hAnsi="Book Antiqua" w:cs="Book Antiqua"/>
                <w:b/>
                <w:bCs/>
                <w:lang w:eastAsia="zh-CN"/>
              </w:rPr>
              <w:t xml:space="preserve"> = 98)</w:t>
            </w:r>
          </w:p>
        </w:tc>
        <w:tc>
          <w:tcPr>
            <w:tcW w:w="2084" w:type="dxa"/>
            <w:tcBorders>
              <w:top w:val="single" w:sz="4" w:space="0" w:color="auto"/>
              <w:bottom w:val="single" w:sz="4" w:space="0" w:color="auto"/>
            </w:tcBorders>
            <w:vAlign w:val="center"/>
          </w:tcPr>
          <w:p w14:paraId="1D2CBD81" w14:textId="77777777" w:rsidR="0003522D" w:rsidRPr="00BB734F" w:rsidRDefault="00000000">
            <w:pPr>
              <w:adjustRightInd w:val="0"/>
              <w:snapToGrid w:val="0"/>
              <w:spacing w:line="360" w:lineRule="auto"/>
              <w:jc w:val="both"/>
              <w:rPr>
                <w:rFonts w:ascii="Book Antiqua" w:hAnsi="Book Antiqua" w:cs="Book Antiqua"/>
                <w:b/>
                <w:bCs/>
                <w:lang w:eastAsia="zh-CN"/>
              </w:rPr>
            </w:pPr>
            <w:r w:rsidRPr="00BB734F">
              <w:rPr>
                <w:rFonts w:ascii="Book Antiqua" w:hAnsi="Book Antiqua" w:cs="Book Antiqua"/>
                <w:b/>
                <w:bCs/>
                <w:lang w:eastAsia="zh-CN"/>
              </w:rPr>
              <w:t>ONFH (</w:t>
            </w:r>
            <w:r w:rsidRPr="00BB734F">
              <w:rPr>
                <w:rFonts w:ascii="Book Antiqua" w:hAnsi="Book Antiqua" w:cs="Book Antiqua"/>
                <w:b/>
                <w:bCs/>
                <w:i/>
                <w:iCs/>
                <w:lang w:eastAsia="zh-CN"/>
              </w:rPr>
              <w:t>n</w:t>
            </w:r>
            <w:r w:rsidRPr="00BB734F">
              <w:rPr>
                <w:rFonts w:ascii="Book Antiqua" w:hAnsi="Book Antiqua" w:cs="Book Antiqua"/>
                <w:b/>
                <w:bCs/>
                <w:lang w:eastAsia="zh-CN"/>
              </w:rPr>
              <w:t xml:space="preserve"> = 24)</w:t>
            </w:r>
          </w:p>
        </w:tc>
        <w:tc>
          <w:tcPr>
            <w:tcW w:w="1044" w:type="dxa"/>
            <w:tcBorders>
              <w:top w:val="single" w:sz="4" w:space="0" w:color="auto"/>
              <w:bottom w:val="single" w:sz="4" w:space="0" w:color="auto"/>
            </w:tcBorders>
            <w:vAlign w:val="center"/>
          </w:tcPr>
          <w:p w14:paraId="586EBED3" w14:textId="36187521" w:rsidR="0003522D" w:rsidRPr="00BB734F" w:rsidRDefault="00000000">
            <w:pPr>
              <w:adjustRightInd w:val="0"/>
              <w:snapToGrid w:val="0"/>
              <w:spacing w:line="360" w:lineRule="auto"/>
              <w:jc w:val="both"/>
              <w:rPr>
                <w:rFonts w:ascii="Book Antiqua" w:hAnsi="Book Antiqua" w:cs="Book Antiqua"/>
                <w:b/>
                <w:bCs/>
                <w:lang w:eastAsia="zh-CN"/>
              </w:rPr>
            </w:pPr>
            <w:r w:rsidRPr="00BB734F">
              <w:rPr>
                <w:rFonts w:ascii="Book Antiqua" w:hAnsi="Book Antiqua" w:cs="Book Antiqua"/>
                <w:b/>
                <w:bCs/>
                <w:i/>
                <w:iCs/>
                <w:lang w:eastAsia="zh-CN"/>
              </w:rPr>
              <w:t>P</w:t>
            </w:r>
            <w:r w:rsidR="002869E9" w:rsidRPr="00BB734F">
              <w:rPr>
                <w:rFonts w:ascii="Book Antiqua" w:hAnsi="Book Antiqua" w:cs="Book Antiqua"/>
                <w:b/>
                <w:bCs/>
                <w:lang w:eastAsia="zh-CN"/>
              </w:rPr>
              <w:t xml:space="preserve"> </w:t>
            </w:r>
            <w:r w:rsidRPr="00BB734F">
              <w:rPr>
                <w:rFonts w:ascii="Book Antiqua" w:hAnsi="Book Antiqua" w:cs="Book Antiqua"/>
                <w:b/>
                <w:bCs/>
                <w:lang w:eastAsia="zh-CN"/>
              </w:rPr>
              <w:t>value</w:t>
            </w:r>
          </w:p>
        </w:tc>
        <w:tc>
          <w:tcPr>
            <w:tcW w:w="925" w:type="dxa"/>
            <w:tcBorders>
              <w:top w:val="single" w:sz="4" w:space="0" w:color="auto"/>
              <w:bottom w:val="single" w:sz="4" w:space="0" w:color="auto"/>
            </w:tcBorders>
            <w:vAlign w:val="center"/>
          </w:tcPr>
          <w:p w14:paraId="2B9B9100" w14:textId="77777777" w:rsidR="0003522D" w:rsidRPr="00BB734F" w:rsidRDefault="00000000">
            <w:pPr>
              <w:adjustRightInd w:val="0"/>
              <w:snapToGrid w:val="0"/>
              <w:spacing w:line="360" w:lineRule="auto"/>
              <w:jc w:val="both"/>
              <w:rPr>
                <w:rFonts w:ascii="Book Antiqua" w:hAnsi="Book Antiqua" w:cs="Book Antiqua"/>
                <w:b/>
                <w:bCs/>
                <w:lang w:eastAsia="zh-CN"/>
              </w:rPr>
            </w:pPr>
            <w:r w:rsidRPr="00BB734F">
              <w:rPr>
                <w:rFonts w:ascii="Book Antiqua" w:hAnsi="Book Antiqua" w:cs="Book Antiqua"/>
                <w:b/>
                <w:bCs/>
                <w:i/>
                <w:iCs/>
                <w:lang w:eastAsia="zh-CN"/>
              </w:rPr>
              <w:t>t</w:t>
            </w:r>
            <w:r w:rsidRPr="00BB734F">
              <w:rPr>
                <w:rFonts w:ascii="Book Antiqua" w:hAnsi="Book Antiqua" w:cs="Book Antiqua"/>
                <w:b/>
                <w:bCs/>
                <w:lang w:eastAsia="zh-CN"/>
              </w:rPr>
              <w:t>-value</w:t>
            </w:r>
          </w:p>
        </w:tc>
      </w:tr>
      <w:tr w:rsidR="0003522D" w:rsidRPr="00BB734F" w14:paraId="42DA47C0" w14:textId="77777777" w:rsidTr="002869E9">
        <w:tc>
          <w:tcPr>
            <w:tcW w:w="2127" w:type="dxa"/>
            <w:tcBorders>
              <w:top w:val="single" w:sz="4" w:space="0" w:color="auto"/>
            </w:tcBorders>
            <w:vAlign w:val="center"/>
          </w:tcPr>
          <w:p w14:paraId="1B400ECD"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Age (yr)</w:t>
            </w:r>
          </w:p>
        </w:tc>
        <w:tc>
          <w:tcPr>
            <w:tcW w:w="2126" w:type="dxa"/>
            <w:tcBorders>
              <w:top w:val="single" w:sz="4" w:space="0" w:color="auto"/>
            </w:tcBorders>
            <w:vAlign w:val="center"/>
          </w:tcPr>
          <w:p w14:paraId="03848626"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20.3 (17.0-25.0)</w:t>
            </w:r>
          </w:p>
        </w:tc>
        <w:tc>
          <w:tcPr>
            <w:tcW w:w="2084" w:type="dxa"/>
            <w:tcBorders>
              <w:top w:val="single" w:sz="4" w:space="0" w:color="auto"/>
            </w:tcBorders>
            <w:vAlign w:val="center"/>
          </w:tcPr>
          <w:p w14:paraId="0E1B11B6"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23.0 (18.0-35.0)</w:t>
            </w:r>
          </w:p>
        </w:tc>
        <w:tc>
          <w:tcPr>
            <w:tcW w:w="1044" w:type="dxa"/>
            <w:tcBorders>
              <w:top w:val="single" w:sz="4" w:space="0" w:color="auto"/>
            </w:tcBorders>
            <w:vAlign w:val="center"/>
          </w:tcPr>
          <w:p w14:paraId="3F83258B"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0.020</w:t>
            </w:r>
            <w:r w:rsidRPr="00BB734F">
              <w:rPr>
                <w:rFonts w:ascii="Book Antiqua" w:hAnsi="Book Antiqua" w:cs="Book Antiqua"/>
                <w:vertAlign w:val="superscript"/>
                <w:lang w:eastAsia="zh-CN"/>
              </w:rPr>
              <w:t>1</w:t>
            </w:r>
          </w:p>
        </w:tc>
        <w:tc>
          <w:tcPr>
            <w:tcW w:w="925" w:type="dxa"/>
            <w:tcBorders>
              <w:top w:val="single" w:sz="4" w:space="0" w:color="auto"/>
            </w:tcBorders>
            <w:vAlign w:val="center"/>
          </w:tcPr>
          <w:p w14:paraId="254428B4"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-2.495</w:t>
            </w:r>
          </w:p>
        </w:tc>
      </w:tr>
      <w:tr w:rsidR="0003522D" w:rsidRPr="00BB734F" w14:paraId="05D9B8DA" w14:textId="77777777">
        <w:tc>
          <w:tcPr>
            <w:tcW w:w="2127" w:type="dxa"/>
            <w:vAlign w:val="center"/>
          </w:tcPr>
          <w:p w14:paraId="4AFF59BB"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Height (cm)</w:t>
            </w:r>
          </w:p>
        </w:tc>
        <w:tc>
          <w:tcPr>
            <w:tcW w:w="2126" w:type="dxa"/>
            <w:vAlign w:val="center"/>
          </w:tcPr>
          <w:p w14:paraId="412231A0"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173.6 (160.0-184.0)</w:t>
            </w:r>
          </w:p>
        </w:tc>
        <w:tc>
          <w:tcPr>
            <w:tcW w:w="2084" w:type="dxa"/>
            <w:vAlign w:val="center"/>
          </w:tcPr>
          <w:p w14:paraId="57D6A708"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175.5 (167.0-183.0)</w:t>
            </w:r>
          </w:p>
        </w:tc>
        <w:tc>
          <w:tcPr>
            <w:tcW w:w="1044" w:type="dxa"/>
            <w:vAlign w:val="center"/>
          </w:tcPr>
          <w:p w14:paraId="60D2CAED"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0.102</w:t>
            </w:r>
          </w:p>
        </w:tc>
        <w:tc>
          <w:tcPr>
            <w:tcW w:w="925" w:type="dxa"/>
            <w:vAlign w:val="center"/>
          </w:tcPr>
          <w:p w14:paraId="11BFCAF4"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-1.674</w:t>
            </w:r>
          </w:p>
        </w:tc>
      </w:tr>
      <w:tr w:rsidR="0003522D" w:rsidRPr="00BB734F" w14:paraId="7CE647C9" w14:textId="77777777">
        <w:tc>
          <w:tcPr>
            <w:tcW w:w="2127" w:type="dxa"/>
            <w:vAlign w:val="center"/>
          </w:tcPr>
          <w:p w14:paraId="0C953E3E"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Weight (kg)</w:t>
            </w:r>
          </w:p>
        </w:tc>
        <w:tc>
          <w:tcPr>
            <w:tcW w:w="2126" w:type="dxa"/>
            <w:vAlign w:val="center"/>
          </w:tcPr>
          <w:p w14:paraId="54818918"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65.5 (50.0-90.0)</w:t>
            </w:r>
          </w:p>
        </w:tc>
        <w:tc>
          <w:tcPr>
            <w:tcW w:w="2084" w:type="dxa"/>
            <w:vAlign w:val="center"/>
          </w:tcPr>
          <w:p w14:paraId="08753CE2"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68.8 (52.0-90.0)</w:t>
            </w:r>
          </w:p>
        </w:tc>
        <w:tc>
          <w:tcPr>
            <w:tcW w:w="1044" w:type="dxa"/>
            <w:vAlign w:val="center"/>
          </w:tcPr>
          <w:p w14:paraId="14AD5171"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0.171</w:t>
            </w:r>
          </w:p>
        </w:tc>
        <w:tc>
          <w:tcPr>
            <w:tcW w:w="925" w:type="dxa"/>
            <w:vAlign w:val="center"/>
          </w:tcPr>
          <w:p w14:paraId="581A1D63"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-1.400</w:t>
            </w:r>
          </w:p>
        </w:tc>
      </w:tr>
      <w:tr w:rsidR="0003522D" w:rsidRPr="00BB734F" w14:paraId="298095C6" w14:textId="77777777">
        <w:tc>
          <w:tcPr>
            <w:tcW w:w="2127" w:type="dxa"/>
            <w:vAlign w:val="center"/>
          </w:tcPr>
          <w:p w14:paraId="295CEEA5"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BMI (kg/m</w:t>
            </w:r>
            <w:r w:rsidRPr="00BB734F">
              <w:rPr>
                <w:rFonts w:ascii="Book Antiqua" w:hAnsi="Book Antiqua" w:cs="Book Antiqua"/>
                <w:vertAlign w:val="superscript"/>
                <w:lang w:eastAsia="zh-CN"/>
              </w:rPr>
              <w:t>2</w:t>
            </w:r>
            <w:r w:rsidRPr="00BB734F">
              <w:rPr>
                <w:rFonts w:ascii="Book Antiqua" w:hAnsi="Book Antiqua" w:cs="Book Antiqua"/>
                <w:lang w:eastAsia="zh-CN"/>
              </w:rPr>
              <w:t>)</w:t>
            </w:r>
          </w:p>
        </w:tc>
        <w:tc>
          <w:tcPr>
            <w:tcW w:w="2126" w:type="dxa"/>
            <w:vAlign w:val="center"/>
          </w:tcPr>
          <w:p w14:paraId="6D3BF6E5"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21.7 (17.5-34.5)</w:t>
            </w:r>
          </w:p>
        </w:tc>
        <w:tc>
          <w:tcPr>
            <w:tcW w:w="2084" w:type="dxa"/>
            <w:vAlign w:val="center"/>
          </w:tcPr>
          <w:p w14:paraId="307BAFEB"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22.3 (16.6-28.4)</w:t>
            </w:r>
          </w:p>
        </w:tc>
        <w:tc>
          <w:tcPr>
            <w:tcW w:w="1044" w:type="dxa"/>
            <w:vAlign w:val="center"/>
          </w:tcPr>
          <w:p w14:paraId="1418A69C"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0.436</w:t>
            </w:r>
          </w:p>
        </w:tc>
        <w:tc>
          <w:tcPr>
            <w:tcW w:w="925" w:type="dxa"/>
            <w:vAlign w:val="center"/>
          </w:tcPr>
          <w:p w14:paraId="10BC7927"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-0.790</w:t>
            </w:r>
          </w:p>
        </w:tc>
      </w:tr>
      <w:tr w:rsidR="0003522D" w:rsidRPr="00BB734F" w14:paraId="650A0791" w14:textId="77777777">
        <w:tc>
          <w:tcPr>
            <w:tcW w:w="2127" w:type="dxa"/>
            <w:vAlign w:val="center"/>
          </w:tcPr>
          <w:p w14:paraId="44FEA725"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Treatment timing (mo)</w:t>
            </w:r>
          </w:p>
        </w:tc>
        <w:tc>
          <w:tcPr>
            <w:tcW w:w="2126" w:type="dxa"/>
            <w:vAlign w:val="center"/>
          </w:tcPr>
          <w:p w14:paraId="785F0497"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9.6 (0.6-21.0)</w:t>
            </w:r>
          </w:p>
        </w:tc>
        <w:tc>
          <w:tcPr>
            <w:tcW w:w="2084" w:type="dxa"/>
            <w:vAlign w:val="center"/>
          </w:tcPr>
          <w:p w14:paraId="70400000"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6.3 (1-36)</w:t>
            </w:r>
          </w:p>
        </w:tc>
        <w:tc>
          <w:tcPr>
            <w:tcW w:w="1044" w:type="dxa"/>
            <w:vAlign w:val="center"/>
          </w:tcPr>
          <w:p w14:paraId="624CF69C"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0.002</w:t>
            </w:r>
            <w:r w:rsidRPr="00BB734F">
              <w:rPr>
                <w:rFonts w:ascii="Book Antiqua" w:hAnsi="Book Antiqua" w:cs="Book Antiqua"/>
                <w:vertAlign w:val="superscript"/>
                <w:lang w:eastAsia="zh-CN"/>
              </w:rPr>
              <w:t>1</w:t>
            </w:r>
          </w:p>
        </w:tc>
        <w:tc>
          <w:tcPr>
            <w:tcW w:w="925" w:type="dxa"/>
            <w:vAlign w:val="center"/>
          </w:tcPr>
          <w:p w14:paraId="3D9DAD31"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3.175</w:t>
            </w:r>
          </w:p>
        </w:tc>
      </w:tr>
      <w:tr w:rsidR="0003522D" w:rsidRPr="00BB734F" w14:paraId="33548BEE" w14:textId="77777777">
        <w:tc>
          <w:tcPr>
            <w:tcW w:w="2127" w:type="dxa"/>
            <w:vAlign w:val="center"/>
          </w:tcPr>
          <w:p w14:paraId="4CD12C8D"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History of glucocorticoid use or alcoholism (%)</w:t>
            </w:r>
          </w:p>
        </w:tc>
        <w:tc>
          <w:tcPr>
            <w:tcW w:w="2126" w:type="dxa"/>
            <w:vAlign w:val="center"/>
          </w:tcPr>
          <w:p w14:paraId="0FA70620"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0</w:t>
            </w:r>
          </w:p>
        </w:tc>
        <w:tc>
          <w:tcPr>
            <w:tcW w:w="2084" w:type="dxa"/>
            <w:vAlign w:val="center"/>
          </w:tcPr>
          <w:p w14:paraId="15A2B87E"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66.7</w:t>
            </w:r>
          </w:p>
        </w:tc>
        <w:tc>
          <w:tcPr>
            <w:tcW w:w="1044" w:type="dxa"/>
            <w:vAlign w:val="center"/>
          </w:tcPr>
          <w:p w14:paraId="1E8C7C76"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w:t>
            </w:r>
          </w:p>
        </w:tc>
        <w:tc>
          <w:tcPr>
            <w:tcW w:w="925" w:type="dxa"/>
            <w:vAlign w:val="center"/>
          </w:tcPr>
          <w:p w14:paraId="0E8F87AC"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w:t>
            </w:r>
          </w:p>
        </w:tc>
      </w:tr>
      <w:tr w:rsidR="0003522D" w:rsidRPr="00BB734F" w14:paraId="2D73B2A3" w14:textId="77777777" w:rsidTr="00BB734F">
        <w:tc>
          <w:tcPr>
            <w:tcW w:w="2127" w:type="dxa"/>
            <w:vAlign w:val="center"/>
          </w:tcPr>
          <w:p w14:paraId="4D88F703"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Bilateral lesions (%)</w:t>
            </w:r>
          </w:p>
        </w:tc>
        <w:tc>
          <w:tcPr>
            <w:tcW w:w="2126" w:type="dxa"/>
            <w:vAlign w:val="center"/>
          </w:tcPr>
          <w:p w14:paraId="1A7907DB"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10.2</w:t>
            </w:r>
          </w:p>
        </w:tc>
        <w:tc>
          <w:tcPr>
            <w:tcW w:w="2084" w:type="dxa"/>
            <w:vAlign w:val="center"/>
          </w:tcPr>
          <w:p w14:paraId="302F2743"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62.5</w:t>
            </w:r>
          </w:p>
        </w:tc>
        <w:tc>
          <w:tcPr>
            <w:tcW w:w="1044" w:type="dxa"/>
            <w:vAlign w:val="center"/>
          </w:tcPr>
          <w:p w14:paraId="1C0212DA"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w:t>
            </w:r>
          </w:p>
        </w:tc>
        <w:tc>
          <w:tcPr>
            <w:tcW w:w="925" w:type="dxa"/>
            <w:vAlign w:val="center"/>
          </w:tcPr>
          <w:p w14:paraId="169A030C"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w:t>
            </w:r>
          </w:p>
        </w:tc>
      </w:tr>
      <w:tr w:rsidR="0003522D" w:rsidRPr="00BB734F" w14:paraId="4AEB1C72" w14:textId="77777777" w:rsidTr="00BB734F">
        <w:tc>
          <w:tcPr>
            <w:tcW w:w="2127" w:type="dxa"/>
            <w:tcBorders>
              <w:bottom w:val="single" w:sz="4" w:space="0" w:color="auto"/>
            </w:tcBorders>
            <w:vAlign w:val="center"/>
          </w:tcPr>
          <w:p w14:paraId="4A98D16F"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Collapse of femoral head (%)</w:t>
            </w:r>
          </w:p>
        </w:tc>
        <w:tc>
          <w:tcPr>
            <w:tcW w:w="2126" w:type="dxa"/>
            <w:tcBorders>
              <w:bottom w:val="single" w:sz="4" w:space="0" w:color="auto"/>
            </w:tcBorders>
            <w:vAlign w:val="center"/>
          </w:tcPr>
          <w:p w14:paraId="63A76E55"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69.4</w:t>
            </w:r>
          </w:p>
        </w:tc>
        <w:tc>
          <w:tcPr>
            <w:tcW w:w="2084" w:type="dxa"/>
            <w:tcBorders>
              <w:bottom w:val="single" w:sz="4" w:space="0" w:color="auto"/>
            </w:tcBorders>
            <w:vAlign w:val="center"/>
          </w:tcPr>
          <w:p w14:paraId="29409902"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25</w:t>
            </w:r>
          </w:p>
        </w:tc>
        <w:tc>
          <w:tcPr>
            <w:tcW w:w="1044" w:type="dxa"/>
            <w:tcBorders>
              <w:bottom w:val="single" w:sz="4" w:space="0" w:color="auto"/>
            </w:tcBorders>
            <w:vAlign w:val="center"/>
          </w:tcPr>
          <w:p w14:paraId="2E3AAB4F"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w:t>
            </w:r>
          </w:p>
        </w:tc>
        <w:tc>
          <w:tcPr>
            <w:tcW w:w="925" w:type="dxa"/>
            <w:tcBorders>
              <w:bottom w:val="single" w:sz="4" w:space="0" w:color="auto"/>
            </w:tcBorders>
            <w:vAlign w:val="center"/>
          </w:tcPr>
          <w:p w14:paraId="1BCAB76A"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w:t>
            </w:r>
          </w:p>
        </w:tc>
      </w:tr>
    </w:tbl>
    <w:p w14:paraId="38AF316F"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hAnsi="Book Antiqua" w:cs="Book Antiqua"/>
          <w:vertAlign w:val="superscript"/>
        </w:rPr>
        <w:t>1</w:t>
      </w:r>
      <w:r w:rsidRPr="00BB734F">
        <w:rPr>
          <w:rFonts w:ascii="Book Antiqua" w:hAnsi="Book Antiqua" w:cs="Book Antiqua"/>
        </w:rPr>
        <w:t>Statistical significance.</w:t>
      </w:r>
    </w:p>
    <w:p w14:paraId="34083801"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hAnsi="Book Antiqua" w:cs="Book Antiqua"/>
        </w:rPr>
        <w:t>BMI: Body mass index; ONFH: Osteonecrosis of the femoral head; SFFFH: Subchondral fatigue fracture of the femoral head.</w:t>
      </w:r>
    </w:p>
    <w:p w14:paraId="3A595F8C" w14:textId="77777777" w:rsidR="0003522D" w:rsidRPr="00BB734F" w:rsidRDefault="0003522D">
      <w:pPr>
        <w:adjustRightInd w:val="0"/>
        <w:snapToGrid w:val="0"/>
        <w:spacing w:line="360" w:lineRule="auto"/>
        <w:jc w:val="both"/>
        <w:rPr>
          <w:rFonts w:ascii="Book Antiqua" w:hAnsi="Book Antiqua" w:cs="Book Antiqua"/>
          <w:b/>
          <w:bCs/>
        </w:rPr>
      </w:pPr>
    </w:p>
    <w:p w14:paraId="08AEE21D" w14:textId="77777777" w:rsidR="00BB734F" w:rsidRPr="00BB734F" w:rsidRDefault="00BB734F">
      <w:pPr>
        <w:rPr>
          <w:rFonts w:ascii="Book Antiqua" w:hAnsi="Book Antiqua" w:cs="Book Antiqua"/>
          <w:b/>
          <w:bCs/>
        </w:rPr>
      </w:pPr>
      <w:r w:rsidRPr="00BB734F">
        <w:rPr>
          <w:rFonts w:ascii="Book Antiqua" w:hAnsi="Book Antiqua" w:cs="Book Antiqua"/>
          <w:b/>
          <w:bCs/>
        </w:rPr>
        <w:br w:type="page"/>
      </w:r>
    </w:p>
    <w:p w14:paraId="11B347E4" w14:textId="69B610C9" w:rsidR="0003522D" w:rsidRPr="00BB734F" w:rsidRDefault="00000000">
      <w:pPr>
        <w:adjustRightInd w:val="0"/>
        <w:snapToGrid w:val="0"/>
        <w:spacing w:line="360" w:lineRule="auto"/>
        <w:jc w:val="both"/>
        <w:rPr>
          <w:rFonts w:ascii="Book Antiqua" w:hAnsi="Book Antiqua" w:cs="Book Antiqua"/>
          <w:b/>
          <w:bCs/>
        </w:rPr>
      </w:pPr>
      <w:r w:rsidRPr="00BB734F">
        <w:rPr>
          <w:rFonts w:ascii="Book Antiqua" w:hAnsi="Book Antiqua" w:cs="Book Antiqua"/>
          <w:b/>
          <w:bCs/>
        </w:rPr>
        <w:lastRenderedPageBreak/>
        <w:t xml:space="preserve">Table 2 </w:t>
      </w:r>
      <w:r w:rsidRPr="00BB734F">
        <w:rPr>
          <w:rFonts w:ascii="Book Antiqua" w:eastAsia="Book Antiqua" w:hAnsi="Book Antiqua" w:cs="Book Antiqua"/>
          <w:b/>
          <w:bCs/>
          <w:color w:val="000000"/>
        </w:rPr>
        <w:t>Acetabular coverage indicators</w:t>
      </w:r>
      <w:r w:rsidRPr="00BB734F">
        <w:rPr>
          <w:rFonts w:ascii="Book Antiqua" w:hAnsi="Book Antiqua" w:cs="Book Antiqua"/>
          <w:b/>
          <w:bCs/>
        </w:rPr>
        <w:t xml:space="preserve"> of subchondral fatigue fracture of the femoral head and osteonecrosis of the femoral head patients</w:t>
      </w:r>
    </w:p>
    <w:tbl>
      <w:tblPr>
        <w:tblStyle w:val="a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268"/>
        <w:gridCol w:w="2126"/>
        <w:gridCol w:w="1427"/>
        <w:gridCol w:w="925"/>
      </w:tblGrid>
      <w:tr w:rsidR="0003522D" w:rsidRPr="00BB734F" w14:paraId="5F7CA822" w14:textId="77777777">
        <w:tc>
          <w:tcPr>
            <w:tcW w:w="1560" w:type="dxa"/>
            <w:tcBorders>
              <w:bottom w:val="single" w:sz="4" w:space="0" w:color="auto"/>
            </w:tcBorders>
            <w:vAlign w:val="center"/>
          </w:tcPr>
          <w:p w14:paraId="25D9BAFD" w14:textId="77777777" w:rsidR="0003522D" w:rsidRPr="00BB734F" w:rsidRDefault="0003522D">
            <w:pPr>
              <w:adjustRightInd w:val="0"/>
              <w:snapToGrid w:val="0"/>
              <w:spacing w:line="360" w:lineRule="auto"/>
              <w:jc w:val="both"/>
              <w:rPr>
                <w:rFonts w:ascii="Book Antiqua" w:hAnsi="Book Antiqua" w:cs="Book Antiqua"/>
                <w:lang w:eastAsia="zh-CN"/>
              </w:rPr>
            </w:pPr>
          </w:p>
        </w:tc>
        <w:tc>
          <w:tcPr>
            <w:tcW w:w="2268" w:type="dxa"/>
            <w:tcBorders>
              <w:bottom w:val="single" w:sz="4" w:space="0" w:color="auto"/>
            </w:tcBorders>
            <w:vAlign w:val="center"/>
          </w:tcPr>
          <w:p w14:paraId="2CE7487D" w14:textId="77777777" w:rsidR="0003522D" w:rsidRPr="00BB734F" w:rsidRDefault="00000000">
            <w:pPr>
              <w:adjustRightInd w:val="0"/>
              <w:snapToGrid w:val="0"/>
              <w:spacing w:line="360" w:lineRule="auto"/>
              <w:jc w:val="both"/>
              <w:rPr>
                <w:rFonts w:ascii="Book Antiqua" w:hAnsi="Book Antiqua" w:cs="Book Antiqua"/>
                <w:b/>
                <w:bCs/>
                <w:lang w:eastAsia="zh-CN"/>
              </w:rPr>
            </w:pPr>
            <w:r w:rsidRPr="00BB734F">
              <w:rPr>
                <w:rFonts w:ascii="Book Antiqua" w:hAnsi="Book Antiqua" w:cs="Book Antiqua"/>
                <w:b/>
                <w:bCs/>
                <w:lang w:eastAsia="zh-CN"/>
              </w:rPr>
              <w:t>SFFFH (</w:t>
            </w:r>
            <w:r w:rsidRPr="00BB734F">
              <w:rPr>
                <w:rFonts w:ascii="Book Antiqua" w:hAnsi="Book Antiqua" w:cs="Book Antiqua"/>
                <w:b/>
                <w:bCs/>
                <w:i/>
                <w:iCs/>
                <w:lang w:eastAsia="zh-CN"/>
              </w:rPr>
              <w:t>n</w:t>
            </w:r>
            <w:r w:rsidRPr="00BB734F">
              <w:rPr>
                <w:rFonts w:ascii="Book Antiqua" w:hAnsi="Book Antiqua" w:cs="Book Antiqua"/>
                <w:b/>
                <w:bCs/>
                <w:lang w:eastAsia="zh-CN"/>
              </w:rPr>
              <w:t xml:space="preserve"> = 98)</w:t>
            </w:r>
          </w:p>
        </w:tc>
        <w:tc>
          <w:tcPr>
            <w:tcW w:w="2126" w:type="dxa"/>
            <w:tcBorders>
              <w:bottom w:val="single" w:sz="4" w:space="0" w:color="auto"/>
            </w:tcBorders>
            <w:vAlign w:val="center"/>
          </w:tcPr>
          <w:p w14:paraId="3FD4AF50" w14:textId="77777777" w:rsidR="0003522D" w:rsidRPr="00BB734F" w:rsidRDefault="00000000">
            <w:pPr>
              <w:adjustRightInd w:val="0"/>
              <w:snapToGrid w:val="0"/>
              <w:spacing w:line="360" w:lineRule="auto"/>
              <w:jc w:val="both"/>
              <w:rPr>
                <w:rFonts w:ascii="Book Antiqua" w:hAnsi="Book Antiqua" w:cs="Book Antiqua"/>
                <w:b/>
                <w:bCs/>
                <w:lang w:eastAsia="zh-CN"/>
              </w:rPr>
            </w:pPr>
            <w:r w:rsidRPr="00BB734F">
              <w:rPr>
                <w:rFonts w:ascii="Book Antiqua" w:hAnsi="Book Antiqua" w:cs="Book Antiqua"/>
                <w:b/>
                <w:bCs/>
                <w:lang w:eastAsia="zh-CN"/>
              </w:rPr>
              <w:t>ONFH (</w:t>
            </w:r>
            <w:r w:rsidRPr="00BB734F">
              <w:rPr>
                <w:rFonts w:ascii="Book Antiqua" w:hAnsi="Book Antiqua" w:cs="Book Antiqua"/>
                <w:b/>
                <w:bCs/>
                <w:i/>
                <w:iCs/>
                <w:lang w:eastAsia="zh-CN"/>
              </w:rPr>
              <w:t>n</w:t>
            </w:r>
            <w:r w:rsidRPr="00BB734F">
              <w:rPr>
                <w:rFonts w:ascii="Book Antiqua" w:hAnsi="Book Antiqua" w:cs="Book Antiqua"/>
                <w:b/>
                <w:bCs/>
                <w:lang w:eastAsia="zh-CN"/>
              </w:rPr>
              <w:t xml:space="preserve"> = 24)</w:t>
            </w:r>
          </w:p>
        </w:tc>
        <w:tc>
          <w:tcPr>
            <w:tcW w:w="1427" w:type="dxa"/>
            <w:tcBorders>
              <w:bottom w:val="single" w:sz="4" w:space="0" w:color="auto"/>
            </w:tcBorders>
            <w:vAlign w:val="center"/>
          </w:tcPr>
          <w:p w14:paraId="5D5669FA" w14:textId="1D3E7D59" w:rsidR="0003522D" w:rsidRPr="00BB734F" w:rsidRDefault="00000000">
            <w:pPr>
              <w:adjustRightInd w:val="0"/>
              <w:snapToGrid w:val="0"/>
              <w:spacing w:line="360" w:lineRule="auto"/>
              <w:jc w:val="both"/>
              <w:rPr>
                <w:rFonts w:ascii="Book Antiqua" w:hAnsi="Book Antiqua" w:cs="Book Antiqua"/>
                <w:b/>
                <w:bCs/>
                <w:lang w:eastAsia="zh-CN"/>
              </w:rPr>
            </w:pPr>
            <w:r w:rsidRPr="00BB734F">
              <w:rPr>
                <w:rFonts w:ascii="Book Antiqua" w:hAnsi="Book Antiqua" w:cs="Book Antiqua"/>
                <w:b/>
                <w:bCs/>
                <w:i/>
                <w:iCs/>
                <w:lang w:eastAsia="zh-CN"/>
              </w:rPr>
              <w:t>P</w:t>
            </w:r>
            <w:r w:rsidR="002869E9" w:rsidRPr="00BB734F">
              <w:rPr>
                <w:rFonts w:ascii="Book Antiqua" w:hAnsi="Book Antiqua" w:cs="Book Antiqua"/>
                <w:b/>
                <w:bCs/>
                <w:lang w:eastAsia="zh-CN"/>
              </w:rPr>
              <w:t xml:space="preserve"> </w:t>
            </w:r>
            <w:r w:rsidRPr="00BB734F">
              <w:rPr>
                <w:rFonts w:ascii="Book Antiqua" w:hAnsi="Book Antiqua" w:cs="Book Antiqua"/>
                <w:b/>
                <w:bCs/>
                <w:lang w:eastAsia="zh-CN"/>
              </w:rPr>
              <w:t>value</w:t>
            </w:r>
          </w:p>
        </w:tc>
        <w:tc>
          <w:tcPr>
            <w:tcW w:w="925" w:type="dxa"/>
            <w:tcBorders>
              <w:bottom w:val="single" w:sz="4" w:space="0" w:color="auto"/>
            </w:tcBorders>
            <w:vAlign w:val="center"/>
          </w:tcPr>
          <w:p w14:paraId="572C7476" w14:textId="77777777" w:rsidR="0003522D" w:rsidRPr="00BB734F" w:rsidRDefault="00000000">
            <w:pPr>
              <w:adjustRightInd w:val="0"/>
              <w:snapToGrid w:val="0"/>
              <w:spacing w:line="360" w:lineRule="auto"/>
              <w:jc w:val="both"/>
              <w:rPr>
                <w:rFonts w:ascii="Book Antiqua" w:hAnsi="Book Antiqua" w:cs="Book Antiqua"/>
                <w:b/>
                <w:bCs/>
                <w:lang w:eastAsia="zh-CN"/>
              </w:rPr>
            </w:pPr>
            <w:r w:rsidRPr="00BB734F">
              <w:rPr>
                <w:rFonts w:ascii="Book Antiqua" w:hAnsi="Book Antiqua" w:cs="Book Antiqua"/>
                <w:b/>
                <w:bCs/>
                <w:i/>
                <w:iCs/>
                <w:lang w:eastAsia="zh-CN"/>
              </w:rPr>
              <w:t>T</w:t>
            </w:r>
            <w:r w:rsidRPr="00BB734F">
              <w:rPr>
                <w:rFonts w:ascii="Book Antiqua" w:hAnsi="Book Antiqua" w:cs="Book Antiqua"/>
                <w:b/>
                <w:bCs/>
                <w:lang w:eastAsia="zh-CN"/>
              </w:rPr>
              <w:t>-value</w:t>
            </w:r>
          </w:p>
        </w:tc>
      </w:tr>
      <w:tr w:rsidR="0003522D" w:rsidRPr="00BB734F" w14:paraId="5BB09664" w14:textId="77777777">
        <w:tc>
          <w:tcPr>
            <w:tcW w:w="1560" w:type="dxa"/>
            <w:vAlign w:val="center"/>
          </w:tcPr>
          <w:p w14:paraId="4C4B1550"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AVsup (°)</w:t>
            </w:r>
          </w:p>
        </w:tc>
        <w:tc>
          <w:tcPr>
            <w:tcW w:w="2268" w:type="dxa"/>
            <w:vAlign w:val="center"/>
          </w:tcPr>
          <w:p w14:paraId="777D8CA7"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11.7 (11.2-12.3)</w:t>
            </w:r>
          </w:p>
        </w:tc>
        <w:tc>
          <w:tcPr>
            <w:tcW w:w="2126" w:type="dxa"/>
            <w:vAlign w:val="center"/>
          </w:tcPr>
          <w:p w14:paraId="2689E6C5"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11.4 (10.8-12.1)</w:t>
            </w:r>
          </w:p>
        </w:tc>
        <w:tc>
          <w:tcPr>
            <w:tcW w:w="1427" w:type="dxa"/>
            <w:vAlign w:val="center"/>
          </w:tcPr>
          <w:p w14:paraId="1366D009"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0.498</w:t>
            </w:r>
          </w:p>
        </w:tc>
        <w:tc>
          <w:tcPr>
            <w:tcW w:w="925" w:type="dxa"/>
            <w:vAlign w:val="center"/>
          </w:tcPr>
          <w:p w14:paraId="6A47B326"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0.678</w:t>
            </w:r>
          </w:p>
        </w:tc>
      </w:tr>
      <w:tr w:rsidR="0003522D" w:rsidRPr="00BB734F" w14:paraId="4CFDF215" w14:textId="77777777">
        <w:tc>
          <w:tcPr>
            <w:tcW w:w="1560" w:type="dxa"/>
            <w:vAlign w:val="center"/>
          </w:tcPr>
          <w:p w14:paraId="20864F26"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AVcen (°)</w:t>
            </w:r>
          </w:p>
        </w:tc>
        <w:tc>
          <w:tcPr>
            <w:tcW w:w="2268" w:type="dxa"/>
            <w:vAlign w:val="center"/>
          </w:tcPr>
          <w:p w14:paraId="5B972FF5"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12.5 (12.2-12.9)</w:t>
            </w:r>
          </w:p>
        </w:tc>
        <w:tc>
          <w:tcPr>
            <w:tcW w:w="2126" w:type="dxa"/>
            <w:vAlign w:val="center"/>
          </w:tcPr>
          <w:p w14:paraId="5217AAF6"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11.6 (11.1-12.1)</w:t>
            </w:r>
          </w:p>
        </w:tc>
        <w:tc>
          <w:tcPr>
            <w:tcW w:w="1427" w:type="dxa"/>
            <w:vAlign w:val="center"/>
          </w:tcPr>
          <w:p w14:paraId="71067ADA"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0.005</w:t>
            </w:r>
          </w:p>
        </w:tc>
        <w:tc>
          <w:tcPr>
            <w:tcW w:w="925" w:type="dxa"/>
            <w:vAlign w:val="center"/>
          </w:tcPr>
          <w:p w14:paraId="20A3F515"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2.813</w:t>
            </w:r>
          </w:p>
        </w:tc>
      </w:tr>
      <w:tr w:rsidR="0003522D" w:rsidRPr="00BB734F" w14:paraId="1FCA7650" w14:textId="77777777">
        <w:tc>
          <w:tcPr>
            <w:tcW w:w="1560" w:type="dxa"/>
            <w:vAlign w:val="center"/>
          </w:tcPr>
          <w:p w14:paraId="453CE619"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AASA (°)</w:t>
            </w:r>
          </w:p>
        </w:tc>
        <w:tc>
          <w:tcPr>
            <w:tcW w:w="2268" w:type="dxa"/>
            <w:vAlign w:val="center"/>
          </w:tcPr>
          <w:p w14:paraId="4C541816"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65.0 (64.3-65.6)</w:t>
            </w:r>
          </w:p>
        </w:tc>
        <w:tc>
          <w:tcPr>
            <w:tcW w:w="2126" w:type="dxa"/>
            <w:vAlign w:val="center"/>
          </w:tcPr>
          <w:p w14:paraId="512CD703"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69.5 (68.5-70.5)</w:t>
            </w:r>
          </w:p>
        </w:tc>
        <w:tc>
          <w:tcPr>
            <w:tcW w:w="1427" w:type="dxa"/>
            <w:vAlign w:val="center"/>
          </w:tcPr>
          <w:p w14:paraId="404171D2"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1.469e-13</w:t>
            </w:r>
            <w:r w:rsidRPr="00BB734F">
              <w:rPr>
                <w:rFonts w:ascii="Book Antiqua" w:hAnsi="Book Antiqua" w:cs="Book Antiqua"/>
                <w:vertAlign w:val="superscript"/>
                <w:lang w:eastAsia="zh-CN"/>
              </w:rPr>
              <w:t>1</w:t>
            </w:r>
          </w:p>
        </w:tc>
        <w:tc>
          <w:tcPr>
            <w:tcW w:w="925" w:type="dxa"/>
            <w:vAlign w:val="center"/>
          </w:tcPr>
          <w:p w14:paraId="29B85610"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-7.639</w:t>
            </w:r>
          </w:p>
        </w:tc>
      </w:tr>
      <w:tr w:rsidR="0003522D" w:rsidRPr="00BB734F" w14:paraId="0A826E6C" w14:textId="77777777">
        <w:tc>
          <w:tcPr>
            <w:tcW w:w="1560" w:type="dxa"/>
            <w:vAlign w:val="center"/>
          </w:tcPr>
          <w:p w14:paraId="35298E04"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PASA (°)</w:t>
            </w:r>
          </w:p>
        </w:tc>
        <w:tc>
          <w:tcPr>
            <w:tcW w:w="2268" w:type="dxa"/>
            <w:vAlign w:val="center"/>
          </w:tcPr>
          <w:p w14:paraId="1639F6B6"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89.9 (89.3-90.5)</w:t>
            </w:r>
          </w:p>
        </w:tc>
        <w:tc>
          <w:tcPr>
            <w:tcW w:w="2126" w:type="dxa"/>
            <w:vAlign w:val="center"/>
          </w:tcPr>
          <w:p w14:paraId="48BA73FE"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91.1 (90.0-92.2)</w:t>
            </w:r>
          </w:p>
        </w:tc>
        <w:tc>
          <w:tcPr>
            <w:tcW w:w="1427" w:type="dxa"/>
            <w:vAlign w:val="center"/>
          </w:tcPr>
          <w:p w14:paraId="3400A2E1"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0.063</w:t>
            </w:r>
          </w:p>
        </w:tc>
        <w:tc>
          <w:tcPr>
            <w:tcW w:w="925" w:type="dxa"/>
            <w:vAlign w:val="center"/>
          </w:tcPr>
          <w:p w14:paraId="17754FC8"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-1.863</w:t>
            </w:r>
          </w:p>
        </w:tc>
      </w:tr>
      <w:tr w:rsidR="0003522D" w:rsidRPr="00BB734F" w14:paraId="390D1213" w14:textId="77777777">
        <w:tc>
          <w:tcPr>
            <w:tcW w:w="1560" w:type="dxa"/>
            <w:vAlign w:val="center"/>
          </w:tcPr>
          <w:p w14:paraId="48D2D2A4"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SASA (°)</w:t>
            </w:r>
          </w:p>
        </w:tc>
        <w:tc>
          <w:tcPr>
            <w:tcW w:w="2268" w:type="dxa"/>
            <w:vAlign w:val="center"/>
          </w:tcPr>
          <w:p w14:paraId="5AE7BA43"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122.8 (122.4-123.2)</w:t>
            </w:r>
          </w:p>
        </w:tc>
        <w:tc>
          <w:tcPr>
            <w:tcW w:w="2126" w:type="dxa"/>
            <w:vAlign w:val="center"/>
          </w:tcPr>
          <w:p w14:paraId="06E190A2"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122.3 (121.5-123.0)</w:t>
            </w:r>
          </w:p>
        </w:tc>
        <w:tc>
          <w:tcPr>
            <w:tcW w:w="1427" w:type="dxa"/>
            <w:vAlign w:val="center"/>
          </w:tcPr>
          <w:p w14:paraId="167646BC"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0.234</w:t>
            </w:r>
          </w:p>
        </w:tc>
        <w:tc>
          <w:tcPr>
            <w:tcW w:w="925" w:type="dxa"/>
            <w:vAlign w:val="center"/>
          </w:tcPr>
          <w:p w14:paraId="52845065"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1.192</w:t>
            </w:r>
          </w:p>
        </w:tc>
      </w:tr>
      <w:tr w:rsidR="0003522D" w:rsidRPr="00BB734F" w14:paraId="4EEF4CF5" w14:textId="77777777">
        <w:tc>
          <w:tcPr>
            <w:tcW w:w="1560" w:type="dxa"/>
            <w:vAlign w:val="center"/>
          </w:tcPr>
          <w:p w14:paraId="457B4582"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NSA (°)</w:t>
            </w:r>
          </w:p>
        </w:tc>
        <w:tc>
          <w:tcPr>
            <w:tcW w:w="2268" w:type="dxa"/>
            <w:vAlign w:val="center"/>
          </w:tcPr>
          <w:p w14:paraId="25266791"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134.8 (134.4-135.2)</w:t>
            </w:r>
          </w:p>
        </w:tc>
        <w:tc>
          <w:tcPr>
            <w:tcW w:w="2126" w:type="dxa"/>
            <w:vAlign w:val="center"/>
          </w:tcPr>
          <w:p w14:paraId="4D5FE943"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131.4 (130.9-131.9)</w:t>
            </w:r>
          </w:p>
        </w:tc>
        <w:tc>
          <w:tcPr>
            <w:tcW w:w="1427" w:type="dxa"/>
            <w:vAlign w:val="center"/>
          </w:tcPr>
          <w:p w14:paraId="73848308"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2.2e-16</w:t>
            </w:r>
            <w:r w:rsidRPr="00BB734F">
              <w:rPr>
                <w:rFonts w:ascii="Book Antiqua" w:hAnsi="Book Antiqua" w:cs="Book Antiqua"/>
                <w:vertAlign w:val="superscript"/>
                <w:lang w:eastAsia="zh-CN"/>
              </w:rPr>
              <w:t>1</w:t>
            </w:r>
          </w:p>
        </w:tc>
        <w:tc>
          <w:tcPr>
            <w:tcW w:w="925" w:type="dxa"/>
            <w:vAlign w:val="center"/>
          </w:tcPr>
          <w:p w14:paraId="3DA3C5FD"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10.128</w:t>
            </w:r>
          </w:p>
        </w:tc>
      </w:tr>
      <w:tr w:rsidR="0003522D" w:rsidRPr="00BB734F" w14:paraId="5D603EEE" w14:textId="77777777">
        <w:tc>
          <w:tcPr>
            <w:tcW w:w="1560" w:type="dxa"/>
            <w:vAlign w:val="center"/>
          </w:tcPr>
          <w:p w14:paraId="4D6828DF"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IIA (°)</w:t>
            </w:r>
          </w:p>
        </w:tc>
        <w:tc>
          <w:tcPr>
            <w:tcW w:w="2268" w:type="dxa"/>
            <w:vAlign w:val="center"/>
          </w:tcPr>
          <w:p w14:paraId="2FF4D2FF"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63.9 (63.5-64.2)</w:t>
            </w:r>
          </w:p>
        </w:tc>
        <w:tc>
          <w:tcPr>
            <w:tcW w:w="2126" w:type="dxa"/>
            <w:vAlign w:val="center"/>
          </w:tcPr>
          <w:p w14:paraId="5E4F4E43"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64.5 (64.0-65.0)</w:t>
            </w:r>
          </w:p>
        </w:tc>
        <w:tc>
          <w:tcPr>
            <w:tcW w:w="1427" w:type="dxa"/>
            <w:tcBorders>
              <w:bottom w:val="nil"/>
            </w:tcBorders>
            <w:vAlign w:val="center"/>
          </w:tcPr>
          <w:p w14:paraId="237A4113"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0.040*</w:t>
            </w:r>
          </w:p>
        </w:tc>
        <w:tc>
          <w:tcPr>
            <w:tcW w:w="925" w:type="dxa"/>
            <w:tcBorders>
              <w:bottom w:val="nil"/>
            </w:tcBorders>
            <w:vAlign w:val="center"/>
          </w:tcPr>
          <w:p w14:paraId="241F3C7D"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-2.064</w:t>
            </w:r>
          </w:p>
        </w:tc>
      </w:tr>
      <w:tr w:rsidR="0003522D" w:rsidRPr="00BB734F" w14:paraId="6C60C0C0" w14:textId="77777777">
        <w:tc>
          <w:tcPr>
            <w:tcW w:w="1560" w:type="dxa"/>
            <w:tcBorders>
              <w:bottom w:val="single" w:sz="4" w:space="0" w:color="auto"/>
            </w:tcBorders>
            <w:vAlign w:val="center"/>
          </w:tcPr>
          <w:p w14:paraId="505B2127"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IPA (°)</w:t>
            </w:r>
          </w:p>
        </w:tc>
        <w:tc>
          <w:tcPr>
            <w:tcW w:w="2268" w:type="dxa"/>
            <w:tcBorders>
              <w:bottom w:val="single" w:sz="4" w:space="0" w:color="auto"/>
            </w:tcBorders>
            <w:vAlign w:val="center"/>
          </w:tcPr>
          <w:p w14:paraId="5313B633"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31.1 (30.9-31.3)</w:t>
            </w:r>
          </w:p>
        </w:tc>
        <w:tc>
          <w:tcPr>
            <w:tcW w:w="2126" w:type="dxa"/>
            <w:tcBorders>
              <w:bottom w:val="single" w:sz="4" w:space="0" w:color="auto"/>
            </w:tcBorders>
            <w:vAlign w:val="center"/>
          </w:tcPr>
          <w:p w14:paraId="3641A4FC"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30.7 (30.3-31.1)</w:t>
            </w:r>
          </w:p>
        </w:tc>
        <w:tc>
          <w:tcPr>
            <w:tcW w:w="1427" w:type="dxa"/>
            <w:tcBorders>
              <w:top w:val="nil"/>
              <w:bottom w:val="single" w:sz="4" w:space="0" w:color="auto"/>
            </w:tcBorders>
            <w:vAlign w:val="center"/>
          </w:tcPr>
          <w:p w14:paraId="0F6324F3"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0.068</w:t>
            </w:r>
          </w:p>
        </w:tc>
        <w:tc>
          <w:tcPr>
            <w:tcW w:w="925" w:type="dxa"/>
            <w:tcBorders>
              <w:top w:val="nil"/>
              <w:bottom w:val="single" w:sz="4" w:space="0" w:color="auto"/>
            </w:tcBorders>
            <w:vAlign w:val="center"/>
          </w:tcPr>
          <w:p w14:paraId="698D4A1A" w14:textId="77777777" w:rsidR="0003522D" w:rsidRPr="00BB734F" w:rsidRDefault="00000000">
            <w:pPr>
              <w:adjustRightInd w:val="0"/>
              <w:snapToGrid w:val="0"/>
              <w:spacing w:line="360" w:lineRule="auto"/>
              <w:jc w:val="both"/>
              <w:rPr>
                <w:rFonts w:ascii="Book Antiqua" w:hAnsi="Book Antiqua" w:cs="Book Antiqua"/>
                <w:lang w:eastAsia="zh-CN"/>
              </w:rPr>
            </w:pPr>
            <w:r w:rsidRPr="00BB734F">
              <w:rPr>
                <w:rFonts w:ascii="Book Antiqua" w:hAnsi="Book Antiqua" w:cs="Book Antiqua"/>
                <w:lang w:eastAsia="zh-CN"/>
              </w:rPr>
              <w:t>1.829</w:t>
            </w:r>
          </w:p>
        </w:tc>
      </w:tr>
    </w:tbl>
    <w:p w14:paraId="56CF88E0" w14:textId="77777777" w:rsidR="0003522D" w:rsidRPr="00BB734F" w:rsidRDefault="00000000">
      <w:pPr>
        <w:adjustRightInd w:val="0"/>
        <w:snapToGrid w:val="0"/>
        <w:spacing w:line="360" w:lineRule="auto"/>
        <w:jc w:val="both"/>
        <w:rPr>
          <w:rFonts w:ascii="Book Antiqua" w:hAnsi="Book Antiqua" w:cs="Book Antiqua"/>
        </w:rPr>
      </w:pPr>
      <w:r w:rsidRPr="00BB734F">
        <w:rPr>
          <w:rFonts w:ascii="Book Antiqua" w:hAnsi="Book Antiqua" w:cs="Book Antiqua"/>
          <w:vertAlign w:val="superscript"/>
        </w:rPr>
        <w:t>1</w:t>
      </w:r>
      <w:r w:rsidRPr="00BB734F">
        <w:rPr>
          <w:rFonts w:ascii="Book Antiqua" w:hAnsi="Book Antiqua" w:cs="Book Antiqua"/>
        </w:rPr>
        <w:t>Statistical significance.</w:t>
      </w:r>
    </w:p>
    <w:p w14:paraId="72C2CE6A" w14:textId="77777777" w:rsidR="0003522D" w:rsidRDefault="00000000">
      <w:pPr>
        <w:adjustRightInd w:val="0"/>
        <w:snapToGrid w:val="0"/>
        <w:spacing w:line="360" w:lineRule="auto"/>
        <w:jc w:val="both"/>
        <w:rPr>
          <w:rFonts w:ascii="Book Antiqua" w:hAnsi="Book Antiqua" w:cs="Book Antiqua"/>
        </w:rPr>
      </w:pPr>
      <w:r w:rsidRPr="00BB734F">
        <w:rPr>
          <w:rFonts w:ascii="Book Antiqua" w:hAnsi="Book Antiqua" w:cs="Book Antiqua"/>
        </w:rPr>
        <w:t xml:space="preserve">AASA: Anterior acetabular sector angle; AVcen: Acetabular anteversion of the center of the acetabulum; AVsup: Acetabular anteversion of the superior acetabulum; BMI: Body mass index; </w:t>
      </w:r>
      <w:bookmarkStart w:id="2" w:name="_Hlk143705247"/>
      <w:r w:rsidRPr="00BB734F">
        <w:rPr>
          <w:rFonts w:ascii="Book Antiqua" w:hAnsi="Book Antiqua" w:cs="Book Antiqua"/>
        </w:rPr>
        <w:t>IIA</w:t>
      </w:r>
      <w:bookmarkEnd w:id="2"/>
      <w:r w:rsidRPr="00BB734F">
        <w:rPr>
          <w:rFonts w:ascii="Book Antiqua" w:hAnsi="Book Antiqua" w:cs="Book Antiqua"/>
        </w:rPr>
        <w:t>: Inferior iliac angle; IPA: Ischiopubic angle; NSA: Neck-shaft angle; ONFH: Osteonecrosis of the femoral head; PASA: Posterior acetabular sector angle; SASA: Superior acetabular sector angle; SFFFH: Subchondral fatigue fracture of the femoral head.</w:t>
      </w:r>
    </w:p>
    <w:p w14:paraId="4271A280" w14:textId="77777777" w:rsidR="001F4F2D" w:rsidRDefault="001F4F2D">
      <w:pPr>
        <w:adjustRightInd w:val="0"/>
        <w:snapToGrid w:val="0"/>
        <w:spacing w:line="360" w:lineRule="auto"/>
        <w:jc w:val="both"/>
        <w:rPr>
          <w:rFonts w:ascii="Book Antiqua" w:hAnsi="Book Antiqua" w:cs="Book Antiqua"/>
        </w:rPr>
      </w:pPr>
    </w:p>
    <w:p w14:paraId="236324EE" w14:textId="775B4D13" w:rsidR="001F4F2D" w:rsidRDefault="001F4F2D">
      <w:pPr>
        <w:adjustRightInd w:val="0"/>
        <w:snapToGrid w:val="0"/>
        <w:spacing w:line="360" w:lineRule="auto"/>
        <w:jc w:val="both"/>
        <w:rPr>
          <w:rFonts w:ascii="Book Antiqua" w:hAnsi="Book Antiqua" w:cs="Book Antiqua"/>
        </w:rPr>
      </w:pPr>
    </w:p>
    <w:p w14:paraId="04A8C406" w14:textId="77777777" w:rsidR="001F4F2D" w:rsidRDefault="001F4F2D">
      <w:pPr>
        <w:rPr>
          <w:rFonts w:ascii="Book Antiqua" w:hAnsi="Book Antiqua" w:cs="Book Antiqua"/>
        </w:rPr>
      </w:pPr>
      <w:r>
        <w:rPr>
          <w:rFonts w:ascii="Book Antiqua" w:hAnsi="Book Antiqua" w:cs="Book Antiqua"/>
        </w:rPr>
        <w:br w:type="page"/>
      </w:r>
    </w:p>
    <w:p w14:paraId="5974BFDE" w14:textId="77777777" w:rsidR="001F4F2D" w:rsidRPr="006D4EDA" w:rsidRDefault="001F4F2D" w:rsidP="001F4F2D">
      <w:pPr>
        <w:snapToGrid w:val="0"/>
        <w:ind w:leftChars="100" w:left="240"/>
        <w:jc w:val="center"/>
        <w:rPr>
          <w:rFonts w:ascii="Book Antiqua" w:hAnsi="Book Antiqua"/>
        </w:rPr>
      </w:pPr>
    </w:p>
    <w:p w14:paraId="6EF18F7F" w14:textId="77777777" w:rsidR="001F4F2D" w:rsidRPr="006D4EDA" w:rsidRDefault="001F4F2D" w:rsidP="001F4F2D">
      <w:pPr>
        <w:snapToGrid w:val="0"/>
        <w:ind w:leftChars="100" w:left="240"/>
        <w:jc w:val="center"/>
        <w:rPr>
          <w:rFonts w:ascii="Book Antiqua" w:hAnsi="Book Antiqua"/>
        </w:rPr>
      </w:pPr>
    </w:p>
    <w:p w14:paraId="441AF1E6" w14:textId="77777777" w:rsidR="001F4F2D" w:rsidRPr="006D4EDA" w:rsidRDefault="001F4F2D" w:rsidP="001F4F2D">
      <w:pPr>
        <w:snapToGrid w:val="0"/>
        <w:ind w:leftChars="100" w:left="240"/>
        <w:jc w:val="center"/>
        <w:rPr>
          <w:rFonts w:ascii="Book Antiqua" w:hAnsi="Book Antiqua"/>
        </w:rPr>
      </w:pPr>
    </w:p>
    <w:p w14:paraId="58BEDAA5" w14:textId="77777777" w:rsidR="001F4F2D" w:rsidRPr="006D4EDA" w:rsidRDefault="001F4F2D" w:rsidP="001F4F2D">
      <w:pPr>
        <w:snapToGrid w:val="0"/>
        <w:ind w:leftChars="100" w:left="240"/>
        <w:jc w:val="center"/>
        <w:rPr>
          <w:rFonts w:ascii="Book Antiqua" w:hAnsi="Book Antiqua"/>
        </w:rPr>
      </w:pPr>
    </w:p>
    <w:p w14:paraId="2CD6E0D5" w14:textId="77777777" w:rsidR="001F4F2D" w:rsidRPr="006D4EDA" w:rsidRDefault="001F4F2D" w:rsidP="001F4F2D">
      <w:pPr>
        <w:snapToGrid w:val="0"/>
        <w:ind w:leftChars="100" w:left="240"/>
        <w:jc w:val="center"/>
        <w:rPr>
          <w:rFonts w:ascii="Book Antiqua" w:hAnsi="Book Antiqua"/>
        </w:rPr>
      </w:pPr>
      <w:r w:rsidRPr="006D4EDA">
        <w:rPr>
          <w:rFonts w:ascii="Book Antiqua" w:hAnsi="Book Antiqua"/>
          <w:noProof/>
        </w:rPr>
        <w:drawing>
          <wp:inline distT="0" distB="0" distL="0" distR="0" wp14:anchorId="1BF66F48" wp14:editId="5817E2F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A7C0CA4" w14:textId="77777777" w:rsidR="001F4F2D" w:rsidRPr="006D4EDA" w:rsidRDefault="001F4F2D" w:rsidP="001F4F2D">
      <w:pPr>
        <w:snapToGrid w:val="0"/>
        <w:ind w:leftChars="100" w:left="240"/>
        <w:jc w:val="center"/>
        <w:rPr>
          <w:rFonts w:ascii="Book Antiqua" w:hAnsi="Book Antiqua"/>
        </w:rPr>
      </w:pPr>
    </w:p>
    <w:p w14:paraId="13FDD170" w14:textId="77777777" w:rsidR="001F4F2D" w:rsidRPr="006D4EDA" w:rsidRDefault="001F4F2D" w:rsidP="001F4F2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B5871B5" w14:textId="77777777" w:rsidR="001F4F2D" w:rsidRPr="006D4EDA" w:rsidRDefault="001F4F2D" w:rsidP="001F4F2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B0EF32F" w14:textId="77777777" w:rsidR="001F4F2D" w:rsidRPr="006D4EDA" w:rsidRDefault="001F4F2D" w:rsidP="001F4F2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7944862" w14:textId="77777777" w:rsidR="001F4F2D" w:rsidRPr="006D4EDA" w:rsidRDefault="001F4F2D" w:rsidP="001F4F2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3EA9D089" w14:textId="77777777" w:rsidR="001F4F2D" w:rsidRPr="006D4EDA" w:rsidRDefault="001F4F2D" w:rsidP="001F4F2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3B1F80E" w14:textId="77777777" w:rsidR="001F4F2D" w:rsidRPr="006D4EDA" w:rsidRDefault="001F4F2D" w:rsidP="001F4F2D">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D85F439" w14:textId="77777777" w:rsidR="001F4F2D" w:rsidRPr="006D4EDA" w:rsidRDefault="001F4F2D" w:rsidP="001F4F2D">
      <w:pPr>
        <w:snapToGrid w:val="0"/>
        <w:ind w:leftChars="100" w:left="240"/>
        <w:jc w:val="center"/>
        <w:rPr>
          <w:rFonts w:ascii="Book Antiqua" w:hAnsi="Book Antiqua"/>
        </w:rPr>
      </w:pPr>
    </w:p>
    <w:p w14:paraId="06F6FEF6" w14:textId="77777777" w:rsidR="001F4F2D" w:rsidRPr="006D4EDA" w:rsidRDefault="001F4F2D" w:rsidP="001F4F2D">
      <w:pPr>
        <w:snapToGrid w:val="0"/>
        <w:ind w:leftChars="100" w:left="240"/>
        <w:jc w:val="center"/>
        <w:rPr>
          <w:rFonts w:ascii="Book Antiqua" w:hAnsi="Book Antiqua"/>
        </w:rPr>
      </w:pPr>
    </w:p>
    <w:p w14:paraId="4C9FC516" w14:textId="77777777" w:rsidR="001F4F2D" w:rsidRPr="006D4EDA" w:rsidRDefault="001F4F2D" w:rsidP="001F4F2D">
      <w:pPr>
        <w:snapToGrid w:val="0"/>
        <w:ind w:leftChars="100" w:left="240"/>
        <w:jc w:val="center"/>
        <w:rPr>
          <w:rFonts w:ascii="Book Antiqua" w:hAnsi="Book Antiqua"/>
        </w:rPr>
      </w:pPr>
    </w:p>
    <w:p w14:paraId="2858ACCB" w14:textId="77777777" w:rsidR="001F4F2D" w:rsidRPr="006D4EDA" w:rsidRDefault="001F4F2D" w:rsidP="001F4F2D">
      <w:pPr>
        <w:snapToGrid w:val="0"/>
        <w:ind w:leftChars="100" w:left="240"/>
        <w:jc w:val="center"/>
        <w:rPr>
          <w:rFonts w:ascii="Book Antiqua" w:hAnsi="Book Antiqua"/>
        </w:rPr>
      </w:pPr>
      <w:r w:rsidRPr="006D4EDA">
        <w:rPr>
          <w:rFonts w:ascii="Book Antiqua" w:hAnsi="Book Antiqua"/>
          <w:noProof/>
        </w:rPr>
        <w:drawing>
          <wp:inline distT="0" distB="0" distL="0" distR="0" wp14:anchorId="276BE8D7" wp14:editId="71D04D4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CE9AC61" w14:textId="77777777" w:rsidR="001F4F2D" w:rsidRPr="006D4EDA" w:rsidRDefault="001F4F2D" w:rsidP="001F4F2D">
      <w:pPr>
        <w:snapToGrid w:val="0"/>
        <w:ind w:leftChars="100" w:left="240"/>
        <w:jc w:val="center"/>
        <w:rPr>
          <w:rFonts w:ascii="Book Antiqua" w:hAnsi="Book Antiqua"/>
        </w:rPr>
      </w:pPr>
    </w:p>
    <w:p w14:paraId="5B86EDC3" w14:textId="77777777" w:rsidR="001F4F2D" w:rsidRPr="006D4EDA" w:rsidRDefault="001F4F2D" w:rsidP="001F4F2D">
      <w:pPr>
        <w:snapToGrid w:val="0"/>
        <w:ind w:leftChars="100" w:left="240"/>
        <w:jc w:val="center"/>
        <w:rPr>
          <w:rFonts w:ascii="Book Antiqua" w:hAnsi="Book Antiqua"/>
        </w:rPr>
      </w:pPr>
    </w:p>
    <w:p w14:paraId="625C3AAA" w14:textId="77777777" w:rsidR="001F4F2D" w:rsidRPr="006D4EDA" w:rsidRDefault="001F4F2D" w:rsidP="001F4F2D">
      <w:pPr>
        <w:snapToGrid w:val="0"/>
        <w:ind w:leftChars="100" w:left="240"/>
        <w:jc w:val="center"/>
        <w:rPr>
          <w:rFonts w:ascii="Book Antiqua" w:hAnsi="Book Antiqua"/>
        </w:rPr>
      </w:pPr>
    </w:p>
    <w:p w14:paraId="07436A05" w14:textId="77777777" w:rsidR="001F4F2D" w:rsidRPr="006D4EDA" w:rsidRDefault="001F4F2D" w:rsidP="001F4F2D">
      <w:pPr>
        <w:snapToGrid w:val="0"/>
        <w:ind w:leftChars="100" w:left="240"/>
        <w:jc w:val="center"/>
        <w:rPr>
          <w:rFonts w:ascii="Book Antiqua" w:hAnsi="Book Antiqua"/>
        </w:rPr>
      </w:pPr>
    </w:p>
    <w:p w14:paraId="404708A0" w14:textId="77777777" w:rsidR="001F4F2D" w:rsidRPr="006D4EDA" w:rsidRDefault="001F4F2D" w:rsidP="001F4F2D">
      <w:pPr>
        <w:snapToGrid w:val="0"/>
        <w:ind w:leftChars="100" w:left="240"/>
        <w:jc w:val="center"/>
        <w:rPr>
          <w:rFonts w:ascii="Book Antiqua" w:hAnsi="Book Antiqua"/>
        </w:rPr>
      </w:pPr>
    </w:p>
    <w:p w14:paraId="0022AE8E" w14:textId="77777777" w:rsidR="001F4F2D" w:rsidRPr="006D4EDA" w:rsidRDefault="001F4F2D" w:rsidP="001F4F2D">
      <w:pPr>
        <w:snapToGrid w:val="0"/>
        <w:ind w:leftChars="100" w:left="240"/>
        <w:jc w:val="center"/>
        <w:rPr>
          <w:rFonts w:ascii="Book Antiqua" w:hAnsi="Book Antiqua"/>
        </w:rPr>
      </w:pPr>
    </w:p>
    <w:p w14:paraId="4D8F3B8D" w14:textId="77777777" w:rsidR="001F4F2D" w:rsidRPr="006D4EDA" w:rsidRDefault="001F4F2D" w:rsidP="001F4F2D">
      <w:pPr>
        <w:snapToGrid w:val="0"/>
        <w:ind w:leftChars="100" w:left="240"/>
        <w:jc w:val="center"/>
        <w:rPr>
          <w:rFonts w:ascii="Book Antiqua" w:hAnsi="Book Antiqua"/>
        </w:rPr>
      </w:pPr>
    </w:p>
    <w:p w14:paraId="0AEC7262" w14:textId="77777777" w:rsidR="001F4F2D" w:rsidRPr="006D4EDA" w:rsidRDefault="001F4F2D" w:rsidP="001F4F2D">
      <w:pPr>
        <w:snapToGrid w:val="0"/>
        <w:ind w:leftChars="100" w:left="240"/>
        <w:jc w:val="center"/>
        <w:rPr>
          <w:rFonts w:ascii="Book Antiqua" w:hAnsi="Book Antiqua"/>
        </w:rPr>
      </w:pPr>
    </w:p>
    <w:p w14:paraId="2BECD984" w14:textId="77777777" w:rsidR="001F4F2D" w:rsidRPr="006D4EDA" w:rsidRDefault="001F4F2D" w:rsidP="001F4F2D">
      <w:pPr>
        <w:snapToGrid w:val="0"/>
        <w:ind w:leftChars="100" w:left="240"/>
        <w:jc w:val="center"/>
        <w:rPr>
          <w:rFonts w:ascii="Book Antiqua" w:hAnsi="Book Antiqua"/>
        </w:rPr>
      </w:pPr>
    </w:p>
    <w:p w14:paraId="38617478" w14:textId="77777777" w:rsidR="001F4F2D" w:rsidRPr="006D4EDA" w:rsidRDefault="001F4F2D" w:rsidP="001F4F2D">
      <w:pPr>
        <w:snapToGrid w:val="0"/>
        <w:ind w:leftChars="100" w:left="240"/>
        <w:jc w:val="right"/>
        <w:rPr>
          <w:rFonts w:ascii="Book Antiqua" w:hAnsi="Book Antiqua"/>
          <w:color w:val="000000" w:themeColor="text1"/>
        </w:rPr>
      </w:pPr>
    </w:p>
    <w:p w14:paraId="0DBDFF6E" w14:textId="77777777" w:rsidR="001F4F2D" w:rsidRPr="006D4EDA" w:rsidRDefault="001F4F2D" w:rsidP="001F4F2D">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4CFCDEA6" w14:textId="77777777" w:rsidR="001F4F2D" w:rsidRPr="006D4EDA" w:rsidRDefault="001F4F2D" w:rsidP="001F4F2D">
      <w:pPr>
        <w:rPr>
          <w:rFonts w:ascii="Book Antiqua" w:hAnsi="Book Antiqua" w:cs="Book Antiqua"/>
          <w:b/>
          <w:bCs/>
          <w:color w:val="000000"/>
        </w:rPr>
      </w:pPr>
    </w:p>
    <w:p w14:paraId="7FE7B6C3" w14:textId="77777777" w:rsidR="001F4F2D" w:rsidRDefault="001F4F2D">
      <w:pPr>
        <w:adjustRightInd w:val="0"/>
        <w:snapToGrid w:val="0"/>
        <w:spacing w:line="360" w:lineRule="auto"/>
        <w:jc w:val="both"/>
        <w:rPr>
          <w:rFonts w:ascii="Book Antiqua" w:hAnsi="Book Antiqua" w:cs="Book Antiqua"/>
        </w:rPr>
      </w:pPr>
    </w:p>
    <w:sectPr w:rsidR="001F4F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A310D" w14:textId="77777777" w:rsidR="001E197B" w:rsidRDefault="001E197B">
      <w:r>
        <w:separator/>
      </w:r>
    </w:p>
  </w:endnote>
  <w:endnote w:type="continuationSeparator" w:id="0">
    <w:p w14:paraId="7B9EEF8B" w14:textId="77777777" w:rsidR="001E197B" w:rsidRDefault="001E1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宋体-简">
    <w:altName w:val="宋体"/>
    <w:charset w:val="86"/>
    <w:family w:val="auto"/>
    <w:pitch w:val="default"/>
    <w:sig w:usb0="00000000" w:usb1="00000000" w:usb2="00000010" w:usb3="00000000" w:csb0="0004009F" w:csb1="00000000"/>
  </w:font>
  <w:font w:name="Times New Roman (正文 CS 字体)">
    <w:altName w:val="宋体"/>
    <w:charset w:val="86"/>
    <w:family w:val="roman"/>
    <w:pitch w:val="default"/>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99409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6F4351EF" w14:textId="77777777" w:rsidR="0003522D"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04AB33D7" w14:textId="77777777" w:rsidR="0003522D" w:rsidRDefault="0003522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BD777" w14:textId="77777777" w:rsidR="001E197B" w:rsidRDefault="001E197B">
      <w:r>
        <w:separator/>
      </w:r>
    </w:p>
  </w:footnote>
  <w:footnote w:type="continuationSeparator" w:id="0">
    <w:p w14:paraId="6CFDEE7C" w14:textId="77777777" w:rsidR="001E197B" w:rsidRDefault="001E19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I0YmYwNThkMDU0NGM4YzgwN2IzNzNkMWVhNWM3NjMifQ=="/>
  </w:docVars>
  <w:rsids>
    <w:rsidRoot w:val="00A77B3E"/>
    <w:rsid w:val="00010E83"/>
    <w:rsid w:val="0003522D"/>
    <w:rsid w:val="00036C4C"/>
    <w:rsid w:val="00075FFC"/>
    <w:rsid w:val="000C1E89"/>
    <w:rsid w:val="00100465"/>
    <w:rsid w:val="00105594"/>
    <w:rsid w:val="00106CF5"/>
    <w:rsid w:val="00163A9E"/>
    <w:rsid w:val="001C381B"/>
    <w:rsid w:val="001E197B"/>
    <w:rsid w:val="001F4F2D"/>
    <w:rsid w:val="00236ABD"/>
    <w:rsid w:val="00241A2E"/>
    <w:rsid w:val="0028334C"/>
    <w:rsid w:val="002869E9"/>
    <w:rsid w:val="002A4662"/>
    <w:rsid w:val="002B1127"/>
    <w:rsid w:val="002D2F96"/>
    <w:rsid w:val="002E36D9"/>
    <w:rsid w:val="002F56A4"/>
    <w:rsid w:val="002F75AE"/>
    <w:rsid w:val="003000F6"/>
    <w:rsid w:val="00300FEC"/>
    <w:rsid w:val="00340865"/>
    <w:rsid w:val="00356F95"/>
    <w:rsid w:val="00363864"/>
    <w:rsid w:val="00367FBA"/>
    <w:rsid w:val="00396E24"/>
    <w:rsid w:val="003A2D60"/>
    <w:rsid w:val="003E6A2F"/>
    <w:rsid w:val="00405EE4"/>
    <w:rsid w:val="00436A02"/>
    <w:rsid w:val="004A5040"/>
    <w:rsid w:val="004B5C87"/>
    <w:rsid w:val="004C0F22"/>
    <w:rsid w:val="004C16F1"/>
    <w:rsid w:val="004F1807"/>
    <w:rsid w:val="004F67E9"/>
    <w:rsid w:val="005106AF"/>
    <w:rsid w:val="00573115"/>
    <w:rsid w:val="005929EE"/>
    <w:rsid w:val="005D29FE"/>
    <w:rsid w:val="00607823"/>
    <w:rsid w:val="00621FD3"/>
    <w:rsid w:val="00630D47"/>
    <w:rsid w:val="00641CFF"/>
    <w:rsid w:val="0064269F"/>
    <w:rsid w:val="006659FC"/>
    <w:rsid w:val="00673AB6"/>
    <w:rsid w:val="00680905"/>
    <w:rsid w:val="006C43CB"/>
    <w:rsid w:val="006D2EFA"/>
    <w:rsid w:val="00732A8D"/>
    <w:rsid w:val="00744E44"/>
    <w:rsid w:val="00751B33"/>
    <w:rsid w:val="0075629A"/>
    <w:rsid w:val="007942BF"/>
    <w:rsid w:val="007A14B6"/>
    <w:rsid w:val="007D3692"/>
    <w:rsid w:val="007D62AA"/>
    <w:rsid w:val="008535D6"/>
    <w:rsid w:val="0085410E"/>
    <w:rsid w:val="00864829"/>
    <w:rsid w:val="00873AE4"/>
    <w:rsid w:val="008C6762"/>
    <w:rsid w:val="008D4351"/>
    <w:rsid w:val="0090715D"/>
    <w:rsid w:val="009217C4"/>
    <w:rsid w:val="00927FC4"/>
    <w:rsid w:val="00941238"/>
    <w:rsid w:val="009811B6"/>
    <w:rsid w:val="009C7FB8"/>
    <w:rsid w:val="009F6B9A"/>
    <w:rsid w:val="00A6267E"/>
    <w:rsid w:val="00A7141C"/>
    <w:rsid w:val="00A77B3E"/>
    <w:rsid w:val="00A86116"/>
    <w:rsid w:val="00AE78E3"/>
    <w:rsid w:val="00AF1FBA"/>
    <w:rsid w:val="00AF5D82"/>
    <w:rsid w:val="00B01D31"/>
    <w:rsid w:val="00B1398F"/>
    <w:rsid w:val="00B1510E"/>
    <w:rsid w:val="00B46C9C"/>
    <w:rsid w:val="00B64B07"/>
    <w:rsid w:val="00B7699C"/>
    <w:rsid w:val="00B95EAB"/>
    <w:rsid w:val="00BB734F"/>
    <w:rsid w:val="00C109B5"/>
    <w:rsid w:val="00C25FAF"/>
    <w:rsid w:val="00C32CD3"/>
    <w:rsid w:val="00C43665"/>
    <w:rsid w:val="00C53619"/>
    <w:rsid w:val="00C6741A"/>
    <w:rsid w:val="00C947A6"/>
    <w:rsid w:val="00CA2A55"/>
    <w:rsid w:val="00CB086D"/>
    <w:rsid w:val="00CE710E"/>
    <w:rsid w:val="00D15219"/>
    <w:rsid w:val="00DA631A"/>
    <w:rsid w:val="00DF73C5"/>
    <w:rsid w:val="00E12FC8"/>
    <w:rsid w:val="00E3031C"/>
    <w:rsid w:val="00E32972"/>
    <w:rsid w:val="00E353A5"/>
    <w:rsid w:val="00E47760"/>
    <w:rsid w:val="00E619D5"/>
    <w:rsid w:val="00E71C65"/>
    <w:rsid w:val="00E728E7"/>
    <w:rsid w:val="00E80585"/>
    <w:rsid w:val="00E84B55"/>
    <w:rsid w:val="00EA622E"/>
    <w:rsid w:val="00EC1112"/>
    <w:rsid w:val="00EC288A"/>
    <w:rsid w:val="00ED6A56"/>
    <w:rsid w:val="00F10F73"/>
    <w:rsid w:val="00F20437"/>
    <w:rsid w:val="00F41072"/>
    <w:rsid w:val="00F576F3"/>
    <w:rsid w:val="00FE42F4"/>
    <w:rsid w:val="0F8B2784"/>
    <w:rsid w:val="208F03B0"/>
    <w:rsid w:val="220D0DEE"/>
    <w:rsid w:val="23896D3E"/>
    <w:rsid w:val="308B3622"/>
    <w:rsid w:val="3C7B263C"/>
    <w:rsid w:val="444B5085"/>
    <w:rsid w:val="4D0C7C0A"/>
    <w:rsid w:val="5108316E"/>
    <w:rsid w:val="563A4F47"/>
    <w:rsid w:val="66275772"/>
    <w:rsid w:val="7A2B14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50A96F"/>
  <w15:docId w15:val="{C2AFF59A-DC4B-4885-B530-46C4FFACF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tyle>
  <w:style w:type="paragraph" w:styleId="a5">
    <w:name w:val="Balloon Text"/>
    <w:basedOn w:val="a"/>
    <w:link w:val="a6"/>
    <w:rPr>
      <w:rFonts w:ascii="宋体" w:eastAsia="宋体"/>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table" w:styleId="ad">
    <w:name w:val="Table Grid"/>
    <w:basedOn w:val="a1"/>
    <w:uiPriority w:val="39"/>
    <w:qFormat/>
    <w:rPr>
      <w:rFonts w:eastAsia="宋体-简" w:cs="Times New Roman (正文 CS 字体)"/>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qFormat/>
    <w:rPr>
      <w:color w:val="0000FF" w:themeColor="hyperlink"/>
      <w:u w:val="single"/>
    </w:rPr>
  </w:style>
  <w:style w:type="character" w:styleId="af">
    <w:name w:val="annotation reference"/>
    <w:basedOn w:val="a0"/>
    <w:uiPriority w:val="99"/>
    <w:qFormat/>
    <w:rPr>
      <w:sz w:val="21"/>
      <w:szCs w:val="21"/>
    </w:rPr>
  </w:style>
  <w:style w:type="character" w:customStyle="1" w:styleId="a4">
    <w:name w:val="批注文字 字符"/>
    <w:basedOn w:val="a0"/>
    <w:link w:val="a3"/>
    <w:uiPriority w:val="99"/>
    <w:qFormat/>
    <w:rPr>
      <w:sz w:val="24"/>
      <w:szCs w:val="24"/>
    </w:rPr>
  </w:style>
  <w:style w:type="character" w:customStyle="1" w:styleId="ac">
    <w:name w:val="批注主题 字符"/>
    <w:basedOn w:val="a4"/>
    <w:link w:val="ab"/>
    <w:qFormat/>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1">
    <w:name w:val="未处理的提及1"/>
    <w:basedOn w:val="a0"/>
    <w:uiPriority w:val="99"/>
    <w:semiHidden/>
    <w:unhideWhenUsed/>
    <w:qFormat/>
    <w:rPr>
      <w:color w:val="605E5C"/>
      <w:shd w:val="clear" w:color="auto" w:fill="E1DFDD"/>
    </w:rPr>
  </w:style>
  <w:style w:type="paragraph" w:customStyle="1" w:styleId="10">
    <w:name w:val="修订1"/>
    <w:hidden/>
    <w:uiPriority w:val="99"/>
    <w:semiHidden/>
    <w:qFormat/>
    <w:rPr>
      <w:sz w:val="24"/>
      <w:szCs w:val="24"/>
      <w:lang w:eastAsia="en-US"/>
    </w:rPr>
  </w:style>
  <w:style w:type="character" w:customStyle="1" w:styleId="a6">
    <w:name w:val="批注框文本 字符"/>
    <w:basedOn w:val="a0"/>
    <w:link w:val="a5"/>
    <w:qFormat/>
    <w:rPr>
      <w:rFonts w:ascii="宋体" w:eastAsia="宋体"/>
      <w:sz w:val="18"/>
      <w:szCs w:val="18"/>
    </w:rPr>
  </w:style>
  <w:style w:type="paragraph" w:styleId="af0">
    <w:name w:val="Revision"/>
    <w:hidden/>
    <w:uiPriority w:val="99"/>
    <w:unhideWhenUsed/>
    <w:rsid w:val="000C1E8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ci-hub.se/10.2106/00004623-200409000-00009"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29</Pages>
  <Words>5656</Words>
  <Characters>32243</Characters>
  <Application>Microsoft Office Word</Application>
  <DocSecurity>0</DocSecurity>
  <Lines>268</Lines>
  <Paragraphs>75</Paragraphs>
  <ScaleCrop>false</ScaleCrop>
  <Company/>
  <LinksUpToDate>false</LinksUpToDate>
  <CharactersWithSpaces>37824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 </cp:lastModifiedBy>
  <cp:revision>22</cp:revision>
  <dcterms:created xsi:type="dcterms:W3CDTF">2023-08-25T07:34:00Z</dcterms:created>
  <dcterms:modified xsi:type="dcterms:W3CDTF">2023-09-21T08:22:00Z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C8BF9AF0E37F4272A7AB9D1958F26735_13</vt:lpwstr>
  </property>
</Properties>
</file>