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D276C"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t xml:space="preserve">Name of Journal: </w:t>
      </w:r>
      <w:r w:rsidRPr="00B6332B">
        <w:rPr>
          <w:rFonts w:ascii="Book Antiqua" w:eastAsia="Book Antiqua" w:hAnsi="Book Antiqua" w:cs="Book Antiqua"/>
          <w:i/>
          <w:color w:val="000000" w:themeColor="text1"/>
        </w:rPr>
        <w:t>World Journal of Clinical Oncology</w:t>
      </w:r>
    </w:p>
    <w:p w14:paraId="475E515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t xml:space="preserve">Manuscript NO: </w:t>
      </w:r>
      <w:r w:rsidRPr="00B6332B">
        <w:rPr>
          <w:rFonts w:ascii="Book Antiqua" w:eastAsia="Book Antiqua" w:hAnsi="Book Antiqua" w:cs="Book Antiqua"/>
          <w:color w:val="000000" w:themeColor="text1"/>
        </w:rPr>
        <w:t>87227</w:t>
      </w:r>
    </w:p>
    <w:p w14:paraId="08647C0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t xml:space="preserve">Manuscript Type: </w:t>
      </w:r>
      <w:r w:rsidRPr="00B6332B">
        <w:rPr>
          <w:rFonts w:ascii="Book Antiqua" w:eastAsia="Book Antiqua" w:hAnsi="Book Antiqua" w:cs="Book Antiqua"/>
          <w:color w:val="000000" w:themeColor="text1"/>
        </w:rPr>
        <w:t>ORIGINAL ARTICLE</w:t>
      </w:r>
    </w:p>
    <w:p w14:paraId="11F6320B"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CEA974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i/>
          <w:color w:val="000000" w:themeColor="text1"/>
        </w:rPr>
        <w:t>Basic Study</w:t>
      </w:r>
    </w:p>
    <w:p w14:paraId="3EB9687D" w14:textId="77777777" w:rsidR="00E724E0" w:rsidRPr="00B6332B" w:rsidRDefault="00000000">
      <w:pPr>
        <w:adjustRightInd w:val="0"/>
        <w:snapToGrid w:val="0"/>
        <w:spacing w:line="360" w:lineRule="auto"/>
        <w:jc w:val="both"/>
        <w:rPr>
          <w:rFonts w:ascii="Book Antiqua" w:eastAsia="Book Antiqua" w:hAnsi="Book Antiqua" w:cs="Book Antiqua"/>
          <w:b/>
          <w:color w:val="000000" w:themeColor="text1"/>
        </w:rPr>
      </w:pPr>
      <w:r w:rsidRPr="00B6332B">
        <w:rPr>
          <w:rFonts w:ascii="Book Antiqua" w:eastAsia="Book Antiqua" w:hAnsi="Book Antiqua" w:cs="Book Antiqua"/>
          <w:b/>
          <w:color w:val="000000" w:themeColor="text1"/>
        </w:rPr>
        <w:t xml:space="preserve">Comprehensive analysis of </w:t>
      </w:r>
      <w:bookmarkStart w:id="0" w:name="OLE_LINK1"/>
      <w:r w:rsidRPr="00B6332B">
        <w:rPr>
          <w:rFonts w:ascii="Book Antiqua" w:eastAsia="Book Antiqua" w:hAnsi="Book Antiqua" w:cs="Book Antiqua"/>
          <w:b/>
          <w:color w:val="000000" w:themeColor="text1"/>
        </w:rPr>
        <w:t>disulfidptosis related genes</w:t>
      </w:r>
      <w:bookmarkEnd w:id="0"/>
      <w:r w:rsidRPr="00B6332B">
        <w:rPr>
          <w:rFonts w:ascii="Book Antiqua" w:eastAsia="Book Antiqua" w:hAnsi="Book Antiqua" w:cs="Book Antiqua"/>
          <w:b/>
          <w:color w:val="000000" w:themeColor="text1"/>
        </w:rPr>
        <w:t xml:space="preserve"> and prognosis of gastric cancer</w:t>
      </w:r>
    </w:p>
    <w:p w14:paraId="69EA4F03"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5CE60A7E" w14:textId="77777777" w:rsidR="00E724E0" w:rsidRPr="00B6332B" w:rsidRDefault="00000000">
      <w:pPr>
        <w:adjustRightInd w:val="0"/>
        <w:snapToGrid w:val="0"/>
        <w:spacing w:line="360" w:lineRule="auto"/>
        <w:jc w:val="both"/>
        <w:rPr>
          <w:rFonts w:ascii="Book Antiqua" w:eastAsia="宋体" w:hAnsi="Book Antiqua" w:cs="Book Antiqua"/>
          <w:color w:val="000000" w:themeColor="text1"/>
          <w:lang w:eastAsia="zh-CN"/>
        </w:rPr>
      </w:pPr>
      <w:r w:rsidRPr="00B6332B">
        <w:rPr>
          <w:rFonts w:ascii="Book Antiqua" w:eastAsia="Book Antiqua" w:hAnsi="Book Antiqua" w:cs="Book Antiqua"/>
          <w:color w:val="000000" w:themeColor="text1"/>
        </w:rPr>
        <w:t>Li</w:t>
      </w:r>
      <w:r w:rsidRPr="00B6332B">
        <w:rPr>
          <w:rFonts w:ascii="Book Antiqua" w:eastAsia="宋体" w:hAnsi="Book Antiqua" w:cs="Book Antiqua" w:hint="eastAsia"/>
          <w:color w:val="000000" w:themeColor="text1"/>
          <w:lang w:eastAsia="zh-CN"/>
        </w:rPr>
        <w:t xml:space="preserve"> Q </w:t>
      </w:r>
      <w:r w:rsidRPr="00B6332B">
        <w:rPr>
          <w:rFonts w:ascii="Book Antiqua" w:eastAsia="宋体" w:hAnsi="Book Antiqua" w:cs="Book Antiqua" w:hint="eastAsia"/>
          <w:i/>
          <w:iCs/>
          <w:color w:val="000000" w:themeColor="text1"/>
          <w:lang w:eastAsia="zh-CN"/>
        </w:rPr>
        <w:t>et al</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Relationship between </w:t>
      </w:r>
      <w:r w:rsidRPr="00B6332B">
        <w:rPr>
          <w:rFonts w:ascii="Book Antiqua" w:eastAsia="宋体" w:hAnsi="Book Antiqua" w:cs="Book Antiqua"/>
          <w:color w:val="000000" w:themeColor="text1"/>
          <w:lang w:eastAsia="zh-CN"/>
        </w:rPr>
        <w:t>DRGs</w:t>
      </w:r>
      <w:r w:rsidRPr="00B6332B">
        <w:rPr>
          <w:rFonts w:ascii="Book Antiqua" w:eastAsia="Book Antiqua" w:hAnsi="Book Antiqua" w:cs="Book Antiqua"/>
          <w:color w:val="000000" w:themeColor="text1"/>
        </w:rPr>
        <w:t xml:space="preserve"> and </w:t>
      </w:r>
      <w:r w:rsidRPr="00B6332B">
        <w:rPr>
          <w:rFonts w:ascii="Book Antiqua" w:eastAsia="宋体" w:hAnsi="Book Antiqua" w:cs="Book Antiqua"/>
          <w:color w:val="000000" w:themeColor="text1"/>
          <w:lang w:eastAsia="zh-CN"/>
        </w:rPr>
        <w:t>GC</w:t>
      </w:r>
    </w:p>
    <w:p w14:paraId="002D6CE7" w14:textId="77777777" w:rsidR="00E724E0" w:rsidRPr="00B6332B" w:rsidRDefault="00E724E0">
      <w:pPr>
        <w:adjustRightInd w:val="0"/>
        <w:snapToGrid w:val="0"/>
        <w:spacing w:line="360" w:lineRule="auto"/>
        <w:jc w:val="both"/>
        <w:rPr>
          <w:rFonts w:ascii="Book Antiqua" w:eastAsia="宋体" w:hAnsi="Book Antiqua" w:cs="Book Antiqua"/>
          <w:color w:val="000000" w:themeColor="text1"/>
          <w:lang w:eastAsia="zh-CN"/>
        </w:rPr>
      </w:pPr>
    </w:p>
    <w:p w14:paraId="69B7875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Qian Li, Long-Kuan Yin</w:t>
      </w:r>
    </w:p>
    <w:p w14:paraId="40CF57D7" w14:textId="77777777" w:rsidR="00E724E0" w:rsidRDefault="00E724E0">
      <w:pPr>
        <w:adjustRightInd w:val="0"/>
        <w:snapToGrid w:val="0"/>
        <w:spacing w:line="360" w:lineRule="auto"/>
        <w:jc w:val="both"/>
        <w:rPr>
          <w:rFonts w:ascii="Book Antiqua" w:hAnsi="Book Antiqua" w:cs="Book Antiqua"/>
          <w:color w:val="000000" w:themeColor="text1"/>
        </w:rPr>
      </w:pPr>
    </w:p>
    <w:p w14:paraId="47A6546C" w14:textId="77777777" w:rsidR="006E1CA8" w:rsidRPr="00B6332B" w:rsidRDefault="006E1CA8" w:rsidP="006E1CA8">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 xml:space="preserve">Qian Li, </w:t>
      </w:r>
      <w:r w:rsidRPr="00B6332B">
        <w:rPr>
          <w:rFonts w:ascii="Book Antiqua" w:eastAsia="Book Antiqua" w:hAnsi="Book Antiqua" w:cs="Book Antiqua"/>
          <w:color w:val="000000" w:themeColor="text1"/>
        </w:rPr>
        <w:t>Department of Oncology, Fushun Hospital of Traditional Chinese Medicine, Zigong 643200, Sichuan Province, China</w:t>
      </w:r>
    </w:p>
    <w:p w14:paraId="14F64AF5" w14:textId="77777777" w:rsidR="006E1CA8" w:rsidRPr="00B6332B" w:rsidRDefault="006E1CA8">
      <w:pPr>
        <w:adjustRightInd w:val="0"/>
        <w:snapToGrid w:val="0"/>
        <w:spacing w:line="360" w:lineRule="auto"/>
        <w:jc w:val="both"/>
        <w:rPr>
          <w:rFonts w:ascii="Book Antiqua" w:hAnsi="Book Antiqua" w:cs="Book Antiqua"/>
          <w:color w:val="000000" w:themeColor="text1"/>
        </w:rPr>
      </w:pPr>
    </w:p>
    <w:p w14:paraId="6D69AF6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 xml:space="preserve">Long-Kuan Yin, </w:t>
      </w:r>
      <w:r w:rsidRPr="00B6332B">
        <w:rPr>
          <w:rFonts w:ascii="Book Antiqua" w:eastAsia="宋体" w:hAnsi="Book Antiqua" w:cs="Book Antiqua" w:hint="eastAsia"/>
          <w:color w:val="000000" w:themeColor="text1"/>
          <w:lang w:eastAsia="zh-CN"/>
        </w:rPr>
        <w:t>D</w:t>
      </w:r>
      <w:r w:rsidRPr="00B6332B">
        <w:rPr>
          <w:rFonts w:ascii="Book Antiqua" w:eastAsia="Book Antiqua" w:hAnsi="Book Antiqua" w:cs="Book Antiqua"/>
          <w:color w:val="000000" w:themeColor="text1"/>
        </w:rPr>
        <w:t xml:space="preserve">epartment of Gastrointestinal </w:t>
      </w:r>
      <w:r w:rsidRPr="00B6332B">
        <w:rPr>
          <w:rFonts w:ascii="Book Antiqua" w:eastAsia="宋体" w:hAnsi="Book Antiqua" w:cs="Book Antiqua" w:hint="eastAsia"/>
          <w:color w:val="000000" w:themeColor="text1"/>
          <w:lang w:eastAsia="zh-CN"/>
        </w:rPr>
        <w:t>S</w:t>
      </w:r>
      <w:r w:rsidRPr="00B6332B">
        <w:rPr>
          <w:rFonts w:ascii="Book Antiqua" w:eastAsia="Book Antiqua" w:hAnsi="Book Antiqua" w:cs="Book Antiqua"/>
          <w:color w:val="000000" w:themeColor="text1"/>
        </w:rPr>
        <w:t>urgery, Fushun People</w:t>
      </w:r>
      <w:r w:rsidRPr="00B6332B">
        <w:rPr>
          <w:rFonts w:ascii="Book Antiqua" w:eastAsia="宋体" w:hAnsi="Book Antiqua" w:cs="Book Antiqua"/>
          <w:color w:val="000000" w:themeColor="text1"/>
          <w:lang w:eastAsia="zh-CN"/>
        </w:rPr>
        <w:t>’</w:t>
      </w:r>
      <w:r w:rsidRPr="00B6332B">
        <w:rPr>
          <w:rFonts w:ascii="Book Antiqua" w:eastAsia="Book Antiqua" w:hAnsi="Book Antiqua" w:cs="Book Antiqua"/>
          <w:color w:val="000000" w:themeColor="text1"/>
        </w:rPr>
        <w:t>s Hospital, Zigong 643200, Sichuan Province, China</w:t>
      </w:r>
    </w:p>
    <w:p w14:paraId="1A29B929"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DB1285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 xml:space="preserve">Author contributions: </w:t>
      </w:r>
      <w:r w:rsidRPr="00B6332B">
        <w:rPr>
          <w:rFonts w:ascii="Book Antiqua" w:eastAsia="Book Antiqua" w:hAnsi="Book Antiqua" w:cs="Book Antiqua"/>
          <w:color w:val="000000" w:themeColor="text1"/>
        </w:rPr>
        <w:t>Li</w:t>
      </w:r>
      <w:r w:rsidRPr="00B6332B">
        <w:rPr>
          <w:rFonts w:ascii="Book Antiqua" w:eastAsia="宋体" w:hAnsi="Book Antiqua" w:cs="Book Antiqua" w:hint="eastAsia"/>
          <w:color w:val="000000" w:themeColor="text1"/>
          <w:lang w:eastAsia="zh-CN"/>
        </w:rPr>
        <w:t xml:space="preserve"> Q</w:t>
      </w:r>
      <w:r w:rsidRPr="00B6332B">
        <w:rPr>
          <w:rFonts w:ascii="Book Antiqua" w:eastAsia="宋体" w:hAnsi="Book Antiqua" w:cs="Book Antiqua" w:hint="eastAsia"/>
          <w:b/>
          <w:bCs/>
          <w:color w:val="000000" w:themeColor="text1"/>
          <w:lang w:eastAsia="zh-CN"/>
        </w:rPr>
        <w:t xml:space="preserve"> </w:t>
      </w:r>
      <w:r w:rsidRPr="00B6332B">
        <w:rPr>
          <w:rFonts w:ascii="Book Antiqua" w:eastAsia="Book Antiqua" w:hAnsi="Book Antiqua" w:cs="Book Antiqua"/>
          <w:color w:val="000000" w:themeColor="text1"/>
        </w:rPr>
        <w:t>contributed to this work</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 xml:space="preserve"> Yin LK</w:t>
      </w:r>
      <w:r w:rsidRPr="00B6332B">
        <w:rPr>
          <w:rFonts w:ascii="Book Antiqua" w:eastAsia="宋体" w:hAnsi="Book Antiqua" w:cs="Book Antiqua" w:hint="eastAsia"/>
          <w:color w:val="000000" w:themeColor="text1"/>
          <w:lang w:eastAsia="zh-CN"/>
        </w:rPr>
        <w:t xml:space="preserve"> and</w:t>
      </w:r>
      <w:r w:rsidRPr="00B6332B">
        <w:rPr>
          <w:rFonts w:ascii="Book Antiqua" w:eastAsia="Book Antiqua" w:hAnsi="Book Antiqua" w:cs="Book Antiqua"/>
          <w:b/>
          <w:bCs/>
          <w:color w:val="000000" w:themeColor="text1"/>
        </w:rPr>
        <w:t xml:space="preserve"> </w:t>
      </w:r>
      <w:r w:rsidRPr="00B6332B">
        <w:rPr>
          <w:rFonts w:ascii="Book Antiqua" w:eastAsia="Book Antiqua" w:hAnsi="Book Antiqua" w:cs="Book Antiqua"/>
          <w:color w:val="000000" w:themeColor="text1"/>
        </w:rPr>
        <w:t>Li</w:t>
      </w:r>
      <w:r w:rsidRPr="00B6332B">
        <w:rPr>
          <w:rFonts w:ascii="Book Antiqua" w:eastAsia="宋体" w:hAnsi="Book Antiqua" w:cs="Book Antiqua" w:hint="eastAsia"/>
          <w:color w:val="000000" w:themeColor="text1"/>
          <w:lang w:eastAsia="zh-CN"/>
        </w:rPr>
        <w:t xml:space="preserve"> Q</w:t>
      </w:r>
      <w:r w:rsidRPr="00B6332B">
        <w:rPr>
          <w:rFonts w:ascii="Book Antiqua" w:eastAsia="Book Antiqua" w:hAnsi="Book Antiqua" w:cs="Book Antiqua"/>
          <w:b/>
          <w:bCs/>
          <w:color w:val="000000" w:themeColor="text1"/>
        </w:rPr>
        <w:t xml:space="preserve"> </w:t>
      </w:r>
      <w:r w:rsidRPr="00B6332B">
        <w:rPr>
          <w:rFonts w:ascii="Book Antiqua" w:eastAsia="Book Antiqua" w:hAnsi="Book Antiqua" w:cs="Book Antiqua"/>
          <w:color w:val="000000" w:themeColor="text1"/>
        </w:rPr>
        <w:t>prepared for the figures and tables; and all authors have approved the final manuscript.</w:t>
      </w:r>
    </w:p>
    <w:p w14:paraId="206598A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49D181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 xml:space="preserve">Corresponding author: Long-Kuan Yin, Doctor, Researcher, </w:t>
      </w:r>
      <w:r w:rsidRPr="00B6332B">
        <w:rPr>
          <w:rFonts w:ascii="Book Antiqua" w:eastAsia="宋体" w:hAnsi="Book Antiqua" w:cs="Book Antiqua" w:hint="eastAsia"/>
          <w:color w:val="000000" w:themeColor="text1"/>
          <w:lang w:eastAsia="zh-CN"/>
        </w:rPr>
        <w:t>D</w:t>
      </w:r>
      <w:r w:rsidRPr="00B6332B">
        <w:rPr>
          <w:rFonts w:ascii="Book Antiqua" w:eastAsia="Book Antiqua" w:hAnsi="Book Antiqua" w:cs="Book Antiqua"/>
          <w:color w:val="000000" w:themeColor="text1"/>
        </w:rPr>
        <w:t xml:space="preserve">epartment of Gastrointestinal </w:t>
      </w:r>
      <w:r w:rsidRPr="00B6332B">
        <w:rPr>
          <w:rFonts w:ascii="Book Antiqua" w:eastAsia="宋体" w:hAnsi="Book Antiqua" w:cs="Book Antiqua" w:hint="eastAsia"/>
          <w:color w:val="000000" w:themeColor="text1"/>
          <w:lang w:eastAsia="zh-CN"/>
        </w:rPr>
        <w:t>S</w:t>
      </w:r>
      <w:r w:rsidRPr="00B6332B">
        <w:rPr>
          <w:rFonts w:ascii="Book Antiqua" w:eastAsia="Book Antiqua" w:hAnsi="Book Antiqua" w:cs="Book Antiqua"/>
          <w:color w:val="000000" w:themeColor="text1"/>
        </w:rPr>
        <w:t>urgery, Fushun People</w:t>
      </w:r>
      <w:r w:rsidRPr="00B6332B">
        <w:rPr>
          <w:rFonts w:ascii="Book Antiqua" w:eastAsia="宋体" w:hAnsi="Book Antiqua" w:cs="Book Antiqua"/>
          <w:color w:val="000000" w:themeColor="text1"/>
          <w:lang w:eastAsia="zh-CN"/>
        </w:rPr>
        <w:t>’</w:t>
      </w:r>
      <w:r w:rsidRPr="00B6332B">
        <w:rPr>
          <w:rFonts w:ascii="Book Antiqua" w:eastAsia="Book Antiqua" w:hAnsi="Book Antiqua" w:cs="Book Antiqua"/>
          <w:color w:val="000000" w:themeColor="text1"/>
        </w:rPr>
        <w:t xml:space="preserve">s Hospital, </w:t>
      </w:r>
      <w:r w:rsidRPr="00B6332B">
        <w:rPr>
          <w:rFonts w:ascii="Book Antiqua" w:eastAsia="宋体" w:hAnsi="Book Antiqua" w:cs="Book Antiqua" w:hint="eastAsia"/>
          <w:color w:val="000000" w:themeColor="text1"/>
          <w:lang w:eastAsia="zh-CN"/>
        </w:rPr>
        <w:t xml:space="preserve">No. </w:t>
      </w:r>
      <w:r w:rsidRPr="00B6332B">
        <w:rPr>
          <w:rFonts w:ascii="Book Antiqua" w:eastAsia="Book Antiqua" w:hAnsi="Book Antiqua" w:cs="Book Antiqua"/>
          <w:color w:val="000000" w:themeColor="text1"/>
        </w:rPr>
        <w:t>490 Jixiang Road, Fushi Town</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 xml:space="preserve"> Zigong 643200, Sichuan Province, China. 782286066@qq.com</w:t>
      </w:r>
    </w:p>
    <w:p w14:paraId="49B27F74"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FD04F1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 xml:space="preserve">Received: </w:t>
      </w:r>
      <w:r w:rsidRPr="00B6332B">
        <w:rPr>
          <w:rFonts w:ascii="Book Antiqua" w:eastAsia="Book Antiqua" w:hAnsi="Book Antiqua" w:cs="Book Antiqua"/>
          <w:color w:val="000000" w:themeColor="text1"/>
        </w:rPr>
        <w:t>July 30, 2023</w:t>
      </w:r>
    </w:p>
    <w:p w14:paraId="55773046" w14:textId="77777777" w:rsidR="00E724E0" w:rsidRPr="00B6332B" w:rsidRDefault="00000000">
      <w:pPr>
        <w:adjustRightInd w:val="0"/>
        <w:snapToGrid w:val="0"/>
        <w:spacing w:line="360" w:lineRule="auto"/>
        <w:jc w:val="both"/>
        <w:rPr>
          <w:rFonts w:ascii="Book Antiqua" w:eastAsia="宋体" w:hAnsi="Book Antiqua" w:cs="Book Antiqua"/>
          <w:color w:val="000000" w:themeColor="text1"/>
          <w:lang w:eastAsia="zh-CN"/>
        </w:rPr>
      </w:pPr>
      <w:r w:rsidRPr="00B6332B">
        <w:rPr>
          <w:rFonts w:ascii="Book Antiqua" w:eastAsia="Book Antiqua" w:hAnsi="Book Antiqua" w:cs="Book Antiqua"/>
          <w:b/>
          <w:bCs/>
          <w:color w:val="000000" w:themeColor="text1"/>
        </w:rPr>
        <w:t xml:space="preserve">Revised: </w:t>
      </w:r>
      <w:r w:rsidRPr="00B6332B">
        <w:rPr>
          <w:rFonts w:ascii="Book Antiqua" w:eastAsia="宋体" w:hAnsi="Book Antiqua" w:cs="Book Antiqua" w:hint="eastAsia"/>
          <w:color w:val="000000" w:themeColor="text1"/>
          <w:lang w:eastAsia="zh-CN"/>
        </w:rPr>
        <w:t>September 7, 2023</w:t>
      </w:r>
    </w:p>
    <w:p w14:paraId="5883BE20"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 xml:space="preserve">Accepted: </w:t>
      </w:r>
      <w:r w:rsidRPr="00B6332B">
        <w:rPr>
          <w:rFonts w:ascii="Book Antiqua" w:eastAsia="Book Antiqua" w:hAnsi="Book Antiqua" w:cs="Book Antiqua"/>
          <w:color w:val="000000" w:themeColor="text1"/>
        </w:rPr>
        <w:t>September 18, 2023</w:t>
      </w:r>
    </w:p>
    <w:p w14:paraId="5121C384" w14:textId="20DE3B24"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 xml:space="preserve">Published online: </w:t>
      </w:r>
      <w:r w:rsidR="00BE179A" w:rsidRPr="00B6332B">
        <w:rPr>
          <w:rFonts w:ascii="Book Antiqua" w:hAnsi="Book Antiqua"/>
          <w:color w:val="000000" w:themeColor="text1"/>
          <w:shd w:val="clear" w:color="auto" w:fill="FFFFFF"/>
        </w:rPr>
        <w:t>October 24, 2023</w:t>
      </w:r>
    </w:p>
    <w:p w14:paraId="17567C64" w14:textId="77777777" w:rsidR="00E724E0" w:rsidRPr="00B6332B" w:rsidRDefault="00E724E0">
      <w:pPr>
        <w:adjustRightInd w:val="0"/>
        <w:snapToGrid w:val="0"/>
        <w:spacing w:line="360" w:lineRule="auto"/>
        <w:jc w:val="both"/>
        <w:rPr>
          <w:rFonts w:ascii="Book Antiqua" w:hAnsi="Book Antiqua" w:cs="Book Antiqua"/>
          <w:color w:val="000000" w:themeColor="text1"/>
        </w:rPr>
        <w:sectPr w:rsidR="00E724E0" w:rsidRPr="00B6332B">
          <w:footerReference w:type="default" r:id="rId7"/>
          <w:pgSz w:w="12240" w:h="15840"/>
          <w:pgMar w:top="1440" w:right="1440" w:bottom="1440" w:left="1440" w:header="720" w:footer="720" w:gutter="0"/>
          <w:cols w:space="720"/>
          <w:docGrid w:linePitch="360"/>
        </w:sectPr>
      </w:pPr>
    </w:p>
    <w:p w14:paraId="6BEECF3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lastRenderedPageBreak/>
        <w:t>Abstract</w:t>
      </w:r>
    </w:p>
    <w:p w14:paraId="43901E0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BACKGROUND</w:t>
      </w:r>
    </w:p>
    <w:p w14:paraId="0ADC3960"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Gastric cancer (GC) is a common malignant tumor of the digestive system. Disulfidptosis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is a new programmed cell death mechanism, although its specific mechanism in GC is incompletely</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understood.</w:t>
      </w:r>
    </w:p>
    <w:p w14:paraId="3D91DB03"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F8BD257"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AIM</w:t>
      </w:r>
    </w:p>
    <w:p w14:paraId="52111BB0"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In this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study, we used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bioinformatics analysis to explore a </w:t>
      </w:r>
      <w:bookmarkStart w:id="1" w:name="OLE_LINK4"/>
      <w:r w:rsidRPr="00B6332B">
        <w:rPr>
          <w:rFonts w:ascii="Book Antiqua" w:eastAsia="Book Antiqua" w:hAnsi="Book Antiqua" w:cs="Book Antiqua"/>
          <w:color w:val="000000" w:themeColor="text1"/>
        </w:rPr>
        <w:t>disulfidptosis-based</w:t>
      </w:r>
      <w:bookmarkEnd w:id="1"/>
      <w:r w:rsidRPr="00B6332B">
        <w:rPr>
          <w:rFonts w:ascii="Book Antiqua" w:eastAsia="Book Antiqua" w:hAnsi="Book Antiqua" w:cs="Book Antiqua"/>
          <w:color w:val="000000" w:themeColor="text1"/>
        </w:rPr>
        <w:t xml:space="preserve"> predictive model related to GC prognosis and to identify</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potential therapeutic targets and sensitive drugs for GC.</w:t>
      </w:r>
    </w:p>
    <w:p w14:paraId="755FFEBC"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EBC5D4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METHODS</w:t>
      </w:r>
    </w:p>
    <w:p w14:paraId="1B53EEC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We extracted GC-related data from </w:t>
      </w:r>
      <w:r w:rsidRPr="00B6332B">
        <w:rPr>
          <w:rFonts w:ascii="Book Antiqua" w:eastAsia="Book Antiqua" w:hAnsi="Book Antiqua" w:cs="Book Antiqua"/>
          <w:color w:val="000000" w:themeColor="text1"/>
          <w:shd w:val="clear" w:color="auto" w:fill="FFFFFF"/>
        </w:rPr>
        <w:t>The Cancer Genome Atlas</w:t>
      </w:r>
      <w:r w:rsidRPr="00B6332B">
        <w:rPr>
          <w:rFonts w:ascii="Book Antiqua" w:eastAsia="Book Antiqua" w:hAnsi="Book Antiqua" w:cs="Book Antiqua"/>
          <w:color w:val="000000" w:themeColor="text1"/>
        </w:rPr>
        <w:t xml:space="preserve"> and Gene Expression Omnibus databases. R software (version 4.2.1) was used for correlation analysis.</w:t>
      </w:r>
    </w:p>
    <w:p w14:paraId="7DFBE463"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375AE97"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RESULTS</w:t>
      </w:r>
    </w:p>
    <w:p w14:paraId="14B79DA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Through the above analysis, we found that the disulfidptosis related gene may be related to the prognosis of GC. Six genes, namely,</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i/>
          <w:iCs/>
          <w:color w:val="000000" w:themeColor="text1"/>
        </w:rPr>
        <w:t>PLS3</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GRP</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APOD</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SGCE</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COL8A1</w:t>
      </w:r>
      <w:r w:rsidRPr="00B6332B">
        <w:rPr>
          <w:rFonts w:ascii="Book Antiqua" w:eastAsia="Book Antiqua" w:hAnsi="Book Antiqua" w:cs="Book Antiqua"/>
          <w:color w:val="000000" w:themeColor="text1"/>
        </w:rPr>
        <w:t xml:space="preserve">, and </w:t>
      </w:r>
      <w:r w:rsidRPr="00B6332B">
        <w:rPr>
          <w:rFonts w:ascii="Book Antiqua" w:eastAsia="Book Antiqua" w:hAnsi="Book Antiqua" w:cs="Book Antiqua"/>
          <w:i/>
          <w:iCs/>
          <w:color w:val="000000" w:themeColor="text1"/>
        </w:rPr>
        <w:t>VAMP7</w:t>
      </w:r>
      <w:r w:rsidRPr="00B6332B">
        <w:rPr>
          <w:rFonts w:ascii="Book Antiqua" w:eastAsia="Book Antiqua" w:hAnsi="Book Antiqua" w:cs="Book Antiqua"/>
          <w:color w:val="000000" w:themeColor="text1"/>
        </w:rPr>
        <w:t>, were found to</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constitute a predictive model for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prognosis.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is a potential therapeutic target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for treating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GC. Bosutinib and other drugs are sensitive for the treatment of GC.</w:t>
      </w:r>
    </w:p>
    <w:p w14:paraId="63284F2F"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C72A26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CONCLUSION</w:t>
      </w:r>
    </w:p>
    <w:p w14:paraId="74CD2B9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The results of this study indicate that disulfidptosis is related to the prognosis and treatment of GC, while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i/>
          <w:iCs/>
          <w:color w:val="000000" w:themeColor="text1"/>
        </w:rPr>
        <w:t xml:space="preserve">APOD </w:t>
      </w:r>
      <w:r w:rsidRPr="00B6332B">
        <w:rPr>
          <w:rFonts w:ascii="Book Antiqua" w:eastAsia="Book Antiqua" w:hAnsi="Book Antiqua" w:cs="Book Antiqua"/>
          <w:color w:val="000000" w:themeColor="text1"/>
        </w:rPr>
        <w:t>represents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 potential therapeutic target for GC.</w:t>
      </w:r>
    </w:p>
    <w:p w14:paraId="7E0D7E4A"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6B2DFA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 xml:space="preserve">Key Words: </w:t>
      </w:r>
      <w:r w:rsidRPr="00B6332B">
        <w:rPr>
          <w:rFonts w:ascii="Book Antiqua" w:eastAsia="Book Antiqua" w:hAnsi="Book Antiqua" w:cs="Book Antiqua"/>
          <w:color w:val="000000" w:themeColor="text1"/>
        </w:rPr>
        <w:t xml:space="preserve">Gastric cancer; </w:t>
      </w:r>
      <w:r w:rsidRPr="00B6332B">
        <w:rPr>
          <w:rFonts w:ascii="Book Antiqua" w:eastAsia="宋体" w:hAnsi="Book Antiqua" w:cs="Book Antiqua" w:hint="eastAsia"/>
          <w:color w:val="000000" w:themeColor="text1"/>
          <w:lang w:eastAsia="zh-CN"/>
        </w:rPr>
        <w:t>D</w:t>
      </w:r>
      <w:r w:rsidRPr="00B6332B">
        <w:rPr>
          <w:rFonts w:ascii="Book Antiqua" w:eastAsia="Book Antiqua" w:hAnsi="Book Antiqua" w:cs="Book Antiqua"/>
          <w:color w:val="000000" w:themeColor="text1"/>
        </w:rPr>
        <w:t xml:space="preserve">isulfidptosis; </w:t>
      </w:r>
      <w:r w:rsidRPr="00B6332B">
        <w:rPr>
          <w:rFonts w:ascii="Book Antiqua" w:eastAsia="宋体" w:hAnsi="Book Antiqua" w:cs="Book Antiqua" w:hint="eastAsia"/>
          <w:color w:val="000000" w:themeColor="text1"/>
          <w:lang w:eastAsia="zh-CN"/>
        </w:rPr>
        <w:t>D</w:t>
      </w:r>
      <w:r w:rsidRPr="00B6332B">
        <w:rPr>
          <w:rFonts w:ascii="Book Antiqua" w:eastAsia="Book Antiqua" w:hAnsi="Book Antiqua" w:cs="Book Antiqua"/>
          <w:color w:val="000000" w:themeColor="text1"/>
        </w:rPr>
        <w:t xml:space="preserve">rugs; </w:t>
      </w:r>
      <w:r w:rsidRPr="00B6332B">
        <w:rPr>
          <w:rFonts w:ascii="Book Antiqua" w:eastAsia="宋体" w:hAnsi="Book Antiqua" w:cs="Book Antiqua" w:hint="eastAsia"/>
          <w:color w:val="000000" w:themeColor="text1"/>
          <w:lang w:eastAsia="zh-CN"/>
        </w:rPr>
        <w:t>P</w:t>
      </w:r>
      <w:r w:rsidRPr="00B6332B">
        <w:rPr>
          <w:rFonts w:ascii="Book Antiqua" w:eastAsia="Book Antiqua" w:hAnsi="Book Antiqua" w:cs="Book Antiqua"/>
          <w:color w:val="000000" w:themeColor="text1"/>
        </w:rPr>
        <w:t xml:space="preserve">rognosis; </w:t>
      </w:r>
      <w:r w:rsidRPr="00B6332B">
        <w:rPr>
          <w:rFonts w:ascii="Book Antiqua" w:eastAsia="宋体" w:hAnsi="Book Antiqua" w:cs="Book Antiqua" w:hint="eastAsia"/>
          <w:color w:val="000000" w:themeColor="text1"/>
          <w:lang w:eastAsia="zh-CN"/>
        </w:rPr>
        <w:t>T</w:t>
      </w:r>
      <w:r w:rsidRPr="00B6332B">
        <w:rPr>
          <w:rFonts w:ascii="Book Antiqua" w:eastAsia="Book Antiqua" w:hAnsi="Book Antiqua" w:cs="Book Antiqua"/>
          <w:color w:val="000000" w:themeColor="text1"/>
        </w:rPr>
        <w:t>argets</w:t>
      </w:r>
    </w:p>
    <w:p w14:paraId="773A2257"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F201AB1" w14:textId="77777777" w:rsidR="00985DBE" w:rsidRPr="00B6332B" w:rsidRDefault="00985DBE" w:rsidP="00985DBE">
      <w:pPr>
        <w:spacing w:line="360" w:lineRule="auto"/>
        <w:rPr>
          <w:rFonts w:ascii="Book Antiqua" w:eastAsia="Book Antiqua" w:hAnsi="Book Antiqua" w:cs="Book Antiqua"/>
          <w:color w:val="000000" w:themeColor="text1"/>
        </w:rPr>
      </w:pPr>
      <w:r w:rsidRPr="00B6332B">
        <w:rPr>
          <w:rFonts w:ascii="Book Antiqua" w:eastAsia="Book Antiqua" w:hAnsi="Book Antiqua" w:cs="Book Antiqua" w:hint="eastAsia"/>
          <w:b/>
          <w:color w:val="000000" w:themeColor="text1"/>
        </w:rPr>
        <w:t>©</w:t>
      </w:r>
      <w:r w:rsidRPr="00B6332B">
        <w:rPr>
          <w:rFonts w:ascii="Book Antiqua" w:eastAsia="Book Antiqua" w:hAnsi="Book Antiqua" w:cs="Book Antiqua"/>
          <w:b/>
          <w:color w:val="000000" w:themeColor="text1"/>
        </w:rPr>
        <w:t>The</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b/>
          <w:color w:val="000000" w:themeColor="text1"/>
        </w:rPr>
        <w:t>Author(s) 202</w:t>
      </w:r>
      <w:r w:rsidRPr="00B6332B">
        <w:rPr>
          <w:rFonts w:ascii="Book Antiqua" w:hAnsi="Book Antiqua" w:cs="Book Antiqua"/>
          <w:b/>
          <w:color w:val="000000" w:themeColor="text1"/>
        </w:rPr>
        <w:t>3</w:t>
      </w:r>
      <w:r w:rsidRPr="00B6332B">
        <w:rPr>
          <w:rFonts w:ascii="Book Antiqua" w:eastAsia="Book Antiqua" w:hAnsi="Book Antiqua" w:cs="Book Antiqua"/>
          <w:b/>
          <w:color w:val="000000" w:themeColor="text1"/>
        </w:rPr>
        <w:t xml:space="preserve">. </w:t>
      </w:r>
      <w:r w:rsidRPr="00B6332B">
        <w:rPr>
          <w:rFonts w:ascii="Book Antiqua" w:eastAsia="Book Antiqua" w:hAnsi="Book Antiqua" w:cs="Book Antiqua"/>
          <w:color w:val="000000" w:themeColor="text1"/>
        </w:rPr>
        <w:t>Published by Baishideng Publishing Group Inc. All rights reserved.</w:t>
      </w:r>
    </w:p>
    <w:p w14:paraId="22BD9C40" w14:textId="77777777" w:rsidR="00985DBE" w:rsidRPr="00B6332B" w:rsidRDefault="00985DBE">
      <w:pPr>
        <w:adjustRightInd w:val="0"/>
        <w:snapToGrid w:val="0"/>
        <w:spacing w:line="360" w:lineRule="auto"/>
        <w:jc w:val="both"/>
        <w:rPr>
          <w:rFonts w:ascii="Book Antiqua" w:hAnsi="Book Antiqua" w:cs="Book Antiqua"/>
          <w:color w:val="000000" w:themeColor="text1"/>
        </w:rPr>
      </w:pPr>
    </w:p>
    <w:p w14:paraId="709C1BDA" w14:textId="4FDA83A9" w:rsidR="00BE179A" w:rsidRPr="00B6332B" w:rsidRDefault="00985DBE" w:rsidP="00BE179A">
      <w:pPr>
        <w:adjustRightInd w:val="0"/>
        <w:snapToGrid w:val="0"/>
        <w:spacing w:line="360" w:lineRule="auto"/>
        <w:jc w:val="both"/>
        <w:rPr>
          <w:rFonts w:ascii="Book Antiqua" w:eastAsia="Book Antiqua" w:hAnsi="Book Antiqua" w:cs="Book Antiqua"/>
          <w:color w:val="000000" w:themeColor="text1"/>
        </w:rPr>
      </w:pPr>
      <w:r w:rsidRPr="00B6332B">
        <w:rPr>
          <w:rFonts w:ascii="Book Antiqua" w:eastAsia="Book Antiqua" w:hAnsi="Book Antiqua" w:cs="Book Antiqua"/>
          <w:b/>
          <w:bCs/>
          <w:color w:val="000000" w:themeColor="text1"/>
        </w:rPr>
        <w:t>C</w:t>
      </w:r>
      <w:r w:rsidRPr="00B6332B">
        <w:rPr>
          <w:rFonts w:ascii="Book Antiqua" w:eastAsia="Book Antiqua" w:hAnsi="Book Antiqua" w:cs="Book Antiqua" w:hint="eastAsia"/>
          <w:b/>
          <w:bCs/>
          <w:color w:val="000000" w:themeColor="text1"/>
        </w:rPr>
        <w:t>itation</w:t>
      </w:r>
      <w:r w:rsidRPr="00B6332B">
        <w:rPr>
          <w:rFonts w:ascii="Book Antiqua" w:eastAsia="Book Antiqua" w:hAnsi="Book Antiqua" w:cs="Book Antiqua"/>
          <w:color w:val="000000" w:themeColor="text1"/>
        </w:rPr>
        <w:t xml:space="preserve">: Li Q, Yin LK. Comprehensive analysis of disulfidptosis related genes and prognosis of gastric cancer. </w:t>
      </w:r>
      <w:r w:rsidRPr="00B6332B">
        <w:rPr>
          <w:rFonts w:ascii="Book Antiqua" w:eastAsia="Book Antiqua" w:hAnsi="Book Antiqua" w:cs="Book Antiqua"/>
          <w:i/>
          <w:iCs/>
          <w:color w:val="000000" w:themeColor="text1"/>
        </w:rPr>
        <w:t>World J Clin Oncol</w:t>
      </w:r>
      <w:r w:rsidRPr="00B6332B">
        <w:rPr>
          <w:rFonts w:ascii="Book Antiqua" w:eastAsia="Book Antiqua" w:hAnsi="Book Antiqua" w:cs="Book Antiqua"/>
          <w:color w:val="000000" w:themeColor="text1"/>
        </w:rPr>
        <w:t xml:space="preserve"> 2023; </w:t>
      </w:r>
      <w:r w:rsidR="00BE179A" w:rsidRPr="00B6332B">
        <w:rPr>
          <w:rFonts w:ascii="Book Antiqua" w:eastAsia="Book Antiqua" w:hAnsi="Book Antiqua" w:cs="Book Antiqua"/>
          <w:color w:val="000000" w:themeColor="text1"/>
        </w:rPr>
        <w:t xml:space="preserve">14(10): </w:t>
      </w:r>
      <w:r w:rsidRPr="00B6332B">
        <w:rPr>
          <w:rFonts w:ascii="Book Antiqua" w:eastAsia="Book Antiqua" w:hAnsi="Book Antiqua" w:cs="Book Antiqua"/>
          <w:color w:val="000000" w:themeColor="text1"/>
        </w:rPr>
        <w:t>373-399</w:t>
      </w:r>
    </w:p>
    <w:p w14:paraId="2FE57441" w14:textId="29D8A1D9" w:rsidR="00BE179A" w:rsidRPr="00B6332B" w:rsidRDefault="00BE179A" w:rsidP="00BE179A">
      <w:pPr>
        <w:adjustRightInd w:val="0"/>
        <w:snapToGrid w:val="0"/>
        <w:spacing w:line="360" w:lineRule="auto"/>
        <w:jc w:val="both"/>
        <w:rPr>
          <w:rFonts w:ascii="Book Antiqua" w:eastAsia="Book Antiqua" w:hAnsi="Book Antiqua" w:cs="Book Antiqua"/>
          <w:color w:val="000000" w:themeColor="text1"/>
        </w:rPr>
      </w:pPr>
      <w:r w:rsidRPr="00B6332B">
        <w:rPr>
          <w:rFonts w:ascii="Book Antiqua" w:eastAsia="Book Antiqua" w:hAnsi="Book Antiqua" w:cs="Book Antiqua"/>
          <w:b/>
          <w:bCs/>
          <w:color w:val="000000" w:themeColor="text1"/>
        </w:rPr>
        <w:t>URL</w:t>
      </w:r>
      <w:r w:rsidRPr="00B6332B">
        <w:rPr>
          <w:rFonts w:ascii="Book Antiqua" w:eastAsia="Book Antiqua" w:hAnsi="Book Antiqua" w:cs="Book Antiqua"/>
          <w:color w:val="000000" w:themeColor="text1"/>
        </w:rPr>
        <w:t>: https://www.wjgnet.com/2218-4333/full/v14/i10/</w:t>
      </w:r>
      <w:r w:rsidR="00985DBE" w:rsidRPr="00B6332B">
        <w:rPr>
          <w:rFonts w:ascii="Book Antiqua" w:eastAsia="Book Antiqua" w:hAnsi="Book Antiqua" w:cs="Book Antiqua"/>
          <w:color w:val="000000" w:themeColor="text1"/>
        </w:rPr>
        <w:t>373</w:t>
      </w:r>
      <w:r w:rsidRPr="00B6332B">
        <w:rPr>
          <w:rFonts w:ascii="Book Antiqua" w:eastAsia="Book Antiqua" w:hAnsi="Book Antiqua" w:cs="Book Antiqua"/>
          <w:color w:val="000000" w:themeColor="text1"/>
        </w:rPr>
        <w:t>.htm</w:t>
      </w:r>
    </w:p>
    <w:p w14:paraId="0C44514E" w14:textId="538D5ED8" w:rsidR="00E724E0" w:rsidRPr="00B6332B" w:rsidRDefault="00BE179A" w:rsidP="00BE179A">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DOI</w:t>
      </w:r>
      <w:r w:rsidRPr="00B6332B">
        <w:rPr>
          <w:rFonts w:ascii="Book Antiqua" w:eastAsia="Book Antiqua" w:hAnsi="Book Antiqua" w:cs="Book Antiqua"/>
          <w:color w:val="000000" w:themeColor="text1"/>
        </w:rPr>
        <w:t>: https://dx.doi.org/10.5306/wjco.v14.i10.</w:t>
      </w:r>
      <w:r w:rsidR="00985DBE" w:rsidRPr="00B6332B">
        <w:rPr>
          <w:rFonts w:ascii="Book Antiqua" w:eastAsia="Book Antiqua" w:hAnsi="Book Antiqua" w:cs="Book Antiqua"/>
          <w:color w:val="000000" w:themeColor="text1"/>
        </w:rPr>
        <w:t>373</w:t>
      </w:r>
    </w:p>
    <w:p w14:paraId="33EFCDD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1B79269" w14:textId="77777777" w:rsidR="00E724E0" w:rsidRPr="00B6332B" w:rsidRDefault="00000000">
      <w:pPr>
        <w:adjustRightInd w:val="0"/>
        <w:snapToGrid w:val="0"/>
        <w:spacing w:line="360" w:lineRule="auto"/>
        <w:jc w:val="both"/>
        <w:rPr>
          <w:rFonts w:ascii="Book Antiqua" w:eastAsia="Book Antiqua" w:hAnsi="Book Antiqua" w:cs="Book Antiqua"/>
          <w:color w:val="000000" w:themeColor="text1"/>
        </w:rPr>
      </w:pPr>
      <w:r w:rsidRPr="00B6332B">
        <w:rPr>
          <w:rFonts w:ascii="Book Antiqua" w:eastAsia="Book Antiqua" w:hAnsi="Book Antiqua" w:cs="Book Antiqua"/>
          <w:b/>
          <w:bCs/>
          <w:color w:val="000000" w:themeColor="text1"/>
        </w:rPr>
        <w:t xml:space="preserve">Core Tip: </w:t>
      </w:r>
      <w:r w:rsidRPr="00B6332B">
        <w:rPr>
          <w:rFonts w:ascii="Book Antiqua" w:eastAsia="Book Antiqua" w:hAnsi="Book Antiqua" w:cs="Book Antiqua"/>
          <w:color w:val="000000" w:themeColor="text1"/>
        </w:rPr>
        <w:t xml:space="preserve">Gastric cancer (GC) is a common malignant tumor of the digestive system. Disulfidptosis is a new programmed cell death mechanism. The specific mechanism of disulfidptosis in GC is not fully understood. This study found that the disulfidptosis related gene may be related to the prognosis of gastric cancer. </w:t>
      </w:r>
      <w:r w:rsidRPr="00B6332B">
        <w:rPr>
          <w:rFonts w:ascii="Book Antiqua" w:eastAsia="Book Antiqua" w:hAnsi="Book Antiqua" w:cs="Book Antiqua"/>
          <w:i/>
          <w:iCs/>
          <w:color w:val="000000" w:themeColor="text1"/>
        </w:rPr>
        <w:t>PLS3</w:t>
      </w:r>
      <w:r w:rsidRPr="00B6332B">
        <w:rPr>
          <w:rFonts w:ascii="Book Antiqua" w:eastAsia="Book Antiqua" w:hAnsi="Book Antiqua" w:cs="Book Antiqua"/>
          <w:color w:val="000000" w:themeColor="text1"/>
        </w:rPr>
        <w:t>,</w:t>
      </w:r>
      <w:r w:rsidRPr="00B6332B">
        <w:rPr>
          <w:rFonts w:ascii="Book Antiqua" w:eastAsia="Book Antiqua" w:hAnsi="Book Antiqua" w:cs="Book Antiqua"/>
          <w:i/>
          <w:iCs/>
          <w:color w:val="000000" w:themeColor="text1"/>
        </w:rPr>
        <w:t xml:space="preserve"> GRP</w:t>
      </w:r>
      <w:r w:rsidRPr="00B6332B">
        <w:rPr>
          <w:rFonts w:ascii="Book Antiqua" w:eastAsia="Book Antiqua" w:hAnsi="Book Antiqua" w:cs="Book Antiqua"/>
          <w:color w:val="000000" w:themeColor="text1"/>
        </w:rPr>
        <w:t>,</w:t>
      </w:r>
      <w:r w:rsidRPr="00B6332B">
        <w:rPr>
          <w:rFonts w:ascii="Book Antiqua" w:eastAsia="Book Antiqua" w:hAnsi="Book Antiqua" w:cs="Book Antiqua"/>
          <w:i/>
          <w:iCs/>
          <w:color w:val="000000" w:themeColor="text1"/>
        </w:rPr>
        <w:t xml:space="preserve"> APOD</w:t>
      </w:r>
      <w:r w:rsidRPr="00B6332B">
        <w:rPr>
          <w:rFonts w:ascii="Book Antiqua" w:eastAsia="Book Antiqua" w:hAnsi="Book Antiqua" w:cs="Book Antiqua"/>
          <w:color w:val="000000" w:themeColor="text1"/>
        </w:rPr>
        <w:t>,</w:t>
      </w:r>
      <w:r w:rsidRPr="00B6332B">
        <w:rPr>
          <w:rFonts w:ascii="Book Antiqua" w:eastAsia="Book Antiqua" w:hAnsi="Book Antiqua" w:cs="Book Antiqua"/>
          <w:i/>
          <w:iCs/>
          <w:color w:val="000000" w:themeColor="text1"/>
        </w:rPr>
        <w:t xml:space="preserve"> SGCE</w:t>
      </w:r>
      <w:r w:rsidRPr="00B6332B">
        <w:rPr>
          <w:rFonts w:ascii="Book Antiqua" w:eastAsia="Book Antiqua" w:hAnsi="Book Antiqua" w:cs="Book Antiqua"/>
          <w:color w:val="000000" w:themeColor="text1"/>
        </w:rPr>
        <w:t>,</w:t>
      </w:r>
      <w:r w:rsidRPr="00B6332B">
        <w:rPr>
          <w:rFonts w:ascii="Book Antiqua" w:eastAsia="Book Antiqua" w:hAnsi="Book Antiqua" w:cs="Book Antiqua"/>
          <w:i/>
          <w:iCs/>
          <w:color w:val="000000" w:themeColor="text1"/>
        </w:rPr>
        <w:t xml:space="preserve"> COL8A1</w:t>
      </w:r>
      <w:r w:rsidRPr="00B6332B">
        <w:rPr>
          <w:rFonts w:ascii="Book Antiqua" w:eastAsia="Book Antiqua" w:hAnsi="Book Antiqua" w:cs="Book Antiqua"/>
          <w:color w:val="000000" w:themeColor="text1"/>
        </w:rPr>
        <w:t>,</w:t>
      </w:r>
      <w:r w:rsidRPr="00B6332B">
        <w:rPr>
          <w:rFonts w:ascii="Book Antiqua" w:eastAsia="Book Antiqua" w:hAnsi="Book Antiqua" w:cs="Book Antiqua"/>
          <w:i/>
          <w:iCs/>
          <w:color w:val="000000" w:themeColor="text1"/>
        </w:rPr>
        <w:t xml:space="preserve"> VAMP7</w:t>
      </w:r>
      <w:r w:rsidRPr="00B6332B">
        <w:rPr>
          <w:rFonts w:ascii="Book Antiqua" w:eastAsia="Book Antiqua" w:hAnsi="Book Antiqua" w:cs="Book Antiqua"/>
          <w:color w:val="000000" w:themeColor="text1"/>
        </w:rPr>
        <w:t xml:space="preserve">, these six genes constitute a predictive model for gastric cancer prognosis. </w:t>
      </w:r>
      <w:r w:rsidRPr="00B6332B">
        <w:rPr>
          <w:rFonts w:ascii="Book Antiqua" w:eastAsia="Book Antiqua" w:hAnsi="Book Antiqua" w:cs="Book Antiqua"/>
          <w:i/>
          <w:iCs/>
          <w:color w:val="000000" w:themeColor="text1"/>
        </w:rPr>
        <w:t>APOD</w:t>
      </w:r>
      <w:r w:rsidRPr="00B6332B">
        <w:rPr>
          <w:rFonts w:ascii="Book Antiqua" w:eastAsia="Book Antiqua" w:hAnsi="Book Antiqua" w:cs="Book Antiqua"/>
          <w:color w:val="000000" w:themeColor="text1"/>
        </w:rPr>
        <w:t xml:space="preserve"> is a potential therapeutic target. Bosutinib and other drugs are sensitive for the treatment of gastric cancer.</w:t>
      </w:r>
    </w:p>
    <w:p w14:paraId="4A78848F" w14:textId="77777777" w:rsidR="00E724E0" w:rsidRPr="00B6332B" w:rsidRDefault="00E724E0">
      <w:pPr>
        <w:adjustRightInd w:val="0"/>
        <w:snapToGrid w:val="0"/>
        <w:spacing w:line="360" w:lineRule="auto"/>
        <w:jc w:val="both"/>
        <w:rPr>
          <w:rFonts w:ascii="Book Antiqua" w:eastAsia="Book Antiqua" w:hAnsi="Book Antiqua" w:cs="Book Antiqua"/>
          <w:color w:val="000000" w:themeColor="text1"/>
        </w:rPr>
      </w:pPr>
    </w:p>
    <w:p w14:paraId="0C82478E"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aps/>
          <w:color w:val="000000" w:themeColor="text1"/>
          <w:u w:val="single"/>
        </w:rPr>
        <w:t>INTRODUCTION</w:t>
      </w:r>
    </w:p>
    <w:p w14:paraId="7CFFD1B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Gastric cancer (GC) is a common cause of cancer-related death worldwide, with a particularly</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high incidence in East Asia, such as South Korea, China,</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Japan</w:t>
      </w:r>
      <w:r w:rsidRPr="00B6332B">
        <w:rPr>
          <w:rFonts w:ascii="Book Antiqua" w:eastAsia="Book Antiqua" w:hAnsi="Book Antiqua" w:cs="Book Antiqua"/>
          <w:color w:val="000000" w:themeColor="text1"/>
          <w:vertAlign w:val="superscript"/>
        </w:rPr>
        <w:t>[1-9]</w:t>
      </w:r>
      <w:r w:rsidRPr="00B6332B">
        <w:rPr>
          <w:rFonts w:ascii="Book Antiqua" w:eastAsia="Book Antiqua" w:hAnsi="Book Antiqua" w:cs="Book Antiqua"/>
          <w:color w:val="000000" w:themeColor="text1"/>
        </w:rPr>
        <w:t>. The early clinical symptoms of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are not obvious and lack specificity</w:t>
      </w:r>
      <w:r w:rsidRPr="00B6332B">
        <w:rPr>
          <w:rFonts w:ascii="Book Antiqua" w:eastAsia="Book Antiqua" w:hAnsi="Book Antiqua" w:cs="Book Antiqua"/>
          <w:color w:val="000000" w:themeColor="text1"/>
          <w:vertAlign w:val="superscript"/>
        </w:rPr>
        <w:t>[10-14]</w:t>
      </w:r>
      <w:r w:rsidRPr="00B6332B">
        <w:rPr>
          <w:rFonts w:ascii="Book Antiqua" w:eastAsia="Book Antiqua" w:hAnsi="Book Antiqua" w:cs="Book Antiqua"/>
          <w:color w:val="000000" w:themeColor="text1"/>
        </w:rPr>
        <w:t>, which leads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to a low rate of early diagnosis</w:t>
      </w:r>
      <w:r w:rsidRPr="00B6332B">
        <w:rPr>
          <w:rFonts w:ascii="Book Antiqua" w:eastAsia="Book Antiqua" w:hAnsi="Book Antiqua" w:cs="Book Antiqua"/>
          <w:color w:val="000000" w:themeColor="text1"/>
          <w:vertAlign w:val="superscript"/>
        </w:rPr>
        <w:t>[15-26]</w:t>
      </w:r>
      <w:r w:rsidRPr="00B6332B">
        <w:rPr>
          <w:rFonts w:ascii="Book Antiqua" w:eastAsia="Book Antiqua" w:hAnsi="Book Antiqua" w:cs="Book Antiqua"/>
          <w:color w:val="000000" w:themeColor="text1"/>
        </w:rPr>
        <w:t>. Most patients with GC are diagnosed late and have a poor prognosis</w:t>
      </w:r>
      <w:r w:rsidRPr="00B6332B">
        <w:rPr>
          <w:rFonts w:ascii="Book Antiqua" w:eastAsia="Book Antiqua" w:hAnsi="Book Antiqua" w:cs="Book Antiqua"/>
          <w:color w:val="000000" w:themeColor="text1"/>
          <w:vertAlign w:val="superscript"/>
        </w:rPr>
        <w:t>[27-40]</w:t>
      </w:r>
      <w:r w:rsidRPr="00B6332B">
        <w:rPr>
          <w:rFonts w:ascii="Book Antiqua" w:eastAsia="Book Antiqua" w:hAnsi="Book Antiqua" w:cs="Book Antiqua"/>
          <w:color w:val="000000" w:themeColor="text1"/>
        </w:rPr>
        <w:t>. Although the diagnosis and treatment strategies for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have gradually increased in recent decades, the prognosis of advanced GC remains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poor</w:t>
      </w:r>
      <w:r w:rsidRPr="00B6332B">
        <w:rPr>
          <w:rFonts w:ascii="Book Antiqua" w:eastAsia="Book Antiqua" w:hAnsi="Book Antiqua" w:cs="Book Antiqua"/>
          <w:color w:val="000000" w:themeColor="text1"/>
          <w:vertAlign w:val="superscript"/>
        </w:rPr>
        <w:t>[41-47]</w:t>
      </w:r>
      <w:r w:rsidRPr="00B6332B">
        <w:rPr>
          <w:rFonts w:ascii="Book Antiqua" w:eastAsia="Book Antiqua" w:hAnsi="Book Antiqua" w:cs="Book Antiqua"/>
          <w:color w:val="000000" w:themeColor="text1"/>
        </w:rPr>
        <w: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Therefore, there is an urgent need to find more biomarkers as novel</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therapeutic targets and to develop new drugs to improve diagnosis and treatment measures and, consequently,</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patient survival and prognosis.</w:t>
      </w:r>
    </w:p>
    <w:p w14:paraId="7D1E914E" w14:textId="77777777" w:rsidR="00E724E0" w:rsidRPr="00B6332B" w:rsidRDefault="00000000">
      <w:pPr>
        <w:adjustRightInd w:val="0"/>
        <w:snapToGrid w:val="0"/>
        <w:spacing w:line="360" w:lineRule="auto"/>
        <w:ind w:firstLineChars="200" w:firstLine="480"/>
        <w:jc w:val="both"/>
        <w:rPr>
          <w:rFonts w:ascii="Book Antiqua" w:hAnsi="Book Antiqua" w:cs="Book Antiqua"/>
          <w:color w:val="000000" w:themeColor="text1"/>
        </w:rPr>
      </w:pPr>
      <w:r w:rsidRPr="00B6332B">
        <w:rPr>
          <w:rFonts w:ascii="Book Antiqua" w:eastAsia="Book Antiqua" w:hAnsi="Book Antiqua" w:cs="Book Antiqua"/>
          <w:color w:val="000000" w:themeColor="text1"/>
        </w:rPr>
        <w:t>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is a heterogeneous disease</w:t>
      </w:r>
      <w:r w:rsidRPr="00B6332B">
        <w:rPr>
          <w:rFonts w:ascii="Book Antiqua" w:eastAsia="Book Antiqua" w:hAnsi="Book Antiqua" w:cs="Book Antiqua"/>
          <w:color w:val="000000" w:themeColor="text1"/>
          <w:vertAlign w:val="superscript"/>
        </w:rPr>
        <w:t>[48]</w:t>
      </w:r>
      <w:r w:rsidRPr="00B6332B">
        <w:rPr>
          <w:rFonts w:ascii="Book Antiqua" w:eastAsia="Book Antiqua" w:hAnsi="Book Antiqua" w:cs="Book Antiqua"/>
          <w:color w:val="000000" w:themeColor="text1"/>
        </w:rPr>
        <w:t>, with previous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studies suggesting that various cell programmed death mechanisms, including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ferroptosis</w:t>
      </w:r>
      <w:r w:rsidRPr="00B6332B">
        <w:rPr>
          <w:rFonts w:ascii="Book Antiqua" w:eastAsia="Book Antiqua" w:hAnsi="Book Antiqua" w:cs="Book Antiqua"/>
          <w:color w:val="000000" w:themeColor="text1"/>
          <w:vertAlign w:val="superscript"/>
        </w:rPr>
        <w:t>[49-54]</w:t>
      </w:r>
      <w:r w:rsidRPr="00B6332B">
        <w:rPr>
          <w:rFonts w:ascii="Book Antiqua" w:eastAsia="Book Antiqua" w:hAnsi="Book Antiqua" w:cs="Book Antiqua"/>
          <w:color w:val="000000" w:themeColor="text1"/>
        </w:rPr>
        <w:t xml:space="preserve"> and cuproptosis</w:t>
      </w:r>
      <w:r w:rsidRPr="00B6332B">
        <w:rPr>
          <w:rFonts w:ascii="Book Antiqua" w:eastAsia="Book Antiqua" w:hAnsi="Book Antiqua" w:cs="Book Antiqua"/>
          <w:color w:val="000000" w:themeColor="text1"/>
          <w:vertAlign w:val="superscript"/>
        </w:rPr>
        <w:t>[55-58]</w:t>
      </w:r>
      <w:r w:rsidRPr="00B6332B">
        <w:rPr>
          <w:rFonts w:ascii="Book Antiqua" w:eastAsia="Book Antiqua" w:hAnsi="Book Antiqua" w:cs="Book Antiqua"/>
          <w:color w:val="000000" w:themeColor="text1"/>
        </w:rPr>
        <w:t>, represent novel</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research directions for GC. In recent years, it has been found that disulfidptosis</w:t>
      </w:r>
      <w:r w:rsidRPr="00B6332B">
        <w:rPr>
          <w:rFonts w:ascii="Book Antiqua" w:eastAsia="Book Antiqua" w:hAnsi="Book Antiqua" w:cs="Book Antiqua"/>
          <w:color w:val="000000" w:themeColor="text1"/>
          <w:vertAlign w:val="superscript"/>
        </w:rPr>
        <w:t>[59]</w:t>
      </w:r>
      <w:r w:rsidRPr="00B6332B">
        <w:rPr>
          <w:rFonts w:ascii="Book Antiqua" w:eastAsia="Book Antiqua" w:hAnsi="Book Antiqua" w:cs="Book Antiqua"/>
          <w:color w:val="000000" w:themeColor="text1"/>
        </w:rPr>
        <w:t>, a novel and poorly studied mechanism of programmed cell death, represents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a previously uncharacterized form of cell death induced by abnormal accumulation of disulfide in cells under glucose starvation, which is different from </w:t>
      </w:r>
      <w:r w:rsidRPr="00B6332B">
        <w:rPr>
          <w:rFonts w:ascii="Book Antiqua" w:eastAsia="Book Antiqua" w:hAnsi="Book Antiqua" w:cs="Book Antiqua"/>
          <w:color w:val="000000" w:themeColor="text1"/>
        </w:rPr>
        <w:lastRenderedPageBreak/>
        <w:t>copper death and iron death. However, its role in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its related mechanisms are still unclear and need to be further explored.</w:t>
      </w:r>
    </w:p>
    <w:p w14:paraId="18B96662" w14:textId="77777777" w:rsidR="00E724E0" w:rsidRPr="00B6332B" w:rsidRDefault="00000000">
      <w:pPr>
        <w:adjustRightInd w:val="0"/>
        <w:snapToGrid w:val="0"/>
        <w:spacing w:line="360" w:lineRule="auto"/>
        <w:ind w:firstLineChars="200" w:firstLine="480"/>
        <w:jc w:val="both"/>
        <w:rPr>
          <w:rFonts w:ascii="Book Antiqua" w:hAnsi="Book Antiqua" w:cs="Book Antiqua"/>
          <w:color w:val="000000" w:themeColor="text1"/>
        </w:rPr>
      </w:pPr>
      <w:r w:rsidRPr="00B6332B">
        <w:rPr>
          <w:rFonts w:ascii="Book Antiqua" w:eastAsia="Book Antiqua" w:hAnsi="Book Antiqua" w:cs="Book Antiqua"/>
          <w:color w:val="000000" w:themeColor="text1"/>
        </w:rPr>
        <w:t>In this study, we analyzed the sequencing data of tumor tissues from databases such as The Cancer Genome Atlas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(TCGA)</w:t>
      </w:r>
      <w:r w:rsidRPr="00B6332B">
        <w:rPr>
          <w:rFonts w:ascii="Book Antiqua" w:eastAsia="Book Antiqua" w:hAnsi="Book Antiqua" w:cs="Book Antiqua"/>
          <w:color w:val="000000" w:themeColor="text1"/>
          <w:vertAlign w:val="superscript"/>
        </w:rPr>
        <w:t>[60]</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Gene Expression Omnibus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(GEO)</w:t>
      </w:r>
      <w:r w:rsidRPr="00B6332B">
        <w:rPr>
          <w:rFonts w:ascii="Book Antiqua" w:eastAsia="宋体" w:hAnsi="Book Antiqua" w:cs="Book Antiqua" w:hint="eastAsia"/>
          <w:color w:val="000000" w:themeColor="text1"/>
          <w:lang w:eastAsia="zh-CN"/>
        </w:rPr>
        <w:t xml:space="preserve"> (Supplementary material)</w:t>
      </w:r>
      <w:r w:rsidRPr="00B6332B">
        <w:rPr>
          <w:rFonts w:ascii="Book Antiqua" w:eastAsia="Book Antiqua" w:hAnsi="Book Antiqua" w:cs="Book Antiqua"/>
          <w:color w:val="000000" w:themeColor="text1"/>
          <w:vertAlign w:val="superscript"/>
        </w:rPr>
        <w:t>[61]</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14 disulfidptosis-related gene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(DRGs)</w:t>
      </w:r>
      <w:r w:rsidRPr="00B6332B">
        <w:rPr>
          <w:rFonts w:ascii="Book Antiqua" w:eastAsia="Book Antiqua" w:hAnsi="Book Antiqua" w:cs="Book Antiqua"/>
          <w:color w:val="000000" w:themeColor="text1"/>
          <w:vertAlign w:val="superscript"/>
        </w:rPr>
        <w:t>[59]</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 xml:space="preserve">ACTN4, ACTB, CD2AP, CAPZB, DSTN, FLNA, FLNB, INF2, IQGAP1, MYH10, MYL6, MYH9, PDLIM1, </w:t>
      </w:r>
      <w:r w:rsidRPr="00B6332B">
        <w:rPr>
          <w:rFonts w:ascii="Book Antiqua" w:eastAsia="Book Antiqua" w:hAnsi="Book Antiqua" w:cs="Book Antiqua"/>
          <w:color w:val="000000" w:themeColor="text1"/>
        </w:rPr>
        <w:t>and</w:t>
      </w:r>
      <w:r w:rsidRPr="00B6332B">
        <w:rPr>
          <w:rFonts w:ascii="Book Antiqua" w:eastAsia="宋体" w:hAnsi="Book Antiqua" w:cs="Book Antiqua" w:hint="eastAsia"/>
          <w:i/>
          <w:iCs/>
          <w:color w:val="000000" w:themeColor="text1"/>
          <w:lang w:eastAsia="zh-CN"/>
        </w:rPr>
        <w:t xml:space="preserve"> </w:t>
      </w:r>
      <w:r w:rsidRPr="00B6332B">
        <w:rPr>
          <w:rFonts w:ascii="Book Antiqua" w:eastAsia="Book Antiqua" w:hAnsi="Book Antiqua" w:cs="Book Antiqua"/>
          <w:i/>
          <w:iCs/>
          <w:color w:val="000000" w:themeColor="text1"/>
        </w:rPr>
        <w:t>TLN1</w:t>
      </w:r>
      <w:r w:rsidRPr="00B6332B">
        <w:rPr>
          <w:rFonts w:ascii="Book Antiqua" w:eastAsia="Book Antiqua" w:hAnsi="Book Antiqua" w:cs="Book Antiqua"/>
          <w:color w:val="000000" w:themeColor="text1"/>
        </w:rPr>
        <w:t>). We conducted differential analysis of DRGs, as well as analyses of the tumor mutation burden (TMB)</w:t>
      </w:r>
      <w:r w:rsidRPr="00B6332B">
        <w:rPr>
          <w:rFonts w:ascii="Book Antiqua" w:eastAsia="Book Antiqua" w:hAnsi="Book Antiqua" w:cs="Book Antiqua"/>
          <w:color w:val="000000" w:themeColor="text1"/>
          <w:vertAlign w:val="superscript"/>
        </w:rPr>
        <w:t>[62,63]</w:t>
      </w:r>
      <w:r w:rsidRPr="00B6332B">
        <w:rPr>
          <w:rFonts w:ascii="Book Antiqua" w:eastAsia="Book Antiqua" w:hAnsi="Book Antiqua" w:cs="Book Antiqua"/>
          <w:color w:val="000000" w:themeColor="text1"/>
        </w:rPr>
        <w:t xml:space="preserve">, copy variations, </w:t>
      </w:r>
      <w:r w:rsidRPr="00B6332B">
        <w:rPr>
          <w:rFonts w:ascii="Book Antiqua" w:eastAsia="宋体" w:hAnsi="Book Antiqua" w:cs="Book Antiqua" w:hint="eastAsia"/>
          <w:color w:val="000000" w:themeColor="text1"/>
          <w:lang w:eastAsia="zh-CN"/>
        </w:rPr>
        <w:t>g</w:t>
      </w:r>
      <w:r w:rsidRPr="00B6332B">
        <w:rPr>
          <w:rFonts w:ascii="Book Antiqua" w:eastAsia="Book Antiqua" w:hAnsi="Book Antiqua" w:cs="Book Antiqua"/>
          <w:color w:val="000000" w:themeColor="text1"/>
        </w:rPr>
        <w:t xml:space="preserve">ene </w:t>
      </w:r>
      <w:r w:rsidRPr="00B6332B">
        <w:rPr>
          <w:rFonts w:ascii="Book Antiqua" w:eastAsia="宋体" w:hAnsi="Book Antiqua" w:cs="Book Antiqua" w:hint="eastAsia"/>
          <w:color w:val="000000" w:themeColor="text1"/>
          <w:lang w:eastAsia="zh-CN"/>
        </w:rPr>
        <w:t>o</w:t>
      </w:r>
      <w:r w:rsidRPr="00B6332B">
        <w:rPr>
          <w:rFonts w:ascii="Book Antiqua" w:eastAsia="Book Antiqua" w:hAnsi="Book Antiqua" w:cs="Book Antiqua"/>
          <w:color w:val="000000" w:themeColor="text1"/>
        </w:rPr>
        <w:t>ntology (GO)</w:t>
      </w:r>
      <w:r w:rsidRPr="00B6332B">
        <w:rPr>
          <w:rFonts w:ascii="Book Antiqua" w:eastAsia="Book Antiqua" w:hAnsi="Book Antiqua" w:cs="Book Antiqua"/>
          <w:color w:val="000000" w:themeColor="text1"/>
          <w:vertAlign w:val="superscript"/>
        </w:rPr>
        <w:t>[64]</w:t>
      </w:r>
      <w:r w:rsidRPr="00B6332B">
        <w:rPr>
          <w:rFonts w:ascii="Book Antiqua" w:eastAsia="Book Antiqua" w:hAnsi="Book Antiqua" w:cs="Book Antiqua"/>
          <w:color w:val="000000" w:themeColor="text1"/>
        </w:rPr>
        <w:t xml:space="preserve">, and the </w:t>
      </w:r>
      <w:r w:rsidRPr="00B6332B">
        <w:rPr>
          <w:rFonts w:ascii="Book Antiqua" w:eastAsia="宋体" w:hAnsi="Book Antiqua" w:cs="Book Antiqua" w:hint="eastAsia"/>
          <w:color w:val="000000" w:themeColor="text1"/>
          <w:lang w:eastAsia="zh-CN"/>
        </w:rPr>
        <w:t>k</w:t>
      </w:r>
      <w:r w:rsidRPr="00B6332B">
        <w:rPr>
          <w:rFonts w:ascii="Book Antiqua" w:eastAsia="Book Antiqua" w:hAnsi="Book Antiqua" w:cs="Book Antiqua"/>
          <w:color w:val="000000" w:themeColor="text1"/>
        </w:rPr>
        <w:t xml:space="preserve">yoto </w:t>
      </w:r>
      <w:r w:rsidRPr="00B6332B">
        <w:rPr>
          <w:rFonts w:ascii="Book Antiqua" w:eastAsia="宋体" w:hAnsi="Book Antiqua" w:cs="Book Antiqua" w:hint="eastAsia"/>
          <w:color w:val="000000" w:themeColor="text1"/>
          <w:lang w:eastAsia="zh-CN"/>
        </w:rPr>
        <w:t>e</w:t>
      </w:r>
      <w:r w:rsidRPr="00B6332B">
        <w:rPr>
          <w:rFonts w:ascii="Book Antiqua" w:eastAsia="Book Antiqua" w:hAnsi="Book Antiqua" w:cs="Book Antiqua"/>
          <w:color w:val="000000" w:themeColor="text1"/>
        </w:rPr>
        <w:t xml:space="preserve">ncyclopedia of </w:t>
      </w:r>
      <w:r w:rsidRPr="00B6332B">
        <w:rPr>
          <w:rFonts w:ascii="Book Antiqua" w:eastAsia="宋体" w:hAnsi="Book Antiqua" w:cs="Book Antiqua" w:hint="eastAsia"/>
          <w:color w:val="000000" w:themeColor="text1"/>
          <w:lang w:eastAsia="zh-CN"/>
        </w:rPr>
        <w:t>g</w:t>
      </w:r>
      <w:r w:rsidRPr="00B6332B">
        <w:rPr>
          <w:rFonts w:ascii="Book Antiqua" w:eastAsia="Book Antiqua" w:hAnsi="Book Antiqua" w:cs="Book Antiqua"/>
          <w:color w:val="000000" w:themeColor="text1"/>
        </w:rPr>
        <w:t xml:space="preserve">enes and </w:t>
      </w:r>
      <w:r w:rsidRPr="00B6332B">
        <w:rPr>
          <w:rFonts w:ascii="Book Antiqua" w:eastAsia="宋体" w:hAnsi="Book Antiqua" w:cs="Book Antiqua" w:hint="eastAsia"/>
          <w:color w:val="000000" w:themeColor="text1"/>
          <w:lang w:eastAsia="zh-CN"/>
        </w:rPr>
        <w:t>g</w:t>
      </w:r>
      <w:r w:rsidRPr="00B6332B">
        <w:rPr>
          <w:rFonts w:ascii="Book Antiqua" w:eastAsia="Book Antiqua" w:hAnsi="Book Antiqua" w:cs="Book Antiqua"/>
          <w:color w:val="000000" w:themeColor="text1"/>
        </w:rPr>
        <w:t>enomes (KEGG)</w:t>
      </w:r>
      <w:r w:rsidRPr="00B6332B">
        <w:rPr>
          <w:rFonts w:ascii="Book Antiqua" w:eastAsia="Book Antiqua" w:hAnsi="Book Antiqua" w:cs="Book Antiqua"/>
          <w:color w:val="000000" w:themeColor="text1"/>
          <w:vertAlign w:val="superscript"/>
        </w:rPr>
        <w:t>[65]</w:t>
      </w:r>
      <w:r w:rsidRPr="00B6332B">
        <w:rPr>
          <w:rFonts w:ascii="Book Antiqua" w:eastAsia="Book Antiqua" w:hAnsi="Book Antiqua" w:cs="Book Antiqua"/>
          <w:color w:val="000000" w:themeColor="text1"/>
        </w:rPr>
        <w:t>, among others.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 this paper, the mechanism of DRGs involved in the occurrence and development of GC 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discussed, and new therapeutic targets and drugs that may be related to the prognosis of GC are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preliminarily analyzed and screened from a new perspective.</w:t>
      </w:r>
    </w:p>
    <w:p w14:paraId="1B99799F"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9DB8F3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aps/>
          <w:color w:val="000000" w:themeColor="text1"/>
          <w:u w:val="single"/>
        </w:rPr>
        <w:t>MATERIALS AND METHODS</w:t>
      </w:r>
    </w:p>
    <w:p w14:paraId="2711411D"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Data </w:t>
      </w:r>
      <w:r w:rsidRPr="00B6332B">
        <w:rPr>
          <w:rFonts w:ascii="Book Antiqua" w:eastAsia="宋体" w:hAnsi="Book Antiqua" w:cs="Book Antiqua" w:hint="eastAsia"/>
          <w:b/>
          <w:bCs/>
          <w:i/>
          <w:iCs/>
          <w:color w:val="000000" w:themeColor="text1"/>
          <w:lang w:eastAsia="zh-CN"/>
        </w:rPr>
        <w:t>d</w:t>
      </w:r>
      <w:r w:rsidRPr="00B6332B">
        <w:rPr>
          <w:rFonts w:ascii="Book Antiqua" w:eastAsia="Book Antiqua" w:hAnsi="Book Antiqua" w:cs="Book Antiqua"/>
          <w:b/>
          <w:bCs/>
          <w:i/>
          <w:iCs/>
          <w:color w:val="000000" w:themeColor="text1"/>
        </w:rPr>
        <w:t xml:space="preserve">ownloading and </w:t>
      </w:r>
      <w:r w:rsidRPr="00B6332B">
        <w:rPr>
          <w:rFonts w:ascii="Book Antiqua" w:eastAsia="宋体" w:hAnsi="Book Antiqua" w:cs="Book Antiqua" w:hint="eastAsia"/>
          <w:b/>
          <w:bCs/>
          <w:i/>
          <w:iCs/>
          <w:color w:val="000000" w:themeColor="text1"/>
          <w:lang w:eastAsia="zh-CN"/>
        </w:rPr>
        <w:t>p</w:t>
      </w:r>
      <w:r w:rsidRPr="00B6332B">
        <w:rPr>
          <w:rFonts w:ascii="Book Antiqua" w:eastAsia="Book Antiqua" w:hAnsi="Book Antiqua" w:cs="Book Antiqua"/>
          <w:b/>
          <w:bCs/>
          <w:i/>
          <w:iCs/>
          <w:color w:val="000000" w:themeColor="text1"/>
        </w:rPr>
        <w:t>rocessing</w:t>
      </w:r>
    </w:p>
    <w:p w14:paraId="5BFBC81B"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Expression data, clinical data, mutation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data, and copy data related to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were downloaded and organized from TCGA database. The GSE84433</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GSE26253</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datasets and their platform annotation files were downloaded from the GEO database. Data were analyzed and processed using R software (version 4.2.1) and Perl software (version 5.30.0).</w:t>
      </w:r>
    </w:p>
    <w:p w14:paraId="65389417"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6961FDB"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Differential and </w:t>
      </w:r>
      <w:r w:rsidRPr="00B6332B">
        <w:rPr>
          <w:rFonts w:ascii="Book Antiqua" w:eastAsia="宋体" w:hAnsi="Book Antiqua" w:cs="Book Antiqua" w:hint="eastAsia"/>
          <w:b/>
          <w:bCs/>
          <w:i/>
          <w:iCs/>
          <w:color w:val="000000" w:themeColor="text1"/>
          <w:lang w:eastAsia="zh-CN"/>
        </w:rPr>
        <w:t>p</w:t>
      </w:r>
      <w:r w:rsidRPr="00B6332B">
        <w:rPr>
          <w:rFonts w:ascii="Book Antiqua" w:eastAsia="Book Antiqua" w:hAnsi="Book Antiqua" w:cs="Book Antiqua"/>
          <w:b/>
          <w:bCs/>
          <w:i/>
          <w:iCs/>
          <w:color w:val="000000" w:themeColor="text1"/>
        </w:rPr>
        <w:t xml:space="preserve">rognostic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nalyses</w:t>
      </w:r>
    </w:p>
    <w:p w14:paraId="0850E4CF" w14:textId="1A066418"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GC-related data were extracted from TCGA database and analyzed in combination with the </w:t>
      </w:r>
      <w:r w:rsidR="00B6332B" w:rsidRPr="00B6332B">
        <w:rPr>
          <w:rFonts w:ascii="Book Antiqua" w:eastAsia="Book Antiqua" w:hAnsi="Book Antiqua" w:cs="Book Antiqua"/>
          <w:color w:val="000000" w:themeColor="text1"/>
        </w:rPr>
        <w:t xml:space="preserve">disulfidptosis-related </w:t>
      </w:r>
      <w:r w:rsidRPr="00B6332B">
        <w:rPr>
          <w:rFonts w:ascii="Book Antiqua" w:eastAsia="Book Antiqua" w:hAnsi="Book Antiqua" w:cs="Book Antiqua"/>
          <w:color w:val="000000" w:themeColor="text1"/>
        </w:rPr>
        <w:t>gene. Differential analysis, mutation load analysis, copy number variation frequency analysis, and survival analysis were performed using R software.</w:t>
      </w:r>
    </w:p>
    <w:p w14:paraId="2266A148"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64616F4"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Disulfidptosis</w:t>
      </w:r>
      <w:r w:rsidRPr="00B6332B">
        <w:rPr>
          <w:rFonts w:ascii="Book Antiqua" w:eastAsia="宋体" w:hAnsi="Book Antiqua" w:cs="Book Antiqua" w:hint="eastAsia"/>
          <w:b/>
          <w:bCs/>
          <w:i/>
          <w:iCs/>
          <w:color w:val="000000" w:themeColor="text1"/>
          <w:lang w:eastAsia="zh-CN"/>
        </w:rPr>
        <w:t xml:space="preserve"> s</w:t>
      </w:r>
      <w:r w:rsidRPr="00B6332B">
        <w:rPr>
          <w:rFonts w:ascii="Book Antiqua" w:eastAsia="Book Antiqua" w:hAnsi="Book Antiqua" w:cs="Book Antiqua"/>
          <w:b/>
          <w:bCs/>
          <w:i/>
          <w:iCs/>
          <w:color w:val="000000" w:themeColor="text1"/>
        </w:rPr>
        <w:t xml:space="preserve">ubtype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nalysis</w:t>
      </w:r>
    </w:p>
    <w:p w14:paraId="59EB79A3" w14:textId="1F7F200F"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R software was used to classify all samples related to the </w:t>
      </w:r>
      <w:r w:rsidR="00B6332B" w:rsidRPr="00B6332B">
        <w:rPr>
          <w:rFonts w:ascii="Book Antiqua" w:eastAsia="Book Antiqua" w:hAnsi="Book Antiqua" w:cs="Book Antiqua"/>
          <w:color w:val="000000" w:themeColor="text1"/>
        </w:rPr>
        <w:t>disulfidptosis-related</w:t>
      </w:r>
      <w:r w:rsidRPr="00B6332B">
        <w:rPr>
          <w:rFonts w:ascii="Book Antiqua" w:eastAsia="Book Antiqua" w:hAnsi="Book Antiqua" w:cs="Book Antiqua"/>
          <w:color w:val="000000" w:themeColor="text1"/>
        </w:rPr>
        <w:t xml:space="preserve"> gene in TCGA and GEO databases for survival analysis, heatmap clustering, gene set variation </w:t>
      </w:r>
      <w:r w:rsidRPr="00B6332B">
        <w:rPr>
          <w:rFonts w:ascii="Book Antiqua" w:eastAsia="Book Antiqua" w:hAnsi="Book Antiqua" w:cs="Book Antiqua"/>
          <w:color w:val="000000" w:themeColor="text1"/>
        </w:rPr>
        <w:lastRenderedPageBreak/>
        <w:t>analysis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(GSVA), immune cell differential analysis, subtype differential analysis, and GO and KEGG enrichment analyses.</w:t>
      </w:r>
    </w:p>
    <w:p w14:paraId="39A64ABE"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3B8E1D69"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Significant </w:t>
      </w:r>
      <w:r w:rsidRPr="00B6332B">
        <w:rPr>
          <w:rFonts w:ascii="Book Antiqua" w:eastAsia="宋体" w:hAnsi="Book Antiqua" w:cs="Book Antiqua" w:hint="eastAsia"/>
          <w:b/>
          <w:bCs/>
          <w:i/>
          <w:iCs/>
          <w:color w:val="000000" w:themeColor="text1"/>
          <w:lang w:eastAsia="zh-CN"/>
        </w:rPr>
        <w:t>d</w:t>
      </w:r>
      <w:r w:rsidRPr="00B6332B">
        <w:rPr>
          <w:rFonts w:ascii="Book Antiqua" w:eastAsia="Book Antiqua" w:hAnsi="Book Antiqua" w:cs="Book Antiqua"/>
          <w:b/>
          <w:bCs/>
          <w:i/>
          <w:iCs/>
          <w:color w:val="000000" w:themeColor="text1"/>
        </w:rPr>
        <w:t xml:space="preserve">ifferential </w:t>
      </w:r>
      <w:r w:rsidRPr="00B6332B">
        <w:rPr>
          <w:rFonts w:ascii="Book Antiqua" w:eastAsia="宋体" w:hAnsi="Book Antiqua" w:cs="Book Antiqua" w:hint="eastAsia"/>
          <w:b/>
          <w:bCs/>
          <w:i/>
          <w:iCs/>
          <w:color w:val="000000" w:themeColor="text1"/>
          <w:lang w:eastAsia="zh-CN"/>
        </w:rPr>
        <w:t>g</w:t>
      </w:r>
      <w:r w:rsidRPr="00B6332B">
        <w:rPr>
          <w:rFonts w:ascii="Book Antiqua" w:eastAsia="Book Antiqua" w:hAnsi="Book Antiqua" w:cs="Book Antiqua"/>
          <w:b/>
          <w:bCs/>
          <w:i/>
          <w:iCs/>
          <w:color w:val="000000" w:themeColor="text1"/>
        </w:rPr>
        <w:t xml:space="preserve">ene </w:t>
      </w:r>
      <w:r w:rsidRPr="00B6332B">
        <w:rPr>
          <w:rFonts w:ascii="Book Antiqua" w:eastAsia="宋体" w:hAnsi="Book Antiqua" w:cs="Book Antiqua" w:hint="eastAsia"/>
          <w:b/>
          <w:bCs/>
          <w:i/>
          <w:iCs/>
          <w:color w:val="000000" w:themeColor="text1"/>
          <w:lang w:eastAsia="zh-CN"/>
        </w:rPr>
        <w:t>s</w:t>
      </w:r>
      <w:r w:rsidRPr="00B6332B">
        <w:rPr>
          <w:rFonts w:ascii="Book Antiqua" w:eastAsia="Book Antiqua" w:hAnsi="Book Antiqua" w:cs="Book Antiqua"/>
          <w:b/>
          <w:bCs/>
          <w:i/>
          <w:iCs/>
          <w:color w:val="000000" w:themeColor="text1"/>
        </w:rPr>
        <w:t xml:space="preserve">ubtyping, </w:t>
      </w:r>
      <w:r w:rsidRPr="00B6332B">
        <w:rPr>
          <w:rFonts w:ascii="Book Antiqua" w:eastAsia="宋体" w:hAnsi="Book Antiqua" w:cs="Book Antiqua" w:hint="eastAsia"/>
          <w:b/>
          <w:bCs/>
          <w:i/>
          <w:iCs/>
          <w:color w:val="000000" w:themeColor="text1"/>
          <w:lang w:eastAsia="zh-CN"/>
        </w:rPr>
        <w:t>p</w:t>
      </w:r>
      <w:r w:rsidRPr="00B6332B">
        <w:rPr>
          <w:rFonts w:ascii="Book Antiqua" w:eastAsia="Book Antiqua" w:hAnsi="Book Antiqua" w:cs="Book Antiqua"/>
          <w:b/>
          <w:bCs/>
          <w:i/>
          <w:iCs/>
          <w:color w:val="000000" w:themeColor="text1"/>
        </w:rPr>
        <w:t xml:space="preserve">rediction </w:t>
      </w:r>
      <w:r w:rsidRPr="00B6332B">
        <w:rPr>
          <w:rFonts w:ascii="Book Antiqua" w:eastAsia="宋体" w:hAnsi="Book Antiqua" w:cs="Book Antiqua" w:hint="eastAsia"/>
          <w:b/>
          <w:bCs/>
          <w:i/>
          <w:iCs/>
          <w:color w:val="000000" w:themeColor="text1"/>
          <w:lang w:eastAsia="zh-CN"/>
        </w:rPr>
        <w:t>m</w:t>
      </w:r>
      <w:r w:rsidRPr="00B6332B">
        <w:rPr>
          <w:rFonts w:ascii="Book Antiqua" w:eastAsia="Book Antiqua" w:hAnsi="Book Antiqua" w:cs="Book Antiqua"/>
          <w:b/>
          <w:bCs/>
          <w:i/>
          <w:iCs/>
          <w:color w:val="000000" w:themeColor="text1"/>
        </w:rPr>
        <w:t xml:space="preserve">odel </w:t>
      </w:r>
      <w:r w:rsidRPr="00B6332B">
        <w:rPr>
          <w:rFonts w:ascii="Book Antiqua" w:eastAsia="宋体" w:hAnsi="Book Antiqua" w:cs="Book Antiqua" w:hint="eastAsia"/>
          <w:b/>
          <w:bCs/>
          <w:i/>
          <w:iCs/>
          <w:color w:val="000000" w:themeColor="text1"/>
          <w:lang w:eastAsia="zh-CN"/>
        </w:rPr>
        <w:t>c</w:t>
      </w:r>
      <w:r w:rsidRPr="00B6332B">
        <w:rPr>
          <w:rFonts w:ascii="Book Antiqua" w:eastAsia="Book Antiqua" w:hAnsi="Book Antiqua" w:cs="Book Antiqua"/>
          <w:b/>
          <w:bCs/>
          <w:i/>
          <w:iCs/>
          <w:color w:val="000000" w:themeColor="text1"/>
        </w:rPr>
        <w:t xml:space="preserve">onstruction, and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nalysis</w:t>
      </w:r>
    </w:p>
    <w:p w14:paraId="560B1C6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We continued to perform survival analysis, heatmap clustering, and differential analysis of the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on the samples classified by differential gene subtyping. Then, we randomly divided the significant differential samples into groups and performed </w:t>
      </w:r>
      <w:r w:rsidRPr="00B6332B">
        <w:rPr>
          <w:rFonts w:ascii="Book Antiqua" w:eastAsia="宋体" w:hAnsi="Book Antiqua" w:cs="Book Antiqua" w:hint="eastAsia"/>
          <w:color w:val="000000" w:themeColor="text1"/>
          <w:lang w:eastAsia="zh-CN"/>
        </w:rPr>
        <w:t>l</w:t>
      </w:r>
      <w:r w:rsidRPr="00B6332B">
        <w:rPr>
          <w:rFonts w:ascii="Book Antiqua" w:eastAsia="Book Antiqua" w:hAnsi="Book Antiqua" w:cs="Book Antiqua"/>
          <w:color w:val="000000" w:themeColor="text1"/>
        </w:rPr>
        <w:t>east absolute shrinkage and selection operator</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LASSO</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regression analysis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univariate and multivariate Cox regression analyses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constructed a prognostic model. Using the prognostic model, we calculated the risk score for each patient sample using the following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formula:</w:t>
      </w:r>
      <w:r w:rsidR="00D3525B" w:rsidRPr="0036500C">
        <w:rPr>
          <w:rFonts w:ascii="Book Antiqua" w:eastAsia="宋体" w:hAnsi="Book Antiqua" w:cs="Book Antiqua" w:hint="eastAsia"/>
          <w:noProof/>
          <w:color w:val="000000" w:themeColor="text1"/>
          <w:position w:val="-26"/>
          <w:shd w:val="clear" w:color="auto" w:fill="FFFFFF"/>
          <w:lang w:eastAsia="zh-CN"/>
        </w:rPr>
        <w:object w:dxaOrig="2380" w:dyaOrig="640" w14:anchorId="4B4CE1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8.75pt;height:32.75pt;mso-width-percent:0;mso-height-percent:0;mso-width-percent:0;mso-height-percent:0" o:ole="">
            <v:imagedata r:id="rId8" o:title=""/>
          </v:shape>
          <o:OLEObject Type="Embed" ProgID="Equation.KSEE3" ShapeID="_x0000_i1025" DrawAspect="Content" ObjectID="_1759335295" r:id="rId9"/>
        </w:object>
      </w:r>
      <w:r w:rsidRPr="00B6332B">
        <w:rPr>
          <w:rFonts w:ascii="Book Antiqua" w:eastAsia="宋体" w:hAnsi="Book Antiqua" w:cs="Book Antiqua" w:hint="eastAsia"/>
          <w:color w:val="000000" w:themeColor="text1"/>
          <w:shd w:val="clear" w:color="auto" w:fill="FFFFFF"/>
          <w:lang w:eastAsia="zh-CN"/>
        </w:rPr>
        <w:t>.</w:t>
      </w:r>
      <w:r w:rsidRPr="00B6332B">
        <w:rPr>
          <w:rFonts w:ascii="Book Antiqua" w:eastAsia="Book Antiqua" w:hAnsi="Book Antiqua" w:cs="Book Antiqua"/>
          <w:color w:val="000000" w:themeColor="text1"/>
        </w:rPr>
        <w:t>where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Coef</w:t>
      </w:r>
      <w:r w:rsidRPr="00B6332B">
        <w:rPr>
          <w:rFonts w:ascii="Book Antiqua" w:eastAsia="Book Antiqua" w:hAnsi="Book Antiqua" w:cs="Book Antiqua"/>
          <w:color w:val="000000" w:themeColor="text1"/>
          <w:vertAlign w:val="subscript"/>
        </w:rPr>
        <w:t>i</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is the coefficient,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X</w:t>
      </w:r>
      <w:r w:rsidRPr="00B6332B">
        <w:rPr>
          <w:rFonts w:ascii="Book Antiqua" w:eastAsia="Book Antiqua" w:hAnsi="Book Antiqua" w:cs="Book Antiqua"/>
          <w:color w:val="000000" w:themeColor="text1"/>
          <w:vertAlign w:val="subscript"/>
        </w:rPr>
        <w:t>i</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is the expression level of the gene. We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constructed a prognostic evaluation model for </w:t>
      </w:r>
      <w:r w:rsidRPr="00B6332B">
        <w:rPr>
          <w:rFonts w:ascii="Book Antiqua" w:eastAsia="宋体" w:hAnsi="Book Antiqua" w:cs="Book Antiqua" w:hint="eastAsia"/>
          <w:color w:val="000000" w:themeColor="text1"/>
          <w:lang w:eastAsia="zh-CN"/>
        </w:rPr>
        <w:t>o</w:t>
      </w:r>
      <w:r w:rsidRPr="00B6332B">
        <w:rPr>
          <w:rFonts w:ascii="Book Antiqua" w:eastAsia="Book Antiqua" w:hAnsi="Book Antiqua" w:cs="Book Antiqua"/>
          <w:color w:val="000000" w:themeColor="text1"/>
        </w:rPr>
        <w:t xml:space="preserve">verall </w:t>
      </w:r>
      <w:r w:rsidRPr="00B6332B">
        <w:rPr>
          <w:rFonts w:ascii="Book Antiqua" w:eastAsia="宋体" w:hAnsi="Book Antiqua" w:cs="Book Antiqua" w:hint="eastAsia"/>
          <w:color w:val="000000" w:themeColor="text1"/>
          <w:lang w:eastAsia="zh-CN"/>
        </w:rPr>
        <w:t>s</w:t>
      </w:r>
      <w:r w:rsidRPr="00B6332B">
        <w:rPr>
          <w:rFonts w:ascii="Book Antiqua" w:eastAsia="Book Antiqua" w:hAnsi="Book Antiqua" w:cs="Book Antiqua"/>
          <w:color w:val="000000" w:themeColor="text1"/>
        </w:rPr>
        <w:t>urvival</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based on the risk score. We then constructed a Sankey diagram and analyzed the differences in risk scores between subtypes and the differential risk of the DRGs.</w:t>
      </w:r>
    </w:p>
    <w:p w14:paraId="034EBF9F"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F19DC72"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Prognostic </w:t>
      </w:r>
      <w:r w:rsidRPr="00B6332B">
        <w:rPr>
          <w:rFonts w:ascii="Book Antiqua" w:eastAsia="宋体" w:hAnsi="Book Antiqua" w:cs="Book Antiqua" w:hint="eastAsia"/>
          <w:b/>
          <w:bCs/>
          <w:i/>
          <w:iCs/>
          <w:color w:val="000000" w:themeColor="text1"/>
          <w:lang w:eastAsia="zh-CN"/>
        </w:rPr>
        <w:t>m</w:t>
      </w:r>
      <w:r w:rsidRPr="00B6332B">
        <w:rPr>
          <w:rFonts w:ascii="Book Antiqua" w:eastAsia="Book Antiqua" w:hAnsi="Book Antiqua" w:cs="Book Antiqua"/>
          <w:b/>
          <w:bCs/>
          <w:i/>
          <w:iCs/>
          <w:color w:val="000000" w:themeColor="text1"/>
        </w:rPr>
        <w:t>odel</w:t>
      </w:r>
      <w:r w:rsidRPr="00B6332B">
        <w:rPr>
          <w:rFonts w:ascii="Book Antiqua" w:eastAsia="宋体" w:hAnsi="Book Antiqua" w:cs="Book Antiqua" w:hint="eastAsia"/>
          <w:b/>
          <w:bCs/>
          <w:i/>
          <w:iCs/>
          <w:color w:val="000000" w:themeColor="text1"/>
          <w:lang w:eastAsia="zh-CN"/>
        </w:rPr>
        <w:t xml:space="preserve"> v</w:t>
      </w:r>
      <w:r w:rsidRPr="00B6332B">
        <w:rPr>
          <w:rFonts w:ascii="Book Antiqua" w:eastAsia="Book Antiqua" w:hAnsi="Book Antiqua" w:cs="Book Antiqua"/>
          <w:b/>
          <w:bCs/>
          <w:i/>
          <w:iCs/>
          <w:color w:val="000000" w:themeColor="text1"/>
        </w:rPr>
        <w:t>alidation</w:t>
      </w:r>
    </w:p>
    <w:p w14:paraId="1E2B0FA2" w14:textId="77777777" w:rsidR="00E724E0" w:rsidRPr="00B6332B" w:rsidRDefault="00000000">
      <w:pPr>
        <w:adjustRightInd w:val="0"/>
        <w:snapToGrid w:val="0"/>
        <w:spacing w:line="360" w:lineRule="auto"/>
        <w:jc w:val="both"/>
        <w:rPr>
          <w:rFonts w:ascii="Book Antiqua" w:eastAsia="Book Antiqua" w:hAnsi="Book Antiqua" w:cs="Book Antiqua"/>
          <w:color w:val="000000" w:themeColor="text1"/>
        </w:rPr>
      </w:pPr>
      <w:r w:rsidRPr="00B6332B">
        <w:rPr>
          <w:rFonts w:ascii="Book Antiqua" w:eastAsia="Book Antiqua" w:hAnsi="Book Antiqua" w:cs="Book Antiqua"/>
          <w:color w:val="000000" w:themeColor="text1"/>
        </w:rPr>
        <w:t>The reliability of the prognostic model was verified by survival analysis, receiver operating characteristic (ROC) curve mapping, risk curve mapping, survival state map, and clustering heatmap</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of model genes in each subgroup.</w:t>
      </w:r>
    </w:p>
    <w:p w14:paraId="75037AD0" w14:textId="77777777" w:rsidR="00E724E0" w:rsidRPr="00B6332B" w:rsidRDefault="00E724E0">
      <w:pPr>
        <w:adjustRightInd w:val="0"/>
        <w:snapToGrid w:val="0"/>
        <w:spacing w:line="360" w:lineRule="auto"/>
        <w:jc w:val="both"/>
        <w:rPr>
          <w:rFonts w:ascii="Book Antiqua" w:eastAsia="Book Antiqua" w:hAnsi="Book Antiqua" w:cs="Book Antiqua"/>
          <w:color w:val="000000" w:themeColor="text1"/>
        </w:rPr>
      </w:pPr>
    </w:p>
    <w:p w14:paraId="218B69E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i/>
          <w:iCs/>
          <w:color w:val="000000" w:themeColor="text1"/>
        </w:rPr>
        <w:t>Nomogram construction and analysis of the correlation between risk score and</w:t>
      </w:r>
      <w:r w:rsidRPr="00B6332B">
        <w:rPr>
          <w:rFonts w:ascii="Book Antiqua" w:eastAsia="Book Antiqua" w:hAnsi="Book Antiqua" w:cs="Book Antiqua" w:hint="eastAsia"/>
          <w:b/>
          <w:bCs/>
          <w:i/>
          <w:iCs/>
          <w:color w:val="000000" w:themeColor="text1"/>
          <w:lang w:eastAsia="zh-CN"/>
        </w:rPr>
        <w:t xml:space="preserve"> </w:t>
      </w:r>
      <w:r w:rsidRPr="00B6332B">
        <w:rPr>
          <w:rFonts w:ascii="Book Antiqua" w:eastAsia="Book Antiqua" w:hAnsi="Book Antiqua" w:cs="Book Antiqua"/>
          <w:b/>
          <w:bCs/>
          <w:i/>
          <w:iCs/>
          <w:color w:val="000000" w:themeColor="text1"/>
        </w:rPr>
        <w:t>immunity, as well as drug susceptibility</w:t>
      </w:r>
      <w:r w:rsidRPr="00B6332B">
        <w:rPr>
          <w:rFonts w:ascii="Book Antiqua" w:eastAsia="Book Antiqua" w:hAnsi="Book Antiqua" w:cs="Book Antiqua"/>
          <w:b/>
          <w:bCs/>
          <w:i/>
          <w:iCs/>
          <w:color w:val="000000" w:themeColor="text1"/>
        </w:rPr>
        <w:br/>
      </w:r>
      <w:r w:rsidRPr="00B6332B">
        <w:rPr>
          <w:rStyle w:val="16"/>
          <w:rFonts w:ascii="Book Antiqua" w:eastAsia="Book Antiqua" w:hAnsi="Book Antiqua" w:cs="Book Antiqua"/>
          <w:color w:val="000000" w:themeColor="text1"/>
        </w:rPr>
        <w:t>Next, the independent prognostic factors of GC</w:t>
      </w:r>
      <w:r w:rsidRPr="00B6332B">
        <w:rPr>
          <w:rStyle w:val="16"/>
          <w:rFonts w:ascii="Book Antiqua" w:eastAsia="宋体" w:hAnsi="Book Antiqua" w:cs="Book Antiqua" w:hint="eastAsia"/>
          <w:color w:val="000000" w:themeColor="text1"/>
          <w:lang w:eastAsia="zh-CN"/>
        </w:rPr>
        <w:t xml:space="preserve"> </w:t>
      </w:r>
      <w:r w:rsidRPr="00B6332B">
        <w:rPr>
          <w:rStyle w:val="16"/>
          <w:rFonts w:ascii="Book Antiqua" w:eastAsia="Book Antiqua" w:hAnsi="Book Antiqua" w:cs="Book Antiqua"/>
          <w:color w:val="000000" w:themeColor="text1"/>
        </w:rPr>
        <w:t>and potential therapeutic targets were sought by constructing the column diagram, and survival</w:t>
      </w:r>
      <w:r w:rsidRPr="00B6332B">
        <w:rPr>
          <w:rStyle w:val="16"/>
          <w:rFonts w:ascii="Book Antiqua" w:eastAsia="宋体" w:hAnsi="Book Antiqua" w:cs="Book Antiqua" w:hint="eastAsia"/>
          <w:color w:val="000000" w:themeColor="text1"/>
          <w:lang w:eastAsia="zh-CN"/>
        </w:rPr>
        <w:t xml:space="preserve"> </w:t>
      </w:r>
      <w:r w:rsidRPr="00B6332B">
        <w:rPr>
          <w:rStyle w:val="16"/>
          <w:rFonts w:ascii="Book Antiqua" w:eastAsia="Book Antiqua" w:hAnsi="Book Antiqua" w:cs="Book Antiqua"/>
          <w:color w:val="000000" w:themeColor="text1"/>
        </w:rPr>
        <w:t>analysis of potential prognostic genes was performed by Gene Expression Profiling Interactive Analysis</w:t>
      </w:r>
      <w:r w:rsidRPr="00B6332B">
        <w:rPr>
          <w:rStyle w:val="16"/>
          <w:rFonts w:ascii="Book Antiqua" w:eastAsia="宋体" w:hAnsi="Book Antiqua" w:cs="Book Antiqua" w:hint="eastAsia"/>
          <w:color w:val="000000" w:themeColor="text1"/>
          <w:lang w:eastAsia="zh-CN"/>
        </w:rPr>
        <w:t xml:space="preserve"> (GEPIA)</w:t>
      </w:r>
      <w:r w:rsidRPr="00B6332B">
        <w:rPr>
          <w:rStyle w:val="16"/>
          <w:rFonts w:ascii="Book Antiqua" w:eastAsia="Book Antiqua" w:hAnsi="Book Antiqua" w:cs="Book Antiqua"/>
          <w:color w:val="000000" w:themeColor="text1"/>
        </w:rPr>
        <w:t>. Subsequently, immune cell correlation analysis, tumor microenvironment (TME) difference analysis, waterfall map construction, tumor mutation load analysis, microsatellite instability</w:t>
      </w:r>
      <w:r w:rsidRPr="00B6332B">
        <w:rPr>
          <w:rStyle w:val="16"/>
          <w:rFonts w:ascii="Book Antiqua" w:eastAsia="宋体" w:hAnsi="Book Antiqua" w:cs="Book Antiqua" w:hint="eastAsia"/>
          <w:color w:val="000000" w:themeColor="text1"/>
          <w:lang w:eastAsia="zh-CN"/>
        </w:rPr>
        <w:t xml:space="preserve"> (</w:t>
      </w:r>
      <w:r w:rsidRPr="00B6332B">
        <w:rPr>
          <w:rStyle w:val="16"/>
          <w:rFonts w:ascii="Book Antiqua" w:eastAsia="Book Antiqua" w:hAnsi="Book Antiqua" w:cs="Book Antiqua"/>
          <w:color w:val="000000" w:themeColor="text1"/>
        </w:rPr>
        <w:t>MSI</w:t>
      </w:r>
      <w:r w:rsidRPr="00B6332B">
        <w:rPr>
          <w:rStyle w:val="16"/>
          <w:rFonts w:ascii="Book Antiqua" w:eastAsia="宋体" w:hAnsi="Book Antiqua" w:cs="Book Antiqua" w:hint="eastAsia"/>
          <w:color w:val="000000" w:themeColor="text1"/>
          <w:lang w:eastAsia="zh-CN"/>
        </w:rPr>
        <w:t>)</w:t>
      </w:r>
      <w:r w:rsidRPr="00B6332B">
        <w:rPr>
          <w:rStyle w:val="16"/>
          <w:rFonts w:ascii="Book Antiqua" w:eastAsia="Book Antiqua" w:hAnsi="Book Antiqua" w:cs="Book Antiqua"/>
          <w:color w:val="000000" w:themeColor="text1"/>
        </w:rPr>
        <w:t>, stem cell correlation analysis, and drug sensitivity analysis were performed for the risk score.</w:t>
      </w:r>
    </w:p>
    <w:p w14:paraId="7C6ADC25"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A8C62BE"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Immunohistochemical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nalysis</w:t>
      </w:r>
    </w:p>
    <w:p w14:paraId="66B4CAB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We conducted immunohistochemical analysis of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using the </w:t>
      </w:r>
      <w:r w:rsidRPr="00B6332B">
        <w:rPr>
          <w:rFonts w:ascii="Book Antiqua" w:eastAsia="宋体" w:hAnsi="Book Antiqua" w:cs="Book Antiqua" w:hint="eastAsia"/>
          <w:color w:val="000000" w:themeColor="text1"/>
          <w:lang w:eastAsia="zh-CN"/>
        </w:rPr>
        <w:t>h</w:t>
      </w:r>
      <w:r w:rsidRPr="00B6332B">
        <w:rPr>
          <w:rFonts w:ascii="Book Antiqua" w:eastAsia="Book Antiqua" w:hAnsi="Book Antiqua" w:cs="Book Antiqua"/>
          <w:color w:val="000000" w:themeColor="text1"/>
        </w:rPr>
        <w:t xml:space="preserve">uman </w:t>
      </w:r>
      <w:r w:rsidRPr="00B6332B">
        <w:rPr>
          <w:rFonts w:ascii="Book Antiqua" w:eastAsia="宋体" w:hAnsi="Book Antiqua" w:cs="Book Antiqua" w:hint="eastAsia"/>
          <w:color w:val="000000" w:themeColor="text1"/>
          <w:lang w:eastAsia="zh-CN"/>
        </w:rPr>
        <w:t>p</w:t>
      </w:r>
      <w:r w:rsidRPr="00B6332B">
        <w:rPr>
          <w:rFonts w:ascii="Book Antiqua" w:eastAsia="Book Antiqua" w:hAnsi="Book Antiqua" w:cs="Book Antiqua"/>
          <w:color w:val="000000" w:themeColor="text1"/>
        </w:rPr>
        <w:t xml:space="preserve">rotein </w:t>
      </w:r>
      <w:r w:rsidRPr="00B6332B">
        <w:rPr>
          <w:rFonts w:ascii="Book Antiqua" w:eastAsia="宋体" w:hAnsi="Book Antiqua" w:cs="Book Antiqua" w:hint="eastAsia"/>
          <w:color w:val="000000" w:themeColor="text1"/>
          <w:lang w:eastAsia="zh-CN"/>
        </w:rPr>
        <w:t>a</w:t>
      </w:r>
      <w:r w:rsidRPr="00B6332B">
        <w:rPr>
          <w:rFonts w:ascii="Book Antiqua" w:eastAsia="Book Antiqua" w:hAnsi="Book Antiqua" w:cs="Book Antiqua"/>
          <w:color w:val="000000" w:themeColor="text1"/>
        </w:rPr>
        <w:t>tlas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(HPA) network database, comparing the differences in protein expression between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tissues and adjacent normal tissues.</w:t>
      </w:r>
    </w:p>
    <w:p w14:paraId="40D0E6EE"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9381141"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Statistical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nalysis</w:t>
      </w:r>
    </w:p>
    <w:p w14:paraId="66FAA77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All statistical analyses were performed using R software (version 4.2.1). A </w:t>
      </w:r>
      <w:r w:rsidRPr="00B6332B">
        <w:rPr>
          <w:rFonts w:ascii="Book Antiqua" w:eastAsia="Book Antiqua" w:hAnsi="Book Antiqua" w:cs="Book Antiqua"/>
          <w:i/>
          <w:iCs/>
          <w:color w:val="000000" w:themeColor="text1"/>
        </w:rPr>
        <w:t>P</w:t>
      </w:r>
      <w:r w:rsidRPr="00B6332B">
        <w:rPr>
          <w:rFonts w:ascii="Book Antiqua" w:eastAsia="Book Antiqua" w:hAnsi="Book Antiqua" w:cs="Book Antiqua"/>
          <w:color w:val="000000" w:themeColor="text1"/>
        </w:rPr>
        <w:t>-value &lt;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0.05 was considered statistically significant.</w:t>
      </w:r>
    </w:p>
    <w:p w14:paraId="38F6F9DD"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5DC5C4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aps/>
          <w:color w:val="000000" w:themeColor="text1"/>
          <w:u w:val="single"/>
        </w:rPr>
        <w:t>RESULTS</w:t>
      </w:r>
    </w:p>
    <w:p w14:paraId="21CC7366"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Style w:val="15"/>
          <w:rFonts w:ascii="Book Antiqua" w:eastAsia="Book Antiqua" w:hAnsi="Book Antiqua" w:cs="Book Antiqua"/>
          <w:b/>
          <w:bCs/>
          <w:i/>
          <w:iCs/>
          <w:color w:val="000000" w:themeColor="text1"/>
        </w:rPr>
        <w:t xml:space="preserve">Difference </w:t>
      </w:r>
      <w:r w:rsidRPr="00B6332B">
        <w:rPr>
          <w:rStyle w:val="15"/>
          <w:rFonts w:ascii="Book Antiqua" w:eastAsia="宋体" w:hAnsi="Book Antiqua" w:cs="Book Antiqua" w:hint="eastAsia"/>
          <w:b/>
          <w:bCs/>
          <w:i/>
          <w:iCs/>
          <w:color w:val="000000" w:themeColor="text1"/>
          <w:lang w:eastAsia="zh-CN"/>
        </w:rPr>
        <w:t>a</w:t>
      </w:r>
      <w:r w:rsidRPr="00B6332B">
        <w:rPr>
          <w:rStyle w:val="15"/>
          <w:rFonts w:ascii="Book Antiqua" w:eastAsia="Book Antiqua" w:hAnsi="Book Antiqua" w:cs="Book Antiqua"/>
          <w:b/>
          <w:bCs/>
          <w:i/>
          <w:iCs/>
          <w:color w:val="000000" w:themeColor="text1"/>
        </w:rPr>
        <w:t>nalysis</w:t>
      </w:r>
      <w:r w:rsidRPr="00B6332B">
        <w:rPr>
          <w:rStyle w:val="15"/>
          <w:rFonts w:ascii="Book Antiqua" w:eastAsia="宋体" w:hAnsi="Book Antiqua" w:cs="Book Antiqua" w:hint="eastAsia"/>
          <w:b/>
          <w:bCs/>
          <w:i/>
          <w:iCs/>
          <w:color w:val="000000" w:themeColor="text1"/>
          <w:lang w:eastAsia="zh-CN"/>
        </w:rPr>
        <w:t xml:space="preserve"> </w:t>
      </w:r>
      <w:r w:rsidRPr="00B6332B">
        <w:rPr>
          <w:rStyle w:val="15"/>
          <w:rFonts w:ascii="Book Antiqua" w:eastAsia="Book Antiqua" w:hAnsi="Book Antiqua" w:cs="Book Antiqua"/>
          <w:b/>
          <w:bCs/>
          <w:i/>
          <w:iCs/>
          <w:color w:val="000000" w:themeColor="text1"/>
        </w:rPr>
        <w:t xml:space="preserve">and </w:t>
      </w:r>
      <w:r w:rsidRPr="00B6332B">
        <w:rPr>
          <w:rStyle w:val="15"/>
          <w:rFonts w:ascii="Book Antiqua" w:eastAsia="宋体" w:hAnsi="Book Antiqua" w:cs="Book Antiqua" w:hint="eastAsia"/>
          <w:b/>
          <w:bCs/>
          <w:i/>
          <w:iCs/>
          <w:color w:val="000000" w:themeColor="text1"/>
          <w:lang w:eastAsia="zh-CN"/>
        </w:rPr>
        <w:t>p</w:t>
      </w:r>
      <w:r w:rsidRPr="00B6332B">
        <w:rPr>
          <w:rStyle w:val="15"/>
          <w:rFonts w:ascii="Book Antiqua" w:eastAsia="Book Antiqua" w:hAnsi="Book Antiqua" w:cs="Book Antiqua"/>
          <w:b/>
          <w:bCs/>
          <w:i/>
          <w:iCs/>
          <w:color w:val="000000" w:themeColor="text1"/>
        </w:rPr>
        <w:t xml:space="preserve">rognosis </w:t>
      </w:r>
      <w:r w:rsidRPr="00B6332B">
        <w:rPr>
          <w:rStyle w:val="15"/>
          <w:rFonts w:ascii="Book Antiqua" w:eastAsia="宋体" w:hAnsi="Book Antiqua" w:cs="Book Antiqua" w:hint="eastAsia"/>
          <w:b/>
          <w:bCs/>
          <w:i/>
          <w:iCs/>
          <w:color w:val="000000" w:themeColor="text1"/>
          <w:lang w:eastAsia="zh-CN"/>
        </w:rPr>
        <w:t>a</w:t>
      </w:r>
      <w:r w:rsidRPr="00B6332B">
        <w:rPr>
          <w:rStyle w:val="15"/>
          <w:rFonts w:ascii="Book Antiqua" w:eastAsia="Book Antiqua" w:hAnsi="Book Antiqua" w:cs="Book Antiqua"/>
          <w:b/>
          <w:bCs/>
          <w:i/>
          <w:iCs/>
          <w:color w:val="000000" w:themeColor="text1"/>
        </w:rPr>
        <w:t xml:space="preserve">nalysis of </w:t>
      </w:r>
      <w:r w:rsidRPr="00B6332B">
        <w:rPr>
          <w:rFonts w:ascii="Book Antiqua" w:eastAsia="Book Antiqua" w:hAnsi="Book Antiqua" w:cs="Book Antiqua"/>
          <w:b/>
          <w:bCs/>
          <w:i/>
          <w:iCs/>
          <w:color w:val="000000" w:themeColor="text1"/>
        </w:rPr>
        <w:t>DRGs</w:t>
      </w:r>
    </w:p>
    <w:p w14:paraId="3B73C9AD" w14:textId="748CA0B8"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Style w:val="15"/>
          <w:rFonts w:ascii="Book Antiqua" w:eastAsia="Book Antiqua" w:hAnsi="Book Antiqua" w:cs="Book Antiqua"/>
          <w:color w:val="000000" w:themeColor="text1"/>
        </w:rPr>
        <w:t>Difference</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analysis</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revealed</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that 10 </w:t>
      </w:r>
      <w:r w:rsidRPr="00B6332B">
        <w:rPr>
          <w:rFonts w:ascii="Book Antiqua" w:eastAsia="Book Antiqua" w:hAnsi="Book Antiqua" w:cs="Book Antiqua"/>
          <w:color w:val="000000" w:themeColor="text1"/>
        </w:rPr>
        <w:t>DRGs</w:t>
      </w:r>
      <w:r w:rsidRPr="00B6332B">
        <w:rPr>
          <w:rStyle w:val="15"/>
          <w:rFonts w:ascii="Book Antiqua" w:eastAsia="Book Antiqua" w:hAnsi="Book Antiqua" w:cs="Book Antiqua"/>
          <w:color w:val="000000" w:themeColor="text1"/>
        </w:rPr>
        <w:t xml:space="preserve">, namely, </w:t>
      </w:r>
      <w:r w:rsidRPr="00B6332B">
        <w:rPr>
          <w:rStyle w:val="15"/>
          <w:rFonts w:ascii="Book Antiqua" w:eastAsia="Book Antiqua" w:hAnsi="Book Antiqua" w:cs="Book Antiqua"/>
          <w:i/>
          <w:iCs/>
          <w:color w:val="000000" w:themeColor="text1"/>
        </w:rPr>
        <w:t>ACTN4</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ACTB</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CD2AP</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CAPZB</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FLNB</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INF2</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IQGAP1</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MYH10</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MYH9</w:t>
      </w:r>
      <w:r w:rsidRPr="00B6332B">
        <w:rPr>
          <w:rStyle w:val="15"/>
          <w:rFonts w:ascii="Book Antiqua" w:eastAsia="Book Antiqua" w:hAnsi="Book Antiqua" w:cs="Book Antiqua"/>
          <w:color w:val="000000" w:themeColor="text1"/>
        </w:rPr>
        <w:t>,</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and </w:t>
      </w:r>
      <w:r w:rsidRPr="00B6332B">
        <w:rPr>
          <w:rStyle w:val="15"/>
          <w:rFonts w:ascii="Book Antiqua" w:eastAsia="Book Antiqua" w:hAnsi="Book Antiqua" w:cs="Book Antiqua"/>
          <w:i/>
          <w:iCs/>
          <w:color w:val="000000" w:themeColor="text1"/>
        </w:rPr>
        <w:t>PDLIM1</w:t>
      </w:r>
      <w:r w:rsidRPr="00B6332B">
        <w:rPr>
          <w:rStyle w:val="15"/>
          <w:rFonts w:ascii="Book Antiqua" w:eastAsia="Book Antiqua" w:hAnsi="Book Antiqua" w:cs="Book Antiqua"/>
          <w:color w:val="000000" w:themeColor="text1"/>
        </w:rPr>
        <w:t>, were significantly different in GC</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samples and adjacent normal tissue samples (Figure 1A). Through mutation load analysis, copy number variation frequency analysis,</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and a genosphere map, we</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found that </w:t>
      </w:r>
      <w:r w:rsidRPr="00B6332B">
        <w:rPr>
          <w:rStyle w:val="15"/>
          <w:rFonts w:ascii="Book Antiqua" w:eastAsia="Book Antiqua" w:hAnsi="Book Antiqua" w:cs="Book Antiqua"/>
          <w:i/>
          <w:iCs/>
          <w:color w:val="000000" w:themeColor="text1"/>
        </w:rPr>
        <w:t>CAPZB</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and </w:t>
      </w:r>
      <w:r w:rsidRPr="00B6332B">
        <w:rPr>
          <w:rStyle w:val="15"/>
          <w:rFonts w:ascii="Book Antiqua" w:eastAsia="Book Antiqua" w:hAnsi="Book Antiqua" w:cs="Book Antiqua"/>
          <w:i/>
          <w:iCs/>
          <w:color w:val="000000" w:themeColor="text1"/>
        </w:rPr>
        <w:t>MYL6</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were not mutated, while </w:t>
      </w:r>
      <w:r w:rsidRPr="00B6332B">
        <w:rPr>
          <w:rStyle w:val="15"/>
          <w:rFonts w:ascii="Book Antiqua" w:eastAsia="Book Antiqua" w:hAnsi="Book Antiqua" w:cs="Book Antiqua"/>
          <w:i/>
          <w:iCs/>
          <w:color w:val="000000" w:themeColor="text1"/>
        </w:rPr>
        <w:t xml:space="preserve">MYH10 </w:t>
      </w:r>
      <w:r w:rsidRPr="00B6332B">
        <w:rPr>
          <w:rStyle w:val="15"/>
          <w:rFonts w:ascii="Book Antiqua" w:eastAsia="Book Antiqua" w:hAnsi="Book Antiqua" w:cs="Book Antiqua"/>
          <w:color w:val="000000" w:themeColor="text1"/>
        </w:rPr>
        <w:t>had the most mutations.</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It was also found that </w:t>
      </w:r>
      <w:r w:rsidRPr="00B6332B">
        <w:rPr>
          <w:rStyle w:val="15"/>
          <w:rFonts w:ascii="Book Antiqua" w:eastAsia="Book Antiqua" w:hAnsi="Book Antiqua" w:cs="Book Antiqua"/>
          <w:i/>
          <w:iCs/>
          <w:color w:val="000000" w:themeColor="text1"/>
        </w:rPr>
        <w:t>CAPZB</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had the most deletion mutations, while</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i/>
          <w:iCs/>
          <w:color w:val="000000" w:themeColor="text1"/>
        </w:rPr>
        <w:t>IQGAP1</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had the most insertion mutations. Cyclic</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analysis</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led to the identification of</w:t>
      </w:r>
      <w:r w:rsidRPr="00B6332B">
        <w:rPr>
          <w:rStyle w:val="15"/>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disulfidptosis</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mutations in 14 chromosomes (Figure 1B</w:t>
      </w:r>
      <w:r w:rsidRPr="00B6332B">
        <w:rPr>
          <w:rStyle w:val="15"/>
          <w:rFonts w:ascii="Book Antiqua" w:eastAsia="宋体" w:hAnsi="Book Antiqua" w:cs="Book Antiqua" w:hint="eastAsia"/>
          <w:color w:val="000000" w:themeColor="text1"/>
          <w:lang w:eastAsia="zh-CN"/>
        </w:rPr>
        <w:t>-</w:t>
      </w:r>
      <w:r w:rsidRPr="00B6332B">
        <w:rPr>
          <w:rStyle w:val="15"/>
          <w:rFonts w:ascii="Book Antiqua" w:eastAsia="Book Antiqua" w:hAnsi="Book Antiqua" w:cs="Book Antiqua"/>
          <w:color w:val="000000" w:themeColor="text1"/>
        </w:rPr>
        <w:t>D).</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Moreover, survival</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analysis showed that patients with high expression of </w:t>
      </w:r>
      <w:r w:rsidRPr="00B6332B">
        <w:rPr>
          <w:rStyle w:val="15"/>
          <w:rFonts w:ascii="Book Antiqua" w:eastAsia="Book Antiqua" w:hAnsi="Book Antiqua" w:cs="Book Antiqua"/>
          <w:i/>
          <w:iCs/>
          <w:color w:val="000000" w:themeColor="text1"/>
        </w:rPr>
        <w:t>TLN1</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MYL6</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MYH10</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MYH9</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IQGAP1</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INF2</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FLNA</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DSTN</w:t>
      </w:r>
      <w:r w:rsidRPr="00B6332B">
        <w:rPr>
          <w:rStyle w:val="15"/>
          <w:rFonts w:ascii="Book Antiqua" w:eastAsia="Book Antiqua" w:hAnsi="Book Antiqua" w:cs="Book Antiqua"/>
          <w:color w:val="000000" w:themeColor="text1"/>
        </w:rPr>
        <w:t>,</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and </w:t>
      </w:r>
      <w:r w:rsidRPr="00B6332B">
        <w:rPr>
          <w:rStyle w:val="15"/>
          <w:rFonts w:ascii="Book Antiqua" w:eastAsia="Book Antiqua" w:hAnsi="Book Antiqua" w:cs="Book Antiqua"/>
          <w:i/>
          <w:iCs/>
          <w:color w:val="000000" w:themeColor="text1"/>
        </w:rPr>
        <w:t>ACTB</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had a</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reduced survival time,</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while those with high expression of </w:t>
      </w:r>
      <w:r w:rsidRPr="00B6332B">
        <w:rPr>
          <w:rStyle w:val="15"/>
          <w:rFonts w:ascii="Book Antiqua" w:eastAsia="Book Antiqua" w:hAnsi="Book Antiqua" w:cs="Book Antiqua"/>
          <w:i/>
          <w:iCs/>
          <w:color w:val="000000" w:themeColor="text1"/>
        </w:rPr>
        <w:t>PDLIM1</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had an increased survival time (Figure 2A–</w:t>
      </w:r>
      <w:r w:rsidRPr="00B6332B">
        <w:rPr>
          <w:rStyle w:val="15"/>
          <w:rFonts w:ascii="Book Antiqua" w:eastAsia="宋体" w:hAnsi="Book Antiqua" w:cs="Book Antiqua" w:hint="eastAsia"/>
          <w:color w:val="000000" w:themeColor="text1"/>
          <w:lang w:eastAsia="zh-CN"/>
        </w:rPr>
        <w:t>J</w:t>
      </w:r>
      <w:r w:rsidRPr="00B6332B">
        <w:rPr>
          <w:rStyle w:val="15"/>
          <w:rFonts w:ascii="Book Antiqua" w:eastAsia="Book Antiqua" w:hAnsi="Book Antiqua" w:cs="Book Antiqua"/>
          <w:color w:val="000000" w:themeColor="text1"/>
        </w:rPr>
        <w:t xml:space="preserve">). Prognostic network diagram analysis showed that </w:t>
      </w:r>
      <w:r w:rsidR="00B6332B" w:rsidRPr="00B6332B">
        <w:rPr>
          <w:rFonts w:ascii="Book Antiqua" w:eastAsia="Book Antiqua" w:hAnsi="Book Antiqua" w:cs="Book Antiqua"/>
          <w:color w:val="000000" w:themeColor="text1"/>
        </w:rPr>
        <w:t>disulfidptosis-related</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genes, including</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i/>
          <w:iCs/>
          <w:color w:val="000000" w:themeColor="text1"/>
        </w:rPr>
        <w:t>PDLIM1</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FLNA</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MYH10</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MYL6</w:t>
      </w:r>
      <w:r w:rsidRPr="00B6332B">
        <w:rPr>
          <w:rStyle w:val="15"/>
          <w:rFonts w:ascii="Book Antiqua" w:eastAsia="Book Antiqua" w:hAnsi="Book Antiqua" w:cs="Book Antiqua"/>
          <w:color w:val="000000" w:themeColor="text1"/>
        </w:rPr>
        <w:t>,</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and </w:t>
      </w:r>
      <w:r w:rsidRPr="00B6332B">
        <w:rPr>
          <w:rStyle w:val="15"/>
          <w:rFonts w:ascii="Book Antiqua" w:eastAsia="Book Antiqua" w:hAnsi="Book Antiqua" w:cs="Book Antiqua"/>
          <w:i/>
          <w:iCs/>
          <w:color w:val="000000" w:themeColor="text1"/>
        </w:rPr>
        <w:t>DSTN</w:t>
      </w:r>
      <w:r w:rsidRPr="00B6332B">
        <w:rPr>
          <w:rStyle w:val="15"/>
          <w:rFonts w:ascii="Book Antiqua" w:eastAsia="Book Antiqua" w:hAnsi="Book Antiqua" w:cs="Book Antiqua"/>
          <w:color w:val="000000" w:themeColor="text1"/>
        </w:rPr>
        <w:t>,</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were significantly correlated with the prognosis of GC</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w:t>
      </w:r>
      <w:r w:rsidRPr="00B6332B">
        <w:rPr>
          <w:rStyle w:val="15"/>
          <w:rFonts w:ascii="Book Antiqua" w:eastAsia="Book Antiqua" w:hAnsi="Book Antiqua" w:cs="Book Antiqua"/>
          <w:i/>
          <w:iCs/>
          <w:color w:val="000000" w:themeColor="text1"/>
        </w:rPr>
        <w:t>P</w:t>
      </w:r>
      <w:r w:rsidRPr="00B6332B">
        <w:rPr>
          <w:rStyle w:val="15"/>
          <w:rFonts w:ascii="Book Antiqua" w:eastAsia="Book Antiqua" w:hAnsi="Book Antiqua" w:cs="Book Antiqua"/>
          <w:color w:val="000000" w:themeColor="text1"/>
        </w:rPr>
        <w:t xml:space="preserve"> &lt; 0.05), and </w:t>
      </w:r>
      <w:r w:rsidRPr="00B6332B">
        <w:rPr>
          <w:rStyle w:val="15"/>
          <w:rFonts w:ascii="Book Antiqua" w:eastAsia="Book Antiqua" w:hAnsi="Book Antiqua" w:cs="Book Antiqua"/>
          <w:i/>
          <w:iCs/>
          <w:color w:val="000000" w:themeColor="text1"/>
        </w:rPr>
        <w:t>DSTN</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FLNA</w:t>
      </w:r>
      <w:r w:rsidRPr="00B6332B">
        <w:rPr>
          <w:rStyle w:val="15"/>
          <w:rFonts w:ascii="Book Antiqua" w:eastAsia="Book Antiqua" w:hAnsi="Book Antiqua" w:cs="Book Antiqua"/>
          <w:color w:val="000000" w:themeColor="text1"/>
        </w:rPr>
        <w:t xml:space="preserve">, </w:t>
      </w:r>
      <w:r w:rsidRPr="00B6332B">
        <w:rPr>
          <w:rStyle w:val="15"/>
          <w:rFonts w:ascii="Book Antiqua" w:eastAsia="Book Antiqua" w:hAnsi="Book Antiqua" w:cs="Book Antiqua"/>
          <w:i/>
          <w:iCs/>
          <w:color w:val="000000" w:themeColor="text1"/>
        </w:rPr>
        <w:t>MYH10</w:t>
      </w:r>
      <w:r w:rsidRPr="00B6332B">
        <w:rPr>
          <w:rStyle w:val="15"/>
          <w:rFonts w:ascii="Book Antiqua" w:eastAsia="Book Antiqua" w:hAnsi="Book Antiqua" w:cs="Book Antiqua"/>
          <w:color w:val="000000" w:themeColor="text1"/>
        </w:rPr>
        <w:t>,</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and </w:t>
      </w:r>
      <w:r w:rsidRPr="00B6332B">
        <w:rPr>
          <w:rStyle w:val="15"/>
          <w:rFonts w:ascii="Book Antiqua" w:eastAsia="Book Antiqua" w:hAnsi="Book Antiqua" w:cs="Book Antiqua"/>
          <w:i/>
          <w:iCs/>
          <w:color w:val="000000" w:themeColor="text1"/>
        </w:rPr>
        <w:t>MYL6</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 xml:space="preserve">were risk factors for the prognosis of GC, while </w:t>
      </w:r>
      <w:r w:rsidRPr="00B6332B">
        <w:rPr>
          <w:rStyle w:val="15"/>
          <w:rFonts w:ascii="Book Antiqua" w:eastAsia="Book Antiqua" w:hAnsi="Book Antiqua" w:cs="Book Antiqua"/>
          <w:i/>
          <w:iCs/>
          <w:color w:val="000000" w:themeColor="text1"/>
        </w:rPr>
        <w:t>PDLIM1</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was a favorable factor for the prognosis of GC</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(Figure 2</w:t>
      </w:r>
      <w:r w:rsidRPr="00B6332B">
        <w:rPr>
          <w:rStyle w:val="15"/>
          <w:rFonts w:ascii="Book Antiqua" w:eastAsia="宋体" w:hAnsi="Book Antiqua" w:cs="Book Antiqua" w:hint="eastAsia"/>
          <w:color w:val="000000" w:themeColor="text1"/>
          <w:lang w:eastAsia="zh-CN"/>
        </w:rPr>
        <w:t>K</w:t>
      </w:r>
      <w:r w:rsidRPr="00B6332B">
        <w:rPr>
          <w:rStyle w:val="15"/>
          <w:rFonts w:ascii="Book Antiqua" w:eastAsia="Book Antiqua" w:hAnsi="Book Antiqua" w:cs="Book Antiqua"/>
          <w:color w:val="000000" w:themeColor="text1"/>
        </w:rPr>
        <w:t>).</w:t>
      </w:r>
    </w:p>
    <w:p w14:paraId="640CBF79"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81A65B0"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Subtyping of the DRGs</w:t>
      </w:r>
      <w:r w:rsidRPr="00B6332B">
        <w:rPr>
          <w:rFonts w:ascii="Book Antiqua" w:eastAsia="宋体" w:hAnsi="Book Antiqua" w:cs="Book Antiqua" w:hint="eastAsia"/>
          <w:b/>
          <w:bCs/>
          <w:i/>
          <w:iCs/>
          <w:color w:val="000000" w:themeColor="text1"/>
          <w:lang w:eastAsia="zh-CN"/>
        </w:rPr>
        <w:t xml:space="preserve"> </w:t>
      </w:r>
      <w:r w:rsidRPr="00B6332B">
        <w:rPr>
          <w:rFonts w:ascii="Book Antiqua" w:eastAsia="Book Antiqua" w:hAnsi="Book Antiqua" w:cs="Book Antiqua"/>
          <w:b/>
          <w:bCs/>
          <w:i/>
          <w:iCs/>
          <w:color w:val="000000" w:themeColor="text1"/>
        </w:rPr>
        <w:t xml:space="preserve">and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 xml:space="preserve">nalysis </w:t>
      </w:r>
      <w:r w:rsidRPr="00B6332B">
        <w:rPr>
          <w:rFonts w:ascii="Book Antiqua" w:eastAsia="宋体" w:hAnsi="Book Antiqua" w:cs="Book Antiqua" w:hint="eastAsia"/>
          <w:b/>
          <w:bCs/>
          <w:i/>
          <w:iCs/>
          <w:color w:val="000000" w:themeColor="text1"/>
          <w:lang w:eastAsia="zh-CN"/>
        </w:rPr>
        <w:t>t</w:t>
      </w:r>
      <w:r w:rsidRPr="00B6332B">
        <w:rPr>
          <w:rFonts w:ascii="Book Antiqua" w:eastAsia="Book Antiqua" w:hAnsi="Book Antiqua" w:cs="Book Antiqua"/>
          <w:b/>
          <w:bCs/>
          <w:i/>
          <w:iCs/>
          <w:color w:val="000000" w:themeColor="text1"/>
        </w:rPr>
        <w:t>hrough</w:t>
      </w:r>
      <w:r w:rsidRPr="00B6332B">
        <w:rPr>
          <w:rFonts w:ascii="Book Antiqua" w:eastAsia="宋体" w:hAnsi="Book Antiqua" w:cs="Book Antiqua" w:hint="eastAsia"/>
          <w:b/>
          <w:bCs/>
          <w:i/>
          <w:iCs/>
          <w:color w:val="000000" w:themeColor="text1"/>
          <w:lang w:eastAsia="zh-CN"/>
        </w:rPr>
        <w:t xml:space="preserve"> </w:t>
      </w:r>
      <w:r w:rsidRPr="00B6332B">
        <w:rPr>
          <w:rFonts w:ascii="Book Antiqua" w:eastAsia="Book Antiqua" w:hAnsi="Book Antiqua" w:cs="Book Antiqua"/>
          <w:b/>
          <w:bCs/>
          <w:i/>
          <w:iCs/>
          <w:color w:val="000000" w:themeColor="text1"/>
        </w:rPr>
        <w:t xml:space="preserve">GSVA, single-sample gene set enrichment analysis, GO, and KEGG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nalyses</w:t>
      </w:r>
    </w:p>
    <w:p w14:paraId="07BBFDE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lastRenderedPageBreak/>
        <w:t>Through clustering analysis of the DRG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samples, we found that the best way to divide the samples was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into two subtypes, A and B (Figure 3A</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 xml:space="preserve">D). Through survival analysis of the two subtypes, we found significant differences between the groups, </w:t>
      </w:r>
      <w:r w:rsidRPr="00B6332B">
        <w:rPr>
          <w:rFonts w:ascii="Book Antiqua" w:eastAsia="Book Antiqua" w:hAnsi="Book Antiqua" w:cs="Book Antiqua"/>
          <w:i/>
          <w:iCs/>
          <w:color w:val="000000" w:themeColor="text1"/>
        </w:rPr>
        <w:t>P</w:t>
      </w:r>
      <w:r w:rsidRPr="00B6332B">
        <w:rPr>
          <w:rFonts w:ascii="Book Antiqua" w:eastAsia="Book Antiqua" w:hAnsi="Book Antiqua" w:cs="Book Antiqua"/>
          <w:color w:val="000000" w:themeColor="text1"/>
        </w:rPr>
        <w:t xml:space="preserve"> &lt; 0.05 (Figure 3E), and through clustering heatmap</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analysis, we found that most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were upregulated in cluster A and downregulated in cluster B (Figure 3F). Using the GSVA package in R software, we performed KEGG pathway enrichment analysis on the DRG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subtyping samples and found that the significantly different pathways enriched in the two subtypes included glutamate and glutamine metabolism,</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shd w:val="clear" w:color="auto" w:fill="FFFFFF"/>
        </w:rPr>
        <w:t>extracellular matrix</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receptor interaction, the transforming growth factor-beta </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TGF-β</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 xml:space="preserve"> signaling pathway, and the pentose phosphate pathway (Figure 4A). Through GO functional enrichment analysis of the DRG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subtyping samples with the GSVA package in R, we found that the main enrichment was in the positive regulation of the transforming growth factor receptor and Wnt signaling pathways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(Figure 4B). We also</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found significant differences in immune cells,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such as activated CD4 T cells,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activated CD8 T cells,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between subtypes A and B, according to the analysis of the differences in immune cells between the subtypes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(Figure 5A). Subtype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differential analysis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led to the identification of</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282 significantly different co-expressed genes between subtypes A and B (Figure 5B</w:t>
      </w:r>
      <w:r w:rsidRPr="00B6332B">
        <w:rPr>
          <w:rFonts w:ascii="Book Antiqua" w:eastAsia="宋体" w:hAnsi="Book Antiqua" w:cs="Book Antiqua" w:hint="eastAsia"/>
          <w:color w:val="000000" w:themeColor="text1"/>
          <w:lang w:eastAsia="zh-CN"/>
        </w:rPr>
        <w:t xml:space="preserve"> and</w:t>
      </w:r>
      <w:r w:rsidRPr="00B6332B">
        <w:rPr>
          <w:rFonts w:ascii="Book Antiqua" w:eastAsia="Book Antiqua" w:hAnsi="Book Antiqua" w:cs="Book Antiqua"/>
          <w:color w:val="000000" w:themeColor="text1"/>
        </w:rPr>
        <w:t xml:space="preserve"> C). Moreover,</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GO analysis of these differentially expressed genes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revealed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that the enriched functions of these differentially expressed genes were mainly in the extracellular matrix tissue and negative regulation of the typical Wnt signaling pathway (Figure 5D). KEGG analysis of these differentially expressed genes revealed that these genes were enriched in the TGF-β, Wnt, and MAPK signaling pathways, as well as in other pathways (Figure 5E).</w:t>
      </w:r>
    </w:p>
    <w:p w14:paraId="5207A4FC"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0A51483E"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Classification and </w:t>
      </w:r>
      <w:r w:rsidRPr="00B6332B">
        <w:rPr>
          <w:rFonts w:ascii="Book Antiqua" w:eastAsia="宋体" w:hAnsi="Book Antiqua" w:cs="Book Antiqua" w:hint="eastAsia"/>
          <w:b/>
          <w:bCs/>
          <w:i/>
          <w:iCs/>
          <w:color w:val="000000" w:themeColor="text1"/>
          <w:lang w:eastAsia="zh-CN"/>
        </w:rPr>
        <w:t>c</w:t>
      </w:r>
      <w:r w:rsidRPr="00B6332B">
        <w:rPr>
          <w:rFonts w:ascii="Book Antiqua" w:eastAsia="Book Antiqua" w:hAnsi="Book Antiqua" w:cs="Book Antiqua"/>
          <w:b/>
          <w:bCs/>
          <w:i/>
          <w:iCs/>
          <w:color w:val="000000" w:themeColor="text1"/>
        </w:rPr>
        <w:t xml:space="preserve">orrelation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nalysis</w:t>
      </w:r>
      <w:r w:rsidRPr="00B6332B">
        <w:rPr>
          <w:rFonts w:ascii="Book Antiqua" w:eastAsia="宋体" w:hAnsi="Book Antiqua" w:cs="Book Antiqua" w:hint="eastAsia"/>
          <w:b/>
          <w:bCs/>
          <w:i/>
          <w:iCs/>
          <w:color w:val="000000" w:themeColor="text1"/>
          <w:lang w:eastAsia="zh-CN"/>
        </w:rPr>
        <w:t xml:space="preserve"> </w:t>
      </w:r>
      <w:r w:rsidRPr="00B6332B">
        <w:rPr>
          <w:rFonts w:ascii="Book Antiqua" w:eastAsia="Book Antiqua" w:hAnsi="Book Antiqua" w:cs="Book Antiqua"/>
          <w:b/>
          <w:bCs/>
          <w:i/>
          <w:iCs/>
          <w:color w:val="000000" w:themeColor="text1"/>
        </w:rPr>
        <w:t xml:space="preserve">of </w:t>
      </w:r>
      <w:r w:rsidRPr="00B6332B">
        <w:rPr>
          <w:rFonts w:ascii="Book Antiqua" w:eastAsia="宋体" w:hAnsi="Book Antiqua" w:cs="Book Antiqua" w:hint="eastAsia"/>
          <w:b/>
          <w:bCs/>
          <w:i/>
          <w:iCs/>
          <w:color w:val="000000" w:themeColor="text1"/>
          <w:lang w:eastAsia="zh-CN"/>
        </w:rPr>
        <w:t>s</w:t>
      </w:r>
      <w:r w:rsidRPr="00B6332B">
        <w:rPr>
          <w:rFonts w:ascii="Book Antiqua" w:eastAsia="Book Antiqua" w:hAnsi="Book Antiqua" w:cs="Book Antiqua"/>
          <w:b/>
          <w:bCs/>
          <w:i/>
          <w:iCs/>
          <w:color w:val="000000" w:themeColor="text1"/>
        </w:rPr>
        <w:t xml:space="preserve">ignificant </w:t>
      </w:r>
      <w:r w:rsidRPr="00B6332B">
        <w:rPr>
          <w:rFonts w:ascii="Book Antiqua" w:eastAsia="宋体" w:hAnsi="Book Antiqua" w:cs="Book Antiqua" w:hint="eastAsia"/>
          <w:b/>
          <w:bCs/>
          <w:i/>
          <w:iCs/>
          <w:color w:val="000000" w:themeColor="text1"/>
          <w:lang w:eastAsia="zh-CN"/>
        </w:rPr>
        <w:t>d</w:t>
      </w:r>
      <w:r w:rsidRPr="00B6332B">
        <w:rPr>
          <w:rFonts w:ascii="Book Antiqua" w:eastAsia="Book Antiqua" w:hAnsi="Book Antiqua" w:cs="Book Antiqua"/>
          <w:b/>
          <w:bCs/>
          <w:i/>
          <w:iCs/>
          <w:color w:val="000000" w:themeColor="text1"/>
        </w:rPr>
        <w:t xml:space="preserve">ifferentially </w:t>
      </w:r>
      <w:r w:rsidRPr="00B6332B">
        <w:rPr>
          <w:rFonts w:ascii="Book Antiqua" w:eastAsia="宋体" w:hAnsi="Book Antiqua" w:cs="Book Antiqua" w:hint="eastAsia"/>
          <w:b/>
          <w:bCs/>
          <w:i/>
          <w:iCs/>
          <w:color w:val="000000" w:themeColor="text1"/>
          <w:lang w:eastAsia="zh-CN"/>
        </w:rPr>
        <w:t>e</w:t>
      </w:r>
      <w:r w:rsidRPr="00B6332B">
        <w:rPr>
          <w:rFonts w:ascii="Book Antiqua" w:eastAsia="Book Antiqua" w:hAnsi="Book Antiqua" w:cs="Book Antiqua"/>
          <w:b/>
          <w:bCs/>
          <w:i/>
          <w:iCs/>
          <w:color w:val="000000" w:themeColor="text1"/>
        </w:rPr>
        <w:t xml:space="preserve">xpressed </w:t>
      </w:r>
      <w:r w:rsidRPr="00B6332B">
        <w:rPr>
          <w:rFonts w:ascii="Book Antiqua" w:eastAsia="宋体" w:hAnsi="Book Antiqua" w:cs="Book Antiqua" w:hint="eastAsia"/>
          <w:b/>
          <w:bCs/>
          <w:i/>
          <w:iCs/>
          <w:color w:val="000000" w:themeColor="text1"/>
          <w:lang w:eastAsia="zh-CN"/>
        </w:rPr>
        <w:t>g</w:t>
      </w:r>
      <w:r w:rsidRPr="00B6332B">
        <w:rPr>
          <w:rFonts w:ascii="Book Antiqua" w:eastAsia="Book Antiqua" w:hAnsi="Book Antiqua" w:cs="Book Antiqua"/>
          <w:b/>
          <w:bCs/>
          <w:i/>
          <w:iCs/>
          <w:color w:val="000000" w:themeColor="text1"/>
        </w:rPr>
        <w:t xml:space="preserve">enes </w:t>
      </w:r>
      <w:r w:rsidRPr="00B6332B">
        <w:rPr>
          <w:rFonts w:ascii="Book Antiqua" w:eastAsia="宋体" w:hAnsi="Book Antiqua" w:cs="Book Antiqua" w:hint="eastAsia"/>
          <w:b/>
          <w:bCs/>
          <w:i/>
          <w:iCs/>
          <w:color w:val="000000" w:themeColor="text1"/>
          <w:lang w:eastAsia="zh-CN"/>
        </w:rPr>
        <w:t>o</w:t>
      </w:r>
      <w:r w:rsidRPr="00B6332B">
        <w:rPr>
          <w:rFonts w:ascii="Book Antiqua" w:eastAsia="Book Antiqua" w:hAnsi="Book Antiqua" w:cs="Book Antiqua"/>
          <w:b/>
          <w:bCs/>
          <w:i/>
          <w:iCs/>
          <w:color w:val="000000" w:themeColor="text1"/>
        </w:rPr>
        <w:t>btained</w:t>
      </w:r>
      <w:r w:rsidRPr="00B6332B">
        <w:rPr>
          <w:rFonts w:ascii="Book Antiqua" w:eastAsia="宋体" w:hAnsi="Book Antiqua" w:cs="Book Antiqua" w:hint="eastAsia"/>
          <w:b/>
          <w:bCs/>
          <w:i/>
          <w:iCs/>
          <w:color w:val="000000" w:themeColor="text1"/>
          <w:lang w:eastAsia="zh-CN"/>
        </w:rPr>
        <w:t xml:space="preserve"> </w:t>
      </w:r>
      <w:r w:rsidRPr="00B6332B">
        <w:rPr>
          <w:rFonts w:ascii="Book Antiqua" w:eastAsia="Book Antiqua" w:hAnsi="Book Antiqua" w:cs="Book Antiqua"/>
          <w:b/>
          <w:bCs/>
          <w:i/>
          <w:iCs/>
          <w:color w:val="000000" w:themeColor="text1"/>
        </w:rPr>
        <w:t xml:space="preserve">from the </w:t>
      </w:r>
      <w:r w:rsidRPr="00B6332B">
        <w:rPr>
          <w:rFonts w:ascii="Book Antiqua" w:eastAsia="宋体" w:hAnsi="Book Antiqua" w:cs="Book Antiqua" w:hint="eastAsia"/>
          <w:b/>
          <w:bCs/>
          <w:i/>
          <w:iCs/>
          <w:color w:val="000000" w:themeColor="text1"/>
          <w:lang w:eastAsia="zh-CN"/>
        </w:rPr>
        <w:t>d</w:t>
      </w:r>
      <w:r w:rsidRPr="00B6332B">
        <w:rPr>
          <w:rFonts w:ascii="Book Antiqua" w:eastAsia="Book Antiqua" w:hAnsi="Book Antiqua" w:cs="Book Antiqua"/>
          <w:b/>
          <w:bCs/>
          <w:i/>
          <w:iCs/>
          <w:color w:val="000000" w:themeColor="text1"/>
        </w:rPr>
        <w:t xml:space="preserve">isulfidptosis </w:t>
      </w:r>
      <w:r w:rsidRPr="00B6332B">
        <w:rPr>
          <w:rFonts w:ascii="Book Antiqua" w:eastAsia="宋体" w:hAnsi="Book Antiqua" w:cs="Book Antiqua" w:hint="eastAsia"/>
          <w:b/>
          <w:bCs/>
          <w:i/>
          <w:iCs/>
          <w:color w:val="000000" w:themeColor="text1"/>
          <w:lang w:eastAsia="zh-CN"/>
        </w:rPr>
        <w:t>s</w:t>
      </w:r>
      <w:r w:rsidRPr="00B6332B">
        <w:rPr>
          <w:rFonts w:ascii="Book Antiqua" w:eastAsia="Book Antiqua" w:hAnsi="Book Antiqua" w:cs="Book Antiqua"/>
          <w:b/>
          <w:bCs/>
          <w:i/>
          <w:iCs/>
          <w:color w:val="000000" w:themeColor="text1"/>
        </w:rPr>
        <w:t>ubtype</w:t>
      </w:r>
      <w:r w:rsidRPr="00B6332B">
        <w:rPr>
          <w:rFonts w:ascii="Book Antiqua" w:eastAsia="宋体" w:hAnsi="Book Antiqua" w:cs="Book Antiqua" w:hint="eastAsia"/>
          <w:b/>
          <w:bCs/>
          <w:i/>
          <w:iCs/>
          <w:color w:val="000000" w:themeColor="text1"/>
          <w:lang w:eastAsia="zh-CN"/>
        </w:rPr>
        <w:t xml:space="preserve"> s</w:t>
      </w:r>
      <w:r w:rsidRPr="00B6332B">
        <w:rPr>
          <w:rFonts w:ascii="Book Antiqua" w:eastAsia="Book Antiqua" w:hAnsi="Book Antiqua" w:cs="Book Antiqua"/>
          <w:b/>
          <w:bCs/>
          <w:i/>
          <w:iCs/>
          <w:color w:val="000000" w:themeColor="text1"/>
        </w:rPr>
        <w:t>amples</w:t>
      </w:r>
    </w:p>
    <w:p w14:paraId="6B4D2D3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The related samples of differentially expressed genes were clustered into three subtypes (Figure 6A–D). Survival analysis showed that the prognosis of subtype C was different from that of subtypes A and B, with better prognosis for subtypes B and C (Figure 6E). Heatmap analysis showed that most samples in subtype C were upregulated, while </w:t>
      </w:r>
      <w:r w:rsidRPr="00B6332B">
        <w:rPr>
          <w:rFonts w:ascii="Book Antiqua" w:eastAsia="Book Antiqua" w:hAnsi="Book Antiqua" w:cs="Book Antiqua"/>
          <w:color w:val="000000" w:themeColor="text1"/>
        </w:rPr>
        <w:lastRenderedPageBreak/>
        <w:t>most samples in subtype B were downregulated (Figure 6F). Differential expression analysis of the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 the different gene subtypes showed that the expression of the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was different in subtypes A, B, and C, with </w:t>
      </w:r>
      <w:r w:rsidRPr="00B6332B">
        <w:rPr>
          <w:rFonts w:ascii="Book Antiqua" w:eastAsia="Book Antiqua" w:hAnsi="Book Antiqua" w:cs="Book Antiqua"/>
          <w:i/>
          <w:iCs/>
          <w:color w:val="000000" w:themeColor="text1"/>
        </w:rPr>
        <w:t>P</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&lt; 0.05 (Figure 6G). We used the create</w:t>
      </w:r>
      <w:r w:rsidRPr="00B6332B">
        <w:rPr>
          <w:rFonts w:ascii="Book Antiqua" w:eastAsia="宋体" w:hAnsi="Book Antiqua" w:cs="Book Antiqua" w:hint="eastAsia"/>
          <w:color w:val="000000" w:themeColor="text1"/>
          <w:lang w:eastAsia="zh-CN"/>
        </w:rPr>
        <w:t xml:space="preserve"> d</w:t>
      </w:r>
      <w:r w:rsidRPr="00B6332B">
        <w:rPr>
          <w:rFonts w:ascii="Book Antiqua" w:eastAsia="Book Antiqua" w:hAnsi="Book Antiqua" w:cs="Book Antiqua"/>
          <w:color w:val="000000" w:themeColor="text1"/>
        </w:rPr>
        <w:t>ata</w:t>
      </w:r>
      <w:r w:rsidRPr="00B6332B">
        <w:rPr>
          <w:rFonts w:ascii="Book Antiqua" w:eastAsia="宋体" w:hAnsi="Book Antiqua" w:cs="Book Antiqua" w:hint="eastAsia"/>
          <w:color w:val="000000" w:themeColor="text1"/>
          <w:lang w:eastAsia="zh-CN"/>
        </w:rPr>
        <w:t xml:space="preserve"> p</w:t>
      </w:r>
      <w:r w:rsidRPr="00B6332B">
        <w:rPr>
          <w:rFonts w:ascii="Book Antiqua" w:eastAsia="Book Antiqua" w:hAnsi="Book Antiqua" w:cs="Book Antiqua"/>
          <w:color w:val="000000" w:themeColor="text1"/>
        </w:rPr>
        <w:t>artition package to randomly divide the samples into two groups of equal size, the training and testing groups. Then, using LASSO regression and Cox regression, we analyzed the training group samples and constructed a six-gene risk model based on the DRG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subtype: </w:t>
      </w:r>
      <w:r w:rsidRPr="00B6332B">
        <w:rPr>
          <w:rFonts w:ascii="Book Antiqua" w:eastAsia="宋体" w:hAnsi="Book Antiqua" w:cs="Book Antiqua" w:hint="eastAsia"/>
          <w:color w:val="000000" w:themeColor="text1"/>
          <w:lang w:eastAsia="zh-CN"/>
        </w:rPr>
        <w:t>R</w:t>
      </w:r>
      <w:r w:rsidRPr="00B6332B">
        <w:rPr>
          <w:rFonts w:ascii="Book Antiqua" w:eastAsia="Book Antiqua" w:hAnsi="Book Antiqua" w:cs="Book Antiqua"/>
          <w:color w:val="000000" w:themeColor="text1"/>
        </w:rPr>
        <w:t xml:space="preserve">isk score = (0.164102181511909* </w:t>
      </w:r>
      <w:r w:rsidRPr="00B6332B">
        <w:rPr>
          <w:rFonts w:ascii="Book Antiqua" w:eastAsia="Book Antiqua" w:hAnsi="Book Antiqua" w:cs="Book Antiqua"/>
          <w:i/>
          <w:iCs/>
          <w:color w:val="000000" w:themeColor="text1"/>
        </w:rPr>
        <w:t>PLS3</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expression) + (0.079055019007862* </w:t>
      </w:r>
      <w:r w:rsidRPr="00B6332B">
        <w:rPr>
          <w:rFonts w:ascii="Book Antiqua" w:eastAsia="Book Antiqua" w:hAnsi="Book Antiqua" w:cs="Book Antiqua"/>
          <w:i/>
          <w:iCs/>
          <w:color w:val="000000" w:themeColor="text1"/>
        </w:rPr>
        <w:t>GRP</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expression) + (0.0649967121599996*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expression) + (0.0920219139298833* </w:t>
      </w:r>
      <w:r w:rsidRPr="00B6332B">
        <w:rPr>
          <w:rFonts w:ascii="Book Antiqua" w:eastAsia="Book Antiqua" w:hAnsi="Book Antiqua" w:cs="Book Antiqua"/>
          <w:i/>
          <w:iCs/>
          <w:color w:val="000000" w:themeColor="text1"/>
        </w:rPr>
        <w:t>SGCE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expression) + (0.107438278125729* </w:t>
      </w:r>
      <w:r w:rsidRPr="00B6332B">
        <w:rPr>
          <w:rFonts w:ascii="Book Antiqua" w:eastAsia="Book Antiqua" w:hAnsi="Book Antiqua" w:cs="Book Antiqua"/>
          <w:i/>
          <w:iCs/>
          <w:color w:val="000000" w:themeColor="text1"/>
        </w:rPr>
        <w:t>COL8A1</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expression) + (–0.0723643090076661* </w:t>
      </w:r>
      <w:r w:rsidRPr="00B6332B">
        <w:rPr>
          <w:rFonts w:ascii="Book Antiqua" w:eastAsia="Book Antiqua" w:hAnsi="Book Antiqua" w:cs="Book Antiqua"/>
          <w:i/>
          <w:iCs/>
          <w:color w:val="000000" w:themeColor="text1"/>
        </w:rPr>
        <w:t>VAMP7</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expression) (Figure 6H</w:t>
      </w:r>
      <w:r w:rsidRPr="00B6332B">
        <w:rPr>
          <w:rFonts w:ascii="Book Antiqua" w:eastAsia="宋体" w:hAnsi="Book Antiqua" w:cs="Book Antiqua" w:hint="eastAsia"/>
          <w:color w:val="000000" w:themeColor="text1"/>
          <w:lang w:eastAsia="zh-CN"/>
        </w:rPr>
        <w:t xml:space="preserve"> and </w:t>
      </w:r>
      <w:r w:rsidRPr="00B6332B">
        <w:rPr>
          <w:rFonts w:ascii="Book Antiqua" w:eastAsia="Book Antiqua" w:hAnsi="Book Antiqua" w:cs="Book Antiqua"/>
          <w:color w:val="000000" w:themeColor="text1"/>
        </w:rPr>
        <w:t>I). The results of the risk model are shown in Supplementary Table 1. The Sankey diagram shows the distribution of samples among the different groups (Figure 7A). By evaluating the risk score for each group, we found significant differences in the risk between the groups (Figure 7B</w:t>
      </w:r>
      <w:r w:rsidRPr="00B6332B">
        <w:rPr>
          <w:rFonts w:ascii="Book Antiqua" w:eastAsia="宋体" w:hAnsi="Book Antiqua" w:cs="Book Antiqua" w:hint="eastAsia"/>
          <w:color w:val="000000" w:themeColor="text1"/>
          <w:lang w:eastAsia="zh-CN"/>
        </w:rPr>
        <w:t xml:space="preserve"> and </w:t>
      </w:r>
      <w:r w:rsidRPr="00B6332B">
        <w:rPr>
          <w:rFonts w:ascii="Book Antiqua" w:eastAsia="Book Antiqua" w:hAnsi="Book Antiqua" w:cs="Book Antiqua"/>
          <w:color w:val="000000" w:themeColor="text1"/>
        </w:rPr>
        <w:t>C). By evaluating the risk score for the DRGs, we found that the expression levels of 13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differed significantly between the high and low risk groups, with nine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genes showing higher expression in the high-risk group and four</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genes showing higher expression in the low</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risk group (Figure 7D).</w:t>
      </w:r>
    </w:p>
    <w:p w14:paraId="0ACB9343"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3EDD1861"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Validation </w:t>
      </w:r>
      <w:r w:rsidRPr="00B6332B">
        <w:rPr>
          <w:rFonts w:ascii="Book Antiqua" w:eastAsia="宋体" w:hAnsi="Book Antiqua" w:cs="Book Antiqua" w:hint="eastAsia"/>
          <w:b/>
          <w:bCs/>
          <w:i/>
          <w:iCs/>
          <w:color w:val="000000" w:themeColor="text1"/>
          <w:lang w:eastAsia="zh-CN"/>
        </w:rPr>
        <w:t>r</w:t>
      </w:r>
      <w:r w:rsidRPr="00B6332B">
        <w:rPr>
          <w:rFonts w:ascii="Book Antiqua" w:eastAsia="Book Antiqua" w:hAnsi="Book Antiqua" w:cs="Book Antiqua"/>
          <w:b/>
          <w:bCs/>
          <w:i/>
          <w:iCs/>
          <w:color w:val="000000" w:themeColor="text1"/>
        </w:rPr>
        <w:t>esults</w:t>
      </w:r>
      <w:r w:rsidRPr="00B6332B">
        <w:rPr>
          <w:rFonts w:ascii="Book Antiqua" w:eastAsia="宋体" w:hAnsi="Book Antiqua" w:cs="Book Antiqua" w:hint="eastAsia"/>
          <w:b/>
          <w:bCs/>
          <w:i/>
          <w:iCs/>
          <w:color w:val="000000" w:themeColor="text1"/>
          <w:lang w:eastAsia="zh-CN"/>
        </w:rPr>
        <w:t xml:space="preserve"> </w:t>
      </w:r>
      <w:r w:rsidRPr="00B6332B">
        <w:rPr>
          <w:rFonts w:ascii="Book Antiqua" w:eastAsia="Book Antiqua" w:hAnsi="Book Antiqua" w:cs="Book Antiqua"/>
          <w:b/>
          <w:bCs/>
          <w:i/>
          <w:iCs/>
          <w:color w:val="000000" w:themeColor="text1"/>
        </w:rPr>
        <w:t xml:space="preserve">of the </w:t>
      </w:r>
      <w:r w:rsidRPr="00B6332B">
        <w:rPr>
          <w:rFonts w:ascii="Book Antiqua" w:eastAsia="宋体" w:hAnsi="Book Antiqua" w:cs="Book Antiqua" w:hint="eastAsia"/>
          <w:b/>
          <w:bCs/>
          <w:i/>
          <w:iCs/>
          <w:color w:val="000000" w:themeColor="text1"/>
          <w:lang w:eastAsia="zh-CN"/>
        </w:rPr>
        <w:t>r</w:t>
      </w:r>
      <w:r w:rsidRPr="00B6332B">
        <w:rPr>
          <w:rFonts w:ascii="Book Antiqua" w:eastAsia="Book Antiqua" w:hAnsi="Book Antiqua" w:cs="Book Antiqua"/>
          <w:b/>
          <w:bCs/>
          <w:i/>
          <w:iCs/>
          <w:color w:val="000000" w:themeColor="text1"/>
        </w:rPr>
        <w:t xml:space="preserve">isk </w:t>
      </w:r>
      <w:r w:rsidRPr="00B6332B">
        <w:rPr>
          <w:rFonts w:ascii="Book Antiqua" w:eastAsia="宋体" w:hAnsi="Book Antiqua" w:cs="Book Antiqua" w:hint="eastAsia"/>
          <w:b/>
          <w:bCs/>
          <w:i/>
          <w:iCs/>
          <w:color w:val="000000" w:themeColor="text1"/>
          <w:lang w:eastAsia="zh-CN"/>
        </w:rPr>
        <w:t>m</w:t>
      </w:r>
      <w:r w:rsidRPr="00B6332B">
        <w:rPr>
          <w:rFonts w:ascii="Book Antiqua" w:eastAsia="Book Antiqua" w:hAnsi="Book Antiqua" w:cs="Book Antiqua"/>
          <w:b/>
          <w:bCs/>
          <w:i/>
          <w:iCs/>
          <w:color w:val="000000" w:themeColor="text1"/>
        </w:rPr>
        <w:t>odel</w:t>
      </w:r>
    </w:p>
    <w:p w14:paraId="42FD0D1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We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next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used the risk model to score the differential gene-related samples mentioned above and then divided them into high- and low-risk groups for the overall, test set, and training set samples. We then performed survival, ROC, and risk analyses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on each group. Survival</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analysis of each group</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revealed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that the high-risk group had poorer prognosis than the low-risk group (Figure 8A</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C). Through ROC curve analysis of each group, we found that the area under the curve values of the overall, training set, and test set samples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for 1, 3, and 5 years were all &gt;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0.05, indicating the accuracy of the model in predicting survival prognosis (Figure 8D</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F). Risk curve analysis of the total, training set, and test set samples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showed an increase in the number of deaths with an increase in the risk score. We also found that </w:t>
      </w:r>
      <w:r w:rsidRPr="00B6332B">
        <w:rPr>
          <w:rFonts w:ascii="Book Antiqua" w:eastAsia="Book Antiqua" w:hAnsi="Book Antiqua" w:cs="Book Antiqua"/>
          <w:i/>
          <w:iCs/>
          <w:color w:val="000000" w:themeColor="text1"/>
        </w:rPr>
        <w:t>VAMP7</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was a low-risk gene, while </w:t>
      </w:r>
      <w:r w:rsidRPr="00B6332B">
        <w:rPr>
          <w:rFonts w:ascii="Book Antiqua" w:eastAsia="Book Antiqua" w:hAnsi="Book Antiqua" w:cs="Book Antiqua"/>
          <w:i/>
          <w:iCs/>
          <w:color w:val="000000" w:themeColor="text1"/>
        </w:rPr>
        <w:t>PLS3</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GRP</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APOD</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SGCE</w:t>
      </w:r>
      <w:r w:rsidRPr="00B6332B">
        <w:rPr>
          <w:rFonts w:ascii="Book Antiqua" w:eastAsia="Book Antiqua" w:hAnsi="Book Antiqua" w:cs="Book Antiqua"/>
          <w:color w:val="000000" w:themeColor="text1"/>
        </w:rPr>
        <w:t xml:space="preserve">, and </w:t>
      </w:r>
      <w:r w:rsidRPr="00B6332B">
        <w:rPr>
          <w:rFonts w:ascii="Book Antiqua" w:eastAsia="Book Antiqua" w:hAnsi="Book Antiqua" w:cs="Book Antiqua"/>
          <w:i/>
          <w:iCs/>
          <w:color w:val="000000" w:themeColor="text1"/>
        </w:rPr>
        <w:t>COL8A1</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were high-risk genes through heatmap analysis (Figure 8G</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 xml:space="preserve">O). </w:t>
      </w:r>
      <w:r w:rsidRPr="00B6332B">
        <w:rPr>
          <w:rFonts w:ascii="Book Antiqua" w:eastAsia="Book Antiqua" w:hAnsi="Book Antiqua" w:cs="Book Antiqua"/>
          <w:color w:val="000000" w:themeColor="text1"/>
        </w:rPr>
        <w:lastRenderedPageBreak/>
        <w:t>Comparison of the results of survival, ROC, and risk analyses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among various groups showed that the results were consistent, indicating the accuracy of this risk model in predicting the prognosis of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with GC.</w:t>
      </w:r>
    </w:p>
    <w:p w14:paraId="00EB1820"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6093A06"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Identification of </w:t>
      </w:r>
      <w:r w:rsidRPr="00B6332B">
        <w:rPr>
          <w:rFonts w:ascii="Book Antiqua" w:eastAsia="宋体" w:hAnsi="Book Antiqua" w:cs="Book Antiqua" w:hint="eastAsia"/>
          <w:b/>
          <w:bCs/>
          <w:i/>
          <w:iCs/>
          <w:color w:val="000000" w:themeColor="text1"/>
          <w:lang w:eastAsia="zh-CN"/>
        </w:rPr>
        <w:t>p</w:t>
      </w:r>
      <w:r w:rsidRPr="00B6332B">
        <w:rPr>
          <w:rFonts w:ascii="Book Antiqua" w:eastAsia="Book Antiqua" w:hAnsi="Book Antiqua" w:cs="Book Antiqua"/>
          <w:b/>
          <w:bCs/>
          <w:i/>
          <w:iCs/>
          <w:color w:val="000000" w:themeColor="text1"/>
        </w:rPr>
        <w:t xml:space="preserve">otential </w:t>
      </w:r>
      <w:r w:rsidRPr="00B6332B">
        <w:rPr>
          <w:rFonts w:ascii="Book Antiqua" w:eastAsia="宋体" w:hAnsi="Book Antiqua" w:cs="Book Antiqua" w:hint="eastAsia"/>
          <w:b/>
          <w:bCs/>
          <w:i/>
          <w:iCs/>
          <w:color w:val="000000" w:themeColor="text1"/>
          <w:lang w:eastAsia="zh-CN"/>
        </w:rPr>
        <w:t>t</w:t>
      </w:r>
      <w:r w:rsidRPr="00B6332B">
        <w:rPr>
          <w:rFonts w:ascii="Book Antiqua" w:eastAsia="Book Antiqua" w:hAnsi="Book Antiqua" w:cs="Book Antiqua"/>
          <w:b/>
          <w:bCs/>
          <w:i/>
          <w:iCs/>
          <w:color w:val="000000" w:themeColor="text1"/>
        </w:rPr>
        <w:t xml:space="preserve">herapeutic </w:t>
      </w:r>
      <w:r w:rsidRPr="00B6332B">
        <w:rPr>
          <w:rFonts w:ascii="Book Antiqua" w:eastAsia="宋体" w:hAnsi="Book Antiqua" w:cs="Book Antiqua" w:hint="eastAsia"/>
          <w:b/>
          <w:bCs/>
          <w:i/>
          <w:iCs/>
          <w:color w:val="000000" w:themeColor="text1"/>
          <w:lang w:eastAsia="zh-CN"/>
        </w:rPr>
        <w:t>t</w:t>
      </w:r>
      <w:r w:rsidRPr="00B6332B">
        <w:rPr>
          <w:rFonts w:ascii="Book Antiqua" w:eastAsia="Book Antiqua" w:hAnsi="Book Antiqua" w:cs="Book Antiqua"/>
          <w:b/>
          <w:bCs/>
          <w:i/>
          <w:iCs/>
          <w:color w:val="000000" w:themeColor="text1"/>
        </w:rPr>
        <w:t xml:space="preserve">argets by </w:t>
      </w:r>
      <w:r w:rsidRPr="00B6332B">
        <w:rPr>
          <w:rFonts w:ascii="Book Antiqua" w:eastAsia="宋体" w:hAnsi="Book Antiqua" w:cs="Book Antiqua" w:hint="eastAsia"/>
          <w:b/>
          <w:bCs/>
          <w:i/>
          <w:iCs/>
          <w:color w:val="000000" w:themeColor="text1"/>
          <w:lang w:eastAsia="zh-CN"/>
        </w:rPr>
        <w:t>c</w:t>
      </w:r>
      <w:r w:rsidRPr="00B6332B">
        <w:rPr>
          <w:rFonts w:ascii="Book Antiqua" w:eastAsia="Book Antiqua" w:hAnsi="Book Antiqua" w:cs="Book Antiqua"/>
          <w:b/>
          <w:bCs/>
          <w:i/>
          <w:iCs/>
          <w:color w:val="000000" w:themeColor="text1"/>
        </w:rPr>
        <w:t xml:space="preserve">onstructing </w:t>
      </w:r>
      <w:r w:rsidRPr="00B6332B">
        <w:rPr>
          <w:rFonts w:ascii="Book Antiqua" w:eastAsia="宋体" w:hAnsi="Book Antiqua" w:cs="Book Antiqua" w:hint="eastAsia"/>
          <w:b/>
          <w:bCs/>
          <w:i/>
          <w:iCs/>
          <w:color w:val="000000" w:themeColor="text1"/>
          <w:lang w:eastAsia="zh-CN"/>
        </w:rPr>
        <w:t>c</w:t>
      </w:r>
      <w:r w:rsidRPr="00B6332B">
        <w:rPr>
          <w:rFonts w:ascii="Book Antiqua" w:eastAsia="Book Antiqua" w:hAnsi="Book Antiqua" w:cs="Book Antiqua"/>
          <w:b/>
          <w:bCs/>
          <w:i/>
          <w:iCs/>
          <w:color w:val="000000" w:themeColor="text1"/>
        </w:rPr>
        <w:t xml:space="preserve">olumn </w:t>
      </w:r>
      <w:r w:rsidRPr="00B6332B">
        <w:rPr>
          <w:rFonts w:ascii="Book Antiqua" w:eastAsia="宋体" w:hAnsi="Book Antiqua" w:cs="Book Antiqua" w:hint="eastAsia"/>
          <w:b/>
          <w:bCs/>
          <w:i/>
          <w:iCs/>
          <w:color w:val="000000" w:themeColor="text1"/>
          <w:lang w:eastAsia="zh-CN"/>
        </w:rPr>
        <w:t>l</w:t>
      </w:r>
      <w:r w:rsidRPr="00B6332B">
        <w:rPr>
          <w:rFonts w:ascii="Book Antiqua" w:eastAsia="Book Antiqua" w:hAnsi="Book Antiqua" w:cs="Book Antiqua"/>
          <w:b/>
          <w:bCs/>
          <w:i/>
          <w:iCs/>
          <w:color w:val="000000" w:themeColor="text1"/>
        </w:rPr>
        <w:t xml:space="preserve">ine </w:t>
      </w:r>
      <w:r w:rsidRPr="00B6332B">
        <w:rPr>
          <w:rFonts w:ascii="Book Antiqua" w:eastAsia="宋体" w:hAnsi="Book Antiqua" w:cs="Book Antiqua" w:hint="eastAsia"/>
          <w:b/>
          <w:bCs/>
          <w:i/>
          <w:iCs/>
          <w:color w:val="000000" w:themeColor="text1"/>
          <w:lang w:eastAsia="zh-CN"/>
        </w:rPr>
        <w:t>g</w:t>
      </w:r>
      <w:r w:rsidRPr="00B6332B">
        <w:rPr>
          <w:rFonts w:ascii="Book Antiqua" w:eastAsia="Book Antiqua" w:hAnsi="Book Antiqua" w:cs="Book Antiqua"/>
          <w:b/>
          <w:bCs/>
          <w:i/>
          <w:iCs/>
          <w:color w:val="000000" w:themeColor="text1"/>
        </w:rPr>
        <w:t xml:space="preserve">raphs and </w:t>
      </w:r>
      <w:r w:rsidRPr="00B6332B">
        <w:rPr>
          <w:rFonts w:ascii="Book Antiqua" w:eastAsia="宋体" w:hAnsi="Book Antiqua" w:cs="Book Antiqua" w:hint="eastAsia"/>
          <w:b/>
          <w:bCs/>
          <w:i/>
          <w:iCs/>
          <w:color w:val="000000" w:themeColor="text1"/>
          <w:lang w:eastAsia="zh-CN"/>
        </w:rPr>
        <w:t>i</w:t>
      </w:r>
      <w:r w:rsidRPr="00B6332B">
        <w:rPr>
          <w:rFonts w:ascii="Book Antiqua" w:eastAsia="Book Antiqua" w:hAnsi="Book Antiqua" w:cs="Book Antiqua"/>
          <w:b/>
          <w:bCs/>
          <w:i/>
          <w:iCs/>
          <w:color w:val="000000" w:themeColor="text1"/>
        </w:rPr>
        <w:t xml:space="preserve">mmune and </w:t>
      </w:r>
      <w:r w:rsidRPr="00B6332B">
        <w:rPr>
          <w:rFonts w:ascii="Book Antiqua" w:eastAsia="宋体" w:hAnsi="Book Antiqua" w:cs="Book Antiqua" w:hint="eastAsia"/>
          <w:b/>
          <w:bCs/>
          <w:i/>
          <w:iCs/>
          <w:color w:val="000000" w:themeColor="text1"/>
          <w:lang w:eastAsia="zh-CN"/>
        </w:rPr>
        <w:t>d</w:t>
      </w:r>
      <w:r w:rsidRPr="00B6332B">
        <w:rPr>
          <w:rFonts w:ascii="Book Antiqua" w:eastAsia="Book Antiqua" w:hAnsi="Book Antiqua" w:cs="Book Antiqua"/>
          <w:b/>
          <w:bCs/>
          <w:i/>
          <w:iCs/>
          <w:color w:val="000000" w:themeColor="text1"/>
        </w:rPr>
        <w:t xml:space="preserve">rug </w:t>
      </w:r>
      <w:r w:rsidRPr="00B6332B">
        <w:rPr>
          <w:rFonts w:ascii="Book Antiqua" w:eastAsia="宋体" w:hAnsi="Book Antiqua" w:cs="Book Antiqua" w:hint="eastAsia"/>
          <w:b/>
          <w:bCs/>
          <w:i/>
          <w:iCs/>
          <w:color w:val="000000" w:themeColor="text1"/>
          <w:lang w:eastAsia="zh-CN"/>
        </w:rPr>
        <w:t>s</w:t>
      </w:r>
      <w:r w:rsidRPr="00B6332B">
        <w:rPr>
          <w:rFonts w:ascii="Book Antiqua" w:eastAsia="Book Antiqua" w:hAnsi="Book Antiqua" w:cs="Book Antiqua"/>
          <w:b/>
          <w:bCs/>
          <w:i/>
          <w:iCs/>
          <w:color w:val="000000" w:themeColor="text1"/>
        </w:rPr>
        <w:t xml:space="preserve">ensitivity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nalyses</w:t>
      </w:r>
    </w:p>
    <w:p w14:paraId="3B03CD1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We found that </w:t>
      </w:r>
      <w:r w:rsidRPr="00B6332B">
        <w:rPr>
          <w:rFonts w:ascii="Book Antiqua" w:eastAsia="Book Antiqua" w:hAnsi="Book Antiqua" w:cs="Book Antiqua"/>
          <w:i/>
          <w:iCs/>
          <w:color w:val="000000" w:themeColor="text1"/>
        </w:rPr>
        <w:t>APOD</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PLS3</w:t>
      </w:r>
      <w:r w:rsidRPr="00B6332B">
        <w:rPr>
          <w:rFonts w:ascii="Book Antiqua" w:eastAsia="Book Antiqua" w:hAnsi="Book Antiqua" w:cs="Book Antiqua"/>
          <w:color w:val="000000" w:themeColor="text1"/>
        </w:rPr>
        <w:t>, age, sex, and N staging are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independent factors that impact patient prognosis, all of which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are risk factors for the prognosis of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with GC. The odds of patients surviving for 1, 3, and 5 years are 0.806, 0.527, and 0.39, respectively (Figure 9A). The correction curve shows that the predicted value of the model is close to the actual value (Figure 9B). Through immune cell analysis, we found that resting mast cells and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were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significantly positively correlated. Moreover,</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i/>
          <w:iCs/>
          <w:color w:val="000000" w:themeColor="text1"/>
        </w:rPr>
        <w:t>PLS3</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was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significantly positively correlated with resting mast cells (Figure 9C). We also conducted survival analysis on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and </w:t>
      </w:r>
      <w:r w:rsidRPr="00B6332B">
        <w:rPr>
          <w:rFonts w:ascii="Book Antiqua" w:eastAsia="Book Antiqua" w:hAnsi="Book Antiqua" w:cs="Book Antiqua"/>
          <w:i/>
          <w:iCs/>
          <w:color w:val="000000" w:themeColor="text1"/>
        </w:rPr>
        <w:t>PLS3</w:t>
      </w:r>
      <w:r w:rsidRPr="00B6332B">
        <w:rPr>
          <w:rFonts w:ascii="Book Antiqua" w:eastAsia="宋体" w:hAnsi="Book Antiqua" w:cs="Book Antiqua" w:hint="eastAsia"/>
          <w:i/>
          <w:iCs/>
          <w:color w:val="000000" w:themeColor="text1"/>
          <w:lang w:eastAsia="zh-CN"/>
        </w:rPr>
        <w:t xml:space="preserve"> </w:t>
      </w:r>
      <w:r w:rsidRPr="00B6332B">
        <w:rPr>
          <w:rFonts w:ascii="Book Antiqua" w:eastAsia="Book Antiqua" w:hAnsi="Book Antiqua" w:cs="Book Antiqua"/>
          <w:color w:val="000000" w:themeColor="text1"/>
        </w:rPr>
        <w:t>by</w:t>
      </w:r>
      <w:r w:rsidRPr="00B6332B">
        <w:rPr>
          <w:rFonts w:ascii="Book Antiqua" w:eastAsia="Book Antiqua" w:hAnsi="Book Antiqua" w:cs="Book Antiqua"/>
          <w:i/>
          <w:iCs/>
          <w:color w:val="000000" w:themeColor="text1"/>
        </w:rPr>
        <w:t xml:space="preserve"> </w:t>
      </w:r>
      <w:r w:rsidRPr="00B6332B">
        <w:rPr>
          <w:rFonts w:ascii="Book Antiqua" w:eastAsia="Book Antiqua" w:hAnsi="Book Antiqua" w:cs="Book Antiqua"/>
          <w:color w:val="000000" w:themeColor="text1"/>
        </w:rPr>
        <w:t>GEPIA, which were found to have independent effects on the prognosis of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through column line graph analysis, and found that the survival analysis of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showed significant differences (</w:t>
      </w:r>
      <w:r w:rsidRPr="00B6332B">
        <w:rPr>
          <w:rFonts w:ascii="Book Antiqua" w:eastAsia="Book Antiqua" w:hAnsi="Book Antiqua" w:cs="Book Antiqua"/>
          <w:i/>
          <w:iCs/>
          <w:color w:val="000000" w:themeColor="text1"/>
        </w:rPr>
        <w:t>P</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&lt; 0.05)</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(Figure 9D), while the survival analysis of </w:t>
      </w:r>
      <w:r w:rsidRPr="00B6332B">
        <w:rPr>
          <w:rFonts w:ascii="Book Antiqua" w:eastAsia="Book Antiqua" w:hAnsi="Book Antiqua" w:cs="Book Antiqua"/>
          <w:i/>
          <w:iCs/>
          <w:color w:val="000000" w:themeColor="text1"/>
        </w:rPr>
        <w:t>PLS3</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did not indicate the presence of significant differences (</w:t>
      </w:r>
      <w:r w:rsidRPr="00B6332B">
        <w:rPr>
          <w:rFonts w:ascii="Book Antiqua" w:eastAsia="Book Antiqua" w:hAnsi="Book Antiqua" w:cs="Book Antiqua"/>
          <w:i/>
          <w:iCs/>
          <w:color w:val="000000" w:themeColor="text1"/>
        </w:rPr>
        <w:t>P</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&gt; 0.05) (Figure 9E). In the relationship analysis between immune cells and risk scores, we found that 13 types of immune cells were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significantly correlated with risk scores (Figure 10). Through TME scoring, we found differences between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high and low risk groups in terms of the Stromal</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Score and ESTIMATE Score, both of which were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upregulated in the high-risk group (Figure 11A). The waterfall chart shows that the genes that undergo mutations in the high-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low-risk groups were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consistent, while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 probability of mutations occurring in the low-risk group was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higher than that in the high-risk group (Figure 11B</w:t>
      </w:r>
      <w:r w:rsidRPr="00B6332B">
        <w:rPr>
          <w:rFonts w:ascii="Book Antiqua" w:eastAsia="宋体" w:hAnsi="Book Antiqua" w:cs="Book Antiqua" w:hint="eastAsia"/>
          <w:color w:val="000000" w:themeColor="text1"/>
          <w:lang w:eastAsia="zh-CN"/>
        </w:rPr>
        <w:t xml:space="preserve"> and </w:t>
      </w:r>
      <w:r w:rsidRPr="00B6332B">
        <w:rPr>
          <w:rFonts w:ascii="Book Antiqua" w:eastAsia="Book Antiqua" w:hAnsi="Book Antiqua" w:cs="Book Antiqua"/>
          <w:color w:val="000000" w:themeColor="text1"/>
        </w:rPr>
        <w:t>C). Through TMB analysis, we found significant differences between the high-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low-risk groups, as well as a negative correlation between TMB and risk scores (Figure 11D</w:t>
      </w:r>
      <w:r w:rsidRPr="00B6332B">
        <w:rPr>
          <w:rFonts w:ascii="Book Antiqua" w:eastAsia="宋体" w:hAnsi="Book Antiqua" w:cs="Book Antiqua" w:hint="eastAsia"/>
          <w:color w:val="000000" w:themeColor="text1"/>
          <w:lang w:eastAsia="zh-CN"/>
        </w:rPr>
        <w:t xml:space="preserve"> and </w:t>
      </w:r>
      <w:r w:rsidRPr="00B6332B">
        <w:rPr>
          <w:rFonts w:ascii="Book Antiqua" w:eastAsia="Book Antiqua" w:hAnsi="Book Antiqua" w:cs="Book Antiqua"/>
          <w:color w:val="000000" w:themeColor="text1"/>
        </w:rPr>
        <w:t>E). Through microsatellite instability analysis, we found significant differences between the microsatellite stability and MSI</w:t>
      </w:r>
      <w:r w:rsidRPr="00B6332B">
        <w:rPr>
          <w:rFonts w:ascii="Book Antiqua" w:eastAsia="Book Antiqua" w:hAnsi="Book Antiqua" w:cs="Book Antiqua"/>
          <w:color w:val="000000" w:themeColor="text1"/>
          <w:shd w:val="clear" w:color="auto" w:fill="FFFFFF"/>
        </w:rPr>
        <w:t>-high</w:t>
      </w:r>
      <w:r w:rsidRPr="00B6332B">
        <w:rPr>
          <w:rFonts w:ascii="Book Antiqua" w:eastAsia="宋体" w:hAnsi="Book Antiqua" w:cs="Book Antiqua" w:hint="eastAsia"/>
          <w:color w:val="000000" w:themeColor="text1"/>
          <w:shd w:val="clear" w:color="auto" w:fill="FFFFFF"/>
          <w:lang w:eastAsia="zh-CN"/>
        </w:rPr>
        <w:t xml:space="preserve"> </w:t>
      </w:r>
      <w:r w:rsidRPr="00B6332B">
        <w:rPr>
          <w:rFonts w:ascii="Book Antiqua" w:eastAsia="Book Antiqua" w:hAnsi="Book Antiqua" w:cs="Book Antiqua"/>
          <w:color w:val="000000" w:themeColor="text1"/>
          <w:shd w:val="clear" w:color="auto" w:fill="FFFFFF"/>
        </w:rPr>
        <w:t>(</w:t>
      </w:r>
      <w:r w:rsidRPr="00B6332B">
        <w:rPr>
          <w:rFonts w:ascii="Book Antiqua" w:eastAsia="Book Antiqua" w:hAnsi="Book Antiqua" w:cs="Book Antiqua"/>
          <w:color w:val="000000" w:themeColor="text1"/>
        </w:rPr>
        <w:t>MSI-H)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groups, as well as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between the MSI-H and MSI</w:t>
      </w:r>
      <w:r w:rsidRPr="00B6332B">
        <w:rPr>
          <w:rFonts w:ascii="Book Antiqua" w:eastAsia="Book Antiqua" w:hAnsi="Book Antiqua" w:cs="Book Antiqua"/>
          <w:color w:val="000000" w:themeColor="text1"/>
          <w:shd w:val="clear" w:color="auto" w:fill="FFFFFF"/>
        </w:rPr>
        <w:t>-low</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groups. The risk value of the MSI-H group is the lowest, and the proportion of </w:t>
      </w:r>
      <w:r w:rsidRPr="00B6332B">
        <w:rPr>
          <w:rFonts w:ascii="Book Antiqua" w:eastAsia="Book Antiqua" w:hAnsi="Book Antiqua" w:cs="Book Antiqua"/>
          <w:color w:val="000000" w:themeColor="text1"/>
        </w:rPr>
        <w:lastRenderedPageBreak/>
        <w:t>stable samples in the high-risk group is as high as 71% (Figure 11F</w:t>
      </w:r>
      <w:r w:rsidRPr="00B6332B">
        <w:rPr>
          <w:rFonts w:ascii="Book Antiqua" w:eastAsia="宋体" w:hAnsi="Book Antiqua" w:cs="Book Antiqua" w:hint="eastAsia"/>
          <w:color w:val="000000" w:themeColor="text1"/>
          <w:lang w:eastAsia="zh-CN"/>
        </w:rPr>
        <w:t xml:space="preserve"> and </w:t>
      </w:r>
      <w:r w:rsidRPr="00B6332B">
        <w:rPr>
          <w:rFonts w:ascii="Book Antiqua" w:eastAsia="Book Antiqua" w:hAnsi="Book Antiqua" w:cs="Book Antiqua"/>
          <w:color w:val="000000" w:themeColor="text1"/>
        </w:rPr>
        <w:t>G). Stem cell correlation analysis shows that RNA stemness scores (RNAss) is negatively correlated with risk scores (Figure 11H). Finally, drug analysis showed significant differences in the sensitivity of 89 drugs, including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Bosutinib and Bryostatin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(Figure 11I</w:t>
      </w:r>
      <w:r w:rsidRPr="00B6332B">
        <w:rPr>
          <w:rFonts w:ascii="Book Antiqua" w:eastAsia="宋体" w:hAnsi="Book Antiqua" w:cs="Book Antiqua" w:hint="eastAsia"/>
          <w:color w:val="000000" w:themeColor="text1"/>
          <w:lang w:eastAsia="zh-CN"/>
        </w:rPr>
        <w:t xml:space="preserve"> and </w:t>
      </w:r>
      <w:r w:rsidRPr="00B6332B">
        <w:rPr>
          <w:rFonts w:ascii="Book Antiqua" w:eastAsia="Book Antiqua" w:hAnsi="Book Antiqua" w:cs="Book Antiqua"/>
          <w:color w:val="000000" w:themeColor="text1"/>
        </w:rPr>
        <w:t>J), between high-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low-risk groups.</w:t>
      </w:r>
    </w:p>
    <w:p w14:paraId="1BDF2F7E"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C2DA33A" w14:textId="77777777" w:rsidR="00E724E0" w:rsidRPr="00B6332B" w:rsidRDefault="00000000">
      <w:pPr>
        <w:adjustRightInd w:val="0"/>
        <w:snapToGrid w:val="0"/>
        <w:spacing w:line="360" w:lineRule="auto"/>
        <w:jc w:val="both"/>
        <w:rPr>
          <w:rFonts w:ascii="Book Antiqua" w:hAnsi="Book Antiqua" w:cs="Book Antiqua"/>
          <w:b/>
          <w:bCs/>
          <w:i/>
          <w:iCs/>
          <w:color w:val="000000" w:themeColor="text1"/>
        </w:rPr>
      </w:pPr>
      <w:r w:rsidRPr="00B6332B">
        <w:rPr>
          <w:rFonts w:ascii="Book Antiqua" w:eastAsia="Book Antiqua" w:hAnsi="Book Antiqua" w:cs="Book Antiqua"/>
          <w:b/>
          <w:bCs/>
          <w:i/>
          <w:iCs/>
          <w:color w:val="000000" w:themeColor="text1"/>
        </w:rPr>
        <w:t xml:space="preserve">Immunohistochemical </w:t>
      </w:r>
      <w:r w:rsidRPr="00B6332B">
        <w:rPr>
          <w:rFonts w:ascii="Book Antiqua" w:eastAsia="宋体" w:hAnsi="Book Antiqua" w:cs="Book Antiqua" w:hint="eastAsia"/>
          <w:b/>
          <w:bCs/>
          <w:i/>
          <w:iCs/>
          <w:color w:val="000000" w:themeColor="text1"/>
          <w:lang w:eastAsia="zh-CN"/>
        </w:rPr>
        <w:t>a</w:t>
      </w:r>
      <w:r w:rsidRPr="00B6332B">
        <w:rPr>
          <w:rFonts w:ascii="Book Antiqua" w:eastAsia="Book Antiqua" w:hAnsi="Book Antiqua" w:cs="Book Antiqua"/>
          <w:b/>
          <w:bCs/>
          <w:i/>
          <w:iCs/>
          <w:color w:val="000000" w:themeColor="text1"/>
        </w:rPr>
        <w:t>nalysis</w:t>
      </w:r>
    </w:p>
    <w:p w14:paraId="5DDBD99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Through the HPA network database, immunohistochemical analysis of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revealed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that the protein expression level of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tissues was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significantly higher than that in normal tissues adjacent to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(Figure 12).</w:t>
      </w:r>
    </w:p>
    <w:p w14:paraId="56373073"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E4A874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aps/>
          <w:color w:val="000000" w:themeColor="text1"/>
          <w:u w:val="single"/>
        </w:rPr>
        <w:t>DISCUSSION</w:t>
      </w:r>
    </w:p>
    <w:p w14:paraId="2C340D3A" w14:textId="4504FC9D"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The occurrence and development of GC are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complex pathological processes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involving the activation and alteration of multiple genes and signaling pathways</w:t>
      </w:r>
      <w:r w:rsidRPr="00B6332B">
        <w:rPr>
          <w:rFonts w:ascii="Book Antiqua" w:eastAsia="Book Antiqua" w:hAnsi="Book Antiqua" w:cs="Book Antiqua"/>
          <w:color w:val="000000" w:themeColor="text1"/>
          <w:vertAlign w:val="superscript"/>
        </w:rPr>
        <w:t>[66]</w:t>
      </w:r>
      <w:r w:rsidRPr="00B6332B">
        <w:rPr>
          <w:rFonts w:ascii="Book Antiqua" w:eastAsia="Book Antiqua" w:hAnsi="Book Antiqua" w:cs="Book Antiqua"/>
          <w:color w:val="000000" w:themeColor="text1"/>
        </w:rPr>
        <w:t>. Previous studies have shown that the expression of certain genes in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tissue and normal gastric tissue can vary</w:t>
      </w:r>
      <w:r w:rsidRPr="00B6332B">
        <w:rPr>
          <w:rFonts w:ascii="Book Antiqua" w:eastAsia="Book Antiqua" w:hAnsi="Book Antiqua" w:cs="Book Antiqua"/>
          <w:color w:val="000000" w:themeColor="text1"/>
          <w:vertAlign w:val="superscript"/>
        </w:rPr>
        <w:t>[6</w:t>
      </w:r>
      <w:r w:rsidRPr="00B6332B">
        <w:rPr>
          <w:rFonts w:ascii="Book Antiqua" w:eastAsia="宋体" w:hAnsi="Book Antiqua" w:cs="Book Antiqua" w:hint="eastAsia"/>
          <w:color w:val="000000" w:themeColor="text1"/>
          <w:vertAlign w:val="superscript"/>
          <w:lang w:eastAsia="zh-CN"/>
        </w:rPr>
        <w:t>7</w:t>
      </w:r>
      <w:r w:rsidRPr="00B6332B">
        <w:rPr>
          <w:rFonts w:ascii="Book Antiqua" w:eastAsia="Book Antiqua" w:hAnsi="Book Antiqua" w:cs="Book Antiqua"/>
          <w:color w:val="000000" w:themeColor="text1"/>
          <w:vertAlign w:val="superscript"/>
        </w:rPr>
        <w:t>]</w:t>
      </w:r>
      <w:r w:rsidRPr="00B6332B">
        <w:rPr>
          <w:rFonts w:ascii="Book Antiqua" w:eastAsia="Book Antiqua" w:hAnsi="Book Antiqua" w:cs="Book Antiqua"/>
          <w:color w:val="000000" w:themeColor="text1"/>
        </w:rPr>
        <w:t>. In this study, we analyzed the differential expression of 10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between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tissue and adjacent normal tissue and found significant differences between the two. By analyzing the mutation waterfall plot and mutation frequency plot of DRGs, we observed that most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were mutated in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tissue, further indicating that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are differentially expressed in cancer tissue. Previous studies have found that high expression of the </w:t>
      </w:r>
      <w:r w:rsidR="00B6332B" w:rsidRPr="00B6332B">
        <w:rPr>
          <w:rFonts w:ascii="Book Antiqua" w:eastAsia="Book Antiqua" w:hAnsi="Book Antiqua" w:cs="Book Antiqua"/>
          <w:color w:val="000000" w:themeColor="text1"/>
        </w:rPr>
        <w:t>disulfidptosis-related</w:t>
      </w:r>
      <w:r w:rsidRPr="00B6332B">
        <w:rPr>
          <w:rFonts w:ascii="Book Antiqua" w:eastAsia="Book Antiqua" w:hAnsi="Book Antiqua" w:cs="Book Antiqua"/>
          <w:color w:val="000000" w:themeColor="text1"/>
        </w:rPr>
        <w:t xml:space="preserve"> gene </w:t>
      </w:r>
      <w:r w:rsidRPr="00B6332B">
        <w:rPr>
          <w:rFonts w:ascii="Book Antiqua" w:eastAsia="Book Antiqua" w:hAnsi="Book Antiqua" w:cs="Book Antiqua"/>
          <w:i/>
          <w:iCs/>
          <w:color w:val="000000" w:themeColor="text1"/>
        </w:rPr>
        <w:t>PDLIM1</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may inhibit the proliferation, invasion,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migration of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cells, promote apoptosis, and enhance their sensitivity to cisplatin</w:t>
      </w:r>
      <w:r w:rsidRPr="00B6332B">
        <w:rPr>
          <w:rFonts w:ascii="Book Antiqua" w:eastAsia="Book Antiqua" w:hAnsi="Book Antiqua" w:cs="Book Antiqua"/>
          <w:color w:val="000000" w:themeColor="text1"/>
          <w:vertAlign w:val="superscript"/>
        </w:rPr>
        <w:t>[6</w:t>
      </w:r>
      <w:r w:rsidRPr="00B6332B">
        <w:rPr>
          <w:rFonts w:ascii="Book Antiqua" w:eastAsia="宋体" w:hAnsi="Book Antiqua" w:cs="Book Antiqua" w:hint="eastAsia"/>
          <w:color w:val="000000" w:themeColor="text1"/>
          <w:vertAlign w:val="superscript"/>
          <w:lang w:eastAsia="zh-CN"/>
        </w:rPr>
        <w:t>8</w:t>
      </w:r>
      <w:r w:rsidRPr="00B6332B">
        <w:rPr>
          <w:rFonts w:ascii="Book Antiqua" w:eastAsia="Book Antiqua" w:hAnsi="Book Antiqua" w:cs="Book Antiqua"/>
          <w:color w:val="000000" w:themeColor="text1"/>
          <w:vertAlign w:val="superscript"/>
        </w:rPr>
        <w:t>]</w:t>
      </w:r>
      <w:r w:rsidRPr="00B6332B">
        <w:rPr>
          <w:rFonts w:ascii="Book Antiqua" w:eastAsia="Book Antiqua" w:hAnsi="Book Antiqua" w:cs="Book Antiqua"/>
          <w:color w:val="000000" w:themeColor="text1"/>
        </w:rPr>
        <w:t xml:space="preserve">. It has also been found that the high expression of </w:t>
      </w:r>
      <w:r w:rsidRPr="00B6332B">
        <w:rPr>
          <w:rFonts w:ascii="Book Antiqua" w:eastAsia="Book Antiqua" w:hAnsi="Book Antiqua" w:cs="Book Antiqua"/>
          <w:i/>
          <w:iCs/>
          <w:color w:val="000000" w:themeColor="text1"/>
        </w:rPr>
        <w:t>FLNA</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can lead to low survival rate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migration and invasion energy of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cells</w:t>
      </w:r>
      <w:r w:rsidRPr="00B6332B">
        <w:rPr>
          <w:rFonts w:ascii="Book Antiqua" w:eastAsia="Book Antiqua" w:hAnsi="Book Antiqua" w:cs="Book Antiqua"/>
          <w:color w:val="000000" w:themeColor="text1"/>
          <w:vertAlign w:val="superscript"/>
        </w:rPr>
        <w:t>[6</w:t>
      </w:r>
      <w:r w:rsidRPr="00B6332B">
        <w:rPr>
          <w:rFonts w:ascii="Book Antiqua" w:eastAsia="宋体" w:hAnsi="Book Antiqua" w:cs="Book Antiqua" w:hint="eastAsia"/>
          <w:color w:val="000000" w:themeColor="text1"/>
          <w:vertAlign w:val="superscript"/>
          <w:lang w:eastAsia="zh-CN"/>
        </w:rPr>
        <w:t>9</w:t>
      </w:r>
      <w:r w:rsidRPr="00B6332B">
        <w:rPr>
          <w:rFonts w:ascii="Book Antiqua" w:eastAsia="Book Antiqua" w:hAnsi="Book Antiqua" w:cs="Book Antiqua"/>
          <w:color w:val="000000" w:themeColor="text1"/>
          <w:vertAlign w:val="superscript"/>
        </w:rPr>
        <w:t>]</w:t>
      </w:r>
      <w:r w:rsidRPr="00B6332B">
        <w:rPr>
          <w:rFonts w:ascii="Book Antiqua" w:eastAsia="Book Antiqua" w:hAnsi="Book Antiqua" w:cs="Book Antiqua"/>
          <w:color w:val="000000" w:themeColor="text1"/>
        </w:rPr>
        <w: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Additionally, the</w:t>
      </w:r>
      <w:r w:rsidRPr="00B6332B">
        <w:rPr>
          <w:rFonts w:ascii="Book Antiqua" w:eastAsia="宋体" w:hAnsi="Book Antiqua" w:cs="Book Antiqua" w:hint="eastAsia"/>
          <w:color w:val="000000" w:themeColor="text1"/>
          <w:lang w:eastAsia="zh-CN"/>
        </w:rPr>
        <w:t xml:space="preserve"> </w:t>
      </w:r>
      <w:r w:rsidR="00B6332B" w:rsidRPr="00B6332B">
        <w:rPr>
          <w:rFonts w:ascii="Book Antiqua" w:eastAsia="Book Antiqua" w:hAnsi="Book Antiqua" w:cs="Book Antiqua"/>
          <w:color w:val="000000" w:themeColor="text1"/>
        </w:rPr>
        <w:t>disulfidptosis-related</w:t>
      </w:r>
      <w:r w:rsidRPr="00B6332B">
        <w:rPr>
          <w:rFonts w:ascii="Book Antiqua" w:eastAsia="Book Antiqua" w:hAnsi="Book Antiqua" w:cs="Book Antiqua"/>
          <w:color w:val="000000" w:themeColor="text1"/>
        </w:rPr>
        <w:t xml:space="preserve"> gene </w:t>
      </w:r>
      <w:r w:rsidRPr="00B6332B">
        <w:rPr>
          <w:rFonts w:ascii="Book Antiqua" w:eastAsia="Book Antiqua" w:hAnsi="Book Antiqua" w:cs="Book Antiqua"/>
          <w:i/>
          <w:iCs/>
          <w:color w:val="000000" w:themeColor="text1"/>
        </w:rPr>
        <w:t>MYH10</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may be related to the occurrence, development,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drug resistance of ovarian cancer</w:t>
      </w:r>
      <w:r w:rsidRPr="00B6332B">
        <w:rPr>
          <w:rFonts w:ascii="Book Antiqua" w:eastAsia="Book Antiqua" w:hAnsi="Book Antiqua" w:cs="Book Antiqua"/>
          <w:color w:val="000000" w:themeColor="text1"/>
          <w:vertAlign w:val="superscript"/>
        </w:rPr>
        <w:t>[</w:t>
      </w:r>
      <w:r w:rsidRPr="00B6332B">
        <w:rPr>
          <w:rFonts w:ascii="Book Antiqua" w:eastAsia="宋体" w:hAnsi="Book Antiqua" w:cs="Book Antiqua" w:hint="eastAsia"/>
          <w:color w:val="000000" w:themeColor="text1"/>
          <w:vertAlign w:val="superscript"/>
          <w:lang w:eastAsia="zh-CN"/>
        </w:rPr>
        <w:t>70</w:t>
      </w:r>
      <w:r w:rsidRPr="00B6332B">
        <w:rPr>
          <w:rFonts w:ascii="Book Antiqua" w:eastAsia="Book Antiqua" w:hAnsi="Book Antiqua" w:cs="Book Antiqua"/>
          <w:color w:val="000000" w:themeColor="text1"/>
          <w:vertAlign w:val="superscript"/>
        </w:rPr>
        <w:t>]</w:t>
      </w:r>
      <w:r w:rsidRPr="00B6332B">
        <w:rPr>
          <w:rFonts w:ascii="Book Antiqua" w:eastAsia="Book Antiqua" w:hAnsi="Book Antiqua" w:cs="Book Antiqua"/>
          <w:color w:val="000000" w:themeColor="text1"/>
        </w:rPr>
        <w:t>, but its role in GC requires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further exploration. Moreover,</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previous studies have revealed that </w:t>
      </w:r>
      <w:r w:rsidRPr="00B6332B">
        <w:rPr>
          <w:rFonts w:ascii="Book Antiqua" w:eastAsia="Book Antiqua" w:hAnsi="Book Antiqua" w:cs="Book Antiqua"/>
          <w:i/>
          <w:iCs/>
          <w:color w:val="000000" w:themeColor="text1"/>
        </w:rPr>
        <w:t>DSTN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increases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 colony formation and migration ability of tumor cells when highly expressed</w:t>
      </w:r>
      <w:r w:rsidRPr="00B6332B">
        <w:rPr>
          <w:rFonts w:ascii="Book Antiqua" w:eastAsia="Book Antiqua" w:hAnsi="Book Antiqua" w:cs="Book Antiqua"/>
          <w:color w:val="000000" w:themeColor="text1"/>
          <w:vertAlign w:val="superscript"/>
        </w:rPr>
        <w:t>[</w:t>
      </w:r>
      <w:r w:rsidRPr="00B6332B">
        <w:rPr>
          <w:rFonts w:ascii="Book Antiqua" w:eastAsia="宋体" w:hAnsi="Book Antiqua" w:cs="Book Antiqua" w:hint="eastAsia"/>
          <w:color w:val="000000" w:themeColor="text1"/>
          <w:vertAlign w:val="superscript"/>
          <w:lang w:eastAsia="zh-CN"/>
        </w:rPr>
        <w:t>71</w:t>
      </w:r>
      <w:r w:rsidRPr="00B6332B">
        <w:rPr>
          <w:rFonts w:ascii="Book Antiqua" w:eastAsia="Book Antiqua" w:hAnsi="Book Antiqua" w:cs="Book Antiqua"/>
          <w:color w:val="000000" w:themeColor="text1"/>
          <w:vertAlign w:val="superscript"/>
        </w:rPr>
        <w:t>]</w:t>
      </w:r>
      <w:r w:rsidRPr="00B6332B">
        <w:rPr>
          <w:rFonts w:ascii="Book Antiqua" w:eastAsia="Book Antiqua" w:hAnsi="Book Antiqua" w:cs="Book Antiqua"/>
          <w:color w:val="000000" w:themeColor="text1"/>
        </w:rPr>
        <w:t>, although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its relationship with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prognosis requires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further study. Study on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i/>
          <w:iCs/>
          <w:color w:val="000000" w:themeColor="text1"/>
        </w:rPr>
        <w:t>MYL6</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revealed possible impacts on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 migration of melanoma cells</w:t>
      </w:r>
      <w:r w:rsidRPr="00B6332B">
        <w:rPr>
          <w:rFonts w:ascii="Book Antiqua" w:eastAsia="Book Antiqua" w:hAnsi="Book Antiqua" w:cs="Book Antiqua"/>
          <w:color w:val="000000" w:themeColor="text1"/>
          <w:vertAlign w:val="superscript"/>
        </w:rPr>
        <w:t>[</w:t>
      </w:r>
      <w:r w:rsidRPr="00B6332B">
        <w:rPr>
          <w:rFonts w:ascii="Book Antiqua" w:eastAsia="宋体" w:hAnsi="Book Antiqua" w:cs="Book Antiqua" w:hint="eastAsia"/>
          <w:color w:val="000000" w:themeColor="text1"/>
          <w:vertAlign w:val="superscript"/>
          <w:lang w:eastAsia="zh-CN"/>
        </w:rPr>
        <w:t>72</w:t>
      </w:r>
      <w:r w:rsidRPr="00B6332B">
        <w:rPr>
          <w:rFonts w:ascii="Book Antiqua" w:eastAsia="Book Antiqua" w:hAnsi="Book Antiqua" w:cs="Book Antiqua"/>
          <w:color w:val="000000" w:themeColor="text1"/>
          <w:vertAlign w:val="superscript"/>
        </w:rPr>
        <w:t>]</w:t>
      </w:r>
      <w:r w:rsidRPr="00B6332B">
        <w:rPr>
          <w:rFonts w:ascii="Book Antiqua" w:eastAsia="Book Antiqua" w:hAnsi="Book Antiqua" w:cs="Book Antiqua"/>
          <w:color w:val="000000" w:themeColor="text1"/>
        </w:rPr>
        <w:t>, but its relationship with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needs further study. In </w:t>
      </w:r>
      <w:r w:rsidRPr="00B6332B">
        <w:rPr>
          <w:rFonts w:ascii="Book Antiqua" w:eastAsia="Book Antiqua" w:hAnsi="Book Antiqua" w:cs="Book Antiqua"/>
          <w:color w:val="000000" w:themeColor="text1"/>
        </w:rPr>
        <w:lastRenderedPageBreak/>
        <w:t xml:space="preserve">this study, we found that </w:t>
      </w:r>
      <w:r w:rsidRPr="00B6332B">
        <w:rPr>
          <w:rFonts w:ascii="Book Antiqua" w:eastAsia="Book Antiqua" w:hAnsi="Book Antiqua" w:cs="Book Antiqua"/>
          <w:i/>
          <w:iCs/>
          <w:color w:val="000000" w:themeColor="text1"/>
        </w:rPr>
        <w:t>PDLIM1</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FLNA</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MYH10</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MYL6</w:t>
      </w:r>
      <w:r w:rsidRPr="00B6332B">
        <w:rPr>
          <w:rFonts w:ascii="Book Antiqua" w:eastAsia="Book Antiqua" w:hAnsi="Book Antiqua" w:cs="Book Antiqua"/>
          <w:color w:val="000000" w:themeColor="text1"/>
        </w:rPr>
        <w:t xml:space="preserve">, and </w:t>
      </w:r>
      <w:r w:rsidRPr="00B6332B">
        <w:rPr>
          <w:rFonts w:ascii="Book Antiqua" w:eastAsia="Book Antiqua" w:hAnsi="Book Antiqua" w:cs="Book Antiqua"/>
          <w:i/>
          <w:iCs/>
          <w:color w:val="000000" w:themeColor="text1"/>
        </w:rPr>
        <w:t>DSTN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are significantly associated with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prognosis (</w:t>
      </w:r>
      <w:r w:rsidRPr="00B6332B">
        <w:rPr>
          <w:rFonts w:ascii="Book Antiqua" w:eastAsia="Book Antiqua" w:hAnsi="Book Antiqua" w:cs="Book Antiqua"/>
          <w:i/>
          <w:iCs/>
          <w:color w:val="000000" w:themeColor="text1"/>
        </w:rPr>
        <w:t>P</w:t>
      </w:r>
      <w:r w:rsidRPr="00B6332B">
        <w:rPr>
          <w:rFonts w:ascii="Book Antiqua" w:eastAsia="Book Antiqua" w:hAnsi="Book Antiqua" w:cs="Book Antiqua"/>
          <w:color w:val="000000" w:themeColor="text1"/>
        </w:rPr>
        <w:t xml:space="preserve"> &lt; 0.05), among which,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i/>
          <w:iCs/>
          <w:color w:val="000000" w:themeColor="text1"/>
        </w:rPr>
        <w:t>DSTN</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FLNA</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MYH10</w:t>
      </w:r>
      <w:r w:rsidRPr="00B6332B">
        <w:rPr>
          <w:rFonts w:ascii="Book Antiqua" w:eastAsia="Book Antiqua" w:hAnsi="Book Antiqua" w:cs="Book Antiqua"/>
          <w:color w:val="000000" w:themeColor="text1"/>
        </w:rPr>
        <w:t xml:space="preserve">, and </w:t>
      </w:r>
      <w:r w:rsidRPr="00B6332B">
        <w:rPr>
          <w:rFonts w:ascii="Book Antiqua" w:eastAsia="Book Antiqua" w:hAnsi="Book Antiqua" w:cs="Book Antiqua"/>
          <w:i/>
          <w:iCs/>
          <w:color w:val="000000" w:themeColor="text1"/>
        </w:rPr>
        <w:t>MYL6</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are risk factors for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prognosis, while </w:t>
      </w:r>
      <w:r w:rsidRPr="00B6332B">
        <w:rPr>
          <w:rFonts w:ascii="Book Antiqua" w:eastAsia="Book Antiqua" w:hAnsi="Book Antiqua" w:cs="Book Antiqua"/>
          <w:i/>
          <w:iCs/>
          <w:color w:val="000000" w:themeColor="text1"/>
        </w:rPr>
        <w:t>PDLIM1</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is a protective factor for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prognosis. Our study further demonstrates the impact of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on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prognosis.</w:t>
      </w:r>
    </w:p>
    <w:p w14:paraId="63EC3585" w14:textId="77777777" w:rsidR="00E724E0" w:rsidRPr="00B6332B" w:rsidRDefault="00000000">
      <w:pPr>
        <w:adjustRightInd w:val="0"/>
        <w:snapToGrid w:val="0"/>
        <w:spacing w:line="360" w:lineRule="auto"/>
        <w:ind w:firstLineChars="200" w:firstLine="480"/>
        <w:jc w:val="both"/>
        <w:rPr>
          <w:rFonts w:ascii="Book Antiqua" w:hAnsi="Book Antiqua" w:cs="Book Antiqua"/>
          <w:color w:val="000000" w:themeColor="text1"/>
        </w:rPr>
      </w:pPr>
      <w:r w:rsidRPr="00B6332B">
        <w:rPr>
          <w:rFonts w:ascii="Book Antiqua" w:eastAsia="Book Antiqua" w:hAnsi="Book Antiqua" w:cs="Book Antiqua"/>
          <w:color w:val="000000" w:themeColor="text1"/>
        </w:rPr>
        <w:t>Our results revealed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significant pathway and functional differences, as well as significantly different KEGG and GO pathways and functions between the two subtypes of disulfidptosis, mainly enriched in amino acid metabolism, TGF-β signaling pathway, pentose phosphate pathway, Wnt signaling pathway, and MAPK signaling pathway, among others. These functions and pathways may be related to the presence of GC. Indeed, previous studies have found that the TGF-β signaling pathway may be involved in the occurrence, invasion, proliferation, and metastasis of GC, affecting the prognosis of patients with GC</w:t>
      </w:r>
      <w:r w:rsidRPr="00B6332B">
        <w:rPr>
          <w:rFonts w:ascii="Book Antiqua" w:eastAsia="Book Antiqua" w:hAnsi="Book Antiqua" w:cs="Book Antiqua"/>
          <w:color w:val="000000" w:themeColor="text1"/>
          <w:vertAlign w:val="superscript"/>
        </w:rPr>
        <w:t>[73-77]</w:t>
      </w:r>
      <w:r w:rsidRPr="00B6332B">
        <w:rPr>
          <w:rFonts w:ascii="Book Antiqua" w:eastAsia="Book Antiqua" w:hAnsi="Book Antiqua" w:cs="Book Antiqua"/>
          <w:color w:val="000000" w:themeColor="text1"/>
        </w:rPr>
        <w:t>. Furthermore, some studies have suggested that the pentose phosphate pathway</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may be related to the proliferation of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cells</w:t>
      </w:r>
      <w:r w:rsidRPr="00B6332B">
        <w:rPr>
          <w:rFonts w:ascii="Book Antiqua" w:eastAsia="Book Antiqua" w:hAnsi="Book Antiqua" w:cs="Book Antiqua"/>
          <w:color w:val="000000" w:themeColor="text1"/>
          <w:vertAlign w:val="superscript"/>
        </w:rPr>
        <w:t>[78]</w:t>
      </w:r>
      <w:r w:rsidRPr="00B6332B">
        <w:rPr>
          <w:rFonts w:ascii="Book Antiqua" w:eastAsia="Book Antiqua" w:hAnsi="Book Antiqua" w:cs="Book Antiqua"/>
          <w:color w:val="000000" w:themeColor="text1"/>
        </w:rPr>
        <w:t>. Previous studies have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also</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found that the MAPK signaling pathway may also be involved in the occurrence, invasion, proliferation, and metastasis of GC, affecting the prognosis of GC</w:t>
      </w:r>
      <w:r w:rsidRPr="00B6332B">
        <w:rPr>
          <w:rFonts w:ascii="Book Antiqua" w:eastAsia="Book Antiqua" w:hAnsi="Book Antiqua" w:cs="Book Antiqua"/>
          <w:color w:val="000000" w:themeColor="text1"/>
          <w:vertAlign w:val="superscript"/>
        </w:rPr>
        <w:t>[79-87]</w:t>
      </w:r>
      <w:r w:rsidRPr="00B6332B">
        <w:rPr>
          <w:rFonts w:ascii="Book Antiqua" w:eastAsia="Book Antiqua" w:hAnsi="Book Antiqua" w:cs="Book Antiqua"/>
          <w:color w:val="000000" w:themeColor="text1"/>
        </w:rPr>
        <w: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Additionally, some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studies have found that the Wnt signaling pathway may be involved in the metastasis, migration, invasion, and progression of GC, affecting the prognosis of GC</w:t>
      </w:r>
      <w:r w:rsidRPr="00B6332B">
        <w:rPr>
          <w:rFonts w:ascii="Book Antiqua" w:eastAsia="Book Antiqua" w:hAnsi="Book Antiqua" w:cs="Book Antiqua"/>
          <w:color w:val="000000" w:themeColor="text1"/>
          <w:vertAlign w:val="superscript"/>
        </w:rPr>
        <w:t>[88-94]</w:t>
      </w:r>
      <w:r w:rsidRPr="00B6332B">
        <w:rPr>
          <w:rFonts w:ascii="Book Antiqua" w:eastAsia="Book Antiqua" w:hAnsi="Book Antiqua" w:cs="Book Antiqua"/>
          <w:color w:val="000000" w:themeColor="text1"/>
        </w:rPr>
        <w: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 the current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study, we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also found differences in immune cell infiltration between the subgroups of disulfidptosis gene typing. Taken together, these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findings and research suggest that DRGs affect various aspects of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with GC, including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amino acid metabolism, various signaling pathways, and immune cell infiltration, all of which may affect the survival or prognosis of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with GC; however, the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specific mechanisms and functions need to be further explored.</w:t>
      </w:r>
    </w:p>
    <w:p w14:paraId="77CE2C25" w14:textId="77777777" w:rsidR="00E724E0" w:rsidRPr="00B6332B" w:rsidRDefault="00000000">
      <w:pPr>
        <w:adjustRightInd w:val="0"/>
        <w:snapToGrid w:val="0"/>
        <w:spacing w:line="360" w:lineRule="auto"/>
        <w:ind w:firstLineChars="200" w:firstLine="480"/>
        <w:jc w:val="both"/>
        <w:rPr>
          <w:rFonts w:ascii="Book Antiqua" w:hAnsi="Book Antiqua" w:cs="Book Antiqua"/>
          <w:color w:val="000000" w:themeColor="text1"/>
        </w:rPr>
      </w:pPr>
      <w:r w:rsidRPr="00B6332B">
        <w:rPr>
          <w:rFonts w:ascii="Book Antiqua" w:eastAsia="Book Antiqua" w:hAnsi="Book Antiqua" w:cs="Book Antiqua"/>
          <w:color w:val="000000" w:themeColor="text1"/>
        </w:rPr>
        <w:t>In this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study, we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used a risk model to score differentially expressed genes in overall, training set, and testing set samples, dividing them into high- and low-risk groups. Survival, ROC, and risk analyses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were conducted for each group.</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 results showed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that the high-risk group had a poorer prognosis than the low-risk group in all groups, and the result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trend was consistent, further demonstrating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 reliability of the model.</w:t>
      </w:r>
    </w:p>
    <w:p w14:paraId="3B8078CF" w14:textId="77777777" w:rsidR="00E724E0" w:rsidRPr="00B6332B" w:rsidRDefault="00000000">
      <w:pPr>
        <w:adjustRightInd w:val="0"/>
        <w:snapToGrid w:val="0"/>
        <w:spacing w:line="360" w:lineRule="auto"/>
        <w:ind w:firstLineChars="200" w:firstLine="480"/>
        <w:jc w:val="both"/>
        <w:rPr>
          <w:rFonts w:ascii="Book Antiqua" w:hAnsi="Book Antiqua" w:cs="Book Antiqua"/>
          <w:color w:val="000000" w:themeColor="text1"/>
        </w:rPr>
      </w:pPr>
      <w:r w:rsidRPr="00B6332B">
        <w:rPr>
          <w:rFonts w:ascii="Book Antiqua" w:eastAsia="Book Antiqua" w:hAnsi="Book Antiqua" w:cs="Book Antiqua"/>
          <w:color w:val="000000" w:themeColor="text1"/>
        </w:rPr>
        <w:lastRenderedPageBreak/>
        <w:t>Through column line chart analysis, we revealed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that </w:t>
      </w:r>
      <w:r w:rsidRPr="00B6332B">
        <w:rPr>
          <w:rFonts w:ascii="Book Antiqua" w:eastAsia="Book Antiqua" w:hAnsi="Book Antiqua" w:cs="Book Antiqua"/>
          <w:i/>
          <w:iCs/>
          <w:color w:val="000000" w:themeColor="text1"/>
        </w:rPr>
        <w:t>APOD</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PLS3</w:t>
      </w:r>
      <w:r w:rsidRPr="00B6332B">
        <w:rPr>
          <w:rFonts w:ascii="Book Antiqua" w:eastAsia="Book Antiqua" w:hAnsi="Book Antiqua" w:cs="Book Antiqua"/>
          <w:color w:val="000000" w:themeColor="text1"/>
        </w:rPr>
        <w:t>, age, sex, and N stage represent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independent risk factors affecting patient prognosis, all of which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are risk factors for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prognosis. Through column line chart analysis, we observed that the survival rates of patients at 1, 3, and 5 years gradually decreased, with rates of 0.806, 0.527, and 0.39, respectively; this is consistent with the trend of 1-,</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3-,</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5-year survival rates in previous studies on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further confirming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 reliability of the prognostic model</w:t>
      </w:r>
      <w:r w:rsidRPr="00B6332B">
        <w:rPr>
          <w:rFonts w:ascii="Book Antiqua" w:eastAsia="Book Antiqua" w:hAnsi="Book Antiqua" w:cs="Book Antiqua"/>
          <w:color w:val="000000" w:themeColor="text1"/>
          <w:vertAlign w:val="superscript"/>
        </w:rPr>
        <w:t>[95]</w:t>
      </w:r>
      <w:r w:rsidRPr="00B6332B">
        <w:rPr>
          <w:rFonts w:ascii="Book Antiqua" w:eastAsia="Book Antiqua" w:hAnsi="Book Antiqua" w:cs="Book Antiqua"/>
          <w:color w:val="000000" w:themeColor="text1"/>
        </w:rPr>
        <w:t xml:space="preserve">. Additionally, we found that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represents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 independent prognostic factor for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 this model (</w:t>
      </w:r>
      <w:r w:rsidRPr="00B6332B">
        <w:rPr>
          <w:rFonts w:ascii="Book Antiqua" w:eastAsia="Book Antiqua" w:hAnsi="Book Antiqua" w:cs="Book Antiqua"/>
          <w:i/>
          <w:iCs/>
          <w:color w:val="000000" w:themeColor="text1"/>
        </w:rPr>
        <w:t>P</w:t>
      </w:r>
      <w:r w:rsidRPr="00B6332B">
        <w:rPr>
          <w:rFonts w:ascii="Book Antiqua" w:eastAsia="Book Antiqua" w:hAnsi="Book Antiqua" w:cs="Book Antiqua"/>
          <w:color w:val="000000" w:themeColor="text1"/>
        </w:rPr>
        <w:t xml:space="preserve"> &lt; 0.001). Previous studies on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have found that it may be involved in the construction of multiple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prognostic and immune prediction models</w:t>
      </w:r>
      <w:r w:rsidRPr="00B6332B">
        <w:rPr>
          <w:rFonts w:ascii="Book Antiqua" w:eastAsia="Book Antiqua" w:hAnsi="Book Antiqua" w:cs="Book Antiqua"/>
          <w:color w:val="000000" w:themeColor="text1"/>
          <w:vertAlign w:val="superscript"/>
        </w:rPr>
        <w:t>[96-103]</w:t>
      </w:r>
      <w:r w:rsidRPr="00B6332B">
        <w:rPr>
          <w:rFonts w:ascii="Book Antiqua" w:eastAsia="Book Antiqua" w:hAnsi="Book Antiqua" w:cs="Book Antiqua"/>
          <w:color w:val="000000" w:themeColor="text1"/>
        </w:rPr>
        <w:t>, which may be related to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prognosis. In this study, we further analyzed the protein encoded by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 the HPA network database through immunohistochemical analysis and found that its protein expression level in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tissues was significantly higher than that in adjacent normal tissues, further indicating significant differences in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between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tissues and adjacent normal tissues. Overall, our results suggest that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may play an important role in the occurrence and development of GC, while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its expression level may be related to the prognosis of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with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further suggesting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that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represents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 potential therapeutic target for GC.</w:t>
      </w:r>
    </w:p>
    <w:p w14:paraId="4AA7704B" w14:textId="77777777" w:rsidR="00E724E0" w:rsidRPr="00B6332B" w:rsidRDefault="00000000">
      <w:pPr>
        <w:adjustRightInd w:val="0"/>
        <w:snapToGrid w:val="0"/>
        <w:spacing w:line="360" w:lineRule="auto"/>
        <w:ind w:firstLineChars="200" w:firstLine="480"/>
        <w:jc w:val="both"/>
        <w:rPr>
          <w:rFonts w:ascii="Book Antiqua" w:hAnsi="Book Antiqua" w:cs="Book Antiqua"/>
          <w:color w:val="000000" w:themeColor="text1"/>
        </w:rPr>
      </w:pPr>
      <w:r w:rsidRPr="00B6332B">
        <w:rPr>
          <w:rFonts w:ascii="Book Antiqua" w:eastAsia="Book Antiqua" w:hAnsi="Book Antiqua" w:cs="Book Antiqua"/>
          <w:color w:val="000000" w:themeColor="text1"/>
        </w:rPr>
        <w:t>We also</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found that the genes constituting the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prognosis model were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related to various immune cells, indicating that the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may affect the immunity of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with GC. The heatmap of the correlation between the model genes and immune cells in this study showed a significant positive correlation between disulfidptosis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i/>
          <w:iCs/>
          <w:color w:val="000000" w:themeColor="text1"/>
        </w:rPr>
        <w:t>PLS3</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resting mast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cells (</w:t>
      </w:r>
      <w:r w:rsidRPr="00B6332B">
        <w:rPr>
          <w:rFonts w:ascii="Book Antiqua" w:eastAsia="Book Antiqua" w:hAnsi="Book Antiqua" w:cs="Book Antiqua"/>
          <w:i/>
          <w:iCs/>
          <w:color w:val="000000" w:themeColor="text1"/>
        </w:rPr>
        <w:t>P</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&lt; 0.001).</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Indeed, previous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studies have found a correlation between resting mast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cells and GC</w:t>
      </w:r>
      <w:r w:rsidRPr="00B6332B">
        <w:rPr>
          <w:rFonts w:ascii="Book Antiqua" w:eastAsia="Book Antiqua" w:hAnsi="Book Antiqua" w:cs="Book Antiqua"/>
          <w:color w:val="000000" w:themeColor="text1"/>
          <w:vertAlign w:val="superscript"/>
        </w:rPr>
        <w:t>[104,105]</w:t>
      </w:r>
      <w:r w:rsidRPr="00B6332B">
        <w:rPr>
          <w:rFonts w:ascii="Book Antiqua" w:eastAsia="Book Antiqua" w:hAnsi="Book Antiqua" w:cs="Book Antiqua"/>
          <w:color w:val="000000" w:themeColor="text1"/>
        </w:rPr>
        <w:t xml:space="preserve">, and it has been suggested that </w:t>
      </w:r>
      <w:r w:rsidRPr="00B6332B">
        <w:rPr>
          <w:rFonts w:ascii="Book Antiqua" w:eastAsia="Book Antiqua" w:hAnsi="Book Antiqua" w:cs="Book Antiqua"/>
          <w:i/>
          <w:iCs/>
          <w:color w:val="000000" w:themeColor="text1"/>
        </w:rPr>
        <w:t>PLS3</w:t>
      </w:r>
      <w:r w:rsidRPr="00B6332B">
        <w:rPr>
          <w:rFonts w:ascii="Book Antiqua" w:eastAsia="Book Antiqua" w:hAnsi="Book Antiqua" w:cs="Book Antiqua"/>
          <w:color w:val="000000" w:themeColor="text1"/>
          <w:vertAlign w:val="superscript"/>
        </w:rPr>
        <w:t>[106]</w:t>
      </w:r>
      <w:r w:rsidRPr="00B6332B">
        <w:rPr>
          <w:rFonts w:ascii="Book Antiqua" w:eastAsia="Book Antiqua" w:hAnsi="Book Antiqua" w:cs="Book Antiqua"/>
          <w:color w:val="000000" w:themeColor="text1"/>
        </w:rPr>
        <w:t xml:space="preserve"> may also be related to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Through the analysis of TME differences in the prognosis model, we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found differences in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 Stromal</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Score and ESTIMATE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Score in the high- and low-risk groups, with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both scores found to be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upregulated in the high-risk group, indicating that the risk score of the prognosis model is related to the TME of GC. Through the analysis of the relationship between the risk score of the prognosis model and TMB, MSI, and stem cell correlation, we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found that the risk score of the prognosis model was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correlated </w:t>
      </w:r>
      <w:r w:rsidRPr="00B6332B">
        <w:rPr>
          <w:rFonts w:ascii="Book Antiqua" w:eastAsia="Book Antiqua" w:hAnsi="Book Antiqua" w:cs="Book Antiqua"/>
          <w:color w:val="000000" w:themeColor="text1"/>
        </w:rPr>
        <w:lastRenderedPageBreak/>
        <w:t>with TMB, MSI, and RNAss. These results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further indicate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that the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may be related to the immunity or immune therapy targets of TMB, MSI, and RNAss in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with GC, which may affect the immune therapy effect and prognosis of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with GC. Among them, MSI, an immune therapy target, has been found to affect the treatment and prognosis of patients with GC in previous studies</w:t>
      </w:r>
      <w:r w:rsidRPr="00B6332B">
        <w:rPr>
          <w:rFonts w:ascii="Book Antiqua" w:eastAsia="Book Antiqua" w:hAnsi="Book Antiqua" w:cs="Book Antiqua"/>
          <w:color w:val="000000" w:themeColor="text1"/>
          <w:vertAlign w:val="superscript"/>
        </w:rPr>
        <w:t>[107-111]</w:t>
      </w:r>
      <w:r w:rsidRPr="00B6332B">
        <w:rPr>
          <w:rFonts w:ascii="Book Antiqua" w:eastAsia="Book Antiqua" w:hAnsi="Book Antiqua" w:cs="Book Antiqua"/>
          <w:color w:val="000000" w:themeColor="text1"/>
        </w:rPr>
        <w:t>, while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 significant correlation between the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risk prediction model established in this study and MSI indicates that MSI-targeted treatment may be meaningful for the treatment and prognosis of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with GC. This further indicates the correlation between disulfidptosis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the immunity or immune therapy targets of patients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with GC.</w:t>
      </w:r>
    </w:p>
    <w:p w14:paraId="148BD7F2" w14:textId="77777777" w:rsidR="00E724E0" w:rsidRPr="00B6332B" w:rsidRDefault="00000000">
      <w:pPr>
        <w:adjustRightInd w:val="0"/>
        <w:snapToGrid w:val="0"/>
        <w:spacing w:line="360" w:lineRule="auto"/>
        <w:ind w:firstLineChars="200" w:firstLine="480"/>
        <w:jc w:val="both"/>
        <w:rPr>
          <w:rFonts w:ascii="Book Antiqua" w:hAnsi="Book Antiqua" w:cs="Book Antiqua"/>
          <w:color w:val="000000" w:themeColor="text1"/>
        </w:rPr>
      </w:pPr>
      <w:r w:rsidRPr="00B6332B">
        <w:rPr>
          <w:rFonts w:ascii="Book Antiqua" w:eastAsia="Book Antiqua" w:hAnsi="Book Antiqua" w:cs="Book Antiqua"/>
          <w:color w:val="000000" w:themeColor="text1"/>
        </w:rPr>
        <w:t>The results of our drug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sensitivity analysis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revealed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that 89 drugs, including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Bosutinib</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Bryostatin, were significantly correlated with the sensitivity of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treatment. Previous studies have found that Bryostatin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can enhance the effect of paclitaxel in the treatment of GC</w:t>
      </w:r>
      <w:r w:rsidRPr="00B6332B">
        <w:rPr>
          <w:rFonts w:ascii="Book Antiqua" w:eastAsia="Book Antiqua" w:hAnsi="Book Antiqua" w:cs="Book Antiqua"/>
          <w:color w:val="000000" w:themeColor="text1"/>
          <w:vertAlign w:val="superscript"/>
        </w:rPr>
        <w:t>[112]</w:t>
      </w:r>
      <w:r w:rsidRPr="00B6332B">
        <w:rPr>
          <w:rFonts w:ascii="Book Antiqua" w:eastAsia="Book Antiqua" w:hAnsi="Book Antiqua" w:cs="Book Antiqua"/>
          <w:color w:val="000000" w:themeColor="text1"/>
        </w:rPr>
        <w:t>, while others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have found that Bosutinib</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may inhibit the migration of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cells</w:t>
      </w:r>
      <w:r w:rsidRPr="00B6332B">
        <w:rPr>
          <w:rFonts w:ascii="Book Antiqua" w:eastAsia="Book Antiqua" w:hAnsi="Book Antiqua" w:cs="Book Antiqua"/>
          <w:color w:val="000000" w:themeColor="text1"/>
          <w:vertAlign w:val="superscript"/>
        </w:rPr>
        <w:t>[113]</w:t>
      </w:r>
      <w:r w:rsidRPr="00B6332B">
        <w:rPr>
          <w:rFonts w:ascii="Book Antiqua" w:eastAsia="Book Antiqua" w:hAnsi="Book Antiqua" w:cs="Book Antiqua"/>
          <w:color w:val="000000" w:themeColor="text1"/>
        </w:rPr>
        <w:t>. These results suggest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that Bosutinib</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may have therapeutic effects on GC. The high sensitivity of Bosutinib</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Bryostatin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to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found in this study suggests that they may be useful</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drugs for the treatment of GC. Therefore, the 89 drugs represented by Bosutinib</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in this study may be potential drugs for the treatment of GC.</w:t>
      </w:r>
    </w:p>
    <w:p w14:paraId="53E82B9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0CDC2C8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aps/>
          <w:color w:val="000000" w:themeColor="text1"/>
          <w:u w:val="single"/>
        </w:rPr>
        <w:t>CONCLUSION</w:t>
      </w:r>
    </w:p>
    <w:p w14:paraId="75A5CCA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In conclusion, our findings suggest that the DRGs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and their</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submolecules may have an impact on immunity, immunotherapy targets, signaling pathways, and drug sensitivity in patients with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DRGs, including</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i/>
          <w:iCs/>
          <w:color w:val="000000" w:themeColor="text1"/>
        </w:rPr>
        <w:t>PDLIM1</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FLNA</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MYH10</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MYL6</w:t>
      </w:r>
      <w:r w:rsidRPr="00B6332B">
        <w:rPr>
          <w:rFonts w:ascii="Book Antiqua" w:eastAsia="Book Antiqua" w:hAnsi="Book Antiqua" w:cs="Book Antiqua"/>
          <w:color w:val="000000" w:themeColor="text1"/>
        </w:rPr>
        <w: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and </w:t>
      </w:r>
      <w:r w:rsidRPr="00B6332B">
        <w:rPr>
          <w:rFonts w:ascii="Book Antiqua" w:eastAsia="Book Antiqua" w:hAnsi="Book Antiqua" w:cs="Book Antiqua"/>
          <w:i/>
          <w:iCs/>
          <w:color w:val="000000" w:themeColor="text1"/>
        </w:rPr>
        <w:t>DSTN</w:t>
      </w:r>
      <w:r w:rsidRPr="00B6332B">
        <w:rPr>
          <w:rFonts w:ascii="Book Antiqua" w:eastAsia="Book Antiqua" w:hAnsi="Book Antiqua" w:cs="Book Antiqua"/>
          <w:color w:val="000000" w:themeColor="text1"/>
        </w:rPr>
        <w: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may be related to the prognosis of GC. Six genes, namely, </w:t>
      </w:r>
      <w:r w:rsidRPr="00B6332B">
        <w:rPr>
          <w:rFonts w:ascii="Book Antiqua" w:eastAsia="Book Antiqua" w:hAnsi="Book Antiqua" w:cs="Book Antiqua"/>
          <w:i/>
          <w:iCs/>
          <w:color w:val="000000" w:themeColor="text1"/>
        </w:rPr>
        <w:t>PLS3</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GRP</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APOD</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SGCE</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COL8A1</w:t>
      </w:r>
      <w:r w:rsidRPr="00B6332B">
        <w:rPr>
          <w:rFonts w:ascii="Book Antiqua" w:eastAsia="Book Antiqua" w:hAnsi="Book Antiqua" w:cs="Book Antiqua"/>
          <w:color w:val="000000" w:themeColor="text1"/>
        </w:rPr>
        <w: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and </w:t>
      </w:r>
      <w:r w:rsidRPr="00B6332B">
        <w:rPr>
          <w:rFonts w:ascii="Book Antiqua" w:eastAsia="Book Antiqua" w:hAnsi="Book Antiqua" w:cs="Book Antiqua"/>
          <w:i/>
          <w:iCs/>
          <w:color w:val="000000" w:themeColor="text1"/>
        </w:rPr>
        <w:t>VAMP7</w:t>
      </w:r>
      <w:r w:rsidRPr="00B6332B">
        <w:rPr>
          <w:rFonts w:ascii="Book Antiqua" w:eastAsia="Book Antiqua" w:hAnsi="Book Antiqua" w:cs="Book Antiqua"/>
          <w:color w:val="000000" w:themeColor="text1"/>
        </w:rPr>
        <w:t>, constituted a prognostic model of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associated with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DRG.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may be a potential target for the treatment of GC, while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89 drugs, including Bosutinib and Bryostatin, may be potential drugs for the treatment of GC.</w:t>
      </w:r>
    </w:p>
    <w:p w14:paraId="74A8FBAE"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1CC3A5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aps/>
          <w:color w:val="000000" w:themeColor="text1"/>
          <w:u w:val="single"/>
        </w:rPr>
        <w:t>ARTICLE HIGHLIGHTS</w:t>
      </w:r>
    </w:p>
    <w:p w14:paraId="62E63C3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i/>
          <w:color w:val="000000" w:themeColor="text1"/>
        </w:rPr>
        <w:t>Research background</w:t>
      </w:r>
    </w:p>
    <w:p w14:paraId="35A127C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lastRenderedPageBreak/>
        <w:t>Gastric cancer (GC) is one of the most common malignant tumors, although</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its pathogenesis remains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unclear.</w:t>
      </w:r>
    </w:p>
    <w:p w14:paraId="027FEBAB"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0080A19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i/>
          <w:color w:val="000000" w:themeColor="text1"/>
        </w:rPr>
        <w:t>Research motivation</w:t>
      </w:r>
    </w:p>
    <w:p w14:paraId="61C3E69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For</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the first time, in the current study, we constructed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a new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prognostic model based on the sub-group analysis of disulfidptosis-related genes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DRGs</w:t>
      </w:r>
      <w:r w:rsidRPr="00B6332B">
        <w:rPr>
          <w:rFonts w:ascii="Book Antiqua" w:eastAsia="宋体" w:hAnsi="Book Antiqua" w:cs="Book Antiqua" w:hint="eastAsia"/>
          <w:color w:val="000000" w:themeColor="text1"/>
          <w:lang w:eastAsia="zh-CN"/>
        </w:rPr>
        <w:t>)</w:t>
      </w:r>
      <w:r w:rsidRPr="00B6332B">
        <w:rPr>
          <w:rFonts w:ascii="Book Antiqua" w:eastAsia="Book Antiqua" w:hAnsi="Book Antiqua" w:cs="Book Antiqua"/>
          <w:color w:val="000000" w:themeColor="text1"/>
        </w:rPr>
        <w:t xml:space="preserve"> and explored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treatment targets and sensitive drugs.</w:t>
      </w:r>
    </w:p>
    <w:p w14:paraId="3372EDD2"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B1A616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i/>
          <w:color w:val="000000" w:themeColor="text1"/>
        </w:rPr>
        <w:t>Research objectives</w:t>
      </w:r>
    </w:p>
    <w:p w14:paraId="1E16F37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The aims of this study were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to explore a new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prognostic model based on the sub-group analysis of DRGs and explore treatment targets and sensitive drugs.</w:t>
      </w:r>
    </w:p>
    <w:p w14:paraId="718740FF"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CD560E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i/>
          <w:color w:val="000000" w:themeColor="text1"/>
        </w:rPr>
        <w:t>Research methods</w:t>
      </w:r>
    </w:p>
    <w:p w14:paraId="50F2ADAB"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In this study, a bioinformatics strategy was used to extract GC-related data from The Cancer Genome Atlas and Gene Expression Omnibus databases, while</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R software (version 4.2.1) was used for correlation analysis.</w:t>
      </w:r>
    </w:p>
    <w:p w14:paraId="08FD64CC"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C109A4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i/>
          <w:color w:val="000000" w:themeColor="text1"/>
        </w:rPr>
        <w:t>Research results</w:t>
      </w:r>
    </w:p>
    <w:p w14:paraId="23FAC001" w14:textId="2B374315"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Through the above analysis, we found that the </w:t>
      </w:r>
      <w:r w:rsidR="00B6332B" w:rsidRPr="00B6332B">
        <w:rPr>
          <w:rFonts w:ascii="Book Antiqua" w:eastAsia="Book Antiqua" w:hAnsi="Book Antiqua" w:cs="Book Antiqua"/>
          <w:color w:val="000000" w:themeColor="text1"/>
        </w:rPr>
        <w:t>disulfidptosis-related gene</w:t>
      </w:r>
      <w:r w:rsidRPr="00B6332B">
        <w:rPr>
          <w:rFonts w:ascii="Book Antiqua" w:eastAsia="Book Antiqua" w:hAnsi="Book Antiqua" w:cs="Book Antiqua"/>
          <w:color w:val="000000" w:themeColor="text1"/>
        </w:rPr>
        <w:t xml:space="preserve"> may be related to the prognosis of GC. Six genes, namely,</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i/>
          <w:iCs/>
          <w:color w:val="000000" w:themeColor="text1"/>
        </w:rPr>
        <w:t>PLS3</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GRP</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APOD</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SGCE</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COL8A1</w:t>
      </w:r>
      <w:r w:rsidRPr="00B6332B">
        <w:rPr>
          <w:rFonts w:ascii="Book Antiqua" w:eastAsia="Book Antiqua" w:hAnsi="Book Antiqua" w:cs="Book Antiqua"/>
          <w:color w:val="000000" w:themeColor="text1"/>
        </w:rPr>
        <w:t xml:space="preserve">, and </w:t>
      </w:r>
      <w:r w:rsidRPr="00B6332B">
        <w:rPr>
          <w:rFonts w:ascii="Book Antiqua" w:eastAsia="Book Antiqua" w:hAnsi="Book Antiqua" w:cs="Book Antiqua"/>
          <w:i/>
          <w:iCs/>
          <w:color w:val="000000" w:themeColor="text1"/>
        </w:rPr>
        <w:t>VAMP7</w:t>
      </w:r>
      <w:r w:rsidRPr="00B6332B">
        <w:rPr>
          <w:rFonts w:ascii="Book Antiqua" w:eastAsia="Book Antiqua" w:hAnsi="Book Antiqua" w:cs="Book Antiqua"/>
          <w:color w:val="000000" w:themeColor="text1"/>
        </w:rPr>
        <w: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constitute a predictive model for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prognosis.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is a potential therapeutic target. Bosutinib and other drugs are suitable for the treatment of GC.</w:t>
      </w:r>
    </w:p>
    <w:p w14:paraId="65A49ABC"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6D11D3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i/>
          <w:color w:val="000000" w:themeColor="text1"/>
        </w:rPr>
        <w:t>Research conclusions</w:t>
      </w:r>
    </w:p>
    <w:p w14:paraId="4F5B085F" w14:textId="4F01D3C4"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 xml:space="preserve">The results of this study indicate that </w:t>
      </w:r>
      <w:r w:rsidR="00B6332B" w:rsidRPr="00B6332B">
        <w:rPr>
          <w:rFonts w:ascii="Book Antiqua" w:eastAsia="Book Antiqua" w:hAnsi="Book Antiqua" w:cs="Book Antiqua"/>
          <w:color w:val="000000" w:themeColor="text1"/>
        </w:rPr>
        <w:t>disulfidptosis</w:t>
      </w:r>
      <w:r w:rsidRPr="00B6332B">
        <w:rPr>
          <w:rFonts w:ascii="Book Antiqua" w:eastAsia="Book Antiqua" w:hAnsi="Book Antiqua" w:cs="Book Antiqua"/>
          <w:color w:val="000000" w:themeColor="text1"/>
        </w:rPr>
        <w:t xml:space="preserve"> is related to the prognosis and treatment of GC. Additionally,</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can be used as a potential therapeutic target for GC.</w:t>
      </w:r>
    </w:p>
    <w:p w14:paraId="725CF74E"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388608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i/>
          <w:color w:val="000000" w:themeColor="text1"/>
        </w:rPr>
        <w:t>Research perspectives</w:t>
      </w:r>
    </w:p>
    <w:p w14:paraId="51EBD1D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lastRenderedPageBreak/>
        <w:t>Six genes, namely,</w:t>
      </w:r>
      <w:r w:rsidRPr="00B6332B">
        <w:rPr>
          <w:rFonts w:ascii="Book Antiqua" w:eastAsia="宋体" w:hAnsi="Book Antiqua" w:cs="Book Antiqua" w:hint="eastAsia"/>
          <w:i/>
          <w:iCs/>
          <w:color w:val="000000" w:themeColor="text1"/>
          <w:lang w:eastAsia="zh-CN"/>
        </w:rPr>
        <w:t xml:space="preserve"> </w:t>
      </w:r>
      <w:r w:rsidRPr="00B6332B">
        <w:rPr>
          <w:rFonts w:ascii="Book Antiqua" w:eastAsia="Book Antiqua" w:hAnsi="Book Antiqua" w:cs="Book Antiqua"/>
          <w:i/>
          <w:iCs/>
          <w:color w:val="000000" w:themeColor="text1"/>
        </w:rPr>
        <w:t>PLS3</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GRP</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APOD</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SGCE</w:t>
      </w:r>
      <w:r w:rsidRPr="00B6332B">
        <w:rPr>
          <w:rFonts w:ascii="Book Antiqua" w:eastAsia="Book Antiqua" w:hAnsi="Book Antiqua" w:cs="Book Antiqua"/>
          <w:color w:val="000000" w:themeColor="text1"/>
        </w:rPr>
        <w:t xml:space="preserve">, </w:t>
      </w:r>
      <w:r w:rsidRPr="00B6332B">
        <w:rPr>
          <w:rFonts w:ascii="Book Antiqua" w:eastAsia="Book Antiqua" w:hAnsi="Book Antiqua" w:cs="Book Antiqua"/>
          <w:i/>
          <w:iCs/>
          <w:color w:val="000000" w:themeColor="text1"/>
        </w:rPr>
        <w:t>COL8A1</w:t>
      </w:r>
      <w:r w:rsidRPr="00B6332B">
        <w:rPr>
          <w:rFonts w:ascii="Book Antiqua" w:eastAsia="Book Antiqua" w:hAnsi="Book Antiqua" w:cs="Book Antiqua"/>
          <w:color w:val="000000" w:themeColor="text1"/>
        </w:rPr>
        <w:t xml:space="preserve">, and </w:t>
      </w:r>
      <w:r w:rsidRPr="00B6332B">
        <w:rPr>
          <w:rFonts w:ascii="Book Antiqua" w:eastAsia="Book Antiqua" w:hAnsi="Book Antiqua" w:cs="Book Antiqua"/>
          <w:i/>
          <w:iCs/>
          <w:color w:val="000000" w:themeColor="text1"/>
        </w:rPr>
        <w:t>VAMP7</w:t>
      </w:r>
      <w:r w:rsidRPr="00B6332B">
        <w:rPr>
          <w:rFonts w:ascii="Book Antiqua" w:eastAsia="Book Antiqua" w:hAnsi="Book Antiqua" w:cs="Book Antiqua"/>
          <w:color w:val="000000" w:themeColor="text1"/>
        </w:rPr>
        <w:t>,</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constitute a predictive model for GC</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prognosis. </w:t>
      </w:r>
      <w:r w:rsidRPr="00B6332B">
        <w:rPr>
          <w:rFonts w:ascii="Book Antiqua" w:eastAsia="Book Antiqua" w:hAnsi="Book Antiqua" w:cs="Book Antiqua"/>
          <w:i/>
          <w:iCs/>
          <w:color w:val="000000" w:themeColor="text1"/>
        </w:rPr>
        <w:t>APOD</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is a potential therapeutic target</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for treating</w:t>
      </w:r>
      <w:r w:rsidRPr="00B6332B">
        <w:rPr>
          <w:rStyle w:val="15"/>
          <w:rFonts w:ascii="Book Antiqua" w:eastAsia="宋体" w:hAnsi="Book Antiqua" w:cs="Book Antiqua" w:hint="eastAsia"/>
          <w:color w:val="000000" w:themeColor="text1"/>
          <w:lang w:eastAsia="zh-CN"/>
        </w:rPr>
        <w:t xml:space="preserve"> </w:t>
      </w:r>
      <w:r w:rsidRPr="00B6332B">
        <w:rPr>
          <w:rStyle w:val="15"/>
          <w:rFonts w:ascii="Book Antiqua" w:eastAsia="Book Antiqua" w:hAnsi="Book Antiqua" w:cs="Book Antiqua"/>
          <w:color w:val="000000" w:themeColor="text1"/>
        </w:rPr>
        <w:t>GC</w:t>
      </w:r>
      <w:r w:rsidRPr="00B6332B">
        <w:rPr>
          <w:rFonts w:ascii="Book Antiqua" w:eastAsia="Book Antiqua" w:hAnsi="Book Antiqua" w:cs="Book Antiqua"/>
          <w:color w:val="000000" w:themeColor="text1"/>
        </w:rPr>
        <w:t>. Bosutinib and other drugs are suitable for the treatment of GC, although this requires</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further confirmation through molecular biology and clinical experiments.</w:t>
      </w:r>
    </w:p>
    <w:p w14:paraId="5EDD105F"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1C9F75C" w14:textId="77777777" w:rsidR="00E724E0" w:rsidRPr="00B6332B" w:rsidRDefault="00000000">
      <w:pPr>
        <w:adjustRightInd w:val="0"/>
        <w:snapToGrid w:val="0"/>
        <w:spacing w:line="360" w:lineRule="auto"/>
        <w:jc w:val="both"/>
        <w:rPr>
          <w:rFonts w:ascii="Book Antiqua" w:eastAsia="Book Antiqua" w:hAnsi="Book Antiqua" w:cs="Book Antiqua"/>
          <w:b/>
          <w:color w:val="000000" w:themeColor="text1"/>
        </w:rPr>
      </w:pPr>
      <w:r w:rsidRPr="00B6332B">
        <w:rPr>
          <w:rFonts w:ascii="Book Antiqua" w:eastAsia="Book Antiqua" w:hAnsi="Book Antiqua" w:cs="Book Antiqua"/>
          <w:b/>
          <w:color w:val="000000" w:themeColor="text1"/>
        </w:rPr>
        <w:t>REFERENCES</w:t>
      </w:r>
    </w:p>
    <w:p w14:paraId="1C235F0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 </w:t>
      </w:r>
      <w:r w:rsidRPr="00B6332B">
        <w:rPr>
          <w:rFonts w:ascii="Book Antiqua" w:hAnsi="Book Antiqua" w:cs="Book Antiqua"/>
          <w:b/>
          <w:bCs/>
          <w:color w:val="000000" w:themeColor="text1"/>
        </w:rPr>
        <w:t>Li Y</w:t>
      </w:r>
      <w:r w:rsidRPr="00B6332B">
        <w:rPr>
          <w:rFonts w:ascii="Book Antiqua" w:hAnsi="Book Antiqua" w:cs="Book Antiqua"/>
          <w:color w:val="000000" w:themeColor="text1"/>
        </w:rPr>
        <w:t xml:space="preserve">, Hu X, Lin R, Zhou G, Zhao L, Zhao D, Zhang Y, Li W, Zhang Y, Ma P, Ren H, Liao X, Niu P, Wang T, Zhang X, Wang W, Gao R, Li Q, Church G, He J, Chen Y. Single-cell landscape reveals active cell subtypes and their interaction in the tumor microenvironment of gastric cancer. </w:t>
      </w:r>
      <w:r w:rsidRPr="00B6332B">
        <w:rPr>
          <w:rFonts w:ascii="Book Antiqua" w:hAnsi="Book Antiqua" w:cs="Book Antiqua"/>
          <w:i/>
          <w:iCs/>
          <w:color w:val="000000" w:themeColor="text1"/>
        </w:rPr>
        <w:t>Theranostics</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3818-3833 [PMID: 35664061 DOI: 10.7150/thno.71833]</w:t>
      </w:r>
    </w:p>
    <w:p w14:paraId="1400C0B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 </w:t>
      </w:r>
      <w:r w:rsidRPr="00B6332B">
        <w:rPr>
          <w:rFonts w:ascii="Book Antiqua" w:hAnsi="Book Antiqua" w:cs="Book Antiqua"/>
          <w:b/>
          <w:bCs/>
          <w:color w:val="000000" w:themeColor="text1"/>
        </w:rPr>
        <w:t>Chang X</w:t>
      </w:r>
      <w:r w:rsidRPr="00B6332B">
        <w:rPr>
          <w:rFonts w:ascii="Book Antiqua" w:hAnsi="Book Antiqua" w:cs="Book Antiqua"/>
          <w:color w:val="000000" w:themeColor="text1"/>
        </w:rPr>
        <w:t xml:space="preserve">, Ge X, Zhang Y, Xue X. The current management and biomarkers of immunotherapy in advanced gastric cancer. </w:t>
      </w:r>
      <w:r w:rsidRPr="00B6332B">
        <w:rPr>
          <w:rFonts w:ascii="Book Antiqua" w:hAnsi="Book Antiqua" w:cs="Book Antiqua"/>
          <w:i/>
          <w:iCs/>
          <w:color w:val="000000" w:themeColor="text1"/>
        </w:rPr>
        <w:t>Medicine (Baltimore)</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101</w:t>
      </w:r>
      <w:r w:rsidRPr="00B6332B">
        <w:rPr>
          <w:rFonts w:ascii="Book Antiqua" w:hAnsi="Book Antiqua" w:cs="Book Antiqua"/>
          <w:color w:val="000000" w:themeColor="text1"/>
        </w:rPr>
        <w:t>: e29304 [PMID: 35623069 DOI: 10.1097/MD.0000000000029304]</w:t>
      </w:r>
    </w:p>
    <w:p w14:paraId="7BEE296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 </w:t>
      </w:r>
      <w:r w:rsidRPr="00B6332B">
        <w:rPr>
          <w:rFonts w:ascii="Book Antiqua" w:hAnsi="Book Antiqua" w:cs="Book Antiqua"/>
          <w:b/>
          <w:bCs/>
          <w:color w:val="000000" w:themeColor="text1"/>
        </w:rPr>
        <w:t>Zhang Y</w:t>
      </w:r>
      <w:r w:rsidRPr="00B6332B">
        <w:rPr>
          <w:rFonts w:ascii="Book Antiqua" w:hAnsi="Book Antiqua" w:cs="Book Antiqua"/>
          <w:color w:val="000000" w:themeColor="text1"/>
        </w:rPr>
        <w:t xml:space="preserve">, Yu J. The role of MRI in the diagnosis and treatment of gastric cancer. </w:t>
      </w:r>
      <w:r w:rsidRPr="00B6332B">
        <w:rPr>
          <w:rFonts w:ascii="Book Antiqua" w:hAnsi="Book Antiqua" w:cs="Book Antiqua"/>
          <w:i/>
          <w:iCs/>
          <w:color w:val="000000" w:themeColor="text1"/>
        </w:rPr>
        <w:t>Diagn Interv Radiol</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26</w:t>
      </w:r>
      <w:r w:rsidRPr="00B6332B">
        <w:rPr>
          <w:rFonts w:ascii="Book Antiqua" w:hAnsi="Book Antiqua" w:cs="Book Antiqua"/>
          <w:color w:val="000000" w:themeColor="text1"/>
        </w:rPr>
        <w:t>: 176-182 [PMID: 32209504 DOI: 10.5152/dir.2019.19375]</w:t>
      </w:r>
    </w:p>
    <w:p w14:paraId="7AB68CE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 </w:t>
      </w:r>
      <w:r w:rsidRPr="00B6332B">
        <w:rPr>
          <w:rFonts w:ascii="Book Antiqua" w:hAnsi="Book Antiqua" w:cs="Book Antiqua"/>
          <w:b/>
          <w:bCs/>
          <w:color w:val="000000" w:themeColor="text1"/>
        </w:rPr>
        <w:t>Smyth EC</w:t>
      </w:r>
      <w:r w:rsidRPr="00B6332B">
        <w:rPr>
          <w:rFonts w:ascii="Book Antiqua" w:hAnsi="Book Antiqua" w:cs="Book Antiqua"/>
          <w:color w:val="000000" w:themeColor="text1"/>
        </w:rPr>
        <w:t xml:space="preserve">, Nilsson M, Grabsch HI, van Grieken NC, Lordick F. Gastric cancer. </w:t>
      </w:r>
      <w:r w:rsidRPr="00B6332B">
        <w:rPr>
          <w:rFonts w:ascii="Book Antiqua" w:hAnsi="Book Antiqua" w:cs="Book Antiqua"/>
          <w:i/>
          <w:iCs/>
          <w:color w:val="000000" w:themeColor="text1"/>
        </w:rPr>
        <w:t>Lancet</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396</w:t>
      </w:r>
      <w:r w:rsidRPr="00B6332B">
        <w:rPr>
          <w:rFonts w:ascii="Book Antiqua" w:hAnsi="Book Antiqua" w:cs="Book Antiqua"/>
          <w:color w:val="000000" w:themeColor="text1"/>
        </w:rPr>
        <w:t>: 635-648 [PMID: 32861308 DOI: 10.1016/S0140-6736(20)31288-5]</w:t>
      </w:r>
    </w:p>
    <w:p w14:paraId="4849A21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 </w:t>
      </w:r>
      <w:r w:rsidRPr="00B6332B">
        <w:rPr>
          <w:rFonts w:ascii="Book Antiqua" w:hAnsi="Book Antiqua" w:cs="Book Antiqua"/>
          <w:b/>
          <w:bCs/>
          <w:color w:val="000000" w:themeColor="text1"/>
        </w:rPr>
        <w:t>Machlowska J</w:t>
      </w:r>
      <w:r w:rsidRPr="00B6332B">
        <w:rPr>
          <w:rFonts w:ascii="Book Antiqua" w:hAnsi="Book Antiqua" w:cs="Book Antiqua"/>
          <w:color w:val="000000" w:themeColor="text1"/>
        </w:rPr>
        <w:t xml:space="preserve">, Baj J, Sitarz M, Maciejewski R, Sitarz R. Gastric Cancer: Epidemiology, Risk Factors, Classification, Genomic Characteristics and Treatment Strategies. </w:t>
      </w:r>
      <w:r w:rsidRPr="00B6332B">
        <w:rPr>
          <w:rFonts w:ascii="Book Antiqua" w:hAnsi="Book Antiqua" w:cs="Book Antiqua"/>
          <w:i/>
          <w:iCs/>
          <w:color w:val="000000" w:themeColor="text1"/>
        </w:rPr>
        <w:t>Int J Mol Sci</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21</w:t>
      </w:r>
      <w:r w:rsidRPr="00B6332B">
        <w:rPr>
          <w:rFonts w:ascii="Book Antiqua" w:hAnsi="Book Antiqua" w:cs="Book Antiqua"/>
          <w:color w:val="000000" w:themeColor="text1"/>
        </w:rPr>
        <w:t xml:space="preserve"> [PMID: 32512697 DOI: 10.3390/ijms21114012]</w:t>
      </w:r>
    </w:p>
    <w:p w14:paraId="4BDC0A2C"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 </w:t>
      </w:r>
      <w:r w:rsidRPr="00B6332B">
        <w:rPr>
          <w:rFonts w:ascii="Book Antiqua" w:hAnsi="Book Antiqua" w:cs="Book Antiqua"/>
          <w:b/>
          <w:bCs/>
          <w:color w:val="000000" w:themeColor="text1"/>
        </w:rPr>
        <w:t>Zhao Q</w:t>
      </w:r>
      <w:r w:rsidRPr="00B6332B">
        <w:rPr>
          <w:rFonts w:ascii="Book Antiqua" w:hAnsi="Book Antiqua" w:cs="Book Antiqua"/>
          <w:color w:val="000000" w:themeColor="text1"/>
        </w:rPr>
        <w:t xml:space="preserve">, Cao L, Guan L, Bie L, Wang S, Xie B, Chen X, Shen X, Cao F. Immunotherapy for gastric cancer: dilemmas and prospect. </w:t>
      </w:r>
      <w:r w:rsidRPr="00B6332B">
        <w:rPr>
          <w:rFonts w:ascii="Book Antiqua" w:hAnsi="Book Antiqua" w:cs="Book Antiqua"/>
          <w:i/>
          <w:iCs/>
          <w:color w:val="000000" w:themeColor="text1"/>
        </w:rPr>
        <w:t>Brief Funct Genomics</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18</w:t>
      </w:r>
      <w:r w:rsidRPr="00B6332B">
        <w:rPr>
          <w:rFonts w:ascii="Book Antiqua" w:hAnsi="Book Antiqua" w:cs="Book Antiqua"/>
          <w:color w:val="000000" w:themeColor="text1"/>
        </w:rPr>
        <w:t>: 107-112 [PMID: 30388190 DOI: 10.1093/bfgp/ely019]</w:t>
      </w:r>
    </w:p>
    <w:p w14:paraId="537F0E3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 </w:t>
      </w:r>
      <w:r w:rsidRPr="00B6332B">
        <w:rPr>
          <w:rFonts w:ascii="Book Antiqua" w:hAnsi="Book Antiqua" w:cs="Book Antiqua"/>
          <w:b/>
          <w:bCs/>
          <w:color w:val="000000" w:themeColor="text1"/>
        </w:rPr>
        <w:t>Wu SL</w:t>
      </w:r>
      <w:r w:rsidRPr="00B6332B">
        <w:rPr>
          <w:rFonts w:ascii="Book Antiqua" w:hAnsi="Book Antiqua" w:cs="Book Antiqua"/>
          <w:color w:val="000000" w:themeColor="text1"/>
        </w:rPr>
        <w:t xml:space="preserve">, Zhang Y, Fu Y, Li J, Wang JS. Gastric cancer incidence, mortality and burden in adolescents and young adults: a time-trend analysis and comparison among China, South Korea, Japan and the USA. </w:t>
      </w:r>
      <w:r w:rsidRPr="00B6332B">
        <w:rPr>
          <w:rFonts w:ascii="Book Antiqua" w:hAnsi="Book Antiqua" w:cs="Book Antiqua"/>
          <w:i/>
          <w:iCs/>
          <w:color w:val="000000" w:themeColor="text1"/>
        </w:rPr>
        <w:t>BMJ Open</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e061038 [PMID: 35863834 DOI: 10.1136/bmjopen-2022-061038]</w:t>
      </w:r>
    </w:p>
    <w:p w14:paraId="4C50C10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 </w:t>
      </w:r>
      <w:r w:rsidRPr="00B6332B">
        <w:rPr>
          <w:rFonts w:ascii="Book Antiqua" w:hAnsi="Book Antiqua" w:cs="Book Antiqua"/>
          <w:b/>
          <w:bCs/>
          <w:color w:val="000000" w:themeColor="text1"/>
        </w:rPr>
        <w:t>Yang X</w:t>
      </w:r>
      <w:r w:rsidRPr="00B6332B">
        <w:rPr>
          <w:rFonts w:ascii="Book Antiqua" w:hAnsi="Book Antiqua" w:cs="Book Antiqua"/>
          <w:color w:val="000000" w:themeColor="text1"/>
        </w:rPr>
        <w:t xml:space="preserve">, Zhang T, Zhang H, Sang S, Chen H, Zuo X. Temporal trend of gastric cancer burden along with its risk factors in China from 1990 to 2019, and projections until 2030: </w:t>
      </w:r>
      <w:r w:rsidRPr="00B6332B">
        <w:rPr>
          <w:rFonts w:ascii="Book Antiqua" w:hAnsi="Book Antiqua" w:cs="Book Antiqua"/>
          <w:color w:val="000000" w:themeColor="text1"/>
        </w:rPr>
        <w:lastRenderedPageBreak/>
        <w:t xml:space="preserve">comparison with Japan, South Korea, and Mongolia. </w:t>
      </w:r>
      <w:r w:rsidRPr="00B6332B">
        <w:rPr>
          <w:rFonts w:ascii="Book Antiqua" w:hAnsi="Book Antiqua" w:cs="Book Antiqua"/>
          <w:i/>
          <w:iCs/>
          <w:color w:val="000000" w:themeColor="text1"/>
        </w:rPr>
        <w:t>Biomark Res</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9</w:t>
      </w:r>
      <w:r w:rsidRPr="00B6332B">
        <w:rPr>
          <w:rFonts w:ascii="Book Antiqua" w:hAnsi="Book Antiqua" w:cs="Book Antiqua"/>
          <w:color w:val="000000" w:themeColor="text1"/>
        </w:rPr>
        <w:t>: 84 [PMID: 34784961 DOI: 10.1186/s40364-021-00340-6]</w:t>
      </w:r>
    </w:p>
    <w:p w14:paraId="5109DEBE"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 </w:t>
      </w:r>
      <w:r w:rsidRPr="00B6332B">
        <w:rPr>
          <w:rFonts w:ascii="Book Antiqua" w:hAnsi="Book Antiqua" w:cs="Book Antiqua"/>
          <w:b/>
          <w:bCs/>
          <w:color w:val="000000" w:themeColor="text1"/>
        </w:rPr>
        <w:t>Gao M</w:t>
      </w:r>
      <w:r w:rsidRPr="00B6332B">
        <w:rPr>
          <w:rFonts w:ascii="Book Antiqua" w:hAnsi="Book Antiqua" w:cs="Book Antiqua"/>
          <w:color w:val="000000" w:themeColor="text1"/>
        </w:rPr>
        <w:t xml:space="preserve">, Yin H, Fei ZW. Clinical application of microRNA in gastric cancer in Eastern Asian area. </w:t>
      </w:r>
      <w:r w:rsidRPr="00B6332B">
        <w:rPr>
          <w:rFonts w:ascii="Book Antiqua" w:hAnsi="Book Antiqua" w:cs="Book Antiqua"/>
          <w:i/>
          <w:iCs/>
          <w:color w:val="000000" w:themeColor="text1"/>
        </w:rPr>
        <w:t>World J Gastroenterol</w:t>
      </w:r>
      <w:r w:rsidRPr="00B6332B">
        <w:rPr>
          <w:rFonts w:ascii="Book Antiqua" w:hAnsi="Book Antiqua" w:cs="Book Antiqua"/>
          <w:color w:val="000000" w:themeColor="text1"/>
        </w:rPr>
        <w:t xml:space="preserve"> 2013; </w:t>
      </w:r>
      <w:r w:rsidRPr="00B6332B">
        <w:rPr>
          <w:rFonts w:ascii="Book Antiqua" w:hAnsi="Book Antiqua" w:cs="Book Antiqua"/>
          <w:b/>
          <w:bCs/>
          <w:color w:val="000000" w:themeColor="text1"/>
        </w:rPr>
        <w:t>19</w:t>
      </w:r>
      <w:r w:rsidRPr="00B6332B">
        <w:rPr>
          <w:rFonts w:ascii="Book Antiqua" w:hAnsi="Book Antiqua" w:cs="Book Antiqua"/>
          <w:color w:val="000000" w:themeColor="text1"/>
        </w:rPr>
        <w:t>: 2019-2027 [PMID: 23599620 DOI: 10.3748/wjg.v19.i13.2019]</w:t>
      </w:r>
    </w:p>
    <w:p w14:paraId="02B2F78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 </w:t>
      </w:r>
      <w:r w:rsidRPr="00B6332B">
        <w:rPr>
          <w:rFonts w:ascii="Book Antiqua" w:hAnsi="Book Antiqua" w:cs="Book Antiqua"/>
          <w:b/>
          <w:bCs/>
          <w:color w:val="000000" w:themeColor="text1"/>
        </w:rPr>
        <w:t>Tang D</w:t>
      </w:r>
      <w:r w:rsidRPr="00B6332B">
        <w:rPr>
          <w:rFonts w:ascii="Book Antiqua" w:hAnsi="Book Antiqua" w:cs="Book Antiqua"/>
          <w:color w:val="000000" w:themeColor="text1"/>
        </w:rPr>
        <w:t xml:space="preserve">, Liu S, Shen H, Deng G, Zeng S. Extracellular Vesicles Promote the Formation of Pre-Metastasis Niche in Gastric Cancer. </w:t>
      </w:r>
      <w:r w:rsidRPr="00B6332B">
        <w:rPr>
          <w:rFonts w:ascii="Book Antiqua" w:hAnsi="Book Antiqua" w:cs="Book Antiqua"/>
          <w:i/>
          <w:iCs/>
          <w:color w:val="000000" w:themeColor="text1"/>
        </w:rPr>
        <w:t>Front Immunol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813015 [PMID: 35173726 DOI: 10.3389/fimmu.2022.813015]</w:t>
      </w:r>
    </w:p>
    <w:p w14:paraId="26CE4A4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11 </w:t>
      </w:r>
      <w:r w:rsidRPr="00B6332B">
        <w:rPr>
          <w:rFonts w:ascii="Book Antiqua" w:hAnsi="Book Antiqua" w:cs="Book Antiqua"/>
          <w:b/>
          <w:bCs/>
          <w:color w:val="000000" w:themeColor="text1"/>
        </w:rPr>
        <w:t>Gu X</w:t>
      </w:r>
      <w:r w:rsidRPr="00B6332B">
        <w:rPr>
          <w:rFonts w:ascii="Book Antiqua" w:hAnsi="Book Antiqua" w:cs="Book Antiqua"/>
          <w:color w:val="000000" w:themeColor="text1"/>
        </w:rPr>
        <w:t xml:space="preserve">, Zhang Y, Huang Y, Ju S. Comprehensive Evaluation of Serum tRF-17-WS7K092 as a Promising Biomarker for the Diagnosis of Gastric Cancer. </w:t>
      </w:r>
      <w:r w:rsidRPr="00B6332B">
        <w:rPr>
          <w:rFonts w:ascii="Book Antiqua" w:hAnsi="Book Antiqua" w:cs="Book Antiqua"/>
          <w:i/>
          <w:iCs/>
          <w:color w:val="000000" w:themeColor="text1"/>
        </w:rPr>
        <w:t>J Oncol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2022</w:t>
      </w:r>
      <w:r w:rsidRPr="00B6332B">
        <w:rPr>
          <w:rFonts w:ascii="Book Antiqua" w:hAnsi="Book Antiqua" w:cs="Book Antiqua"/>
          <w:color w:val="000000" w:themeColor="text1"/>
        </w:rPr>
        <w:t>: 8438726 [PMID: 36245992 DOI: 10.1155/2022/8438726]</w:t>
      </w:r>
    </w:p>
    <w:p w14:paraId="5304A95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12 </w:t>
      </w:r>
      <w:r w:rsidRPr="00B6332B">
        <w:rPr>
          <w:rFonts w:ascii="Book Antiqua" w:hAnsi="Book Antiqua" w:cs="Book Antiqua"/>
          <w:b/>
          <w:bCs/>
          <w:color w:val="000000" w:themeColor="text1"/>
        </w:rPr>
        <w:t>Titov SE</w:t>
      </w:r>
      <w:r w:rsidRPr="00B6332B">
        <w:rPr>
          <w:rFonts w:ascii="Book Antiqua" w:hAnsi="Book Antiqua" w:cs="Book Antiqua"/>
          <w:color w:val="000000" w:themeColor="text1"/>
        </w:rPr>
        <w:t xml:space="preserve">, Anishchenko VV, Poloz TL, Veryaskina YA, Arkhipova AA, Ustinov SN. [Differential diagnostics of gastric cancer and precancerous changes of the gastric mucosa using analysis of expression of six microRNAS.]. </w:t>
      </w:r>
      <w:r w:rsidRPr="00B6332B">
        <w:rPr>
          <w:rFonts w:ascii="Book Antiqua" w:hAnsi="Book Antiqua" w:cs="Book Antiqua"/>
          <w:i/>
          <w:iCs/>
          <w:color w:val="000000" w:themeColor="text1"/>
        </w:rPr>
        <w:t>Klin Lab Diagn</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65</w:t>
      </w:r>
      <w:r w:rsidRPr="00B6332B">
        <w:rPr>
          <w:rFonts w:ascii="Book Antiqua" w:hAnsi="Book Antiqua" w:cs="Book Antiqua"/>
          <w:color w:val="000000" w:themeColor="text1"/>
        </w:rPr>
        <w:t>: 131-136 [PMID: 32159312 DOI: 10.18821/0869-2084-2020-65-2-131-136]</w:t>
      </w:r>
    </w:p>
    <w:p w14:paraId="74E2334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13 </w:t>
      </w:r>
      <w:r w:rsidRPr="00B6332B">
        <w:rPr>
          <w:rFonts w:ascii="Book Antiqua" w:hAnsi="Book Antiqua" w:cs="Book Antiqua"/>
          <w:b/>
          <w:bCs/>
          <w:color w:val="000000" w:themeColor="text1"/>
        </w:rPr>
        <w:t>Tong H</w:t>
      </w:r>
      <w:r w:rsidRPr="00B6332B">
        <w:rPr>
          <w:rFonts w:ascii="Book Antiqua" w:hAnsi="Book Antiqua" w:cs="Book Antiqua"/>
          <w:color w:val="000000" w:themeColor="text1"/>
        </w:rPr>
        <w:t xml:space="preserve">, Wang Y, Li Y, Liu S, Chi C, Liu D, Guo L, Li E, Wang C. Volatile organic metabolites identify patients with gastric carcinoma, gastric ulcer, or gastritis and control patients. </w:t>
      </w:r>
      <w:r w:rsidRPr="00B6332B">
        <w:rPr>
          <w:rFonts w:ascii="Book Antiqua" w:hAnsi="Book Antiqua" w:cs="Book Antiqua"/>
          <w:i/>
          <w:iCs/>
          <w:color w:val="000000" w:themeColor="text1"/>
        </w:rPr>
        <w:t>Cancer Cell Int</w:t>
      </w:r>
      <w:r w:rsidRPr="00B6332B">
        <w:rPr>
          <w:rFonts w:ascii="Book Antiqua" w:hAnsi="Book Antiqua" w:cs="Book Antiqua"/>
          <w:color w:val="000000" w:themeColor="text1"/>
        </w:rPr>
        <w:t xml:space="preserve"> 2017; </w:t>
      </w:r>
      <w:r w:rsidRPr="00B6332B">
        <w:rPr>
          <w:rFonts w:ascii="Book Antiqua" w:hAnsi="Book Antiqua" w:cs="Book Antiqua"/>
          <w:b/>
          <w:bCs/>
          <w:color w:val="000000" w:themeColor="text1"/>
        </w:rPr>
        <w:t>17</w:t>
      </w:r>
      <w:r w:rsidRPr="00B6332B">
        <w:rPr>
          <w:rFonts w:ascii="Book Antiqua" w:hAnsi="Book Antiqua" w:cs="Book Antiqua"/>
          <w:color w:val="000000" w:themeColor="text1"/>
        </w:rPr>
        <w:t>: 108 [PMID: 29200968 DOI: 10.1186/s12935-017-0475-x]</w:t>
      </w:r>
    </w:p>
    <w:p w14:paraId="24D5B9C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14 </w:t>
      </w:r>
      <w:r w:rsidRPr="00B6332B">
        <w:rPr>
          <w:rFonts w:ascii="Book Antiqua" w:hAnsi="Book Antiqua" w:cs="Book Antiqua"/>
          <w:b/>
          <w:bCs/>
          <w:color w:val="000000" w:themeColor="text1"/>
        </w:rPr>
        <w:t>Zhao Y</w:t>
      </w:r>
      <w:r w:rsidRPr="00B6332B">
        <w:rPr>
          <w:rFonts w:ascii="Book Antiqua" w:hAnsi="Book Antiqua" w:cs="Book Antiqua"/>
          <w:color w:val="000000" w:themeColor="text1"/>
        </w:rPr>
        <w:t xml:space="preserve">, Zhou T, Li A, Yao H, He F, Wang L, Si J. A potential role of collagens expression in distinguishing between premalignant and malignant lesions in stomach. </w:t>
      </w:r>
      <w:r w:rsidRPr="00B6332B">
        <w:rPr>
          <w:rFonts w:ascii="Book Antiqua" w:hAnsi="Book Antiqua" w:cs="Book Antiqua"/>
          <w:i/>
          <w:iCs/>
          <w:color w:val="000000" w:themeColor="text1"/>
        </w:rPr>
        <w:t>Anat Rec (Hoboken)</w:t>
      </w:r>
      <w:r w:rsidRPr="00B6332B">
        <w:rPr>
          <w:rFonts w:ascii="Book Antiqua" w:hAnsi="Book Antiqua" w:cs="Book Antiqua"/>
          <w:color w:val="000000" w:themeColor="text1"/>
        </w:rPr>
        <w:t xml:space="preserve"> 2009; </w:t>
      </w:r>
      <w:r w:rsidRPr="00B6332B">
        <w:rPr>
          <w:rFonts w:ascii="Book Antiqua" w:hAnsi="Book Antiqua" w:cs="Book Antiqua"/>
          <w:b/>
          <w:bCs/>
          <w:color w:val="000000" w:themeColor="text1"/>
        </w:rPr>
        <w:t>292</w:t>
      </w:r>
      <w:r w:rsidRPr="00B6332B">
        <w:rPr>
          <w:rFonts w:ascii="Book Antiqua" w:hAnsi="Book Antiqua" w:cs="Book Antiqua"/>
          <w:color w:val="000000" w:themeColor="text1"/>
        </w:rPr>
        <w:t>: 692-700 [PMID: 19306436 DOI: 10.1002/ar.20874]</w:t>
      </w:r>
    </w:p>
    <w:p w14:paraId="3644EDB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15 </w:t>
      </w:r>
      <w:r w:rsidRPr="00B6332B">
        <w:rPr>
          <w:rFonts w:ascii="Book Antiqua" w:hAnsi="Book Antiqua" w:cs="Book Antiqua"/>
          <w:b/>
          <w:bCs/>
          <w:color w:val="000000" w:themeColor="text1"/>
        </w:rPr>
        <w:t>Qi M</w:t>
      </w:r>
      <w:r w:rsidRPr="00B6332B">
        <w:rPr>
          <w:rFonts w:ascii="Book Antiqua" w:hAnsi="Book Antiqua" w:cs="Book Antiqua"/>
          <w:color w:val="000000" w:themeColor="text1"/>
        </w:rPr>
        <w:t xml:space="preserve">, Liu D, Wang H, Bianba C, Ji W. Correlation of Single Nucleotide Gene Polymorphisms and Gastric Cancer Based on Magnetic Nanoparticles. </w:t>
      </w:r>
      <w:r w:rsidRPr="00B6332B">
        <w:rPr>
          <w:rFonts w:ascii="Book Antiqua" w:hAnsi="Book Antiqua" w:cs="Book Antiqua"/>
          <w:i/>
          <w:iCs/>
          <w:color w:val="000000" w:themeColor="text1"/>
        </w:rPr>
        <w:t>J Nanosci Nanotechnol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21</w:t>
      </w:r>
      <w:r w:rsidRPr="00B6332B">
        <w:rPr>
          <w:rFonts w:ascii="Book Antiqua" w:hAnsi="Book Antiqua" w:cs="Book Antiqua"/>
          <w:color w:val="000000" w:themeColor="text1"/>
        </w:rPr>
        <w:t>: 928-934 [PMID: 33183426 DOI: 10.1166/jnn.2021.18628]</w:t>
      </w:r>
    </w:p>
    <w:p w14:paraId="0D60914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16 </w:t>
      </w:r>
      <w:r w:rsidRPr="00B6332B">
        <w:rPr>
          <w:rFonts w:ascii="Book Antiqua" w:hAnsi="Book Antiqua" w:cs="Book Antiqua"/>
          <w:b/>
          <w:bCs/>
          <w:color w:val="000000" w:themeColor="text1"/>
        </w:rPr>
        <w:t>Jiang L</w:t>
      </w:r>
      <w:r w:rsidRPr="00B6332B">
        <w:rPr>
          <w:rFonts w:ascii="Book Antiqua" w:hAnsi="Book Antiqua" w:cs="Book Antiqua"/>
          <w:color w:val="000000" w:themeColor="text1"/>
        </w:rPr>
        <w:t xml:space="preserve">, Gong X, Liao W, Lv N, Yan R. Molecular targeted treatment and drug delivery system for gastric cancer. </w:t>
      </w:r>
      <w:r w:rsidRPr="00B6332B">
        <w:rPr>
          <w:rFonts w:ascii="Book Antiqua" w:hAnsi="Book Antiqua" w:cs="Book Antiqua"/>
          <w:i/>
          <w:iCs/>
          <w:color w:val="000000" w:themeColor="text1"/>
        </w:rPr>
        <w:t>J Cancer Res Clin Oncol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147</w:t>
      </w:r>
      <w:r w:rsidRPr="00B6332B">
        <w:rPr>
          <w:rFonts w:ascii="Book Antiqua" w:hAnsi="Book Antiqua" w:cs="Book Antiqua"/>
          <w:color w:val="000000" w:themeColor="text1"/>
        </w:rPr>
        <w:t>: 973-986 [PMID: 33550445 DOI: 10.1007/s00432-021-03520-x]</w:t>
      </w:r>
    </w:p>
    <w:p w14:paraId="4CB2E83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17 </w:t>
      </w:r>
      <w:r w:rsidRPr="00B6332B">
        <w:rPr>
          <w:rFonts w:ascii="Book Antiqua" w:hAnsi="Book Antiqua" w:cs="Book Antiqua"/>
          <w:b/>
          <w:bCs/>
          <w:color w:val="000000" w:themeColor="text1"/>
        </w:rPr>
        <w:t>Jiang H</w:t>
      </w:r>
      <w:r w:rsidRPr="00B6332B">
        <w:rPr>
          <w:rFonts w:ascii="Book Antiqua" w:hAnsi="Book Antiqua" w:cs="Book Antiqua"/>
          <w:color w:val="000000" w:themeColor="text1"/>
        </w:rPr>
        <w:t xml:space="preserve">, Hu K, Xia Y, Liang L, Zhu X. Long Noncoding RNA KLF3-AS1 Acts as an Endogenous RNA of miR-223 to Attenuate Gastric Cancer Progression and </w:t>
      </w:r>
      <w:r w:rsidRPr="00B6332B">
        <w:rPr>
          <w:rFonts w:ascii="Book Antiqua" w:hAnsi="Book Antiqua" w:cs="Book Antiqua"/>
          <w:color w:val="000000" w:themeColor="text1"/>
        </w:rPr>
        <w:lastRenderedPageBreak/>
        <w:t xml:space="preserve">Chemoresistance. </w:t>
      </w:r>
      <w:r w:rsidRPr="00B6332B">
        <w:rPr>
          <w:rFonts w:ascii="Book Antiqua" w:hAnsi="Book Antiqua" w:cs="Book Antiqua"/>
          <w:i/>
          <w:iCs/>
          <w:color w:val="000000" w:themeColor="text1"/>
        </w:rPr>
        <w:t>Front Oncol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11</w:t>
      </w:r>
      <w:r w:rsidRPr="00B6332B">
        <w:rPr>
          <w:rFonts w:ascii="Book Antiqua" w:hAnsi="Book Antiqua" w:cs="Book Antiqua"/>
          <w:color w:val="000000" w:themeColor="text1"/>
        </w:rPr>
        <w:t>: 704339 [PMID: 34745937 DOI: 10.3389/fonc.2021.704339]</w:t>
      </w:r>
    </w:p>
    <w:p w14:paraId="0682D35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18 </w:t>
      </w:r>
      <w:r w:rsidRPr="00B6332B">
        <w:rPr>
          <w:rFonts w:ascii="Book Antiqua" w:hAnsi="Book Antiqua" w:cs="Book Antiqua"/>
          <w:b/>
          <w:bCs/>
          <w:color w:val="000000" w:themeColor="text1"/>
        </w:rPr>
        <w:t>Guo XM</w:t>
      </w:r>
      <w:r w:rsidRPr="00B6332B">
        <w:rPr>
          <w:rFonts w:ascii="Book Antiqua" w:hAnsi="Book Antiqua" w:cs="Book Antiqua"/>
          <w:color w:val="000000" w:themeColor="text1"/>
        </w:rPr>
        <w:t xml:space="preserve">, Zhao HY, Shi ZY, Wang Y, Jin ML. [Application and Progress of Convolutional Neural Network-based Pathological Diagnosis of Gastric Cancer]. </w:t>
      </w:r>
      <w:r w:rsidRPr="00B6332B">
        <w:rPr>
          <w:rFonts w:ascii="Book Antiqua" w:hAnsi="Book Antiqua" w:cs="Book Antiqua"/>
          <w:i/>
          <w:iCs/>
          <w:color w:val="000000" w:themeColor="text1"/>
        </w:rPr>
        <w:t>Sichuan Da Xue Xue Bao Yi Xue Ban</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52</w:t>
      </w:r>
      <w:r w:rsidRPr="00B6332B">
        <w:rPr>
          <w:rFonts w:ascii="Book Antiqua" w:hAnsi="Book Antiqua" w:cs="Book Antiqua"/>
          <w:color w:val="000000" w:themeColor="text1"/>
        </w:rPr>
        <w:t>: 166-169 [PMID: 33829686 DOI: 10.12182/20210360501]</w:t>
      </w:r>
    </w:p>
    <w:p w14:paraId="63F21F7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19 </w:t>
      </w:r>
      <w:r w:rsidRPr="00B6332B">
        <w:rPr>
          <w:rFonts w:ascii="Book Antiqua" w:hAnsi="Book Antiqua" w:cs="Book Antiqua"/>
          <w:b/>
          <w:bCs/>
          <w:color w:val="000000" w:themeColor="text1"/>
        </w:rPr>
        <w:t>Chen R</w:t>
      </w:r>
      <w:r w:rsidRPr="00B6332B">
        <w:rPr>
          <w:rFonts w:ascii="Book Antiqua" w:hAnsi="Book Antiqua" w:cs="Book Antiqua"/>
          <w:color w:val="000000" w:themeColor="text1"/>
        </w:rPr>
        <w:t xml:space="preserve">, Yang M, Huang W, Wang B. Cascades between miRNAs, lncRNAs and the NF-κB signaling pathway in gastric cancer (Review). </w:t>
      </w:r>
      <w:r w:rsidRPr="00B6332B">
        <w:rPr>
          <w:rFonts w:ascii="Book Antiqua" w:hAnsi="Book Antiqua" w:cs="Book Antiqua"/>
          <w:i/>
          <w:iCs/>
          <w:color w:val="000000" w:themeColor="text1"/>
        </w:rPr>
        <w:t>Exp Ther Med</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22</w:t>
      </w:r>
      <w:r w:rsidRPr="00B6332B">
        <w:rPr>
          <w:rFonts w:ascii="Book Antiqua" w:hAnsi="Book Antiqua" w:cs="Book Antiqua"/>
          <w:color w:val="000000" w:themeColor="text1"/>
        </w:rPr>
        <w:t>: 769 [PMID: 34055068 DOI: 10.3892/etm.2021.10201]</w:t>
      </w:r>
    </w:p>
    <w:p w14:paraId="5AAD41C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20 </w:t>
      </w:r>
      <w:r w:rsidRPr="00B6332B">
        <w:rPr>
          <w:rFonts w:ascii="Book Antiqua" w:hAnsi="Book Antiqua" w:cs="Book Antiqua"/>
          <w:b/>
          <w:bCs/>
          <w:color w:val="000000" w:themeColor="text1"/>
        </w:rPr>
        <w:t>Chen J</w:t>
      </w:r>
      <w:r w:rsidRPr="00B6332B">
        <w:rPr>
          <w:rFonts w:ascii="Book Antiqua" w:hAnsi="Book Antiqua" w:cs="Book Antiqua"/>
          <w:color w:val="000000" w:themeColor="text1"/>
        </w:rPr>
        <w:t xml:space="preserve">, Liu Z, Gao G, Mo Y, Zhou H, Huang W, Wu L, He X, Ding J, Luo C, Long H, Feng J, Sun Y, Guan X. Efficacy of circulating microRNA-130b and blood routine parameters in the early diagnosis of gastric cancer. </w:t>
      </w:r>
      <w:r w:rsidRPr="00B6332B">
        <w:rPr>
          <w:rFonts w:ascii="Book Antiqua" w:hAnsi="Book Antiqua" w:cs="Book Antiqua"/>
          <w:i/>
          <w:iCs/>
          <w:color w:val="000000" w:themeColor="text1"/>
        </w:rPr>
        <w:t>Oncol Lett</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22</w:t>
      </w:r>
      <w:r w:rsidRPr="00B6332B">
        <w:rPr>
          <w:rFonts w:ascii="Book Antiqua" w:hAnsi="Book Antiqua" w:cs="Book Antiqua"/>
          <w:color w:val="000000" w:themeColor="text1"/>
        </w:rPr>
        <w:t>: 725 [PMID: 34429765 DOI: 10.3892/ol.2021.12986]</w:t>
      </w:r>
    </w:p>
    <w:p w14:paraId="43C0BE8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21 </w:t>
      </w:r>
      <w:r w:rsidRPr="00B6332B">
        <w:rPr>
          <w:rFonts w:ascii="Book Antiqua" w:hAnsi="Book Antiqua" w:cs="Book Antiqua"/>
          <w:b/>
          <w:bCs/>
          <w:color w:val="000000" w:themeColor="text1"/>
        </w:rPr>
        <w:t>Wang H</w:t>
      </w:r>
      <w:r w:rsidRPr="00B6332B">
        <w:rPr>
          <w:rFonts w:ascii="Book Antiqua" w:hAnsi="Book Antiqua" w:cs="Book Antiqua"/>
          <w:color w:val="000000" w:themeColor="text1"/>
        </w:rPr>
        <w:t xml:space="preserve">, Li J. A systematic review and meta-analysis protocol of clinical characteristics and prognostic significance of mammalian target of rapamycin for gastric cancer patients. </w:t>
      </w:r>
      <w:r w:rsidRPr="00B6332B">
        <w:rPr>
          <w:rFonts w:ascii="Book Antiqua" w:hAnsi="Book Antiqua" w:cs="Book Antiqua"/>
          <w:i/>
          <w:iCs/>
          <w:color w:val="000000" w:themeColor="text1"/>
        </w:rPr>
        <w:t>Medicine (Baltimore)</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99</w:t>
      </w:r>
      <w:r w:rsidRPr="00B6332B">
        <w:rPr>
          <w:rFonts w:ascii="Book Antiqua" w:hAnsi="Book Antiqua" w:cs="Book Antiqua"/>
          <w:color w:val="000000" w:themeColor="text1"/>
        </w:rPr>
        <w:t>: e21138 [PMID: 32769866 DOI: 10.1097/MD.0000000000021138]</w:t>
      </w:r>
    </w:p>
    <w:p w14:paraId="54599E4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22 </w:t>
      </w:r>
      <w:r w:rsidRPr="00B6332B">
        <w:rPr>
          <w:rFonts w:ascii="Book Antiqua" w:hAnsi="Book Antiqua" w:cs="Book Antiqua"/>
          <w:b/>
          <w:bCs/>
          <w:color w:val="000000" w:themeColor="text1"/>
        </w:rPr>
        <w:t>Shafabakhsh R</w:t>
      </w:r>
      <w:r w:rsidRPr="00B6332B">
        <w:rPr>
          <w:rFonts w:ascii="Book Antiqua" w:hAnsi="Book Antiqua" w:cs="Book Antiqua"/>
          <w:color w:val="000000" w:themeColor="text1"/>
        </w:rPr>
        <w:t xml:space="preserve">, Yousefi B, Asemi Z, Nikfar B, Mansournia MA, Hallajzadeh J. Chitosan: A compound for drug delivery system in gastric cancer-a review. </w:t>
      </w:r>
      <w:r w:rsidRPr="00B6332B">
        <w:rPr>
          <w:rFonts w:ascii="Book Antiqua" w:hAnsi="Book Antiqua" w:cs="Book Antiqua"/>
          <w:i/>
          <w:iCs/>
          <w:color w:val="000000" w:themeColor="text1"/>
        </w:rPr>
        <w:t>Carbohydr Polym</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242</w:t>
      </w:r>
      <w:r w:rsidRPr="00B6332B">
        <w:rPr>
          <w:rFonts w:ascii="Book Antiqua" w:hAnsi="Book Antiqua" w:cs="Book Antiqua"/>
          <w:color w:val="000000" w:themeColor="text1"/>
        </w:rPr>
        <w:t>: 116403 [PMID: 32564837 DOI: 10.1016/j.carbpol.2020.116403]</w:t>
      </w:r>
    </w:p>
    <w:p w14:paraId="0D19D8D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23 </w:t>
      </w:r>
      <w:r w:rsidRPr="00B6332B">
        <w:rPr>
          <w:rFonts w:ascii="Book Antiqua" w:hAnsi="Book Antiqua" w:cs="Book Antiqua"/>
          <w:b/>
          <w:bCs/>
          <w:color w:val="000000" w:themeColor="text1"/>
        </w:rPr>
        <w:t>Tan Z</w:t>
      </w:r>
      <w:r w:rsidRPr="00B6332B">
        <w:rPr>
          <w:rFonts w:ascii="Book Antiqua" w:hAnsi="Book Antiqua" w:cs="Book Antiqua"/>
          <w:color w:val="000000" w:themeColor="text1"/>
        </w:rPr>
        <w:t xml:space="preserve">. Recent Advances in the Surgical Treatment of Advanced Gastric Cancer: A Review. </w:t>
      </w:r>
      <w:r w:rsidRPr="00B6332B">
        <w:rPr>
          <w:rFonts w:ascii="Book Antiqua" w:hAnsi="Book Antiqua" w:cs="Book Antiqua"/>
          <w:i/>
          <w:iCs/>
          <w:color w:val="000000" w:themeColor="text1"/>
        </w:rPr>
        <w:t>Med Sci Monit</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25</w:t>
      </w:r>
      <w:r w:rsidRPr="00B6332B">
        <w:rPr>
          <w:rFonts w:ascii="Book Antiqua" w:hAnsi="Book Antiqua" w:cs="Book Antiqua"/>
          <w:color w:val="000000" w:themeColor="text1"/>
        </w:rPr>
        <w:t>: 3537-3541 [PMID: 31080234 DOI: 10.12659/MSM.916475]</w:t>
      </w:r>
    </w:p>
    <w:p w14:paraId="33A0A22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24 </w:t>
      </w:r>
      <w:r w:rsidRPr="00B6332B">
        <w:rPr>
          <w:rFonts w:ascii="Book Antiqua" w:hAnsi="Book Antiqua" w:cs="Book Antiqua"/>
          <w:b/>
          <w:bCs/>
          <w:color w:val="000000" w:themeColor="text1"/>
        </w:rPr>
        <w:t>Zou WB</w:t>
      </w:r>
      <w:r w:rsidRPr="00B6332B">
        <w:rPr>
          <w:rFonts w:ascii="Book Antiqua" w:hAnsi="Book Antiqua" w:cs="Book Antiqua"/>
          <w:color w:val="000000" w:themeColor="text1"/>
        </w:rPr>
        <w:t xml:space="preserve">, Yang F, Li ZS. [How to improve the diagnosis rate of early gastric cancer in China]. </w:t>
      </w:r>
      <w:r w:rsidRPr="00B6332B">
        <w:rPr>
          <w:rFonts w:ascii="Book Antiqua" w:hAnsi="Book Antiqua" w:cs="Book Antiqua"/>
          <w:i/>
          <w:iCs/>
          <w:color w:val="000000" w:themeColor="text1"/>
        </w:rPr>
        <w:t>Zhejiang Da Xue Xue Bao Yi Xue Ban</w:t>
      </w:r>
      <w:r w:rsidRPr="00B6332B">
        <w:rPr>
          <w:rFonts w:ascii="Book Antiqua" w:hAnsi="Book Antiqua" w:cs="Book Antiqua"/>
          <w:color w:val="000000" w:themeColor="text1"/>
        </w:rPr>
        <w:t xml:space="preserve"> 2015; </w:t>
      </w:r>
      <w:r w:rsidRPr="00B6332B">
        <w:rPr>
          <w:rFonts w:ascii="Book Antiqua" w:hAnsi="Book Antiqua" w:cs="Book Antiqua"/>
          <w:b/>
          <w:bCs/>
          <w:color w:val="000000" w:themeColor="text1"/>
        </w:rPr>
        <w:t>44</w:t>
      </w:r>
      <w:r w:rsidRPr="00B6332B">
        <w:rPr>
          <w:rFonts w:ascii="Book Antiqua" w:hAnsi="Book Antiqua" w:cs="Book Antiqua"/>
          <w:color w:val="000000" w:themeColor="text1"/>
        </w:rPr>
        <w:t>: 9-14 [PMID: 25851969 DOI: 10.3785/j.issn.1008-9292.2015.01.002]</w:t>
      </w:r>
    </w:p>
    <w:p w14:paraId="347950D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25 </w:t>
      </w:r>
      <w:r w:rsidRPr="00B6332B">
        <w:rPr>
          <w:rFonts w:ascii="Book Antiqua" w:hAnsi="Book Antiqua" w:cs="Book Antiqua"/>
          <w:b/>
          <w:bCs/>
          <w:color w:val="000000" w:themeColor="text1"/>
        </w:rPr>
        <w:t>Mu YP</w:t>
      </w:r>
      <w:r w:rsidRPr="00B6332B">
        <w:rPr>
          <w:rFonts w:ascii="Book Antiqua" w:hAnsi="Book Antiqua" w:cs="Book Antiqua"/>
          <w:color w:val="000000" w:themeColor="text1"/>
        </w:rPr>
        <w:t xml:space="preserve">, Sun WJ, Lu CW, Su XL. MicroRNAs May Serve as Emerging Molecular Biomarkers for Diagnosis and Prognostic Assessment or as Targets for Therapy in Gastric Cancer. </w:t>
      </w:r>
      <w:r w:rsidRPr="00B6332B">
        <w:rPr>
          <w:rFonts w:ascii="Book Antiqua" w:hAnsi="Book Antiqua" w:cs="Book Antiqua"/>
          <w:i/>
          <w:iCs/>
          <w:color w:val="000000" w:themeColor="text1"/>
        </w:rPr>
        <w:t>Asian Pac J Cancer Prev</w:t>
      </w:r>
      <w:r w:rsidRPr="00B6332B">
        <w:rPr>
          <w:rFonts w:ascii="Book Antiqua" w:hAnsi="Book Antiqua" w:cs="Book Antiqua"/>
          <w:color w:val="000000" w:themeColor="text1"/>
        </w:rPr>
        <w:t xml:space="preserve"> 2015; </w:t>
      </w:r>
      <w:r w:rsidRPr="00B6332B">
        <w:rPr>
          <w:rFonts w:ascii="Book Antiqua" w:hAnsi="Book Antiqua" w:cs="Book Antiqua"/>
          <w:b/>
          <w:bCs/>
          <w:color w:val="000000" w:themeColor="text1"/>
        </w:rPr>
        <w:t>16</w:t>
      </w:r>
      <w:r w:rsidRPr="00B6332B">
        <w:rPr>
          <w:rFonts w:ascii="Book Antiqua" w:hAnsi="Book Antiqua" w:cs="Book Antiqua"/>
          <w:color w:val="000000" w:themeColor="text1"/>
        </w:rPr>
        <w:t>: 4813-4820 [PMID: 26163596 DOI: 10.7314/apjcp.2015.16.12.4813]</w:t>
      </w:r>
    </w:p>
    <w:p w14:paraId="2D1E209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lastRenderedPageBreak/>
        <w:t xml:space="preserve">26 </w:t>
      </w:r>
      <w:r w:rsidRPr="00B6332B">
        <w:rPr>
          <w:rFonts w:ascii="Book Antiqua" w:hAnsi="Book Antiqua" w:cs="Book Antiqua"/>
          <w:b/>
          <w:bCs/>
          <w:color w:val="000000" w:themeColor="text1"/>
        </w:rPr>
        <w:t>Zheng G</w:t>
      </w:r>
      <w:r w:rsidRPr="00B6332B">
        <w:rPr>
          <w:rFonts w:ascii="Book Antiqua" w:hAnsi="Book Antiqua" w:cs="Book Antiqua"/>
          <w:color w:val="000000" w:themeColor="text1"/>
        </w:rPr>
        <w:t xml:space="preserve">, Xiong Y, Xu W, Wang Y, Chen F, Wang Z, Yan Z. A two-microRNA signature as a potential biomarker for early gastric cancer. </w:t>
      </w:r>
      <w:r w:rsidRPr="00B6332B">
        <w:rPr>
          <w:rFonts w:ascii="Book Antiqua" w:hAnsi="Book Antiqua" w:cs="Book Antiqua"/>
          <w:i/>
          <w:iCs/>
          <w:color w:val="000000" w:themeColor="text1"/>
        </w:rPr>
        <w:t>Oncol Lett</w:t>
      </w:r>
      <w:r w:rsidRPr="00B6332B">
        <w:rPr>
          <w:rFonts w:ascii="Book Antiqua" w:hAnsi="Book Antiqua" w:cs="Book Antiqua"/>
          <w:color w:val="000000" w:themeColor="text1"/>
        </w:rPr>
        <w:t xml:space="preserve"> 2014; </w:t>
      </w:r>
      <w:r w:rsidRPr="00B6332B">
        <w:rPr>
          <w:rFonts w:ascii="Book Antiqua" w:hAnsi="Book Antiqua" w:cs="Book Antiqua"/>
          <w:b/>
          <w:bCs/>
          <w:color w:val="000000" w:themeColor="text1"/>
        </w:rPr>
        <w:t>7</w:t>
      </w:r>
      <w:r w:rsidRPr="00B6332B">
        <w:rPr>
          <w:rFonts w:ascii="Book Antiqua" w:hAnsi="Book Antiqua" w:cs="Book Antiqua"/>
          <w:color w:val="000000" w:themeColor="text1"/>
        </w:rPr>
        <w:t>: 679-684 [PMID: 24527072 DOI: 10.3892/ol.2014.1797]</w:t>
      </w:r>
    </w:p>
    <w:p w14:paraId="77D42ED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27 </w:t>
      </w:r>
      <w:r w:rsidRPr="00B6332B">
        <w:rPr>
          <w:rFonts w:ascii="Book Antiqua" w:hAnsi="Book Antiqua" w:cs="Book Antiqua"/>
          <w:b/>
          <w:bCs/>
          <w:color w:val="000000" w:themeColor="text1"/>
        </w:rPr>
        <w:t>Xiang Z</w:t>
      </w:r>
      <w:r w:rsidRPr="00B6332B">
        <w:rPr>
          <w:rFonts w:ascii="Book Antiqua" w:hAnsi="Book Antiqua" w:cs="Book Antiqua"/>
          <w:color w:val="000000" w:themeColor="text1"/>
        </w:rPr>
        <w:t xml:space="preserve">, Zhou X, Mranda GM, Xue Y, Wang Y, Wei T, Liu J, Ding Y. Identification of the ferroptosis-related ceRNA network related to prognosis and tumor immunity for gastric cancer. </w:t>
      </w:r>
      <w:r w:rsidRPr="00B6332B">
        <w:rPr>
          <w:rFonts w:ascii="Book Antiqua" w:hAnsi="Book Antiqua" w:cs="Book Antiqua"/>
          <w:i/>
          <w:iCs/>
          <w:color w:val="000000" w:themeColor="text1"/>
        </w:rPr>
        <w:t>Aging (Albany NY)</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14</w:t>
      </w:r>
      <w:r w:rsidRPr="00B6332B">
        <w:rPr>
          <w:rFonts w:ascii="Book Antiqua" w:hAnsi="Book Antiqua" w:cs="Book Antiqua"/>
          <w:color w:val="000000" w:themeColor="text1"/>
        </w:rPr>
        <w:t>: 5768-5782 [PMID: 35835721 DOI: 10.18632/aging.204176]</w:t>
      </w:r>
    </w:p>
    <w:p w14:paraId="2215077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28 </w:t>
      </w:r>
      <w:r w:rsidRPr="00B6332B">
        <w:rPr>
          <w:rFonts w:ascii="Book Antiqua" w:hAnsi="Book Antiqua" w:cs="Book Antiqua"/>
          <w:b/>
          <w:bCs/>
          <w:color w:val="000000" w:themeColor="text1"/>
        </w:rPr>
        <w:t>White JR</w:t>
      </w:r>
      <w:r w:rsidRPr="00B6332B">
        <w:rPr>
          <w:rFonts w:ascii="Book Antiqua" w:hAnsi="Book Antiqua" w:cs="Book Antiqua"/>
          <w:color w:val="000000" w:themeColor="text1"/>
        </w:rPr>
        <w:t xml:space="preserve">, Banks M. Identifying the pre-malignant stomach: from guidelines to practice. </w:t>
      </w:r>
      <w:r w:rsidRPr="00B6332B">
        <w:rPr>
          <w:rFonts w:ascii="Book Antiqua" w:hAnsi="Book Antiqua" w:cs="Book Antiqua"/>
          <w:i/>
          <w:iCs/>
          <w:color w:val="000000" w:themeColor="text1"/>
        </w:rPr>
        <w:t>Transl Gastroenterol Hepatol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7</w:t>
      </w:r>
      <w:r w:rsidRPr="00B6332B">
        <w:rPr>
          <w:rFonts w:ascii="Book Antiqua" w:hAnsi="Book Antiqua" w:cs="Book Antiqua"/>
          <w:color w:val="000000" w:themeColor="text1"/>
        </w:rPr>
        <w:t>: 8 [PMID: 35243117 DOI: 10.21037/tgh.2020.03.03]</w:t>
      </w:r>
    </w:p>
    <w:p w14:paraId="1BCBCCD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29 </w:t>
      </w:r>
      <w:r w:rsidRPr="00B6332B">
        <w:rPr>
          <w:rFonts w:ascii="Book Antiqua" w:hAnsi="Book Antiqua" w:cs="Book Antiqua"/>
          <w:b/>
          <w:bCs/>
          <w:color w:val="000000" w:themeColor="text1"/>
        </w:rPr>
        <w:t>Sukri A</w:t>
      </w:r>
      <w:r w:rsidRPr="00B6332B">
        <w:rPr>
          <w:rFonts w:ascii="Book Antiqua" w:hAnsi="Book Antiqua" w:cs="Book Antiqua"/>
          <w:color w:val="000000" w:themeColor="text1"/>
        </w:rPr>
        <w:t xml:space="preserve">, Hanafiah A, Kosai NR. The Roles of Immune Cells in Gastric Cancer: Anti-Cancer or Pro-Cancer? </w:t>
      </w:r>
      <w:r w:rsidRPr="00B6332B">
        <w:rPr>
          <w:rFonts w:ascii="Book Antiqua" w:hAnsi="Book Antiqua" w:cs="Book Antiqua"/>
          <w:i/>
          <w:iCs/>
          <w:color w:val="000000" w:themeColor="text1"/>
        </w:rPr>
        <w:t>Cancers (Basel)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14</w:t>
      </w:r>
      <w:r w:rsidRPr="00B6332B">
        <w:rPr>
          <w:rFonts w:ascii="Book Antiqua" w:hAnsi="Book Antiqua" w:cs="Book Antiqua"/>
          <w:color w:val="000000" w:themeColor="text1"/>
        </w:rPr>
        <w:t xml:space="preserve"> [PMID: 36010915 DOI: 10.3390/cancers14163922]</w:t>
      </w:r>
    </w:p>
    <w:p w14:paraId="747D92C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30 </w:t>
      </w:r>
      <w:r w:rsidRPr="00B6332B">
        <w:rPr>
          <w:rFonts w:ascii="Book Antiqua" w:hAnsi="Book Antiqua" w:cs="Book Antiqua"/>
          <w:b/>
          <w:bCs/>
          <w:color w:val="000000" w:themeColor="text1"/>
        </w:rPr>
        <w:t>Niu X</w:t>
      </w:r>
      <w:r w:rsidRPr="00B6332B">
        <w:rPr>
          <w:rFonts w:ascii="Book Antiqua" w:hAnsi="Book Antiqua" w:cs="Book Antiqua"/>
          <w:color w:val="000000" w:themeColor="text1"/>
        </w:rPr>
        <w:t xml:space="preserve">, Ren L, Hu A, Zhang S, Qi H. Identification of Potential Diagnostic and Prognostic Biomarkers for Gastric Cancer Based on Bioinformatic Analysis. </w:t>
      </w:r>
      <w:r w:rsidRPr="00B6332B">
        <w:rPr>
          <w:rFonts w:ascii="Book Antiqua" w:hAnsi="Book Antiqua" w:cs="Book Antiqua"/>
          <w:i/>
          <w:iCs/>
          <w:color w:val="000000" w:themeColor="text1"/>
        </w:rPr>
        <w:t>Front Genet</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862105 [PMID: 35368700 DOI: 10.3389/fgene.2022.862105]</w:t>
      </w:r>
    </w:p>
    <w:p w14:paraId="10745A6C"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31 </w:t>
      </w:r>
      <w:r w:rsidRPr="00B6332B">
        <w:rPr>
          <w:rFonts w:ascii="Book Antiqua" w:hAnsi="Book Antiqua" w:cs="Book Antiqua"/>
          <w:b/>
          <w:bCs/>
          <w:color w:val="000000" w:themeColor="text1"/>
        </w:rPr>
        <w:t>Koopaie M</w:t>
      </w:r>
      <w:r w:rsidRPr="00B6332B">
        <w:rPr>
          <w:rFonts w:ascii="Book Antiqua" w:hAnsi="Book Antiqua" w:cs="Book Antiqua"/>
          <w:color w:val="000000" w:themeColor="text1"/>
        </w:rPr>
        <w:t xml:space="preserve">, Ghafourian M, Manifar S, Younespour S, Davoudi M, Kolahdooz S, Shirkhoda M. Evaluation of CSTB and DMBT1 expression in saliva of gastric cancer patients and controls. </w:t>
      </w:r>
      <w:r w:rsidRPr="00B6332B">
        <w:rPr>
          <w:rFonts w:ascii="Book Antiqua" w:hAnsi="Book Antiqua" w:cs="Book Antiqua"/>
          <w:i/>
          <w:iCs/>
          <w:color w:val="000000" w:themeColor="text1"/>
        </w:rPr>
        <w:t>BMC Cancer</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22</w:t>
      </w:r>
      <w:r w:rsidRPr="00B6332B">
        <w:rPr>
          <w:rFonts w:ascii="Book Antiqua" w:hAnsi="Book Antiqua" w:cs="Book Antiqua"/>
          <w:color w:val="000000" w:themeColor="text1"/>
        </w:rPr>
        <w:t>: 473 [PMID: 35488257 DOI: 10.1186/s12885-022-09570-9]</w:t>
      </w:r>
    </w:p>
    <w:p w14:paraId="5ABDA66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32 </w:t>
      </w:r>
      <w:r w:rsidRPr="00B6332B">
        <w:rPr>
          <w:rFonts w:ascii="Book Antiqua" w:hAnsi="Book Antiqua" w:cs="Book Antiqua"/>
          <w:b/>
          <w:bCs/>
          <w:color w:val="000000" w:themeColor="text1"/>
        </w:rPr>
        <w:t>Hassen G</w:t>
      </w:r>
      <w:r w:rsidRPr="00B6332B">
        <w:rPr>
          <w:rFonts w:ascii="Book Antiqua" w:hAnsi="Book Antiqua" w:cs="Book Antiqua"/>
          <w:color w:val="000000" w:themeColor="text1"/>
        </w:rPr>
        <w:t xml:space="preserve">, Kasar A, Jain N, Berry S, Dave J, Zouetr M, Priyanka Ganapathiraju VLN, Kurapati T, Oshai S, Saad M, Pathan J, Kamat S, Tirupathi R, Patel UK, Rana RK. Programmed Death-Ligand 1 (PD-L1) Positivity and Factors Associated with Poor Prognosis in Patients with Gastric Cancer: An Umbrella Meta-Analysis. </w:t>
      </w:r>
      <w:r w:rsidRPr="00B6332B">
        <w:rPr>
          <w:rFonts w:ascii="Book Antiqua" w:hAnsi="Book Antiqua" w:cs="Book Antiqua"/>
          <w:i/>
          <w:iCs/>
          <w:color w:val="000000" w:themeColor="text1"/>
        </w:rPr>
        <w:t>Cureus</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14</w:t>
      </w:r>
      <w:r w:rsidRPr="00B6332B">
        <w:rPr>
          <w:rFonts w:ascii="Book Antiqua" w:hAnsi="Book Antiqua" w:cs="Book Antiqua"/>
          <w:color w:val="000000" w:themeColor="text1"/>
        </w:rPr>
        <w:t>: e23845 [PMID: 35530821 DOI: 10.7759/cureus.23845]</w:t>
      </w:r>
    </w:p>
    <w:p w14:paraId="38A53D4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33 </w:t>
      </w:r>
      <w:r w:rsidRPr="00B6332B">
        <w:rPr>
          <w:rFonts w:ascii="Book Antiqua" w:hAnsi="Book Antiqua" w:cs="Book Antiqua"/>
          <w:b/>
          <w:bCs/>
          <w:color w:val="000000" w:themeColor="text1"/>
        </w:rPr>
        <w:t>Waddingham W</w:t>
      </w:r>
      <w:r w:rsidRPr="00B6332B">
        <w:rPr>
          <w:rFonts w:ascii="Book Antiqua" w:hAnsi="Book Antiqua" w:cs="Book Antiqua"/>
          <w:color w:val="000000" w:themeColor="text1"/>
        </w:rPr>
        <w:t xml:space="preserve">, Nieuwenburg SAV, Carlson S, Rodriguez-Justo M, Spaander M, Kuipers EJ, Jansen M, Graham DG, Banks M. Recent advances in the detection and management of early gastric cancer and its precursors. </w:t>
      </w:r>
      <w:r w:rsidRPr="00B6332B">
        <w:rPr>
          <w:rFonts w:ascii="Book Antiqua" w:hAnsi="Book Antiqua" w:cs="Book Antiqua"/>
          <w:i/>
          <w:iCs/>
          <w:color w:val="000000" w:themeColor="text1"/>
        </w:rPr>
        <w:t>Frontline Gastroenterol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322-331 [PMID: 34249318 DOI: 10.1136/flgastro-2018-101089]</w:t>
      </w:r>
    </w:p>
    <w:p w14:paraId="362C4BF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lastRenderedPageBreak/>
        <w:t xml:space="preserve">34 </w:t>
      </w:r>
      <w:r w:rsidRPr="00B6332B">
        <w:rPr>
          <w:rFonts w:ascii="Book Antiqua" w:hAnsi="Book Antiqua" w:cs="Book Antiqua"/>
          <w:b/>
          <w:bCs/>
          <w:color w:val="000000" w:themeColor="text1"/>
        </w:rPr>
        <w:t>Feng H</w:t>
      </w:r>
      <w:r w:rsidRPr="00B6332B">
        <w:rPr>
          <w:rFonts w:ascii="Book Antiqua" w:hAnsi="Book Antiqua" w:cs="Book Antiqua"/>
          <w:color w:val="000000" w:themeColor="text1"/>
        </w:rPr>
        <w:t xml:space="preserve">, Liu X. Interaction between ACOT7 and LncRNA NMRAL2P via Methylation Regulates Gastric Cancer Progression. </w:t>
      </w:r>
      <w:r w:rsidRPr="00B6332B">
        <w:rPr>
          <w:rFonts w:ascii="Book Antiqua" w:hAnsi="Book Antiqua" w:cs="Book Antiqua"/>
          <w:i/>
          <w:iCs/>
          <w:color w:val="000000" w:themeColor="text1"/>
        </w:rPr>
        <w:t>Yonsei Med J</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61</w:t>
      </w:r>
      <w:r w:rsidRPr="00B6332B">
        <w:rPr>
          <w:rFonts w:ascii="Book Antiqua" w:hAnsi="Book Antiqua" w:cs="Book Antiqua"/>
          <w:color w:val="000000" w:themeColor="text1"/>
        </w:rPr>
        <w:t>: 471-481 [PMID: 32469171 DOI: 10.3349/ymj.2020.61.6.471]</w:t>
      </w:r>
    </w:p>
    <w:p w14:paraId="5C6B430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35 </w:t>
      </w:r>
      <w:r w:rsidRPr="00B6332B">
        <w:rPr>
          <w:rFonts w:ascii="Book Antiqua" w:hAnsi="Book Antiqua" w:cs="Book Antiqua"/>
          <w:b/>
          <w:bCs/>
          <w:color w:val="000000" w:themeColor="text1"/>
        </w:rPr>
        <w:t>Canale M</w:t>
      </w:r>
      <w:r w:rsidRPr="00B6332B">
        <w:rPr>
          <w:rFonts w:ascii="Book Antiqua" w:hAnsi="Book Antiqua" w:cs="Book Antiqua"/>
          <w:color w:val="000000" w:themeColor="text1"/>
        </w:rPr>
        <w:t xml:space="preserve">, Casadei-Gardini A, Ulivi P, Arechederra M, Berasain C, Lollini PL, Fernández-Barrena MG, Avila MA. Epigenetic Mechanisms in Gastric Cancer: Potential New Therapeutic Opportunities. </w:t>
      </w:r>
      <w:r w:rsidRPr="00B6332B">
        <w:rPr>
          <w:rFonts w:ascii="Book Antiqua" w:hAnsi="Book Antiqua" w:cs="Book Antiqua"/>
          <w:i/>
          <w:iCs/>
          <w:color w:val="000000" w:themeColor="text1"/>
        </w:rPr>
        <w:t>Int J Mol Sci</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21</w:t>
      </w:r>
      <w:r w:rsidRPr="00B6332B">
        <w:rPr>
          <w:rFonts w:ascii="Book Antiqua" w:hAnsi="Book Antiqua" w:cs="Book Antiqua"/>
          <w:color w:val="000000" w:themeColor="text1"/>
        </w:rPr>
        <w:t xml:space="preserve"> [PMID: 32752096 DOI: 10.3390/ijms21155500]</w:t>
      </w:r>
    </w:p>
    <w:p w14:paraId="19F67C5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36 </w:t>
      </w:r>
      <w:r w:rsidRPr="00B6332B">
        <w:rPr>
          <w:rFonts w:ascii="Book Antiqua" w:hAnsi="Book Antiqua" w:cs="Book Antiqua"/>
          <w:b/>
          <w:bCs/>
          <w:color w:val="000000" w:themeColor="text1"/>
        </w:rPr>
        <w:t>Negovan A</w:t>
      </w:r>
      <w:r w:rsidRPr="00B6332B">
        <w:rPr>
          <w:rFonts w:ascii="Book Antiqua" w:hAnsi="Book Antiqua" w:cs="Book Antiqua"/>
          <w:color w:val="000000" w:themeColor="text1"/>
        </w:rPr>
        <w:t xml:space="preserve">, Iancu M, Fülöp E, Bănescu C. Helicobacter pylori and cytokine gene variants as predictors of premalignant gastric lesions. </w:t>
      </w:r>
      <w:r w:rsidRPr="00B6332B">
        <w:rPr>
          <w:rFonts w:ascii="Book Antiqua" w:hAnsi="Book Antiqua" w:cs="Book Antiqua"/>
          <w:i/>
          <w:iCs/>
          <w:color w:val="000000" w:themeColor="text1"/>
        </w:rPr>
        <w:t>World J Gastroenterol</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25</w:t>
      </w:r>
      <w:r w:rsidRPr="00B6332B">
        <w:rPr>
          <w:rFonts w:ascii="Book Antiqua" w:hAnsi="Book Antiqua" w:cs="Book Antiqua"/>
          <w:color w:val="000000" w:themeColor="text1"/>
        </w:rPr>
        <w:t>: 4105-4124 [PMID: 31435167 DOI: 10.3748/wjg.v25.i30.4105]</w:t>
      </w:r>
    </w:p>
    <w:p w14:paraId="200DF76B"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37 </w:t>
      </w:r>
      <w:r w:rsidRPr="00B6332B">
        <w:rPr>
          <w:rFonts w:ascii="Book Antiqua" w:hAnsi="Book Antiqua" w:cs="Book Antiqua"/>
          <w:b/>
          <w:bCs/>
          <w:color w:val="000000" w:themeColor="text1"/>
        </w:rPr>
        <w:t>Gu X</w:t>
      </w:r>
      <w:r w:rsidRPr="00B6332B">
        <w:rPr>
          <w:rFonts w:ascii="Book Antiqua" w:hAnsi="Book Antiqua" w:cs="Book Antiqua"/>
          <w:color w:val="000000" w:themeColor="text1"/>
        </w:rPr>
        <w:t xml:space="preserve">, Zhang Q, Zhang W, Zhu L. Curcumin inhibits liver metastasis of gastric cancer through reducing circulating tumor cells. </w:t>
      </w:r>
      <w:r w:rsidRPr="00B6332B">
        <w:rPr>
          <w:rFonts w:ascii="Book Antiqua" w:hAnsi="Book Antiqua" w:cs="Book Antiqua"/>
          <w:i/>
          <w:iCs/>
          <w:color w:val="000000" w:themeColor="text1"/>
        </w:rPr>
        <w:t>Aging (Albany NY)</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11</w:t>
      </w:r>
      <w:r w:rsidRPr="00B6332B">
        <w:rPr>
          <w:rFonts w:ascii="Book Antiqua" w:hAnsi="Book Antiqua" w:cs="Book Antiqua"/>
          <w:color w:val="000000" w:themeColor="text1"/>
        </w:rPr>
        <w:t>: 1501-1509 [PMID: 30844765 DOI: 10.18632/aging.101848]</w:t>
      </w:r>
    </w:p>
    <w:p w14:paraId="52D9927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38 </w:t>
      </w:r>
      <w:r w:rsidRPr="00B6332B">
        <w:rPr>
          <w:rFonts w:ascii="Book Antiqua" w:hAnsi="Book Antiqua" w:cs="Book Antiqua"/>
          <w:b/>
          <w:bCs/>
          <w:color w:val="000000" w:themeColor="text1"/>
        </w:rPr>
        <w:t>Cen D</w:t>
      </w:r>
      <w:r w:rsidRPr="00B6332B">
        <w:rPr>
          <w:rFonts w:ascii="Book Antiqua" w:hAnsi="Book Antiqua" w:cs="Book Antiqua"/>
          <w:color w:val="000000" w:themeColor="text1"/>
        </w:rPr>
        <w:t xml:space="preserve">, Huang H, Yang L, Guo K, Zhang J. Long noncoding RNA STXBP5-AS1 inhibits cell proliferation, migration, and invasion through inhibiting the PI3K/AKT signaling pathway in gastric cancer cells. </w:t>
      </w:r>
      <w:r w:rsidRPr="00B6332B">
        <w:rPr>
          <w:rFonts w:ascii="Book Antiqua" w:hAnsi="Book Antiqua" w:cs="Book Antiqua"/>
          <w:i/>
          <w:iCs/>
          <w:color w:val="000000" w:themeColor="text1"/>
        </w:rPr>
        <w:t>Onco Targets Ther</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1929-1936 [PMID: 30881044 DOI: 10.2147/OTT.S194463]</w:t>
      </w:r>
    </w:p>
    <w:p w14:paraId="7FD4F42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39 </w:t>
      </w:r>
      <w:r w:rsidRPr="00B6332B">
        <w:rPr>
          <w:rFonts w:ascii="Book Antiqua" w:hAnsi="Book Antiqua" w:cs="Book Antiqua"/>
          <w:b/>
          <w:bCs/>
          <w:color w:val="000000" w:themeColor="text1"/>
        </w:rPr>
        <w:t>Banks M</w:t>
      </w:r>
      <w:r w:rsidRPr="00B6332B">
        <w:rPr>
          <w:rFonts w:ascii="Book Antiqua" w:hAnsi="Book Antiqua" w:cs="Book Antiqua"/>
          <w:color w:val="000000" w:themeColor="text1"/>
        </w:rPr>
        <w:t xml:space="preserve">, Graham D, Jansen M, Gotoda T, Coda S, di Pietro M, Uedo N, Bhandari P, Pritchard DM, Kuipers EJ, Rodriguez-Justo M, Novelli MR, Ragunath K, Shepherd N, Dinis-Ribeiro M. British Society of Gastroenterology guidelines on the diagnosis and management of patients at risk of gastric adenocarcinoma. </w:t>
      </w:r>
      <w:r w:rsidRPr="00B6332B">
        <w:rPr>
          <w:rFonts w:ascii="Book Antiqua" w:hAnsi="Book Antiqua" w:cs="Book Antiqua"/>
          <w:i/>
          <w:iCs/>
          <w:color w:val="000000" w:themeColor="text1"/>
        </w:rPr>
        <w:t>Gut</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68</w:t>
      </w:r>
      <w:r w:rsidRPr="00B6332B">
        <w:rPr>
          <w:rFonts w:ascii="Book Antiqua" w:hAnsi="Book Antiqua" w:cs="Book Antiqua"/>
          <w:color w:val="000000" w:themeColor="text1"/>
        </w:rPr>
        <w:t>: 1545-1575 [PMID: 31278206 DOI: 10.1136/gutjnl-2018-318126]</w:t>
      </w:r>
    </w:p>
    <w:p w14:paraId="27A8B32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40 </w:t>
      </w:r>
      <w:r w:rsidRPr="00B6332B">
        <w:rPr>
          <w:rFonts w:ascii="Book Antiqua" w:hAnsi="Book Antiqua" w:cs="Book Antiqua"/>
          <w:b/>
          <w:bCs/>
          <w:color w:val="000000" w:themeColor="text1"/>
        </w:rPr>
        <w:t>Yang J</w:t>
      </w:r>
      <w:r w:rsidRPr="00B6332B">
        <w:rPr>
          <w:rFonts w:ascii="Book Antiqua" w:hAnsi="Book Antiqua" w:cs="Book Antiqua"/>
          <w:color w:val="000000" w:themeColor="text1"/>
        </w:rPr>
        <w:t xml:space="preserve">, Bo L, Han T, Ding D, Nie M, Yin K. Pathway- and clinical-factor-based risk model predicts the prognosis of patients with gastric cancer. </w:t>
      </w:r>
      <w:r w:rsidRPr="00B6332B">
        <w:rPr>
          <w:rFonts w:ascii="Book Antiqua" w:hAnsi="Book Antiqua" w:cs="Book Antiqua"/>
          <w:i/>
          <w:iCs/>
          <w:color w:val="000000" w:themeColor="text1"/>
        </w:rPr>
        <w:t>Mol Med Rep</w:t>
      </w:r>
      <w:r w:rsidRPr="00B6332B">
        <w:rPr>
          <w:rFonts w:ascii="Book Antiqua" w:hAnsi="Book Antiqua" w:cs="Book Antiqua"/>
          <w:color w:val="000000" w:themeColor="text1"/>
        </w:rPr>
        <w:t xml:space="preserve"> 2018; </w:t>
      </w:r>
      <w:r w:rsidRPr="00B6332B">
        <w:rPr>
          <w:rFonts w:ascii="Book Antiqua" w:hAnsi="Book Antiqua" w:cs="Book Antiqua"/>
          <w:b/>
          <w:bCs/>
          <w:color w:val="000000" w:themeColor="text1"/>
        </w:rPr>
        <w:t>17</w:t>
      </w:r>
      <w:r w:rsidRPr="00B6332B">
        <w:rPr>
          <w:rFonts w:ascii="Book Antiqua" w:hAnsi="Book Antiqua" w:cs="Book Antiqua"/>
          <w:color w:val="000000" w:themeColor="text1"/>
        </w:rPr>
        <w:t>: 6345-6356 [PMID: 29532879 DOI: 10.3892/mmr.2018.8722]</w:t>
      </w:r>
    </w:p>
    <w:p w14:paraId="0DEE81D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41 </w:t>
      </w:r>
      <w:r w:rsidRPr="00B6332B">
        <w:rPr>
          <w:rFonts w:ascii="Book Antiqua" w:hAnsi="Book Antiqua" w:cs="Book Antiqua"/>
          <w:b/>
          <w:bCs/>
          <w:color w:val="000000" w:themeColor="text1"/>
        </w:rPr>
        <w:t>Zhang Z</w:t>
      </w:r>
      <w:r w:rsidRPr="00B6332B">
        <w:rPr>
          <w:rFonts w:ascii="Book Antiqua" w:hAnsi="Book Antiqua" w:cs="Book Antiqua"/>
          <w:color w:val="000000" w:themeColor="text1"/>
        </w:rPr>
        <w:t xml:space="preserve">, Wu H, Chong W, Shang L, Jing C, Li L. Liquid biopsy in gastric cancer: predictive and prognostic biomarkers. </w:t>
      </w:r>
      <w:r w:rsidRPr="00B6332B">
        <w:rPr>
          <w:rFonts w:ascii="Book Antiqua" w:hAnsi="Book Antiqua" w:cs="Book Antiqua"/>
          <w:i/>
          <w:iCs/>
          <w:color w:val="000000" w:themeColor="text1"/>
        </w:rPr>
        <w:t>Cell Death Dis</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903 [PMID: 36302755 DOI: 10.1038/s41419-022-05350-2]</w:t>
      </w:r>
    </w:p>
    <w:p w14:paraId="11F6F8C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lastRenderedPageBreak/>
        <w:t xml:space="preserve">42 </w:t>
      </w:r>
      <w:r w:rsidRPr="00B6332B">
        <w:rPr>
          <w:rFonts w:ascii="Book Antiqua" w:hAnsi="Book Antiqua" w:cs="Book Antiqua"/>
          <w:b/>
          <w:bCs/>
          <w:color w:val="000000" w:themeColor="text1"/>
        </w:rPr>
        <w:t>Jin X</w:t>
      </w:r>
      <w:r w:rsidRPr="00B6332B">
        <w:rPr>
          <w:rFonts w:ascii="Book Antiqua" w:hAnsi="Book Antiqua" w:cs="Book Antiqua"/>
          <w:color w:val="000000" w:themeColor="text1"/>
        </w:rPr>
        <w:t xml:space="preserve">, Liu Z, Yang D, Yin K, Chang X. Recent Progress and Future Perspectives of Immunotherapy in Advanced Gastric Cancer. </w:t>
      </w:r>
      <w:r w:rsidRPr="00B6332B">
        <w:rPr>
          <w:rFonts w:ascii="Book Antiqua" w:hAnsi="Book Antiqua" w:cs="Book Antiqua"/>
          <w:i/>
          <w:iCs/>
          <w:color w:val="000000" w:themeColor="text1"/>
        </w:rPr>
        <w:t>Front Immunol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948647 [PMID: 35844558 DOI: 10.3389/fimmu.2022.948647]</w:t>
      </w:r>
    </w:p>
    <w:p w14:paraId="4AB3D46C"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43 </w:t>
      </w:r>
      <w:r w:rsidRPr="00B6332B">
        <w:rPr>
          <w:rFonts w:ascii="Book Antiqua" w:hAnsi="Book Antiqua" w:cs="Book Antiqua"/>
          <w:b/>
          <w:bCs/>
          <w:color w:val="000000" w:themeColor="text1"/>
        </w:rPr>
        <w:t>Ajani JA</w:t>
      </w:r>
      <w:r w:rsidRPr="00B6332B">
        <w:rPr>
          <w:rFonts w:ascii="Book Antiqua" w:hAnsi="Book Antiqua" w:cs="Book Antiqua"/>
          <w:color w:val="000000" w:themeColor="text1"/>
        </w:rPr>
        <w:t xml:space="preserve">, D'Amico TA, Bentrem DJ, Chao J, Cooke D, Corvera C, Das P, Enzinger PC, Enzler T, Fanta P, Farjah F, Gerdes H, Gibson MK, Hochwald S, Hofstetter WL, Ilson DH, Keswani RN, Kim S, Kleinberg LR, Klempner SJ, Lacy J, Ly QP, Matkowskyj KA, McNamara M, Mulcahy MF, Outlaw D, Park H, Perry KA, Pimiento J, Poultsides GA, Reznik S, Roses RE, Strong VE, Su S, Wang HL, Wiesner G, Willett CG, Yakoub D, Yoon H, McMillian N, Pluchino LA. Gastric Cancer, Version 2.2022, NCCN Clinical Practice Guidelines in Oncology. </w:t>
      </w:r>
      <w:r w:rsidRPr="00B6332B">
        <w:rPr>
          <w:rFonts w:ascii="Book Antiqua" w:hAnsi="Book Antiqua" w:cs="Book Antiqua"/>
          <w:i/>
          <w:iCs/>
          <w:color w:val="000000" w:themeColor="text1"/>
        </w:rPr>
        <w:t>J Natl Compr Canc Netw</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20</w:t>
      </w:r>
      <w:r w:rsidRPr="00B6332B">
        <w:rPr>
          <w:rFonts w:ascii="Book Antiqua" w:hAnsi="Book Antiqua" w:cs="Book Antiqua"/>
          <w:color w:val="000000" w:themeColor="text1"/>
        </w:rPr>
        <w:t>: 167-192 [PMID: 35130500 DOI: 10.6004/jnccn.2022.0008]</w:t>
      </w:r>
    </w:p>
    <w:p w14:paraId="6FE9080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44 </w:t>
      </w:r>
      <w:r w:rsidRPr="00B6332B">
        <w:rPr>
          <w:rFonts w:ascii="Book Antiqua" w:hAnsi="Book Antiqua" w:cs="Book Antiqua"/>
          <w:b/>
          <w:bCs/>
          <w:color w:val="000000" w:themeColor="text1"/>
        </w:rPr>
        <w:t>Necula L</w:t>
      </w:r>
      <w:r w:rsidRPr="00B6332B">
        <w:rPr>
          <w:rFonts w:ascii="Book Antiqua" w:hAnsi="Book Antiqua" w:cs="Book Antiqua"/>
          <w:color w:val="000000" w:themeColor="text1"/>
        </w:rPr>
        <w:t xml:space="preserve">, Matei L, Dragu D, Neagu AI, Mambet C, Nedeianu S, Bleotu C, Diaconu CC, Chivu-Economescu M. Recent advances in gastric cancer early diagnosis. </w:t>
      </w:r>
      <w:r w:rsidRPr="00B6332B">
        <w:rPr>
          <w:rFonts w:ascii="Book Antiqua" w:hAnsi="Book Antiqua" w:cs="Book Antiqua"/>
          <w:i/>
          <w:iCs/>
          <w:color w:val="000000" w:themeColor="text1"/>
        </w:rPr>
        <w:t>World J Gastroenterol</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25</w:t>
      </w:r>
      <w:r w:rsidRPr="00B6332B">
        <w:rPr>
          <w:rFonts w:ascii="Book Antiqua" w:hAnsi="Book Antiqua" w:cs="Book Antiqua"/>
          <w:color w:val="000000" w:themeColor="text1"/>
        </w:rPr>
        <w:t>: 2029-2044 [PMID: 31114131 DOI: 10.3748/wjg.v25.i17.2029]</w:t>
      </w:r>
    </w:p>
    <w:p w14:paraId="59E6CC3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45 </w:t>
      </w:r>
      <w:r w:rsidRPr="00B6332B">
        <w:rPr>
          <w:rFonts w:ascii="Book Antiqua" w:hAnsi="Book Antiqua" w:cs="Book Antiqua"/>
          <w:b/>
          <w:bCs/>
          <w:color w:val="000000" w:themeColor="text1"/>
        </w:rPr>
        <w:t>Coutzac C</w:t>
      </w:r>
      <w:r w:rsidRPr="00B6332B">
        <w:rPr>
          <w:rFonts w:ascii="Book Antiqua" w:hAnsi="Book Antiqua" w:cs="Book Antiqua"/>
          <w:color w:val="000000" w:themeColor="text1"/>
        </w:rPr>
        <w:t xml:space="preserve">, Pernot S, Chaput N, Zaanan A. Immunotherapy in advanced gastric cancer, is it the future? </w:t>
      </w:r>
      <w:r w:rsidRPr="00B6332B">
        <w:rPr>
          <w:rFonts w:ascii="Book Antiqua" w:hAnsi="Book Antiqua" w:cs="Book Antiqua"/>
          <w:i/>
          <w:iCs/>
          <w:color w:val="000000" w:themeColor="text1"/>
        </w:rPr>
        <w:t>Crit Rev Oncol Hematol</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133</w:t>
      </w:r>
      <w:r w:rsidRPr="00B6332B">
        <w:rPr>
          <w:rFonts w:ascii="Book Antiqua" w:hAnsi="Book Antiqua" w:cs="Book Antiqua"/>
          <w:color w:val="000000" w:themeColor="text1"/>
        </w:rPr>
        <w:t>: 25-32 [PMID: 30661655 DOI: 10.1016/j.critrevonc.2018.10.007]</w:t>
      </w:r>
    </w:p>
    <w:p w14:paraId="0636213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46 </w:t>
      </w:r>
      <w:r w:rsidRPr="00B6332B">
        <w:rPr>
          <w:rFonts w:ascii="Book Antiqua" w:hAnsi="Book Antiqua" w:cs="Book Antiqua"/>
          <w:b/>
          <w:bCs/>
          <w:color w:val="000000" w:themeColor="text1"/>
        </w:rPr>
        <w:t>Ratti M</w:t>
      </w:r>
      <w:r w:rsidRPr="00B6332B">
        <w:rPr>
          <w:rFonts w:ascii="Book Antiqua" w:hAnsi="Book Antiqua" w:cs="Book Antiqua"/>
          <w:color w:val="000000" w:themeColor="text1"/>
        </w:rPr>
        <w:t xml:space="preserve">, Lampis A, Hahne JC, Passalacqua R, Valeri N. Microsatellite instability in gastric cancer: molecular bases, clinical perspectives, and new treatment approaches. </w:t>
      </w:r>
      <w:r w:rsidRPr="00B6332B">
        <w:rPr>
          <w:rFonts w:ascii="Book Antiqua" w:hAnsi="Book Antiqua" w:cs="Book Antiqua"/>
          <w:i/>
          <w:iCs/>
          <w:color w:val="000000" w:themeColor="text1"/>
        </w:rPr>
        <w:t>Cell Mol Life Sci</w:t>
      </w:r>
      <w:r w:rsidRPr="00B6332B">
        <w:rPr>
          <w:rFonts w:ascii="Book Antiqua" w:hAnsi="Book Antiqua" w:cs="Book Antiqua"/>
          <w:color w:val="000000" w:themeColor="text1"/>
        </w:rPr>
        <w:t xml:space="preserve"> 2018; </w:t>
      </w:r>
      <w:r w:rsidRPr="00B6332B">
        <w:rPr>
          <w:rFonts w:ascii="Book Antiqua" w:hAnsi="Book Antiqua" w:cs="Book Antiqua"/>
          <w:b/>
          <w:bCs/>
          <w:color w:val="000000" w:themeColor="text1"/>
        </w:rPr>
        <w:t>75</w:t>
      </w:r>
      <w:r w:rsidRPr="00B6332B">
        <w:rPr>
          <w:rFonts w:ascii="Book Antiqua" w:hAnsi="Book Antiqua" w:cs="Book Antiqua"/>
          <w:color w:val="000000" w:themeColor="text1"/>
        </w:rPr>
        <w:t>: 4151-4162 [PMID: 30173350 DOI: 10.1007/s00018-018-2906-9]</w:t>
      </w:r>
    </w:p>
    <w:p w14:paraId="65A4374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47 </w:t>
      </w:r>
      <w:r w:rsidRPr="00B6332B">
        <w:rPr>
          <w:rFonts w:ascii="Book Antiqua" w:hAnsi="Book Antiqua" w:cs="Book Antiqua"/>
          <w:b/>
          <w:bCs/>
          <w:color w:val="000000" w:themeColor="text1"/>
        </w:rPr>
        <w:t>Alessandrini L</w:t>
      </w:r>
      <w:r w:rsidRPr="00B6332B">
        <w:rPr>
          <w:rFonts w:ascii="Book Antiqua" w:hAnsi="Book Antiqua" w:cs="Book Antiqua"/>
          <w:color w:val="000000" w:themeColor="text1"/>
        </w:rPr>
        <w:t xml:space="preserve">, Manchi M, De Re V, Dolcetti R, Canzonieri V. Proposed Molecular and miRNA Classification of Gastric Cancer. </w:t>
      </w:r>
      <w:r w:rsidRPr="00B6332B">
        <w:rPr>
          <w:rFonts w:ascii="Book Antiqua" w:hAnsi="Book Antiqua" w:cs="Book Antiqua"/>
          <w:i/>
          <w:iCs/>
          <w:color w:val="000000" w:themeColor="text1"/>
        </w:rPr>
        <w:t>Int J Mol Sci</w:t>
      </w:r>
      <w:r w:rsidRPr="00B6332B">
        <w:rPr>
          <w:rFonts w:ascii="Book Antiqua" w:hAnsi="Book Antiqua" w:cs="Book Antiqua"/>
          <w:color w:val="000000" w:themeColor="text1"/>
        </w:rPr>
        <w:t xml:space="preserve"> 2018; </w:t>
      </w:r>
      <w:r w:rsidRPr="00B6332B">
        <w:rPr>
          <w:rFonts w:ascii="Book Antiqua" w:hAnsi="Book Antiqua" w:cs="Book Antiqua"/>
          <w:b/>
          <w:bCs/>
          <w:color w:val="000000" w:themeColor="text1"/>
        </w:rPr>
        <w:t>19</w:t>
      </w:r>
      <w:r w:rsidRPr="00B6332B">
        <w:rPr>
          <w:rFonts w:ascii="Book Antiqua" w:hAnsi="Book Antiqua" w:cs="Book Antiqua"/>
          <w:color w:val="000000" w:themeColor="text1"/>
        </w:rPr>
        <w:t xml:space="preserve"> [PMID: 29882766 DOI: 10.3390/ijms19061683]</w:t>
      </w:r>
    </w:p>
    <w:p w14:paraId="67E8AC60"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48 </w:t>
      </w:r>
      <w:r w:rsidRPr="00B6332B">
        <w:rPr>
          <w:rFonts w:ascii="Book Antiqua" w:hAnsi="Book Antiqua" w:cs="Book Antiqua"/>
          <w:b/>
          <w:bCs/>
          <w:color w:val="000000" w:themeColor="text1"/>
        </w:rPr>
        <w:t>Massarrat S</w:t>
      </w:r>
      <w:r w:rsidRPr="00B6332B">
        <w:rPr>
          <w:rFonts w:ascii="Book Antiqua" w:hAnsi="Book Antiqua" w:cs="Book Antiqua"/>
          <w:color w:val="000000" w:themeColor="text1"/>
        </w:rPr>
        <w:t xml:space="preserve">, Stolte M. Development of gastric cancer and its prevention. </w:t>
      </w:r>
      <w:r w:rsidRPr="00B6332B">
        <w:rPr>
          <w:rFonts w:ascii="Book Antiqua" w:hAnsi="Book Antiqua" w:cs="Book Antiqua"/>
          <w:i/>
          <w:iCs/>
          <w:color w:val="000000" w:themeColor="text1"/>
        </w:rPr>
        <w:t>Arch Iran Med</w:t>
      </w:r>
      <w:r w:rsidRPr="00B6332B">
        <w:rPr>
          <w:rFonts w:ascii="Book Antiqua" w:hAnsi="Book Antiqua" w:cs="Book Antiqua"/>
          <w:color w:val="000000" w:themeColor="text1"/>
        </w:rPr>
        <w:t xml:space="preserve"> 2014; </w:t>
      </w:r>
      <w:r w:rsidRPr="00B6332B">
        <w:rPr>
          <w:rFonts w:ascii="Book Antiqua" w:hAnsi="Book Antiqua" w:cs="Book Antiqua"/>
          <w:b/>
          <w:bCs/>
          <w:color w:val="000000" w:themeColor="text1"/>
        </w:rPr>
        <w:t>17</w:t>
      </w:r>
      <w:r w:rsidRPr="00B6332B">
        <w:rPr>
          <w:rFonts w:ascii="Book Antiqua" w:hAnsi="Book Antiqua" w:cs="Book Antiqua"/>
          <w:color w:val="000000" w:themeColor="text1"/>
        </w:rPr>
        <w:t>: 514-520 [PMID: 24979566]</w:t>
      </w:r>
    </w:p>
    <w:p w14:paraId="6429D110"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49 </w:t>
      </w:r>
      <w:r w:rsidRPr="00B6332B">
        <w:rPr>
          <w:rFonts w:ascii="Book Antiqua" w:hAnsi="Book Antiqua" w:cs="Book Antiqua"/>
          <w:b/>
          <w:bCs/>
          <w:color w:val="000000" w:themeColor="text1"/>
        </w:rPr>
        <w:t>Song S</w:t>
      </w:r>
      <w:r w:rsidRPr="00B6332B">
        <w:rPr>
          <w:rFonts w:ascii="Book Antiqua" w:hAnsi="Book Antiqua" w:cs="Book Antiqua"/>
          <w:color w:val="000000" w:themeColor="text1"/>
        </w:rPr>
        <w:t xml:space="preserve">, Shu P. Expression of ferroptosis-related gene correlates with immune microenvironment and predicts prognosis in gastric cancer. </w:t>
      </w:r>
      <w:r w:rsidRPr="00B6332B">
        <w:rPr>
          <w:rFonts w:ascii="Book Antiqua" w:hAnsi="Book Antiqua" w:cs="Book Antiqua"/>
          <w:i/>
          <w:iCs/>
          <w:color w:val="000000" w:themeColor="text1"/>
        </w:rPr>
        <w:t>Sci Rep</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8785 [PMID: 35610340 DOI: 10.1038/s41598-022-12800-6]</w:t>
      </w:r>
    </w:p>
    <w:p w14:paraId="33464C1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50 </w:t>
      </w:r>
      <w:r w:rsidRPr="00B6332B">
        <w:rPr>
          <w:rFonts w:ascii="Book Antiqua" w:hAnsi="Book Antiqua" w:cs="Book Antiqua"/>
          <w:b/>
          <w:bCs/>
          <w:color w:val="000000" w:themeColor="text1"/>
        </w:rPr>
        <w:t>Ouyang S</w:t>
      </w:r>
      <w:r w:rsidRPr="00B6332B">
        <w:rPr>
          <w:rFonts w:ascii="Book Antiqua" w:hAnsi="Book Antiqua" w:cs="Book Antiqua"/>
          <w:color w:val="000000" w:themeColor="text1"/>
        </w:rPr>
        <w:t xml:space="preserve">, Li H, Lou L, Huang Q, Zhang Z, Mo J, Li M, Lu J, Zhu K, Chu Y, Ding W, Zhu J, Lin Z, Zhong L, Wang J, Yue P, Turkson J, Liu P, Wang Y, Zhang X. Inhibition of </w:t>
      </w:r>
      <w:r w:rsidRPr="00B6332B">
        <w:rPr>
          <w:rFonts w:ascii="Book Antiqua" w:hAnsi="Book Antiqua" w:cs="Book Antiqua"/>
          <w:color w:val="000000" w:themeColor="text1"/>
        </w:rPr>
        <w:lastRenderedPageBreak/>
        <w:t xml:space="preserve">STAT3-ferroptosis negative regulatory axis suppresses tumor growth and alleviates chemoresistance in gastric cancer. </w:t>
      </w:r>
      <w:r w:rsidRPr="00B6332B">
        <w:rPr>
          <w:rFonts w:ascii="Book Antiqua" w:hAnsi="Book Antiqua" w:cs="Book Antiqua"/>
          <w:i/>
          <w:iCs/>
          <w:color w:val="000000" w:themeColor="text1"/>
        </w:rPr>
        <w:t>Redox Biol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52</w:t>
      </w:r>
      <w:r w:rsidRPr="00B6332B">
        <w:rPr>
          <w:rFonts w:ascii="Book Antiqua" w:hAnsi="Book Antiqua" w:cs="Book Antiqua"/>
          <w:color w:val="000000" w:themeColor="text1"/>
        </w:rPr>
        <w:t>: 102317 [PMID: 35483272 DOI: 10.1016/j.redox.2022.102317]</w:t>
      </w:r>
    </w:p>
    <w:p w14:paraId="2AE31E0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51 </w:t>
      </w:r>
      <w:r w:rsidRPr="00B6332B">
        <w:rPr>
          <w:rFonts w:ascii="Book Antiqua" w:hAnsi="Book Antiqua" w:cs="Book Antiqua"/>
          <w:b/>
          <w:bCs/>
          <w:color w:val="000000" w:themeColor="text1"/>
        </w:rPr>
        <w:t>Yao F</w:t>
      </w:r>
      <w:r w:rsidRPr="00B6332B">
        <w:rPr>
          <w:rFonts w:ascii="Book Antiqua" w:hAnsi="Book Antiqua" w:cs="Book Antiqua"/>
          <w:color w:val="000000" w:themeColor="text1"/>
        </w:rPr>
        <w:t xml:space="preserve">, Zhan Y, Pu Z, Lu Y, Chen J, Deng J, Wu Z, Chen B, Chen J, Tian K, Ni Y, Mou L. LncRNAs Target Ferroptosis-Related Genes and Impair Activation of CD4(+) T Cell in Gastric Cancer. </w:t>
      </w:r>
      <w:r w:rsidRPr="00B6332B">
        <w:rPr>
          <w:rFonts w:ascii="Book Antiqua" w:hAnsi="Book Antiqua" w:cs="Book Antiqua"/>
          <w:i/>
          <w:iCs/>
          <w:color w:val="000000" w:themeColor="text1"/>
        </w:rPr>
        <w:t>Front Cell Dev Biol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9</w:t>
      </w:r>
      <w:r w:rsidRPr="00B6332B">
        <w:rPr>
          <w:rFonts w:ascii="Book Antiqua" w:hAnsi="Book Antiqua" w:cs="Book Antiqua"/>
          <w:color w:val="000000" w:themeColor="text1"/>
        </w:rPr>
        <w:t>: 797339 [PMID: 34966745 DOI: 10.3389/fcell.2021.797339]</w:t>
      </w:r>
    </w:p>
    <w:p w14:paraId="6603A11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52 </w:t>
      </w:r>
      <w:r w:rsidRPr="00B6332B">
        <w:rPr>
          <w:rFonts w:ascii="Book Antiqua" w:hAnsi="Book Antiqua" w:cs="Book Antiqua"/>
          <w:b/>
          <w:bCs/>
          <w:color w:val="000000" w:themeColor="text1"/>
        </w:rPr>
        <w:t>Xiao S</w:t>
      </w:r>
      <w:r w:rsidRPr="00B6332B">
        <w:rPr>
          <w:rFonts w:ascii="Book Antiqua" w:hAnsi="Book Antiqua" w:cs="Book Antiqua"/>
          <w:color w:val="000000" w:themeColor="text1"/>
        </w:rPr>
        <w:t xml:space="preserve">, Liu X, Yuan L, Wang F. A Ferroptosis-Related lncRNAs Signature Predicts Prognosis and Therapeutic Response of Gastric Cancer. </w:t>
      </w:r>
      <w:r w:rsidRPr="00B6332B">
        <w:rPr>
          <w:rFonts w:ascii="Book Antiqua" w:hAnsi="Book Antiqua" w:cs="Book Antiqua"/>
          <w:i/>
          <w:iCs/>
          <w:color w:val="000000" w:themeColor="text1"/>
        </w:rPr>
        <w:t>Front Cell Dev Biol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9</w:t>
      </w:r>
      <w:r w:rsidRPr="00B6332B">
        <w:rPr>
          <w:rFonts w:ascii="Book Antiqua" w:hAnsi="Book Antiqua" w:cs="Book Antiqua"/>
          <w:color w:val="000000" w:themeColor="text1"/>
        </w:rPr>
        <w:t>: 736682 [PMID: 34926441 DOI: 10.3389/fcell.2021.736682]</w:t>
      </w:r>
    </w:p>
    <w:p w14:paraId="3447280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53 </w:t>
      </w:r>
      <w:r w:rsidRPr="00B6332B">
        <w:rPr>
          <w:rFonts w:ascii="Book Antiqua" w:hAnsi="Book Antiqua" w:cs="Book Antiqua"/>
          <w:b/>
          <w:bCs/>
          <w:color w:val="000000" w:themeColor="text1"/>
        </w:rPr>
        <w:t>Huo J</w:t>
      </w:r>
      <w:r w:rsidRPr="00B6332B">
        <w:rPr>
          <w:rFonts w:ascii="Book Antiqua" w:hAnsi="Book Antiqua" w:cs="Book Antiqua"/>
          <w:color w:val="000000" w:themeColor="text1"/>
        </w:rPr>
        <w:t xml:space="preserve">, Wu L, Zang Y. Eight-gene prognostic signature associated with hypoxia and ferroptosis for gastric cancer with general applicability. </w:t>
      </w:r>
      <w:r w:rsidRPr="00B6332B">
        <w:rPr>
          <w:rFonts w:ascii="Book Antiqua" w:hAnsi="Book Antiqua" w:cs="Book Antiqua"/>
          <w:i/>
          <w:iCs/>
          <w:color w:val="000000" w:themeColor="text1"/>
        </w:rPr>
        <w:t>Epigenomics</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875-890 [PMID: 33942671 DOI: 10.2217/epi-2020-0411]</w:t>
      </w:r>
    </w:p>
    <w:p w14:paraId="28D74B0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54 </w:t>
      </w:r>
      <w:r w:rsidRPr="00B6332B">
        <w:rPr>
          <w:rFonts w:ascii="Book Antiqua" w:hAnsi="Book Antiqua" w:cs="Book Antiqua"/>
          <w:b/>
          <w:bCs/>
          <w:color w:val="000000" w:themeColor="text1"/>
        </w:rPr>
        <w:t>Chen W</w:t>
      </w:r>
      <w:r w:rsidRPr="00B6332B">
        <w:rPr>
          <w:rFonts w:ascii="Book Antiqua" w:hAnsi="Book Antiqua" w:cs="Book Antiqua"/>
          <w:color w:val="000000" w:themeColor="text1"/>
        </w:rPr>
        <w:t xml:space="preserve">, Feng Z, Huang J, Fu P, Xiong J, Cao Y, Liu Y, Tu Y, Li Z, Jie Z, Xiao T. Identification of Ferroptosis-Related Long Noncoding RNA and Construction of a Novel Prognostic Signature for Gastric Cancer. </w:t>
      </w:r>
      <w:r w:rsidRPr="00B6332B">
        <w:rPr>
          <w:rFonts w:ascii="Book Antiqua" w:hAnsi="Book Antiqua" w:cs="Book Antiqua"/>
          <w:i/>
          <w:iCs/>
          <w:color w:val="000000" w:themeColor="text1"/>
        </w:rPr>
        <w:t>Dis Markers</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2021</w:t>
      </w:r>
      <w:r w:rsidRPr="00B6332B">
        <w:rPr>
          <w:rFonts w:ascii="Book Antiqua" w:hAnsi="Book Antiqua" w:cs="Book Antiqua"/>
          <w:color w:val="000000" w:themeColor="text1"/>
        </w:rPr>
        <w:t>: 7724997 [PMID: 34394774 DOI: 10.1155/2021/7724997]</w:t>
      </w:r>
    </w:p>
    <w:p w14:paraId="6665B450"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55 </w:t>
      </w:r>
      <w:r w:rsidRPr="00B6332B">
        <w:rPr>
          <w:rFonts w:ascii="Book Antiqua" w:hAnsi="Book Antiqua" w:cs="Book Antiqua"/>
          <w:b/>
          <w:bCs/>
          <w:color w:val="000000" w:themeColor="text1"/>
        </w:rPr>
        <w:t>Wang J</w:t>
      </w:r>
      <w:r w:rsidRPr="00B6332B">
        <w:rPr>
          <w:rFonts w:ascii="Book Antiqua" w:hAnsi="Book Antiqua" w:cs="Book Antiqua"/>
          <w:color w:val="000000" w:themeColor="text1"/>
        </w:rPr>
        <w:t xml:space="preserve">, Qin D, Tao Z, Wang B, Xie Y, Wang Y, Li B, Cao J, Qiao X, Zhong S, Hu X. Identification of cuproptosis-related subtypes, construction of a prognosis model, and tumor microenvironment landscape in gastric cancer. </w:t>
      </w:r>
      <w:r w:rsidRPr="00B6332B">
        <w:rPr>
          <w:rFonts w:ascii="Book Antiqua" w:hAnsi="Book Antiqua" w:cs="Book Antiqua"/>
          <w:i/>
          <w:iCs/>
          <w:color w:val="000000" w:themeColor="text1"/>
        </w:rPr>
        <w:t>Front Immunol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1056932 [PMID: 36479114 DOI: 10.3389/fimmu.2022.1056932]</w:t>
      </w:r>
    </w:p>
    <w:p w14:paraId="66C3556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56 </w:t>
      </w:r>
      <w:r w:rsidRPr="00B6332B">
        <w:rPr>
          <w:rFonts w:ascii="Book Antiqua" w:hAnsi="Book Antiqua" w:cs="Book Antiqua"/>
          <w:b/>
          <w:bCs/>
          <w:color w:val="000000" w:themeColor="text1"/>
        </w:rPr>
        <w:t>Song X</w:t>
      </w:r>
      <w:r w:rsidRPr="00B6332B">
        <w:rPr>
          <w:rFonts w:ascii="Book Antiqua" w:hAnsi="Book Antiqua" w:cs="Book Antiqua"/>
          <w:color w:val="000000" w:themeColor="text1"/>
        </w:rPr>
        <w:t xml:space="preserve">, Hou L, Zhao Y, Guan Q, Li Z. Metal-dependent programmed cell death-related lncRNA prognostic signatures and natural drug sensitivity prediction for gastric cancer. </w:t>
      </w:r>
      <w:r w:rsidRPr="00B6332B">
        <w:rPr>
          <w:rFonts w:ascii="Book Antiqua" w:hAnsi="Book Antiqua" w:cs="Book Antiqua"/>
          <w:i/>
          <w:iCs/>
          <w:color w:val="000000" w:themeColor="text1"/>
        </w:rPr>
        <w:t>Front Pharmacol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1039499 [PMID: 36339625 DOI: 10.3389/fphar.2022.1039499]</w:t>
      </w:r>
    </w:p>
    <w:p w14:paraId="6EB113CE"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57 </w:t>
      </w:r>
      <w:r w:rsidRPr="00B6332B">
        <w:rPr>
          <w:rFonts w:ascii="Book Antiqua" w:hAnsi="Book Antiqua" w:cs="Book Antiqua"/>
          <w:b/>
          <w:bCs/>
          <w:color w:val="000000" w:themeColor="text1"/>
        </w:rPr>
        <w:t>Nie H</w:t>
      </w:r>
      <w:r w:rsidRPr="00B6332B">
        <w:rPr>
          <w:rFonts w:ascii="Book Antiqua" w:hAnsi="Book Antiqua" w:cs="Book Antiqua"/>
          <w:color w:val="000000" w:themeColor="text1"/>
        </w:rPr>
        <w:t xml:space="preserve">, Wang H, Zhang M, Ning Y, Chen X, Zhang Z, Hu X, Zhao Q, Chen P, Fang J, Wang F. Comprehensive analysis of cuproptosis-related genes in prognosis, tumor microenvironment infiltration, and immunotherapy response in gastric cancer. </w:t>
      </w:r>
      <w:r w:rsidRPr="00B6332B">
        <w:rPr>
          <w:rFonts w:ascii="Book Antiqua" w:hAnsi="Book Antiqua" w:cs="Book Antiqua"/>
          <w:i/>
          <w:iCs/>
          <w:color w:val="000000" w:themeColor="text1"/>
        </w:rPr>
        <w:t>J Cancer Res Clin Oncol</w:t>
      </w:r>
      <w:r w:rsidRPr="00B6332B">
        <w:rPr>
          <w:rFonts w:ascii="Book Antiqua" w:hAnsi="Book Antiqua" w:cs="Book Antiqua"/>
          <w:color w:val="000000" w:themeColor="text1"/>
        </w:rPr>
        <w:t xml:space="preserve"> 2023; </w:t>
      </w:r>
      <w:r w:rsidRPr="00B6332B">
        <w:rPr>
          <w:rFonts w:ascii="Book Antiqua" w:hAnsi="Book Antiqua" w:cs="Book Antiqua"/>
          <w:b/>
          <w:bCs/>
          <w:color w:val="000000" w:themeColor="text1"/>
        </w:rPr>
        <w:t>149</w:t>
      </w:r>
      <w:r w:rsidRPr="00B6332B">
        <w:rPr>
          <w:rFonts w:ascii="Book Antiqua" w:hAnsi="Book Antiqua" w:cs="Book Antiqua"/>
          <w:color w:val="000000" w:themeColor="text1"/>
        </w:rPr>
        <w:t>: 5453-5468 [PMID: 36462036 DOI: 10.1007/s00432-022-04474-4]</w:t>
      </w:r>
    </w:p>
    <w:p w14:paraId="1A51C48B"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lastRenderedPageBreak/>
        <w:t xml:space="preserve">58 </w:t>
      </w:r>
      <w:r w:rsidRPr="00B6332B">
        <w:rPr>
          <w:rFonts w:ascii="Book Antiqua" w:hAnsi="Book Antiqua" w:cs="Book Antiqua"/>
          <w:b/>
          <w:bCs/>
          <w:color w:val="000000" w:themeColor="text1"/>
        </w:rPr>
        <w:t>Huang J</w:t>
      </w:r>
      <w:r w:rsidRPr="00B6332B">
        <w:rPr>
          <w:rFonts w:ascii="Book Antiqua" w:hAnsi="Book Antiqua" w:cs="Book Antiqua"/>
          <w:color w:val="000000" w:themeColor="text1"/>
        </w:rPr>
        <w:t xml:space="preserve">, Chen M, Pei W, Xu Z, Ning J, Chen C. Distinct tumor microenvironment landscapes in gastric cancer classified by cuproptosis-related lncRNAs. </w:t>
      </w:r>
      <w:r w:rsidRPr="00B6332B">
        <w:rPr>
          <w:rFonts w:ascii="Book Antiqua" w:hAnsi="Book Antiqua" w:cs="Book Antiqua"/>
          <w:i/>
          <w:iCs/>
          <w:color w:val="000000" w:themeColor="text1"/>
        </w:rPr>
        <w:t>J Cancer</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3687-3700 [PMID: 36606199 DOI: 10.7150/jca.79640]</w:t>
      </w:r>
    </w:p>
    <w:p w14:paraId="4DEDC1F7"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59 </w:t>
      </w:r>
      <w:r w:rsidRPr="00B6332B">
        <w:rPr>
          <w:rFonts w:ascii="Book Antiqua" w:hAnsi="Book Antiqua" w:cs="Book Antiqua"/>
          <w:b/>
          <w:bCs/>
          <w:color w:val="000000" w:themeColor="text1"/>
        </w:rPr>
        <w:t>Liu X</w:t>
      </w:r>
      <w:r w:rsidRPr="00B6332B">
        <w:rPr>
          <w:rFonts w:ascii="Book Antiqua" w:hAnsi="Book Antiqua" w:cs="Book Antiqua"/>
          <w:color w:val="000000" w:themeColor="text1"/>
        </w:rPr>
        <w:t xml:space="preserve">, Nie L, Zhang Y, Yan Y, Wang C, Colic M, Olszewski K, Horbath A, Chen X, Lei G, Mao C, Wu S, Zhuang L, Poyurovsky MV, James You M, Hart T, Billadeau DD, Chen J, Gan B. Actin cytoskeleton vulnerability to disulfide stress mediates disulfidptosis. </w:t>
      </w:r>
      <w:r w:rsidRPr="00B6332B">
        <w:rPr>
          <w:rFonts w:ascii="Book Antiqua" w:hAnsi="Book Antiqua" w:cs="Book Antiqua"/>
          <w:i/>
          <w:iCs/>
          <w:color w:val="000000" w:themeColor="text1"/>
        </w:rPr>
        <w:t>Nat Cell Biol</w:t>
      </w:r>
      <w:r w:rsidRPr="00B6332B">
        <w:rPr>
          <w:rFonts w:ascii="Book Antiqua" w:hAnsi="Book Antiqua" w:cs="Book Antiqua"/>
          <w:color w:val="000000" w:themeColor="text1"/>
        </w:rPr>
        <w:t xml:space="preserve"> 2023; </w:t>
      </w:r>
      <w:r w:rsidRPr="00B6332B">
        <w:rPr>
          <w:rFonts w:ascii="Book Antiqua" w:hAnsi="Book Antiqua" w:cs="Book Antiqua"/>
          <w:b/>
          <w:bCs/>
          <w:color w:val="000000" w:themeColor="text1"/>
        </w:rPr>
        <w:t>25</w:t>
      </w:r>
      <w:r w:rsidRPr="00B6332B">
        <w:rPr>
          <w:rFonts w:ascii="Book Antiqua" w:hAnsi="Book Antiqua" w:cs="Book Antiqua"/>
          <w:color w:val="000000" w:themeColor="text1"/>
        </w:rPr>
        <w:t>: 404-414 [PMID: 36747082 DOI: 10.1038/s41556-023-01091-2]</w:t>
      </w:r>
    </w:p>
    <w:p w14:paraId="353706C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60 </w:t>
      </w:r>
      <w:r w:rsidRPr="00B6332B">
        <w:rPr>
          <w:rFonts w:ascii="Book Antiqua" w:hAnsi="Book Antiqua" w:cs="Book Antiqua"/>
          <w:b/>
          <w:bCs/>
          <w:color w:val="000000" w:themeColor="text1"/>
        </w:rPr>
        <w:t>Tomczak K</w:t>
      </w:r>
      <w:r w:rsidRPr="00B6332B">
        <w:rPr>
          <w:rFonts w:ascii="Book Antiqua" w:hAnsi="Book Antiqua" w:cs="Book Antiqua"/>
          <w:color w:val="000000" w:themeColor="text1"/>
        </w:rPr>
        <w:t xml:space="preserve">, Czerwińska P, Wiznerowicz M. The Cancer Genome Atlas (TCGA): an immeasurable source of knowledge. </w:t>
      </w:r>
      <w:r w:rsidRPr="00B6332B">
        <w:rPr>
          <w:rFonts w:ascii="Book Antiqua" w:hAnsi="Book Antiqua" w:cs="Book Antiqua"/>
          <w:i/>
          <w:iCs/>
          <w:color w:val="000000" w:themeColor="text1"/>
        </w:rPr>
        <w:t>Contemp Oncol (Pozn)</w:t>
      </w:r>
      <w:r w:rsidRPr="00B6332B">
        <w:rPr>
          <w:rFonts w:ascii="Book Antiqua" w:hAnsi="Book Antiqua" w:cs="Book Antiqua"/>
          <w:color w:val="000000" w:themeColor="text1"/>
        </w:rPr>
        <w:t xml:space="preserve"> 2015; </w:t>
      </w:r>
      <w:r w:rsidRPr="00B6332B">
        <w:rPr>
          <w:rFonts w:ascii="Book Antiqua" w:hAnsi="Book Antiqua" w:cs="Book Antiqua"/>
          <w:b/>
          <w:bCs/>
          <w:color w:val="000000" w:themeColor="text1"/>
        </w:rPr>
        <w:t>19</w:t>
      </w:r>
      <w:r w:rsidRPr="00B6332B">
        <w:rPr>
          <w:rFonts w:ascii="Book Antiqua" w:hAnsi="Book Antiqua" w:cs="Book Antiqua"/>
          <w:color w:val="000000" w:themeColor="text1"/>
        </w:rPr>
        <w:t>: A68-A77 [PMID: 25691825 DOI: 10.5114/wo.2014.47136]</w:t>
      </w:r>
    </w:p>
    <w:p w14:paraId="1B0C0FA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61 </w:t>
      </w:r>
      <w:r w:rsidRPr="00B6332B">
        <w:rPr>
          <w:rFonts w:ascii="Book Antiqua" w:hAnsi="Book Antiqua" w:cs="Book Antiqua"/>
          <w:b/>
          <w:bCs/>
          <w:color w:val="000000" w:themeColor="text1"/>
        </w:rPr>
        <w:t>Barrett T</w:t>
      </w:r>
      <w:r w:rsidRPr="00B6332B">
        <w:rPr>
          <w:rFonts w:ascii="Book Antiqua" w:hAnsi="Book Antiqua" w:cs="Book Antiqua"/>
          <w:color w:val="000000" w:themeColor="text1"/>
        </w:rPr>
        <w:t xml:space="preserve">, Wilhite SE, Ledoux P, Evangelista C, Kim IF, Tomashevsky M, Marshall KA, Phillippy KH, Sherman PM, Holko M, Yefanov A, Lee H, Zhang N, Robertson CL, Serova N, Davis S, Soboleva A. NCBI GEO: archive for functional genomics data sets--update. </w:t>
      </w:r>
      <w:r w:rsidRPr="00B6332B">
        <w:rPr>
          <w:rFonts w:ascii="Book Antiqua" w:hAnsi="Book Antiqua" w:cs="Book Antiqua"/>
          <w:i/>
          <w:iCs/>
          <w:color w:val="000000" w:themeColor="text1"/>
        </w:rPr>
        <w:t>Nucleic Acids Res</w:t>
      </w:r>
      <w:r w:rsidRPr="00B6332B">
        <w:rPr>
          <w:rFonts w:ascii="Book Antiqua" w:hAnsi="Book Antiqua" w:cs="Book Antiqua"/>
          <w:color w:val="000000" w:themeColor="text1"/>
        </w:rPr>
        <w:t xml:space="preserve"> 2013; </w:t>
      </w:r>
      <w:r w:rsidRPr="00B6332B">
        <w:rPr>
          <w:rFonts w:ascii="Book Antiqua" w:hAnsi="Book Antiqua" w:cs="Book Antiqua"/>
          <w:b/>
          <w:bCs/>
          <w:color w:val="000000" w:themeColor="text1"/>
        </w:rPr>
        <w:t>41</w:t>
      </w:r>
      <w:r w:rsidRPr="00B6332B">
        <w:rPr>
          <w:rFonts w:ascii="Book Antiqua" w:hAnsi="Book Antiqua" w:cs="Book Antiqua"/>
          <w:color w:val="000000" w:themeColor="text1"/>
        </w:rPr>
        <w:t>: D991-D995 [PMID: 23193258 DOI: 10.1093/nar/gks1193]</w:t>
      </w:r>
    </w:p>
    <w:p w14:paraId="38C07FA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62 </w:t>
      </w:r>
      <w:r w:rsidRPr="00B6332B">
        <w:rPr>
          <w:rFonts w:ascii="Book Antiqua" w:hAnsi="Book Antiqua" w:cs="Book Antiqua"/>
          <w:b/>
          <w:bCs/>
          <w:color w:val="000000" w:themeColor="text1"/>
        </w:rPr>
        <w:t>Addeo A</w:t>
      </w:r>
      <w:r w:rsidRPr="00B6332B">
        <w:rPr>
          <w:rFonts w:ascii="Book Antiqua" w:hAnsi="Book Antiqua" w:cs="Book Antiqua"/>
          <w:color w:val="000000" w:themeColor="text1"/>
        </w:rPr>
        <w:t xml:space="preserve">, Friedlaender A, Banna GL, Weiss GJ. TMB or not TMB as a biomarker: That is the question. </w:t>
      </w:r>
      <w:r w:rsidRPr="00B6332B">
        <w:rPr>
          <w:rFonts w:ascii="Book Antiqua" w:hAnsi="Book Antiqua" w:cs="Book Antiqua"/>
          <w:i/>
          <w:iCs/>
          <w:color w:val="000000" w:themeColor="text1"/>
        </w:rPr>
        <w:t>Crit Rev Oncol Hematol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163</w:t>
      </w:r>
      <w:r w:rsidRPr="00B6332B">
        <w:rPr>
          <w:rFonts w:ascii="Book Antiqua" w:hAnsi="Book Antiqua" w:cs="Book Antiqua"/>
          <w:color w:val="000000" w:themeColor="text1"/>
        </w:rPr>
        <w:t>: 103374 [PMID: 34087341 DOI: 10.1016/j.critrevonc.2021.103374]</w:t>
      </w:r>
    </w:p>
    <w:p w14:paraId="4BEF418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63 </w:t>
      </w:r>
      <w:r w:rsidRPr="00B6332B">
        <w:rPr>
          <w:rFonts w:ascii="Book Antiqua" w:hAnsi="Book Antiqua" w:cs="Book Antiqua"/>
          <w:b/>
          <w:bCs/>
          <w:color w:val="000000" w:themeColor="text1"/>
        </w:rPr>
        <w:t>Liu L</w:t>
      </w:r>
      <w:r w:rsidRPr="00B6332B">
        <w:rPr>
          <w:rFonts w:ascii="Book Antiqua" w:hAnsi="Book Antiqua" w:cs="Book Antiqua"/>
          <w:color w:val="000000" w:themeColor="text1"/>
        </w:rPr>
        <w:t xml:space="preserve">, Bai X, Wang J, Tang XR, Wu DH, Du SS, Du XJ, Zhang YW, Zhu HB, Fang Y, Guo ZQ, Zeng Q, Guo XJ, Liu Z, Dong ZY. Combination of TMB and CNA Stratifies Prognostic and Predictive Responses to Immunotherapy Across Metastatic Cancer. </w:t>
      </w:r>
      <w:r w:rsidRPr="00B6332B">
        <w:rPr>
          <w:rFonts w:ascii="Book Antiqua" w:hAnsi="Book Antiqua" w:cs="Book Antiqua"/>
          <w:i/>
          <w:iCs/>
          <w:color w:val="000000" w:themeColor="text1"/>
        </w:rPr>
        <w:t>Clin Cancer Res</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25</w:t>
      </w:r>
      <w:r w:rsidRPr="00B6332B">
        <w:rPr>
          <w:rFonts w:ascii="Book Antiqua" w:hAnsi="Book Antiqua" w:cs="Book Antiqua"/>
          <w:color w:val="000000" w:themeColor="text1"/>
        </w:rPr>
        <w:t>: 7413-7423 [PMID: 31515453 DOI: 10.1158/1078-0432.CCR-19-0558]</w:t>
      </w:r>
    </w:p>
    <w:p w14:paraId="34B0BF0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64 </w:t>
      </w:r>
      <w:r w:rsidRPr="00B6332B">
        <w:rPr>
          <w:rFonts w:ascii="Book Antiqua" w:hAnsi="Book Antiqua" w:cs="Book Antiqua"/>
          <w:b/>
          <w:bCs/>
          <w:color w:val="000000" w:themeColor="text1"/>
        </w:rPr>
        <w:t>Gene Ontology Consortium</w:t>
      </w:r>
      <w:r w:rsidRPr="00B6332B">
        <w:rPr>
          <w:rFonts w:ascii="Book Antiqua" w:hAnsi="Book Antiqua" w:cs="Book Antiqua"/>
          <w:color w:val="000000" w:themeColor="text1"/>
        </w:rPr>
        <w:t xml:space="preserve">. Gene Ontology Consortium: going forward. </w:t>
      </w:r>
      <w:r w:rsidRPr="00B6332B">
        <w:rPr>
          <w:rFonts w:ascii="Book Antiqua" w:hAnsi="Book Antiqua" w:cs="Book Antiqua"/>
          <w:i/>
          <w:iCs/>
          <w:color w:val="000000" w:themeColor="text1"/>
        </w:rPr>
        <w:t>Nucleic Acids Res</w:t>
      </w:r>
      <w:r w:rsidRPr="00B6332B">
        <w:rPr>
          <w:rFonts w:ascii="Book Antiqua" w:hAnsi="Book Antiqua" w:cs="Book Antiqua"/>
          <w:color w:val="000000" w:themeColor="text1"/>
        </w:rPr>
        <w:t xml:space="preserve"> 2015; </w:t>
      </w:r>
      <w:r w:rsidRPr="00B6332B">
        <w:rPr>
          <w:rFonts w:ascii="Book Antiqua" w:hAnsi="Book Antiqua" w:cs="Book Antiqua"/>
          <w:b/>
          <w:bCs/>
          <w:color w:val="000000" w:themeColor="text1"/>
        </w:rPr>
        <w:t>43</w:t>
      </w:r>
      <w:r w:rsidRPr="00B6332B">
        <w:rPr>
          <w:rFonts w:ascii="Book Antiqua" w:hAnsi="Book Antiqua" w:cs="Book Antiqua"/>
          <w:color w:val="000000" w:themeColor="text1"/>
        </w:rPr>
        <w:t>: D1049-D1056 [PMID: 25428369 DOI: 10.1093/nar/gku1179]</w:t>
      </w:r>
    </w:p>
    <w:p w14:paraId="7B9DBFE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65 </w:t>
      </w:r>
      <w:r w:rsidRPr="00B6332B">
        <w:rPr>
          <w:rFonts w:ascii="Book Antiqua" w:hAnsi="Book Antiqua" w:cs="Book Antiqua"/>
          <w:b/>
          <w:bCs/>
          <w:color w:val="000000" w:themeColor="text1"/>
        </w:rPr>
        <w:t>Kanehisa M</w:t>
      </w:r>
      <w:r w:rsidRPr="00B6332B">
        <w:rPr>
          <w:rFonts w:ascii="Book Antiqua" w:hAnsi="Book Antiqua" w:cs="Book Antiqua"/>
          <w:color w:val="000000" w:themeColor="text1"/>
        </w:rPr>
        <w:t xml:space="preserve">, Goto S. KEGG: kyoto encyclopedia of genes and genomes. </w:t>
      </w:r>
      <w:r w:rsidRPr="00B6332B">
        <w:rPr>
          <w:rFonts w:ascii="Book Antiqua" w:hAnsi="Book Antiqua" w:cs="Book Antiqua"/>
          <w:i/>
          <w:iCs/>
          <w:color w:val="000000" w:themeColor="text1"/>
        </w:rPr>
        <w:t>Nucleic Acids Res</w:t>
      </w:r>
      <w:r w:rsidRPr="00B6332B">
        <w:rPr>
          <w:rFonts w:ascii="Book Antiqua" w:hAnsi="Book Antiqua" w:cs="Book Antiqua"/>
          <w:color w:val="000000" w:themeColor="text1"/>
        </w:rPr>
        <w:t xml:space="preserve"> 2000; </w:t>
      </w:r>
      <w:r w:rsidRPr="00B6332B">
        <w:rPr>
          <w:rFonts w:ascii="Book Antiqua" w:hAnsi="Book Antiqua" w:cs="Book Antiqua"/>
          <w:b/>
          <w:bCs/>
          <w:color w:val="000000" w:themeColor="text1"/>
        </w:rPr>
        <w:t>28</w:t>
      </w:r>
      <w:r w:rsidRPr="00B6332B">
        <w:rPr>
          <w:rFonts w:ascii="Book Antiqua" w:hAnsi="Book Antiqua" w:cs="Book Antiqua"/>
          <w:color w:val="000000" w:themeColor="text1"/>
        </w:rPr>
        <w:t>: 27-30 [PMID: 10592173 DOI: 10.1093/nar/28.1.27]</w:t>
      </w:r>
    </w:p>
    <w:p w14:paraId="6DD879A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66 </w:t>
      </w:r>
      <w:r w:rsidRPr="00B6332B">
        <w:rPr>
          <w:rFonts w:ascii="Book Antiqua" w:hAnsi="Book Antiqua" w:cs="Book Antiqua"/>
          <w:b/>
          <w:bCs/>
          <w:color w:val="000000" w:themeColor="text1"/>
        </w:rPr>
        <w:t>Tao W</w:t>
      </w:r>
      <w:r w:rsidRPr="00B6332B">
        <w:rPr>
          <w:rFonts w:ascii="Book Antiqua" w:hAnsi="Book Antiqua" w:cs="Book Antiqua"/>
          <w:color w:val="000000" w:themeColor="text1"/>
        </w:rPr>
        <w:t xml:space="preserve">, Li Y, Zhu M, Li C, Li P. LncRNA NORAD Promotes Proliferation And Inhibits Apoptosis Of Gastric Cancer By Regulating miR-214/Akt/mTOR Axis. </w:t>
      </w:r>
      <w:r w:rsidRPr="00B6332B">
        <w:rPr>
          <w:rFonts w:ascii="Book Antiqua" w:hAnsi="Book Antiqua" w:cs="Book Antiqua"/>
          <w:i/>
          <w:iCs/>
          <w:color w:val="000000" w:themeColor="text1"/>
        </w:rPr>
        <w:t>Onco Targets Ther</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8841-8851 [PMID: 31802897 DOI: 10.2147/OTT.S216862]</w:t>
      </w:r>
    </w:p>
    <w:p w14:paraId="24C0E3D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lastRenderedPageBreak/>
        <w:t xml:space="preserve">67 </w:t>
      </w:r>
      <w:r w:rsidRPr="00B6332B">
        <w:rPr>
          <w:rFonts w:ascii="Book Antiqua" w:hAnsi="Book Antiqua" w:cs="Book Antiqua"/>
          <w:b/>
          <w:bCs/>
          <w:color w:val="000000" w:themeColor="text1"/>
        </w:rPr>
        <w:t>Sung H</w:t>
      </w:r>
      <w:r w:rsidRPr="00B6332B">
        <w:rPr>
          <w:rFonts w:ascii="Book Antiqua" w:hAnsi="Book Antiqua" w:cs="Book Antiqua"/>
          <w:color w:val="000000" w:themeColor="text1"/>
        </w:rPr>
        <w:t xml:space="preserve">, Hu N, Yang HH, Giffen CA, Zhu B, Song L, Su H, Wang C, Parisi DM, Goldstein AM, Taylor PR, Hyland PL. Association of high-evidence gastric cancer susceptibility loci and somatic gene expression levels with survival. </w:t>
      </w:r>
      <w:r w:rsidRPr="00B6332B">
        <w:rPr>
          <w:rFonts w:ascii="Book Antiqua" w:hAnsi="Book Antiqua" w:cs="Book Antiqua"/>
          <w:i/>
          <w:iCs/>
          <w:color w:val="000000" w:themeColor="text1"/>
        </w:rPr>
        <w:t>Carcinogenesis</w:t>
      </w:r>
      <w:r w:rsidRPr="00B6332B">
        <w:rPr>
          <w:rFonts w:ascii="Book Antiqua" w:hAnsi="Book Antiqua" w:cs="Book Antiqua"/>
          <w:color w:val="000000" w:themeColor="text1"/>
        </w:rPr>
        <w:t xml:space="preserve"> 2017; </w:t>
      </w:r>
      <w:r w:rsidRPr="00B6332B">
        <w:rPr>
          <w:rFonts w:ascii="Book Antiqua" w:hAnsi="Book Antiqua" w:cs="Book Antiqua"/>
          <w:b/>
          <w:bCs/>
          <w:color w:val="000000" w:themeColor="text1"/>
        </w:rPr>
        <w:t>38</w:t>
      </w:r>
      <w:r w:rsidRPr="00B6332B">
        <w:rPr>
          <w:rFonts w:ascii="Book Antiqua" w:hAnsi="Book Antiqua" w:cs="Book Antiqua"/>
          <w:color w:val="000000" w:themeColor="text1"/>
        </w:rPr>
        <w:t>: 1119-1128 [PMID: 29028942 DOI: 10.1093/carcin/bgx090]</w:t>
      </w:r>
    </w:p>
    <w:p w14:paraId="16F1DB5E"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68 </w:t>
      </w:r>
      <w:r w:rsidRPr="00B6332B">
        <w:rPr>
          <w:rFonts w:ascii="Book Antiqua" w:hAnsi="Book Antiqua" w:cs="Book Antiqua"/>
          <w:b/>
          <w:bCs/>
          <w:color w:val="000000" w:themeColor="text1"/>
        </w:rPr>
        <w:t>Tan Y</w:t>
      </w:r>
      <w:r w:rsidRPr="00B6332B">
        <w:rPr>
          <w:rFonts w:ascii="Book Antiqua" w:hAnsi="Book Antiqua" w:cs="Book Antiqua"/>
          <w:color w:val="000000" w:themeColor="text1"/>
        </w:rPr>
        <w:t xml:space="preserve">, Li Y, Zhu H, Wu X, Mei K, Li P, Yang Q. miR-187/PDLIM1 Gets Involved in Gastric Cancer Progression and Cisplatin Sensitivity of Cisplatin by Mediating the Hippo-YAP Signaling Pathway. </w:t>
      </w:r>
      <w:r w:rsidRPr="00B6332B">
        <w:rPr>
          <w:rFonts w:ascii="Book Antiqua" w:hAnsi="Book Antiqua" w:cs="Book Antiqua"/>
          <w:i/>
          <w:iCs/>
          <w:color w:val="000000" w:themeColor="text1"/>
        </w:rPr>
        <w:t>J Oncol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2022</w:t>
      </w:r>
      <w:r w:rsidRPr="00B6332B">
        <w:rPr>
          <w:rFonts w:ascii="Book Antiqua" w:hAnsi="Book Antiqua" w:cs="Book Antiqua"/>
          <w:color w:val="000000" w:themeColor="text1"/>
        </w:rPr>
        <w:t>: 5456016 [PMID: 36164345 DOI: 10.1155/2022/5456016]</w:t>
      </w:r>
    </w:p>
    <w:p w14:paraId="57796F5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69 </w:t>
      </w:r>
      <w:r w:rsidRPr="00B6332B">
        <w:rPr>
          <w:rFonts w:ascii="Book Antiqua" w:hAnsi="Book Antiqua" w:cs="Book Antiqua"/>
          <w:b/>
          <w:bCs/>
          <w:color w:val="000000" w:themeColor="text1"/>
        </w:rPr>
        <w:t>Sun GG</w:t>
      </w:r>
      <w:r w:rsidRPr="00B6332B">
        <w:rPr>
          <w:rFonts w:ascii="Book Antiqua" w:hAnsi="Book Antiqua" w:cs="Book Antiqua"/>
          <w:color w:val="000000" w:themeColor="text1"/>
        </w:rPr>
        <w:t xml:space="preserve">, Sheng SH, Jing SW, Hu WN. An antiproliferative gene FLNA regulates migration and invasion of gastric carcinoma cell in vitro and its clinical significance. </w:t>
      </w:r>
      <w:r w:rsidRPr="00B6332B">
        <w:rPr>
          <w:rFonts w:ascii="Book Antiqua" w:hAnsi="Book Antiqua" w:cs="Book Antiqua"/>
          <w:i/>
          <w:iCs/>
          <w:color w:val="000000" w:themeColor="text1"/>
        </w:rPr>
        <w:t>Tumour Biol</w:t>
      </w:r>
      <w:r w:rsidRPr="00B6332B">
        <w:rPr>
          <w:rFonts w:ascii="Book Antiqua" w:hAnsi="Book Antiqua" w:cs="Book Antiqua"/>
          <w:color w:val="000000" w:themeColor="text1"/>
        </w:rPr>
        <w:t xml:space="preserve"> 2014; </w:t>
      </w:r>
      <w:r w:rsidRPr="00B6332B">
        <w:rPr>
          <w:rFonts w:ascii="Book Antiqua" w:hAnsi="Book Antiqua" w:cs="Book Antiqua"/>
          <w:b/>
          <w:bCs/>
          <w:color w:val="000000" w:themeColor="text1"/>
        </w:rPr>
        <w:t>35</w:t>
      </w:r>
      <w:r w:rsidRPr="00B6332B">
        <w:rPr>
          <w:rFonts w:ascii="Book Antiqua" w:hAnsi="Book Antiqua" w:cs="Book Antiqua"/>
          <w:color w:val="000000" w:themeColor="text1"/>
        </w:rPr>
        <w:t>: 2641-2648 [PMID: 24241900 DOI: 10.1007/s13277-013-1347-1]</w:t>
      </w:r>
    </w:p>
    <w:p w14:paraId="68B0BC9C"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70 </w:t>
      </w:r>
      <w:r w:rsidRPr="00B6332B">
        <w:rPr>
          <w:rFonts w:ascii="Book Antiqua" w:hAnsi="Book Antiqua" w:cs="Book Antiqua"/>
          <w:b/>
          <w:bCs/>
          <w:color w:val="000000" w:themeColor="text1"/>
        </w:rPr>
        <w:t>Liu L</w:t>
      </w:r>
      <w:r w:rsidRPr="00B6332B">
        <w:rPr>
          <w:rFonts w:ascii="Book Antiqua" w:hAnsi="Book Antiqua" w:cs="Book Antiqua"/>
          <w:color w:val="000000" w:themeColor="text1"/>
        </w:rPr>
        <w:t xml:space="preserve">, Chen C, Liu P, Li J, Pang Z, Zhu J, Lin Z, Zhou H, Xie Y, Lan T, Chen ZS, Zeng Z, Fang W. MYH10 Combines with MYH9 to Recruit USP45 by Deubiquitinating Snail and Promotes Serous Ovarian Cancer Carcinogenesis, Progression, and Cisplatin Resistance. </w:t>
      </w:r>
      <w:r w:rsidRPr="00B6332B">
        <w:rPr>
          <w:rFonts w:ascii="Book Antiqua" w:hAnsi="Book Antiqua" w:cs="Book Antiqua"/>
          <w:i/>
          <w:iCs/>
          <w:color w:val="000000" w:themeColor="text1"/>
        </w:rPr>
        <w:t>Adv Sci (Weinh)</w:t>
      </w:r>
      <w:r w:rsidRPr="00B6332B">
        <w:rPr>
          <w:rFonts w:ascii="Book Antiqua" w:hAnsi="Book Antiqua" w:cs="Book Antiqua"/>
          <w:color w:val="000000" w:themeColor="text1"/>
        </w:rPr>
        <w:t xml:space="preserve"> 2023; </w:t>
      </w:r>
      <w:r w:rsidRPr="00B6332B">
        <w:rPr>
          <w:rFonts w:ascii="Book Antiqua" w:hAnsi="Book Antiqua" w:cs="Book Antiqua"/>
          <w:b/>
          <w:bCs/>
          <w:color w:val="000000" w:themeColor="text1"/>
        </w:rPr>
        <w:t>10</w:t>
      </w:r>
      <w:r w:rsidRPr="00B6332B">
        <w:rPr>
          <w:rFonts w:ascii="Book Antiqua" w:hAnsi="Book Antiqua" w:cs="Book Antiqua"/>
          <w:color w:val="000000" w:themeColor="text1"/>
        </w:rPr>
        <w:t>: e2203423 [PMID: 36929633 DOI: 10.1002/advs.202203423]</w:t>
      </w:r>
    </w:p>
    <w:p w14:paraId="5F40975E"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71 </w:t>
      </w:r>
      <w:r w:rsidRPr="00B6332B">
        <w:rPr>
          <w:rFonts w:ascii="Book Antiqua" w:hAnsi="Book Antiqua" w:cs="Book Antiqua"/>
          <w:b/>
          <w:bCs/>
          <w:color w:val="000000" w:themeColor="text1"/>
        </w:rPr>
        <w:t>Yu J</w:t>
      </w:r>
      <w:r w:rsidRPr="00B6332B">
        <w:rPr>
          <w:rFonts w:ascii="Book Antiqua" w:hAnsi="Book Antiqua" w:cs="Book Antiqua"/>
          <w:color w:val="000000" w:themeColor="text1"/>
        </w:rPr>
        <w:t xml:space="preserve">, Liang QY, Wang J, Cheng Y, Wang S, Poon TC, Go MY, Tao Q, Chang Z, Sung JJ. Zinc-finger protein 331, a novel putative tumor suppressor, suppresses growth and invasiveness of gastric cancer. </w:t>
      </w:r>
      <w:r w:rsidRPr="00B6332B">
        <w:rPr>
          <w:rFonts w:ascii="Book Antiqua" w:hAnsi="Book Antiqua" w:cs="Book Antiqua"/>
          <w:i/>
          <w:iCs/>
          <w:color w:val="000000" w:themeColor="text1"/>
        </w:rPr>
        <w:t>Oncogene</w:t>
      </w:r>
      <w:r w:rsidRPr="00B6332B">
        <w:rPr>
          <w:rFonts w:ascii="Book Antiqua" w:hAnsi="Book Antiqua" w:cs="Book Antiqua"/>
          <w:color w:val="000000" w:themeColor="text1"/>
        </w:rPr>
        <w:t xml:space="preserve"> 2013; </w:t>
      </w:r>
      <w:r w:rsidRPr="00B6332B">
        <w:rPr>
          <w:rFonts w:ascii="Book Antiqua" w:hAnsi="Book Antiqua" w:cs="Book Antiqua"/>
          <w:b/>
          <w:bCs/>
          <w:color w:val="000000" w:themeColor="text1"/>
        </w:rPr>
        <w:t>32</w:t>
      </w:r>
      <w:r w:rsidRPr="00B6332B">
        <w:rPr>
          <w:rFonts w:ascii="Book Antiqua" w:hAnsi="Book Antiqua" w:cs="Book Antiqua"/>
          <w:color w:val="000000" w:themeColor="text1"/>
        </w:rPr>
        <w:t>: 307-317 [PMID: 22370639 DOI: 10.1038/onc.2012.54]</w:t>
      </w:r>
    </w:p>
    <w:p w14:paraId="4BFBE42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72 </w:t>
      </w:r>
      <w:r w:rsidRPr="00B6332B">
        <w:rPr>
          <w:rFonts w:ascii="Book Antiqua" w:hAnsi="Book Antiqua" w:cs="Book Antiqua"/>
          <w:b/>
          <w:bCs/>
          <w:color w:val="000000" w:themeColor="text1"/>
        </w:rPr>
        <w:t>Vierthaler M</w:t>
      </w:r>
      <w:r w:rsidRPr="00B6332B">
        <w:rPr>
          <w:rFonts w:ascii="Book Antiqua" w:hAnsi="Book Antiqua" w:cs="Book Antiqua"/>
          <w:color w:val="000000" w:themeColor="text1"/>
        </w:rPr>
        <w:t xml:space="preserve">, Sun Q, Wang Y, Steinfass T, Poelchen J, Hielscher T, Novak D, Umansky V, Utikal J. ADCK2 Knockdown Affects the Migration of Melanoma Cells via MYL6. </w:t>
      </w:r>
      <w:r w:rsidRPr="00B6332B">
        <w:rPr>
          <w:rFonts w:ascii="Book Antiqua" w:hAnsi="Book Antiqua" w:cs="Book Antiqua"/>
          <w:i/>
          <w:iCs/>
          <w:color w:val="000000" w:themeColor="text1"/>
        </w:rPr>
        <w:t>Cancers (Basel)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14</w:t>
      </w:r>
      <w:r w:rsidRPr="00B6332B">
        <w:rPr>
          <w:rFonts w:ascii="Book Antiqua" w:hAnsi="Book Antiqua" w:cs="Book Antiqua"/>
          <w:color w:val="000000" w:themeColor="text1"/>
        </w:rPr>
        <w:t xml:space="preserve"> [PMID: 35205819 DOI: 10.3390/cancers14041071]</w:t>
      </w:r>
    </w:p>
    <w:p w14:paraId="196CF22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73 </w:t>
      </w:r>
      <w:r w:rsidRPr="00B6332B">
        <w:rPr>
          <w:rFonts w:ascii="Book Antiqua" w:hAnsi="Book Antiqua" w:cs="Book Antiqua"/>
          <w:b/>
          <w:bCs/>
          <w:color w:val="000000" w:themeColor="text1"/>
        </w:rPr>
        <w:t>Kato S</w:t>
      </w:r>
      <w:r w:rsidRPr="00B6332B">
        <w:rPr>
          <w:rFonts w:ascii="Book Antiqua" w:hAnsi="Book Antiqua" w:cs="Book Antiqua"/>
          <w:color w:val="000000" w:themeColor="text1"/>
        </w:rPr>
        <w:t xml:space="preserve">, Shiozaki A, Kudou M, Shimizu H, Kosuga T, Ohashi T, Arita T, Konishi H, Komatsu S, Kubota T, Fujiwara H, Okamoto K, Kishimoto M, Konishi E, Otsuji E. TRPV2 Promotes Cell Migration and Invasion in Gastric Cancer via the Transforming Growth Factor-β Signaling Pathway. </w:t>
      </w:r>
      <w:r w:rsidRPr="00B6332B">
        <w:rPr>
          <w:rFonts w:ascii="Book Antiqua" w:hAnsi="Book Antiqua" w:cs="Book Antiqua"/>
          <w:i/>
          <w:iCs/>
          <w:color w:val="000000" w:themeColor="text1"/>
        </w:rPr>
        <w:t>Ann Surg Oncol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29</w:t>
      </w:r>
      <w:r w:rsidRPr="00B6332B">
        <w:rPr>
          <w:rFonts w:ascii="Book Antiqua" w:hAnsi="Book Antiqua" w:cs="Book Antiqua"/>
          <w:color w:val="000000" w:themeColor="text1"/>
        </w:rPr>
        <w:t>: 2944-2956 [PMID: 34855064 DOI: 10.1245/s10434-021-11132-5]</w:t>
      </w:r>
    </w:p>
    <w:p w14:paraId="0391B1C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lastRenderedPageBreak/>
        <w:t xml:space="preserve">74 </w:t>
      </w:r>
      <w:r w:rsidRPr="00B6332B">
        <w:rPr>
          <w:rFonts w:ascii="Book Antiqua" w:hAnsi="Book Antiqua" w:cs="Book Antiqua"/>
          <w:b/>
          <w:bCs/>
          <w:color w:val="000000" w:themeColor="text1"/>
        </w:rPr>
        <w:t>Jiang H</w:t>
      </w:r>
      <w:r w:rsidRPr="00B6332B">
        <w:rPr>
          <w:rFonts w:ascii="Book Antiqua" w:hAnsi="Book Antiqua" w:cs="Book Antiqua"/>
          <w:color w:val="000000" w:themeColor="text1"/>
        </w:rPr>
        <w:t xml:space="preserve">, Ma P, Duan Z, Liu Y, Shen S, Mi Y, Fan D. Ginsenoside Rh4 Suppresses Metastasis of Gastric Cancer via SIX1-Dependent TGF-β/Smad2/3 Signaling Pathway. </w:t>
      </w:r>
      <w:r w:rsidRPr="00B6332B">
        <w:rPr>
          <w:rFonts w:ascii="Book Antiqua" w:hAnsi="Book Antiqua" w:cs="Book Antiqua"/>
          <w:i/>
          <w:iCs/>
          <w:color w:val="000000" w:themeColor="text1"/>
        </w:rPr>
        <w:t>Nutrients</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14</w:t>
      </w:r>
      <w:r w:rsidRPr="00B6332B">
        <w:rPr>
          <w:rFonts w:ascii="Book Antiqua" w:hAnsi="Book Antiqua" w:cs="Book Antiqua"/>
          <w:color w:val="000000" w:themeColor="text1"/>
        </w:rPr>
        <w:t xml:space="preserve"> [PMID: 35458126 DOI: 10.3390/nu14081564]</w:t>
      </w:r>
    </w:p>
    <w:p w14:paraId="075E1EA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75 </w:t>
      </w:r>
      <w:r w:rsidRPr="00B6332B">
        <w:rPr>
          <w:rFonts w:ascii="Book Antiqua" w:hAnsi="Book Antiqua" w:cs="Book Antiqua"/>
          <w:b/>
          <w:bCs/>
          <w:color w:val="000000" w:themeColor="text1"/>
        </w:rPr>
        <w:t>Zhang X</w:t>
      </w:r>
      <w:r w:rsidRPr="00B6332B">
        <w:rPr>
          <w:rFonts w:ascii="Book Antiqua" w:hAnsi="Book Antiqua" w:cs="Book Antiqua"/>
          <w:color w:val="000000" w:themeColor="text1"/>
        </w:rPr>
        <w:t xml:space="preserve">, Wu J. LINC00665 promotes cell proliferation, invasion, and metastasis by activating the TGF-β pathway in gastric cancer. </w:t>
      </w:r>
      <w:r w:rsidRPr="00B6332B">
        <w:rPr>
          <w:rFonts w:ascii="Book Antiqua" w:hAnsi="Book Antiqua" w:cs="Book Antiqua"/>
          <w:i/>
          <w:iCs/>
          <w:color w:val="000000" w:themeColor="text1"/>
        </w:rPr>
        <w:t>Pathol Res Pract</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224</w:t>
      </w:r>
      <w:r w:rsidRPr="00B6332B">
        <w:rPr>
          <w:rFonts w:ascii="Book Antiqua" w:hAnsi="Book Antiqua" w:cs="Book Antiqua"/>
          <w:color w:val="000000" w:themeColor="text1"/>
        </w:rPr>
        <w:t>: 153492 [PMID: 34091388 DOI: 10.1016/j.prp.2021.153492]</w:t>
      </w:r>
    </w:p>
    <w:p w14:paraId="40CB7E3B"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76 </w:t>
      </w:r>
      <w:r w:rsidRPr="00B6332B">
        <w:rPr>
          <w:rFonts w:ascii="Book Antiqua" w:hAnsi="Book Antiqua" w:cs="Book Antiqua"/>
          <w:b/>
          <w:bCs/>
          <w:color w:val="000000" w:themeColor="text1"/>
        </w:rPr>
        <w:t>Xiong R</w:t>
      </w:r>
      <w:r w:rsidRPr="00B6332B">
        <w:rPr>
          <w:rFonts w:ascii="Book Antiqua" w:hAnsi="Book Antiqua" w:cs="Book Antiqua"/>
          <w:color w:val="000000" w:themeColor="text1"/>
        </w:rPr>
        <w:t xml:space="preserve">, Yin T, Gao JL, Yuan YF. HOXD9 Activates the TGF-β/Smad Signaling Pathway to Promote Gastric Cancer. </w:t>
      </w:r>
      <w:r w:rsidRPr="00B6332B">
        <w:rPr>
          <w:rFonts w:ascii="Book Antiqua" w:hAnsi="Book Antiqua" w:cs="Book Antiqua"/>
          <w:i/>
          <w:iCs/>
          <w:color w:val="000000" w:themeColor="text1"/>
        </w:rPr>
        <w:t>Onco Targets Ther</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2163-2172 [PMID: 32210582 DOI: 10.2147/OTT.S234829]</w:t>
      </w:r>
    </w:p>
    <w:p w14:paraId="59B67DC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77 </w:t>
      </w:r>
      <w:r w:rsidRPr="00B6332B">
        <w:rPr>
          <w:rFonts w:ascii="Book Antiqua" w:hAnsi="Book Antiqua" w:cs="Book Antiqua"/>
          <w:b/>
          <w:bCs/>
          <w:color w:val="000000" w:themeColor="text1"/>
        </w:rPr>
        <w:t>Xiong R</w:t>
      </w:r>
      <w:r w:rsidRPr="00B6332B">
        <w:rPr>
          <w:rFonts w:ascii="Book Antiqua" w:hAnsi="Book Antiqua" w:cs="Book Antiqua"/>
          <w:color w:val="000000" w:themeColor="text1"/>
        </w:rPr>
        <w:t xml:space="preserve">, Gao JL, Yin T. G3BP1 activates the TGF-β/Smad signaling pathway to promote gastric cancer. </w:t>
      </w:r>
      <w:r w:rsidRPr="00B6332B">
        <w:rPr>
          <w:rFonts w:ascii="Book Antiqua" w:hAnsi="Book Antiqua" w:cs="Book Antiqua"/>
          <w:i/>
          <w:iCs/>
          <w:color w:val="000000" w:themeColor="text1"/>
        </w:rPr>
        <w:t>Onco Targets Ther</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7149-7156 [PMID: 31564899 DOI: 10.2147/OTT.S213728]</w:t>
      </w:r>
    </w:p>
    <w:p w14:paraId="49049ED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78 </w:t>
      </w:r>
      <w:r w:rsidRPr="00B6332B">
        <w:rPr>
          <w:rFonts w:ascii="Book Antiqua" w:hAnsi="Book Antiqua" w:cs="Book Antiqua"/>
          <w:b/>
          <w:bCs/>
          <w:color w:val="000000" w:themeColor="text1"/>
        </w:rPr>
        <w:t>Tao L</w:t>
      </w:r>
      <w:r w:rsidRPr="00B6332B">
        <w:rPr>
          <w:rFonts w:ascii="Book Antiqua" w:hAnsi="Book Antiqua" w:cs="Book Antiqua"/>
          <w:color w:val="000000" w:themeColor="text1"/>
        </w:rPr>
        <w:t xml:space="preserve">, Yu H, Liang R, Jia R, Wang J, Jiang K, Wang Z. Rev-erbα inhibits proliferation by reducing glycolytic flux and pentose phosphate pathway in human gastric cancer cells. </w:t>
      </w:r>
      <w:r w:rsidRPr="00B6332B">
        <w:rPr>
          <w:rFonts w:ascii="Book Antiqua" w:hAnsi="Book Antiqua" w:cs="Book Antiqua"/>
          <w:i/>
          <w:iCs/>
          <w:color w:val="000000" w:themeColor="text1"/>
        </w:rPr>
        <w:t>Oncogenesis</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8</w:t>
      </w:r>
      <w:r w:rsidRPr="00B6332B">
        <w:rPr>
          <w:rFonts w:ascii="Book Antiqua" w:hAnsi="Book Antiqua" w:cs="Book Antiqua"/>
          <w:color w:val="000000" w:themeColor="text1"/>
        </w:rPr>
        <w:t>: 57 [PMID: 31591390 DOI: 10.1038/s41389-019-0168-5]</w:t>
      </w:r>
    </w:p>
    <w:p w14:paraId="514EDD5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79 </w:t>
      </w:r>
      <w:r w:rsidRPr="00B6332B">
        <w:rPr>
          <w:rFonts w:ascii="Book Antiqua" w:hAnsi="Book Antiqua" w:cs="Book Antiqua"/>
          <w:b/>
          <w:bCs/>
          <w:color w:val="000000" w:themeColor="text1"/>
        </w:rPr>
        <w:t>Xia S</w:t>
      </w:r>
      <w:r w:rsidRPr="00B6332B">
        <w:rPr>
          <w:rFonts w:ascii="Book Antiqua" w:hAnsi="Book Antiqua" w:cs="Book Antiqua"/>
          <w:color w:val="000000" w:themeColor="text1"/>
        </w:rPr>
        <w:t xml:space="preserve">, Ji L, Tang L, Zhang L, Zhang X, Tang Q, Feng Z, Lu L. Proteasome Subunit Alpha Type 7 Promotes Proliferation and Metastasis of Gastric Cancer Through MAPK Signaling Pathway. </w:t>
      </w:r>
      <w:r w:rsidRPr="00B6332B">
        <w:rPr>
          <w:rFonts w:ascii="Book Antiqua" w:hAnsi="Book Antiqua" w:cs="Book Antiqua"/>
          <w:i/>
          <w:iCs/>
          <w:color w:val="000000" w:themeColor="text1"/>
        </w:rPr>
        <w:t>Dig Dis Sci</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67</w:t>
      </w:r>
      <w:r w:rsidRPr="00B6332B">
        <w:rPr>
          <w:rFonts w:ascii="Book Antiqua" w:hAnsi="Book Antiqua" w:cs="Book Antiqua"/>
          <w:color w:val="000000" w:themeColor="text1"/>
        </w:rPr>
        <w:t>: 880-891 [PMID: 33721161 DOI: 10.1007/s10620-021-06903-9]</w:t>
      </w:r>
    </w:p>
    <w:p w14:paraId="598D819B"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80 </w:t>
      </w:r>
      <w:r w:rsidRPr="00B6332B">
        <w:rPr>
          <w:rFonts w:ascii="Book Antiqua" w:hAnsi="Book Antiqua" w:cs="Book Antiqua"/>
          <w:b/>
          <w:bCs/>
          <w:color w:val="000000" w:themeColor="text1"/>
        </w:rPr>
        <w:t>Feng X</w:t>
      </w:r>
      <w:r w:rsidRPr="00B6332B">
        <w:rPr>
          <w:rFonts w:ascii="Book Antiqua" w:hAnsi="Book Antiqua" w:cs="Book Antiqua"/>
          <w:color w:val="000000" w:themeColor="text1"/>
        </w:rPr>
        <w:t xml:space="preserve">, Song Z, Huang Q, Jia J, Zhang L, Zhu M, Qian J. AIM2 Promotes Gastric Cancer Cell Proliferation via the MAPK Signaling Pathway. </w:t>
      </w:r>
      <w:r w:rsidRPr="00B6332B">
        <w:rPr>
          <w:rFonts w:ascii="Book Antiqua" w:hAnsi="Book Antiqua" w:cs="Book Antiqua"/>
          <w:i/>
          <w:iCs/>
          <w:color w:val="000000" w:themeColor="text1"/>
        </w:rPr>
        <w:t>J Healthc Eng</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2022</w:t>
      </w:r>
      <w:r w:rsidRPr="00B6332B">
        <w:rPr>
          <w:rFonts w:ascii="Book Antiqua" w:hAnsi="Book Antiqua" w:cs="Book Antiqua"/>
          <w:color w:val="000000" w:themeColor="text1"/>
        </w:rPr>
        <w:t>: 8756844 [PMID: 35432843 DOI: 10.1155/2022/8756844]</w:t>
      </w:r>
    </w:p>
    <w:p w14:paraId="24B209F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81 </w:t>
      </w:r>
      <w:r w:rsidRPr="00B6332B">
        <w:rPr>
          <w:rFonts w:ascii="Book Antiqua" w:hAnsi="Book Antiqua" w:cs="Book Antiqua"/>
          <w:b/>
          <w:bCs/>
          <w:color w:val="000000" w:themeColor="text1"/>
        </w:rPr>
        <w:t>Xu W</w:t>
      </w:r>
      <w:r w:rsidRPr="00B6332B">
        <w:rPr>
          <w:rFonts w:ascii="Book Antiqua" w:hAnsi="Book Antiqua" w:cs="Book Antiqua"/>
          <w:color w:val="000000" w:themeColor="text1"/>
        </w:rPr>
        <w:t xml:space="preserve">, Zhou B, Wang J, Tang L, Hu Q, Wang J, Chen H, Zheng J, Yan F, Chen H. tRNA-Derived Fragment tRF-Glu-TTC-027 Regulates the Progression of Gastric Carcinoma via MAPK Signaling Pathway. </w:t>
      </w:r>
      <w:r w:rsidRPr="00B6332B">
        <w:rPr>
          <w:rFonts w:ascii="Book Antiqua" w:hAnsi="Book Antiqua" w:cs="Book Antiqua"/>
          <w:i/>
          <w:iCs/>
          <w:color w:val="000000" w:themeColor="text1"/>
        </w:rPr>
        <w:t>Front Oncol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11</w:t>
      </w:r>
      <w:r w:rsidRPr="00B6332B">
        <w:rPr>
          <w:rFonts w:ascii="Book Antiqua" w:hAnsi="Book Antiqua" w:cs="Book Antiqua"/>
          <w:color w:val="000000" w:themeColor="text1"/>
        </w:rPr>
        <w:t>: 733763 [PMID: 34497772 DOI: 10.3389/fonc.2021.733763]</w:t>
      </w:r>
    </w:p>
    <w:p w14:paraId="5D3485AB"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82 </w:t>
      </w:r>
      <w:r w:rsidRPr="00B6332B">
        <w:rPr>
          <w:rFonts w:ascii="Book Antiqua" w:hAnsi="Book Antiqua" w:cs="Book Antiqua"/>
          <w:b/>
          <w:bCs/>
          <w:color w:val="000000" w:themeColor="text1"/>
        </w:rPr>
        <w:t>Wu S</w:t>
      </w:r>
      <w:r w:rsidRPr="00B6332B">
        <w:rPr>
          <w:rFonts w:ascii="Book Antiqua" w:hAnsi="Book Antiqua" w:cs="Book Antiqua"/>
          <w:color w:val="000000" w:themeColor="text1"/>
        </w:rPr>
        <w:t xml:space="preserve">, Chen M, Huang J, Zhang F, Lv Z, Jia Y, Cui YZ, Sun LZ, Wang Y, Tang Y, Verhoeft KR, Li Y, Qin Y, Lin X, Guan XY, Lam KO. ORAI2 Promotes Gastric Cancer Tumorigenicity and Metastasis through PI3K/Akt Signaling and MAPK-Dependent </w:t>
      </w:r>
      <w:r w:rsidRPr="00B6332B">
        <w:rPr>
          <w:rFonts w:ascii="Book Antiqua" w:hAnsi="Book Antiqua" w:cs="Book Antiqua"/>
          <w:color w:val="000000" w:themeColor="text1"/>
        </w:rPr>
        <w:lastRenderedPageBreak/>
        <w:t xml:space="preserve">Focal Adhesion Disassembly. </w:t>
      </w:r>
      <w:r w:rsidRPr="00B6332B">
        <w:rPr>
          <w:rFonts w:ascii="Book Antiqua" w:hAnsi="Book Antiqua" w:cs="Book Antiqua"/>
          <w:i/>
          <w:iCs/>
          <w:color w:val="000000" w:themeColor="text1"/>
        </w:rPr>
        <w:t>Cancer Res</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81</w:t>
      </w:r>
      <w:r w:rsidRPr="00B6332B">
        <w:rPr>
          <w:rFonts w:ascii="Book Antiqua" w:hAnsi="Book Antiqua" w:cs="Book Antiqua"/>
          <w:color w:val="000000" w:themeColor="text1"/>
        </w:rPr>
        <w:t>: 986-1000 [PMID: 33310726 DOI: 10.1158/0008-5472.CAN-20-0049]</w:t>
      </w:r>
    </w:p>
    <w:p w14:paraId="42F8DB8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83 </w:t>
      </w:r>
      <w:r w:rsidRPr="00B6332B">
        <w:rPr>
          <w:rFonts w:ascii="Book Antiqua" w:hAnsi="Book Antiqua" w:cs="Book Antiqua"/>
          <w:b/>
          <w:bCs/>
          <w:color w:val="000000" w:themeColor="text1"/>
        </w:rPr>
        <w:t>Wang JF</w:t>
      </w:r>
      <w:r w:rsidRPr="00B6332B">
        <w:rPr>
          <w:rFonts w:ascii="Book Antiqua" w:hAnsi="Book Antiqua" w:cs="Book Antiqua"/>
          <w:color w:val="000000" w:themeColor="text1"/>
        </w:rPr>
        <w:t xml:space="preserve">, Zhao K, Chen YY, Qiu Y, Zhu JH, Li BP, Wang Z, Chen JQ. NKCC1 promotes proliferation, invasion and migration in human gastric cancer cells via activation of the MAPK-JNK/EMT signaling pathway. </w:t>
      </w:r>
      <w:r w:rsidRPr="00B6332B">
        <w:rPr>
          <w:rFonts w:ascii="Book Antiqua" w:hAnsi="Book Antiqua" w:cs="Book Antiqua"/>
          <w:i/>
          <w:iCs/>
          <w:color w:val="000000" w:themeColor="text1"/>
        </w:rPr>
        <w:t>J Cancer</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253-263 [PMID: 33391422 DOI: 10.7150/jca.49709]</w:t>
      </w:r>
    </w:p>
    <w:p w14:paraId="600A547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84 </w:t>
      </w:r>
      <w:r w:rsidRPr="00B6332B">
        <w:rPr>
          <w:rFonts w:ascii="Book Antiqua" w:hAnsi="Book Antiqua" w:cs="Book Antiqua"/>
          <w:b/>
          <w:bCs/>
          <w:color w:val="000000" w:themeColor="text1"/>
        </w:rPr>
        <w:t>Zhang Q</w:t>
      </w:r>
      <w:r w:rsidRPr="00B6332B">
        <w:rPr>
          <w:rFonts w:ascii="Book Antiqua" w:hAnsi="Book Antiqua" w:cs="Book Antiqua"/>
          <w:color w:val="000000" w:themeColor="text1"/>
        </w:rPr>
        <w:t xml:space="preserve">, Wang X, Cao S, Sun Y, He X, Jiang B, Yu Y, Duan J, Qiu F, Kang N. Berberine represses human gastric cancer cell growth in vitro and in vivo by inducing cytostatic autophagy via inhibition of MAPK/mTOR/p70S6K and Akt signaling pathways. </w:t>
      </w:r>
      <w:r w:rsidRPr="00B6332B">
        <w:rPr>
          <w:rFonts w:ascii="Book Antiqua" w:hAnsi="Book Antiqua" w:cs="Book Antiqua"/>
          <w:i/>
          <w:iCs/>
          <w:color w:val="000000" w:themeColor="text1"/>
        </w:rPr>
        <w:t>Biomed Pharmacother</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128</w:t>
      </w:r>
      <w:r w:rsidRPr="00B6332B">
        <w:rPr>
          <w:rFonts w:ascii="Book Antiqua" w:hAnsi="Book Antiqua" w:cs="Book Antiqua"/>
          <w:color w:val="000000" w:themeColor="text1"/>
        </w:rPr>
        <w:t>: 110245 [PMID: 32454290 DOI: 10.1016/j.biopha.2020.110245]</w:t>
      </w:r>
    </w:p>
    <w:p w14:paraId="0756EFD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85 </w:t>
      </w:r>
      <w:r w:rsidRPr="00B6332B">
        <w:rPr>
          <w:rFonts w:ascii="Book Antiqua" w:hAnsi="Book Antiqua" w:cs="Book Antiqua"/>
          <w:b/>
          <w:bCs/>
          <w:color w:val="000000" w:themeColor="text1"/>
        </w:rPr>
        <w:t>Xu B</w:t>
      </w:r>
      <w:r w:rsidRPr="00B6332B">
        <w:rPr>
          <w:rFonts w:ascii="Book Antiqua" w:hAnsi="Book Antiqua" w:cs="Book Antiqua"/>
          <w:color w:val="000000" w:themeColor="text1"/>
        </w:rPr>
        <w:t xml:space="preserve">, Li S, Fang Y, Zou Y, Song D, Zhang S, Cai Y. Proprotein Convertase Subtilisin/Kexin Type 9 Promotes Gastric Cancer Metastasis and Suppresses Apoptosis by Facilitating MAPK Signaling Pathway Through HSP70 Up-Regulation. </w:t>
      </w:r>
      <w:r w:rsidRPr="00B6332B">
        <w:rPr>
          <w:rFonts w:ascii="Book Antiqua" w:hAnsi="Book Antiqua" w:cs="Book Antiqua"/>
          <w:i/>
          <w:iCs/>
          <w:color w:val="000000" w:themeColor="text1"/>
        </w:rPr>
        <w:t>Front Oncol</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10</w:t>
      </w:r>
      <w:r w:rsidRPr="00B6332B">
        <w:rPr>
          <w:rFonts w:ascii="Book Antiqua" w:hAnsi="Book Antiqua" w:cs="Book Antiqua"/>
          <w:color w:val="000000" w:themeColor="text1"/>
        </w:rPr>
        <w:t>: 609663 [PMID: 33489919 DOI: 10.3389/fonc.2020.609663]</w:t>
      </w:r>
    </w:p>
    <w:p w14:paraId="2D3C9F3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86 </w:t>
      </w:r>
      <w:r w:rsidRPr="00B6332B">
        <w:rPr>
          <w:rFonts w:ascii="Book Antiqua" w:hAnsi="Book Antiqua" w:cs="Book Antiqua"/>
          <w:b/>
          <w:bCs/>
          <w:color w:val="000000" w:themeColor="text1"/>
        </w:rPr>
        <w:t>Xiang Z</w:t>
      </w:r>
      <w:r w:rsidRPr="00B6332B">
        <w:rPr>
          <w:rFonts w:ascii="Book Antiqua" w:hAnsi="Book Antiqua" w:cs="Book Antiqua"/>
          <w:color w:val="000000" w:themeColor="text1"/>
        </w:rPr>
        <w:t xml:space="preserve">, Li J, Song S, Wang J, Cai W, Hu W, Ji J, Zhu Z, Zang L, Yan R, Yu Y. A positive feedback between IDO1 metabolite and COL12A1 via MAPK pathway to promote gastric cancer metastasis. </w:t>
      </w:r>
      <w:r w:rsidRPr="00B6332B">
        <w:rPr>
          <w:rFonts w:ascii="Book Antiqua" w:hAnsi="Book Antiqua" w:cs="Book Antiqua"/>
          <w:i/>
          <w:iCs/>
          <w:color w:val="000000" w:themeColor="text1"/>
        </w:rPr>
        <w:t>J Exp Clin Cancer Res</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38</w:t>
      </w:r>
      <w:r w:rsidRPr="00B6332B">
        <w:rPr>
          <w:rFonts w:ascii="Book Antiqua" w:hAnsi="Book Antiqua" w:cs="Book Antiqua"/>
          <w:color w:val="000000" w:themeColor="text1"/>
        </w:rPr>
        <w:t>: 314 [PMID: 31315643 DOI: 10.1186/s13046-019-1318-5]</w:t>
      </w:r>
    </w:p>
    <w:p w14:paraId="09B4E81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87 </w:t>
      </w:r>
      <w:r w:rsidRPr="00B6332B">
        <w:rPr>
          <w:rFonts w:ascii="Book Antiqua" w:hAnsi="Book Antiqua" w:cs="Book Antiqua"/>
          <w:b/>
          <w:bCs/>
          <w:color w:val="000000" w:themeColor="text1"/>
        </w:rPr>
        <w:t>Du F</w:t>
      </w:r>
      <w:r w:rsidRPr="00B6332B">
        <w:rPr>
          <w:rFonts w:ascii="Book Antiqua" w:hAnsi="Book Antiqua" w:cs="Book Antiqua"/>
          <w:color w:val="000000" w:themeColor="text1"/>
        </w:rPr>
        <w:t xml:space="preserve">, Sun L, Chu Y, Li T, Lei C, Wang X, Jiang M, Min Y, Lu Y, Zhao X, Nie Y, Fan D. DDIT4 promotes gastric cancer proliferation and tumorigenesis through the p53 and MAPK pathways. </w:t>
      </w:r>
      <w:r w:rsidRPr="00B6332B">
        <w:rPr>
          <w:rFonts w:ascii="Book Antiqua" w:hAnsi="Book Antiqua" w:cs="Book Antiqua"/>
          <w:i/>
          <w:iCs/>
          <w:color w:val="000000" w:themeColor="text1"/>
        </w:rPr>
        <w:t>Cancer Commun (Lond)</w:t>
      </w:r>
      <w:r w:rsidRPr="00B6332B">
        <w:rPr>
          <w:rFonts w:ascii="Book Antiqua" w:hAnsi="Book Antiqua" w:cs="Book Antiqua"/>
          <w:color w:val="000000" w:themeColor="text1"/>
        </w:rPr>
        <w:t xml:space="preserve"> 2018; </w:t>
      </w:r>
      <w:r w:rsidRPr="00B6332B">
        <w:rPr>
          <w:rFonts w:ascii="Book Antiqua" w:hAnsi="Book Antiqua" w:cs="Book Antiqua"/>
          <w:b/>
          <w:bCs/>
          <w:color w:val="000000" w:themeColor="text1"/>
        </w:rPr>
        <w:t>38</w:t>
      </w:r>
      <w:r w:rsidRPr="00B6332B">
        <w:rPr>
          <w:rFonts w:ascii="Book Antiqua" w:hAnsi="Book Antiqua" w:cs="Book Antiqua"/>
          <w:color w:val="000000" w:themeColor="text1"/>
        </w:rPr>
        <w:t>: 45 [PMID: 29976242 DOI: 10.1186/s40880-018-0315-y]</w:t>
      </w:r>
    </w:p>
    <w:p w14:paraId="7C384511"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88 </w:t>
      </w:r>
      <w:r w:rsidRPr="00B6332B">
        <w:rPr>
          <w:rFonts w:ascii="Book Antiqua" w:hAnsi="Book Antiqua" w:cs="Book Antiqua"/>
          <w:b/>
          <w:bCs/>
          <w:color w:val="000000" w:themeColor="text1"/>
        </w:rPr>
        <w:t>Peng Y</w:t>
      </w:r>
      <w:r w:rsidRPr="00B6332B">
        <w:rPr>
          <w:rFonts w:ascii="Book Antiqua" w:hAnsi="Book Antiqua" w:cs="Book Antiqua"/>
          <w:color w:val="000000" w:themeColor="text1"/>
        </w:rPr>
        <w:t xml:space="preserve">, Xu Y, Zhang X, Deng S, Yuan Y, Luo X, Hossain MT, Zhu X, Du K, Hu F, Chen Y, Chang S, Feng X, Fan X, Ashktorab H, Smoot D, Meltzer SJ, Hou G, Wei Y, Li S, Qin Y, Jin Z. A novel protein AXIN1-295aa encoded by circAXIN1 activates the Wnt/β-catenin signaling pathway to promote gastric cancer progression. </w:t>
      </w:r>
      <w:r w:rsidRPr="00B6332B">
        <w:rPr>
          <w:rFonts w:ascii="Book Antiqua" w:hAnsi="Book Antiqua" w:cs="Book Antiqua"/>
          <w:i/>
          <w:iCs/>
          <w:color w:val="000000" w:themeColor="text1"/>
        </w:rPr>
        <w:t>Mol Cancer</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20</w:t>
      </w:r>
      <w:r w:rsidRPr="00B6332B">
        <w:rPr>
          <w:rFonts w:ascii="Book Antiqua" w:hAnsi="Book Antiqua" w:cs="Book Antiqua"/>
          <w:color w:val="000000" w:themeColor="text1"/>
        </w:rPr>
        <w:t>: 158 [PMID: 34863211 DOI: 10.1186/s12943-021-01457-w]</w:t>
      </w:r>
    </w:p>
    <w:p w14:paraId="15BE9C6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89 </w:t>
      </w:r>
      <w:r w:rsidRPr="00B6332B">
        <w:rPr>
          <w:rFonts w:ascii="Book Antiqua" w:hAnsi="Book Antiqua" w:cs="Book Antiqua"/>
          <w:b/>
          <w:bCs/>
          <w:color w:val="000000" w:themeColor="text1"/>
        </w:rPr>
        <w:t>Liu H</w:t>
      </w:r>
      <w:r w:rsidRPr="00B6332B">
        <w:rPr>
          <w:rFonts w:ascii="Book Antiqua" w:hAnsi="Book Antiqua" w:cs="Book Antiqua"/>
          <w:color w:val="000000" w:themeColor="text1"/>
        </w:rPr>
        <w:t>, Fredimoses M, Niu P, Liu T, Qiao Y, Tian X, Chen X, Kim DJ, Li X, Liu K, Dong Z. EPRS/GluRS promotes gastric cancer development via WNT/GSK-3β/β-</w:t>
      </w:r>
      <w:r w:rsidRPr="00B6332B">
        <w:rPr>
          <w:rFonts w:ascii="Book Antiqua" w:hAnsi="Book Antiqua" w:cs="Book Antiqua"/>
          <w:color w:val="000000" w:themeColor="text1"/>
        </w:rPr>
        <w:lastRenderedPageBreak/>
        <w:t xml:space="preserve">catenin signaling pathway. </w:t>
      </w:r>
      <w:r w:rsidRPr="00B6332B">
        <w:rPr>
          <w:rFonts w:ascii="Book Antiqua" w:hAnsi="Book Antiqua" w:cs="Book Antiqua"/>
          <w:i/>
          <w:iCs/>
          <w:color w:val="000000" w:themeColor="text1"/>
        </w:rPr>
        <w:t>Gastric Cancer</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24</w:t>
      </w:r>
      <w:r w:rsidRPr="00B6332B">
        <w:rPr>
          <w:rFonts w:ascii="Book Antiqua" w:hAnsi="Book Antiqua" w:cs="Book Antiqua"/>
          <w:color w:val="000000" w:themeColor="text1"/>
        </w:rPr>
        <w:t>: 1021-1036 [PMID: 33740160 DOI: 10.1007/s10120-021-01180-x]</w:t>
      </w:r>
    </w:p>
    <w:p w14:paraId="4C830597"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90 </w:t>
      </w:r>
      <w:r w:rsidRPr="00B6332B">
        <w:rPr>
          <w:rFonts w:ascii="Book Antiqua" w:hAnsi="Book Antiqua" w:cs="Book Antiqua"/>
          <w:b/>
          <w:bCs/>
          <w:color w:val="000000" w:themeColor="text1"/>
        </w:rPr>
        <w:t>Li H</w:t>
      </w:r>
      <w:r w:rsidRPr="00B6332B">
        <w:rPr>
          <w:rFonts w:ascii="Book Antiqua" w:hAnsi="Book Antiqua" w:cs="Book Antiqua"/>
          <w:color w:val="000000" w:themeColor="text1"/>
        </w:rPr>
        <w:t xml:space="preserve">, Zhao J, Sun J, Tian C, Jiang Q, Ding C, Gan Q, Shu P, Wang X, Qin J, Sun Y. Demethylation of the SFRP4 Promoter Drives Gastric Cancer Progression via the Wnt Pathway. </w:t>
      </w:r>
      <w:r w:rsidRPr="00B6332B">
        <w:rPr>
          <w:rFonts w:ascii="Book Antiqua" w:hAnsi="Book Antiqua" w:cs="Book Antiqua"/>
          <w:i/>
          <w:iCs/>
          <w:color w:val="000000" w:themeColor="text1"/>
        </w:rPr>
        <w:t>Mol Cancer Res</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19</w:t>
      </w:r>
      <w:r w:rsidRPr="00B6332B">
        <w:rPr>
          <w:rFonts w:ascii="Book Antiqua" w:hAnsi="Book Antiqua" w:cs="Book Antiqua"/>
          <w:color w:val="000000" w:themeColor="text1"/>
        </w:rPr>
        <w:t>: 1454-1464 [PMID: 34016745 DOI: 10.1158/1541-7786.MCR-20-0933]</w:t>
      </w:r>
    </w:p>
    <w:p w14:paraId="597A5A7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91 </w:t>
      </w:r>
      <w:r w:rsidRPr="00B6332B">
        <w:rPr>
          <w:rFonts w:ascii="Book Antiqua" w:hAnsi="Book Antiqua" w:cs="Book Antiqua"/>
          <w:b/>
          <w:bCs/>
          <w:color w:val="000000" w:themeColor="text1"/>
        </w:rPr>
        <w:t>Guo Q</w:t>
      </w:r>
      <w:r w:rsidRPr="00B6332B">
        <w:rPr>
          <w:rFonts w:ascii="Book Antiqua" w:hAnsi="Book Antiqua" w:cs="Book Antiqua"/>
          <w:color w:val="000000" w:themeColor="text1"/>
        </w:rPr>
        <w:t xml:space="preserve">, Xu J, Huang Z, Yao Q, Chen F, Liu H, Zhang Z, Lin J. ADMA mediates gastric cancer cell migration and invasion via Wnt/β-catenin signaling pathway. </w:t>
      </w:r>
      <w:r w:rsidRPr="00B6332B">
        <w:rPr>
          <w:rFonts w:ascii="Book Antiqua" w:hAnsi="Book Antiqua" w:cs="Book Antiqua"/>
          <w:i/>
          <w:iCs/>
          <w:color w:val="000000" w:themeColor="text1"/>
        </w:rPr>
        <w:t>Clin Transl Oncol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23</w:t>
      </w:r>
      <w:r w:rsidRPr="00B6332B">
        <w:rPr>
          <w:rFonts w:ascii="Book Antiqua" w:hAnsi="Book Antiqua" w:cs="Book Antiqua"/>
          <w:color w:val="000000" w:themeColor="text1"/>
        </w:rPr>
        <w:t>: 325-334 [PMID: 32607811 DOI: 10.1007/s12094-020-02422-7]</w:t>
      </w:r>
    </w:p>
    <w:p w14:paraId="45ED03DC"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92 </w:t>
      </w:r>
      <w:r w:rsidRPr="00B6332B">
        <w:rPr>
          <w:rFonts w:ascii="Book Antiqua" w:hAnsi="Book Antiqua" w:cs="Book Antiqua"/>
          <w:b/>
          <w:bCs/>
          <w:color w:val="000000" w:themeColor="text1"/>
        </w:rPr>
        <w:t>Tian S</w:t>
      </w:r>
      <w:r w:rsidRPr="00B6332B">
        <w:rPr>
          <w:rFonts w:ascii="Book Antiqua" w:hAnsi="Book Antiqua" w:cs="Book Antiqua"/>
          <w:color w:val="000000" w:themeColor="text1"/>
        </w:rPr>
        <w:t xml:space="preserve">, Peng P, Li J, Deng H, Zhan N, Zeng Z, Dong W. SERPINH1 regulates EMT and gastric cancer metastasis via the Wnt/β-catenin signaling pathway. </w:t>
      </w:r>
      <w:r w:rsidRPr="00B6332B">
        <w:rPr>
          <w:rFonts w:ascii="Book Antiqua" w:hAnsi="Book Antiqua" w:cs="Book Antiqua"/>
          <w:i/>
          <w:iCs/>
          <w:color w:val="000000" w:themeColor="text1"/>
        </w:rPr>
        <w:t>Aging (Albany NY)</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3574-3593 [PMID: 32091407 DOI: 10.18632/aging.102831]</w:t>
      </w:r>
    </w:p>
    <w:p w14:paraId="30B9E21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93 </w:t>
      </w:r>
      <w:r w:rsidRPr="00B6332B">
        <w:rPr>
          <w:rFonts w:ascii="Book Antiqua" w:hAnsi="Book Antiqua" w:cs="Book Antiqua"/>
          <w:b/>
          <w:bCs/>
          <w:color w:val="000000" w:themeColor="text1"/>
        </w:rPr>
        <w:t>Yue B</w:t>
      </w:r>
      <w:r w:rsidRPr="00B6332B">
        <w:rPr>
          <w:rFonts w:ascii="Book Antiqua" w:hAnsi="Book Antiqua" w:cs="Book Antiqua"/>
          <w:color w:val="000000" w:themeColor="text1"/>
        </w:rPr>
        <w:t xml:space="preserve">, Liu C, Sun H, Liu M, Song C, Cui R, Qiu S, Zhong M. A Positive Feed-Forward Loop between LncRNA-CYTOR and Wnt/β-Catenin Signaling Promotes Metastasis of Colon Cancer. </w:t>
      </w:r>
      <w:r w:rsidRPr="00B6332B">
        <w:rPr>
          <w:rFonts w:ascii="Book Antiqua" w:hAnsi="Book Antiqua" w:cs="Book Antiqua"/>
          <w:i/>
          <w:iCs/>
          <w:color w:val="000000" w:themeColor="text1"/>
        </w:rPr>
        <w:t>Mol Ther</w:t>
      </w:r>
      <w:r w:rsidRPr="00B6332B">
        <w:rPr>
          <w:rFonts w:ascii="Book Antiqua" w:hAnsi="Book Antiqua" w:cs="Book Antiqua"/>
          <w:color w:val="000000" w:themeColor="text1"/>
        </w:rPr>
        <w:t xml:space="preserve"> 2018; </w:t>
      </w:r>
      <w:r w:rsidRPr="00B6332B">
        <w:rPr>
          <w:rFonts w:ascii="Book Antiqua" w:hAnsi="Book Antiqua" w:cs="Book Antiqua"/>
          <w:b/>
          <w:bCs/>
          <w:color w:val="000000" w:themeColor="text1"/>
        </w:rPr>
        <w:t>26</w:t>
      </w:r>
      <w:r w:rsidRPr="00B6332B">
        <w:rPr>
          <w:rFonts w:ascii="Book Antiqua" w:hAnsi="Book Antiqua" w:cs="Book Antiqua"/>
          <w:color w:val="000000" w:themeColor="text1"/>
        </w:rPr>
        <w:t>: 1287-1298 [PMID: 29606502 DOI: 10.1016/j.ymthe.2018.02.024]</w:t>
      </w:r>
    </w:p>
    <w:p w14:paraId="66237E0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94 </w:t>
      </w:r>
      <w:r w:rsidRPr="00B6332B">
        <w:rPr>
          <w:rFonts w:ascii="Book Antiqua" w:hAnsi="Book Antiqua" w:cs="Book Antiqua"/>
          <w:b/>
          <w:bCs/>
          <w:color w:val="000000" w:themeColor="text1"/>
        </w:rPr>
        <w:t>Yang XZ</w:t>
      </w:r>
      <w:r w:rsidRPr="00B6332B">
        <w:rPr>
          <w:rFonts w:ascii="Book Antiqua" w:hAnsi="Book Antiqua" w:cs="Book Antiqua"/>
          <w:color w:val="000000" w:themeColor="text1"/>
        </w:rPr>
        <w:t xml:space="preserve">, Cheng TT, He QJ, Lei ZY, Chi J, Tang Z, Liao QX, Zhang H, Zeng LS, Cui SZ. LINC01133 as ceRNA inhibits gastric cancer progression by sponging miR-106a-3p to regulate APC expression and the Wnt/β-catenin pathway. </w:t>
      </w:r>
      <w:r w:rsidRPr="00B6332B">
        <w:rPr>
          <w:rFonts w:ascii="Book Antiqua" w:hAnsi="Book Antiqua" w:cs="Book Antiqua"/>
          <w:i/>
          <w:iCs/>
          <w:color w:val="000000" w:themeColor="text1"/>
        </w:rPr>
        <w:t>Mol Cancer</w:t>
      </w:r>
      <w:r w:rsidRPr="00B6332B">
        <w:rPr>
          <w:rFonts w:ascii="Book Antiqua" w:hAnsi="Book Antiqua" w:cs="Book Antiqua"/>
          <w:color w:val="000000" w:themeColor="text1"/>
        </w:rPr>
        <w:t xml:space="preserve"> 2018; </w:t>
      </w:r>
      <w:r w:rsidRPr="00B6332B">
        <w:rPr>
          <w:rFonts w:ascii="Book Antiqua" w:hAnsi="Book Antiqua" w:cs="Book Antiqua"/>
          <w:b/>
          <w:bCs/>
          <w:color w:val="000000" w:themeColor="text1"/>
        </w:rPr>
        <w:t>17</w:t>
      </w:r>
      <w:r w:rsidRPr="00B6332B">
        <w:rPr>
          <w:rFonts w:ascii="Book Antiqua" w:hAnsi="Book Antiqua" w:cs="Book Antiqua"/>
          <w:color w:val="000000" w:themeColor="text1"/>
        </w:rPr>
        <w:t>: 126 [PMID: 30134915 DOI: 10.1186/s12943-018-0874-1]</w:t>
      </w:r>
    </w:p>
    <w:p w14:paraId="7AA674B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95 </w:t>
      </w:r>
      <w:r w:rsidRPr="00B6332B">
        <w:rPr>
          <w:rFonts w:ascii="Book Antiqua" w:hAnsi="Book Antiqua" w:cs="Book Antiqua"/>
          <w:b/>
          <w:bCs/>
          <w:color w:val="000000" w:themeColor="text1"/>
        </w:rPr>
        <w:t>Xiaobin C</w:t>
      </w:r>
      <w:r w:rsidRPr="00B6332B">
        <w:rPr>
          <w:rFonts w:ascii="Book Antiqua" w:hAnsi="Book Antiqua" w:cs="Book Antiqua"/>
          <w:color w:val="000000" w:themeColor="text1"/>
        </w:rPr>
        <w:t xml:space="preserve">, Zhaojun X, Tao L, Tianzeng D, Xuemei H, Fan Z, Chunyin H, Jianqiang H, Chen L. Analysis of Related Risk Factors and Prognostic Factors of Gastric Cancer with Bone Metastasis: A SEER-Based Study. </w:t>
      </w:r>
      <w:r w:rsidRPr="00B6332B">
        <w:rPr>
          <w:rFonts w:ascii="Book Antiqua" w:hAnsi="Book Antiqua" w:cs="Book Antiqua"/>
          <w:i/>
          <w:iCs/>
          <w:color w:val="000000" w:themeColor="text1"/>
        </w:rPr>
        <w:t>J Immunol Res</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2022</w:t>
      </w:r>
      <w:r w:rsidRPr="00B6332B">
        <w:rPr>
          <w:rFonts w:ascii="Book Antiqua" w:hAnsi="Book Antiqua" w:cs="Book Antiqua"/>
          <w:color w:val="000000" w:themeColor="text1"/>
        </w:rPr>
        <w:t>: 3251051 [PMID: 35211630 DOI: 10.1155/2022/3251051]</w:t>
      </w:r>
    </w:p>
    <w:p w14:paraId="5ED83D5C"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96 </w:t>
      </w:r>
      <w:r w:rsidRPr="00B6332B">
        <w:rPr>
          <w:rFonts w:ascii="Book Antiqua" w:hAnsi="Book Antiqua" w:cs="Book Antiqua"/>
          <w:b/>
          <w:bCs/>
          <w:color w:val="000000" w:themeColor="text1"/>
        </w:rPr>
        <w:t>Song L</w:t>
      </w:r>
      <w:r w:rsidRPr="00B6332B">
        <w:rPr>
          <w:rFonts w:ascii="Book Antiqua" w:hAnsi="Book Antiqua" w:cs="Book Antiqua"/>
          <w:color w:val="000000" w:themeColor="text1"/>
        </w:rPr>
        <w:t xml:space="preserve">, Wang S, Li Q, Lu Y, Yang R, Feng X. Identification and Validation of a m5C RNA Modification-Related Gene Signature for Predicting Prognosis and Immunotherapeutic Efficiency of Gastric Cancer. </w:t>
      </w:r>
      <w:r w:rsidRPr="00B6332B">
        <w:rPr>
          <w:rFonts w:ascii="Book Antiqua" w:hAnsi="Book Antiqua" w:cs="Book Antiqua"/>
          <w:i/>
          <w:iCs/>
          <w:color w:val="000000" w:themeColor="text1"/>
        </w:rPr>
        <w:t>J Oncol</w:t>
      </w:r>
      <w:r w:rsidRPr="00B6332B">
        <w:rPr>
          <w:rFonts w:ascii="Book Antiqua" w:hAnsi="Book Antiqua" w:cs="Book Antiqua"/>
          <w:color w:val="000000" w:themeColor="text1"/>
        </w:rPr>
        <w:t xml:space="preserve"> 2023; </w:t>
      </w:r>
      <w:r w:rsidRPr="00B6332B">
        <w:rPr>
          <w:rFonts w:ascii="Book Antiqua" w:hAnsi="Book Antiqua" w:cs="Book Antiqua"/>
          <w:b/>
          <w:bCs/>
          <w:color w:val="000000" w:themeColor="text1"/>
        </w:rPr>
        <w:t>2023</w:t>
      </w:r>
      <w:r w:rsidRPr="00B6332B">
        <w:rPr>
          <w:rFonts w:ascii="Book Antiqua" w:hAnsi="Book Antiqua" w:cs="Book Antiqua"/>
          <w:color w:val="000000" w:themeColor="text1"/>
        </w:rPr>
        <w:t>: 9931419 [PMID: 36936373 DOI: 10.1155/2023/9931419]</w:t>
      </w:r>
    </w:p>
    <w:p w14:paraId="28B6EB2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97 </w:t>
      </w:r>
      <w:r w:rsidRPr="00B6332B">
        <w:rPr>
          <w:rFonts w:ascii="Book Antiqua" w:hAnsi="Book Antiqua" w:cs="Book Antiqua"/>
          <w:b/>
          <w:bCs/>
          <w:color w:val="000000" w:themeColor="text1"/>
        </w:rPr>
        <w:t>Khan M</w:t>
      </w:r>
      <w:r w:rsidRPr="00B6332B">
        <w:rPr>
          <w:rFonts w:ascii="Book Antiqua" w:hAnsi="Book Antiqua" w:cs="Book Antiqua"/>
          <w:color w:val="000000" w:themeColor="text1"/>
        </w:rPr>
        <w:t xml:space="preserve">, Lin J, Wang B, Chen C, Huang Z, Tian Y, Yuan Y, Bu J. A novel necroptosis-related gene index for predicting prognosis and a cold tumor immune </w:t>
      </w:r>
      <w:r w:rsidRPr="00B6332B">
        <w:rPr>
          <w:rFonts w:ascii="Book Antiqua" w:hAnsi="Book Antiqua" w:cs="Book Antiqua"/>
          <w:color w:val="000000" w:themeColor="text1"/>
        </w:rPr>
        <w:lastRenderedPageBreak/>
        <w:t xml:space="preserve">microenvironment in stomach adenocarcinoma. </w:t>
      </w:r>
      <w:r w:rsidRPr="00B6332B">
        <w:rPr>
          <w:rFonts w:ascii="Book Antiqua" w:hAnsi="Book Antiqua" w:cs="Book Antiqua"/>
          <w:i/>
          <w:iCs/>
          <w:color w:val="000000" w:themeColor="text1"/>
        </w:rPr>
        <w:t>Front Immunol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13</w:t>
      </w:r>
      <w:r w:rsidRPr="00B6332B">
        <w:rPr>
          <w:rFonts w:ascii="Book Antiqua" w:hAnsi="Book Antiqua" w:cs="Book Antiqua"/>
          <w:color w:val="000000" w:themeColor="text1"/>
        </w:rPr>
        <w:t>: 968165 [PMID: 36389725 DOI: 10.3389/fimmu.2022.968165]</w:t>
      </w:r>
    </w:p>
    <w:p w14:paraId="0C6742BC"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98 </w:t>
      </w:r>
      <w:r w:rsidRPr="00B6332B">
        <w:rPr>
          <w:rFonts w:ascii="Book Antiqua" w:hAnsi="Book Antiqua" w:cs="Book Antiqua"/>
          <w:b/>
          <w:bCs/>
          <w:color w:val="000000" w:themeColor="text1"/>
        </w:rPr>
        <w:t>Huo J</w:t>
      </w:r>
      <w:r w:rsidRPr="00B6332B">
        <w:rPr>
          <w:rFonts w:ascii="Book Antiqua" w:hAnsi="Book Antiqua" w:cs="Book Antiqua"/>
          <w:color w:val="000000" w:themeColor="text1"/>
        </w:rPr>
        <w:t xml:space="preserve">, Guan G, Cai J, Wu L. Integrated analysis of 1804 samples of six centers to construct and validate a robust immune-related prognostic signature associated with stromal cell abundance in tumor microenvironment for gastric cancer. </w:t>
      </w:r>
      <w:r w:rsidRPr="00B6332B">
        <w:rPr>
          <w:rFonts w:ascii="Book Antiqua" w:hAnsi="Book Antiqua" w:cs="Book Antiqua"/>
          <w:i/>
          <w:iCs/>
          <w:color w:val="000000" w:themeColor="text1"/>
        </w:rPr>
        <w:t>World J Surg Oncol</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20</w:t>
      </w:r>
      <w:r w:rsidRPr="00B6332B">
        <w:rPr>
          <w:rFonts w:ascii="Book Antiqua" w:hAnsi="Book Antiqua" w:cs="Book Antiqua"/>
          <w:color w:val="000000" w:themeColor="text1"/>
        </w:rPr>
        <w:t>: 4 [PMID: 34983559 DOI: 10.1186/s12957-021-02485-y]</w:t>
      </w:r>
    </w:p>
    <w:p w14:paraId="7077CF6E"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99 </w:t>
      </w:r>
      <w:r w:rsidRPr="00B6332B">
        <w:rPr>
          <w:rFonts w:ascii="Book Antiqua" w:hAnsi="Book Antiqua" w:cs="Book Antiqua"/>
          <w:b/>
          <w:bCs/>
          <w:color w:val="000000" w:themeColor="text1"/>
        </w:rPr>
        <w:t>Dong R</w:t>
      </w:r>
      <w:r w:rsidRPr="00B6332B">
        <w:rPr>
          <w:rFonts w:ascii="Book Antiqua" w:hAnsi="Book Antiqua" w:cs="Book Antiqua"/>
          <w:color w:val="000000" w:themeColor="text1"/>
        </w:rPr>
        <w:t xml:space="preserve">, Chen S, Lu F, Zheng N, Peng G, Li Y, Yang P, Wen H, Qiu Q, Wang Y, Wu H, Liu M. Models for Predicting Response to Immunotherapy and Prognosis in Patients with Gastric Cancer: DNA Damage Response Genes. </w:t>
      </w:r>
      <w:r w:rsidRPr="00B6332B">
        <w:rPr>
          <w:rFonts w:ascii="Book Antiqua" w:hAnsi="Book Antiqua" w:cs="Book Antiqua"/>
          <w:i/>
          <w:iCs/>
          <w:color w:val="000000" w:themeColor="text1"/>
        </w:rPr>
        <w:t>Biomed Res Int</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2022</w:t>
      </w:r>
      <w:r w:rsidRPr="00B6332B">
        <w:rPr>
          <w:rFonts w:ascii="Book Antiqua" w:hAnsi="Book Antiqua" w:cs="Book Antiqua"/>
          <w:color w:val="000000" w:themeColor="text1"/>
        </w:rPr>
        <w:t>: 4909544 [PMID: 36578802 DOI: 10.1155/2022/4909544]</w:t>
      </w:r>
    </w:p>
    <w:p w14:paraId="3F5DA47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100 </w:t>
      </w:r>
      <w:r w:rsidRPr="00B6332B">
        <w:rPr>
          <w:rFonts w:ascii="Book Antiqua" w:hAnsi="Book Antiqua" w:cs="Book Antiqua"/>
          <w:b/>
          <w:bCs/>
          <w:color w:val="000000" w:themeColor="text1"/>
        </w:rPr>
        <w:t>Sun Q</w:t>
      </w:r>
      <w:r w:rsidRPr="00B6332B">
        <w:rPr>
          <w:rFonts w:ascii="Book Antiqua" w:hAnsi="Book Antiqua" w:cs="Book Antiqua"/>
          <w:color w:val="000000" w:themeColor="text1"/>
        </w:rPr>
        <w:t xml:space="preserve">, Guo D, Li S, Xu Y, Jiang M, Li Y, Duan H, Zhuo W, Liu W, Zhu S, Wang L, Zhou T. Combining gene expression signature with clinical features for survival stratification of gastric cancer. </w:t>
      </w:r>
      <w:r w:rsidRPr="00B6332B">
        <w:rPr>
          <w:rFonts w:ascii="Book Antiqua" w:hAnsi="Book Antiqua" w:cs="Book Antiqua"/>
          <w:i/>
          <w:iCs/>
          <w:color w:val="000000" w:themeColor="text1"/>
        </w:rPr>
        <w:t>Genomics</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113</w:t>
      </w:r>
      <w:r w:rsidRPr="00B6332B">
        <w:rPr>
          <w:rFonts w:ascii="Book Antiqua" w:hAnsi="Book Antiqua" w:cs="Book Antiqua"/>
          <w:color w:val="000000" w:themeColor="text1"/>
        </w:rPr>
        <w:t>: 2683-2694 [PMID: 34129933 DOI: 10.1016/j.ygeno.2021.06.018]</w:t>
      </w:r>
    </w:p>
    <w:p w14:paraId="067AA26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101 </w:t>
      </w:r>
      <w:r w:rsidRPr="00B6332B">
        <w:rPr>
          <w:rFonts w:ascii="Book Antiqua" w:hAnsi="Book Antiqua" w:cs="Book Antiqua"/>
          <w:b/>
          <w:bCs/>
          <w:color w:val="000000" w:themeColor="text1"/>
        </w:rPr>
        <w:t>Huo J</w:t>
      </w:r>
      <w:r w:rsidRPr="00B6332B">
        <w:rPr>
          <w:rFonts w:ascii="Book Antiqua" w:hAnsi="Book Antiqua" w:cs="Book Antiqua"/>
          <w:color w:val="000000" w:themeColor="text1"/>
        </w:rPr>
        <w:t xml:space="preserve">, Wu L, Zang Y. Construction and Validation of a Universal Applicable Prognostic Signature for Gastric Cancer Based on Seven Immune-Related Gene Correlated With Tumor Associated Macrophages. </w:t>
      </w:r>
      <w:r w:rsidRPr="00B6332B">
        <w:rPr>
          <w:rFonts w:ascii="Book Antiqua" w:hAnsi="Book Antiqua" w:cs="Book Antiqua"/>
          <w:i/>
          <w:iCs/>
          <w:color w:val="000000" w:themeColor="text1"/>
        </w:rPr>
        <w:t>Front Oncol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11</w:t>
      </w:r>
      <w:r w:rsidRPr="00B6332B">
        <w:rPr>
          <w:rFonts w:ascii="Book Antiqua" w:hAnsi="Book Antiqua" w:cs="Book Antiqua"/>
          <w:color w:val="000000" w:themeColor="text1"/>
        </w:rPr>
        <w:t>: 635324 [PMID: 34178625 DOI: 10.3389/fonc.2021.635324]</w:t>
      </w:r>
    </w:p>
    <w:p w14:paraId="29B5F07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102 </w:t>
      </w:r>
      <w:r w:rsidRPr="00B6332B">
        <w:rPr>
          <w:rFonts w:ascii="Book Antiqua" w:hAnsi="Book Antiqua" w:cs="Book Antiqua"/>
          <w:b/>
          <w:bCs/>
          <w:color w:val="000000" w:themeColor="text1"/>
        </w:rPr>
        <w:t>Guo X</w:t>
      </w:r>
      <w:r w:rsidRPr="00B6332B">
        <w:rPr>
          <w:rFonts w:ascii="Book Antiqua" w:hAnsi="Book Antiqua" w:cs="Book Antiqua"/>
          <w:color w:val="000000" w:themeColor="text1"/>
        </w:rPr>
        <w:t xml:space="preserve">, Liang X, Wang Y, Cheng A, Zhang H, Qin C, Wang Z. Significance of Tumor Mutation Burden Combined With Immune Infiltrates in the Progression and Prognosis of Advanced Gastric Cancer. </w:t>
      </w:r>
      <w:r w:rsidRPr="00B6332B">
        <w:rPr>
          <w:rFonts w:ascii="Book Antiqua" w:hAnsi="Book Antiqua" w:cs="Book Antiqua"/>
          <w:i/>
          <w:iCs/>
          <w:color w:val="000000" w:themeColor="text1"/>
        </w:rPr>
        <w:t>Front Genet</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642608 [PMID: 34306002 DOI: 10.3389/fgene.2021.642608]</w:t>
      </w:r>
    </w:p>
    <w:p w14:paraId="43D7AA6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103 </w:t>
      </w:r>
      <w:r w:rsidRPr="00B6332B">
        <w:rPr>
          <w:rFonts w:ascii="Book Antiqua" w:hAnsi="Book Antiqua" w:cs="Book Antiqua"/>
          <w:b/>
          <w:bCs/>
          <w:color w:val="000000" w:themeColor="text1"/>
        </w:rPr>
        <w:t>Hu C</w:t>
      </w:r>
      <w:r w:rsidRPr="00B6332B">
        <w:rPr>
          <w:rFonts w:ascii="Book Antiqua" w:hAnsi="Book Antiqua" w:cs="Book Antiqua"/>
          <w:color w:val="000000" w:themeColor="text1"/>
        </w:rPr>
        <w:t xml:space="preserve">, Zhou Y, Liu C, Kang Y. A novel scoring system for gastric cancer risk assessment based on the expression of three CLIP4 DNA methylation-associated genes. </w:t>
      </w:r>
      <w:r w:rsidRPr="00B6332B">
        <w:rPr>
          <w:rFonts w:ascii="Book Antiqua" w:hAnsi="Book Antiqua" w:cs="Book Antiqua"/>
          <w:i/>
          <w:iCs/>
          <w:color w:val="000000" w:themeColor="text1"/>
        </w:rPr>
        <w:t>Int J Oncol</w:t>
      </w:r>
      <w:r w:rsidRPr="00B6332B">
        <w:rPr>
          <w:rFonts w:ascii="Book Antiqua" w:hAnsi="Book Antiqua" w:cs="Book Antiqua"/>
          <w:color w:val="000000" w:themeColor="text1"/>
        </w:rPr>
        <w:t xml:space="preserve"> 2018; </w:t>
      </w:r>
      <w:r w:rsidRPr="00B6332B">
        <w:rPr>
          <w:rFonts w:ascii="Book Antiqua" w:hAnsi="Book Antiqua" w:cs="Book Antiqua"/>
          <w:b/>
          <w:bCs/>
          <w:color w:val="000000" w:themeColor="text1"/>
        </w:rPr>
        <w:t>53</w:t>
      </w:r>
      <w:r w:rsidRPr="00B6332B">
        <w:rPr>
          <w:rFonts w:ascii="Book Antiqua" w:hAnsi="Book Antiqua" w:cs="Book Antiqua"/>
          <w:color w:val="000000" w:themeColor="text1"/>
        </w:rPr>
        <w:t>: 633-643 [PMID: 29901187 DOI: 10.3892/ijo.2018.4433]</w:t>
      </w:r>
    </w:p>
    <w:p w14:paraId="43B1E83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104 </w:t>
      </w:r>
      <w:r w:rsidRPr="00B6332B">
        <w:rPr>
          <w:rFonts w:ascii="Book Antiqua" w:hAnsi="Book Antiqua" w:cs="Book Antiqua"/>
          <w:b/>
          <w:bCs/>
          <w:color w:val="000000" w:themeColor="text1"/>
        </w:rPr>
        <w:t>Huang J</w:t>
      </w:r>
      <w:r w:rsidRPr="00B6332B">
        <w:rPr>
          <w:rFonts w:ascii="Book Antiqua" w:hAnsi="Book Antiqua" w:cs="Book Antiqua"/>
          <w:color w:val="000000" w:themeColor="text1"/>
        </w:rPr>
        <w:t xml:space="preserve">, Song J, Li X, Liu S, Huang W, Shen Z, Cheng Y, Kou S, Gao Z, Tian Y, Hu J. Analysis and prognostic significance of tumour immune infiltrates and immune microenvironment of m6A-related lncRNAs in patients with gastric cancer. </w:t>
      </w:r>
      <w:r w:rsidRPr="00B6332B">
        <w:rPr>
          <w:rFonts w:ascii="Book Antiqua" w:hAnsi="Book Antiqua" w:cs="Book Antiqua"/>
          <w:i/>
          <w:iCs/>
          <w:color w:val="000000" w:themeColor="text1"/>
        </w:rPr>
        <w:t>BMC Med Genomics</w:t>
      </w:r>
      <w:r w:rsidRPr="00B6332B">
        <w:rPr>
          <w:rFonts w:ascii="Book Antiqua" w:hAnsi="Book Antiqua" w:cs="Book Antiqua"/>
          <w:color w:val="000000" w:themeColor="text1"/>
        </w:rPr>
        <w:t xml:space="preserve"> 2022; </w:t>
      </w:r>
      <w:r w:rsidRPr="00B6332B">
        <w:rPr>
          <w:rFonts w:ascii="Book Antiqua" w:hAnsi="Book Antiqua" w:cs="Book Antiqua"/>
          <w:b/>
          <w:bCs/>
          <w:color w:val="000000" w:themeColor="text1"/>
        </w:rPr>
        <w:t>15</w:t>
      </w:r>
      <w:r w:rsidRPr="00B6332B">
        <w:rPr>
          <w:rFonts w:ascii="Book Antiqua" w:hAnsi="Book Antiqua" w:cs="Book Antiqua"/>
          <w:color w:val="000000" w:themeColor="text1"/>
        </w:rPr>
        <w:t>: 164 [PMID: 35879790 DOI: 10.1186/s12920-022-01318-5]</w:t>
      </w:r>
    </w:p>
    <w:p w14:paraId="1B26974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lastRenderedPageBreak/>
        <w:t xml:space="preserve">105 </w:t>
      </w:r>
      <w:r w:rsidRPr="00B6332B">
        <w:rPr>
          <w:rFonts w:ascii="Book Antiqua" w:hAnsi="Book Antiqua" w:cs="Book Antiqua"/>
          <w:b/>
          <w:bCs/>
          <w:color w:val="000000" w:themeColor="text1"/>
        </w:rPr>
        <w:t>Zhao Y</w:t>
      </w:r>
      <w:r w:rsidRPr="00B6332B">
        <w:rPr>
          <w:rFonts w:ascii="Book Antiqua" w:hAnsi="Book Antiqua" w:cs="Book Antiqua"/>
          <w:color w:val="000000" w:themeColor="text1"/>
        </w:rPr>
        <w:t xml:space="preserve">, Hu S, Zhang J, Cai Z, Wang S, Liu M, Dai J, Gao Y. Glucoside xylosyltransferase 2 as a diagnostic and prognostic marker in gastric cancer via comprehensive analysis. </w:t>
      </w:r>
      <w:r w:rsidRPr="00B6332B">
        <w:rPr>
          <w:rFonts w:ascii="Book Antiqua" w:hAnsi="Book Antiqua" w:cs="Book Antiqua"/>
          <w:i/>
          <w:iCs/>
          <w:color w:val="000000" w:themeColor="text1"/>
        </w:rPr>
        <w:t>Bioengineered</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12</w:t>
      </w:r>
      <w:r w:rsidRPr="00B6332B">
        <w:rPr>
          <w:rFonts w:ascii="Book Antiqua" w:hAnsi="Book Antiqua" w:cs="Book Antiqua"/>
          <w:color w:val="000000" w:themeColor="text1"/>
        </w:rPr>
        <w:t>: 5641-5654 [PMID: 34506251 DOI: 10.1080/21655979.2021.1967067]</w:t>
      </w:r>
    </w:p>
    <w:p w14:paraId="3285ED4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106 </w:t>
      </w:r>
      <w:r w:rsidRPr="00B6332B">
        <w:rPr>
          <w:rFonts w:ascii="Book Antiqua" w:hAnsi="Book Antiqua" w:cs="Book Antiqua"/>
          <w:b/>
          <w:bCs/>
          <w:color w:val="000000" w:themeColor="text1"/>
        </w:rPr>
        <w:t>Cao L</w:t>
      </w:r>
      <w:r w:rsidRPr="00B6332B">
        <w:rPr>
          <w:rFonts w:ascii="Book Antiqua" w:hAnsi="Book Antiqua" w:cs="Book Antiqua"/>
          <w:color w:val="000000" w:themeColor="text1"/>
        </w:rPr>
        <w:t xml:space="preserve">, Wang S, Zhang Y, Wong KC, Nakatsu G, Wang X, Wong S, Ji J, Yu J. Zinc-finger protein 471 suppresses gastric cancer through transcriptionally repressing downstream oncogenic PLS3 and TFAP2A. </w:t>
      </w:r>
      <w:r w:rsidRPr="00B6332B">
        <w:rPr>
          <w:rFonts w:ascii="Book Antiqua" w:hAnsi="Book Antiqua" w:cs="Book Antiqua"/>
          <w:i/>
          <w:iCs/>
          <w:color w:val="000000" w:themeColor="text1"/>
        </w:rPr>
        <w:t>Oncogene</w:t>
      </w:r>
      <w:r w:rsidRPr="00B6332B">
        <w:rPr>
          <w:rFonts w:ascii="Book Antiqua" w:hAnsi="Book Antiqua" w:cs="Book Antiqua"/>
          <w:color w:val="000000" w:themeColor="text1"/>
        </w:rPr>
        <w:t xml:space="preserve"> 2018; </w:t>
      </w:r>
      <w:r w:rsidRPr="00B6332B">
        <w:rPr>
          <w:rFonts w:ascii="Book Antiqua" w:hAnsi="Book Antiqua" w:cs="Book Antiqua"/>
          <w:b/>
          <w:bCs/>
          <w:color w:val="000000" w:themeColor="text1"/>
        </w:rPr>
        <w:t>37</w:t>
      </w:r>
      <w:r w:rsidRPr="00B6332B">
        <w:rPr>
          <w:rFonts w:ascii="Book Antiqua" w:hAnsi="Book Antiqua" w:cs="Book Antiqua"/>
          <w:color w:val="000000" w:themeColor="text1"/>
        </w:rPr>
        <w:t>: 3601-3616 [PMID: 29610526 DOI: 10.1038/s41388-018-0220-5]</w:t>
      </w:r>
    </w:p>
    <w:p w14:paraId="56EBE9D9"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107 </w:t>
      </w:r>
      <w:r w:rsidRPr="00B6332B">
        <w:rPr>
          <w:rFonts w:ascii="Book Antiqua" w:hAnsi="Book Antiqua" w:cs="Book Antiqua"/>
          <w:b/>
          <w:bCs/>
          <w:color w:val="000000" w:themeColor="text1"/>
        </w:rPr>
        <w:t>Yang Y</w:t>
      </w:r>
      <w:r w:rsidRPr="00B6332B">
        <w:rPr>
          <w:rFonts w:ascii="Book Antiqua" w:hAnsi="Book Antiqua" w:cs="Book Antiqua"/>
          <w:color w:val="000000" w:themeColor="text1"/>
        </w:rPr>
        <w:t xml:space="preserve">, Shi Z, Bai R, Hu W. Heterogeneity of MSI-H gastric cancer identifies a subtype with worse survival. </w:t>
      </w:r>
      <w:r w:rsidRPr="00B6332B">
        <w:rPr>
          <w:rFonts w:ascii="Book Antiqua" w:hAnsi="Book Antiqua" w:cs="Book Antiqua"/>
          <w:i/>
          <w:iCs/>
          <w:color w:val="000000" w:themeColor="text1"/>
        </w:rPr>
        <w:t>J Med Genet</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58</w:t>
      </w:r>
      <w:r w:rsidRPr="00B6332B">
        <w:rPr>
          <w:rFonts w:ascii="Book Antiqua" w:hAnsi="Book Antiqua" w:cs="Book Antiqua"/>
          <w:color w:val="000000" w:themeColor="text1"/>
        </w:rPr>
        <w:t>: 12-19 [PMID: 32170001 DOI: 10.1136/jmedgenet-2019-106609]</w:t>
      </w:r>
    </w:p>
    <w:p w14:paraId="337700C0"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108 </w:t>
      </w:r>
      <w:r w:rsidRPr="00B6332B">
        <w:rPr>
          <w:rFonts w:ascii="Book Antiqua" w:hAnsi="Book Antiqua" w:cs="Book Antiqua"/>
          <w:b/>
          <w:bCs/>
          <w:color w:val="000000" w:themeColor="text1"/>
        </w:rPr>
        <w:t>Pietrantonio F</w:t>
      </w:r>
      <w:r w:rsidRPr="00B6332B">
        <w:rPr>
          <w:rFonts w:ascii="Book Antiqua" w:hAnsi="Book Antiqua" w:cs="Book Antiqua"/>
          <w:color w:val="000000" w:themeColor="text1"/>
        </w:rPr>
        <w:t xml:space="preserve">, Randon G, Di Bartolomeo M, Luciani A, Chao J, Smyth EC, Petrelli F. Predictive role of microsatellite instability for PD-1 blockade in patients with advanced gastric cancer: a meta-analysis of randomized clinical trials. </w:t>
      </w:r>
      <w:r w:rsidRPr="00B6332B">
        <w:rPr>
          <w:rFonts w:ascii="Book Antiqua" w:hAnsi="Book Antiqua" w:cs="Book Antiqua"/>
          <w:i/>
          <w:iCs/>
          <w:color w:val="000000" w:themeColor="text1"/>
        </w:rPr>
        <w:t>ESMO Open</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6</w:t>
      </w:r>
      <w:r w:rsidRPr="00B6332B">
        <w:rPr>
          <w:rFonts w:ascii="Book Antiqua" w:hAnsi="Book Antiqua" w:cs="Book Antiqua"/>
          <w:color w:val="000000" w:themeColor="text1"/>
        </w:rPr>
        <w:t>: 100036 [PMID: 33460964 DOI: 10.1016/j.esmoop.2020.100036]</w:t>
      </w:r>
    </w:p>
    <w:p w14:paraId="7764943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109 </w:t>
      </w:r>
      <w:r w:rsidRPr="00B6332B">
        <w:rPr>
          <w:rFonts w:ascii="Book Antiqua" w:hAnsi="Book Antiqua" w:cs="Book Antiqua"/>
          <w:b/>
          <w:bCs/>
          <w:color w:val="000000" w:themeColor="text1"/>
        </w:rPr>
        <w:t>Kwon M</w:t>
      </w:r>
      <w:r w:rsidRPr="00B6332B">
        <w:rPr>
          <w:rFonts w:ascii="Book Antiqua" w:hAnsi="Book Antiqua" w:cs="Book Antiqua"/>
          <w:color w:val="000000" w:themeColor="text1"/>
        </w:rPr>
        <w:t xml:space="preserve">, An M, Klempner SJ, Lee H, Kim KM, Sa JK, Cho HJ, Hong JY, Lee T, Min YW, Kim TJ, Min BH, Park WY, Kang WK, Kim KT, Kim ST, Lee J. Determinants of Response and Intrinsic Resistance to PD-1 Blockade in Microsatellite Instability-High Gastric Cancer. </w:t>
      </w:r>
      <w:r w:rsidRPr="00B6332B">
        <w:rPr>
          <w:rFonts w:ascii="Book Antiqua" w:hAnsi="Book Antiqua" w:cs="Book Antiqua"/>
          <w:i/>
          <w:iCs/>
          <w:color w:val="000000" w:themeColor="text1"/>
        </w:rPr>
        <w:t>Cancer Discov</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11</w:t>
      </w:r>
      <w:r w:rsidRPr="00B6332B">
        <w:rPr>
          <w:rFonts w:ascii="Book Antiqua" w:hAnsi="Book Antiqua" w:cs="Book Antiqua"/>
          <w:color w:val="000000" w:themeColor="text1"/>
        </w:rPr>
        <w:t>: 2168-2185 [PMID: 33846173 DOI: 10.1158/2159-8290.CD-21-0219]</w:t>
      </w:r>
    </w:p>
    <w:p w14:paraId="6896492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110 </w:t>
      </w:r>
      <w:r w:rsidRPr="00B6332B">
        <w:rPr>
          <w:rFonts w:ascii="Book Antiqua" w:hAnsi="Book Antiqua" w:cs="Book Antiqua"/>
          <w:b/>
          <w:bCs/>
          <w:color w:val="000000" w:themeColor="text1"/>
        </w:rPr>
        <w:t>Chao J</w:t>
      </w:r>
      <w:r w:rsidRPr="00B6332B">
        <w:rPr>
          <w:rFonts w:ascii="Book Antiqua" w:hAnsi="Book Antiqua" w:cs="Book Antiqua"/>
          <w:color w:val="000000" w:themeColor="text1"/>
        </w:rPr>
        <w:t xml:space="preserve">, Fuchs CS, Shitara K, Tabernero J, Muro K, Van Cutsem E, Bang YJ, De Vita F, Landers G, Yen CJ, Chau I, Elme A, Lee J, Özgüroglu M, Catenacci D, Yoon HH, Chen E, Adelberg D, Shih CS, Shah S, Bhagia P, Wainberg ZA. Assessment of Pembrolizumab Therapy for the Treatment of Microsatellite Instability-High Gastric or Gastroesophageal Junction Cancer Among Patients in the KEYNOTE-059, KEYNOTE-061, and KEYNOTE-062 Clinical Trials. </w:t>
      </w:r>
      <w:r w:rsidRPr="00B6332B">
        <w:rPr>
          <w:rFonts w:ascii="Book Antiqua" w:hAnsi="Book Antiqua" w:cs="Book Antiqua"/>
          <w:i/>
          <w:iCs/>
          <w:color w:val="000000" w:themeColor="text1"/>
        </w:rPr>
        <w:t>JAMA Oncol</w:t>
      </w:r>
      <w:r w:rsidRPr="00B6332B">
        <w:rPr>
          <w:rFonts w:ascii="Book Antiqua" w:hAnsi="Book Antiqua" w:cs="Book Antiqua"/>
          <w:color w:val="000000" w:themeColor="text1"/>
        </w:rPr>
        <w:t xml:space="preserve"> 2021; </w:t>
      </w:r>
      <w:r w:rsidRPr="00B6332B">
        <w:rPr>
          <w:rFonts w:ascii="Book Antiqua" w:hAnsi="Book Antiqua" w:cs="Book Antiqua"/>
          <w:b/>
          <w:bCs/>
          <w:color w:val="000000" w:themeColor="text1"/>
        </w:rPr>
        <w:t>7</w:t>
      </w:r>
      <w:r w:rsidRPr="00B6332B">
        <w:rPr>
          <w:rFonts w:ascii="Book Antiqua" w:hAnsi="Book Antiqua" w:cs="Book Antiqua"/>
          <w:color w:val="000000" w:themeColor="text1"/>
        </w:rPr>
        <w:t>: 895-902 [PMID: 33792646 DOI: 10.1001/jamaoncol.2021.0275]</w:t>
      </w:r>
    </w:p>
    <w:p w14:paraId="6882760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111 </w:t>
      </w:r>
      <w:r w:rsidRPr="00B6332B">
        <w:rPr>
          <w:rFonts w:ascii="Book Antiqua" w:hAnsi="Book Antiqua" w:cs="Book Antiqua"/>
          <w:b/>
          <w:bCs/>
          <w:color w:val="000000" w:themeColor="text1"/>
        </w:rPr>
        <w:t>Pietrantonio F</w:t>
      </w:r>
      <w:r w:rsidRPr="00B6332B">
        <w:rPr>
          <w:rFonts w:ascii="Book Antiqua" w:hAnsi="Book Antiqua" w:cs="Book Antiqua"/>
          <w:color w:val="000000" w:themeColor="text1"/>
        </w:rPr>
        <w:t xml:space="preserve">, Miceli R, Raimondi A, Kim YW, Kang WK, Langley RE, Choi YY, Kim KM, Nankivell MG, Morano F, Wotherspoon A, Valeri N, Kook MC, An JY, Grabsch HI, Fucà G, Noh SH, Sohn TS, Kim S, Di Bartolomeo M, Cunningham D, Lee J, </w:t>
      </w:r>
      <w:r w:rsidRPr="00B6332B">
        <w:rPr>
          <w:rFonts w:ascii="Book Antiqua" w:hAnsi="Book Antiqua" w:cs="Book Antiqua"/>
          <w:color w:val="000000" w:themeColor="text1"/>
        </w:rPr>
        <w:lastRenderedPageBreak/>
        <w:t xml:space="preserve">Cheong JH, Smyth EC. Individual Patient Data Meta-Analysis of the Value of Microsatellite Instability As a Biomarker in Gastric Cancer. </w:t>
      </w:r>
      <w:r w:rsidRPr="00B6332B">
        <w:rPr>
          <w:rFonts w:ascii="Book Antiqua" w:hAnsi="Book Antiqua" w:cs="Book Antiqua"/>
          <w:i/>
          <w:iCs/>
          <w:color w:val="000000" w:themeColor="text1"/>
        </w:rPr>
        <w:t>J Clin Oncol</w:t>
      </w:r>
      <w:r w:rsidRPr="00B6332B">
        <w:rPr>
          <w:rFonts w:ascii="Book Antiqua" w:hAnsi="Book Antiqua" w:cs="Book Antiqua"/>
          <w:color w:val="000000" w:themeColor="text1"/>
        </w:rPr>
        <w:t xml:space="preserve"> 2019; </w:t>
      </w:r>
      <w:r w:rsidRPr="00B6332B">
        <w:rPr>
          <w:rFonts w:ascii="Book Antiqua" w:hAnsi="Book Antiqua" w:cs="Book Antiqua"/>
          <w:b/>
          <w:bCs/>
          <w:color w:val="000000" w:themeColor="text1"/>
        </w:rPr>
        <w:t>37</w:t>
      </w:r>
      <w:r w:rsidRPr="00B6332B">
        <w:rPr>
          <w:rFonts w:ascii="Book Antiqua" w:hAnsi="Book Antiqua" w:cs="Book Antiqua"/>
          <w:color w:val="000000" w:themeColor="text1"/>
        </w:rPr>
        <w:t>: 3392-3400 [PMID: 31513484 DOI: 10.1200/JCO.19.01124]</w:t>
      </w:r>
    </w:p>
    <w:p w14:paraId="6FF7B2BA"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112 </w:t>
      </w:r>
      <w:r w:rsidRPr="00B6332B">
        <w:rPr>
          <w:rFonts w:ascii="Book Antiqua" w:hAnsi="Book Antiqua" w:cs="Book Antiqua"/>
          <w:b/>
          <w:bCs/>
          <w:color w:val="000000" w:themeColor="text1"/>
        </w:rPr>
        <w:t>Ajani JA</w:t>
      </w:r>
      <w:r w:rsidRPr="00B6332B">
        <w:rPr>
          <w:rFonts w:ascii="Book Antiqua" w:hAnsi="Book Antiqua" w:cs="Book Antiqua"/>
          <w:color w:val="000000" w:themeColor="text1"/>
        </w:rPr>
        <w:t xml:space="preserve">, Jiang Y, Faust J, Chang BB, Ho L, Yao JC, Rousey S, Dakhil S, Cherny RC, Craig C, Bleyer A. A multi-center phase II study of sequential paclitaxel and bryostatin-1 (NSC 339555) in patients with untreated, advanced gastric or gastroesophageal junction adenocarcinoma. </w:t>
      </w:r>
      <w:r w:rsidRPr="00B6332B">
        <w:rPr>
          <w:rFonts w:ascii="Book Antiqua" w:hAnsi="Book Antiqua" w:cs="Book Antiqua"/>
          <w:i/>
          <w:iCs/>
          <w:color w:val="000000" w:themeColor="text1"/>
        </w:rPr>
        <w:t>Invest New Drugs</w:t>
      </w:r>
      <w:r w:rsidRPr="00B6332B">
        <w:rPr>
          <w:rFonts w:ascii="Book Antiqua" w:hAnsi="Book Antiqua" w:cs="Book Antiqua"/>
          <w:color w:val="000000" w:themeColor="text1"/>
        </w:rPr>
        <w:t xml:space="preserve"> 2006; </w:t>
      </w:r>
      <w:r w:rsidRPr="00B6332B">
        <w:rPr>
          <w:rFonts w:ascii="Book Antiqua" w:hAnsi="Book Antiqua" w:cs="Book Antiqua"/>
          <w:b/>
          <w:bCs/>
          <w:color w:val="000000" w:themeColor="text1"/>
        </w:rPr>
        <w:t>24</w:t>
      </w:r>
      <w:r w:rsidRPr="00B6332B">
        <w:rPr>
          <w:rFonts w:ascii="Book Antiqua" w:hAnsi="Book Antiqua" w:cs="Book Antiqua"/>
          <w:color w:val="000000" w:themeColor="text1"/>
        </w:rPr>
        <w:t>: 353-357 [PMID: 16683077 DOI: 10.1007/s10637-006-6452-1]</w:t>
      </w:r>
    </w:p>
    <w:p w14:paraId="0C9079E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color w:val="000000" w:themeColor="text1"/>
        </w:rPr>
        <w:t xml:space="preserve">113 </w:t>
      </w:r>
      <w:r w:rsidRPr="00B6332B">
        <w:rPr>
          <w:rFonts w:ascii="Book Antiqua" w:hAnsi="Book Antiqua" w:cs="Book Antiqua"/>
          <w:b/>
          <w:bCs/>
          <w:color w:val="000000" w:themeColor="text1"/>
        </w:rPr>
        <w:t>Tseng LL</w:t>
      </w:r>
      <w:r w:rsidRPr="00B6332B">
        <w:rPr>
          <w:rFonts w:ascii="Book Antiqua" w:hAnsi="Book Antiqua" w:cs="Book Antiqua"/>
          <w:color w:val="000000" w:themeColor="text1"/>
        </w:rPr>
        <w:t xml:space="preserve">, Cheng HH, Yeh TS, Huang SC, Syu YY, Chuu CP, Yuh CH, Kung HJ, Wang WC. Targeting the histone demethylase PHF8-mediated PKCα-Src-PTEN axis in HER2-negative gastric cancer. </w:t>
      </w:r>
      <w:r w:rsidRPr="00B6332B">
        <w:rPr>
          <w:rFonts w:ascii="Book Antiqua" w:hAnsi="Book Antiqua" w:cs="Book Antiqua"/>
          <w:i/>
          <w:iCs/>
          <w:color w:val="000000" w:themeColor="text1"/>
        </w:rPr>
        <w:t>Proc Natl Acad Sci U S A</w:t>
      </w:r>
      <w:r w:rsidRPr="00B6332B">
        <w:rPr>
          <w:rFonts w:ascii="Book Antiqua" w:hAnsi="Book Antiqua" w:cs="Book Antiqua"/>
          <w:color w:val="000000" w:themeColor="text1"/>
        </w:rPr>
        <w:t xml:space="preserve"> 2020; </w:t>
      </w:r>
      <w:r w:rsidRPr="00B6332B">
        <w:rPr>
          <w:rFonts w:ascii="Book Antiqua" w:hAnsi="Book Antiqua" w:cs="Book Antiqua"/>
          <w:b/>
          <w:bCs/>
          <w:color w:val="000000" w:themeColor="text1"/>
        </w:rPr>
        <w:t>117</w:t>
      </w:r>
      <w:r w:rsidRPr="00B6332B">
        <w:rPr>
          <w:rFonts w:ascii="Book Antiqua" w:hAnsi="Book Antiqua" w:cs="Book Antiqua"/>
          <w:color w:val="000000" w:themeColor="text1"/>
        </w:rPr>
        <w:t>: 24859-24866 [PMID: 32958674 DOI: 10.1073/pnas.1919766117]</w:t>
      </w:r>
    </w:p>
    <w:p w14:paraId="1DA0DE19"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3F751663"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09E89B60"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3B9D6953"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20DE5884"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0CF67EBF"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6769211A"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4727D9BB"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5ED8BB5D"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3B98D639"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715F10B6"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6711054F"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130596D2"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5877B813"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03DD9D2D"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67E38CE1"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1FA08329"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6BD47330"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5053FA96"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40C139F6"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4FD97AAB"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6543C5F7"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740E7862"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6A2D37C4" w14:textId="77777777" w:rsidR="00E724E0" w:rsidRPr="00B6332B" w:rsidRDefault="00E724E0">
      <w:pPr>
        <w:adjustRightInd w:val="0"/>
        <w:snapToGrid w:val="0"/>
        <w:spacing w:line="360" w:lineRule="auto"/>
        <w:jc w:val="both"/>
        <w:rPr>
          <w:rFonts w:ascii="Book Antiqua" w:eastAsia="Book Antiqua" w:hAnsi="Book Antiqua" w:cs="Book Antiqua"/>
          <w:b/>
          <w:color w:val="000000" w:themeColor="text1"/>
        </w:rPr>
      </w:pPr>
    </w:p>
    <w:p w14:paraId="63C15742" w14:textId="77777777" w:rsidR="00E724E0" w:rsidRPr="00B6332B" w:rsidRDefault="00000000">
      <w:pPr>
        <w:adjustRightInd w:val="0"/>
        <w:snapToGrid w:val="0"/>
        <w:spacing w:line="360" w:lineRule="auto"/>
        <w:jc w:val="both"/>
        <w:rPr>
          <w:rFonts w:ascii="Book Antiqua" w:eastAsia="Book Antiqua" w:hAnsi="Book Antiqua" w:cs="Book Antiqua"/>
          <w:color w:val="000000" w:themeColor="text1"/>
        </w:rPr>
      </w:pPr>
      <w:r w:rsidRPr="00B6332B">
        <w:rPr>
          <w:rFonts w:ascii="Book Antiqua" w:eastAsia="Book Antiqua" w:hAnsi="Book Antiqua" w:cs="Book Antiqua"/>
          <w:b/>
          <w:color w:val="000000" w:themeColor="text1"/>
        </w:rPr>
        <w:t>Footnotes</w:t>
      </w:r>
    </w:p>
    <w:p w14:paraId="0B3D5EE3" w14:textId="77777777" w:rsidR="00E724E0" w:rsidRPr="00B6332B" w:rsidRDefault="00000000">
      <w:pPr>
        <w:adjustRightInd w:val="0"/>
        <w:snapToGrid w:val="0"/>
        <w:spacing w:line="360" w:lineRule="auto"/>
        <w:jc w:val="both"/>
        <w:rPr>
          <w:rFonts w:ascii="Book Antiqua" w:eastAsia="Book Antiqua" w:hAnsi="Book Antiqua" w:cs="Book Antiqua"/>
          <w:color w:val="000000" w:themeColor="text1"/>
        </w:rPr>
      </w:pPr>
      <w:r w:rsidRPr="00B6332B">
        <w:rPr>
          <w:rFonts w:ascii="Book Antiqua" w:hAnsi="Book Antiqua"/>
          <w:b/>
          <w:color w:val="000000" w:themeColor="text1"/>
          <w:lang w:val="hu-HU"/>
        </w:rPr>
        <w:t>Institutional review board statement:</w:t>
      </w:r>
      <w:r w:rsidRPr="00B6332B">
        <w:rPr>
          <w:rFonts w:ascii="Book Antiqua" w:hAnsi="Book Antiqua"/>
          <w:color w:val="000000" w:themeColor="text1"/>
          <w:lang w:val="hu-HU"/>
        </w:rPr>
        <w:t xml:space="preserve"> </w:t>
      </w:r>
      <w:r w:rsidRPr="00B6332B">
        <w:rPr>
          <w:rFonts w:ascii="Book Antiqua" w:eastAsia="Book Antiqua" w:hAnsi="Book Antiqua" w:cs="Book Antiqua"/>
          <w:color w:val="000000" w:themeColor="text1"/>
        </w:rPr>
        <w:t xml:space="preserve">The data supporting the results of this study are available from </w:t>
      </w:r>
      <w:r w:rsidRPr="00B6332B">
        <w:rPr>
          <w:rFonts w:ascii="Book Antiqua" w:hAnsi="Book Antiqua" w:cs="Book Antiqua"/>
          <w:color w:val="000000" w:themeColor="text1"/>
        </w:rPr>
        <w:t>Gene Expression Omnibus</w:t>
      </w:r>
      <w:r w:rsidRPr="00B6332B">
        <w:rPr>
          <w:rFonts w:ascii="Book Antiqua" w:eastAsia="Book Antiqua" w:hAnsi="Book Antiqua" w:cs="Book Antiqua"/>
          <w:color w:val="000000" w:themeColor="text1"/>
        </w:rPr>
        <w:t xml:space="preserve"> database (GSE84433andGSE26253) and the expression data, clinical data, mutation</w:t>
      </w:r>
      <w:r w:rsidRPr="00B6332B">
        <w:rPr>
          <w:rFonts w:ascii="Book Antiqua" w:eastAsia="宋体" w:hAnsi="Book Antiqua" w:cs="Book Antiqua" w:hint="eastAsia"/>
          <w:color w:val="000000" w:themeColor="text1"/>
          <w:lang w:eastAsia="zh-CN"/>
        </w:rPr>
        <w:t xml:space="preserve"> </w:t>
      </w:r>
      <w:r w:rsidRPr="00B6332B">
        <w:rPr>
          <w:rFonts w:ascii="Book Antiqua" w:eastAsia="Book Antiqua" w:hAnsi="Book Antiqua" w:cs="Book Antiqua"/>
          <w:color w:val="000000" w:themeColor="text1"/>
        </w:rPr>
        <w:t xml:space="preserve">data, and copy data related to </w:t>
      </w:r>
      <w:r w:rsidRPr="00B6332B">
        <w:rPr>
          <w:rFonts w:ascii="Book Antiqua" w:eastAsia="宋体" w:hAnsi="Book Antiqua" w:cs="Book Antiqua" w:hint="eastAsia"/>
          <w:color w:val="000000" w:themeColor="text1"/>
          <w:lang w:eastAsia="zh-CN"/>
        </w:rPr>
        <w:t>g</w:t>
      </w:r>
      <w:r w:rsidRPr="00B6332B">
        <w:rPr>
          <w:rFonts w:ascii="Book Antiqua" w:eastAsia="Book Antiqua" w:hAnsi="Book Antiqua" w:cs="Book Antiqua"/>
          <w:color w:val="000000" w:themeColor="text1"/>
        </w:rPr>
        <w:t>astric cancer from The Cancer Genome Atlas database.</w:t>
      </w:r>
    </w:p>
    <w:p w14:paraId="4C6DF11F" w14:textId="77777777" w:rsidR="00E724E0" w:rsidRPr="00B6332B" w:rsidRDefault="00E724E0">
      <w:pPr>
        <w:adjustRightInd w:val="0"/>
        <w:snapToGrid w:val="0"/>
        <w:spacing w:line="360" w:lineRule="auto"/>
        <w:jc w:val="both"/>
        <w:rPr>
          <w:rFonts w:ascii="Book Antiqua" w:eastAsia="Book Antiqua" w:hAnsi="Book Antiqua" w:cs="Book Antiqua"/>
          <w:b/>
          <w:bCs/>
          <w:color w:val="000000" w:themeColor="text1"/>
        </w:rPr>
      </w:pPr>
    </w:p>
    <w:p w14:paraId="30C8171E" w14:textId="77777777" w:rsidR="00E724E0" w:rsidRPr="00B6332B" w:rsidRDefault="00000000">
      <w:pPr>
        <w:adjustRightInd w:val="0"/>
        <w:snapToGrid w:val="0"/>
        <w:spacing w:line="360" w:lineRule="auto"/>
        <w:jc w:val="both"/>
        <w:rPr>
          <w:rFonts w:ascii="Book Antiqua" w:eastAsia="Book Antiqua" w:hAnsi="Book Antiqua" w:cs="Book Antiqua"/>
          <w:color w:val="000000" w:themeColor="text1"/>
        </w:rPr>
      </w:pPr>
      <w:r w:rsidRPr="00B6332B">
        <w:rPr>
          <w:rFonts w:ascii="Book Antiqua" w:eastAsia="Book Antiqua" w:hAnsi="Book Antiqua" w:cs="Book Antiqua"/>
          <w:b/>
          <w:bCs/>
          <w:color w:val="000000" w:themeColor="text1"/>
        </w:rPr>
        <w:t xml:space="preserve">Conflict-of-interest statement: </w:t>
      </w:r>
      <w:r w:rsidRPr="00B6332B">
        <w:rPr>
          <w:rFonts w:ascii="Book Antiqua" w:eastAsia="Book Antiqua" w:hAnsi="Book Antiqua" w:cs="Book Antiqua"/>
          <w:color w:val="000000" w:themeColor="text1"/>
        </w:rPr>
        <w:t>The authors deny any conflict of interest.</w:t>
      </w:r>
    </w:p>
    <w:p w14:paraId="072BA01C" w14:textId="77777777" w:rsidR="00E724E0" w:rsidRPr="00B6332B" w:rsidRDefault="00E724E0">
      <w:pPr>
        <w:adjustRightInd w:val="0"/>
        <w:snapToGrid w:val="0"/>
        <w:spacing w:line="360" w:lineRule="auto"/>
        <w:jc w:val="both"/>
        <w:rPr>
          <w:rFonts w:ascii="Book Antiqua" w:eastAsia="Book Antiqua" w:hAnsi="Book Antiqua" w:cs="Book Antiqua"/>
          <w:color w:val="000000" w:themeColor="text1"/>
        </w:rPr>
      </w:pPr>
    </w:p>
    <w:p w14:paraId="2FAA0D37" w14:textId="77777777" w:rsidR="00E724E0" w:rsidRPr="00B6332B" w:rsidRDefault="00000000">
      <w:pPr>
        <w:adjustRightInd w:val="0"/>
        <w:snapToGrid w:val="0"/>
        <w:spacing w:line="360" w:lineRule="auto"/>
        <w:jc w:val="both"/>
        <w:rPr>
          <w:rFonts w:ascii="Book Antiqua" w:eastAsia="Book Antiqua" w:hAnsi="Book Antiqua" w:cs="Book Antiqua"/>
          <w:b/>
          <w:bCs/>
          <w:color w:val="000000" w:themeColor="text1"/>
        </w:rPr>
      </w:pPr>
      <w:r w:rsidRPr="00B6332B">
        <w:rPr>
          <w:rFonts w:ascii="Book Antiqua" w:eastAsia="Book Antiqua" w:hAnsi="Book Antiqua" w:cs="Book Antiqua"/>
          <w:b/>
          <w:bCs/>
          <w:color w:val="000000" w:themeColor="text1"/>
        </w:rPr>
        <w:t xml:space="preserve">Data sharing statement: </w:t>
      </w:r>
      <w:r w:rsidRPr="00B6332B">
        <w:rPr>
          <w:rFonts w:ascii="Book Antiqua" w:hAnsi="Book Antiqua" w:cstheme="minorHAnsi"/>
          <w:color w:val="000000" w:themeColor="text1"/>
        </w:rPr>
        <w:t>No additional data are available.</w:t>
      </w:r>
    </w:p>
    <w:p w14:paraId="29C9D5EB" w14:textId="77777777" w:rsidR="00E724E0" w:rsidRPr="00B6332B" w:rsidRDefault="00E724E0">
      <w:pPr>
        <w:adjustRightInd w:val="0"/>
        <w:snapToGrid w:val="0"/>
        <w:spacing w:line="360" w:lineRule="auto"/>
        <w:jc w:val="both"/>
        <w:rPr>
          <w:rFonts w:ascii="Book Antiqua" w:eastAsia="Book Antiqua" w:hAnsi="Book Antiqua" w:cs="Book Antiqua"/>
          <w:b/>
          <w:bCs/>
          <w:color w:val="000000" w:themeColor="text1"/>
        </w:rPr>
      </w:pPr>
    </w:p>
    <w:p w14:paraId="3F20512B"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bCs/>
          <w:color w:val="000000" w:themeColor="text1"/>
        </w:rPr>
        <w:t xml:space="preserve">Open-Access: </w:t>
      </w:r>
      <w:r w:rsidRPr="00B6332B">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D6AC52"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79DAD7E" w14:textId="77777777" w:rsidR="00E724E0" w:rsidRPr="00B6332B" w:rsidRDefault="00000000">
      <w:pPr>
        <w:adjustRightInd w:val="0"/>
        <w:snapToGrid w:val="0"/>
        <w:spacing w:line="360" w:lineRule="auto"/>
        <w:jc w:val="both"/>
        <w:rPr>
          <w:rFonts w:ascii="Book Antiqua" w:eastAsia="Book Antiqua" w:hAnsi="Book Antiqua" w:cs="Book Antiqua"/>
          <w:color w:val="000000" w:themeColor="text1"/>
        </w:rPr>
      </w:pPr>
      <w:r w:rsidRPr="00B6332B">
        <w:rPr>
          <w:rFonts w:ascii="Book Antiqua" w:eastAsia="Book Antiqua" w:hAnsi="Book Antiqua" w:cs="Book Antiqua"/>
          <w:b/>
          <w:color w:val="000000" w:themeColor="text1"/>
        </w:rPr>
        <w:t xml:space="preserve">Provenance and peer review: </w:t>
      </w:r>
      <w:r w:rsidRPr="00B6332B">
        <w:rPr>
          <w:rFonts w:ascii="Book Antiqua" w:eastAsia="Book Antiqua" w:hAnsi="Book Antiqua" w:cs="Book Antiqua"/>
          <w:color w:val="000000" w:themeColor="text1"/>
        </w:rPr>
        <w:t>Unsolicited article; Externally peer reviewed.</w:t>
      </w:r>
    </w:p>
    <w:p w14:paraId="67157D3C" w14:textId="77777777" w:rsidR="00E724E0" w:rsidRPr="00B6332B" w:rsidRDefault="00E724E0">
      <w:pPr>
        <w:adjustRightInd w:val="0"/>
        <w:snapToGrid w:val="0"/>
        <w:spacing w:line="360" w:lineRule="auto"/>
        <w:jc w:val="both"/>
        <w:rPr>
          <w:rFonts w:ascii="Book Antiqua" w:eastAsia="Book Antiqua" w:hAnsi="Book Antiqua" w:cs="Book Antiqua"/>
          <w:color w:val="000000" w:themeColor="text1"/>
        </w:rPr>
      </w:pPr>
    </w:p>
    <w:p w14:paraId="3E72450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t xml:space="preserve">Peer-review model: </w:t>
      </w:r>
      <w:r w:rsidRPr="00B6332B">
        <w:rPr>
          <w:rFonts w:ascii="Book Antiqua" w:eastAsia="Book Antiqua" w:hAnsi="Book Antiqua" w:cs="Book Antiqua"/>
          <w:color w:val="000000" w:themeColor="text1"/>
        </w:rPr>
        <w:t>Single blind</w:t>
      </w:r>
    </w:p>
    <w:p w14:paraId="40D01742"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0A190B6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t xml:space="preserve">Peer-review started: </w:t>
      </w:r>
      <w:r w:rsidRPr="00B6332B">
        <w:rPr>
          <w:rFonts w:ascii="Book Antiqua" w:eastAsia="Book Antiqua" w:hAnsi="Book Antiqua" w:cs="Book Antiqua"/>
          <w:color w:val="000000" w:themeColor="text1"/>
        </w:rPr>
        <w:t>July 30, 2023</w:t>
      </w:r>
    </w:p>
    <w:p w14:paraId="7DD752BE"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t xml:space="preserve">First decision: </w:t>
      </w:r>
      <w:r w:rsidRPr="00B6332B">
        <w:rPr>
          <w:rFonts w:ascii="Book Antiqua" w:eastAsia="Book Antiqua" w:hAnsi="Book Antiqua" w:cs="Book Antiqua"/>
          <w:color w:val="000000" w:themeColor="text1"/>
        </w:rPr>
        <w:t>August 24, 2023</w:t>
      </w:r>
    </w:p>
    <w:p w14:paraId="488E4B8B" w14:textId="1816EE33"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lastRenderedPageBreak/>
        <w:t xml:space="preserve">Article in press: </w:t>
      </w:r>
      <w:r w:rsidR="00BE179A" w:rsidRPr="00B6332B">
        <w:rPr>
          <w:rFonts w:ascii="Book Antiqua" w:eastAsia="Book Antiqua" w:hAnsi="Book Antiqua" w:cs="Book Antiqua"/>
          <w:color w:val="000000" w:themeColor="text1"/>
        </w:rPr>
        <w:t>September 18, 2023</w:t>
      </w:r>
    </w:p>
    <w:p w14:paraId="15F4EB64"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FF7114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t xml:space="preserve">Specialty type: </w:t>
      </w:r>
      <w:r w:rsidRPr="00B6332B">
        <w:rPr>
          <w:rFonts w:ascii="Book Antiqua" w:eastAsia="Book Antiqua" w:hAnsi="Book Antiqua" w:cs="Book Antiqua"/>
          <w:color w:val="000000" w:themeColor="text1"/>
        </w:rPr>
        <w:t>Oncology</w:t>
      </w:r>
    </w:p>
    <w:p w14:paraId="745EA23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t xml:space="preserve">Country/Territory of origin: </w:t>
      </w:r>
      <w:r w:rsidRPr="00B6332B">
        <w:rPr>
          <w:rFonts w:ascii="Book Antiqua" w:eastAsia="Book Antiqua" w:hAnsi="Book Antiqua" w:cs="Book Antiqua"/>
          <w:color w:val="000000" w:themeColor="text1"/>
        </w:rPr>
        <w:t>China</w:t>
      </w:r>
    </w:p>
    <w:p w14:paraId="6D82E915"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b/>
          <w:color w:val="000000" w:themeColor="text1"/>
        </w:rPr>
        <w:t>Peer-review report’s scientific quality classification</w:t>
      </w:r>
    </w:p>
    <w:p w14:paraId="5234AC42"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Grade A (Excellent): 0</w:t>
      </w:r>
    </w:p>
    <w:p w14:paraId="49C153E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Grade B (Very good): B, B</w:t>
      </w:r>
    </w:p>
    <w:p w14:paraId="18BC2B98"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Grade C (Good): 0</w:t>
      </w:r>
    </w:p>
    <w:p w14:paraId="05E130ED"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Grade D (Fair): 0</w:t>
      </w:r>
    </w:p>
    <w:p w14:paraId="2B1EAB3F"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eastAsia="Book Antiqua" w:hAnsi="Book Antiqua" w:cs="Book Antiqua"/>
          <w:color w:val="000000" w:themeColor="text1"/>
        </w:rPr>
        <w:t>Grade E (Poor): 0</w:t>
      </w:r>
    </w:p>
    <w:p w14:paraId="529C5DBD"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3C4EAEF" w14:textId="61D734F1" w:rsidR="00E724E0" w:rsidRPr="00B6332B" w:rsidRDefault="00000000">
      <w:pPr>
        <w:adjustRightInd w:val="0"/>
        <w:snapToGrid w:val="0"/>
        <w:spacing w:line="360" w:lineRule="auto"/>
        <w:jc w:val="both"/>
        <w:rPr>
          <w:rFonts w:ascii="Book Antiqua" w:eastAsia="Book Antiqua" w:hAnsi="Book Antiqua" w:cs="Book Antiqua"/>
          <w:bCs/>
          <w:color w:val="000000" w:themeColor="text1"/>
        </w:rPr>
      </w:pPr>
      <w:r w:rsidRPr="00B6332B">
        <w:rPr>
          <w:rFonts w:ascii="Book Antiqua" w:eastAsia="Book Antiqua" w:hAnsi="Book Antiqua" w:cs="Book Antiqua"/>
          <w:b/>
          <w:color w:val="000000" w:themeColor="text1"/>
        </w:rPr>
        <w:t xml:space="preserve">P-Reviewer: </w:t>
      </w:r>
      <w:r w:rsidRPr="00B6332B">
        <w:rPr>
          <w:rFonts w:ascii="Book Antiqua" w:eastAsia="Book Antiqua" w:hAnsi="Book Antiqua" w:cs="Book Antiqua"/>
          <w:color w:val="000000" w:themeColor="text1"/>
        </w:rPr>
        <w:t>Ozturk E, Turkey; Rhoden CRB, Brazil</w:t>
      </w:r>
      <w:r w:rsidRPr="00B6332B">
        <w:rPr>
          <w:rFonts w:ascii="Book Antiqua" w:eastAsia="Book Antiqua" w:hAnsi="Book Antiqua" w:cs="Book Antiqua"/>
          <w:b/>
          <w:color w:val="000000" w:themeColor="text1"/>
        </w:rPr>
        <w:t xml:space="preserve"> S-Editor: </w:t>
      </w:r>
      <w:r w:rsidRPr="00B6332B">
        <w:rPr>
          <w:rFonts w:ascii="Book Antiqua" w:eastAsia="Book Antiqua" w:hAnsi="Book Antiqua" w:cs="Book Antiqua"/>
          <w:bCs/>
          <w:color w:val="000000" w:themeColor="text1"/>
        </w:rPr>
        <w:t>Qu XL</w:t>
      </w:r>
      <w:r w:rsidRPr="00B6332B">
        <w:rPr>
          <w:rFonts w:ascii="Book Antiqua" w:eastAsia="Book Antiqua" w:hAnsi="Book Antiqua" w:cs="Book Antiqua"/>
          <w:b/>
          <w:color w:val="000000" w:themeColor="text1"/>
        </w:rPr>
        <w:t xml:space="preserve"> L-Editor: </w:t>
      </w:r>
      <w:r w:rsidR="00BE179A" w:rsidRPr="00B6332B">
        <w:rPr>
          <w:rFonts w:ascii="Book Antiqua" w:eastAsia="Book Antiqua" w:hAnsi="Book Antiqua" w:cs="Book Antiqua" w:hint="eastAsia"/>
          <w:bCs/>
          <w:color w:val="000000" w:themeColor="text1"/>
          <w:lang w:eastAsia="zh-CN"/>
        </w:rPr>
        <w:t>A</w:t>
      </w:r>
      <w:r w:rsidRPr="00B6332B">
        <w:rPr>
          <w:rFonts w:ascii="Book Antiqua" w:eastAsia="Book Antiqua" w:hAnsi="Book Antiqua" w:cs="Book Antiqua"/>
          <w:b/>
          <w:color w:val="000000" w:themeColor="text1"/>
        </w:rPr>
        <w:t xml:space="preserve"> </w:t>
      </w:r>
      <w:r w:rsidRPr="00B6332B">
        <w:rPr>
          <w:rFonts w:ascii="Book Antiqua" w:eastAsia="Book Antiqua" w:hAnsi="Book Antiqua" w:cs="Book Antiqua" w:hint="eastAsia"/>
          <w:b/>
          <w:color w:val="000000" w:themeColor="text1"/>
          <w:lang w:eastAsia="zh-CN"/>
        </w:rPr>
        <w:t>P</w:t>
      </w:r>
      <w:r w:rsidRPr="00B6332B">
        <w:rPr>
          <w:rFonts w:ascii="Book Antiqua" w:eastAsia="Book Antiqua" w:hAnsi="Book Antiqua" w:cs="Book Antiqua"/>
          <w:b/>
          <w:color w:val="000000" w:themeColor="text1"/>
        </w:rPr>
        <w:t xml:space="preserve">-Editor: </w:t>
      </w:r>
      <w:r w:rsidR="00BE179A" w:rsidRPr="00B6332B">
        <w:rPr>
          <w:rFonts w:ascii="Book Antiqua" w:eastAsia="Book Antiqua" w:hAnsi="Book Antiqua" w:cs="Book Antiqua" w:hint="eastAsia"/>
          <w:bCs/>
          <w:color w:val="000000" w:themeColor="text1"/>
          <w:lang w:eastAsia="zh-CN"/>
        </w:rPr>
        <w:t>Zhang</w:t>
      </w:r>
      <w:r w:rsidR="00BE179A" w:rsidRPr="00B6332B">
        <w:rPr>
          <w:rFonts w:ascii="Book Antiqua" w:eastAsia="Book Antiqua" w:hAnsi="Book Antiqua" w:cs="Book Antiqua"/>
          <w:bCs/>
          <w:color w:val="000000" w:themeColor="text1"/>
          <w:lang w:eastAsia="zh-CN"/>
        </w:rPr>
        <w:t xml:space="preserve"> </w:t>
      </w:r>
      <w:r w:rsidR="00BE179A" w:rsidRPr="00B6332B">
        <w:rPr>
          <w:rFonts w:ascii="Book Antiqua" w:eastAsia="Book Antiqua" w:hAnsi="Book Antiqua" w:cs="Book Antiqua" w:hint="eastAsia"/>
          <w:bCs/>
          <w:color w:val="000000" w:themeColor="text1"/>
          <w:lang w:eastAsia="zh-CN"/>
        </w:rPr>
        <w:t>XD</w:t>
      </w:r>
    </w:p>
    <w:p w14:paraId="4475B368" w14:textId="77777777" w:rsidR="00E724E0" w:rsidRPr="00B6332B" w:rsidRDefault="00000000">
      <w:pPr>
        <w:adjustRightInd w:val="0"/>
        <w:snapToGrid w:val="0"/>
        <w:spacing w:line="360" w:lineRule="auto"/>
        <w:jc w:val="both"/>
        <w:rPr>
          <w:color w:val="000000" w:themeColor="text1"/>
        </w:rPr>
      </w:pPr>
      <w:r w:rsidRPr="00B6332B">
        <w:rPr>
          <w:rFonts w:ascii="Book Antiqua" w:eastAsia="Book Antiqua" w:hAnsi="Book Antiqua" w:cs="Book Antiqua"/>
          <w:b/>
          <w:color w:val="000000" w:themeColor="text1"/>
        </w:rPr>
        <w:br w:type="page"/>
      </w:r>
      <w:r w:rsidRPr="00B6332B">
        <w:rPr>
          <w:rFonts w:ascii="Book Antiqua" w:hAnsi="Book Antiqua"/>
          <w:b/>
          <w:color w:val="000000" w:themeColor="text1"/>
        </w:rPr>
        <w:lastRenderedPageBreak/>
        <w:t>Figure Legends</w:t>
      </w:r>
    </w:p>
    <w:p w14:paraId="72707BCA" w14:textId="206F2D42" w:rsidR="00E724E0" w:rsidRPr="00B6332B" w:rsidRDefault="002B2DCF">
      <w:pPr>
        <w:adjustRightInd w:val="0"/>
        <w:snapToGrid w:val="0"/>
        <w:spacing w:line="360" w:lineRule="auto"/>
        <w:jc w:val="both"/>
        <w:rPr>
          <w:color w:val="000000" w:themeColor="text1"/>
        </w:rPr>
      </w:pPr>
      <w:r w:rsidRPr="00B6332B">
        <w:rPr>
          <w:noProof/>
          <w:color w:val="000000" w:themeColor="text1"/>
        </w:rPr>
        <w:lastRenderedPageBreak/>
        <w:drawing>
          <wp:inline distT="0" distB="0" distL="0" distR="0" wp14:anchorId="6427FC24" wp14:editId="4F08384C">
            <wp:extent cx="5943600" cy="8041640"/>
            <wp:effectExtent l="0" t="0" r="0" b="0"/>
            <wp:docPr id="875873760" name="图片 1" descr="图形用户界面, 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73760" name="图片 1" descr="图形用户界面, 图表&#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041640"/>
                    </a:xfrm>
                    <a:prstGeom prst="rect">
                      <a:avLst/>
                    </a:prstGeom>
                  </pic:spPr>
                </pic:pic>
              </a:graphicData>
            </a:graphic>
          </wp:inline>
        </w:drawing>
      </w:r>
    </w:p>
    <w:p w14:paraId="6049DA82" w14:textId="77777777" w:rsidR="00E724E0" w:rsidRPr="00B6332B" w:rsidRDefault="00000000">
      <w:pPr>
        <w:adjustRightInd w:val="0"/>
        <w:snapToGrid w:val="0"/>
        <w:spacing w:line="360" w:lineRule="auto"/>
        <w:jc w:val="both"/>
        <w:rPr>
          <w:rFonts w:ascii="Book Antiqua" w:eastAsia="宋体" w:hAnsi="Book Antiqua" w:cs="Book Antiqua"/>
          <w:color w:val="000000" w:themeColor="text1"/>
          <w:lang w:eastAsia="zh-CN"/>
        </w:rPr>
      </w:pPr>
      <w:r w:rsidRPr="00B6332B">
        <w:rPr>
          <w:rFonts w:ascii="Book Antiqua" w:hAnsi="Book Antiqua" w:cs="Book Antiqua"/>
          <w:b/>
          <w:bCs/>
          <w:color w:val="000000" w:themeColor="text1"/>
        </w:rPr>
        <w:lastRenderedPageBreak/>
        <w:t>Figure 1 The results of the differential expression analysis of disulfidptosis related genes in gastric cancer and adjacent normal tissues are presented.</w:t>
      </w:r>
      <w:r w:rsidRPr="00B6332B">
        <w:rPr>
          <w:rFonts w:ascii="Book Antiqua" w:hAnsi="Book Antiqua" w:cs="Book Antiqua"/>
          <w:color w:val="000000" w:themeColor="text1"/>
        </w:rPr>
        <w:t xml:space="preserve"> A: </w:t>
      </w:r>
      <w:r w:rsidRPr="00B6332B">
        <w:rPr>
          <w:rFonts w:ascii="Book Antiqua" w:eastAsia="宋体" w:hAnsi="Book Antiqua" w:cs="Book Antiqua" w:hint="eastAsia"/>
          <w:color w:val="000000" w:themeColor="text1"/>
          <w:lang w:eastAsia="zh-CN"/>
        </w:rPr>
        <w:t>S</w:t>
      </w:r>
      <w:r w:rsidRPr="00B6332B">
        <w:rPr>
          <w:rFonts w:ascii="Book Antiqua" w:hAnsi="Book Antiqua" w:cs="Book Antiqua"/>
          <w:color w:val="000000" w:themeColor="text1"/>
        </w:rPr>
        <w:t>hows the difference analysis of disulfidptosis related genes in gastric cancer tissue samples and adjacent normal tissue samples</w:t>
      </w:r>
      <w:r w:rsidRPr="00B6332B">
        <w:rPr>
          <w:rFonts w:ascii="Book Antiqua" w:eastAsia="宋体" w:hAnsi="Book Antiqua" w:cs="Book Antiqua" w:hint="eastAsia"/>
          <w:color w:val="000000" w:themeColor="text1"/>
          <w:lang w:eastAsia="zh-CN"/>
        </w:rPr>
        <w:t xml:space="preserve">; </w:t>
      </w:r>
      <w:r w:rsidRPr="00B6332B">
        <w:rPr>
          <w:rFonts w:ascii="Book Antiqua" w:hAnsi="Book Antiqua" w:cs="Book Antiqua"/>
          <w:color w:val="000000" w:themeColor="text1"/>
        </w:rPr>
        <w:t xml:space="preserve">B: </w:t>
      </w:r>
      <w:r w:rsidRPr="00B6332B">
        <w:rPr>
          <w:rFonts w:ascii="Book Antiqua" w:eastAsia="宋体" w:hAnsi="Book Antiqua" w:cs="Book Antiqua" w:hint="eastAsia"/>
          <w:color w:val="000000" w:themeColor="text1"/>
          <w:lang w:eastAsia="zh-CN"/>
        </w:rPr>
        <w:t>S</w:t>
      </w:r>
      <w:r w:rsidRPr="00B6332B">
        <w:rPr>
          <w:rFonts w:ascii="Book Antiqua" w:hAnsi="Book Antiqua" w:cs="Book Antiqua"/>
          <w:color w:val="000000" w:themeColor="text1"/>
        </w:rPr>
        <w:t>hows the waterfall plot of disulfidptosis related genes mutations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C: </w:t>
      </w:r>
      <w:r w:rsidRPr="00B6332B">
        <w:rPr>
          <w:rFonts w:ascii="Book Antiqua" w:eastAsia="宋体" w:hAnsi="Book Antiqua" w:cs="Book Antiqua" w:hint="eastAsia"/>
          <w:color w:val="000000" w:themeColor="text1"/>
          <w:lang w:eastAsia="zh-CN"/>
        </w:rPr>
        <w:t>P</w:t>
      </w:r>
      <w:r w:rsidRPr="00B6332B">
        <w:rPr>
          <w:rFonts w:ascii="Book Antiqua" w:hAnsi="Book Antiqua" w:cs="Book Antiqua"/>
          <w:color w:val="000000" w:themeColor="text1"/>
        </w:rPr>
        <w:t>resents the mutation frequency of disulfidptosis related genes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D:</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the mutation sites of disulfidptosis related genes.</w:t>
      </w:r>
      <w:r w:rsidRPr="00B6332B">
        <w:rPr>
          <w:rFonts w:eastAsia="宋体"/>
          <w:color w:val="000000" w:themeColor="text1"/>
          <w:lang w:eastAsia="zh-CN"/>
        </w:rPr>
        <w:t xml:space="preserve"> </w:t>
      </w:r>
      <w:r w:rsidRPr="00B6332B">
        <w:rPr>
          <w:rFonts w:ascii="Book Antiqua" w:eastAsia="宋体" w:hAnsi="Book Antiqua" w:cs="Book Antiqua"/>
          <w:color w:val="000000" w:themeColor="text1"/>
          <w:lang w:eastAsia="zh-CN"/>
        </w:rPr>
        <w:t xml:space="preserve">CNV: Copy </w:t>
      </w:r>
      <w:r w:rsidRPr="00B6332B">
        <w:rPr>
          <w:rFonts w:ascii="Book Antiqua" w:eastAsia="宋体" w:hAnsi="Book Antiqua" w:cs="Book Antiqua" w:hint="eastAsia"/>
          <w:color w:val="000000" w:themeColor="text1"/>
          <w:lang w:eastAsia="zh-CN"/>
        </w:rPr>
        <w:t>n</w:t>
      </w:r>
      <w:r w:rsidRPr="00B6332B">
        <w:rPr>
          <w:rFonts w:ascii="Book Antiqua" w:eastAsia="宋体" w:hAnsi="Book Antiqua" w:cs="Book Antiqua"/>
          <w:color w:val="000000" w:themeColor="text1"/>
          <w:lang w:eastAsia="zh-CN"/>
        </w:rPr>
        <w:t xml:space="preserve">umber </w:t>
      </w:r>
      <w:r w:rsidRPr="00B6332B">
        <w:rPr>
          <w:rFonts w:ascii="Book Antiqua" w:eastAsia="宋体" w:hAnsi="Book Antiqua" w:cs="Book Antiqua" w:hint="eastAsia"/>
          <w:color w:val="000000" w:themeColor="text1"/>
          <w:lang w:eastAsia="zh-CN"/>
        </w:rPr>
        <w:t>v</w:t>
      </w:r>
      <w:r w:rsidRPr="00B6332B">
        <w:rPr>
          <w:rFonts w:ascii="Book Antiqua" w:eastAsia="宋体" w:hAnsi="Book Antiqua" w:cs="Book Antiqua"/>
          <w:color w:val="000000" w:themeColor="text1"/>
          <w:lang w:eastAsia="zh-CN"/>
        </w:rPr>
        <w:t>ariation.</w:t>
      </w:r>
    </w:p>
    <w:p w14:paraId="0BAD4292" w14:textId="7E54E04C" w:rsidR="00E724E0" w:rsidRPr="00B6332B" w:rsidRDefault="002B2DCF">
      <w:pPr>
        <w:adjustRightInd w:val="0"/>
        <w:snapToGrid w:val="0"/>
        <w:spacing w:line="360" w:lineRule="auto"/>
        <w:jc w:val="both"/>
        <w:rPr>
          <w:rFonts w:ascii="Book Antiqua" w:eastAsia="宋体" w:hAnsi="Book Antiqua" w:cs="Book Antiqua"/>
          <w:color w:val="000000" w:themeColor="text1"/>
          <w:lang w:eastAsia="zh-CN"/>
        </w:rPr>
      </w:pPr>
      <w:r w:rsidRPr="00B6332B">
        <w:rPr>
          <w:rFonts w:ascii="Book Antiqua" w:eastAsia="宋体" w:hAnsi="Book Antiqua" w:cs="Book Antiqua"/>
          <w:noProof/>
          <w:color w:val="000000" w:themeColor="text1"/>
          <w:lang w:eastAsia="zh-CN"/>
        </w:rPr>
        <w:lastRenderedPageBreak/>
        <w:drawing>
          <wp:inline distT="0" distB="0" distL="0" distR="0" wp14:anchorId="636128BE" wp14:editId="03C2461B">
            <wp:extent cx="5941695" cy="8229600"/>
            <wp:effectExtent l="0" t="0" r="0" b="0"/>
            <wp:docPr id="1661958735" name="图片 2" descr="图示,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58735" name="图片 2" descr="图示, 直方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1695" cy="8229600"/>
                    </a:xfrm>
                    <a:prstGeom prst="rect">
                      <a:avLst/>
                    </a:prstGeom>
                  </pic:spPr>
                </pic:pic>
              </a:graphicData>
            </a:graphic>
          </wp:inline>
        </w:drawing>
      </w:r>
    </w:p>
    <w:p w14:paraId="10DF95DC" w14:textId="77777777" w:rsidR="00E724E0" w:rsidRPr="00B6332B" w:rsidRDefault="00E724E0">
      <w:pPr>
        <w:adjustRightInd w:val="0"/>
        <w:snapToGrid w:val="0"/>
        <w:spacing w:line="360" w:lineRule="auto"/>
        <w:jc w:val="both"/>
        <w:rPr>
          <w:rFonts w:ascii="Book Antiqua" w:hAnsi="Book Antiqua" w:cs="Book Antiqua"/>
          <w:b/>
          <w:bCs/>
          <w:color w:val="000000" w:themeColor="text1"/>
        </w:rPr>
      </w:pPr>
    </w:p>
    <w:p w14:paraId="6C84E2F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b/>
          <w:bCs/>
          <w:color w:val="000000" w:themeColor="text1"/>
        </w:rPr>
        <w:t>Figure 2</w:t>
      </w:r>
      <w:r w:rsidRPr="00B6332B">
        <w:rPr>
          <w:rFonts w:ascii="Book Antiqua" w:hAnsi="Book Antiqua" w:cs="Book Antiqua"/>
          <w:color w:val="000000" w:themeColor="text1"/>
        </w:rPr>
        <w:t xml:space="preserve"> </w:t>
      </w:r>
      <w:r w:rsidRPr="00B6332B">
        <w:rPr>
          <w:rFonts w:ascii="Book Antiqua" w:hAnsi="Book Antiqua" w:cs="Book Antiqua"/>
          <w:b/>
          <w:bCs/>
          <w:color w:val="000000" w:themeColor="text1"/>
        </w:rPr>
        <w:t>Screening disulfidptosis related genes related to the prognosis of gastric cancer.</w:t>
      </w:r>
      <w:r w:rsidRPr="00B6332B">
        <w:rPr>
          <w:rFonts w:ascii="Book Antiqua" w:eastAsia="宋体" w:hAnsi="Book Antiqua" w:cs="Book Antiqua" w:hint="eastAsia"/>
          <w:b/>
          <w:bCs/>
          <w:color w:val="000000" w:themeColor="text1"/>
          <w:lang w:eastAsia="zh-CN"/>
        </w:rPr>
        <w:t xml:space="preserve"> </w:t>
      </w:r>
      <w:r w:rsidRPr="00B6332B">
        <w:rPr>
          <w:rFonts w:ascii="Book Antiqua" w:hAnsi="Book Antiqua" w:cs="Book Antiqua"/>
          <w:color w:val="000000" w:themeColor="text1"/>
        </w:rPr>
        <w:t xml:space="preserve">A-J: </w:t>
      </w:r>
      <w:r w:rsidRPr="00B6332B">
        <w:rPr>
          <w:rFonts w:ascii="Book Antiqua" w:eastAsia="宋体" w:hAnsi="Book Antiqua" w:cs="Book Antiqua" w:hint="eastAsia"/>
          <w:color w:val="000000" w:themeColor="text1"/>
          <w:lang w:eastAsia="zh-CN"/>
        </w:rPr>
        <w:t>S</w:t>
      </w:r>
      <w:r w:rsidRPr="00B6332B">
        <w:rPr>
          <w:rFonts w:ascii="Book Antiqua" w:hAnsi="Book Antiqua" w:cs="Book Antiqua"/>
          <w:color w:val="000000" w:themeColor="text1"/>
        </w:rPr>
        <w:t>how the Kaplan-Meier analysis of the survival curves of disulfidptosis related genes between high and low expression groups, and 10 disulfidptosis related genes related to gastric cancer prognosis were identified</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K: </w:t>
      </w:r>
      <w:r w:rsidRPr="00B6332B">
        <w:rPr>
          <w:rFonts w:ascii="Book Antiqua" w:eastAsia="宋体" w:hAnsi="Book Antiqua" w:cs="Book Antiqua" w:hint="eastAsia"/>
          <w:color w:val="000000" w:themeColor="text1"/>
          <w:lang w:eastAsia="zh-CN"/>
        </w:rPr>
        <w:t>S</w:t>
      </w:r>
      <w:r w:rsidRPr="00B6332B">
        <w:rPr>
          <w:rFonts w:ascii="Book Antiqua" w:hAnsi="Book Antiqua" w:cs="Book Antiqua"/>
          <w:color w:val="000000" w:themeColor="text1"/>
        </w:rPr>
        <w:t>hows the COX analysis of the disulfidptosis related genes circle plot related to gastric cancer prognosis, and five significantly prognostic disulfidptosis related genes were identified.</w:t>
      </w:r>
    </w:p>
    <w:p w14:paraId="41036FCD"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544167F" w14:textId="5B824DE4" w:rsidR="00E724E0" w:rsidRPr="00B6332B" w:rsidRDefault="002B2DCF">
      <w:pPr>
        <w:adjustRightInd w:val="0"/>
        <w:snapToGrid w:val="0"/>
        <w:spacing w:line="360" w:lineRule="auto"/>
        <w:jc w:val="both"/>
        <w:rPr>
          <w:rFonts w:ascii="Book Antiqua" w:hAnsi="Book Antiqua" w:cs="Book Antiqua"/>
          <w:color w:val="000000" w:themeColor="text1"/>
        </w:rPr>
      </w:pPr>
      <w:r w:rsidRPr="00B6332B">
        <w:rPr>
          <w:noProof/>
          <w:color w:val="000000" w:themeColor="text1"/>
          <w:lang w:eastAsia="zh-CN"/>
        </w:rPr>
        <w:lastRenderedPageBreak/>
        <w:drawing>
          <wp:inline distT="0" distB="0" distL="0" distR="0" wp14:anchorId="379BE6F1" wp14:editId="5DEA6219">
            <wp:extent cx="3442335" cy="8229600"/>
            <wp:effectExtent l="0" t="0" r="0" b="0"/>
            <wp:docPr id="20566646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664633" name="图片 20566646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2335" cy="8229600"/>
                    </a:xfrm>
                    <a:prstGeom prst="rect">
                      <a:avLst/>
                    </a:prstGeom>
                  </pic:spPr>
                </pic:pic>
              </a:graphicData>
            </a:graphic>
          </wp:inline>
        </w:drawing>
      </w:r>
    </w:p>
    <w:p w14:paraId="301FDBEE"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b/>
          <w:bCs/>
          <w:color w:val="000000" w:themeColor="text1"/>
        </w:rPr>
        <w:lastRenderedPageBreak/>
        <w:t>Figure 3 The sample classification, subgroup survival analysis, and differential gene heatmap related to disulfidptosis related genes are presented.</w:t>
      </w:r>
      <w:r w:rsidRPr="00B6332B">
        <w:rPr>
          <w:rFonts w:ascii="Book Antiqua" w:hAnsi="Book Antiqua" w:cs="Book Antiqua"/>
          <w:color w:val="000000" w:themeColor="text1"/>
        </w:rPr>
        <w:t xml:space="preserve"> A</w:t>
      </w:r>
      <w:r w:rsidRPr="00B6332B">
        <w:rPr>
          <w:rFonts w:ascii="Book Antiqua" w:eastAsia="宋体" w:hAnsi="Book Antiqua" w:cs="Book Antiqua" w:hint="eastAsia"/>
          <w:color w:val="000000" w:themeColor="text1"/>
          <w:lang w:eastAsia="zh-CN"/>
        </w:rPr>
        <w:t>: S</w:t>
      </w:r>
      <w:r w:rsidRPr="00B6332B">
        <w:rPr>
          <w:rFonts w:ascii="Book Antiqua" w:hAnsi="Book Antiqua" w:cs="Book Antiqua"/>
          <w:color w:val="000000" w:themeColor="text1"/>
        </w:rPr>
        <w:t>hows the clustering matrix plot of disulfidptosis related genes-related samples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B</w:t>
      </w:r>
      <w:r w:rsidRPr="00B6332B">
        <w:rPr>
          <w:rFonts w:ascii="Book Antiqua" w:eastAsia="宋体" w:hAnsi="Book Antiqua" w:cs="Book Antiqua" w:hint="eastAsia"/>
          <w:color w:val="000000" w:themeColor="text1"/>
          <w:lang w:eastAsia="zh-CN"/>
        </w:rPr>
        <w:t>: S</w:t>
      </w:r>
      <w:r w:rsidRPr="00B6332B">
        <w:rPr>
          <w:rFonts w:ascii="Book Antiqua" w:hAnsi="Book Antiqua" w:cs="Book Antiqua"/>
          <w:color w:val="000000" w:themeColor="text1"/>
        </w:rPr>
        <w:t>hows the clustering index plot of disulfidptosis related genes-related samples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C</w:t>
      </w:r>
      <w:r w:rsidRPr="00B6332B">
        <w:rPr>
          <w:rFonts w:ascii="Book Antiqua" w:eastAsia="宋体" w:hAnsi="Book Antiqua" w:cs="Book Antiqua" w:hint="eastAsia"/>
          <w:color w:val="000000" w:themeColor="text1"/>
          <w:lang w:eastAsia="zh-CN"/>
        </w:rPr>
        <w:t>: P</w:t>
      </w:r>
      <w:r w:rsidRPr="00B6332B">
        <w:rPr>
          <w:rFonts w:ascii="Book Antiqua" w:hAnsi="Book Antiqua" w:cs="Book Antiqua"/>
          <w:color w:val="000000" w:themeColor="text1"/>
        </w:rPr>
        <w:t xml:space="preserve">resents the relative change area under the </w:t>
      </w:r>
      <w:r w:rsidRPr="00B6332B">
        <w:rPr>
          <w:rFonts w:ascii="Book Antiqua" w:eastAsia="宋体" w:hAnsi="Book Antiqua" w:cs="Book Antiqua" w:hint="eastAsia"/>
          <w:color w:val="000000" w:themeColor="text1"/>
          <w:lang w:eastAsia="zh-CN"/>
        </w:rPr>
        <w:t>c</w:t>
      </w:r>
      <w:r w:rsidRPr="00B6332B">
        <w:rPr>
          <w:rFonts w:ascii="Book Antiqua" w:hAnsi="Book Antiqua" w:cs="Book Antiqua"/>
          <w:color w:val="000000" w:themeColor="text1"/>
        </w:rPr>
        <w:t xml:space="preserve">umulative </w:t>
      </w:r>
      <w:r w:rsidRPr="00B6332B">
        <w:rPr>
          <w:rFonts w:ascii="Book Antiqua" w:eastAsia="宋体" w:hAnsi="Book Antiqua" w:cs="Book Antiqua" w:hint="eastAsia"/>
          <w:color w:val="000000" w:themeColor="text1"/>
          <w:lang w:eastAsia="zh-CN"/>
        </w:rPr>
        <w:t>d</w:t>
      </w:r>
      <w:r w:rsidRPr="00B6332B">
        <w:rPr>
          <w:rFonts w:ascii="Book Antiqua" w:hAnsi="Book Antiqua" w:cs="Book Antiqua"/>
          <w:color w:val="000000" w:themeColor="text1"/>
        </w:rPr>
        <w:t xml:space="preserve">istribution </w:t>
      </w:r>
      <w:r w:rsidRPr="00B6332B">
        <w:rPr>
          <w:rFonts w:ascii="Book Antiqua" w:eastAsia="宋体" w:hAnsi="Book Antiqua" w:cs="Book Antiqua" w:hint="eastAsia"/>
          <w:color w:val="000000" w:themeColor="text1"/>
          <w:lang w:eastAsia="zh-CN"/>
        </w:rPr>
        <w:t>f</w:t>
      </w:r>
      <w:r w:rsidRPr="00B6332B">
        <w:rPr>
          <w:rFonts w:ascii="Book Antiqua" w:hAnsi="Book Antiqua" w:cs="Book Antiqua"/>
          <w:color w:val="000000" w:themeColor="text1"/>
        </w:rPr>
        <w:t>unction curve</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D</w:t>
      </w:r>
      <w:r w:rsidRPr="00B6332B">
        <w:rPr>
          <w:rFonts w:ascii="Book Antiqua" w:eastAsia="宋体" w:hAnsi="Book Antiqua" w:cs="Book Antiqua" w:hint="eastAsia"/>
          <w:color w:val="000000" w:themeColor="text1"/>
          <w:lang w:eastAsia="zh-CN"/>
        </w:rPr>
        <w:t>: S</w:t>
      </w:r>
      <w:r w:rsidRPr="00B6332B">
        <w:rPr>
          <w:rFonts w:ascii="Book Antiqua" w:hAnsi="Book Antiqua" w:cs="Book Antiqua"/>
          <w:color w:val="000000" w:themeColor="text1"/>
        </w:rPr>
        <w:t>hows the tracking plot of disulfidptosis related genes subgroup samples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E</w:t>
      </w:r>
      <w:r w:rsidRPr="00B6332B">
        <w:rPr>
          <w:rFonts w:ascii="Book Antiqua" w:eastAsia="宋体" w:hAnsi="Book Antiqua" w:cs="Book Antiqua" w:hint="eastAsia"/>
          <w:color w:val="000000" w:themeColor="text1"/>
          <w:lang w:eastAsia="zh-CN"/>
        </w:rPr>
        <w:t>: P</w:t>
      </w:r>
      <w:r w:rsidRPr="00B6332B">
        <w:rPr>
          <w:rFonts w:ascii="Book Antiqua" w:hAnsi="Book Antiqua" w:cs="Book Antiqua"/>
          <w:color w:val="000000" w:themeColor="text1"/>
        </w:rPr>
        <w:t>resents the survival analysis curves of disulfidptosis related genes subgroups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F</w:t>
      </w:r>
      <w:r w:rsidRPr="00B6332B">
        <w:rPr>
          <w:rFonts w:ascii="Book Antiqua" w:eastAsia="宋体" w:hAnsi="Book Antiqua" w:cs="Book Antiqua" w:hint="eastAsia"/>
          <w:color w:val="000000" w:themeColor="text1"/>
          <w:lang w:eastAsia="zh-CN"/>
        </w:rPr>
        <w:t>: S</w:t>
      </w:r>
      <w:r w:rsidRPr="00B6332B">
        <w:rPr>
          <w:rFonts w:ascii="Book Antiqua" w:hAnsi="Book Antiqua" w:cs="Book Antiqua"/>
          <w:color w:val="000000" w:themeColor="text1"/>
        </w:rPr>
        <w:t>hows the differential gene clustering heatmap between disulfidptosis related genes subgroups.</w:t>
      </w:r>
    </w:p>
    <w:p w14:paraId="5145127A"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1E2A41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EBD0088"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3CA51E0"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3B3CA8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36C7F5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45D391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7631792"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F8C0013"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8EBB00B"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4CD795B"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9B545FE"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A4AE203"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3B16AA56" w14:textId="6B31087E" w:rsidR="00E724E0" w:rsidRPr="00B6332B" w:rsidRDefault="002B2DCF">
      <w:pPr>
        <w:adjustRightInd w:val="0"/>
        <w:snapToGrid w:val="0"/>
        <w:spacing w:line="360" w:lineRule="auto"/>
        <w:jc w:val="both"/>
        <w:rPr>
          <w:color w:val="000000" w:themeColor="text1"/>
        </w:rPr>
      </w:pPr>
      <w:r w:rsidRPr="00B6332B">
        <w:rPr>
          <w:noProof/>
          <w:color w:val="000000" w:themeColor="text1"/>
        </w:rPr>
        <w:lastRenderedPageBreak/>
        <w:drawing>
          <wp:inline distT="0" distB="0" distL="0" distR="0" wp14:anchorId="30DB4678" wp14:editId="0772E5E6">
            <wp:extent cx="5943600" cy="7954010"/>
            <wp:effectExtent l="0" t="0" r="0" b="0"/>
            <wp:docPr id="406158124" name="图片 5"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158124" name="图片 5" descr="文本&#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954010"/>
                    </a:xfrm>
                    <a:prstGeom prst="rect">
                      <a:avLst/>
                    </a:prstGeom>
                  </pic:spPr>
                </pic:pic>
              </a:graphicData>
            </a:graphic>
          </wp:inline>
        </w:drawing>
      </w:r>
    </w:p>
    <w:p w14:paraId="6F91708B"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b/>
          <w:bCs/>
          <w:color w:val="000000" w:themeColor="text1"/>
        </w:rPr>
        <w:lastRenderedPageBreak/>
        <w:t xml:space="preserve">Figure 4 The significantly different </w:t>
      </w:r>
      <w:r w:rsidRPr="00B6332B">
        <w:rPr>
          <w:rFonts w:ascii="Book Antiqua" w:eastAsia="宋体" w:hAnsi="Book Antiqua" w:cs="Book Antiqua" w:hint="eastAsia"/>
          <w:b/>
          <w:bCs/>
          <w:color w:val="000000" w:themeColor="text1"/>
          <w:lang w:eastAsia="zh-CN"/>
        </w:rPr>
        <w:t>k</w:t>
      </w:r>
      <w:r w:rsidRPr="00B6332B">
        <w:rPr>
          <w:rFonts w:ascii="Book Antiqua" w:eastAsia="Book Antiqua" w:hAnsi="Book Antiqua" w:cs="Book Antiqua"/>
          <w:b/>
          <w:bCs/>
          <w:color w:val="000000" w:themeColor="text1"/>
        </w:rPr>
        <w:t xml:space="preserve">yoto </w:t>
      </w:r>
      <w:r w:rsidRPr="00B6332B">
        <w:rPr>
          <w:rFonts w:ascii="Book Antiqua" w:eastAsia="宋体" w:hAnsi="Book Antiqua" w:cs="Book Antiqua" w:hint="eastAsia"/>
          <w:b/>
          <w:bCs/>
          <w:color w:val="000000" w:themeColor="text1"/>
          <w:lang w:eastAsia="zh-CN"/>
        </w:rPr>
        <w:t>e</w:t>
      </w:r>
      <w:r w:rsidRPr="00B6332B">
        <w:rPr>
          <w:rFonts w:ascii="Book Antiqua" w:eastAsia="Book Antiqua" w:hAnsi="Book Antiqua" w:cs="Book Antiqua"/>
          <w:b/>
          <w:bCs/>
          <w:color w:val="000000" w:themeColor="text1"/>
        </w:rPr>
        <w:t xml:space="preserve">ncyclopedia of </w:t>
      </w:r>
      <w:r w:rsidRPr="00B6332B">
        <w:rPr>
          <w:rFonts w:ascii="Book Antiqua" w:eastAsia="宋体" w:hAnsi="Book Antiqua" w:cs="Book Antiqua" w:hint="eastAsia"/>
          <w:b/>
          <w:bCs/>
          <w:color w:val="000000" w:themeColor="text1"/>
          <w:lang w:eastAsia="zh-CN"/>
        </w:rPr>
        <w:t>g</w:t>
      </w:r>
      <w:r w:rsidRPr="00B6332B">
        <w:rPr>
          <w:rFonts w:ascii="Book Antiqua" w:eastAsia="Book Antiqua" w:hAnsi="Book Antiqua" w:cs="Book Antiqua"/>
          <w:b/>
          <w:bCs/>
          <w:color w:val="000000" w:themeColor="text1"/>
        </w:rPr>
        <w:t xml:space="preserve">enes and </w:t>
      </w:r>
      <w:r w:rsidRPr="00B6332B">
        <w:rPr>
          <w:rFonts w:ascii="Book Antiqua" w:eastAsia="宋体" w:hAnsi="Book Antiqua" w:cs="Book Antiqua" w:hint="eastAsia"/>
          <w:b/>
          <w:bCs/>
          <w:color w:val="000000" w:themeColor="text1"/>
          <w:lang w:eastAsia="zh-CN"/>
        </w:rPr>
        <w:t>g</w:t>
      </w:r>
      <w:r w:rsidRPr="00B6332B">
        <w:rPr>
          <w:rFonts w:ascii="Book Antiqua" w:eastAsia="Book Antiqua" w:hAnsi="Book Antiqua" w:cs="Book Antiqua"/>
          <w:b/>
          <w:bCs/>
          <w:color w:val="000000" w:themeColor="text1"/>
        </w:rPr>
        <w:t>enomes</w:t>
      </w:r>
      <w:r w:rsidRPr="00B6332B">
        <w:rPr>
          <w:rFonts w:ascii="Book Antiqua" w:hAnsi="Book Antiqua" w:cs="Book Antiqua"/>
          <w:b/>
          <w:bCs/>
          <w:color w:val="000000" w:themeColor="text1"/>
        </w:rPr>
        <w:t xml:space="preserve"> pathways and </w:t>
      </w:r>
      <w:r w:rsidRPr="00B6332B">
        <w:rPr>
          <w:rFonts w:ascii="Book Antiqua" w:eastAsia="宋体" w:hAnsi="Book Antiqua" w:cs="Book Antiqua" w:hint="eastAsia"/>
          <w:b/>
          <w:bCs/>
          <w:color w:val="000000" w:themeColor="text1"/>
          <w:lang w:eastAsia="zh-CN"/>
        </w:rPr>
        <w:t>g</w:t>
      </w:r>
      <w:r w:rsidRPr="00B6332B">
        <w:rPr>
          <w:rFonts w:ascii="Book Antiqua" w:eastAsia="Book Antiqua" w:hAnsi="Book Antiqua" w:cs="Book Antiqua"/>
          <w:b/>
          <w:bCs/>
          <w:color w:val="000000" w:themeColor="text1"/>
        </w:rPr>
        <w:t xml:space="preserve">ene </w:t>
      </w:r>
      <w:r w:rsidRPr="00B6332B">
        <w:rPr>
          <w:rFonts w:ascii="Book Antiqua" w:eastAsia="宋体" w:hAnsi="Book Antiqua" w:cs="Book Antiqua" w:hint="eastAsia"/>
          <w:b/>
          <w:bCs/>
          <w:color w:val="000000" w:themeColor="text1"/>
          <w:lang w:eastAsia="zh-CN"/>
        </w:rPr>
        <w:t>o</w:t>
      </w:r>
      <w:r w:rsidRPr="00B6332B">
        <w:rPr>
          <w:rFonts w:ascii="Book Antiqua" w:eastAsia="Book Antiqua" w:hAnsi="Book Antiqua" w:cs="Book Antiqua"/>
          <w:b/>
          <w:bCs/>
          <w:color w:val="000000" w:themeColor="text1"/>
        </w:rPr>
        <w:t>ntology</w:t>
      </w:r>
      <w:r w:rsidRPr="00B6332B">
        <w:rPr>
          <w:rFonts w:ascii="Book Antiqua" w:hAnsi="Book Antiqua" w:cs="Book Antiqua"/>
          <w:b/>
          <w:bCs/>
          <w:color w:val="000000" w:themeColor="text1"/>
        </w:rPr>
        <w:t xml:space="preserve"> functional analysis between disulfidptosis related genes subgroups are presented. </w:t>
      </w:r>
      <w:r w:rsidRPr="00B6332B">
        <w:rPr>
          <w:rFonts w:ascii="Book Antiqua" w:hAnsi="Book Antiqua" w:cs="Book Antiqua"/>
          <w:color w:val="000000" w:themeColor="text1"/>
        </w:rPr>
        <w:t>A</w:t>
      </w:r>
      <w:r w:rsidRPr="00B6332B">
        <w:rPr>
          <w:rFonts w:ascii="Book Antiqua" w:eastAsia="宋体" w:hAnsi="Book Antiqua" w:cs="Book Antiqua" w:hint="eastAsia"/>
          <w:color w:val="000000" w:themeColor="text1"/>
          <w:lang w:eastAsia="zh-CN"/>
        </w:rPr>
        <w:t>: S</w:t>
      </w:r>
      <w:r w:rsidRPr="00B6332B">
        <w:rPr>
          <w:rFonts w:ascii="Book Antiqua" w:hAnsi="Book Antiqua" w:cs="Book Antiqua"/>
          <w:color w:val="000000" w:themeColor="text1"/>
        </w:rPr>
        <w:t xml:space="preserve">hows the significantly different </w:t>
      </w:r>
      <w:r w:rsidRPr="00B6332B">
        <w:rPr>
          <w:rFonts w:ascii="Book Antiqua" w:eastAsia="宋体" w:hAnsi="Book Antiqua" w:cs="Book Antiqua" w:hint="eastAsia"/>
          <w:color w:val="000000" w:themeColor="text1"/>
          <w:lang w:eastAsia="zh-CN"/>
        </w:rPr>
        <w:t>k</w:t>
      </w:r>
      <w:r w:rsidRPr="00B6332B">
        <w:rPr>
          <w:rFonts w:ascii="Book Antiqua" w:eastAsia="Book Antiqua" w:hAnsi="Book Antiqua" w:cs="Book Antiqua"/>
          <w:color w:val="000000" w:themeColor="text1"/>
        </w:rPr>
        <w:t xml:space="preserve">yoto </w:t>
      </w:r>
      <w:r w:rsidRPr="00B6332B">
        <w:rPr>
          <w:rFonts w:ascii="Book Antiqua" w:eastAsia="宋体" w:hAnsi="Book Antiqua" w:cs="Book Antiqua" w:hint="eastAsia"/>
          <w:color w:val="000000" w:themeColor="text1"/>
          <w:lang w:eastAsia="zh-CN"/>
        </w:rPr>
        <w:t>e</w:t>
      </w:r>
      <w:r w:rsidRPr="00B6332B">
        <w:rPr>
          <w:rFonts w:ascii="Book Antiqua" w:eastAsia="Book Antiqua" w:hAnsi="Book Antiqua" w:cs="Book Antiqua"/>
          <w:color w:val="000000" w:themeColor="text1"/>
        </w:rPr>
        <w:t xml:space="preserve">ncyclopedia of </w:t>
      </w:r>
      <w:r w:rsidRPr="00B6332B">
        <w:rPr>
          <w:rFonts w:ascii="Book Antiqua" w:eastAsia="宋体" w:hAnsi="Book Antiqua" w:cs="Book Antiqua" w:hint="eastAsia"/>
          <w:color w:val="000000" w:themeColor="text1"/>
          <w:lang w:eastAsia="zh-CN"/>
        </w:rPr>
        <w:t>g</w:t>
      </w:r>
      <w:r w:rsidRPr="00B6332B">
        <w:rPr>
          <w:rFonts w:ascii="Book Antiqua" w:eastAsia="Book Antiqua" w:hAnsi="Book Antiqua" w:cs="Book Antiqua"/>
          <w:color w:val="000000" w:themeColor="text1"/>
        </w:rPr>
        <w:t xml:space="preserve">enes and </w:t>
      </w:r>
      <w:r w:rsidRPr="00B6332B">
        <w:rPr>
          <w:rFonts w:ascii="Book Antiqua" w:eastAsia="宋体" w:hAnsi="Book Antiqua" w:cs="Book Antiqua" w:hint="eastAsia"/>
          <w:color w:val="000000" w:themeColor="text1"/>
          <w:lang w:eastAsia="zh-CN"/>
        </w:rPr>
        <w:t>g</w:t>
      </w:r>
      <w:r w:rsidRPr="00B6332B">
        <w:rPr>
          <w:rFonts w:ascii="Book Antiqua" w:eastAsia="Book Antiqua" w:hAnsi="Book Antiqua" w:cs="Book Antiqua"/>
          <w:color w:val="000000" w:themeColor="text1"/>
        </w:rPr>
        <w:t>enomes</w:t>
      </w:r>
      <w:r w:rsidRPr="00B6332B">
        <w:rPr>
          <w:rFonts w:ascii="Book Antiqua" w:hAnsi="Book Antiqua" w:cs="Book Antiqua"/>
          <w:color w:val="000000" w:themeColor="text1"/>
        </w:rPr>
        <w:t xml:space="preserve"> pathway enrichment analysis between disulfidptosis related genes subgroups</w:t>
      </w:r>
      <w:r w:rsidRPr="00B6332B">
        <w:rPr>
          <w:rFonts w:ascii="Book Antiqua" w:eastAsia="宋体" w:hAnsi="Book Antiqua" w:cs="Book Antiqua" w:hint="eastAsia"/>
          <w:color w:val="000000" w:themeColor="text1"/>
          <w:lang w:eastAsia="zh-CN"/>
        </w:rPr>
        <w:t xml:space="preserve">; </w:t>
      </w:r>
      <w:r w:rsidRPr="00B6332B">
        <w:rPr>
          <w:rFonts w:ascii="Book Antiqua" w:hAnsi="Book Antiqua" w:cs="Book Antiqua"/>
          <w:color w:val="000000" w:themeColor="text1"/>
        </w:rPr>
        <w:t>B</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w:t>
      </w:r>
      <w:r w:rsidRPr="00B6332B">
        <w:rPr>
          <w:rFonts w:ascii="Book Antiqua" w:eastAsia="宋体" w:hAnsi="Book Antiqua" w:cs="Book Antiqua" w:hint="eastAsia"/>
          <w:color w:val="000000" w:themeColor="text1"/>
          <w:lang w:eastAsia="zh-CN"/>
        </w:rPr>
        <w:t>S</w:t>
      </w:r>
      <w:r w:rsidRPr="00B6332B">
        <w:rPr>
          <w:rFonts w:ascii="Book Antiqua" w:hAnsi="Book Antiqua" w:cs="Book Antiqua"/>
          <w:color w:val="000000" w:themeColor="text1"/>
        </w:rPr>
        <w:t xml:space="preserve">hows the significantly different </w:t>
      </w:r>
      <w:r w:rsidRPr="00B6332B">
        <w:rPr>
          <w:rFonts w:ascii="Book Antiqua" w:eastAsia="宋体" w:hAnsi="Book Antiqua" w:cs="Book Antiqua" w:hint="eastAsia"/>
          <w:color w:val="000000" w:themeColor="text1"/>
          <w:lang w:eastAsia="zh-CN"/>
        </w:rPr>
        <w:t>g</w:t>
      </w:r>
      <w:r w:rsidRPr="00B6332B">
        <w:rPr>
          <w:rFonts w:ascii="Book Antiqua" w:eastAsia="Book Antiqua" w:hAnsi="Book Antiqua" w:cs="Book Antiqua"/>
          <w:color w:val="000000" w:themeColor="text1"/>
        </w:rPr>
        <w:t xml:space="preserve">ene </w:t>
      </w:r>
      <w:r w:rsidRPr="00B6332B">
        <w:rPr>
          <w:rFonts w:ascii="Book Antiqua" w:eastAsia="宋体" w:hAnsi="Book Antiqua" w:cs="Book Antiqua" w:hint="eastAsia"/>
          <w:color w:val="000000" w:themeColor="text1"/>
          <w:lang w:eastAsia="zh-CN"/>
        </w:rPr>
        <w:t>o</w:t>
      </w:r>
      <w:r w:rsidRPr="00B6332B">
        <w:rPr>
          <w:rFonts w:ascii="Book Antiqua" w:eastAsia="Book Antiqua" w:hAnsi="Book Antiqua" w:cs="Book Antiqua"/>
          <w:color w:val="000000" w:themeColor="text1"/>
        </w:rPr>
        <w:t>ntology</w:t>
      </w:r>
      <w:r w:rsidRPr="00B6332B">
        <w:rPr>
          <w:rFonts w:ascii="Book Antiqua" w:hAnsi="Book Antiqua" w:cs="Book Antiqua"/>
          <w:color w:val="000000" w:themeColor="text1"/>
        </w:rPr>
        <w:t xml:space="preserve"> pathway enrichment analysis between disulfidptosis related genes subgroups.</w:t>
      </w:r>
    </w:p>
    <w:p w14:paraId="39977364"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02329694"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9C757AC"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F7B4C43"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8296A99"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7EB5BA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B27067B"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330721B"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4962BFB"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0222289"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893C04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7435953"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DC6AB95"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9B13237"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DE065EF"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34B368A0"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1C1A40E"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CBF966F"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3CFB0900"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05951554"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5028F691" w14:textId="5C9646E0" w:rsidR="00E724E0" w:rsidRPr="00B6332B" w:rsidRDefault="002B2DCF">
      <w:pPr>
        <w:adjustRightInd w:val="0"/>
        <w:snapToGrid w:val="0"/>
        <w:spacing w:line="360" w:lineRule="auto"/>
        <w:jc w:val="both"/>
        <w:rPr>
          <w:color w:val="000000" w:themeColor="text1"/>
        </w:rPr>
      </w:pPr>
      <w:r w:rsidRPr="00B6332B">
        <w:rPr>
          <w:noProof/>
          <w:color w:val="000000" w:themeColor="text1"/>
        </w:rPr>
        <w:lastRenderedPageBreak/>
        <w:drawing>
          <wp:inline distT="0" distB="0" distL="0" distR="0" wp14:anchorId="71801D0E" wp14:editId="118070C5">
            <wp:extent cx="3806825" cy="8229600"/>
            <wp:effectExtent l="0" t="0" r="0" b="0"/>
            <wp:docPr id="20374358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35849" name="图片 203743584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06825" cy="8229600"/>
                    </a:xfrm>
                    <a:prstGeom prst="rect">
                      <a:avLst/>
                    </a:prstGeom>
                  </pic:spPr>
                </pic:pic>
              </a:graphicData>
            </a:graphic>
          </wp:inline>
        </w:drawing>
      </w:r>
    </w:p>
    <w:p w14:paraId="4E88040C"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b/>
          <w:bCs/>
          <w:color w:val="000000" w:themeColor="text1"/>
        </w:rPr>
        <w:lastRenderedPageBreak/>
        <w:t xml:space="preserve">Figure 5 The immune cell differential analysis, </w:t>
      </w:r>
      <w:r w:rsidRPr="00B6332B">
        <w:rPr>
          <w:rFonts w:ascii="Book Antiqua" w:eastAsia="宋体" w:hAnsi="Book Antiqua" w:cs="Book Antiqua" w:hint="eastAsia"/>
          <w:b/>
          <w:bCs/>
          <w:color w:val="000000" w:themeColor="text1"/>
          <w:lang w:eastAsia="zh-CN"/>
        </w:rPr>
        <w:t>p</w:t>
      </w:r>
      <w:r w:rsidRPr="00B6332B">
        <w:rPr>
          <w:rFonts w:ascii="Book Antiqua" w:hAnsi="Book Antiqua" w:cs="Book Antiqua"/>
          <w:b/>
          <w:bCs/>
          <w:color w:val="000000" w:themeColor="text1"/>
        </w:rPr>
        <w:t xml:space="preserve">rincipal </w:t>
      </w:r>
      <w:r w:rsidRPr="00B6332B">
        <w:rPr>
          <w:rFonts w:ascii="Book Antiqua" w:eastAsia="宋体" w:hAnsi="Book Antiqua" w:cs="Book Antiqua" w:hint="eastAsia"/>
          <w:b/>
          <w:bCs/>
          <w:color w:val="000000" w:themeColor="text1"/>
          <w:lang w:eastAsia="zh-CN"/>
        </w:rPr>
        <w:t>c</w:t>
      </w:r>
      <w:r w:rsidRPr="00B6332B">
        <w:rPr>
          <w:rFonts w:ascii="Book Antiqua" w:hAnsi="Book Antiqua" w:cs="Book Antiqua"/>
          <w:b/>
          <w:bCs/>
          <w:color w:val="000000" w:themeColor="text1"/>
        </w:rPr>
        <w:t xml:space="preserve">omponent </w:t>
      </w:r>
      <w:r w:rsidRPr="00B6332B">
        <w:rPr>
          <w:rFonts w:ascii="Book Antiqua" w:eastAsia="宋体" w:hAnsi="Book Antiqua" w:cs="Book Antiqua" w:hint="eastAsia"/>
          <w:b/>
          <w:bCs/>
          <w:color w:val="000000" w:themeColor="text1"/>
          <w:lang w:eastAsia="zh-CN"/>
        </w:rPr>
        <w:t>a</w:t>
      </w:r>
      <w:r w:rsidRPr="00B6332B">
        <w:rPr>
          <w:rFonts w:ascii="Book Antiqua" w:hAnsi="Book Antiqua" w:cs="Book Antiqua"/>
          <w:b/>
          <w:bCs/>
          <w:color w:val="000000" w:themeColor="text1"/>
        </w:rPr>
        <w:t>nalysis analysis, significantly different genes, and gene ontology/kyoto encyclopedia of genes and genomes analysis between disulfidptosis related genes subgroups are presented.</w:t>
      </w:r>
      <w:r w:rsidRPr="00B6332B">
        <w:rPr>
          <w:rFonts w:ascii="Book Antiqua" w:hAnsi="Book Antiqua" w:cs="Book Antiqua"/>
          <w:color w:val="000000" w:themeColor="text1"/>
        </w:rPr>
        <w:t xml:space="preserve"> A:</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the immune cell differential analysis between disulfidptosis related genes subgroups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B:</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 xml:space="preserve">resents the </w:t>
      </w:r>
      <w:r w:rsidRPr="00B6332B">
        <w:rPr>
          <w:rFonts w:ascii="Book Antiqua" w:eastAsia="宋体" w:hAnsi="Book Antiqua" w:cs="Book Antiqua" w:hint="eastAsia"/>
          <w:color w:val="000000" w:themeColor="text1"/>
          <w:lang w:eastAsia="zh-CN"/>
        </w:rPr>
        <w:t>p</w:t>
      </w:r>
      <w:r w:rsidRPr="00B6332B">
        <w:rPr>
          <w:rFonts w:ascii="Book Antiqua" w:hAnsi="Book Antiqua" w:cs="Book Antiqua"/>
          <w:color w:val="000000" w:themeColor="text1"/>
        </w:rPr>
        <w:t xml:space="preserve">rincipal </w:t>
      </w:r>
      <w:r w:rsidRPr="00B6332B">
        <w:rPr>
          <w:rFonts w:ascii="Book Antiqua" w:eastAsia="宋体" w:hAnsi="Book Antiqua" w:cs="Book Antiqua" w:hint="eastAsia"/>
          <w:color w:val="000000" w:themeColor="text1"/>
          <w:lang w:eastAsia="zh-CN"/>
        </w:rPr>
        <w:t>c</w:t>
      </w:r>
      <w:r w:rsidRPr="00B6332B">
        <w:rPr>
          <w:rFonts w:ascii="Book Antiqua" w:hAnsi="Book Antiqua" w:cs="Book Antiqua"/>
          <w:color w:val="000000" w:themeColor="text1"/>
        </w:rPr>
        <w:t xml:space="preserve">omponent </w:t>
      </w:r>
      <w:r w:rsidRPr="00B6332B">
        <w:rPr>
          <w:rFonts w:ascii="Book Antiqua" w:eastAsia="宋体" w:hAnsi="Book Antiqua" w:cs="Book Antiqua" w:hint="eastAsia"/>
          <w:color w:val="000000" w:themeColor="text1"/>
          <w:lang w:eastAsia="zh-CN"/>
        </w:rPr>
        <w:t>a</w:t>
      </w:r>
      <w:r w:rsidRPr="00B6332B">
        <w:rPr>
          <w:rFonts w:ascii="Book Antiqua" w:hAnsi="Book Antiqua" w:cs="Book Antiqua"/>
          <w:color w:val="000000" w:themeColor="text1"/>
        </w:rPr>
        <w:t>nalysis analysis of disulfidptosis related genes subgroups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C:</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the significantly different genes between disulfidptosis related genes subgroups</w:t>
      </w:r>
      <w:r w:rsidRPr="00B6332B">
        <w:rPr>
          <w:rFonts w:ascii="Book Antiqua" w:eastAsia="宋体" w:hAnsi="Book Antiqua" w:cs="Book Antiqua" w:hint="eastAsia"/>
          <w:color w:val="000000" w:themeColor="text1"/>
          <w:lang w:eastAsia="zh-CN"/>
        </w:rPr>
        <w:t xml:space="preserve">; </w:t>
      </w:r>
      <w:r w:rsidRPr="00B6332B">
        <w:rPr>
          <w:rFonts w:ascii="Book Antiqua" w:hAnsi="Book Antiqua" w:cs="Book Antiqua"/>
          <w:color w:val="000000" w:themeColor="text1"/>
        </w:rPr>
        <w:t>D:</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the gene ontology analysis of significantly different genes between disulfidptosis related genes subgroups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E:</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the kyoto encyclopedia of genes and genomes analysis of significantly different genes between disulfidptosis related genes subgroups.</w:t>
      </w:r>
    </w:p>
    <w:p w14:paraId="5310255D"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D7634EE"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AD967A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16944CE"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6E819150"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BB09B47"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4141DE51"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6FA9615"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1534683F" w14:textId="1F885056" w:rsidR="00E724E0" w:rsidRPr="00B6332B" w:rsidRDefault="002B2DCF">
      <w:pPr>
        <w:adjustRightInd w:val="0"/>
        <w:snapToGrid w:val="0"/>
        <w:spacing w:line="360" w:lineRule="auto"/>
        <w:jc w:val="both"/>
        <w:rPr>
          <w:color w:val="000000" w:themeColor="text1"/>
        </w:rPr>
      </w:pPr>
      <w:r w:rsidRPr="00B6332B">
        <w:rPr>
          <w:noProof/>
          <w:color w:val="000000" w:themeColor="text1"/>
        </w:rPr>
        <w:lastRenderedPageBreak/>
        <w:drawing>
          <wp:inline distT="0" distB="0" distL="0" distR="0" wp14:anchorId="22A64468" wp14:editId="5731185C">
            <wp:extent cx="2303145" cy="8229600"/>
            <wp:effectExtent l="0" t="0" r="0" b="0"/>
            <wp:docPr id="16325987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98720" name="图片 16325987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3145" cy="8229600"/>
                    </a:xfrm>
                    <a:prstGeom prst="rect">
                      <a:avLst/>
                    </a:prstGeom>
                  </pic:spPr>
                </pic:pic>
              </a:graphicData>
            </a:graphic>
          </wp:inline>
        </w:drawing>
      </w:r>
    </w:p>
    <w:p w14:paraId="168FE446"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b/>
          <w:bCs/>
          <w:color w:val="000000" w:themeColor="text1"/>
        </w:rPr>
        <w:lastRenderedPageBreak/>
        <w:t xml:space="preserve">Figure 6 The differential gene-related sample clustering matrix, clustering index, </w:t>
      </w:r>
      <w:r w:rsidRPr="00B6332B">
        <w:rPr>
          <w:rFonts w:ascii="Book Antiqua" w:eastAsia="宋体" w:hAnsi="Book Antiqua" w:cs="Book Antiqua" w:hint="eastAsia"/>
          <w:b/>
          <w:bCs/>
          <w:color w:val="000000" w:themeColor="text1"/>
          <w:lang w:eastAsia="zh-CN"/>
        </w:rPr>
        <w:t>cumulative distribution function</w:t>
      </w:r>
      <w:r w:rsidRPr="00B6332B">
        <w:rPr>
          <w:rFonts w:ascii="Book Antiqua" w:hAnsi="Book Antiqua" w:cs="Book Antiqua"/>
          <w:b/>
          <w:bCs/>
          <w:color w:val="000000" w:themeColor="text1"/>
        </w:rPr>
        <w:t xml:space="preserve"> curve, tracking plot, survival curve, heat map, differential analysis of disulfidptosis related genes, lasso regression plot, and cvfit plot are presented. </w:t>
      </w:r>
      <w:r w:rsidRPr="00B6332B">
        <w:rPr>
          <w:rFonts w:ascii="Book Antiqua" w:hAnsi="Book Antiqua" w:cs="Book Antiqua"/>
          <w:color w:val="000000" w:themeColor="text1"/>
        </w:rPr>
        <w:t>A:</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the clustering matrix of differential gene-related samples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B:</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the clustering index of differential gene-related samples</w:t>
      </w:r>
      <w:r w:rsidRPr="00B6332B">
        <w:rPr>
          <w:rFonts w:ascii="Book Antiqua" w:eastAsia="宋体" w:hAnsi="Book Antiqua" w:cs="Book Antiqua" w:hint="eastAsia"/>
          <w:color w:val="000000" w:themeColor="text1"/>
          <w:lang w:eastAsia="zh-CN"/>
        </w:rPr>
        <w:t xml:space="preserve">; </w:t>
      </w:r>
      <w:r w:rsidRPr="00B6332B">
        <w:rPr>
          <w:rFonts w:ascii="Book Antiqua" w:hAnsi="Book Antiqua" w:cs="Book Antiqua"/>
          <w:color w:val="000000" w:themeColor="text1"/>
        </w:rPr>
        <w:t>C:</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 xml:space="preserve">hows the relative change area of the </w:t>
      </w:r>
      <w:r w:rsidRPr="00B6332B">
        <w:rPr>
          <w:rFonts w:ascii="Book Antiqua" w:eastAsia="宋体" w:hAnsi="Book Antiqua" w:cs="Book Antiqua" w:hint="eastAsia"/>
          <w:color w:val="000000" w:themeColor="text1"/>
          <w:lang w:eastAsia="zh-CN"/>
        </w:rPr>
        <w:t>cumulative distribution function</w:t>
      </w:r>
      <w:r w:rsidRPr="00B6332B">
        <w:rPr>
          <w:rFonts w:ascii="Book Antiqua" w:eastAsia="宋体" w:hAnsi="Book Antiqua" w:cs="Book Antiqua" w:hint="eastAsia"/>
          <w:b/>
          <w:bCs/>
          <w:color w:val="000000" w:themeColor="text1"/>
          <w:lang w:eastAsia="zh-CN"/>
        </w:rPr>
        <w:t xml:space="preserve"> </w:t>
      </w:r>
      <w:r w:rsidRPr="00B6332B">
        <w:rPr>
          <w:rFonts w:ascii="Book Antiqua" w:hAnsi="Book Antiqua" w:cs="Book Antiqua"/>
          <w:color w:val="000000" w:themeColor="text1"/>
        </w:rPr>
        <w:t>curve of differential gene-related samples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D:</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the tracking plot of differential gene subgroups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E:</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the survival curve of differential gene-related samples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F:</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the heat map of differential gene-related samples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G:</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the differential analysis of disulfidptosis related genes between differential gene-related sample groups</w:t>
      </w:r>
      <w:r w:rsidRPr="00B6332B">
        <w:rPr>
          <w:rFonts w:ascii="Book Antiqua" w:eastAsia="宋体" w:hAnsi="Book Antiqua" w:cs="Book Antiqua" w:hint="eastAsia"/>
          <w:color w:val="000000" w:themeColor="text1"/>
          <w:lang w:eastAsia="zh-CN"/>
        </w:rPr>
        <w:t xml:space="preserve">; </w:t>
      </w:r>
      <w:r w:rsidRPr="00B6332B">
        <w:rPr>
          <w:rFonts w:ascii="Book Antiqua" w:hAnsi="Book Antiqua" w:cs="Book Antiqua"/>
          <w:color w:val="000000" w:themeColor="text1"/>
        </w:rPr>
        <w:t>H:</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the lasso regression plot</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I:</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the cvfit plot of the lasso regression.</w:t>
      </w:r>
    </w:p>
    <w:p w14:paraId="29350B6D"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3041EB3" w14:textId="397BE056" w:rsidR="00E724E0" w:rsidRPr="00B6332B" w:rsidRDefault="002B2DCF">
      <w:pPr>
        <w:adjustRightInd w:val="0"/>
        <w:snapToGrid w:val="0"/>
        <w:spacing w:line="360" w:lineRule="auto"/>
        <w:jc w:val="both"/>
        <w:rPr>
          <w:rFonts w:ascii="Book Antiqua" w:hAnsi="Book Antiqua" w:cs="Book Antiqua"/>
          <w:color w:val="000000" w:themeColor="text1"/>
        </w:rPr>
      </w:pPr>
      <w:r w:rsidRPr="00B6332B">
        <w:rPr>
          <w:noProof/>
          <w:color w:val="000000" w:themeColor="text1"/>
          <w:lang w:eastAsia="zh-CN"/>
        </w:rPr>
        <w:lastRenderedPageBreak/>
        <w:drawing>
          <wp:inline distT="0" distB="0" distL="0" distR="0" wp14:anchorId="4C2E751A" wp14:editId="4F6E57F4">
            <wp:extent cx="5882005" cy="8229600"/>
            <wp:effectExtent l="0" t="0" r="0" b="0"/>
            <wp:docPr id="8230337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33767" name="图片 8230337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82005" cy="8229600"/>
                    </a:xfrm>
                    <a:prstGeom prst="rect">
                      <a:avLst/>
                    </a:prstGeom>
                  </pic:spPr>
                </pic:pic>
              </a:graphicData>
            </a:graphic>
          </wp:inline>
        </w:drawing>
      </w:r>
    </w:p>
    <w:p w14:paraId="001AAB86" w14:textId="17B8A761"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b/>
          <w:bCs/>
          <w:color w:val="000000" w:themeColor="text1"/>
        </w:rPr>
        <w:lastRenderedPageBreak/>
        <w:t>Figure 7 Testing the reliability of prognostic models.</w:t>
      </w:r>
      <w:r w:rsidRPr="00B6332B">
        <w:rPr>
          <w:rFonts w:ascii="Book Antiqua" w:eastAsia="宋体" w:hAnsi="Book Antiqua" w:cs="Book Antiqua" w:hint="eastAsia"/>
          <w:color w:val="000000" w:themeColor="text1"/>
          <w:lang w:eastAsia="zh-CN"/>
        </w:rPr>
        <w:t xml:space="preserve"> </w:t>
      </w:r>
      <w:r w:rsidRPr="00B6332B">
        <w:rPr>
          <w:rFonts w:ascii="Book Antiqua" w:hAnsi="Book Antiqua" w:cs="Book Antiqua"/>
          <w:color w:val="000000" w:themeColor="text1"/>
        </w:rPr>
        <w:t>A:</w:t>
      </w:r>
      <w:r w:rsidRPr="00B6332B">
        <w:rPr>
          <w:rFonts w:ascii="Book Antiqua" w:eastAsia="宋体" w:hAnsi="Book Antiqua" w:cs="Book Antiqua" w:hint="eastAsia"/>
          <w:color w:val="000000" w:themeColor="text1"/>
          <w:lang w:eastAsia="zh-CN"/>
        </w:rPr>
        <w:t xml:space="preserve"> A</w:t>
      </w:r>
      <w:r w:rsidRPr="00B6332B">
        <w:rPr>
          <w:rFonts w:ascii="Book Antiqua" w:hAnsi="Book Antiqua" w:cs="Book Antiqua"/>
          <w:color w:val="000000" w:themeColor="text1"/>
        </w:rPr>
        <w:t xml:space="preserve"> Sankey diagram of the relationships between various data is presented</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B:</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a box plot of the disulfidptosis subtype</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C:</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a box plot of gene subtypes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D:</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the differential analysis of disulfidptosis related genes between high and low-risk groups.</w:t>
      </w:r>
    </w:p>
    <w:p w14:paraId="1A32D5C6"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B3FD936" w14:textId="5AE2932B" w:rsidR="00E724E0" w:rsidRPr="00B6332B" w:rsidRDefault="002B2DCF">
      <w:pPr>
        <w:adjustRightInd w:val="0"/>
        <w:snapToGrid w:val="0"/>
        <w:spacing w:line="360" w:lineRule="auto"/>
        <w:jc w:val="both"/>
        <w:rPr>
          <w:color w:val="000000" w:themeColor="text1"/>
        </w:rPr>
      </w:pPr>
      <w:r w:rsidRPr="00B6332B">
        <w:rPr>
          <w:noProof/>
          <w:color w:val="000000" w:themeColor="text1"/>
          <w:lang w:eastAsia="zh-CN"/>
        </w:rPr>
        <w:lastRenderedPageBreak/>
        <w:drawing>
          <wp:inline distT="0" distB="0" distL="0" distR="0" wp14:anchorId="41ABD062" wp14:editId="1FCE7BC1">
            <wp:extent cx="3901440" cy="8229600"/>
            <wp:effectExtent l="0" t="0" r="0" b="0"/>
            <wp:docPr id="2079139864"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39864" name="图片 10" descr="图示&#10;&#10;描述已自动生成"/>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1440" cy="8229600"/>
                    </a:xfrm>
                    <a:prstGeom prst="rect">
                      <a:avLst/>
                    </a:prstGeom>
                  </pic:spPr>
                </pic:pic>
              </a:graphicData>
            </a:graphic>
          </wp:inline>
        </w:drawing>
      </w:r>
    </w:p>
    <w:p w14:paraId="4B7CAB03"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b/>
          <w:bCs/>
          <w:color w:val="000000" w:themeColor="text1"/>
        </w:rPr>
        <w:lastRenderedPageBreak/>
        <w:t>Figure 8 The accuracy of the prognostic model was verified by subgroup analysis.</w:t>
      </w:r>
      <w:r w:rsidRPr="00B6332B">
        <w:rPr>
          <w:rFonts w:ascii="Book Antiqua" w:eastAsia="宋体" w:hAnsi="Book Antiqua" w:cs="Book Antiqua" w:hint="eastAsia"/>
          <w:b/>
          <w:bCs/>
          <w:color w:val="000000" w:themeColor="text1"/>
          <w:lang w:eastAsia="zh-CN"/>
        </w:rPr>
        <w:t xml:space="preserve"> </w:t>
      </w:r>
      <w:r w:rsidRPr="00B6332B">
        <w:rPr>
          <w:rFonts w:ascii="Book Antiqua" w:hAnsi="Book Antiqua" w:cs="Book Antiqua"/>
          <w:color w:val="000000" w:themeColor="text1"/>
        </w:rPr>
        <w:t>A-C:</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urvival curves between different groups are presented in panels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D-F: </w:t>
      </w:r>
      <w:r w:rsidRPr="00B6332B">
        <w:rPr>
          <w:rFonts w:ascii="Book Antiqua" w:eastAsia="宋体" w:hAnsi="Book Antiqua" w:cs="Book Antiqua" w:hint="eastAsia"/>
          <w:color w:val="000000" w:themeColor="text1"/>
          <w:lang w:eastAsia="zh-CN"/>
        </w:rPr>
        <w:t>S</w:t>
      </w:r>
      <w:r w:rsidRPr="00B6332B">
        <w:rPr>
          <w:rFonts w:ascii="Book Antiqua" w:hAnsi="Book Antiqua" w:cs="Book Antiqua"/>
          <w:color w:val="000000" w:themeColor="text1"/>
        </w:rPr>
        <w:t>how receiver operating characteristic curves between different 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G-I:</w:t>
      </w:r>
      <w:r w:rsidRPr="00B6332B">
        <w:rPr>
          <w:rFonts w:ascii="Book Antiqua" w:eastAsia="宋体" w:hAnsi="Book Antiqua" w:cs="Book Antiqua" w:hint="eastAsia"/>
          <w:color w:val="000000" w:themeColor="text1"/>
          <w:lang w:eastAsia="zh-CN"/>
        </w:rPr>
        <w:t xml:space="preserve"> </w:t>
      </w:r>
      <w:r w:rsidRPr="00B6332B">
        <w:rPr>
          <w:rFonts w:ascii="Book Antiqua" w:hAnsi="Book Antiqua" w:cs="Book Antiqua"/>
          <w:color w:val="000000" w:themeColor="text1"/>
        </w:rPr>
        <w:t>Risk curves for each group are presented</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J-L:</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 survival status plots for each group</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M-O:</w:t>
      </w:r>
      <w:r w:rsidRPr="00B6332B">
        <w:rPr>
          <w:rFonts w:ascii="Book Antiqua" w:eastAsia="宋体" w:hAnsi="Book Antiqua" w:cs="Book Antiqua" w:hint="eastAsia"/>
          <w:color w:val="000000" w:themeColor="text1"/>
          <w:lang w:eastAsia="zh-CN"/>
        </w:rPr>
        <w:t xml:space="preserve"> </w:t>
      </w:r>
      <w:r w:rsidRPr="00B6332B">
        <w:rPr>
          <w:rFonts w:ascii="Book Antiqua" w:hAnsi="Book Antiqua" w:cs="Book Antiqua"/>
          <w:color w:val="000000" w:themeColor="text1"/>
        </w:rPr>
        <w:t>Risk heat maps for each group are presented.</w:t>
      </w:r>
    </w:p>
    <w:p w14:paraId="08B97F90" w14:textId="55EA262A" w:rsidR="00E724E0" w:rsidRPr="00B6332B" w:rsidRDefault="002B2DCF">
      <w:pPr>
        <w:adjustRightInd w:val="0"/>
        <w:snapToGrid w:val="0"/>
        <w:spacing w:line="360" w:lineRule="auto"/>
        <w:jc w:val="both"/>
        <w:rPr>
          <w:rFonts w:ascii="Book Antiqua" w:hAnsi="Book Antiqua" w:cs="Book Antiqua"/>
          <w:color w:val="000000" w:themeColor="text1"/>
        </w:rPr>
      </w:pPr>
      <w:r w:rsidRPr="00B6332B">
        <w:rPr>
          <w:noProof/>
          <w:color w:val="000000" w:themeColor="text1"/>
          <w:lang w:eastAsia="zh-CN"/>
        </w:rPr>
        <w:lastRenderedPageBreak/>
        <w:drawing>
          <wp:inline distT="0" distB="0" distL="0" distR="0" wp14:anchorId="741428B7" wp14:editId="3335536E">
            <wp:extent cx="5943600" cy="8103870"/>
            <wp:effectExtent l="0" t="0" r="0" b="0"/>
            <wp:docPr id="736592412" name="图片 11" descr="图形用户界面, 图表,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92412" name="图片 11" descr="图形用户界面, 图表, 应用程序&#10;&#10;描述已自动生成"/>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103870"/>
                    </a:xfrm>
                    <a:prstGeom prst="rect">
                      <a:avLst/>
                    </a:prstGeom>
                  </pic:spPr>
                </pic:pic>
              </a:graphicData>
            </a:graphic>
          </wp:inline>
        </w:drawing>
      </w:r>
    </w:p>
    <w:p w14:paraId="4F5F7940" w14:textId="77777777" w:rsidR="00E724E0" w:rsidRPr="00B6332B" w:rsidRDefault="00000000">
      <w:pPr>
        <w:adjustRightInd w:val="0"/>
        <w:snapToGrid w:val="0"/>
        <w:spacing w:line="360" w:lineRule="auto"/>
        <w:jc w:val="both"/>
        <w:rPr>
          <w:rFonts w:ascii="Book Antiqua" w:eastAsia="宋体" w:hAnsi="Book Antiqua" w:cs="Book Antiqua"/>
          <w:color w:val="000000" w:themeColor="text1"/>
          <w:lang w:eastAsia="zh-CN"/>
        </w:rPr>
      </w:pPr>
      <w:r w:rsidRPr="00B6332B">
        <w:rPr>
          <w:rFonts w:ascii="Book Antiqua" w:hAnsi="Book Antiqua" w:cs="Book Antiqua"/>
          <w:b/>
          <w:bCs/>
          <w:color w:val="000000" w:themeColor="text1"/>
        </w:rPr>
        <w:lastRenderedPageBreak/>
        <w:t>Figure 9 Further analysis of prognostic models to screen potential therapeutic targets.</w:t>
      </w:r>
      <w:r w:rsidRPr="00B6332B">
        <w:rPr>
          <w:rFonts w:ascii="Book Antiqua" w:eastAsia="宋体" w:hAnsi="Book Antiqua" w:cs="Book Antiqua" w:hint="eastAsia"/>
          <w:b/>
          <w:bCs/>
          <w:color w:val="000000" w:themeColor="text1"/>
          <w:lang w:eastAsia="zh-CN"/>
        </w:rPr>
        <w:t xml:space="preserve"> </w:t>
      </w:r>
      <w:r w:rsidRPr="00B6332B">
        <w:rPr>
          <w:rFonts w:ascii="Book Antiqua" w:hAnsi="Book Antiqua" w:cs="Book Antiqua"/>
          <w:color w:val="000000" w:themeColor="text1"/>
        </w:rPr>
        <w:t>A:</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a column line chart</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B:</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a calibration curve</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C:</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resents a heat map of the correlation between model genes and immune cells</w:t>
      </w:r>
      <w:r w:rsidRPr="00B6332B">
        <w:rPr>
          <w:rFonts w:ascii="Book Antiqua" w:eastAsia="宋体" w:hAnsi="Book Antiqua" w:cs="Book Antiqua" w:hint="eastAsia"/>
          <w:color w:val="000000" w:themeColor="text1"/>
          <w:lang w:eastAsia="zh-CN"/>
        </w:rPr>
        <w:t xml:space="preserve">; D:The survival curve of </w:t>
      </w:r>
      <w:r w:rsidRPr="00B6332B">
        <w:rPr>
          <w:rFonts w:ascii="Book Antiqua" w:eastAsia="宋体" w:hAnsi="Book Antiqua" w:cs="Book Antiqua" w:hint="eastAsia"/>
          <w:i/>
          <w:iCs/>
          <w:color w:val="000000" w:themeColor="text1"/>
          <w:lang w:eastAsia="zh-CN"/>
        </w:rPr>
        <w:t>APOD</w:t>
      </w:r>
      <w:r w:rsidRPr="00B6332B">
        <w:rPr>
          <w:rFonts w:ascii="Book Antiqua" w:eastAsia="宋体" w:hAnsi="Book Antiqua" w:cs="Book Antiqua" w:hint="eastAsia"/>
          <w:color w:val="000000" w:themeColor="text1"/>
          <w:lang w:eastAsia="zh-CN"/>
        </w:rPr>
        <w:t xml:space="preserve"> in gastric cancer was significantly different between high and low risk groups (</w:t>
      </w:r>
      <w:bookmarkStart w:id="2" w:name="OLE_LINK2"/>
      <w:r w:rsidRPr="00B6332B">
        <w:rPr>
          <w:rFonts w:ascii="Book Antiqua" w:eastAsia="宋体" w:hAnsi="Book Antiqua" w:cs="Book Antiqua" w:hint="eastAsia"/>
          <w:i/>
          <w:iCs/>
          <w:color w:val="000000" w:themeColor="text1"/>
          <w:lang w:eastAsia="zh-CN"/>
        </w:rPr>
        <w:t xml:space="preserve">P </w:t>
      </w:r>
      <w:r w:rsidRPr="00B6332B">
        <w:rPr>
          <w:rFonts w:ascii="Book Antiqua" w:eastAsia="宋体" w:hAnsi="Book Antiqua" w:cs="Book Antiqua"/>
          <w:color w:val="000000" w:themeColor="text1"/>
          <w:lang w:eastAsia="zh-CN"/>
        </w:rPr>
        <w:t>&lt;</w:t>
      </w:r>
      <w:r w:rsidRPr="00B6332B">
        <w:rPr>
          <w:rFonts w:ascii="Book Antiqua" w:eastAsia="宋体" w:hAnsi="Book Antiqua" w:cs="Book Antiqua" w:hint="eastAsia"/>
          <w:color w:val="000000" w:themeColor="text1"/>
          <w:lang w:eastAsia="zh-CN"/>
        </w:rPr>
        <w:t xml:space="preserve"> 0.05</w:t>
      </w:r>
      <w:bookmarkEnd w:id="2"/>
      <w:r w:rsidRPr="00B6332B">
        <w:rPr>
          <w:rFonts w:ascii="Book Antiqua" w:eastAsia="宋体" w:hAnsi="Book Antiqua" w:cs="Book Antiqua" w:hint="eastAsia"/>
          <w:color w:val="000000" w:themeColor="text1"/>
          <w:lang w:eastAsia="zh-CN"/>
        </w:rPr>
        <w:t xml:space="preserve">); E: The survival curve of </w:t>
      </w:r>
      <w:r w:rsidRPr="00B6332B">
        <w:rPr>
          <w:rFonts w:ascii="Book Antiqua" w:eastAsia="宋体" w:hAnsi="Book Antiqua" w:cs="Book Antiqua" w:hint="eastAsia"/>
          <w:i/>
          <w:iCs/>
          <w:color w:val="000000" w:themeColor="text1"/>
          <w:lang w:eastAsia="zh-CN"/>
        </w:rPr>
        <w:t>PLS3</w:t>
      </w:r>
      <w:r w:rsidRPr="00B6332B">
        <w:rPr>
          <w:rFonts w:ascii="Book Antiqua" w:eastAsia="宋体" w:hAnsi="Book Antiqua" w:cs="Book Antiqua" w:hint="eastAsia"/>
          <w:color w:val="000000" w:themeColor="text1"/>
          <w:lang w:eastAsia="zh-CN"/>
        </w:rPr>
        <w:t xml:space="preserve"> in gastric cancer was shown between high and low risk groups, and the results suggested that the difference was not significant (</w:t>
      </w:r>
      <w:r w:rsidRPr="00B6332B">
        <w:rPr>
          <w:rFonts w:ascii="Book Antiqua" w:eastAsia="宋体" w:hAnsi="Book Antiqua" w:cs="Book Antiqua" w:hint="eastAsia"/>
          <w:i/>
          <w:iCs/>
          <w:color w:val="000000" w:themeColor="text1"/>
          <w:lang w:eastAsia="zh-CN"/>
        </w:rPr>
        <w:t xml:space="preserve">P </w:t>
      </w:r>
      <w:r w:rsidRPr="00B6332B">
        <w:rPr>
          <w:rFonts w:ascii="Book Antiqua" w:eastAsia="宋体" w:hAnsi="Book Antiqua" w:cs="Book Antiqua"/>
          <w:color w:val="000000" w:themeColor="text1"/>
          <w:lang w:eastAsia="zh-CN"/>
        </w:rPr>
        <w:t>&gt;</w:t>
      </w:r>
      <w:r w:rsidRPr="00B6332B">
        <w:rPr>
          <w:rFonts w:ascii="Book Antiqua" w:eastAsia="宋体" w:hAnsi="Book Antiqua" w:cs="Book Antiqua" w:hint="eastAsia"/>
          <w:color w:val="000000" w:themeColor="text1"/>
          <w:lang w:eastAsia="zh-CN"/>
        </w:rPr>
        <w:t xml:space="preserve"> 0.05).</w:t>
      </w:r>
    </w:p>
    <w:p w14:paraId="1CBB6019" w14:textId="2C9A99C3" w:rsidR="00E724E0" w:rsidRPr="00B6332B" w:rsidRDefault="002B2DCF">
      <w:pPr>
        <w:adjustRightInd w:val="0"/>
        <w:snapToGrid w:val="0"/>
        <w:spacing w:line="360" w:lineRule="auto"/>
        <w:jc w:val="both"/>
        <w:rPr>
          <w:rFonts w:ascii="Book Antiqua" w:hAnsi="Book Antiqua" w:cs="Book Antiqua"/>
          <w:color w:val="000000" w:themeColor="text1"/>
        </w:rPr>
      </w:pPr>
      <w:r w:rsidRPr="00B6332B">
        <w:rPr>
          <w:noProof/>
          <w:color w:val="000000" w:themeColor="text1"/>
          <w:lang w:eastAsia="zh-CN"/>
        </w:rPr>
        <w:lastRenderedPageBreak/>
        <w:drawing>
          <wp:inline distT="0" distB="0" distL="0" distR="0" wp14:anchorId="641CD5DA" wp14:editId="6EFB2131">
            <wp:extent cx="2923540" cy="8229600"/>
            <wp:effectExtent l="0" t="0" r="0" b="0"/>
            <wp:docPr id="1107519352" name="图片 1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519352" name="图片 12" descr="图示&#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3540" cy="8229600"/>
                    </a:xfrm>
                    <a:prstGeom prst="rect">
                      <a:avLst/>
                    </a:prstGeom>
                  </pic:spPr>
                </pic:pic>
              </a:graphicData>
            </a:graphic>
          </wp:inline>
        </w:drawing>
      </w:r>
    </w:p>
    <w:p w14:paraId="5B625C5F" w14:textId="77777777" w:rsidR="00E724E0" w:rsidRPr="00B6332B" w:rsidRDefault="00000000">
      <w:pPr>
        <w:adjustRightInd w:val="0"/>
        <w:snapToGrid w:val="0"/>
        <w:spacing w:line="360" w:lineRule="auto"/>
        <w:jc w:val="both"/>
        <w:rPr>
          <w:rFonts w:ascii="Book Antiqua" w:eastAsia="宋体" w:hAnsi="Book Antiqua" w:cs="Book Antiqua"/>
          <w:color w:val="000000" w:themeColor="text1"/>
          <w:lang w:eastAsia="zh-CN"/>
        </w:rPr>
      </w:pPr>
      <w:r w:rsidRPr="00B6332B">
        <w:rPr>
          <w:rFonts w:ascii="Book Antiqua" w:hAnsi="Book Antiqua" w:cs="Book Antiqua"/>
          <w:b/>
          <w:bCs/>
          <w:color w:val="000000" w:themeColor="text1"/>
        </w:rPr>
        <w:lastRenderedPageBreak/>
        <w:t xml:space="preserve">Figure 10 </w:t>
      </w:r>
      <w:r w:rsidRPr="00B6332B">
        <w:rPr>
          <w:rFonts w:ascii="Book Antiqua" w:eastAsia="宋体" w:hAnsi="Book Antiqua" w:cs="Book Antiqua" w:hint="eastAsia"/>
          <w:b/>
          <w:bCs/>
          <w:color w:val="000000" w:themeColor="text1"/>
          <w:lang w:eastAsia="zh-CN"/>
        </w:rPr>
        <w:t>T</w:t>
      </w:r>
      <w:r w:rsidRPr="00B6332B">
        <w:rPr>
          <w:rFonts w:ascii="Book Antiqua" w:hAnsi="Book Antiqua" w:cs="Book Antiqua"/>
          <w:b/>
          <w:bCs/>
          <w:color w:val="000000" w:themeColor="text1"/>
        </w:rPr>
        <w:t>he correlation between immune cells and risk scores is analyzed.</w:t>
      </w:r>
      <w:r w:rsidRPr="00B6332B">
        <w:rPr>
          <w:rFonts w:ascii="Book Antiqua" w:eastAsia="宋体" w:hAnsi="Book Antiqua" w:cs="Book Antiqua" w:hint="eastAsia"/>
          <w:b/>
          <w:bCs/>
          <w:color w:val="000000" w:themeColor="text1"/>
          <w:lang w:eastAsia="zh-CN"/>
        </w:rPr>
        <w:t xml:space="preserve"> </w:t>
      </w:r>
      <w:r w:rsidRPr="00B6332B">
        <w:rPr>
          <w:rFonts w:ascii="Book Antiqua" w:eastAsia="宋体" w:hAnsi="Book Antiqua" w:cs="Book Antiqua"/>
          <w:color w:val="000000" w:themeColor="text1"/>
          <w:lang w:eastAsia="zh-CN"/>
        </w:rPr>
        <w:t>A</w:t>
      </w:r>
      <w:r w:rsidRPr="00B6332B">
        <w:rPr>
          <w:rFonts w:ascii="Book Antiqua" w:eastAsia="宋体" w:hAnsi="Book Antiqua" w:cs="Book Antiqua" w:hint="eastAsia"/>
          <w:color w:val="000000" w:themeColor="text1"/>
          <w:lang w:eastAsia="zh-CN"/>
        </w:rPr>
        <w:t xml:space="preserve">: </w:t>
      </w:r>
      <w:r w:rsidRPr="00B6332B">
        <w:rPr>
          <w:rFonts w:ascii="Book Antiqua" w:eastAsia="宋体" w:hAnsi="Book Antiqua" w:cs="Book Antiqua"/>
          <w:color w:val="000000" w:themeColor="text1"/>
          <w:lang w:eastAsia="zh-CN"/>
        </w:rPr>
        <w:t xml:space="preserve">There was a positive correlation between B cells naive and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B: The result shows that </w:t>
      </w:r>
      <w:r w:rsidRPr="00B6332B">
        <w:rPr>
          <w:rFonts w:ascii="Book Antiqua" w:eastAsia="宋体" w:hAnsi="Book Antiqua" w:cs="Book Antiqua" w:hint="eastAsia"/>
          <w:color w:val="000000" w:themeColor="text1"/>
          <w:lang w:eastAsia="zh-CN"/>
        </w:rPr>
        <w:t>m</w:t>
      </w:r>
      <w:r w:rsidRPr="00B6332B">
        <w:rPr>
          <w:rFonts w:ascii="Book Antiqua" w:eastAsia="宋体" w:hAnsi="Book Antiqua" w:cs="Book Antiqua"/>
          <w:color w:val="000000" w:themeColor="text1"/>
          <w:lang w:eastAsia="zh-CN"/>
        </w:rPr>
        <w:t xml:space="preserve">acrophages M0 is negatively correlated with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C: The results showed that </w:t>
      </w:r>
      <w:r w:rsidRPr="00B6332B">
        <w:rPr>
          <w:rFonts w:ascii="Book Antiqua" w:eastAsia="宋体" w:hAnsi="Book Antiqua" w:cs="Book Antiqua" w:hint="eastAsia"/>
          <w:color w:val="000000" w:themeColor="text1"/>
          <w:lang w:eastAsia="zh-CN"/>
        </w:rPr>
        <w:t>m</w:t>
      </w:r>
      <w:r w:rsidRPr="00B6332B">
        <w:rPr>
          <w:rFonts w:ascii="Book Antiqua" w:eastAsia="宋体" w:hAnsi="Book Antiqua" w:cs="Book Antiqua"/>
          <w:color w:val="000000" w:themeColor="text1"/>
          <w:lang w:eastAsia="zh-CN"/>
        </w:rPr>
        <w:t xml:space="preserve">acrophages M1 was positively correlated with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D: The results showed that </w:t>
      </w:r>
      <w:r w:rsidRPr="00B6332B">
        <w:rPr>
          <w:rFonts w:ascii="Book Antiqua" w:eastAsia="宋体" w:hAnsi="Book Antiqua" w:cs="Book Antiqua" w:hint="eastAsia"/>
          <w:color w:val="000000" w:themeColor="text1"/>
          <w:lang w:eastAsia="zh-CN"/>
        </w:rPr>
        <w:t>m</w:t>
      </w:r>
      <w:r w:rsidRPr="00B6332B">
        <w:rPr>
          <w:rFonts w:ascii="Book Antiqua" w:eastAsia="宋体" w:hAnsi="Book Antiqua" w:cs="Book Antiqua"/>
          <w:color w:val="000000" w:themeColor="text1"/>
          <w:lang w:eastAsia="zh-CN"/>
        </w:rPr>
        <w:t xml:space="preserve">acrophages M2 was positively correlated with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E: There was a negative correlation between </w:t>
      </w:r>
      <w:r w:rsidRPr="00B6332B">
        <w:rPr>
          <w:rFonts w:ascii="Book Antiqua" w:eastAsia="宋体" w:hAnsi="Book Antiqua" w:cs="Book Antiqua" w:hint="eastAsia"/>
          <w:color w:val="000000" w:themeColor="text1"/>
          <w:lang w:eastAsia="zh-CN"/>
        </w:rPr>
        <w:t>m</w:t>
      </w:r>
      <w:r w:rsidRPr="00B6332B">
        <w:rPr>
          <w:rFonts w:ascii="Book Antiqua" w:eastAsia="宋体" w:hAnsi="Book Antiqua" w:cs="Book Antiqua"/>
          <w:color w:val="000000" w:themeColor="text1"/>
          <w:lang w:eastAsia="zh-CN"/>
        </w:rPr>
        <w:t xml:space="preserve">ast cells activated and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F: The results showed that </w:t>
      </w:r>
      <w:r w:rsidRPr="00B6332B">
        <w:rPr>
          <w:rFonts w:ascii="Book Antiqua" w:eastAsia="宋体" w:hAnsi="Book Antiqua" w:cs="Book Antiqua" w:hint="eastAsia"/>
          <w:color w:val="000000" w:themeColor="text1"/>
          <w:lang w:eastAsia="zh-CN"/>
        </w:rPr>
        <w:t>m</w:t>
      </w:r>
      <w:r w:rsidRPr="00B6332B">
        <w:rPr>
          <w:rFonts w:ascii="Book Antiqua" w:eastAsia="宋体" w:hAnsi="Book Antiqua" w:cs="Book Antiqua"/>
          <w:color w:val="000000" w:themeColor="text1"/>
          <w:lang w:eastAsia="zh-CN"/>
        </w:rPr>
        <w:t xml:space="preserve">ast cells reting was </w:t>
      </w:r>
      <w:bookmarkStart w:id="3" w:name="OLE_LINK3"/>
      <w:r w:rsidRPr="00B6332B">
        <w:rPr>
          <w:rFonts w:ascii="Book Antiqua" w:eastAsia="宋体" w:hAnsi="Book Antiqua" w:cs="Book Antiqua"/>
          <w:color w:val="000000" w:themeColor="text1"/>
          <w:lang w:eastAsia="zh-CN"/>
        </w:rPr>
        <w:t>positively</w:t>
      </w:r>
      <w:bookmarkEnd w:id="3"/>
      <w:r w:rsidRPr="00B6332B">
        <w:rPr>
          <w:rFonts w:ascii="Book Antiqua" w:eastAsia="宋体" w:hAnsi="Book Antiqua" w:cs="Book Antiqua"/>
          <w:color w:val="000000" w:themeColor="text1"/>
          <w:lang w:eastAsia="zh-CN"/>
        </w:rPr>
        <w:t xml:space="preserve"> correlated with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G: There was a positive correlation between </w:t>
      </w:r>
      <w:r w:rsidRPr="00B6332B">
        <w:rPr>
          <w:rFonts w:ascii="Book Antiqua" w:eastAsia="宋体" w:hAnsi="Book Antiqua" w:cs="Book Antiqua" w:hint="eastAsia"/>
          <w:color w:val="000000" w:themeColor="text1"/>
          <w:lang w:eastAsia="zh-CN"/>
        </w:rPr>
        <w:t>m</w:t>
      </w:r>
      <w:r w:rsidRPr="00B6332B">
        <w:rPr>
          <w:rFonts w:ascii="Book Antiqua" w:eastAsia="宋体" w:hAnsi="Book Antiqua" w:cs="Book Antiqua"/>
          <w:color w:val="000000" w:themeColor="text1"/>
          <w:lang w:eastAsia="zh-CN"/>
        </w:rPr>
        <w:t xml:space="preserve">onocytes and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H: There was a negative correlation between </w:t>
      </w:r>
      <w:r w:rsidRPr="00B6332B">
        <w:rPr>
          <w:rFonts w:ascii="Book Antiqua" w:eastAsia="宋体" w:hAnsi="Book Antiqua" w:cs="Book Antiqua" w:hint="eastAsia"/>
          <w:color w:val="000000" w:themeColor="text1"/>
          <w:lang w:eastAsia="zh-CN"/>
        </w:rPr>
        <w:t>n</w:t>
      </w:r>
      <w:r w:rsidRPr="00B6332B">
        <w:rPr>
          <w:rFonts w:ascii="Book Antiqua" w:eastAsia="宋体" w:hAnsi="Book Antiqua" w:cs="Book Antiqua"/>
          <w:color w:val="000000" w:themeColor="text1"/>
          <w:lang w:eastAsia="zh-CN"/>
        </w:rPr>
        <w:t xml:space="preserve">atural </w:t>
      </w:r>
      <w:r w:rsidRPr="00B6332B">
        <w:rPr>
          <w:rFonts w:ascii="Book Antiqua" w:eastAsia="宋体" w:hAnsi="Book Antiqua" w:cs="Book Antiqua" w:hint="eastAsia"/>
          <w:color w:val="000000" w:themeColor="text1"/>
          <w:lang w:eastAsia="zh-CN"/>
        </w:rPr>
        <w:t>k</w:t>
      </w:r>
      <w:r w:rsidRPr="00B6332B">
        <w:rPr>
          <w:rFonts w:ascii="Book Antiqua" w:eastAsia="宋体" w:hAnsi="Book Antiqua" w:cs="Book Antiqua"/>
          <w:color w:val="000000" w:themeColor="text1"/>
          <w:lang w:eastAsia="zh-CN"/>
        </w:rPr>
        <w:t xml:space="preserve">iller cells activated and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isk score; I:</w:t>
      </w:r>
      <w:r w:rsidRPr="00B6332B">
        <w:rPr>
          <w:rFonts w:ascii="Book Antiqua" w:eastAsia="宋体" w:hAnsi="Book Antiqua" w:cs="Book Antiqua" w:hint="eastAsia"/>
          <w:color w:val="000000" w:themeColor="text1"/>
          <w:lang w:eastAsia="zh-CN"/>
        </w:rPr>
        <w:t xml:space="preserve"> </w:t>
      </w:r>
      <w:r w:rsidRPr="00B6332B">
        <w:rPr>
          <w:rFonts w:ascii="Book Antiqua" w:eastAsia="宋体" w:hAnsi="Book Antiqua" w:cs="Book Antiqua"/>
          <w:color w:val="000000" w:themeColor="text1"/>
          <w:lang w:eastAsia="zh-CN"/>
        </w:rPr>
        <w:t xml:space="preserve">There was a negative correlation between </w:t>
      </w:r>
      <w:r w:rsidRPr="00B6332B">
        <w:rPr>
          <w:rFonts w:ascii="Book Antiqua" w:eastAsia="宋体" w:hAnsi="Book Antiqua" w:cs="Book Antiqua" w:hint="eastAsia"/>
          <w:color w:val="000000" w:themeColor="text1"/>
          <w:lang w:eastAsia="zh-CN"/>
        </w:rPr>
        <w:t>p</w:t>
      </w:r>
      <w:r w:rsidRPr="00B6332B">
        <w:rPr>
          <w:rFonts w:ascii="Book Antiqua" w:eastAsia="宋体" w:hAnsi="Book Antiqua" w:cs="Book Antiqua"/>
          <w:color w:val="000000" w:themeColor="text1"/>
          <w:lang w:eastAsia="zh-CN"/>
        </w:rPr>
        <w:t xml:space="preserve">lasma cells and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J: There was a positive correlation between T cells CD4 naive and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K: It showed that T cells follicular helper was negatively correlated with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L: There was a positive correlation between T cells gamma delta and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 xml:space="preserve">isk score; M: There was a positive correlation between T cells regulation and </w:t>
      </w:r>
      <w:r w:rsidRPr="00B6332B">
        <w:rPr>
          <w:rFonts w:ascii="Book Antiqua" w:eastAsia="宋体" w:hAnsi="Book Antiqua" w:cs="Book Antiqua" w:hint="eastAsia"/>
          <w:color w:val="000000" w:themeColor="text1"/>
          <w:lang w:eastAsia="zh-CN"/>
        </w:rPr>
        <w:t>r</w:t>
      </w:r>
      <w:r w:rsidRPr="00B6332B">
        <w:rPr>
          <w:rFonts w:ascii="Book Antiqua" w:eastAsia="宋体" w:hAnsi="Book Antiqua" w:cs="Book Antiqua"/>
          <w:color w:val="000000" w:themeColor="text1"/>
          <w:lang w:eastAsia="zh-CN"/>
        </w:rPr>
        <w:t>isk score.</w:t>
      </w:r>
    </w:p>
    <w:p w14:paraId="677E98AD"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7EB421D3" w14:textId="7098B5F4" w:rsidR="00E724E0" w:rsidRPr="00B6332B" w:rsidRDefault="002B2DCF">
      <w:pPr>
        <w:adjustRightInd w:val="0"/>
        <w:snapToGrid w:val="0"/>
        <w:spacing w:line="360" w:lineRule="auto"/>
        <w:jc w:val="both"/>
        <w:rPr>
          <w:rFonts w:ascii="Book Antiqua" w:hAnsi="Book Antiqua" w:cs="Book Antiqua"/>
          <w:b/>
          <w:bCs/>
          <w:color w:val="000000" w:themeColor="text1"/>
        </w:rPr>
      </w:pPr>
      <w:r w:rsidRPr="00B6332B">
        <w:rPr>
          <w:noProof/>
          <w:color w:val="000000" w:themeColor="text1"/>
          <w:lang w:eastAsia="zh-CN"/>
        </w:rPr>
        <w:lastRenderedPageBreak/>
        <w:drawing>
          <wp:inline distT="0" distB="0" distL="0" distR="0" wp14:anchorId="59260FEA" wp14:editId="5509AB3D">
            <wp:extent cx="3415030" cy="8229600"/>
            <wp:effectExtent l="0" t="0" r="0" b="0"/>
            <wp:docPr id="6843726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72640" name="图片 68437264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15030" cy="8229600"/>
                    </a:xfrm>
                    <a:prstGeom prst="rect">
                      <a:avLst/>
                    </a:prstGeom>
                  </pic:spPr>
                </pic:pic>
              </a:graphicData>
            </a:graphic>
          </wp:inline>
        </w:drawing>
      </w:r>
    </w:p>
    <w:p w14:paraId="5F829AF4" w14:textId="77777777" w:rsidR="00E724E0" w:rsidRPr="00B6332B" w:rsidRDefault="00000000">
      <w:pPr>
        <w:adjustRightInd w:val="0"/>
        <w:snapToGrid w:val="0"/>
        <w:spacing w:line="360" w:lineRule="auto"/>
        <w:jc w:val="both"/>
        <w:rPr>
          <w:rFonts w:ascii="Book Antiqua" w:hAnsi="Book Antiqua" w:cs="Book Antiqua"/>
          <w:color w:val="000000" w:themeColor="text1"/>
        </w:rPr>
      </w:pPr>
      <w:r w:rsidRPr="00B6332B">
        <w:rPr>
          <w:rFonts w:ascii="Book Antiqua" w:hAnsi="Book Antiqua" w:cs="Book Antiqua"/>
          <w:b/>
          <w:bCs/>
          <w:color w:val="000000" w:themeColor="text1"/>
        </w:rPr>
        <w:lastRenderedPageBreak/>
        <w:t xml:space="preserve">Figure 11 </w:t>
      </w:r>
      <w:r w:rsidRPr="00B6332B">
        <w:rPr>
          <w:rFonts w:ascii="Book Antiqua" w:eastAsia="宋体" w:hAnsi="Book Antiqua" w:cs="Book Antiqua" w:hint="eastAsia"/>
          <w:b/>
          <w:bCs/>
          <w:color w:val="000000" w:themeColor="text1"/>
          <w:lang w:eastAsia="zh-CN"/>
        </w:rPr>
        <w:t>T</w:t>
      </w:r>
      <w:r w:rsidRPr="00B6332B">
        <w:rPr>
          <w:rFonts w:ascii="Book Antiqua" w:hAnsi="Book Antiqua" w:cs="Book Antiqua"/>
          <w:b/>
          <w:bCs/>
          <w:color w:val="000000" w:themeColor="text1"/>
        </w:rPr>
        <w:t xml:space="preserve">he correlation between the prognostic scoring model and tumor microenvironment, microsatellite instability, and RNAss, as well as drug sensitivity analysis, is presented. </w:t>
      </w:r>
      <w:r w:rsidRPr="00B6332B">
        <w:rPr>
          <w:rFonts w:ascii="Book Antiqua" w:hAnsi="Book Antiqua" w:cs="Book Antiqua"/>
          <w:color w:val="000000" w:themeColor="text1"/>
        </w:rPr>
        <w:t>A:</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the tumor microenvironment score for high and low-risk 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B</w:t>
      </w:r>
      <w:r w:rsidRPr="00B6332B">
        <w:rPr>
          <w:rFonts w:ascii="Book Antiqua" w:eastAsia="宋体" w:hAnsi="Book Antiqua" w:cs="Book Antiqua" w:hint="eastAsia"/>
          <w:color w:val="000000" w:themeColor="text1"/>
          <w:lang w:eastAsia="zh-CN"/>
        </w:rPr>
        <w:t xml:space="preserve"> and </w:t>
      </w:r>
      <w:r w:rsidRPr="00B6332B">
        <w:rPr>
          <w:rFonts w:ascii="Book Antiqua" w:hAnsi="Book Antiqua" w:cs="Book Antiqua"/>
          <w:color w:val="000000" w:themeColor="text1"/>
        </w:rPr>
        <w:t>C:</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 waterfall plots of mutations for high and low-risk 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D:</w:t>
      </w:r>
      <w:r w:rsidRPr="00B6332B">
        <w:rPr>
          <w:rFonts w:ascii="Book Antiqua" w:eastAsia="宋体" w:hAnsi="Book Antiqua" w:cs="Book Antiqua" w:hint="eastAsia"/>
          <w:color w:val="000000" w:themeColor="text1"/>
          <w:lang w:eastAsia="zh-CN"/>
        </w:rPr>
        <w:t xml:space="preserve"> A</w:t>
      </w:r>
      <w:r w:rsidRPr="00B6332B">
        <w:rPr>
          <w:rFonts w:ascii="Book Antiqua" w:hAnsi="Book Antiqua" w:cs="Book Antiqua"/>
          <w:color w:val="000000" w:themeColor="text1"/>
        </w:rPr>
        <w:t>nalyzes the differences in tumor mutation burden between high and low-risk 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E:</w:t>
      </w:r>
      <w:r w:rsidRPr="00B6332B">
        <w:rPr>
          <w:rFonts w:ascii="Book Antiqua" w:eastAsia="宋体" w:hAnsi="Book Antiqua" w:cs="Book Antiqua" w:hint="eastAsia"/>
          <w:color w:val="000000" w:themeColor="text1"/>
          <w:lang w:eastAsia="zh-CN"/>
        </w:rPr>
        <w:t xml:space="preserve"> S</w:t>
      </w:r>
      <w:r w:rsidRPr="00B6332B">
        <w:rPr>
          <w:rFonts w:ascii="Book Antiqua" w:hAnsi="Book Antiqua" w:cs="Book Antiqua"/>
          <w:color w:val="000000" w:themeColor="text1"/>
        </w:rPr>
        <w:t>hows the relationship between tumor mutation burden and risk score</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F</w:t>
      </w:r>
      <w:r w:rsidRPr="00B6332B">
        <w:rPr>
          <w:rFonts w:ascii="Book Antiqua" w:eastAsia="宋体" w:hAnsi="Book Antiqua" w:cs="Book Antiqua" w:hint="eastAsia"/>
          <w:color w:val="000000" w:themeColor="text1"/>
          <w:lang w:eastAsia="zh-CN"/>
        </w:rPr>
        <w:t xml:space="preserve"> and </w:t>
      </w:r>
      <w:r w:rsidRPr="00B6332B">
        <w:rPr>
          <w:rFonts w:ascii="Book Antiqua" w:hAnsi="Book Antiqua" w:cs="Book Antiqua"/>
          <w:color w:val="000000" w:themeColor="text1"/>
        </w:rPr>
        <w:t>G:</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 microsatellite instability analysis for high and low-risk groups</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H:</w:t>
      </w:r>
      <w:r w:rsidRPr="00B6332B">
        <w:rPr>
          <w:rFonts w:ascii="Book Antiqua" w:eastAsia="宋体" w:hAnsi="Book Antiqua" w:cs="Book Antiqua" w:hint="eastAsia"/>
          <w:color w:val="000000" w:themeColor="text1"/>
          <w:lang w:eastAsia="zh-CN"/>
        </w:rPr>
        <w:t xml:space="preserve"> A</w:t>
      </w:r>
      <w:r w:rsidRPr="00B6332B">
        <w:rPr>
          <w:rFonts w:ascii="Book Antiqua" w:hAnsi="Book Antiqua" w:cs="Book Antiqua"/>
          <w:color w:val="000000" w:themeColor="text1"/>
        </w:rPr>
        <w:t>nalyzes the correlation between stem cells and risk score</w:t>
      </w:r>
      <w:r w:rsidRPr="00B6332B">
        <w:rPr>
          <w:rFonts w:ascii="Book Antiqua" w:eastAsia="宋体" w:hAnsi="Book Antiqua" w:cs="Book Antiqua" w:hint="eastAsia"/>
          <w:color w:val="000000" w:themeColor="text1"/>
          <w:lang w:eastAsia="zh-CN"/>
        </w:rPr>
        <w:t>;</w:t>
      </w:r>
      <w:r w:rsidRPr="00B6332B">
        <w:rPr>
          <w:rFonts w:ascii="Book Antiqua" w:hAnsi="Book Antiqua" w:cs="Book Antiqua"/>
          <w:color w:val="000000" w:themeColor="text1"/>
        </w:rPr>
        <w:t xml:space="preserve"> I</w:t>
      </w:r>
      <w:r w:rsidRPr="00B6332B">
        <w:rPr>
          <w:rFonts w:ascii="Book Antiqua" w:eastAsia="宋体" w:hAnsi="Book Antiqua" w:cs="Book Antiqua" w:hint="eastAsia"/>
          <w:color w:val="000000" w:themeColor="text1"/>
          <w:lang w:eastAsia="zh-CN"/>
        </w:rPr>
        <w:t xml:space="preserve"> and </w:t>
      </w:r>
      <w:r w:rsidRPr="00B6332B">
        <w:rPr>
          <w:rFonts w:ascii="Book Antiqua" w:hAnsi="Book Antiqua" w:cs="Book Antiqua"/>
          <w:color w:val="000000" w:themeColor="text1"/>
        </w:rPr>
        <w:t>J:</w:t>
      </w:r>
      <w:r w:rsidRPr="00B6332B">
        <w:rPr>
          <w:rFonts w:ascii="Book Antiqua" w:eastAsia="宋体" w:hAnsi="Book Antiqua" w:cs="Book Antiqua" w:hint="eastAsia"/>
          <w:color w:val="000000" w:themeColor="text1"/>
          <w:lang w:eastAsia="zh-CN"/>
        </w:rPr>
        <w:t xml:space="preserve"> P</w:t>
      </w:r>
      <w:r w:rsidRPr="00B6332B">
        <w:rPr>
          <w:rFonts w:ascii="Book Antiqua" w:hAnsi="Book Antiqua" w:cs="Book Antiqua"/>
          <w:color w:val="000000" w:themeColor="text1"/>
        </w:rPr>
        <w:t>resent drug sensitivity analysis for drugs such as Bosutinib and Bryostatin.</w:t>
      </w:r>
    </w:p>
    <w:p w14:paraId="307F73DC" w14:textId="77777777" w:rsidR="00E724E0" w:rsidRPr="00B6332B" w:rsidRDefault="00E724E0">
      <w:pPr>
        <w:adjustRightInd w:val="0"/>
        <w:snapToGrid w:val="0"/>
        <w:spacing w:line="360" w:lineRule="auto"/>
        <w:jc w:val="both"/>
        <w:rPr>
          <w:rFonts w:ascii="Book Antiqua" w:hAnsi="Book Antiqua" w:cs="Book Antiqua"/>
          <w:color w:val="000000" w:themeColor="text1"/>
        </w:rPr>
      </w:pPr>
    </w:p>
    <w:p w14:paraId="248C8402" w14:textId="1298AE69" w:rsidR="00E724E0" w:rsidRPr="00B6332B" w:rsidRDefault="002B2DCF">
      <w:pPr>
        <w:adjustRightInd w:val="0"/>
        <w:snapToGrid w:val="0"/>
        <w:spacing w:line="360" w:lineRule="auto"/>
        <w:jc w:val="both"/>
        <w:rPr>
          <w:rFonts w:ascii="Book Antiqua" w:hAnsi="Book Antiqua" w:cs="Book Antiqua"/>
          <w:b/>
          <w:bCs/>
          <w:color w:val="000000" w:themeColor="text1"/>
        </w:rPr>
      </w:pPr>
      <w:r w:rsidRPr="00B6332B">
        <w:rPr>
          <w:noProof/>
          <w:color w:val="000000" w:themeColor="text1"/>
          <w:lang w:eastAsia="zh-CN"/>
        </w:rPr>
        <w:drawing>
          <wp:inline distT="0" distB="0" distL="0" distR="0" wp14:anchorId="3E1E90AC" wp14:editId="0667BEA6">
            <wp:extent cx="5943600" cy="1660525"/>
            <wp:effectExtent l="0" t="0" r="0" b="0"/>
            <wp:docPr id="1830196279" name="图片 14"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196279" name="图片 14" descr="图片包含 图形用户界面&#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660525"/>
                    </a:xfrm>
                    <a:prstGeom prst="rect">
                      <a:avLst/>
                    </a:prstGeom>
                  </pic:spPr>
                </pic:pic>
              </a:graphicData>
            </a:graphic>
          </wp:inline>
        </w:drawing>
      </w:r>
    </w:p>
    <w:p w14:paraId="3DB10656" w14:textId="19D89575" w:rsidR="00985DBE" w:rsidRPr="00B6332B" w:rsidRDefault="00000000">
      <w:pPr>
        <w:adjustRightInd w:val="0"/>
        <w:snapToGrid w:val="0"/>
        <w:spacing w:line="360" w:lineRule="auto"/>
        <w:jc w:val="both"/>
        <w:rPr>
          <w:rFonts w:ascii="Book Antiqua" w:eastAsia="宋体" w:hAnsi="Book Antiqua" w:cs="Book Antiqua"/>
          <w:color w:val="000000" w:themeColor="text1"/>
          <w:lang w:eastAsia="zh-CN"/>
        </w:rPr>
      </w:pPr>
      <w:r w:rsidRPr="00B6332B">
        <w:rPr>
          <w:rFonts w:ascii="Book Antiqua" w:hAnsi="Book Antiqua" w:cs="Book Antiqua"/>
          <w:b/>
          <w:bCs/>
          <w:color w:val="000000" w:themeColor="text1"/>
        </w:rPr>
        <w:t xml:space="preserve">Figure 12 </w:t>
      </w:r>
      <w:r w:rsidRPr="00B6332B">
        <w:rPr>
          <w:rFonts w:ascii="Book Antiqua" w:eastAsia="宋体" w:hAnsi="Book Antiqua" w:cs="Book Antiqua" w:hint="eastAsia"/>
          <w:b/>
          <w:bCs/>
          <w:color w:val="000000" w:themeColor="text1"/>
          <w:lang w:eastAsia="zh-CN"/>
        </w:rPr>
        <w:t>T</w:t>
      </w:r>
      <w:r w:rsidRPr="00B6332B">
        <w:rPr>
          <w:rFonts w:ascii="Book Antiqua" w:hAnsi="Book Antiqua" w:cs="Book Antiqua"/>
          <w:b/>
          <w:bCs/>
          <w:color w:val="000000" w:themeColor="text1"/>
        </w:rPr>
        <w:t xml:space="preserve">he immunohistochemical analysis of the </w:t>
      </w:r>
      <w:r w:rsidRPr="00B6332B">
        <w:rPr>
          <w:rFonts w:ascii="Book Antiqua" w:hAnsi="Book Antiqua" w:cs="Book Antiqua"/>
          <w:b/>
          <w:bCs/>
          <w:i/>
          <w:iCs/>
          <w:color w:val="000000" w:themeColor="text1"/>
        </w:rPr>
        <w:t>APOD</w:t>
      </w:r>
      <w:r w:rsidRPr="00B6332B">
        <w:rPr>
          <w:rFonts w:ascii="Book Antiqua" w:hAnsi="Book Antiqua" w:cs="Book Antiqua"/>
          <w:b/>
          <w:bCs/>
          <w:color w:val="000000" w:themeColor="text1"/>
        </w:rPr>
        <w:t xml:space="preserve"> gene based on</w:t>
      </w:r>
      <w:r w:rsidRPr="00B6332B">
        <w:rPr>
          <w:rFonts w:ascii="Book Antiqua" w:eastAsia="宋体" w:hAnsi="Book Antiqua" w:cs="Book Antiqua" w:hint="eastAsia"/>
          <w:b/>
          <w:bCs/>
          <w:color w:val="000000" w:themeColor="text1"/>
          <w:lang w:eastAsia="zh-CN"/>
        </w:rPr>
        <w:t xml:space="preserve"> h</w:t>
      </w:r>
      <w:r w:rsidRPr="00B6332B">
        <w:rPr>
          <w:rFonts w:ascii="Book Antiqua" w:hAnsi="Book Antiqua" w:cs="Book Antiqua"/>
          <w:b/>
          <w:bCs/>
          <w:color w:val="000000" w:themeColor="text1"/>
        </w:rPr>
        <w:t xml:space="preserve">uman </w:t>
      </w:r>
      <w:r w:rsidRPr="00B6332B">
        <w:rPr>
          <w:rFonts w:ascii="Book Antiqua" w:eastAsia="宋体" w:hAnsi="Book Antiqua" w:cs="Book Antiqua" w:hint="eastAsia"/>
          <w:b/>
          <w:bCs/>
          <w:color w:val="000000" w:themeColor="text1"/>
          <w:lang w:eastAsia="zh-CN"/>
        </w:rPr>
        <w:t>p</w:t>
      </w:r>
      <w:r w:rsidRPr="00B6332B">
        <w:rPr>
          <w:rFonts w:ascii="Book Antiqua" w:hAnsi="Book Antiqua" w:cs="Book Antiqua"/>
          <w:b/>
          <w:bCs/>
          <w:color w:val="000000" w:themeColor="text1"/>
        </w:rPr>
        <w:t xml:space="preserve">rotein </w:t>
      </w:r>
      <w:r w:rsidRPr="00B6332B">
        <w:rPr>
          <w:rFonts w:ascii="Book Antiqua" w:eastAsia="宋体" w:hAnsi="Book Antiqua" w:cs="Book Antiqua" w:hint="eastAsia"/>
          <w:b/>
          <w:bCs/>
          <w:color w:val="000000" w:themeColor="text1"/>
          <w:lang w:eastAsia="zh-CN"/>
        </w:rPr>
        <w:t>a</w:t>
      </w:r>
      <w:r w:rsidRPr="00B6332B">
        <w:rPr>
          <w:rFonts w:ascii="Book Antiqua" w:hAnsi="Book Antiqua" w:cs="Book Antiqua"/>
          <w:b/>
          <w:bCs/>
          <w:color w:val="000000" w:themeColor="text1"/>
        </w:rPr>
        <w:t xml:space="preserve">tlas is presented. </w:t>
      </w:r>
      <w:r w:rsidRPr="00B6332B">
        <w:rPr>
          <w:rFonts w:ascii="Book Antiqua" w:eastAsia="宋体" w:hAnsi="Book Antiqua" w:cs="Book Antiqua" w:hint="eastAsia"/>
          <w:color w:val="000000" w:themeColor="text1"/>
          <w:lang w:eastAsia="zh-CN"/>
        </w:rPr>
        <w:t>A: T</w:t>
      </w:r>
      <w:r w:rsidRPr="00B6332B">
        <w:rPr>
          <w:rFonts w:ascii="Book Antiqua" w:hAnsi="Book Antiqua" w:cs="Book Antiqua"/>
          <w:color w:val="000000" w:themeColor="text1"/>
        </w:rPr>
        <w:t>umor tissue</w:t>
      </w:r>
      <w:r w:rsidRPr="00B6332B">
        <w:rPr>
          <w:rFonts w:ascii="Book Antiqua" w:eastAsia="宋体" w:hAnsi="Book Antiqua" w:cs="Book Antiqua" w:hint="eastAsia"/>
          <w:color w:val="000000" w:themeColor="text1"/>
          <w:lang w:eastAsia="zh-CN"/>
        </w:rPr>
        <w:t>; B: N</w:t>
      </w:r>
      <w:r w:rsidRPr="00B6332B">
        <w:rPr>
          <w:rFonts w:ascii="Book Antiqua" w:hAnsi="Book Antiqua" w:cs="Book Antiqua"/>
          <w:color w:val="000000" w:themeColor="text1"/>
        </w:rPr>
        <w:t>ormal tissue</w:t>
      </w:r>
      <w:r w:rsidRPr="00B6332B">
        <w:rPr>
          <w:rFonts w:ascii="Book Antiqua" w:eastAsia="宋体" w:hAnsi="Book Antiqua" w:cs="Book Antiqua" w:hint="eastAsia"/>
          <w:color w:val="000000" w:themeColor="text1"/>
          <w:lang w:eastAsia="zh-CN"/>
        </w:rPr>
        <w:t>. T: T</w:t>
      </w:r>
      <w:r w:rsidRPr="00B6332B">
        <w:rPr>
          <w:rFonts w:ascii="Book Antiqua" w:hAnsi="Book Antiqua" w:cs="Book Antiqua"/>
          <w:color w:val="000000" w:themeColor="text1"/>
        </w:rPr>
        <w:t>umor tissue</w:t>
      </w:r>
      <w:r w:rsidRPr="00B6332B">
        <w:rPr>
          <w:rFonts w:ascii="Book Antiqua" w:eastAsia="宋体" w:hAnsi="Book Antiqua" w:cs="Book Antiqua" w:hint="eastAsia"/>
          <w:color w:val="000000" w:themeColor="text1"/>
          <w:lang w:eastAsia="zh-CN"/>
        </w:rPr>
        <w:t>; B: N</w:t>
      </w:r>
      <w:r w:rsidRPr="00B6332B">
        <w:rPr>
          <w:rFonts w:ascii="Book Antiqua" w:hAnsi="Book Antiqua" w:cs="Book Antiqua"/>
          <w:color w:val="000000" w:themeColor="text1"/>
        </w:rPr>
        <w:t>ormal tissue</w:t>
      </w:r>
      <w:r w:rsidRPr="00B6332B">
        <w:rPr>
          <w:rFonts w:ascii="Book Antiqua" w:eastAsia="宋体" w:hAnsi="Book Antiqua" w:cs="Book Antiqua" w:hint="eastAsia"/>
          <w:color w:val="000000" w:themeColor="text1"/>
          <w:lang w:eastAsia="zh-CN"/>
        </w:rPr>
        <w:t>.</w:t>
      </w:r>
    </w:p>
    <w:p w14:paraId="24EA67FF" w14:textId="77777777" w:rsidR="00985DBE" w:rsidRPr="00B6332B" w:rsidRDefault="00985DBE" w:rsidP="00985DBE">
      <w:pPr>
        <w:snapToGrid w:val="0"/>
        <w:ind w:leftChars="100" w:left="240"/>
        <w:jc w:val="center"/>
        <w:rPr>
          <w:rFonts w:ascii="Book Antiqua" w:hAnsi="Book Antiqua"/>
          <w:color w:val="000000" w:themeColor="text1"/>
        </w:rPr>
      </w:pPr>
      <w:r w:rsidRPr="00B6332B">
        <w:rPr>
          <w:rFonts w:ascii="Book Antiqua" w:eastAsia="宋体" w:hAnsi="Book Antiqua" w:cs="Book Antiqua"/>
          <w:color w:val="000000" w:themeColor="text1"/>
          <w:lang w:eastAsia="zh-CN"/>
        </w:rPr>
        <w:br w:type="page"/>
      </w:r>
    </w:p>
    <w:p w14:paraId="4FA467D8" w14:textId="77777777" w:rsidR="00985DBE" w:rsidRPr="00B6332B" w:rsidRDefault="00985DBE" w:rsidP="00985DBE">
      <w:pPr>
        <w:snapToGrid w:val="0"/>
        <w:ind w:leftChars="100" w:left="240"/>
        <w:jc w:val="center"/>
        <w:rPr>
          <w:rFonts w:ascii="Book Antiqua" w:hAnsi="Book Antiqua"/>
          <w:color w:val="000000" w:themeColor="text1"/>
        </w:rPr>
      </w:pPr>
    </w:p>
    <w:p w14:paraId="7130AADF" w14:textId="77777777" w:rsidR="00985DBE" w:rsidRPr="00B6332B" w:rsidRDefault="00985DBE" w:rsidP="00985DBE">
      <w:pPr>
        <w:snapToGrid w:val="0"/>
        <w:ind w:leftChars="100" w:left="240"/>
        <w:jc w:val="center"/>
        <w:rPr>
          <w:rFonts w:ascii="Book Antiqua" w:hAnsi="Book Antiqua"/>
          <w:color w:val="000000" w:themeColor="text1"/>
        </w:rPr>
      </w:pPr>
    </w:p>
    <w:p w14:paraId="7318324E" w14:textId="77777777" w:rsidR="00985DBE" w:rsidRPr="00B6332B" w:rsidRDefault="00985DBE" w:rsidP="00985DBE">
      <w:pPr>
        <w:snapToGrid w:val="0"/>
        <w:ind w:leftChars="100" w:left="240"/>
        <w:jc w:val="center"/>
        <w:rPr>
          <w:rFonts w:ascii="Book Antiqua" w:hAnsi="Book Antiqua"/>
          <w:color w:val="000000" w:themeColor="text1"/>
        </w:rPr>
      </w:pPr>
    </w:p>
    <w:p w14:paraId="024EDFF0" w14:textId="77777777" w:rsidR="00985DBE" w:rsidRPr="00B6332B" w:rsidRDefault="00985DBE" w:rsidP="00985DBE">
      <w:pPr>
        <w:snapToGrid w:val="0"/>
        <w:ind w:leftChars="100" w:left="240"/>
        <w:jc w:val="center"/>
        <w:rPr>
          <w:rFonts w:ascii="Book Antiqua" w:hAnsi="Book Antiqua"/>
          <w:color w:val="000000" w:themeColor="text1"/>
        </w:rPr>
      </w:pPr>
      <w:r w:rsidRPr="00B6332B">
        <w:rPr>
          <w:rFonts w:ascii="Book Antiqua" w:hAnsi="Book Antiqua"/>
          <w:noProof/>
          <w:color w:val="000000" w:themeColor="text1"/>
        </w:rPr>
        <w:drawing>
          <wp:inline distT="0" distB="0" distL="0" distR="0" wp14:anchorId="242943D0" wp14:editId="5E1B584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6F1A892" w14:textId="77777777" w:rsidR="00985DBE" w:rsidRPr="00B6332B" w:rsidRDefault="00985DBE" w:rsidP="00985DBE">
      <w:pPr>
        <w:snapToGrid w:val="0"/>
        <w:ind w:leftChars="100" w:left="240"/>
        <w:jc w:val="center"/>
        <w:rPr>
          <w:rFonts w:ascii="Book Antiqua" w:hAnsi="Book Antiqua"/>
          <w:color w:val="000000" w:themeColor="text1"/>
        </w:rPr>
      </w:pPr>
    </w:p>
    <w:p w14:paraId="1FDCAD3A" w14:textId="77777777" w:rsidR="00985DBE" w:rsidRPr="00B6332B" w:rsidRDefault="00985DBE" w:rsidP="00985DBE">
      <w:pPr>
        <w:autoSpaceDE w:val="0"/>
        <w:autoSpaceDN w:val="0"/>
        <w:adjustRightInd w:val="0"/>
        <w:snapToGrid w:val="0"/>
        <w:spacing w:line="240" w:lineRule="atLeast"/>
        <w:ind w:leftChars="100" w:left="240"/>
        <w:jc w:val="center"/>
        <w:rPr>
          <w:rFonts w:ascii="Book Antiqua" w:eastAsia="Garamond-Bold" w:hAnsi="Book Antiqua" w:cs="Garamond-Bold"/>
          <w:b/>
          <w:bCs/>
          <w:color w:val="000000" w:themeColor="text1"/>
          <w:sz w:val="28"/>
          <w:szCs w:val="28"/>
        </w:rPr>
      </w:pPr>
      <w:r w:rsidRPr="00B6332B">
        <w:rPr>
          <w:rFonts w:ascii="Book Antiqua" w:eastAsia="TimesNewRomanPSMT" w:hAnsi="Book Antiqua" w:cs="TimesNewRomanPSMT"/>
          <w:color w:val="000000" w:themeColor="text1"/>
          <w:sz w:val="28"/>
          <w:szCs w:val="28"/>
        </w:rPr>
        <w:t xml:space="preserve">Published by </w:t>
      </w:r>
      <w:r w:rsidRPr="00B6332B">
        <w:rPr>
          <w:rFonts w:ascii="Book Antiqua" w:eastAsia="Garamond-Bold" w:hAnsi="Book Antiqua" w:cs="Garamond-Bold"/>
          <w:b/>
          <w:bCs/>
          <w:color w:val="000000" w:themeColor="text1"/>
          <w:sz w:val="28"/>
          <w:szCs w:val="28"/>
        </w:rPr>
        <w:t>Baishideng Publishing Group Inc</w:t>
      </w:r>
    </w:p>
    <w:p w14:paraId="6FEE5FC9" w14:textId="77777777" w:rsidR="00985DBE" w:rsidRPr="00B6332B" w:rsidRDefault="00985DBE" w:rsidP="00985DBE">
      <w:pPr>
        <w:autoSpaceDE w:val="0"/>
        <w:autoSpaceDN w:val="0"/>
        <w:adjustRightInd w:val="0"/>
        <w:snapToGrid w:val="0"/>
        <w:ind w:leftChars="100" w:left="240"/>
        <w:jc w:val="center"/>
        <w:rPr>
          <w:rFonts w:ascii="Book Antiqua" w:eastAsia="TimesNewRomanPSMT" w:hAnsi="Book Antiqua" w:cs="Garamond"/>
          <w:color w:val="000000" w:themeColor="text1"/>
          <w:sz w:val="28"/>
          <w:szCs w:val="28"/>
        </w:rPr>
      </w:pPr>
      <w:r w:rsidRPr="00B6332B">
        <w:rPr>
          <w:rFonts w:ascii="Book Antiqua" w:eastAsia="TimesNewRomanPSMT" w:hAnsi="Book Antiqua" w:cs="Garamond"/>
          <w:color w:val="000000" w:themeColor="text1"/>
          <w:sz w:val="28"/>
          <w:szCs w:val="28"/>
        </w:rPr>
        <w:t>7041 Koll Center Parkway, Suite 160, Pleasanton, CA 94566, USA</w:t>
      </w:r>
    </w:p>
    <w:p w14:paraId="26DD9A6E" w14:textId="77777777" w:rsidR="00985DBE" w:rsidRPr="00B6332B" w:rsidRDefault="00985DBE" w:rsidP="00985DBE">
      <w:pPr>
        <w:autoSpaceDE w:val="0"/>
        <w:autoSpaceDN w:val="0"/>
        <w:adjustRightInd w:val="0"/>
        <w:snapToGrid w:val="0"/>
        <w:ind w:leftChars="100" w:left="240"/>
        <w:jc w:val="center"/>
        <w:rPr>
          <w:rFonts w:ascii="Book Antiqua" w:eastAsia="TimesNewRomanPSMT" w:hAnsi="Book Antiqua" w:cs="Garamond"/>
          <w:color w:val="000000" w:themeColor="text1"/>
          <w:sz w:val="28"/>
          <w:szCs w:val="28"/>
        </w:rPr>
      </w:pPr>
      <w:r w:rsidRPr="00B6332B">
        <w:rPr>
          <w:rFonts w:ascii="Book Antiqua" w:eastAsia="Garamond-Bold" w:hAnsi="Book Antiqua" w:cs="Garamond-Bold"/>
          <w:b/>
          <w:bCs/>
          <w:color w:val="000000" w:themeColor="text1"/>
          <w:sz w:val="28"/>
          <w:szCs w:val="28"/>
        </w:rPr>
        <w:t xml:space="preserve">Telephone: </w:t>
      </w:r>
      <w:r w:rsidRPr="00B6332B">
        <w:rPr>
          <w:rFonts w:ascii="Book Antiqua" w:eastAsia="TimesNewRomanPSMT" w:hAnsi="Book Antiqua" w:cs="Garamond"/>
          <w:color w:val="000000" w:themeColor="text1"/>
          <w:sz w:val="28"/>
          <w:szCs w:val="28"/>
        </w:rPr>
        <w:t>+1-925-3991568</w:t>
      </w:r>
    </w:p>
    <w:p w14:paraId="1E7A43E8" w14:textId="77777777" w:rsidR="00985DBE" w:rsidRPr="00B6332B" w:rsidRDefault="00985DBE" w:rsidP="00985DBE">
      <w:pPr>
        <w:autoSpaceDE w:val="0"/>
        <w:autoSpaceDN w:val="0"/>
        <w:adjustRightInd w:val="0"/>
        <w:snapToGrid w:val="0"/>
        <w:ind w:leftChars="100" w:left="240"/>
        <w:jc w:val="center"/>
        <w:rPr>
          <w:rFonts w:ascii="Book Antiqua" w:eastAsia="TimesNewRomanPSMT" w:hAnsi="Book Antiqua" w:cs="Garamond"/>
          <w:color w:val="000000" w:themeColor="text1"/>
          <w:sz w:val="28"/>
          <w:szCs w:val="28"/>
        </w:rPr>
      </w:pPr>
      <w:r w:rsidRPr="00B6332B">
        <w:rPr>
          <w:rFonts w:ascii="Book Antiqua" w:eastAsia="Garamond-Bold" w:hAnsi="Book Antiqua" w:cs="Garamond-Bold"/>
          <w:b/>
          <w:bCs/>
          <w:color w:val="000000" w:themeColor="text1"/>
          <w:sz w:val="28"/>
          <w:szCs w:val="28"/>
        </w:rPr>
        <w:t xml:space="preserve">E-mail: </w:t>
      </w:r>
      <w:r w:rsidRPr="00B6332B">
        <w:rPr>
          <w:rFonts w:ascii="Book Antiqua" w:eastAsia="TimesNewRomanPSMT" w:hAnsi="Book Antiqua" w:cs="Garamond"/>
          <w:color w:val="000000" w:themeColor="text1"/>
          <w:sz w:val="28"/>
          <w:szCs w:val="28"/>
        </w:rPr>
        <w:t>bpgoffice@wjgnet.com</w:t>
      </w:r>
    </w:p>
    <w:p w14:paraId="538BDBDE" w14:textId="77777777" w:rsidR="00985DBE" w:rsidRPr="00B6332B" w:rsidRDefault="00985DBE" w:rsidP="00985DBE">
      <w:pPr>
        <w:autoSpaceDE w:val="0"/>
        <w:autoSpaceDN w:val="0"/>
        <w:adjustRightInd w:val="0"/>
        <w:snapToGrid w:val="0"/>
        <w:ind w:leftChars="100" w:left="240"/>
        <w:jc w:val="center"/>
        <w:rPr>
          <w:rFonts w:ascii="Book Antiqua" w:eastAsia="TimesNewRomanPSMT" w:hAnsi="Book Antiqua" w:cs="Garamond"/>
          <w:color w:val="000000" w:themeColor="text1"/>
          <w:sz w:val="28"/>
          <w:szCs w:val="28"/>
        </w:rPr>
      </w:pPr>
      <w:r w:rsidRPr="00B6332B">
        <w:rPr>
          <w:rFonts w:ascii="Book Antiqua" w:eastAsia="Garamond-Bold" w:hAnsi="Book Antiqua" w:cs="Garamond-Bold"/>
          <w:b/>
          <w:bCs/>
          <w:color w:val="000000" w:themeColor="text1"/>
          <w:sz w:val="28"/>
          <w:szCs w:val="28"/>
        </w:rPr>
        <w:t xml:space="preserve">Help Desk: </w:t>
      </w:r>
      <w:r w:rsidRPr="00B6332B">
        <w:rPr>
          <w:rFonts w:ascii="Book Antiqua" w:eastAsia="TimesNewRomanPSMT" w:hAnsi="Book Antiqua" w:cs="Garamond"/>
          <w:color w:val="000000" w:themeColor="text1"/>
          <w:sz w:val="28"/>
          <w:szCs w:val="28"/>
        </w:rPr>
        <w:t>https://www.f6publishing.com/helpdesk</w:t>
      </w:r>
    </w:p>
    <w:p w14:paraId="377EC384" w14:textId="77777777" w:rsidR="00985DBE" w:rsidRPr="00B6332B" w:rsidRDefault="00985DBE" w:rsidP="00985DBE">
      <w:pPr>
        <w:snapToGrid w:val="0"/>
        <w:ind w:leftChars="100" w:left="240"/>
        <w:jc w:val="center"/>
        <w:rPr>
          <w:rFonts w:ascii="Book Antiqua" w:hAnsi="Book Antiqua"/>
          <w:color w:val="000000" w:themeColor="text1"/>
        </w:rPr>
      </w:pPr>
      <w:r w:rsidRPr="00B6332B">
        <w:rPr>
          <w:rFonts w:ascii="Book Antiqua" w:eastAsia="TimesNewRomanPSMT" w:hAnsi="Book Antiqua" w:cs="Garamond"/>
          <w:color w:val="000000" w:themeColor="text1"/>
          <w:sz w:val="28"/>
          <w:szCs w:val="28"/>
        </w:rPr>
        <w:t>https://www.wjgnet.com</w:t>
      </w:r>
    </w:p>
    <w:p w14:paraId="151F8010" w14:textId="77777777" w:rsidR="00985DBE" w:rsidRPr="00B6332B" w:rsidRDefault="00985DBE" w:rsidP="00985DBE">
      <w:pPr>
        <w:snapToGrid w:val="0"/>
        <w:ind w:leftChars="100" w:left="240"/>
        <w:jc w:val="center"/>
        <w:rPr>
          <w:rFonts w:ascii="Book Antiqua" w:hAnsi="Book Antiqua"/>
          <w:color w:val="000000" w:themeColor="text1"/>
        </w:rPr>
      </w:pPr>
    </w:p>
    <w:p w14:paraId="7480A8DF" w14:textId="77777777" w:rsidR="00985DBE" w:rsidRPr="00B6332B" w:rsidRDefault="00985DBE" w:rsidP="00985DBE">
      <w:pPr>
        <w:snapToGrid w:val="0"/>
        <w:ind w:leftChars="100" w:left="240"/>
        <w:jc w:val="center"/>
        <w:rPr>
          <w:rFonts w:ascii="Book Antiqua" w:hAnsi="Book Antiqua"/>
          <w:color w:val="000000" w:themeColor="text1"/>
        </w:rPr>
      </w:pPr>
    </w:p>
    <w:p w14:paraId="06DB62A9" w14:textId="77777777" w:rsidR="00985DBE" w:rsidRPr="00B6332B" w:rsidRDefault="00985DBE" w:rsidP="00985DBE">
      <w:pPr>
        <w:snapToGrid w:val="0"/>
        <w:ind w:leftChars="100" w:left="240"/>
        <w:jc w:val="center"/>
        <w:rPr>
          <w:rFonts w:ascii="Book Antiqua" w:hAnsi="Book Antiqua"/>
          <w:color w:val="000000" w:themeColor="text1"/>
        </w:rPr>
      </w:pPr>
    </w:p>
    <w:p w14:paraId="2964933C" w14:textId="77777777" w:rsidR="00985DBE" w:rsidRPr="00B6332B" w:rsidRDefault="00985DBE" w:rsidP="00985DBE">
      <w:pPr>
        <w:snapToGrid w:val="0"/>
        <w:ind w:leftChars="100" w:left="240"/>
        <w:jc w:val="center"/>
        <w:rPr>
          <w:rFonts w:ascii="Book Antiqua" w:hAnsi="Book Antiqua"/>
          <w:color w:val="000000" w:themeColor="text1"/>
        </w:rPr>
      </w:pPr>
      <w:r w:rsidRPr="00B6332B">
        <w:rPr>
          <w:rFonts w:ascii="Book Antiqua" w:hAnsi="Book Antiqua"/>
          <w:noProof/>
          <w:color w:val="000000" w:themeColor="text1"/>
        </w:rPr>
        <w:drawing>
          <wp:inline distT="0" distB="0" distL="0" distR="0" wp14:anchorId="5A169434" wp14:editId="2F4064C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2713439" w14:textId="77777777" w:rsidR="00985DBE" w:rsidRPr="00B6332B" w:rsidRDefault="00985DBE" w:rsidP="00985DBE">
      <w:pPr>
        <w:snapToGrid w:val="0"/>
        <w:ind w:leftChars="100" w:left="240"/>
        <w:jc w:val="center"/>
        <w:rPr>
          <w:rFonts w:ascii="Book Antiqua" w:hAnsi="Book Antiqua"/>
          <w:color w:val="000000" w:themeColor="text1"/>
        </w:rPr>
      </w:pPr>
    </w:p>
    <w:p w14:paraId="1BED36DE" w14:textId="77777777" w:rsidR="00985DBE" w:rsidRPr="00B6332B" w:rsidRDefault="00985DBE" w:rsidP="00985DBE">
      <w:pPr>
        <w:snapToGrid w:val="0"/>
        <w:ind w:leftChars="100" w:left="240"/>
        <w:jc w:val="center"/>
        <w:rPr>
          <w:rFonts w:ascii="Book Antiqua" w:hAnsi="Book Antiqua"/>
          <w:color w:val="000000" w:themeColor="text1"/>
        </w:rPr>
      </w:pPr>
    </w:p>
    <w:p w14:paraId="765E930D" w14:textId="77777777" w:rsidR="00985DBE" w:rsidRPr="00B6332B" w:rsidRDefault="00985DBE" w:rsidP="00985DBE">
      <w:pPr>
        <w:snapToGrid w:val="0"/>
        <w:ind w:leftChars="100" w:left="240"/>
        <w:jc w:val="center"/>
        <w:rPr>
          <w:rFonts w:ascii="Book Antiqua" w:hAnsi="Book Antiqua"/>
          <w:color w:val="000000" w:themeColor="text1"/>
        </w:rPr>
      </w:pPr>
    </w:p>
    <w:p w14:paraId="253C409A" w14:textId="77777777" w:rsidR="00985DBE" w:rsidRPr="00B6332B" w:rsidRDefault="00985DBE" w:rsidP="00985DBE">
      <w:pPr>
        <w:snapToGrid w:val="0"/>
        <w:ind w:leftChars="100" w:left="240"/>
        <w:jc w:val="center"/>
        <w:rPr>
          <w:rFonts w:ascii="Book Antiqua" w:hAnsi="Book Antiqua"/>
          <w:color w:val="000000" w:themeColor="text1"/>
        </w:rPr>
      </w:pPr>
    </w:p>
    <w:p w14:paraId="1387168F" w14:textId="77777777" w:rsidR="00985DBE" w:rsidRPr="00B6332B" w:rsidRDefault="00985DBE" w:rsidP="00985DBE">
      <w:pPr>
        <w:snapToGrid w:val="0"/>
        <w:ind w:leftChars="100" w:left="240"/>
        <w:jc w:val="center"/>
        <w:rPr>
          <w:rFonts w:ascii="Book Antiqua" w:hAnsi="Book Antiqua"/>
          <w:color w:val="000000" w:themeColor="text1"/>
        </w:rPr>
      </w:pPr>
    </w:p>
    <w:p w14:paraId="407931C8" w14:textId="77777777" w:rsidR="00985DBE" w:rsidRPr="00B6332B" w:rsidRDefault="00985DBE" w:rsidP="00985DBE">
      <w:pPr>
        <w:snapToGrid w:val="0"/>
        <w:ind w:leftChars="100" w:left="240"/>
        <w:jc w:val="center"/>
        <w:rPr>
          <w:rFonts w:ascii="Book Antiqua" w:hAnsi="Book Antiqua"/>
          <w:color w:val="000000" w:themeColor="text1"/>
        </w:rPr>
      </w:pPr>
    </w:p>
    <w:p w14:paraId="0477AA97" w14:textId="77777777" w:rsidR="00985DBE" w:rsidRPr="00B6332B" w:rsidRDefault="00985DBE" w:rsidP="00985DBE">
      <w:pPr>
        <w:snapToGrid w:val="0"/>
        <w:ind w:leftChars="100" w:left="240"/>
        <w:jc w:val="center"/>
        <w:rPr>
          <w:rFonts w:ascii="Book Antiqua" w:hAnsi="Book Antiqua"/>
          <w:color w:val="000000" w:themeColor="text1"/>
        </w:rPr>
      </w:pPr>
    </w:p>
    <w:p w14:paraId="7DD809AA" w14:textId="77777777" w:rsidR="00985DBE" w:rsidRPr="00B6332B" w:rsidRDefault="00985DBE" w:rsidP="00985DBE">
      <w:pPr>
        <w:snapToGrid w:val="0"/>
        <w:ind w:leftChars="100" w:left="240"/>
        <w:jc w:val="center"/>
        <w:rPr>
          <w:rFonts w:ascii="Book Antiqua" w:hAnsi="Book Antiqua"/>
          <w:color w:val="000000" w:themeColor="text1"/>
        </w:rPr>
      </w:pPr>
    </w:p>
    <w:p w14:paraId="63F7C268" w14:textId="77777777" w:rsidR="00985DBE" w:rsidRPr="00B6332B" w:rsidRDefault="00985DBE" w:rsidP="00985DBE">
      <w:pPr>
        <w:snapToGrid w:val="0"/>
        <w:ind w:leftChars="100" w:left="240"/>
        <w:jc w:val="center"/>
        <w:rPr>
          <w:rFonts w:ascii="Book Antiqua" w:hAnsi="Book Antiqua"/>
          <w:color w:val="000000" w:themeColor="text1"/>
        </w:rPr>
      </w:pPr>
    </w:p>
    <w:p w14:paraId="32E9EF2B" w14:textId="77777777" w:rsidR="00985DBE" w:rsidRPr="00B6332B" w:rsidRDefault="00985DBE" w:rsidP="00985DBE">
      <w:pPr>
        <w:snapToGrid w:val="0"/>
        <w:ind w:leftChars="100" w:left="240"/>
        <w:jc w:val="right"/>
        <w:rPr>
          <w:rFonts w:ascii="Book Antiqua" w:hAnsi="Book Antiqua"/>
          <w:color w:val="000000" w:themeColor="text1"/>
        </w:rPr>
      </w:pPr>
    </w:p>
    <w:p w14:paraId="538900DD" w14:textId="77777777" w:rsidR="00985DBE" w:rsidRPr="00B6332B" w:rsidRDefault="00985DBE" w:rsidP="00985DBE">
      <w:pPr>
        <w:snapToGrid w:val="0"/>
        <w:jc w:val="center"/>
        <w:rPr>
          <w:rFonts w:ascii="Book Antiqua" w:hAnsi="Book Antiqua"/>
          <w:color w:val="000000" w:themeColor="text1"/>
          <w:shd w:val="clear" w:color="auto" w:fill="FFFFFF"/>
        </w:rPr>
      </w:pPr>
      <w:r w:rsidRPr="00B6332B">
        <w:rPr>
          <w:rFonts w:ascii="Book Antiqua" w:eastAsia="BookAntiqua-Bold" w:hAnsi="Book Antiqua" w:cs="BookAntiqua-Bold"/>
          <w:b/>
          <w:bCs/>
          <w:color w:val="000000" w:themeColor="text1"/>
        </w:rPr>
        <w:t>© 202</w:t>
      </w:r>
      <w:r w:rsidRPr="00B6332B">
        <w:rPr>
          <w:rFonts w:ascii="Book Antiqua" w:hAnsi="Book Antiqua" w:cs="BookAntiqua-Bold"/>
          <w:b/>
          <w:bCs/>
          <w:color w:val="000000" w:themeColor="text1"/>
        </w:rPr>
        <w:t>3</w:t>
      </w:r>
      <w:r w:rsidRPr="00B6332B">
        <w:rPr>
          <w:rFonts w:ascii="Book Antiqua" w:eastAsia="BookAntiqua-Bold" w:hAnsi="Book Antiqua" w:cs="BookAntiqua-Bold"/>
          <w:b/>
          <w:bCs/>
          <w:color w:val="000000" w:themeColor="text1"/>
        </w:rPr>
        <w:t xml:space="preserve"> Baishideng Publishing Group Inc. All rights reserved.</w:t>
      </w:r>
    </w:p>
    <w:p w14:paraId="49F2F99F" w14:textId="77777777" w:rsidR="00985DBE" w:rsidRPr="00B6332B" w:rsidRDefault="00985DBE" w:rsidP="00985DBE">
      <w:pPr>
        <w:rPr>
          <w:rFonts w:ascii="Book Antiqua" w:hAnsi="Book Antiqua" w:cs="Book Antiqua"/>
          <w:b/>
          <w:bCs/>
          <w:color w:val="000000" w:themeColor="text1"/>
        </w:rPr>
      </w:pPr>
    </w:p>
    <w:p w14:paraId="2FDF053C" w14:textId="095F32B7" w:rsidR="00E724E0" w:rsidRPr="00B6332B" w:rsidRDefault="00E724E0">
      <w:pPr>
        <w:adjustRightInd w:val="0"/>
        <w:snapToGrid w:val="0"/>
        <w:spacing w:line="360" w:lineRule="auto"/>
        <w:jc w:val="both"/>
        <w:rPr>
          <w:color w:val="000000" w:themeColor="text1"/>
        </w:rPr>
      </w:pPr>
    </w:p>
    <w:sectPr w:rsidR="00E724E0" w:rsidRPr="00B6332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A0398" w14:textId="77777777" w:rsidR="00D3525B" w:rsidRDefault="00D3525B">
      <w:r>
        <w:separator/>
      </w:r>
    </w:p>
  </w:endnote>
  <w:endnote w:type="continuationSeparator" w:id="0">
    <w:p w14:paraId="0424ABEA" w14:textId="77777777" w:rsidR="00D3525B" w:rsidRDefault="00D35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panose1 w:val="020B0604020202020204"/>
    <w:charset w:val="86"/>
    <w:family w:val="auto"/>
    <w:pitch w:val="default"/>
    <w:sig w:usb0="00000000" w:usb1="00000000" w:usb2="00000010" w:usb3="00000000" w:csb0="00060002" w:csb1="00000000"/>
  </w:font>
  <w:font w:name="Garamond-Bold">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9322292"/>
    </w:sdtPr>
    <w:sdtContent>
      <w:sdt>
        <w:sdtPr>
          <w:id w:val="860082579"/>
        </w:sdtPr>
        <w:sdtContent>
          <w:p w14:paraId="14EB0FA0" w14:textId="77777777" w:rsidR="00E724E0" w:rsidRDefault="00000000">
            <w:pPr>
              <w:pStyle w:val="a4"/>
              <w:jc w:val="right"/>
            </w:pPr>
            <w:r>
              <w:rPr>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51</w:t>
            </w:r>
            <w:r>
              <w:rPr>
                <w:rFonts w:ascii="Book Antiqua" w:hAnsi="Book Antiqua"/>
                <w:bCs/>
                <w:sz w:val="24"/>
                <w:szCs w:val="24"/>
              </w:rPr>
              <w:fldChar w:fldCharType="end"/>
            </w:r>
          </w:p>
        </w:sdtContent>
      </w:sdt>
    </w:sdtContent>
  </w:sdt>
  <w:p w14:paraId="18C31AE9" w14:textId="77777777" w:rsidR="00E724E0" w:rsidRDefault="00E724E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88983" w14:textId="77777777" w:rsidR="00D3525B" w:rsidRDefault="00D3525B">
      <w:r>
        <w:separator/>
      </w:r>
    </w:p>
  </w:footnote>
  <w:footnote w:type="continuationSeparator" w:id="0">
    <w:p w14:paraId="3D41BE51" w14:textId="77777777" w:rsidR="00D3525B" w:rsidRDefault="00D352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bordersDoNotSurroundHeader/>
  <w:bordersDoNotSurroundFooter/>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A002F"/>
    <w:rsid w:val="000C5BFB"/>
    <w:rsid w:val="001F7F7E"/>
    <w:rsid w:val="002B2DCF"/>
    <w:rsid w:val="002E1F6F"/>
    <w:rsid w:val="002F3A48"/>
    <w:rsid w:val="0036500C"/>
    <w:rsid w:val="003A6B66"/>
    <w:rsid w:val="004874D5"/>
    <w:rsid w:val="005C546A"/>
    <w:rsid w:val="006911F9"/>
    <w:rsid w:val="006D1198"/>
    <w:rsid w:val="006E1CA8"/>
    <w:rsid w:val="00753DA4"/>
    <w:rsid w:val="00875687"/>
    <w:rsid w:val="008B146B"/>
    <w:rsid w:val="00985DBE"/>
    <w:rsid w:val="009F23EF"/>
    <w:rsid w:val="00A77B3E"/>
    <w:rsid w:val="00B6332B"/>
    <w:rsid w:val="00B77C90"/>
    <w:rsid w:val="00BE179A"/>
    <w:rsid w:val="00C62577"/>
    <w:rsid w:val="00CA2A55"/>
    <w:rsid w:val="00D30547"/>
    <w:rsid w:val="00D3525B"/>
    <w:rsid w:val="00D7297C"/>
    <w:rsid w:val="00E13486"/>
    <w:rsid w:val="00E15234"/>
    <w:rsid w:val="00E724E0"/>
    <w:rsid w:val="00E865C2"/>
    <w:rsid w:val="00F44F67"/>
    <w:rsid w:val="01145609"/>
    <w:rsid w:val="011E1FE4"/>
    <w:rsid w:val="014632E9"/>
    <w:rsid w:val="014F219D"/>
    <w:rsid w:val="017240DE"/>
    <w:rsid w:val="01A22C15"/>
    <w:rsid w:val="01A73D87"/>
    <w:rsid w:val="01A87AFF"/>
    <w:rsid w:val="01C54B55"/>
    <w:rsid w:val="01D17056"/>
    <w:rsid w:val="01EC0334"/>
    <w:rsid w:val="01EC5C3E"/>
    <w:rsid w:val="01F82835"/>
    <w:rsid w:val="020016E9"/>
    <w:rsid w:val="02070CCA"/>
    <w:rsid w:val="023A109F"/>
    <w:rsid w:val="0241242E"/>
    <w:rsid w:val="024E4B4B"/>
    <w:rsid w:val="02663C42"/>
    <w:rsid w:val="027D3B5B"/>
    <w:rsid w:val="02B56978"/>
    <w:rsid w:val="02D17BE8"/>
    <w:rsid w:val="02E01C47"/>
    <w:rsid w:val="030376E3"/>
    <w:rsid w:val="030516AD"/>
    <w:rsid w:val="032B6C3A"/>
    <w:rsid w:val="034675D0"/>
    <w:rsid w:val="03547F3F"/>
    <w:rsid w:val="03767EB5"/>
    <w:rsid w:val="039667A9"/>
    <w:rsid w:val="03975914"/>
    <w:rsid w:val="03977E2B"/>
    <w:rsid w:val="03A82039"/>
    <w:rsid w:val="03B804CE"/>
    <w:rsid w:val="03D1158F"/>
    <w:rsid w:val="03EE2141"/>
    <w:rsid w:val="041D6583"/>
    <w:rsid w:val="046248DD"/>
    <w:rsid w:val="04722D72"/>
    <w:rsid w:val="04806B11"/>
    <w:rsid w:val="04825C21"/>
    <w:rsid w:val="048C3708"/>
    <w:rsid w:val="049C1B9D"/>
    <w:rsid w:val="04DE21B6"/>
    <w:rsid w:val="04E83035"/>
    <w:rsid w:val="04F33787"/>
    <w:rsid w:val="04F82B4C"/>
    <w:rsid w:val="0506170D"/>
    <w:rsid w:val="050F6813"/>
    <w:rsid w:val="05340028"/>
    <w:rsid w:val="05412745"/>
    <w:rsid w:val="05542478"/>
    <w:rsid w:val="0571302A"/>
    <w:rsid w:val="058B39C0"/>
    <w:rsid w:val="05D215EF"/>
    <w:rsid w:val="05E05ABA"/>
    <w:rsid w:val="05E25CD6"/>
    <w:rsid w:val="05ED6429"/>
    <w:rsid w:val="0619721E"/>
    <w:rsid w:val="065D710A"/>
    <w:rsid w:val="066A1827"/>
    <w:rsid w:val="06A116ED"/>
    <w:rsid w:val="06D373CC"/>
    <w:rsid w:val="06E11AE9"/>
    <w:rsid w:val="06F86E33"/>
    <w:rsid w:val="0721638A"/>
    <w:rsid w:val="0757624F"/>
    <w:rsid w:val="075E75DE"/>
    <w:rsid w:val="075F6EB2"/>
    <w:rsid w:val="0781507A"/>
    <w:rsid w:val="07C05BA3"/>
    <w:rsid w:val="07D23B28"/>
    <w:rsid w:val="07D433FC"/>
    <w:rsid w:val="07FB6BDB"/>
    <w:rsid w:val="08002443"/>
    <w:rsid w:val="080261BB"/>
    <w:rsid w:val="080A2066"/>
    <w:rsid w:val="0817778D"/>
    <w:rsid w:val="08193505"/>
    <w:rsid w:val="08420CAE"/>
    <w:rsid w:val="084E1401"/>
    <w:rsid w:val="084E7652"/>
    <w:rsid w:val="085E53BC"/>
    <w:rsid w:val="086E1AA3"/>
    <w:rsid w:val="08732C15"/>
    <w:rsid w:val="0882554E"/>
    <w:rsid w:val="089A2898"/>
    <w:rsid w:val="08C16076"/>
    <w:rsid w:val="08D31906"/>
    <w:rsid w:val="08EB30F3"/>
    <w:rsid w:val="08FD2E27"/>
    <w:rsid w:val="09000221"/>
    <w:rsid w:val="09067F2D"/>
    <w:rsid w:val="093C74AB"/>
    <w:rsid w:val="094B1DE4"/>
    <w:rsid w:val="096802A0"/>
    <w:rsid w:val="096D1D5A"/>
    <w:rsid w:val="09F45FD8"/>
    <w:rsid w:val="09FE29B2"/>
    <w:rsid w:val="0A00672A"/>
    <w:rsid w:val="0A14667A"/>
    <w:rsid w:val="0A1B17B6"/>
    <w:rsid w:val="0A3665F0"/>
    <w:rsid w:val="0A590531"/>
    <w:rsid w:val="0A917CCA"/>
    <w:rsid w:val="0AC43BFC"/>
    <w:rsid w:val="0AC77248"/>
    <w:rsid w:val="0AE56260"/>
    <w:rsid w:val="0AEE0DA7"/>
    <w:rsid w:val="0B0B35D9"/>
    <w:rsid w:val="0B1D50BA"/>
    <w:rsid w:val="0B224DC6"/>
    <w:rsid w:val="0B260413"/>
    <w:rsid w:val="0B380146"/>
    <w:rsid w:val="0B3A5C6C"/>
    <w:rsid w:val="0B4E1717"/>
    <w:rsid w:val="0B705B32"/>
    <w:rsid w:val="0B786794"/>
    <w:rsid w:val="0B8B296C"/>
    <w:rsid w:val="0B9C6927"/>
    <w:rsid w:val="0BCA3494"/>
    <w:rsid w:val="0BCB0FBA"/>
    <w:rsid w:val="0BD31C1D"/>
    <w:rsid w:val="0BE856C8"/>
    <w:rsid w:val="0BFC1173"/>
    <w:rsid w:val="0BFC5617"/>
    <w:rsid w:val="0C1B5A9E"/>
    <w:rsid w:val="0C25691C"/>
    <w:rsid w:val="0C28640C"/>
    <w:rsid w:val="0C322DE7"/>
    <w:rsid w:val="0C372D53"/>
    <w:rsid w:val="0C452B1A"/>
    <w:rsid w:val="0C5114BF"/>
    <w:rsid w:val="0C6C454B"/>
    <w:rsid w:val="0C6D2071"/>
    <w:rsid w:val="0C774C9E"/>
    <w:rsid w:val="0CAC4948"/>
    <w:rsid w:val="0CBE28CD"/>
    <w:rsid w:val="0CC7352F"/>
    <w:rsid w:val="0CD65E68"/>
    <w:rsid w:val="0D156991"/>
    <w:rsid w:val="0D162709"/>
    <w:rsid w:val="0D205D04"/>
    <w:rsid w:val="0D4B4161"/>
    <w:rsid w:val="0D570D57"/>
    <w:rsid w:val="0D611BD6"/>
    <w:rsid w:val="0DC67C8B"/>
    <w:rsid w:val="0DE95727"/>
    <w:rsid w:val="0DF50570"/>
    <w:rsid w:val="0DF540CC"/>
    <w:rsid w:val="0E146C48"/>
    <w:rsid w:val="0E264E93"/>
    <w:rsid w:val="0E39220B"/>
    <w:rsid w:val="0E72396F"/>
    <w:rsid w:val="0E7E0566"/>
    <w:rsid w:val="0E875E5F"/>
    <w:rsid w:val="0EB6385C"/>
    <w:rsid w:val="0ED974DB"/>
    <w:rsid w:val="0EED1247"/>
    <w:rsid w:val="0F087E2F"/>
    <w:rsid w:val="0F1669F0"/>
    <w:rsid w:val="0F276507"/>
    <w:rsid w:val="0F2F360E"/>
    <w:rsid w:val="0F476BAA"/>
    <w:rsid w:val="0F517A28"/>
    <w:rsid w:val="0F7554C5"/>
    <w:rsid w:val="0F957915"/>
    <w:rsid w:val="0FB57FB7"/>
    <w:rsid w:val="0FCB77DB"/>
    <w:rsid w:val="0FCC70AF"/>
    <w:rsid w:val="0FFA1E6E"/>
    <w:rsid w:val="10466E61"/>
    <w:rsid w:val="10521CAA"/>
    <w:rsid w:val="107439CE"/>
    <w:rsid w:val="108A1444"/>
    <w:rsid w:val="10AA73F0"/>
    <w:rsid w:val="10C04426"/>
    <w:rsid w:val="10C06C14"/>
    <w:rsid w:val="10FE598E"/>
    <w:rsid w:val="11020FDA"/>
    <w:rsid w:val="11603F53"/>
    <w:rsid w:val="11671785"/>
    <w:rsid w:val="11847C41"/>
    <w:rsid w:val="11895257"/>
    <w:rsid w:val="11D81D3B"/>
    <w:rsid w:val="11DF756D"/>
    <w:rsid w:val="11E40B43"/>
    <w:rsid w:val="11E42DD6"/>
    <w:rsid w:val="11F72B09"/>
    <w:rsid w:val="1209283C"/>
    <w:rsid w:val="12443874"/>
    <w:rsid w:val="124675EC"/>
    <w:rsid w:val="127A7296"/>
    <w:rsid w:val="12A54313"/>
    <w:rsid w:val="12B409FA"/>
    <w:rsid w:val="12C34799"/>
    <w:rsid w:val="12FE7EC7"/>
    <w:rsid w:val="13315BA7"/>
    <w:rsid w:val="136715C8"/>
    <w:rsid w:val="138228A6"/>
    <w:rsid w:val="13C0517C"/>
    <w:rsid w:val="14327E28"/>
    <w:rsid w:val="143A0A8B"/>
    <w:rsid w:val="143F2545"/>
    <w:rsid w:val="147815B3"/>
    <w:rsid w:val="147E306D"/>
    <w:rsid w:val="14AA3E63"/>
    <w:rsid w:val="14BE16BC"/>
    <w:rsid w:val="14D42C8D"/>
    <w:rsid w:val="14D507B4"/>
    <w:rsid w:val="14DA401C"/>
    <w:rsid w:val="15007F26"/>
    <w:rsid w:val="15051099"/>
    <w:rsid w:val="151439D2"/>
    <w:rsid w:val="1524459B"/>
    <w:rsid w:val="152543B4"/>
    <w:rsid w:val="156F0C08"/>
    <w:rsid w:val="15806971"/>
    <w:rsid w:val="15836462"/>
    <w:rsid w:val="158E5532"/>
    <w:rsid w:val="159D39C7"/>
    <w:rsid w:val="15D32F45"/>
    <w:rsid w:val="15F555B1"/>
    <w:rsid w:val="15F66C34"/>
    <w:rsid w:val="16225C7A"/>
    <w:rsid w:val="164B6F7F"/>
    <w:rsid w:val="164C3300"/>
    <w:rsid w:val="165C73DE"/>
    <w:rsid w:val="16610551"/>
    <w:rsid w:val="1671080F"/>
    <w:rsid w:val="16900E36"/>
    <w:rsid w:val="16A06334"/>
    <w:rsid w:val="16A6065A"/>
    <w:rsid w:val="16C46D32"/>
    <w:rsid w:val="16C60CFC"/>
    <w:rsid w:val="16EF0253"/>
    <w:rsid w:val="170034C4"/>
    <w:rsid w:val="170D06D9"/>
    <w:rsid w:val="171B1048"/>
    <w:rsid w:val="17233A58"/>
    <w:rsid w:val="17400AAE"/>
    <w:rsid w:val="17577BA6"/>
    <w:rsid w:val="175D340E"/>
    <w:rsid w:val="176302F9"/>
    <w:rsid w:val="176C3651"/>
    <w:rsid w:val="178A1D29"/>
    <w:rsid w:val="17A80401"/>
    <w:rsid w:val="17AA23CB"/>
    <w:rsid w:val="17C74D2B"/>
    <w:rsid w:val="17C84600"/>
    <w:rsid w:val="17CF598E"/>
    <w:rsid w:val="17FD0606"/>
    <w:rsid w:val="17FE48E7"/>
    <w:rsid w:val="181A12FF"/>
    <w:rsid w:val="183C74C7"/>
    <w:rsid w:val="1864257A"/>
    <w:rsid w:val="187A1D9E"/>
    <w:rsid w:val="189C07CD"/>
    <w:rsid w:val="18A4506D"/>
    <w:rsid w:val="18A62B93"/>
    <w:rsid w:val="18B828C6"/>
    <w:rsid w:val="19173D05"/>
    <w:rsid w:val="193C7053"/>
    <w:rsid w:val="193E2DCB"/>
    <w:rsid w:val="194A5C14"/>
    <w:rsid w:val="1977008B"/>
    <w:rsid w:val="19A54BF8"/>
    <w:rsid w:val="19B66E06"/>
    <w:rsid w:val="19CA465F"/>
    <w:rsid w:val="19E35721"/>
    <w:rsid w:val="19EA6AAF"/>
    <w:rsid w:val="19EE2A43"/>
    <w:rsid w:val="19F3005A"/>
    <w:rsid w:val="1A02029D"/>
    <w:rsid w:val="1A3A17E5"/>
    <w:rsid w:val="1A5D1977"/>
    <w:rsid w:val="1A9A0036"/>
    <w:rsid w:val="1A9D1D74"/>
    <w:rsid w:val="1A9F789A"/>
    <w:rsid w:val="1AA255DC"/>
    <w:rsid w:val="1AB63F2F"/>
    <w:rsid w:val="1ABA2925"/>
    <w:rsid w:val="1AC83294"/>
    <w:rsid w:val="1AF776D6"/>
    <w:rsid w:val="1B0B13D3"/>
    <w:rsid w:val="1B0D4C89"/>
    <w:rsid w:val="1B4E306E"/>
    <w:rsid w:val="1B762CF0"/>
    <w:rsid w:val="1B886580"/>
    <w:rsid w:val="1B9118D8"/>
    <w:rsid w:val="1B982ED9"/>
    <w:rsid w:val="1B9A62B3"/>
    <w:rsid w:val="1B9B2757"/>
    <w:rsid w:val="1BAD4238"/>
    <w:rsid w:val="1BB6133F"/>
    <w:rsid w:val="1BC25F36"/>
    <w:rsid w:val="1BE91714"/>
    <w:rsid w:val="1BEE6D2B"/>
    <w:rsid w:val="1BF604D2"/>
    <w:rsid w:val="1BFB1448"/>
    <w:rsid w:val="1C1D316C"/>
    <w:rsid w:val="1C387FA6"/>
    <w:rsid w:val="1C7F7983"/>
    <w:rsid w:val="1C850D11"/>
    <w:rsid w:val="1CA76EDA"/>
    <w:rsid w:val="1CB82E95"/>
    <w:rsid w:val="1CDC3027"/>
    <w:rsid w:val="1CE27F12"/>
    <w:rsid w:val="1D1A58FD"/>
    <w:rsid w:val="1D320E99"/>
    <w:rsid w:val="1D4110DC"/>
    <w:rsid w:val="1D4E37F9"/>
    <w:rsid w:val="1D70551D"/>
    <w:rsid w:val="1D772D50"/>
    <w:rsid w:val="1D8611E5"/>
    <w:rsid w:val="1D882D2B"/>
    <w:rsid w:val="1DA022A7"/>
    <w:rsid w:val="1DB96EC4"/>
    <w:rsid w:val="1E142848"/>
    <w:rsid w:val="1E2C6DF0"/>
    <w:rsid w:val="1E731769"/>
    <w:rsid w:val="1EA57449"/>
    <w:rsid w:val="1ECD34E0"/>
    <w:rsid w:val="1F17089A"/>
    <w:rsid w:val="1F26058A"/>
    <w:rsid w:val="1F2B5BA0"/>
    <w:rsid w:val="1F2E743E"/>
    <w:rsid w:val="1F52137F"/>
    <w:rsid w:val="1F8452B0"/>
    <w:rsid w:val="1F941997"/>
    <w:rsid w:val="1FE83A91"/>
    <w:rsid w:val="1FEE40BC"/>
    <w:rsid w:val="1FF95C9E"/>
    <w:rsid w:val="200563F1"/>
    <w:rsid w:val="200F54C2"/>
    <w:rsid w:val="20542ED4"/>
    <w:rsid w:val="20712EAE"/>
    <w:rsid w:val="20755F4B"/>
    <w:rsid w:val="20A21E92"/>
    <w:rsid w:val="20AA51EA"/>
    <w:rsid w:val="20CA3197"/>
    <w:rsid w:val="21162880"/>
    <w:rsid w:val="212705E9"/>
    <w:rsid w:val="21336F8E"/>
    <w:rsid w:val="21354AB4"/>
    <w:rsid w:val="214271D1"/>
    <w:rsid w:val="21472A39"/>
    <w:rsid w:val="214967B1"/>
    <w:rsid w:val="214E4C32"/>
    <w:rsid w:val="215315ED"/>
    <w:rsid w:val="215D400B"/>
    <w:rsid w:val="21621621"/>
    <w:rsid w:val="21747CD2"/>
    <w:rsid w:val="2181419D"/>
    <w:rsid w:val="21894E00"/>
    <w:rsid w:val="219C4B33"/>
    <w:rsid w:val="21A34113"/>
    <w:rsid w:val="21CE6CB6"/>
    <w:rsid w:val="222B5EB7"/>
    <w:rsid w:val="223119FD"/>
    <w:rsid w:val="22477195"/>
    <w:rsid w:val="22761828"/>
    <w:rsid w:val="22877591"/>
    <w:rsid w:val="229C0B63"/>
    <w:rsid w:val="22AA14D2"/>
    <w:rsid w:val="22B8599C"/>
    <w:rsid w:val="22F94FDE"/>
    <w:rsid w:val="22FD7853"/>
    <w:rsid w:val="23072480"/>
    <w:rsid w:val="23276719"/>
    <w:rsid w:val="232A616E"/>
    <w:rsid w:val="232E5C5F"/>
    <w:rsid w:val="233174FD"/>
    <w:rsid w:val="235F406A"/>
    <w:rsid w:val="237F64BA"/>
    <w:rsid w:val="23847F75"/>
    <w:rsid w:val="2398757C"/>
    <w:rsid w:val="239C706C"/>
    <w:rsid w:val="23B75C54"/>
    <w:rsid w:val="23C40371"/>
    <w:rsid w:val="23C9261C"/>
    <w:rsid w:val="23D26F32"/>
    <w:rsid w:val="23E46C65"/>
    <w:rsid w:val="23E629DD"/>
    <w:rsid w:val="23EB7FF4"/>
    <w:rsid w:val="240115C5"/>
    <w:rsid w:val="241906BD"/>
    <w:rsid w:val="24373239"/>
    <w:rsid w:val="244F0582"/>
    <w:rsid w:val="247B3126"/>
    <w:rsid w:val="24863878"/>
    <w:rsid w:val="249E0BC2"/>
    <w:rsid w:val="24AA3A0B"/>
    <w:rsid w:val="24B228BF"/>
    <w:rsid w:val="24B91EA0"/>
    <w:rsid w:val="24C3687B"/>
    <w:rsid w:val="24F904EE"/>
    <w:rsid w:val="24F9229C"/>
    <w:rsid w:val="252217F3"/>
    <w:rsid w:val="25473008"/>
    <w:rsid w:val="25592D3B"/>
    <w:rsid w:val="256C0CC0"/>
    <w:rsid w:val="25781413"/>
    <w:rsid w:val="25930F7E"/>
    <w:rsid w:val="259A3A7F"/>
    <w:rsid w:val="25AE752B"/>
    <w:rsid w:val="26306192"/>
    <w:rsid w:val="2652435A"/>
    <w:rsid w:val="268362C1"/>
    <w:rsid w:val="268D0EEE"/>
    <w:rsid w:val="26B446CD"/>
    <w:rsid w:val="26D134D1"/>
    <w:rsid w:val="26E86A6C"/>
    <w:rsid w:val="26F70A5D"/>
    <w:rsid w:val="27003DB6"/>
    <w:rsid w:val="27127C7A"/>
    <w:rsid w:val="27160EE4"/>
    <w:rsid w:val="2725381D"/>
    <w:rsid w:val="27343A60"/>
    <w:rsid w:val="274C6FFB"/>
    <w:rsid w:val="276F4A98"/>
    <w:rsid w:val="27C2106B"/>
    <w:rsid w:val="27D36DD5"/>
    <w:rsid w:val="27E72880"/>
    <w:rsid w:val="27E965F8"/>
    <w:rsid w:val="27FC632B"/>
    <w:rsid w:val="28074CD0"/>
    <w:rsid w:val="2812669E"/>
    <w:rsid w:val="281D62A2"/>
    <w:rsid w:val="2829733C"/>
    <w:rsid w:val="283C0E1E"/>
    <w:rsid w:val="285919D0"/>
    <w:rsid w:val="29127DD1"/>
    <w:rsid w:val="292F44DF"/>
    <w:rsid w:val="296A19BB"/>
    <w:rsid w:val="297168A5"/>
    <w:rsid w:val="29AC1FD3"/>
    <w:rsid w:val="29AF561F"/>
    <w:rsid w:val="29BA46F0"/>
    <w:rsid w:val="29DA6B40"/>
    <w:rsid w:val="2A375D41"/>
    <w:rsid w:val="2A495A74"/>
    <w:rsid w:val="2AD03A9F"/>
    <w:rsid w:val="2AD73080"/>
    <w:rsid w:val="2ADF3CE2"/>
    <w:rsid w:val="2B0C0F7B"/>
    <w:rsid w:val="2B17347C"/>
    <w:rsid w:val="2B395AE8"/>
    <w:rsid w:val="2B4324C3"/>
    <w:rsid w:val="2B434271"/>
    <w:rsid w:val="2B4D6E9E"/>
    <w:rsid w:val="2B5B5A5F"/>
    <w:rsid w:val="2B5E0B35"/>
    <w:rsid w:val="2B6E5792"/>
    <w:rsid w:val="2B956A91"/>
    <w:rsid w:val="2BD31A99"/>
    <w:rsid w:val="2BE96DDF"/>
    <w:rsid w:val="2BF11F1F"/>
    <w:rsid w:val="2C057779"/>
    <w:rsid w:val="2C1C51EE"/>
    <w:rsid w:val="2C3A5674"/>
    <w:rsid w:val="2C6E17C2"/>
    <w:rsid w:val="2C932FD6"/>
    <w:rsid w:val="2C974875"/>
    <w:rsid w:val="2CB25B52"/>
    <w:rsid w:val="2CC67D7E"/>
    <w:rsid w:val="2CCB2770"/>
    <w:rsid w:val="2CD23AFF"/>
    <w:rsid w:val="2CFA5AB0"/>
    <w:rsid w:val="2D047A30"/>
    <w:rsid w:val="2D0668E8"/>
    <w:rsid w:val="2D0D0FDB"/>
    <w:rsid w:val="2D34043B"/>
    <w:rsid w:val="2D452523"/>
    <w:rsid w:val="2D67693D"/>
    <w:rsid w:val="2D6D3827"/>
    <w:rsid w:val="2D713318"/>
    <w:rsid w:val="2D7B5F44"/>
    <w:rsid w:val="2D8E211C"/>
    <w:rsid w:val="2D9139BA"/>
    <w:rsid w:val="2D937732"/>
    <w:rsid w:val="2D9C5EBB"/>
    <w:rsid w:val="2DAF5BEE"/>
    <w:rsid w:val="2DB476A8"/>
    <w:rsid w:val="2DB80F46"/>
    <w:rsid w:val="2DC773DC"/>
    <w:rsid w:val="2DF301D1"/>
    <w:rsid w:val="2DF6381D"/>
    <w:rsid w:val="2DF83A39"/>
    <w:rsid w:val="2E0028ED"/>
    <w:rsid w:val="2E20089A"/>
    <w:rsid w:val="2E514EF7"/>
    <w:rsid w:val="2E61338C"/>
    <w:rsid w:val="2E823302"/>
    <w:rsid w:val="2E8B21B7"/>
    <w:rsid w:val="2E960B5C"/>
    <w:rsid w:val="2EB10D8C"/>
    <w:rsid w:val="2EBD433B"/>
    <w:rsid w:val="2EDC2A13"/>
    <w:rsid w:val="2F000DF7"/>
    <w:rsid w:val="2F176141"/>
    <w:rsid w:val="2F1E127D"/>
    <w:rsid w:val="2F210D6D"/>
    <w:rsid w:val="2F2E4FD5"/>
    <w:rsid w:val="2F3C7955"/>
    <w:rsid w:val="2F4B1946"/>
    <w:rsid w:val="2F527179"/>
    <w:rsid w:val="2F77098D"/>
    <w:rsid w:val="2F8A246F"/>
    <w:rsid w:val="2F8D01B1"/>
    <w:rsid w:val="2F9B28CE"/>
    <w:rsid w:val="2FAC4ADB"/>
    <w:rsid w:val="2FD7142C"/>
    <w:rsid w:val="2FE029D7"/>
    <w:rsid w:val="2FE06533"/>
    <w:rsid w:val="30055F99"/>
    <w:rsid w:val="30202DD3"/>
    <w:rsid w:val="302D7B32"/>
    <w:rsid w:val="304F5466"/>
    <w:rsid w:val="306B04F2"/>
    <w:rsid w:val="307355F9"/>
    <w:rsid w:val="30B55C11"/>
    <w:rsid w:val="30C310ED"/>
    <w:rsid w:val="30C419B0"/>
    <w:rsid w:val="30C47C02"/>
    <w:rsid w:val="30F229C1"/>
    <w:rsid w:val="311A3CC6"/>
    <w:rsid w:val="312D57A8"/>
    <w:rsid w:val="315F16D9"/>
    <w:rsid w:val="316D029A"/>
    <w:rsid w:val="3175714F"/>
    <w:rsid w:val="31AD0696"/>
    <w:rsid w:val="31B163D9"/>
    <w:rsid w:val="31B732C3"/>
    <w:rsid w:val="31C12394"/>
    <w:rsid w:val="31C53C32"/>
    <w:rsid w:val="31D10829"/>
    <w:rsid w:val="31DC0F7C"/>
    <w:rsid w:val="31E02532"/>
    <w:rsid w:val="31F2254D"/>
    <w:rsid w:val="31F369F1"/>
    <w:rsid w:val="3207249C"/>
    <w:rsid w:val="320F1351"/>
    <w:rsid w:val="3251196A"/>
    <w:rsid w:val="325356E2"/>
    <w:rsid w:val="32544FB6"/>
    <w:rsid w:val="32546D64"/>
    <w:rsid w:val="32625925"/>
    <w:rsid w:val="32676A97"/>
    <w:rsid w:val="326C2300"/>
    <w:rsid w:val="327B69E7"/>
    <w:rsid w:val="327D275F"/>
    <w:rsid w:val="327D450D"/>
    <w:rsid w:val="328238D1"/>
    <w:rsid w:val="32877139"/>
    <w:rsid w:val="32B1065A"/>
    <w:rsid w:val="32C97752"/>
    <w:rsid w:val="32CC2D9E"/>
    <w:rsid w:val="32E0684A"/>
    <w:rsid w:val="32E4458C"/>
    <w:rsid w:val="33154F2C"/>
    <w:rsid w:val="331A1010"/>
    <w:rsid w:val="33694A91"/>
    <w:rsid w:val="33705E1F"/>
    <w:rsid w:val="337551E4"/>
    <w:rsid w:val="337E053C"/>
    <w:rsid w:val="33997124"/>
    <w:rsid w:val="33BD268F"/>
    <w:rsid w:val="33C30645"/>
    <w:rsid w:val="33CA19D4"/>
    <w:rsid w:val="34052A0C"/>
    <w:rsid w:val="340D7B12"/>
    <w:rsid w:val="34142C4F"/>
    <w:rsid w:val="341C1B03"/>
    <w:rsid w:val="341E1D1F"/>
    <w:rsid w:val="341E587B"/>
    <w:rsid w:val="346959F8"/>
    <w:rsid w:val="347A51A8"/>
    <w:rsid w:val="3491097A"/>
    <w:rsid w:val="34C957E7"/>
    <w:rsid w:val="34CA155F"/>
    <w:rsid w:val="34CC3529"/>
    <w:rsid w:val="34CE54F3"/>
    <w:rsid w:val="34FB5BBD"/>
    <w:rsid w:val="350727B3"/>
    <w:rsid w:val="350C7DCA"/>
    <w:rsid w:val="354362C5"/>
    <w:rsid w:val="354E3F3E"/>
    <w:rsid w:val="355C2AFF"/>
    <w:rsid w:val="355E0625"/>
    <w:rsid w:val="35A65B28"/>
    <w:rsid w:val="35CF1523"/>
    <w:rsid w:val="35E825E5"/>
    <w:rsid w:val="35FB2318"/>
    <w:rsid w:val="3619279E"/>
    <w:rsid w:val="36681030"/>
    <w:rsid w:val="368C11C2"/>
    <w:rsid w:val="36A4475E"/>
    <w:rsid w:val="36B9188B"/>
    <w:rsid w:val="36D913FC"/>
    <w:rsid w:val="36E7464B"/>
    <w:rsid w:val="370A0339"/>
    <w:rsid w:val="371511B8"/>
    <w:rsid w:val="37225683"/>
    <w:rsid w:val="372C02AF"/>
    <w:rsid w:val="37411FAD"/>
    <w:rsid w:val="37441A9D"/>
    <w:rsid w:val="375C0B95"/>
    <w:rsid w:val="376161AB"/>
    <w:rsid w:val="37645C9B"/>
    <w:rsid w:val="378B76CC"/>
    <w:rsid w:val="37904CE2"/>
    <w:rsid w:val="37A34A15"/>
    <w:rsid w:val="37B07132"/>
    <w:rsid w:val="386A5533"/>
    <w:rsid w:val="3894610C"/>
    <w:rsid w:val="38B22A36"/>
    <w:rsid w:val="38D26C34"/>
    <w:rsid w:val="38E04A8D"/>
    <w:rsid w:val="38F35529"/>
    <w:rsid w:val="390C65EA"/>
    <w:rsid w:val="395078BE"/>
    <w:rsid w:val="395D0BF4"/>
    <w:rsid w:val="396E2E01"/>
    <w:rsid w:val="39B34CB8"/>
    <w:rsid w:val="39CB0253"/>
    <w:rsid w:val="39CD7B28"/>
    <w:rsid w:val="39CF05D0"/>
    <w:rsid w:val="39F552D0"/>
    <w:rsid w:val="39FA4695"/>
    <w:rsid w:val="3A296D28"/>
    <w:rsid w:val="3AA0348E"/>
    <w:rsid w:val="3B021A53"/>
    <w:rsid w:val="3B3B6D13"/>
    <w:rsid w:val="3B3F2CA7"/>
    <w:rsid w:val="3B4A51A8"/>
    <w:rsid w:val="3BA23236"/>
    <w:rsid w:val="3BA945C4"/>
    <w:rsid w:val="3BB52F69"/>
    <w:rsid w:val="3BB70A8F"/>
    <w:rsid w:val="3C0B2B89"/>
    <w:rsid w:val="3C2D6FA3"/>
    <w:rsid w:val="3C3A521C"/>
    <w:rsid w:val="3C5462DE"/>
    <w:rsid w:val="3C9708C1"/>
    <w:rsid w:val="3CAA4150"/>
    <w:rsid w:val="3CB46D7D"/>
    <w:rsid w:val="3CF11D7F"/>
    <w:rsid w:val="3CF74EBC"/>
    <w:rsid w:val="3D145A6E"/>
    <w:rsid w:val="3D251A29"/>
    <w:rsid w:val="3D3954D4"/>
    <w:rsid w:val="3D513775"/>
    <w:rsid w:val="3D624A2B"/>
    <w:rsid w:val="3DAA0180"/>
    <w:rsid w:val="3DC96858"/>
    <w:rsid w:val="3DF8538F"/>
    <w:rsid w:val="3E155F41"/>
    <w:rsid w:val="3E190929"/>
    <w:rsid w:val="3E1D6BA4"/>
    <w:rsid w:val="3E391C30"/>
    <w:rsid w:val="3E497999"/>
    <w:rsid w:val="3E506F79"/>
    <w:rsid w:val="3E677932"/>
    <w:rsid w:val="3E8D3D29"/>
    <w:rsid w:val="3ED74FA5"/>
    <w:rsid w:val="3EEB6EB0"/>
    <w:rsid w:val="3F0C10F2"/>
    <w:rsid w:val="3F1B7587"/>
    <w:rsid w:val="3F1C71A0"/>
    <w:rsid w:val="3F2B709E"/>
    <w:rsid w:val="3F473ED8"/>
    <w:rsid w:val="3F5C54AA"/>
    <w:rsid w:val="3F632CDC"/>
    <w:rsid w:val="40251D40"/>
    <w:rsid w:val="40363F4D"/>
    <w:rsid w:val="40381A73"/>
    <w:rsid w:val="4050500F"/>
    <w:rsid w:val="40AB493B"/>
    <w:rsid w:val="40DF1663"/>
    <w:rsid w:val="40F55BB6"/>
    <w:rsid w:val="41200E85"/>
    <w:rsid w:val="41313092"/>
    <w:rsid w:val="41401527"/>
    <w:rsid w:val="414F176A"/>
    <w:rsid w:val="415C3EC7"/>
    <w:rsid w:val="416D1BF0"/>
    <w:rsid w:val="41744D2D"/>
    <w:rsid w:val="417967E7"/>
    <w:rsid w:val="417E3DFD"/>
    <w:rsid w:val="418D5DEE"/>
    <w:rsid w:val="419B675D"/>
    <w:rsid w:val="41AF045B"/>
    <w:rsid w:val="41B63597"/>
    <w:rsid w:val="41D659E7"/>
    <w:rsid w:val="41E225DE"/>
    <w:rsid w:val="41F8770C"/>
    <w:rsid w:val="4205007B"/>
    <w:rsid w:val="42310E70"/>
    <w:rsid w:val="42480200"/>
    <w:rsid w:val="426B4382"/>
    <w:rsid w:val="42707BEA"/>
    <w:rsid w:val="427F2168"/>
    <w:rsid w:val="42903DE8"/>
    <w:rsid w:val="429A4C67"/>
    <w:rsid w:val="42A22417"/>
    <w:rsid w:val="42D53EF1"/>
    <w:rsid w:val="42EF4FB3"/>
    <w:rsid w:val="43086074"/>
    <w:rsid w:val="43210EE4"/>
    <w:rsid w:val="43340C18"/>
    <w:rsid w:val="4340580E"/>
    <w:rsid w:val="434A043B"/>
    <w:rsid w:val="43994F1E"/>
    <w:rsid w:val="43BB6C43"/>
    <w:rsid w:val="43EF0FE2"/>
    <w:rsid w:val="4427077C"/>
    <w:rsid w:val="443C4228"/>
    <w:rsid w:val="447339C1"/>
    <w:rsid w:val="447A4D50"/>
    <w:rsid w:val="447D214A"/>
    <w:rsid w:val="44D53D34"/>
    <w:rsid w:val="44FE14DD"/>
    <w:rsid w:val="451E1B7F"/>
    <w:rsid w:val="45216F7A"/>
    <w:rsid w:val="459C4852"/>
    <w:rsid w:val="45A007E6"/>
    <w:rsid w:val="460074D7"/>
    <w:rsid w:val="462E7BA0"/>
    <w:rsid w:val="464C6278"/>
    <w:rsid w:val="466A5972"/>
    <w:rsid w:val="469814BD"/>
    <w:rsid w:val="469A6FE4"/>
    <w:rsid w:val="46AF05B5"/>
    <w:rsid w:val="46F72354"/>
    <w:rsid w:val="46FF153C"/>
    <w:rsid w:val="47431429"/>
    <w:rsid w:val="47507FEA"/>
    <w:rsid w:val="47797541"/>
    <w:rsid w:val="478B2DD0"/>
    <w:rsid w:val="479003E6"/>
    <w:rsid w:val="479779C7"/>
    <w:rsid w:val="47AD2D46"/>
    <w:rsid w:val="47C22C96"/>
    <w:rsid w:val="47CD163B"/>
    <w:rsid w:val="47D6229D"/>
    <w:rsid w:val="482A25E9"/>
    <w:rsid w:val="48384D06"/>
    <w:rsid w:val="48657FC9"/>
    <w:rsid w:val="48790E7B"/>
    <w:rsid w:val="489839F7"/>
    <w:rsid w:val="48A44149"/>
    <w:rsid w:val="48CE11C6"/>
    <w:rsid w:val="48EE1869"/>
    <w:rsid w:val="48FD7CFE"/>
    <w:rsid w:val="491237A9"/>
    <w:rsid w:val="49155047"/>
    <w:rsid w:val="491C63D6"/>
    <w:rsid w:val="49211C3E"/>
    <w:rsid w:val="49B06B1E"/>
    <w:rsid w:val="49B74350"/>
    <w:rsid w:val="49C03205"/>
    <w:rsid w:val="49E41602"/>
    <w:rsid w:val="4A064990"/>
    <w:rsid w:val="4A1470AD"/>
    <w:rsid w:val="4A161077"/>
    <w:rsid w:val="4A331464"/>
    <w:rsid w:val="4A6C0C97"/>
    <w:rsid w:val="4A755FDC"/>
    <w:rsid w:val="4A7638C4"/>
    <w:rsid w:val="4A7D10F6"/>
    <w:rsid w:val="4A875AD1"/>
    <w:rsid w:val="4A914BA1"/>
    <w:rsid w:val="4ACA3C0F"/>
    <w:rsid w:val="4AE9678B"/>
    <w:rsid w:val="4B02784D"/>
    <w:rsid w:val="4B076C12"/>
    <w:rsid w:val="4B427C4A"/>
    <w:rsid w:val="4B4439C2"/>
    <w:rsid w:val="4B5300A9"/>
    <w:rsid w:val="4B69167A"/>
    <w:rsid w:val="4B9009B5"/>
    <w:rsid w:val="4BB46D99"/>
    <w:rsid w:val="4BB87F0C"/>
    <w:rsid w:val="4BC36FDC"/>
    <w:rsid w:val="4BCA036B"/>
    <w:rsid w:val="4C3677AE"/>
    <w:rsid w:val="4C4243A5"/>
    <w:rsid w:val="4C5B5467"/>
    <w:rsid w:val="4C6267F5"/>
    <w:rsid w:val="4C6D00CE"/>
    <w:rsid w:val="4C79769B"/>
    <w:rsid w:val="4D043409"/>
    <w:rsid w:val="4D1E03D2"/>
    <w:rsid w:val="4D2A6BE7"/>
    <w:rsid w:val="4D2B4E39"/>
    <w:rsid w:val="4D3857A8"/>
    <w:rsid w:val="4D491763"/>
    <w:rsid w:val="4D4C5F59"/>
    <w:rsid w:val="4D722A68"/>
    <w:rsid w:val="4DA90454"/>
    <w:rsid w:val="4DAD1CF2"/>
    <w:rsid w:val="4DBA7F6B"/>
    <w:rsid w:val="4DCF7EBB"/>
    <w:rsid w:val="4DF23BA9"/>
    <w:rsid w:val="4DFF04B8"/>
    <w:rsid w:val="4E1C29D4"/>
    <w:rsid w:val="4E797E26"/>
    <w:rsid w:val="4EA330F5"/>
    <w:rsid w:val="4EFE20DA"/>
    <w:rsid w:val="4F155DA1"/>
    <w:rsid w:val="4F1B712F"/>
    <w:rsid w:val="4F5F0DCA"/>
    <w:rsid w:val="4F710AFD"/>
    <w:rsid w:val="4F8B1BBF"/>
    <w:rsid w:val="4F9667B6"/>
    <w:rsid w:val="4F980780"/>
    <w:rsid w:val="4FC357FD"/>
    <w:rsid w:val="4FC7696F"/>
    <w:rsid w:val="4FDF7541"/>
    <w:rsid w:val="4FEE214E"/>
    <w:rsid w:val="50352A1E"/>
    <w:rsid w:val="503E6C32"/>
    <w:rsid w:val="50416722"/>
    <w:rsid w:val="50493828"/>
    <w:rsid w:val="50593A6B"/>
    <w:rsid w:val="505C7A00"/>
    <w:rsid w:val="508A1E77"/>
    <w:rsid w:val="50A32F39"/>
    <w:rsid w:val="50BE7D72"/>
    <w:rsid w:val="50DB6B76"/>
    <w:rsid w:val="50FE4613"/>
    <w:rsid w:val="51167BAE"/>
    <w:rsid w:val="513B2C5D"/>
    <w:rsid w:val="514364CA"/>
    <w:rsid w:val="51750D79"/>
    <w:rsid w:val="51C13FBE"/>
    <w:rsid w:val="51C55131"/>
    <w:rsid w:val="51D35A9F"/>
    <w:rsid w:val="52157E66"/>
    <w:rsid w:val="521A1920"/>
    <w:rsid w:val="528172AA"/>
    <w:rsid w:val="52A116FA"/>
    <w:rsid w:val="52A66D10"/>
    <w:rsid w:val="52C06024"/>
    <w:rsid w:val="52C13B4A"/>
    <w:rsid w:val="52E57838"/>
    <w:rsid w:val="52FE08FA"/>
    <w:rsid w:val="53004672"/>
    <w:rsid w:val="53051C89"/>
    <w:rsid w:val="53083527"/>
    <w:rsid w:val="53130849"/>
    <w:rsid w:val="5345477B"/>
    <w:rsid w:val="535D1AC5"/>
    <w:rsid w:val="53607807"/>
    <w:rsid w:val="53DF24DA"/>
    <w:rsid w:val="540006A2"/>
    <w:rsid w:val="54181E8F"/>
    <w:rsid w:val="545C0256"/>
    <w:rsid w:val="5472334E"/>
    <w:rsid w:val="54857525"/>
    <w:rsid w:val="54A43723"/>
    <w:rsid w:val="54B167A5"/>
    <w:rsid w:val="54D23DEC"/>
    <w:rsid w:val="54F46459"/>
    <w:rsid w:val="54F975CB"/>
    <w:rsid w:val="54FB1595"/>
    <w:rsid w:val="54FC355F"/>
    <w:rsid w:val="5527238A"/>
    <w:rsid w:val="55346855"/>
    <w:rsid w:val="557430F6"/>
    <w:rsid w:val="558E065B"/>
    <w:rsid w:val="55AC288F"/>
    <w:rsid w:val="55BA31FE"/>
    <w:rsid w:val="55BE30DF"/>
    <w:rsid w:val="55DD513F"/>
    <w:rsid w:val="55F36710"/>
    <w:rsid w:val="55F66200"/>
    <w:rsid w:val="560C77D2"/>
    <w:rsid w:val="562543F0"/>
    <w:rsid w:val="563C00B7"/>
    <w:rsid w:val="568832FC"/>
    <w:rsid w:val="56A812A9"/>
    <w:rsid w:val="57233025"/>
    <w:rsid w:val="57400A23"/>
    <w:rsid w:val="575256B8"/>
    <w:rsid w:val="577B4C0F"/>
    <w:rsid w:val="57A777B2"/>
    <w:rsid w:val="57AC6B77"/>
    <w:rsid w:val="57CD6624"/>
    <w:rsid w:val="57F30C49"/>
    <w:rsid w:val="57F329F7"/>
    <w:rsid w:val="580469B3"/>
    <w:rsid w:val="580544D9"/>
    <w:rsid w:val="5814471C"/>
    <w:rsid w:val="58670CF0"/>
    <w:rsid w:val="58694A68"/>
    <w:rsid w:val="58845D45"/>
    <w:rsid w:val="5895585D"/>
    <w:rsid w:val="58BD4DB3"/>
    <w:rsid w:val="58C779E0"/>
    <w:rsid w:val="58DC348C"/>
    <w:rsid w:val="590A624B"/>
    <w:rsid w:val="5919023C"/>
    <w:rsid w:val="59266DFD"/>
    <w:rsid w:val="592A2449"/>
    <w:rsid w:val="596D0588"/>
    <w:rsid w:val="59745DBA"/>
    <w:rsid w:val="59853B23"/>
    <w:rsid w:val="59875AED"/>
    <w:rsid w:val="59934492"/>
    <w:rsid w:val="59973856"/>
    <w:rsid w:val="59C759D8"/>
    <w:rsid w:val="59D95C1D"/>
    <w:rsid w:val="59EA1BD8"/>
    <w:rsid w:val="59FE5684"/>
    <w:rsid w:val="59FE7432"/>
    <w:rsid w:val="5A221372"/>
    <w:rsid w:val="5A5B2AD6"/>
    <w:rsid w:val="5A625C12"/>
    <w:rsid w:val="5A647BDD"/>
    <w:rsid w:val="5A6E2809"/>
    <w:rsid w:val="5A7A2F5C"/>
    <w:rsid w:val="5A8E07B6"/>
    <w:rsid w:val="5A943A15"/>
    <w:rsid w:val="5A9A3496"/>
    <w:rsid w:val="5AAE0E58"/>
    <w:rsid w:val="5AD00DCE"/>
    <w:rsid w:val="5AD84127"/>
    <w:rsid w:val="5B123195"/>
    <w:rsid w:val="5B1F1D55"/>
    <w:rsid w:val="5B70610D"/>
    <w:rsid w:val="5B953DC6"/>
    <w:rsid w:val="5BAB5397"/>
    <w:rsid w:val="5BAF4E87"/>
    <w:rsid w:val="5BCA7F13"/>
    <w:rsid w:val="5BD3501A"/>
    <w:rsid w:val="5BE54D4D"/>
    <w:rsid w:val="5BF907F8"/>
    <w:rsid w:val="5C0A6562"/>
    <w:rsid w:val="5C1318BA"/>
    <w:rsid w:val="5C2C78B7"/>
    <w:rsid w:val="5C4E644E"/>
    <w:rsid w:val="5C545A2F"/>
    <w:rsid w:val="5C693288"/>
    <w:rsid w:val="5C702869"/>
    <w:rsid w:val="5C9B11E4"/>
    <w:rsid w:val="5CCB4A8E"/>
    <w:rsid w:val="5CF05758"/>
    <w:rsid w:val="5D2378DB"/>
    <w:rsid w:val="5D557CB0"/>
    <w:rsid w:val="5D6E48CE"/>
    <w:rsid w:val="5D8365CC"/>
    <w:rsid w:val="5D964551"/>
    <w:rsid w:val="5DCB3ACF"/>
    <w:rsid w:val="5DCC7F73"/>
    <w:rsid w:val="5DD010E5"/>
    <w:rsid w:val="5DE84681"/>
    <w:rsid w:val="5E0A2849"/>
    <w:rsid w:val="5E282CCF"/>
    <w:rsid w:val="5E2960AF"/>
    <w:rsid w:val="5E6737F7"/>
    <w:rsid w:val="5E710B1A"/>
    <w:rsid w:val="5E761C8C"/>
    <w:rsid w:val="5E912F6A"/>
    <w:rsid w:val="5EE17A4E"/>
    <w:rsid w:val="5F090D52"/>
    <w:rsid w:val="5F12773F"/>
    <w:rsid w:val="5F526256"/>
    <w:rsid w:val="5F5E109E"/>
    <w:rsid w:val="5F816B3B"/>
    <w:rsid w:val="5F993E84"/>
    <w:rsid w:val="5FB213EA"/>
    <w:rsid w:val="5FB40CBE"/>
    <w:rsid w:val="5FC52ECB"/>
    <w:rsid w:val="5FD50C35"/>
    <w:rsid w:val="5FED1A34"/>
    <w:rsid w:val="60123C37"/>
    <w:rsid w:val="601C6864"/>
    <w:rsid w:val="602C1457"/>
    <w:rsid w:val="60765F74"/>
    <w:rsid w:val="609B00D0"/>
    <w:rsid w:val="609D5BF6"/>
    <w:rsid w:val="609F196E"/>
    <w:rsid w:val="60B371C8"/>
    <w:rsid w:val="60DB671F"/>
    <w:rsid w:val="60E03D35"/>
    <w:rsid w:val="60E43825"/>
    <w:rsid w:val="60E7023C"/>
    <w:rsid w:val="60F021CA"/>
    <w:rsid w:val="60F375C4"/>
    <w:rsid w:val="6126799A"/>
    <w:rsid w:val="612E2CF2"/>
    <w:rsid w:val="613D2F35"/>
    <w:rsid w:val="6155202D"/>
    <w:rsid w:val="615E35D8"/>
    <w:rsid w:val="615F4C5A"/>
    <w:rsid w:val="61DB4C28"/>
    <w:rsid w:val="61E17D65"/>
    <w:rsid w:val="61F41846"/>
    <w:rsid w:val="61FA2BD4"/>
    <w:rsid w:val="61FC7890"/>
    <w:rsid w:val="62145A44"/>
    <w:rsid w:val="624125B1"/>
    <w:rsid w:val="62456545"/>
    <w:rsid w:val="626764BC"/>
    <w:rsid w:val="626D784A"/>
    <w:rsid w:val="628726BA"/>
    <w:rsid w:val="62894684"/>
    <w:rsid w:val="62C456BC"/>
    <w:rsid w:val="62C84A81"/>
    <w:rsid w:val="62E25B42"/>
    <w:rsid w:val="62E278F0"/>
    <w:rsid w:val="6300246C"/>
    <w:rsid w:val="63051831"/>
    <w:rsid w:val="631D4DCC"/>
    <w:rsid w:val="63202864"/>
    <w:rsid w:val="632B74E9"/>
    <w:rsid w:val="639332E1"/>
    <w:rsid w:val="63C811DC"/>
    <w:rsid w:val="63F0428F"/>
    <w:rsid w:val="63F773CC"/>
    <w:rsid w:val="6410048D"/>
    <w:rsid w:val="64264155"/>
    <w:rsid w:val="643248A8"/>
    <w:rsid w:val="64721148"/>
    <w:rsid w:val="648C045C"/>
    <w:rsid w:val="64966BE4"/>
    <w:rsid w:val="649C61C5"/>
    <w:rsid w:val="64A21A2D"/>
    <w:rsid w:val="64B4350F"/>
    <w:rsid w:val="64C37BF6"/>
    <w:rsid w:val="64E35BA2"/>
    <w:rsid w:val="64EA5182"/>
    <w:rsid w:val="64FE5585"/>
    <w:rsid w:val="65051FBC"/>
    <w:rsid w:val="65091AAC"/>
    <w:rsid w:val="653B3C30"/>
    <w:rsid w:val="6546685C"/>
    <w:rsid w:val="65532D27"/>
    <w:rsid w:val="655B398A"/>
    <w:rsid w:val="658729D1"/>
    <w:rsid w:val="658904F7"/>
    <w:rsid w:val="65905D2A"/>
    <w:rsid w:val="65A90B99"/>
    <w:rsid w:val="65C07C91"/>
    <w:rsid w:val="65CB0B10"/>
    <w:rsid w:val="65E6594A"/>
    <w:rsid w:val="65FA371A"/>
    <w:rsid w:val="66044022"/>
    <w:rsid w:val="660758C0"/>
    <w:rsid w:val="66091638"/>
    <w:rsid w:val="661701F9"/>
    <w:rsid w:val="661F0E5C"/>
    <w:rsid w:val="66320B8F"/>
    <w:rsid w:val="66432D9C"/>
    <w:rsid w:val="66482160"/>
    <w:rsid w:val="664D7777"/>
    <w:rsid w:val="667733BA"/>
    <w:rsid w:val="66A575B3"/>
    <w:rsid w:val="67564D51"/>
    <w:rsid w:val="676C6322"/>
    <w:rsid w:val="677F7E04"/>
    <w:rsid w:val="67C47F0C"/>
    <w:rsid w:val="67F00D02"/>
    <w:rsid w:val="67F1641A"/>
    <w:rsid w:val="67FC1454"/>
    <w:rsid w:val="68246BFD"/>
    <w:rsid w:val="68437083"/>
    <w:rsid w:val="68617509"/>
    <w:rsid w:val="687F5BE1"/>
    <w:rsid w:val="68F22857"/>
    <w:rsid w:val="68F4037D"/>
    <w:rsid w:val="68FB788A"/>
    <w:rsid w:val="69076FCD"/>
    <w:rsid w:val="690F3409"/>
    <w:rsid w:val="6953779A"/>
    <w:rsid w:val="69545323"/>
    <w:rsid w:val="698A2A90"/>
    <w:rsid w:val="69B144C0"/>
    <w:rsid w:val="69B53FB1"/>
    <w:rsid w:val="69BB0E9B"/>
    <w:rsid w:val="69DB153D"/>
    <w:rsid w:val="6A294057"/>
    <w:rsid w:val="6A60436C"/>
    <w:rsid w:val="6A9040D6"/>
    <w:rsid w:val="6A975464"/>
    <w:rsid w:val="6AA302AD"/>
    <w:rsid w:val="6AAB0F10"/>
    <w:rsid w:val="6AC00E5F"/>
    <w:rsid w:val="6ACD0E86"/>
    <w:rsid w:val="6AD246EE"/>
    <w:rsid w:val="6AEC1C54"/>
    <w:rsid w:val="6AED32D6"/>
    <w:rsid w:val="6AF705F9"/>
    <w:rsid w:val="6B106FC5"/>
    <w:rsid w:val="6B252A70"/>
    <w:rsid w:val="6B3E7FD6"/>
    <w:rsid w:val="6B431148"/>
    <w:rsid w:val="6B574BF4"/>
    <w:rsid w:val="6B633598"/>
    <w:rsid w:val="6B6D2669"/>
    <w:rsid w:val="6B7B7D93"/>
    <w:rsid w:val="6B9E2823"/>
    <w:rsid w:val="6BA442DD"/>
    <w:rsid w:val="6BD050D2"/>
    <w:rsid w:val="6BE446D9"/>
    <w:rsid w:val="6BE741CA"/>
    <w:rsid w:val="6BF16DF6"/>
    <w:rsid w:val="6C0C3C30"/>
    <w:rsid w:val="6C292A34"/>
    <w:rsid w:val="6C2E3BA6"/>
    <w:rsid w:val="6C411B2C"/>
    <w:rsid w:val="6C423AF6"/>
    <w:rsid w:val="6C517895"/>
    <w:rsid w:val="6C53185F"/>
    <w:rsid w:val="6C553829"/>
    <w:rsid w:val="6C6E48EB"/>
    <w:rsid w:val="6C953C26"/>
    <w:rsid w:val="6CA125CA"/>
    <w:rsid w:val="6CA976D1"/>
    <w:rsid w:val="6CBA18DE"/>
    <w:rsid w:val="6CBF5146"/>
    <w:rsid w:val="6CCD7863"/>
    <w:rsid w:val="6CD96208"/>
    <w:rsid w:val="6D125276"/>
    <w:rsid w:val="6D194538"/>
    <w:rsid w:val="6D262AD0"/>
    <w:rsid w:val="6D396CA7"/>
    <w:rsid w:val="6D3B2A1F"/>
    <w:rsid w:val="6D415B5B"/>
    <w:rsid w:val="6D57712D"/>
    <w:rsid w:val="6D68758C"/>
    <w:rsid w:val="6DD15131"/>
    <w:rsid w:val="6DD32C57"/>
    <w:rsid w:val="6DD662A4"/>
    <w:rsid w:val="6E115847"/>
    <w:rsid w:val="6E3336F6"/>
    <w:rsid w:val="6E4C0C5C"/>
    <w:rsid w:val="6E600263"/>
    <w:rsid w:val="6E641B01"/>
    <w:rsid w:val="6E7F06E9"/>
    <w:rsid w:val="6E865F1C"/>
    <w:rsid w:val="6E8B0D18"/>
    <w:rsid w:val="6E9A19C7"/>
    <w:rsid w:val="6ED8429D"/>
    <w:rsid w:val="6EF7427F"/>
    <w:rsid w:val="6F12155D"/>
    <w:rsid w:val="6F2614AD"/>
    <w:rsid w:val="6F7B4EC0"/>
    <w:rsid w:val="6FA523D2"/>
    <w:rsid w:val="6FE949B4"/>
    <w:rsid w:val="6FEF7AF1"/>
    <w:rsid w:val="6FF2313D"/>
    <w:rsid w:val="70096E04"/>
    <w:rsid w:val="703379DD"/>
    <w:rsid w:val="70455963"/>
    <w:rsid w:val="70673B2B"/>
    <w:rsid w:val="70785D38"/>
    <w:rsid w:val="70812E3F"/>
    <w:rsid w:val="708A15C7"/>
    <w:rsid w:val="70910BA8"/>
    <w:rsid w:val="70BB79D3"/>
    <w:rsid w:val="70DA254F"/>
    <w:rsid w:val="70EB3C4B"/>
    <w:rsid w:val="70F96E79"/>
    <w:rsid w:val="710C022E"/>
    <w:rsid w:val="711C2B67"/>
    <w:rsid w:val="71257C6E"/>
    <w:rsid w:val="713E2ADE"/>
    <w:rsid w:val="714B51FB"/>
    <w:rsid w:val="715E6CDC"/>
    <w:rsid w:val="71744751"/>
    <w:rsid w:val="71902C0D"/>
    <w:rsid w:val="71B96608"/>
    <w:rsid w:val="71BA7C8A"/>
    <w:rsid w:val="720535FB"/>
    <w:rsid w:val="720930EC"/>
    <w:rsid w:val="722E2B52"/>
    <w:rsid w:val="727F33AE"/>
    <w:rsid w:val="72B55021"/>
    <w:rsid w:val="72DF209E"/>
    <w:rsid w:val="73223D39"/>
    <w:rsid w:val="73263829"/>
    <w:rsid w:val="734343DB"/>
    <w:rsid w:val="735760D9"/>
    <w:rsid w:val="73610D05"/>
    <w:rsid w:val="736A5E0C"/>
    <w:rsid w:val="739C7F8F"/>
    <w:rsid w:val="73AB3D2F"/>
    <w:rsid w:val="73C82B32"/>
    <w:rsid w:val="73D25867"/>
    <w:rsid w:val="73E13BF4"/>
    <w:rsid w:val="73EF1E6D"/>
    <w:rsid w:val="74033B6B"/>
    <w:rsid w:val="74493C73"/>
    <w:rsid w:val="7463285B"/>
    <w:rsid w:val="74A470FC"/>
    <w:rsid w:val="74A569D0"/>
    <w:rsid w:val="74CE4179"/>
    <w:rsid w:val="74E25E76"/>
    <w:rsid w:val="74F3598D"/>
    <w:rsid w:val="74FB2A94"/>
    <w:rsid w:val="74FF07D6"/>
    <w:rsid w:val="75232716"/>
    <w:rsid w:val="754B7577"/>
    <w:rsid w:val="75581C94"/>
    <w:rsid w:val="758807CB"/>
    <w:rsid w:val="759C7DD3"/>
    <w:rsid w:val="75D22519"/>
    <w:rsid w:val="75F06371"/>
    <w:rsid w:val="76116A13"/>
    <w:rsid w:val="761756AB"/>
    <w:rsid w:val="76244623"/>
    <w:rsid w:val="763E0E8A"/>
    <w:rsid w:val="76766876"/>
    <w:rsid w:val="767B3E8C"/>
    <w:rsid w:val="769D2054"/>
    <w:rsid w:val="76A71125"/>
    <w:rsid w:val="76EB7264"/>
    <w:rsid w:val="7722255A"/>
    <w:rsid w:val="77277B70"/>
    <w:rsid w:val="7730111A"/>
    <w:rsid w:val="774E77F3"/>
    <w:rsid w:val="775B5A6C"/>
    <w:rsid w:val="778E4093"/>
    <w:rsid w:val="77BE04D4"/>
    <w:rsid w:val="77BF249E"/>
    <w:rsid w:val="77C81353"/>
    <w:rsid w:val="77ED700C"/>
    <w:rsid w:val="78236589"/>
    <w:rsid w:val="78280044"/>
    <w:rsid w:val="78574485"/>
    <w:rsid w:val="7877282E"/>
    <w:rsid w:val="789B6A68"/>
    <w:rsid w:val="78E81581"/>
    <w:rsid w:val="79132AA2"/>
    <w:rsid w:val="793A002E"/>
    <w:rsid w:val="79517126"/>
    <w:rsid w:val="79584959"/>
    <w:rsid w:val="797F1EE5"/>
    <w:rsid w:val="79817A0B"/>
    <w:rsid w:val="798B2638"/>
    <w:rsid w:val="799040F2"/>
    <w:rsid w:val="79B80F53"/>
    <w:rsid w:val="79D51B05"/>
    <w:rsid w:val="79E955B1"/>
    <w:rsid w:val="79FF3026"/>
    <w:rsid w:val="7A1545F8"/>
    <w:rsid w:val="7A1B7E60"/>
    <w:rsid w:val="7A1E525A"/>
    <w:rsid w:val="7A4E3666"/>
    <w:rsid w:val="7A5275FA"/>
    <w:rsid w:val="7A5C3FD5"/>
    <w:rsid w:val="7A7632E8"/>
    <w:rsid w:val="7A886B78"/>
    <w:rsid w:val="7A8D418E"/>
    <w:rsid w:val="7AF04D90"/>
    <w:rsid w:val="7B187EFC"/>
    <w:rsid w:val="7B1A0118"/>
    <w:rsid w:val="7B242D44"/>
    <w:rsid w:val="7B5B0730"/>
    <w:rsid w:val="7B803CF3"/>
    <w:rsid w:val="7B95779E"/>
    <w:rsid w:val="7BA7127F"/>
    <w:rsid w:val="7BAC4AE8"/>
    <w:rsid w:val="7BD227A0"/>
    <w:rsid w:val="7BDC114E"/>
    <w:rsid w:val="7BEC1388"/>
    <w:rsid w:val="7C1F52BA"/>
    <w:rsid w:val="7C305719"/>
    <w:rsid w:val="7C3E7E36"/>
    <w:rsid w:val="7C701FB9"/>
    <w:rsid w:val="7C773348"/>
    <w:rsid w:val="7CC3658D"/>
    <w:rsid w:val="7CEA3B1A"/>
    <w:rsid w:val="7D032E2D"/>
    <w:rsid w:val="7D095FD3"/>
    <w:rsid w:val="7D4A0A5C"/>
    <w:rsid w:val="7D4F7E21"/>
    <w:rsid w:val="7D625DA6"/>
    <w:rsid w:val="7D8E26F7"/>
    <w:rsid w:val="7DEB5D9B"/>
    <w:rsid w:val="7DEB7B49"/>
    <w:rsid w:val="7E0D5D12"/>
    <w:rsid w:val="7E186464"/>
    <w:rsid w:val="7E292420"/>
    <w:rsid w:val="7E5F4093"/>
    <w:rsid w:val="7E6D4A02"/>
    <w:rsid w:val="7EB02B41"/>
    <w:rsid w:val="7EDE76AE"/>
    <w:rsid w:val="7EE12CFA"/>
    <w:rsid w:val="7EFE565A"/>
    <w:rsid w:val="7F08297D"/>
    <w:rsid w:val="7F1430D0"/>
    <w:rsid w:val="7F4F5EB6"/>
    <w:rsid w:val="7F6A7194"/>
    <w:rsid w:val="7F963AE5"/>
    <w:rsid w:val="7FAC155A"/>
    <w:rsid w:val="7FB15F3A"/>
    <w:rsid w:val="7FDA7E75"/>
    <w:rsid w:val="7FE72592"/>
    <w:rsid w:val="7FEE5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3FF262"/>
  <w15:docId w15:val="{28C89B43-CD28-F343-BF36-63E96E06D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footer"/>
    <w:basedOn w:val="a"/>
    <w:link w:val="a5"/>
    <w:uiPriority w:val="99"/>
    <w:qFormat/>
    <w:pPr>
      <w:tabs>
        <w:tab w:val="center" w:pos="4153"/>
        <w:tab w:val="right" w:pos="8306"/>
      </w:tabs>
      <w:snapToGrid w:val="0"/>
    </w:pPr>
    <w:rPr>
      <w:sz w:val="18"/>
      <w:szCs w:val="18"/>
    </w:rPr>
  </w:style>
  <w:style w:type="paragraph" w:styleId="a6">
    <w:name w:val="header"/>
    <w:basedOn w:val="a"/>
    <w:link w:val="a7"/>
    <w:qFormat/>
    <w:pPr>
      <w:pBdr>
        <w:bottom w:val="single" w:sz="6" w:space="1" w:color="auto"/>
      </w:pBdr>
      <w:tabs>
        <w:tab w:val="center" w:pos="4153"/>
        <w:tab w:val="right" w:pos="8306"/>
      </w:tabs>
      <w:snapToGrid w:val="0"/>
      <w:jc w:val="center"/>
    </w:pPr>
    <w:rPr>
      <w:sz w:val="18"/>
      <w:szCs w:val="18"/>
    </w:rPr>
  </w:style>
  <w:style w:type="character" w:customStyle="1" w:styleId="15">
    <w:name w:val="15"/>
    <w:basedOn w:val="a0"/>
    <w:qFormat/>
  </w:style>
  <w:style w:type="character" w:customStyle="1" w:styleId="16">
    <w:name w:val="16"/>
    <w:basedOn w:val="a0"/>
    <w:qFormat/>
  </w:style>
  <w:style w:type="paragraph" w:customStyle="1" w:styleId="EndNoteBibliography">
    <w:name w:val="EndNote Bibliography"/>
    <w:basedOn w:val="a"/>
    <w:qFormat/>
    <w:pPr>
      <w:widowControl w:val="0"/>
      <w:jc w:val="both"/>
    </w:pPr>
    <w:rPr>
      <w:rFonts w:ascii="Calibri" w:eastAsia="宋体" w:hAnsi="Calibri"/>
      <w:kern w:val="2"/>
      <w:sz w:val="20"/>
      <w:szCs w:val="21"/>
      <w:lang w:eastAsia="zh-CN"/>
    </w:rPr>
  </w:style>
  <w:style w:type="character" w:customStyle="1" w:styleId="a7">
    <w:name w:val="页眉 字符"/>
    <w:basedOn w:val="a0"/>
    <w:link w:val="a6"/>
    <w:qFormat/>
    <w:rPr>
      <w:rFonts w:eastAsia="Times New Roman"/>
      <w:sz w:val="18"/>
      <w:szCs w:val="18"/>
      <w:lang w:eastAsia="en-US"/>
    </w:rPr>
  </w:style>
  <w:style w:type="character" w:customStyle="1" w:styleId="a5">
    <w:name w:val="页脚 字符"/>
    <w:basedOn w:val="a0"/>
    <w:link w:val="a4"/>
    <w:uiPriority w:val="99"/>
    <w:qFormat/>
    <w:rPr>
      <w:rFonts w:eastAsia="Times New Roman"/>
      <w:sz w:val="18"/>
      <w:szCs w:val="18"/>
      <w:lang w:eastAsia="en-US"/>
    </w:rPr>
  </w:style>
  <w:style w:type="paragraph" w:customStyle="1" w:styleId="1">
    <w:name w:val="修订1"/>
    <w:hidden/>
    <w:uiPriority w:val="99"/>
    <w:unhideWhenUsed/>
    <w:rPr>
      <w:rFonts w:eastAsia="Times New Roman"/>
      <w:sz w:val="24"/>
      <w:szCs w:val="24"/>
      <w:lang w:eastAsia="en-US"/>
    </w:rPr>
  </w:style>
  <w:style w:type="paragraph" w:styleId="a8">
    <w:name w:val="Revision"/>
    <w:hidden/>
    <w:uiPriority w:val="99"/>
    <w:unhideWhenUsed/>
    <w:rsid w:val="00BE179A"/>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55</Pages>
  <Words>9910</Words>
  <Characters>56491</Characters>
  <Application>Microsoft Office Word</Application>
  <DocSecurity>0</DocSecurity>
  <Lines>470</Lines>
  <Paragraphs>132</Paragraphs>
  <ScaleCrop>false</ScaleCrop>
  <Company>BPG</Company>
  <LinksUpToDate>false</LinksUpToDate>
  <CharactersWithSpaces>66269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78228</dc:creator>
  <cp:lastModifiedBy>M18955</cp:lastModifiedBy>
  <cp:revision>10</cp:revision>
  <dcterms:created xsi:type="dcterms:W3CDTF">2023-09-10T07:15:00Z</dcterms:created>
  <dcterms:modified xsi:type="dcterms:W3CDTF">2023-10-20T11:28:00Z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y fmtid="{D5CDD505-2E9C-101B-9397-08002B2CF9AE}" pid="3" name="ICV">
    <vt:lpwstr>A3A21B3FA97E474881364EF83179DB07_12</vt:lpwstr>
  </property>
</Properties>
</file>