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834A7"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7F38D9B5"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87227</w:t>
      </w:r>
    </w:p>
    <w:p w14:paraId="4304FC73"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1559FD2" w14:textId="77777777" w:rsidR="00C62577" w:rsidRDefault="00C62577">
      <w:pPr>
        <w:adjustRightInd w:val="0"/>
        <w:snapToGrid w:val="0"/>
        <w:spacing w:line="360" w:lineRule="auto"/>
        <w:jc w:val="both"/>
        <w:rPr>
          <w:rFonts w:ascii="Book Antiqua" w:hAnsi="Book Antiqua" w:cs="Book Antiqua"/>
        </w:rPr>
      </w:pPr>
    </w:p>
    <w:p w14:paraId="3CE0FF2D"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14:paraId="1EAA2A8E" w14:textId="77777777" w:rsidR="00C62577"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Comprehensive analysis of </w:t>
      </w:r>
      <w:bookmarkStart w:id="0" w:name="OLE_LINK1"/>
      <w:proofErr w:type="spellStart"/>
      <w:r>
        <w:rPr>
          <w:rFonts w:ascii="Book Antiqua" w:eastAsia="Book Antiqua" w:hAnsi="Book Antiqua" w:cs="Book Antiqua"/>
          <w:b/>
          <w:color w:val="000000"/>
        </w:rPr>
        <w:t>disulfidptosis</w:t>
      </w:r>
      <w:proofErr w:type="spellEnd"/>
      <w:r>
        <w:rPr>
          <w:rFonts w:ascii="Book Antiqua" w:eastAsia="Book Antiqua" w:hAnsi="Book Antiqua" w:cs="Book Antiqua"/>
          <w:b/>
          <w:color w:val="000000"/>
        </w:rPr>
        <w:t xml:space="preserve"> related genes</w:t>
      </w:r>
      <w:bookmarkEnd w:id="0"/>
      <w:r>
        <w:rPr>
          <w:rFonts w:ascii="Book Antiqua" w:eastAsia="Book Antiqua" w:hAnsi="Book Antiqua" w:cs="Book Antiqua"/>
          <w:b/>
          <w:color w:val="000000"/>
        </w:rPr>
        <w:t xml:space="preserve"> and prognosis of gastric cancer</w:t>
      </w:r>
    </w:p>
    <w:p w14:paraId="012F4ED3"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0EEFA1D6" w14:textId="77777777" w:rsidR="00C62577"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Li</w:t>
      </w:r>
      <w:r>
        <w:rPr>
          <w:rFonts w:ascii="Book Antiqua" w:eastAsia="宋体" w:hAnsi="Book Antiqua" w:cs="Book Antiqua" w:hint="eastAsia"/>
          <w:color w:val="000000"/>
          <w:lang w:eastAsia="zh-CN"/>
        </w:rPr>
        <w:t xml:space="preserve"> Q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Relationship between </w:t>
      </w:r>
      <w:r>
        <w:rPr>
          <w:rFonts w:ascii="Book Antiqua" w:eastAsia="宋体" w:hAnsi="Book Antiqua" w:cs="Book Antiqua"/>
          <w:color w:val="000000"/>
          <w:lang w:eastAsia="zh-CN"/>
        </w:rPr>
        <w:t>DRGs</w:t>
      </w:r>
      <w:r>
        <w:rPr>
          <w:rFonts w:ascii="Book Antiqua" w:eastAsia="Book Antiqua" w:hAnsi="Book Antiqua" w:cs="Book Antiqua"/>
          <w:color w:val="000000"/>
        </w:rPr>
        <w:t xml:space="preserve"> and </w:t>
      </w:r>
      <w:r>
        <w:rPr>
          <w:rFonts w:ascii="Book Antiqua" w:eastAsia="宋体" w:hAnsi="Book Antiqua" w:cs="Book Antiqua"/>
          <w:color w:val="000000"/>
          <w:lang w:eastAsia="zh-CN"/>
        </w:rPr>
        <w:t>GC</w:t>
      </w:r>
    </w:p>
    <w:p w14:paraId="1A205687" w14:textId="77777777" w:rsidR="00C62577" w:rsidRDefault="00C62577">
      <w:pPr>
        <w:adjustRightInd w:val="0"/>
        <w:snapToGrid w:val="0"/>
        <w:spacing w:line="360" w:lineRule="auto"/>
        <w:jc w:val="both"/>
        <w:rPr>
          <w:rFonts w:ascii="Book Antiqua" w:eastAsia="宋体" w:hAnsi="Book Antiqua" w:cs="Book Antiqua"/>
          <w:color w:val="000000"/>
          <w:lang w:eastAsia="zh-CN"/>
        </w:rPr>
      </w:pPr>
    </w:p>
    <w:p w14:paraId="65A43878"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Qian Li, Long-Kuan Yin</w:t>
      </w:r>
    </w:p>
    <w:p w14:paraId="6817375C" w14:textId="77777777" w:rsidR="00C62577" w:rsidRDefault="00C62577">
      <w:pPr>
        <w:adjustRightInd w:val="0"/>
        <w:snapToGrid w:val="0"/>
        <w:spacing w:line="360" w:lineRule="auto"/>
        <w:jc w:val="both"/>
        <w:rPr>
          <w:rFonts w:ascii="Book Antiqua" w:hAnsi="Book Antiqua" w:cs="Book Antiqua"/>
        </w:rPr>
      </w:pPr>
    </w:p>
    <w:p w14:paraId="5DB3ABD2"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Qian Li, </w:t>
      </w:r>
      <w:r>
        <w:rPr>
          <w:rFonts w:ascii="Book Antiqua" w:eastAsia="Book Antiqua" w:hAnsi="Book Antiqua" w:cs="Book Antiqua"/>
          <w:color w:val="000000"/>
        </w:rPr>
        <w:t>Department of Oncology, Fushun Hospital of Traditional Chinese Medicine, Zigong 643200, Sichuan Province, China</w:t>
      </w:r>
    </w:p>
    <w:p w14:paraId="50D38A9A" w14:textId="77777777" w:rsidR="00C62577" w:rsidRDefault="00C62577">
      <w:pPr>
        <w:adjustRightInd w:val="0"/>
        <w:snapToGrid w:val="0"/>
        <w:spacing w:line="360" w:lineRule="auto"/>
        <w:jc w:val="both"/>
        <w:rPr>
          <w:rFonts w:ascii="Book Antiqua" w:hAnsi="Book Antiqua" w:cs="Book Antiqua"/>
        </w:rPr>
      </w:pPr>
    </w:p>
    <w:p w14:paraId="5E7924B0"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Long-Kuan Yin,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epartment of Gastrointestinal </w:t>
      </w:r>
      <w:r>
        <w:rPr>
          <w:rFonts w:ascii="Book Antiqua" w:eastAsia="宋体" w:hAnsi="Book Antiqua" w:cs="Book Antiqua" w:hint="eastAsia"/>
          <w:color w:val="000000"/>
          <w:lang w:eastAsia="zh-CN"/>
        </w:rPr>
        <w:t>S</w:t>
      </w:r>
      <w:r>
        <w:rPr>
          <w:rFonts w:ascii="Book Antiqua" w:eastAsia="Book Antiqua" w:hAnsi="Book Antiqua" w:cs="Book Antiqua"/>
          <w:color w:val="000000"/>
        </w:rPr>
        <w:t>urgery, Fushun People</w:t>
      </w:r>
      <w:r>
        <w:rPr>
          <w:rFonts w:ascii="Book Antiqua" w:eastAsia="宋体" w:hAnsi="Book Antiqua" w:cs="Book Antiqua"/>
          <w:color w:val="000000"/>
          <w:lang w:eastAsia="zh-CN"/>
        </w:rPr>
        <w:t>’</w:t>
      </w:r>
      <w:r>
        <w:rPr>
          <w:rFonts w:ascii="Book Antiqua" w:eastAsia="Book Antiqua" w:hAnsi="Book Antiqua" w:cs="Book Antiqua"/>
          <w:color w:val="000000"/>
        </w:rPr>
        <w:t>s Hospital, Zigong 643200, Sichuan Province, China</w:t>
      </w:r>
    </w:p>
    <w:p w14:paraId="68815F9B" w14:textId="77777777" w:rsidR="00C62577" w:rsidRDefault="00C62577">
      <w:pPr>
        <w:adjustRightInd w:val="0"/>
        <w:snapToGrid w:val="0"/>
        <w:spacing w:line="360" w:lineRule="auto"/>
        <w:jc w:val="both"/>
        <w:rPr>
          <w:rFonts w:ascii="Book Antiqua" w:hAnsi="Book Antiqua" w:cs="Book Antiqua"/>
        </w:rPr>
      </w:pPr>
    </w:p>
    <w:p w14:paraId="463DBE2F"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w:t>
      </w:r>
      <w:r>
        <w:rPr>
          <w:rFonts w:ascii="Book Antiqua" w:eastAsia="宋体" w:hAnsi="Book Antiqua" w:cs="Book Antiqua" w:hint="eastAsia"/>
          <w:color w:val="000000"/>
          <w:lang w:eastAsia="zh-CN"/>
        </w:rPr>
        <w:t xml:space="preserve"> Q</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contributed to this work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Yin LK</w:t>
      </w:r>
      <w:r>
        <w:rPr>
          <w:rFonts w:ascii="Book Antiqua" w:eastAsia="宋体" w:hAnsi="Book Antiqua" w:cs="Book Antiqua" w:hint="eastAsia"/>
          <w:color w:val="000000"/>
          <w:lang w:eastAsia="zh-CN"/>
        </w:rPr>
        <w:t xml:space="preserve"> and</w:t>
      </w:r>
      <w:r>
        <w:rPr>
          <w:rFonts w:ascii="Book Antiqua" w:eastAsia="Book Antiqua" w:hAnsi="Book Antiqua" w:cs="Book Antiqua"/>
          <w:b/>
          <w:bCs/>
          <w:color w:val="000000"/>
        </w:rPr>
        <w:t xml:space="preserve"> </w:t>
      </w:r>
      <w:r>
        <w:rPr>
          <w:rFonts w:ascii="Book Antiqua" w:eastAsia="Book Antiqua" w:hAnsi="Book Antiqua" w:cs="Book Antiqua"/>
          <w:color w:val="000000"/>
        </w:rPr>
        <w:t>Li</w:t>
      </w:r>
      <w:r>
        <w:rPr>
          <w:rFonts w:ascii="Book Antiqua" w:eastAsia="宋体" w:hAnsi="Book Antiqua" w:cs="Book Antiqua" w:hint="eastAsia"/>
          <w:color w:val="000000"/>
          <w:lang w:eastAsia="zh-CN"/>
        </w:rPr>
        <w:t xml:space="preserve"> Q</w:t>
      </w:r>
      <w:r>
        <w:rPr>
          <w:rFonts w:ascii="Book Antiqua" w:eastAsia="Book Antiqua" w:hAnsi="Book Antiqua" w:cs="Book Antiqua"/>
          <w:b/>
          <w:bCs/>
          <w:color w:val="000000"/>
        </w:rPr>
        <w:t xml:space="preserve"> </w:t>
      </w:r>
      <w:r>
        <w:rPr>
          <w:rFonts w:ascii="Book Antiqua" w:eastAsia="Book Antiqua" w:hAnsi="Book Antiqua" w:cs="Book Antiqua"/>
          <w:color w:val="000000"/>
        </w:rPr>
        <w:t>prepared for the figures and tables; and all authors have approved the final manuscript.</w:t>
      </w:r>
    </w:p>
    <w:p w14:paraId="49B5FB19" w14:textId="77777777" w:rsidR="00C62577" w:rsidRDefault="00C62577">
      <w:pPr>
        <w:adjustRightInd w:val="0"/>
        <w:snapToGrid w:val="0"/>
        <w:spacing w:line="360" w:lineRule="auto"/>
        <w:jc w:val="both"/>
        <w:rPr>
          <w:rFonts w:ascii="Book Antiqua" w:hAnsi="Book Antiqua" w:cs="Book Antiqua"/>
        </w:rPr>
      </w:pPr>
    </w:p>
    <w:p w14:paraId="656EC8BE"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Long-Kuan Yin, Doctor, Researcher,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epartment of Gastrointestinal </w:t>
      </w:r>
      <w:r>
        <w:rPr>
          <w:rFonts w:ascii="Book Antiqua" w:eastAsia="宋体" w:hAnsi="Book Antiqua" w:cs="Book Antiqua" w:hint="eastAsia"/>
          <w:color w:val="000000"/>
          <w:lang w:eastAsia="zh-CN"/>
        </w:rPr>
        <w:t>S</w:t>
      </w:r>
      <w:r>
        <w:rPr>
          <w:rFonts w:ascii="Book Antiqua" w:eastAsia="Book Antiqua" w:hAnsi="Book Antiqua" w:cs="Book Antiqua"/>
          <w:color w:val="000000"/>
        </w:rPr>
        <w:t>urgery, Fushun People</w:t>
      </w:r>
      <w:r>
        <w:rPr>
          <w:rFonts w:ascii="Book Antiqua" w:eastAsia="宋体" w:hAnsi="Book Antiqua" w:cs="Book Antiqua"/>
          <w:color w:val="000000"/>
          <w:lang w:eastAsia="zh-CN"/>
        </w:rPr>
        <w:t>’</w:t>
      </w:r>
      <w:r>
        <w:rPr>
          <w:rFonts w:ascii="Book Antiqua" w:eastAsia="Book Antiqua" w:hAnsi="Book Antiqua" w:cs="Book Antiqua"/>
          <w:color w:val="000000"/>
        </w:rPr>
        <w:t xml:space="preserve">s Hospital,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 xml:space="preserve">490 Jixiang Road, </w:t>
      </w:r>
      <w:proofErr w:type="spellStart"/>
      <w:r>
        <w:rPr>
          <w:rFonts w:ascii="Book Antiqua" w:eastAsia="Book Antiqua" w:hAnsi="Book Antiqua" w:cs="Book Antiqua"/>
          <w:color w:val="000000"/>
        </w:rPr>
        <w:t>Fushi</w:t>
      </w:r>
      <w:proofErr w:type="spellEnd"/>
      <w:r>
        <w:rPr>
          <w:rFonts w:ascii="Book Antiqua" w:eastAsia="Book Antiqua" w:hAnsi="Book Antiqua" w:cs="Book Antiqua"/>
          <w:color w:val="000000"/>
        </w:rPr>
        <w:t xml:space="preserve"> Town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Zigong 643200, Sichuan Province, China. 782286066@qq.com</w:t>
      </w:r>
    </w:p>
    <w:p w14:paraId="661818FB" w14:textId="77777777" w:rsidR="00C62577" w:rsidRDefault="00C62577">
      <w:pPr>
        <w:adjustRightInd w:val="0"/>
        <w:snapToGrid w:val="0"/>
        <w:spacing w:line="360" w:lineRule="auto"/>
        <w:jc w:val="both"/>
        <w:rPr>
          <w:rFonts w:ascii="Book Antiqua" w:hAnsi="Book Antiqua" w:cs="Book Antiqua"/>
        </w:rPr>
      </w:pPr>
    </w:p>
    <w:p w14:paraId="45834DF8"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July 30, 2023</w:t>
      </w:r>
    </w:p>
    <w:p w14:paraId="5952F570" w14:textId="77777777" w:rsidR="00C62577"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Revised: </w:t>
      </w:r>
      <w:r>
        <w:rPr>
          <w:rFonts w:ascii="Book Antiqua" w:eastAsia="宋体" w:hAnsi="Book Antiqua" w:cs="Book Antiqua" w:hint="eastAsia"/>
          <w:lang w:eastAsia="zh-CN"/>
        </w:rPr>
        <w:t>September 7, 2023</w:t>
      </w:r>
    </w:p>
    <w:p w14:paraId="5E9EBB6D" w14:textId="6374E740"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1" w:author="Wang Jin-Lei" w:date="2023-09-18T16:45:00Z">
        <w:r w:rsidR="005C546A" w:rsidRPr="005C546A">
          <w:rPr>
            <w:rFonts w:ascii="Book Antiqua" w:eastAsia="Book Antiqua" w:hAnsi="Book Antiqua" w:cs="Book Antiqua"/>
          </w:rPr>
          <w:t>September 18, 2023</w:t>
        </w:r>
      </w:ins>
    </w:p>
    <w:p w14:paraId="0A893A77"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4D948FFE" w14:textId="77777777" w:rsidR="00C62577" w:rsidRDefault="00C62577">
      <w:pPr>
        <w:adjustRightInd w:val="0"/>
        <w:snapToGrid w:val="0"/>
        <w:spacing w:line="360" w:lineRule="auto"/>
        <w:jc w:val="both"/>
        <w:rPr>
          <w:rFonts w:ascii="Book Antiqua" w:hAnsi="Book Antiqua" w:cs="Book Antiqua"/>
        </w:rPr>
        <w:sectPr w:rsidR="00C62577">
          <w:footerReference w:type="default" r:id="rId6"/>
          <w:pgSz w:w="12240" w:h="15840"/>
          <w:pgMar w:top="1440" w:right="1440" w:bottom="1440" w:left="1440" w:header="720" w:footer="720" w:gutter="0"/>
          <w:cols w:space="720"/>
          <w:docGrid w:linePitch="360"/>
        </w:sectPr>
      </w:pPr>
    </w:p>
    <w:p w14:paraId="5764D5EB"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26F7F9F"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1A7FDC24"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Gastric cancer (GC) is a common malignant tumor of the digestive system. </w:t>
      </w:r>
      <w:proofErr w:type="spellStart"/>
      <w:r>
        <w:rPr>
          <w:rFonts w:ascii="Book Antiqua" w:eastAsia="Book Antiqua" w:hAnsi="Book Antiqua" w:cs="Book Antiqua"/>
          <w:color w:val="000000"/>
        </w:rPr>
        <w:t>Disulfidptosis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 new programmed cell death mechanism, although its specific mechanism in GC is incompletely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understood.</w:t>
      </w:r>
    </w:p>
    <w:p w14:paraId="362D21B4" w14:textId="77777777" w:rsidR="00C62577" w:rsidRDefault="00C62577">
      <w:pPr>
        <w:adjustRightInd w:val="0"/>
        <w:snapToGrid w:val="0"/>
        <w:spacing w:line="360" w:lineRule="auto"/>
        <w:jc w:val="both"/>
        <w:rPr>
          <w:rFonts w:ascii="Book Antiqua" w:hAnsi="Book Antiqua" w:cs="Book Antiqua"/>
        </w:rPr>
      </w:pPr>
    </w:p>
    <w:p w14:paraId="7C72BAF2"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587ADDD5"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In this</w:t>
      </w:r>
      <w:r>
        <w:rPr>
          <w:rFonts w:ascii="Book Antiqua" w:eastAsia="宋体" w:hAnsi="Book Antiqua" w:cs="Book Antiqua" w:hint="eastAsia"/>
          <w:lang w:eastAsia="zh-CN"/>
        </w:rPr>
        <w:t xml:space="preserve"> </w:t>
      </w:r>
      <w:r>
        <w:rPr>
          <w:rFonts w:ascii="Book Antiqua" w:eastAsia="Book Antiqua" w:hAnsi="Book Antiqua" w:cs="Book Antiqua"/>
        </w:rPr>
        <w:t>study, we used</w:t>
      </w:r>
      <w:r>
        <w:rPr>
          <w:rFonts w:ascii="Book Antiqua" w:eastAsia="宋体" w:hAnsi="Book Antiqua" w:cs="Book Antiqua" w:hint="eastAsia"/>
          <w:lang w:eastAsia="zh-CN"/>
        </w:rPr>
        <w:t xml:space="preserve"> </w:t>
      </w:r>
      <w:r>
        <w:rPr>
          <w:rFonts w:ascii="Book Antiqua" w:eastAsia="Book Antiqua" w:hAnsi="Book Antiqua" w:cs="Book Antiqua"/>
        </w:rPr>
        <w:t xml:space="preserve">bioinformatics analysis to explore a </w:t>
      </w:r>
      <w:proofErr w:type="spellStart"/>
      <w:r>
        <w:rPr>
          <w:rFonts w:ascii="Book Antiqua" w:eastAsia="Book Antiqua" w:hAnsi="Book Antiqua" w:cs="Book Antiqua"/>
        </w:rPr>
        <w:t>disulfidptosis</w:t>
      </w:r>
      <w:proofErr w:type="spellEnd"/>
      <w:r>
        <w:rPr>
          <w:rFonts w:ascii="Book Antiqua" w:eastAsia="Book Antiqua" w:hAnsi="Book Antiqua" w:cs="Book Antiqua"/>
        </w:rPr>
        <w:t>-based predictive model related to GC prognosis and to identify</w:t>
      </w:r>
      <w:r>
        <w:rPr>
          <w:rFonts w:ascii="Book Antiqua" w:eastAsia="宋体" w:hAnsi="Book Antiqua" w:cs="Book Antiqua" w:hint="eastAsia"/>
          <w:lang w:eastAsia="zh-CN"/>
        </w:rPr>
        <w:t xml:space="preserve"> </w:t>
      </w:r>
      <w:r>
        <w:rPr>
          <w:rFonts w:ascii="Book Antiqua" w:eastAsia="Book Antiqua" w:hAnsi="Book Antiqua" w:cs="Book Antiqua"/>
        </w:rPr>
        <w:t>potential therapeutic targets and sensitive drugs for GC.</w:t>
      </w:r>
    </w:p>
    <w:p w14:paraId="7C9D2165" w14:textId="77777777" w:rsidR="00C62577" w:rsidRDefault="00C62577">
      <w:pPr>
        <w:adjustRightInd w:val="0"/>
        <w:snapToGrid w:val="0"/>
        <w:spacing w:line="360" w:lineRule="auto"/>
        <w:jc w:val="both"/>
        <w:rPr>
          <w:rFonts w:ascii="Book Antiqua" w:hAnsi="Book Antiqua" w:cs="Book Antiqua"/>
        </w:rPr>
      </w:pPr>
    </w:p>
    <w:p w14:paraId="33172AE9"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1AD5F301"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extracted GC-related data from </w:t>
      </w:r>
      <w:r>
        <w:rPr>
          <w:rFonts w:ascii="Book Antiqua" w:eastAsia="Book Antiqua" w:hAnsi="Book Antiqua" w:cs="Book Antiqua"/>
          <w:color w:val="1B1B1B"/>
          <w:shd w:val="clear" w:color="auto" w:fill="FFFFFF"/>
        </w:rPr>
        <w:t>The Cancer Genome Atlas</w:t>
      </w:r>
      <w:r>
        <w:rPr>
          <w:rFonts w:ascii="Book Antiqua" w:eastAsia="Book Antiqua" w:hAnsi="Book Antiqua" w:cs="Book Antiqua"/>
          <w:color w:val="000000"/>
        </w:rPr>
        <w:t xml:space="preserve"> and Gene Expression Omnibus databases. R software (version 4.2.1) was used for correlation analysis.</w:t>
      </w:r>
    </w:p>
    <w:p w14:paraId="1CD83659" w14:textId="77777777" w:rsidR="00C62577" w:rsidRDefault="00C62577">
      <w:pPr>
        <w:adjustRightInd w:val="0"/>
        <w:snapToGrid w:val="0"/>
        <w:spacing w:line="360" w:lineRule="auto"/>
        <w:jc w:val="both"/>
        <w:rPr>
          <w:rFonts w:ascii="Book Antiqua" w:hAnsi="Book Antiqua" w:cs="Book Antiqua"/>
        </w:rPr>
      </w:pPr>
    </w:p>
    <w:p w14:paraId="2DA9A4AA"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601EC74D"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Through the above analysis, we found that the </w:t>
      </w:r>
      <w:proofErr w:type="spellStart"/>
      <w:r>
        <w:rPr>
          <w:rFonts w:ascii="Book Antiqua" w:eastAsia="Book Antiqua" w:hAnsi="Book Antiqua" w:cs="Book Antiqua"/>
        </w:rPr>
        <w:t>disulfidptosis</w:t>
      </w:r>
      <w:proofErr w:type="spellEnd"/>
      <w:r>
        <w:rPr>
          <w:rFonts w:ascii="Book Antiqua" w:eastAsia="Book Antiqua" w:hAnsi="Book Antiqua" w:cs="Book Antiqua"/>
        </w:rPr>
        <w:t xml:space="preserve"> related gene may be related to the prognosis of GC. Six genes, namely,</w:t>
      </w:r>
      <w:r>
        <w:rPr>
          <w:rFonts w:ascii="Book Antiqua" w:eastAsia="宋体" w:hAnsi="Book Antiqua" w:cs="Book Antiqua" w:hint="eastAsia"/>
          <w:lang w:eastAsia="zh-CN"/>
        </w:rPr>
        <w:t xml:space="preserve"> </w:t>
      </w:r>
      <w:r>
        <w:rPr>
          <w:rFonts w:ascii="Book Antiqua" w:eastAsia="Book Antiqua" w:hAnsi="Book Antiqua" w:cs="Book Antiqua"/>
          <w:i/>
          <w:iCs/>
        </w:rPr>
        <w:t>PLS3</w:t>
      </w:r>
      <w:r>
        <w:rPr>
          <w:rFonts w:ascii="Book Antiqua" w:eastAsia="Book Antiqua" w:hAnsi="Book Antiqua" w:cs="Book Antiqua"/>
        </w:rPr>
        <w:t xml:space="preserve">, </w:t>
      </w:r>
      <w:r>
        <w:rPr>
          <w:rFonts w:ascii="Book Antiqua" w:eastAsia="Book Antiqua" w:hAnsi="Book Antiqua" w:cs="Book Antiqua"/>
          <w:i/>
          <w:iCs/>
        </w:rPr>
        <w:t>GRP</w:t>
      </w:r>
      <w:r>
        <w:rPr>
          <w:rFonts w:ascii="Book Antiqua" w:eastAsia="Book Antiqua" w:hAnsi="Book Antiqua" w:cs="Book Antiqua"/>
        </w:rPr>
        <w:t xml:space="preserve">, </w:t>
      </w:r>
      <w:r>
        <w:rPr>
          <w:rFonts w:ascii="Book Antiqua" w:eastAsia="Book Antiqua" w:hAnsi="Book Antiqua" w:cs="Book Antiqua"/>
          <w:i/>
          <w:iCs/>
        </w:rPr>
        <w:t>APOD</w:t>
      </w:r>
      <w:r>
        <w:rPr>
          <w:rFonts w:ascii="Book Antiqua" w:eastAsia="Book Antiqua" w:hAnsi="Book Antiqua" w:cs="Book Antiqua"/>
        </w:rPr>
        <w:t xml:space="preserve">, </w:t>
      </w:r>
      <w:r>
        <w:rPr>
          <w:rFonts w:ascii="Book Antiqua" w:eastAsia="Book Antiqua" w:hAnsi="Book Antiqua" w:cs="Book Antiqua"/>
          <w:i/>
          <w:iCs/>
        </w:rPr>
        <w:t>SGCE</w:t>
      </w:r>
      <w:r>
        <w:rPr>
          <w:rFonts w:ascii="Book Antiqua" w:eastAsia="Book Antiqua" w:hAnsi="Book Antiqua" w:cs="Book Antiqua"/>
        </w:rPr>
        <w:t xml:space="preserve">, </w:t>
      </w:r>
      <w:r>
        <w:rPr>
          <w:rFonts w:ascii="Book Antiqua" w:eastAsia="Book Antiqua" w:hAnsi="Book Antiqua" w:cs="Book Antiqua"/>
          <w:i/>
          <w:iCs/>
        </w:rPr>
        <w:t>COL8A1</w:t>
      </w:r>
      <w:r>
        <w:rPr>
          <w:rFonts w:ascii="Book Antiqua" w:eastAsia="Book Antiqua" w:hAnsi="Book Antiqua" w:cs="Book Antiqua"/>
        </w:rPr>
        <w:t xml:space="preserve">, and </w:t>
      </w:r>
      <w:r>
        <w:rPr>
          <w:rFonts w:ascii="Book Antiqua" w:eastAsia="Book Antiqua" w:hAnsi="Book Antiqua" w:cs="Book Antiqua"/>
          <w:i/>
          <w:iCs/>
        </w:rPr>
        <w:t>VAMP7</w:t>
      </w:r>
      <w:r>
        <w:rPr>
          <w:rFonts w:ascii="Book Antiqua" w:eastAsia="Book Antiqua" w:hAnsi="Book Antiqua" w:cs="Book Antiqua"/>
        </w:rPr>
        <w:t>, were found to</w:t>
      </w:r>
      <w:r>
        <w:rPr>
          <w:rFonts w:ascii="Book Antiqua" w:eastAsia="宋体" w:hAnsi="Book Antiqua" w:cs="Book Antiqua" w:hint="eastAsia"/>
          <w:lang w:eastAsia="zh-CN"/>
        </w:rPr>
        <w:t xml:space="preserve"> </w:t>
      </w:r>
      <w:r>
        <w:rPr>
          <w:rFonts w:ascii="Book Antiqua" w:eastAsia="Book Antiqua" w:hAnsi="Book Antiqua" w:cs="Book Antiqua"/>
        </w:rPr>
        <w:t>constitute a predictive model for GC</w:t>
      </w:r>
      <w:r>
        <w:rPr>
          <w:rFonts w:ascii="Book Antiqua" w:eastAsia="宋体" w:hAnsi="Book Antiqua" w:cs="Book Antiqua" w:hint="eastAsia"/>
          <w:lang w:eastAsia="zh-CN"/>
        </w:rPr>
        <w:t xml:space="preserve"> </w:t>
      </w:r>
      <w:r>
        <w:rPr>
          <w:rFonts w:ascii="Book Antiqua" w:eastAsia="Book Antiqua" w:hAnsi="Book Antiqua" w:cs="Book Antiqua"/>
        </w:rPr>
        <w:t xml:space="preserve">prognosis. </w:t>
      </w:r>
      <w:r>
        <w:rPr>
          <w:rFonts w:ascii="Book Antiqua" w:eastAsia="Book Antiqua" w:hAnsi="Book Antiqua" w:cs="Book Antiqua"/>
          <w:i/>
          <w:iCs/>
        </w:rPr>
        <w:t>APOD</w:t>
      </w:r>
      <w:r>
        <w:rPr>
          <w:rFonts w:ascii="Book Antiqua" w:eastAsia="宋体" w:hAnsi="Book Antiqua" w:cs="Book Antiqua" w:hint="eastAsia"/>
          <w:lang w:eastAsia="zh-CN"/>
        </w:rPr>
        <w:t xml:space="preserve"> </w:t>
      </w:r>
      <w:r>
        <w:rPr>
          <w:rFonts w:ascii="Book Antiqua" w:eastAsia="Book Antiqua" w:hAnsi="Book Antiqua" w:cs="Book Antiqua"/>
        </w:rPr>
        <w:t>is a potential therapeutic target</w:t>
      </w:r>
      <w:r>
        <w:rPr>
          <w:rFonts w:ascii="Book Antiqua" w:eastAsia="宋体" w:hAnsi="Book Antiqua" w:cs="Book Antiqua" w:hint="eastAsia"/>
          <w:lang w:eastAsia="zh-CN"/>
        </w:rPr>
        <w:t xml:space="preserve"> </w:t>
      </w:r>
      <w:r>
        <w:rPr>
          <w:rFonts w:ascii="Book Antiqua" w:eastAsia="Book Antiqua" w:hAnsi="Book Antiqua" w:cs="Book Antiqua"/>
        </w:rPr>
        <w:t>for treating</w:t>
      </w:r>
      <w:r>
        <w:rPr>
          <w:rFonts w:ascii="Book Antiqua" w:eastAsia="宋体" w:hAnsi="Book Antiqua" w:cs="Book Antiqua" w:hint="eastAsia"/>
          <w:lang w:eastAsia="zh-CN"/>
        </w:rPr>
        <w:t xml:space="preserve"> </w:t>
      </w:r>
      <w:r>
        <w:rPr>
          <w:rFonts w:ascii="Book Antiqua" w:eastAsia="Book Antiqua" w:hAnsi="Book Antiqua" w:cs="Book Antiqua"/>
        </w:rPr>
        <w:t>GC. Bosutinib and other drugs are sensitive for the treatment of GC.</w:t>
      </w:r>
    </w:p>
    <w:p w14:paraId="17D0C1FF" w14:textId="77777777" w:rsidR="00C62577" w:rsidRDefault="00C62577">
      <w:pPr>
        <w:adjustRightInd w:val="0"/>
        <w:snapToGrid w:val="0"/>
        <w:spacing w:line="360" w:lineRule="auto"/>
        <w:jc w:val="both"/>
        <w:rPr>
          <w:rFonts w:ascii="Book Antiqua" w:hAnsi="Book Antiqua" w:cs="Book Antiqua"/>
        </w:rPr>
      </w:pPr>
    </w:p>
    <w:p w14:paraId="3EAF1221"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5D574232"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results of this study indicate that </w:t>
      </w:r>
      <w:proofErr w:type="spellStart"/>
      <w:r>
        <w:rPr>
          <w:rFonts w:ascii="Book Antiqua" w:eastAsia="Book Antiqua" w:hAnsi="Book Antiqua" w:cs="Book Antiqua"/>
          <w:color w:val="000000"/>
        </w:rPr>
        <w:t>disulfidptosis</w:t>
      </w:r>
      <w:proofErr w:type="spellEnd"/>
      <w:r>
        <w:rPr>
          <w:rFonts w:ascii="Book Antiqua" w:eastAsia="Book Antiqua" w:hAnsi="Book Antiqua" w:cs="Book Antiqua"/>
          <w:color w:val="000000"/>
        </w:rPr>
        <w:t xml:space="preserve"> is related to the prognosis and treatment of GC, while</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 xml:space="preserve">APOD </w:t>
      </w:r>
      <w:r>
        <w:rPr>
          <w:rFonts w:ascii="Book Antiqua" w:eastAsia="Book Antiqua" w:hAnsi="Book Antiqua" w:cs="Book Antiqua"/>
          <w:color w:val="000000"/>
        </w:rPr>
        <w:t>represents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potential therapeutic target for GC.</w:t>
      </w:r>
    </w:p>
    <w:p w14:paraId="77935991" w14:textId="77777777" w:rsidR="00C62577" w:rsidRDefault="00C62577">
      <w:pPr>
        <w:adjustRightInd w:val="0"/>
        <w:snapToGrid w:val="0"/>
        <w:spacing w:line="360" w:lineRule="auto"/>
        <w:jc w:val="both"/>
        <w:rPr>
          <w:rFonts w:ascii="Book Antiqua" w:hAnsi="Book Antiqua" w:cs="Book Antiqua"/>
        </w:rPr>
      </w:pPr>
    </w:p>
    <w:p w14:paraId="6AE014F9"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 xml:space="preserve">Gastric cancer; </w:t>
      </w:r>
      <w:proofErr w:type="spellStart"/>
      <w:r>
        <w:rPr>
          <w:rFonts w:ascii="Book Antiqua" w:eastAsia="宋体" w:hAnsi="Book Antiqua" w:cs="Book Antiqua" w:hint="eastAsia"/>
          <w:lang w:eastAsia="zh-CN"/>
        </w:rPr>
        <w:t>D</w:t>
      </w:r>
      <w:r>
        <w:rPr>
          <w:rFonts w:ascii="Book Antiqua" w:eastAsia="Book Antiqua" w:hAnsi="Book Antiqua" w:cs="Book Antiqua"/>
        </w:rPr>
        <w:t>isulfidptosis</w:t>
      </w:r>
      <w:proofErr w:type="spellEnd"/>
      <w:r>
        <w:rPr>
          <w:rFonts w:ascii="Book Antiqua" w:eastAsia="Book Antiqua" w:hAnsi="Book Antiqua" w:cs="Book Antiqua"/>
        </w:rPr>
        <w:t xml:space="preserve">; </w:t>
      </w:r>
      <w:r>
        <w:rPr>
          <w:rFonts w:ascii="Book Antiqua" w:eastAsia="宋体" w:hAnsi="Book Antiqua" w:cs="Book Antiqua" w:hint="eastAsia"/>
          <w:lang w:eastAsia="zh-CN"/>
        </w:rPr>
        <w:t>D</w:t>
      </w:r>
      <w:r>
        <w:rPr>
          <w:rFonts w:ascii="Book Antiqua" w:eastAsia="Book Antiqua" w:hAnsi="Book Antiqua" w:cs="Book Antiqua"/>
        </w:rPr>
        <w:t xml:space="preserve">rugs; </w:t>
      </w:r>
      <w:r>
        <w:rPr>
          <w:rFonts w:ascii="Book Antiqua" w:eastAsia="宋体" w:hAnsi="Book Antiqua" w:cs="Book Antiqua" w:hint="eastAsia"/>
          <w:lang w:eastAsia="zh-CN"/>
        </w:rPr>
        <w:t>P</w:t>
      </w:r>
      <w:r>
        <w:rPr>
          <w:rFonts w:ascii="Book Antiqua" w:eastAsia="Book Antiqua" w:hAnsi="Book Antiqua" w:cs="Book Antiqua"/>
        </w:rPr>
        <w:t xml:space="preserve">rognosis; </w:t>
      </w:r>
      <w:r>
        <w:rPr>
          <w:rFonts w:ascii="Book Antiqua" w:eastAsia="宋体" w:hAnsi="Book Antiqua" w:cs="Book Antiqua" w:hint="eastAsia"/>
          <w:lang w:eastAsia="zh-CN"/>
        </w:rPr>
        <w:t>T</w:t>
      </w:r>
      <w:r>
        <w:rPr>
          <w:rFonts w:ascii="Book Antiqua" w:eastAsia="Book Antiqua" w:hAnsi="Book Antiqua" w:cs="Book Antiqua"/>
        </w:rPr>
        <w:t>argets</w:t>
      </w:r>
    </w:p>
    <w:p w14:paraId="319173B1" w14:textId="77777777" w:rsidR="00C62577" w:rsidRDefault="00C62577">
      <w:pPr>
        <w:adjustRightInd w:val="0"/>
        <w:snapToGrid w:val="0"/>
        <w:spacing w:line="360" w:lineRule="auto"/>
        <w:jc w:val="both"/>
        <w:rPr>
          <w:rFonts w:ascii="Book Antiqua" w:hAnsi="Book Antiqua" w:cs="Book Antiqua"/>
        </w:rPr>
      </w:pPr>
    </w:p>
    <w:p w14:paraId="3410220C"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Li Q, Yin LK. Comprehensive analysis of </w:t>
      </w:r>
      <w:proofErr w:type="spellStart"/>
      <w:r>
        <w:rPr>
          <w:rFonts w:ascii="Book Antiqua" w:eastAsia="Book Antiqua" w:hAnsi="Book Antiqua" w:cs="Book Antiqua"/>
        </w:rPr>
        <w:t>disulfidptosis</w:t>
      </w:r>
      <w:proofErr w:type="spellEnd"/>
      <w:r>
        <w:rPr>
          <w:rFonts w:ascii="Book Antiqua" w:eastAsia="Book Antiqua" w:hAnsi="Book Antiqua" w:cs="Book Antiqua"/>
        </w:rPr>
        <w:t xml:space="preserve"> related genes and prognosis of gastric cancer. </w:t>
      </w:r>
      <w:r>
        <w:rPr>
          <w:rFonts w:ascii="Book Antiqua" w:eastAsia="Book Antiqua" w:hAnsi="Book Antiqua" w:cs="Book Antiqua"/>
          <w:i/>
          <w:iCs/>
        </w:rPr>
        <w:t>World J Clin Oncol</w:t>
      </w:r>
      <w:r>
        <w:rPr>
          <w:rFonts w:ascii="Book Antiqua" w:eastAsia="Book Antiqua" w:hAnsi="Book Antiqua" w:cs="Book Antiqua"/>
        </w:rPr>
        <w:t xml:space="preserve"> 2023; In press</w:t>
      </w:r>
    </w:p>
    <w:p w14:paraId="69F6EA8B" w14:textId="77777777" w:rsidR="00C62577" w:rsidRDefault="00C62577">
      <w:pPr>
        <w:adjustRightInd w:val="0"/>
        <w:snapToGrid w:val="0"/>
        <w:spacing w:line="360" w:lineRule="auto"/>
        <w:jc w:val="both"/>
        <w:rPr>
          <w:rFonts w:ascii="Book Antiqua" w:hAnsi="Book Antiqua" w:cs="Book Antiqua"/>
        </w:rPr>
      </w:pPr>
    </w:p>
    <w:p w14:paraId="4090BB93" w14:textId="77777777" w:rsidR="00C62577"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Gastric cancer (GC) is a common malignant tumor of the digestive system. </w:t>
      </w:r>
      <w:proofErr w:type="spellStart"/>
      <w:r>
        <w:rPr>
          <w:rFonts w:ascii="Book Antiqua" w:eastAsia="Book Antiqua" w:hAnsi="Book Antiqua" w:cs="Book Antiqua"/>
        </w:rPr>
        <w:t>Disulfidptosis</w:t>
      </w:r>
      <w:proofErr w:type="spellEnd"/>
      <w:r>
        <w:rPr>
          <w:rFonts w:ascii="Book Antiqua" w:eastAsia="Book Antiqua" w:hAnsi="Book Antiqua" w:cs="Book Antiqua"/>
        </w:rPr>
        <w:t xml:space="preserve"> is a new programmed cell death mechanism. The specific mechanism of </w:t>
      </w:r>
      <w:proofErr w:type="spellStart"/>
      <w:r>
        <w:rPr>
          <w:rFonts w:ascii="Book Antiqua" w:eastAsia="Book Antiqua" w:hAnsi="Book Antiqua" w:cs="Book Antiqua"/>
        </w:rPr>
        <w:t>disulfidptosis</w:t>
      </w:r>
      <w:proofErr w:type="spellEnd"/>
      <w:r>
        <w:rPr>
          <w:rFonts w:ascii="Book Antiqua" w:eastAsia="Book Antiqua" w:hAnsi="Book Antiqua" w:cs="Book Antiqua"/>
        </w:rPr>
        <w:t xml:space="preserve"> in GC is not fully understood. This study found that the </w:t>
      </w:r>
      <w:proofErr w:type="spellStart"/>
      <w:r>
        <w:rPr>
          <w:rFonts w:ascii="Book Antiqua" w:eastAsia="Book Antiqua" w:hAnsi="Book Antiqua" w:cs="Book Antiqua"/>
        </w:rPr>
        <w:t>disulfidptosis</w:t>
      </w:r>
      <w:proofErr w:type="spellEnd"/>
      <w:r>
        <w:rPr>
          <w:rFonts w:ascii="Book Antiqua" w:eastAsia="Book Antiqua" w:hAnsi="Book Antiqua" w:cs="Book Antiqua"/>
        </w:rPr>
        <w:t xml:space="preserve"> related gene may be related to the prognosis of gastric cancer. </w:t>
      </w:r>
      <w:r>
        <w:rPr>
          <w:rFonts w:ascii="Book Antiqua" w:eastAsia="Book Antiqua" w:hAnsi="Book Antiqua" w:cs="Book Antiqua"/>
          <w:i/>
          <w:iCs/>
        </w:rPr>
        <w:t>PLS3</w:t>
      </w:r>
      <w:r>
        <w:rPr>
          <w:rFonts w:ascii="Book Antiqua" w:eastAsia="Book Antiqua" w:hAnsi="Book Antiqua" w:cs="Book Antiqua"/>
        </w:rPr>
        <w:t>,</w:t>
      </w:r>
      <w:r>
        <w:rPr>
          <w:rFonts w:ascii="Book Antiqua" w:eastAsia="Book Antiqua" w:hAnsi="Book Antiqua" w:cs="Book Antiqua"/>
          <w:i/>
          <w:iCs/>
        </w:rPr>
        <w:t xml:space="preserve"> GRP</w:t>
      </w:r>
      <w:r>
        <w:rPr>
          <w:rFonts w:ascii="Book Antiqua" w:eastAsia="Book Antiqua" w:hAnsi="Book Antiqua" w:cs="Book Antiqua"/>
        </w:rPr>
        <w:t>,</w:t>
      </w:r>
      <w:r>
        <w:rPr>
          <w:rFonts w:ascii="Book Antiqua" w:eastAsia="Book Antiqua" w:hAnsi="Book Antiqua" w:cs="Book Antiqua"/>
          <w:i/>
          <w:iCs/>
        </w:rPr>
        <w:t xml:space="preserve"> APOD</w:t>
      </w:r>
      <w:r>
        <w:rPr>
          <w:rFonts w:ascii="Book Antiqua" w:eastAsia="Book Antiqua" w:hAnsi="Book Antiqua" w:cs="Book Antiqua"/>
        </w:rPr>
        <w:t>,</w:t>
      </w:r>
      <w:r>
        <w:rPr>
          <w:rFonts w:ascii="Book Antiqua" w:eastAsia="Book Antiqua" w:hAnsi="Book Antiqua" w:cs="Book Antiqua"/>
          <w:i/>
          <w:iCs/>
        </w:rPr>
        <w:t xml:space="preserve"> SGCE</w:t>
      </w:r>
      <w:r>
        <w:rPr>
          <w:rFonts w:ascii="Book Antiqua" w:eastAsia="Book Antiqua" w:hAnsi="Book Antiqua" w:cs="Book Antiqua"/>
        </w:rPr>
        <w:t>,</w:t>
      </w:r>
      <w:r>
        <w:rPr>
          <w:rFonts w:ascii="Book Antiqua" w:eastAsia="Book Antiqua" w:hAnsi="Book Antiqua" w:cs="Book Antiqua"/>
          <w:i/>
          <w:iCs/>
        </w:rPr>
        <w:t xml:space="preserve"> COL8A1</w:t>
      </w:r>
      <w:r>
        <w:rPr>
          <w:rFonts w:ascii="Book Antiqua" w:eastAsia="Book Antiqua" w:hAnsi="Book Antiqua" w:cs="Book Antiqua"/>
        </w:rPr>
        <w:t>,</w:t>
      </w:r>
      <w:r>
        <w:rPr>
          <w:rFonts w:ascii="Book Antiqua" w:eastAsia="Book Antiqua" w:hAnsi="Book Antiqua" w:cs="Book Antiqua"/>
          <w:i/>
          <w:iCs/>
        </w:rPr>
        <w:t xml:space="preserve"> VAMP7</w:t>
      </w:r>
      <w:r>
        <w:rPr>
          <w:rFonts w:ascii="Book Antiqua" w:eastAsia="Book Antiqua" w:hAnsi="Book Antiqua" w:cs="Book Antiqua"/>
        </w:rPr>
        <w:t xml:space="preserve">, these six genes constitute a predictive model for gastric cancer prognosis. </w:t>
      </w:r>
      <w:r>
        <w:rPr>
          <w:rFonts w:ascii="Book Antiqua" w:eastAsia="Book Antiqua" w:hAnsi="Book Antiqua" w:cs="Book Antiqua"/>
          <w:i/>
          <w:iCs/>
        </w:rPr>
        <w:t>APOD</w:t>
      </w:r>
      <w:r>
        <w:rPr>
          <w:rFonts w:ascii="Book Antiqua" w:eastAsia="Book Antiqua" w:hAnsi="Book Antiqua" w:cs="Book Antiqua"/>
        </w:rPr>
        <w:t xml:space="preserve"> is a potential therapeutic target. Bosutinib and other drugs are sensitive for the treatment of gastric cancer.</w:t>
      </w:r>
    </w:p>
    <w:p w14:paraId="0B78D185" w14:textId="77777777" w:rsidR="00C62577" w:rsidRDefault="00C62577">
      <w:pPr>
        <w:adjustRightInd w:val="0"/>
        <w:snapToGrid w:val="0"/>
        <w:spacing w:line="360" w:lineRule="auto"/>
        <w:jc w:val="both"/>
        <w:rPr>
          <w:rFonts w:ascii="Book Antiqua" w:eastAsia="Book Antiqua" w:hAnsi="Book Antiqua" w:cs="Book Antiqua"/>
        </w:rPr>
      </w:pPr>
    </w:p>
    <w:p w14:paraId="350A89FF"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705CDBB1"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Gastric cancer (GC) is a common cause of cancer-related death worldwide, with a particularly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 incidence in East Asia, such as South Korea,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proofErr w:type="gramStart"/>
      <w:r>
        <w:rPr>
          <w:rFonts w:ascii="Book Antiqua" w:eastAsia="Book Antiqua" w:hAnsi="Book Antiqua" w:cs="Book Antiqua"/>
          <w:color w:val="000000"/>
        </w:rPr>
        <w:t>Japan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The early clinical symptoms of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are not obvious and lack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10-14]</w:t>
      </w:r>
      <w:r>
        <w:rPr>
          <w:rFonts w:ascii="Book Antiqua" w:eastAsia="Book Antiqua" w:hAnsi="Book Antiqua" w:cs="Book Antiqua"/>
          <w:color w:val="000000"/>
        </w:rPr>
        <w:t>, which leads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a low rate of early diagnosis</w:t>
      </w:r>
      <w:r>
        <w:rPr>
          <w:rFonts w:ascii="Book Antiqua" w:eastAsia="Book Antiqua" w:hAnsi="Book Antiqua" w:cs="Book Antiqua"/>
          <w:color w:val="000000"/>
          <w:vertAlign w:val="superscript"/>
        </w:rPr>
        <w:t>[15-26]</w:t>
      </w:r>
      <w:r>
        <w:rPr>
          <w:rFonts w:ascii="Book Antiqua" w:eastAsia="Book Antiqua" w:hAnsi="Book Antiqua" w:cs="Book Antiqua"/>
          <w:color w:val="000000"/>
        </w:rPr>
        <w:t xml:space="preserve">. Most patients with GC are diagnosed late and have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27-40]</w:t>
      </w:r>
      <w:r>
        <w:rPr>
          <w:rFonts w:ascii="Book Antiqua" w:eastAsia="Book Antiqua" w:hAnsi="Book Antiqua" w:cs="Book Antiqua"/>
          <w:color w:val="000000"/>
        </w:rPr>
        <w:t>. Although the diagnosis and treatment strategies for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have gradually increased in recent decades, the prognosis of advanced GC remains</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poor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41-47]</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there is an urgent need to find more biomarkers as novel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therapeutic targets and to develop new drugs to improve diagnosis and treatment measures and, consequently,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 survival and prognosis.</w:t>
      </w:r>
    </w:p>
    <w:p w14:paraId="35651042" w14:textId="77777777" w:rsidR="00C62577"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 a heterogeneous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with previous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suggesting that various cell programmed death mechanisms, including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ferroptosis</w:t>
      </w:r>
      <w:r>
        <w:rPr>
          <w:rFonts w:ascii="Book Antiqua" w:eastAsia="Book Antiqua" w:hAnsi="Book Antiqua" w:cs="Book Antiqua"/>
          <w:color w:val="000000"/>
          <w:vertAlign w:val="superscript"/>
        </w:rPr>
        <w:t>[49-54]</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cuproptosis</w:t>
      </w:r>
      <w:proofErr w:type="spellEnd"/>
      <w:r>
        <w:rPr>
          <w:rFonts w:ascii="Book Antiqua" w:eastAsia="Book Antiqua" w:hAnsi="Book Antiqua" w:cs="Book Antiqua"/>
          <w:color w:val="000000"/>
          <w:vertAlign w:val="superscript"/>
        </w:rPr>
        <w:t>[55-58]</w:t>
      </w:r>
      <w:r>
        <w:rPr>
          <w:rFonts w:ascii="Book Antiqua" w:eastAsia="Book Antiqua" w:hAnsi="Book Antiqua" w:cs="Book Antiqua"/>
          <w:color w:val="000000"/>
        </w:rPr>
        <w:t>, represent novel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research directions for GC. In recent years, it has been found that </w:t>
      </w:r>
      <w:proofErr w:type="spellStart"/>
      <w:proofErr w:type="gramStart"/>
      <w:r>
        <w:rPr>
          <w:rFonts w:ascii="Book Antiqua" w:eastAsia="Book Antiqua" w:hAnsi="Book Antiqua" w:cs="Book Antiqua"/>
          <w:color w:val="000000"/>
        </w:rPr>
        <w:t>disulfidptosis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a novel and poorly studied mechanism of programmed cell death, represents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previously uncharacterized form of cell death induced by abnormal accumulation of disulfide in cells under glucose starvation, which is different from copper death and iron death. However, its role in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its related mechanisms are still unclear and need to be further explored.</w:t>
      </w:r>
    </w:p>
    <w:p w14:paraId="012D90AB" w14:textId="77777777" w:rsidR="00C62577"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In this study, we analyzed the sequencing data of tumor tissues from databases such as The Cancer Genome Atlas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(TCGA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Gene Expression Omnibus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(GEO)</w:t>
      </w:r>
      <w:r>
        <w:rPr>
          <w:rFonts w:ascii="Book Antiqua" w:eastAsia="宋体" w:hAnsi="Book Antiqua" w:cs="Book Antiqua" w:hint="eastAsia"/>
          <w:color w:val="000000"/>
          <w:lang w:eastAsia="zh-CN"/>
        </w:rPr>
        <w:t xml:space="preserve"> (Supplementary material)</w:t>
      </w:r>
      <w:r>
        <w:rPr>
          <w:rFonts w:ascii="Book Antiqua" w:eastAsia="Book Antiqua" w:hAnsi="Book Antiqua" w:cs="Book Antiqua"/>
          <w:color w:val="000000"/>
          <w:vertAlign w:val="superscript"/>
        </w:rPr>
        <w:t>[61]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14 </w:t>
      </w:r>
      <w:proofErr w:type="spellStart"/>
      <w:r>
        <w:rPr>
          <w:rFonts w:ascii="Book Antiqua" w:eastAsia="Book Antiqua" w:hAnsi="Book Antiqua" w:cs="Book Antiqua"/>
          <w:color w:val="000000"/>
        </w:rPr>
        <w:t>disulfidptosis</w:t>
      </w:r>
      <w:proofErr w:type="spellEnd"/>
      <w:r>
        <w:rPr>
          <w:rFonts w:ascii="Book Antiqua" w:eastAsia="Book Antiqua" w:hAnsi="Book Antiqua" w:cs="Book Antiqua"/>
          <w:color w:val="000000"/>
        </w:rPr>
        <w:t>-related gene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(DRGs)</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ACTN4, ACTB, CD2AP, CAPZB, DSTN, FLNA, FLNB, INF2, IQGAP1, MYH10, MYL6, MYH9, PDLIM1,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TLN1</w:t>
      </w:r>
      <w:r>
        <w:rPr>
          <w:rFonts w:ascii="Book Antiqua" w:eastAsia="Book Antiqua" w:hAnsi="Book Antiqua" w:cs="Book Antiqua"/>
          <w:color w:val="000000"/>
        </w:rPr>
        <w:t>). We conducted differential analysis of DRGs, as well as analyses of the tumor mutation burden (TMB</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62,63]</w:t>
      </w:r>
      <w:r>
        <w:rPr>
          <w:rFonts w:ascii="Book Antiqua" w:eastAsia="Book Antiqua" w:hAnsi="Book Antiqua" w:cs="Book Antiqua"/>
          <w:color w:val="000000"/>
        </w:rPr>
        <w:t xml:space="preserve">, copy variations,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ene </w:t>
      </w:r>
      <w:r>
        <w:rPr>
          <w:rFonts w:ascii="Book Antiqua" w:eastAsia="宋体" w:hAnsi="Book Antiqua" w:cs="Book Antiqua" w:hint="eastAsia"/>
          <w:color w:val="000000"/>
          <w:lang w:eastAsia="zh-CN"/>
        </w:rPr>
        <w:t>o</w:t>
      </w:r>
      <w:r>
        <w:rPr>
          <w:rFonts w:ascii="Book Antiqua" w:eastAsia="Book Antiqua" w:hAnsi="Book Antiqua" w:cs="Book Antiqua"/>
          <w:color w:val="000000"/>
        </w:rPr>
        <w:t>ntology (GO)</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and the </w:t>
      </w:r>
      <w:proofErr w:type="spellStart"/>
      <w:r>
        <w:rPr>
          <w:rFonts w:ascii="Book Antiqua" w:eastAsia="宋体" w:hAnsi="Book Antiqua" w:cs="Book Antiqua" w:hint="eastAsia"/>
          <w:color w:val="000000"/>
          <w:lang w:eastAsia="zh-CN"/>
        </w:rPr>
        <w:t>k</w:t>
      </w:r>
      <w:r>
        <w:rPr>
          <w:rFonts w:ascii="Book Antiqua" w:eastAsia="Book Antiqua" w:hAnsi="Book Antiqua" w:cs="Book Antiqua"/>
          <w:color w:val="000000"/>
        </w:rPr>
        <w:t>yoto</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ncyclopedia of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enes and </w:t>
      </w:r>
      <w:r>
        <w:rPr>
          <w:rFonts w:ascii="Book Antiqua" w:eastAsia="宋体" w:hAnsi="Book Antiqua" w:cs="Book Antiqua" w:hint="eastAsia"/>
          <w:color w:val="000000"/>
          <w:lang w:eastAsia="zh-CN"/>
        </w:rPr>
        <w:t>g</w:t>
      </w:r>
      <w:r>
        <w:rPr>
          <w:rFonts w:ascii="Book Antiqua" w:eastAsia="Book Antiqua" w:hAnsi="Book Antiqua" w:cs="Book Antiqua"/>
          <w:color w:val="000000"/>
        </w:rPr>
        <w:t>enomes (KEGG)</w:t>
      </w:r>
      <w:r>
        <w:rPr>
          <w:rFonts w:ascii="Book Antiqua" w:eastAsia="Book Antiqua" w:hAnsi="Book Antiqua" w:cs="Book Antiqua"/>
          <w:color w:val="000000"/>
          <w:vertAlign w:val="superscript"/>
        </w:rPr>
        <w:t>[65]</w:t>
      </w:r>
      <w:r>
        <w:rPr>
          <w:rFonts w:ascii="Book Antiqua" w:eastAsia="Book Antiqua" w:hAnsi="Book Antiqua" w:cs="Book Antiqua"/>
          <w:color w:val="000000"/>
        </w:rPr>
        <w:t>, among others.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this paper, the mechanism of DRGs involved in the occurrence and development of GC 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discussed, and new therapeutic targets and drugs that may be related to the prognosis of GC 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preliminarily analyzed and screened from a new perspective.</w:t>
      </w:r>
    </w:p>
    <w:p w14:paraId="4C1397AF" w14:textId="77777777" w:rsidR="00C62577" w:rsidRDefault="00C62577">
      <w:pPr>
        <w:adjustRightInd w:val="0"/>
        <w:snapToGrid w:val="0"/>
        <w:spacing w:line="360" w:lineRule="auto"/>
        <w:jc w:val="both"/>
        <w:rPr>
          <w:rFonts w:ascii="Book Antiqua" w:hAnsi="Book Antiqua" w:cs="Book Antiqua"/>
        </w:rPr>
      </w:pPr>
    </w:p>
    <w:p w14:paraId="26AEEAD2"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1F733BDB"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Data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ownloading and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rocessing</w:t>
      </w:r>
    </w:p>
    <w:p w14:paraId="22CBF190"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Expression data, clinical data, mutation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data, and copy data related to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downloaded and organized from TCGA database. The GSE84433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GSE26253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datasets and their platform annotation files were downloaded from the GEO database. Data were analyzed and processed using R software (version 4.2.1) and Perl software (version 5.30.0).</w:t>
      </w:r>
    </w:p>
    <w:p w14:paraId="04FEF337" w14:textId="77777777" w:rsidR="00C62577" w:rsidRDefault="00C62577">
      <w:pPr>
        <w:adjustRightInd w:val="0"/>
        <w:snapToGrid w:val="0"/>
        <w:spacing w:line="360" w:lineRule="auto"/>
        <w:jc w:val="both"/>
        <w:rPr>
          <w:rFonts w:ascii="Book Antiqua" w:hAnsi="Book Antiqua" w:cs="Book Antiqua"/>
        </w:rPr>
      </w:pPr>
    </w:p>
    <w:p w14:paraId="43C5268C"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Differential and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rognostic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nalyses</w:t>
      </w:r>
    </w:p>
    <w:p w14:paraId="7D64B115"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GC-related data were extracted from TCGA database and analyzed in combination with the double-sulfur death gene. Differential analysis, mutation load analysis, copy number variation frequency analysis, and survival analysis were performed using R software.</w:t>
      </w:r>
    </w:p>
    <w:p w14:paraId="1AEA65DF" w14:textId="77777777" w:rsidR="00C62577" w:rsidRDefault="00C62577">
      <w:pPr>
        <w:adjustRightInd w:val="0"/>
        <w:snapToGrid w:val="0"/>
        <w:spacing w:line="360" w:lineRule="auto"/>
        <w:jc w:val="both"/>
        <w:rPr>
          <w:rFonts w:ascii="Book Antiqua" w:hAnsi="Book Antiqua" w:cs="Book Antiqua"/>
        </w:rPr>
      </w:pPr>
    </w:p>
    <w:p w14:paraId="2D52DD93" w14:textId="77777777" w:rsidR="00C62577" w:rsidRDefault="00000000">
      <w:pPr>
        <w:adjustRightInd w:val="0"/>
        <w:snapToGrid w:val="0"/>
        <w:spacing w:line="360" w:lineRule="auto"/>
        <w:jc w:val="both"/>
        <w:rPr>
          <w:rFonts w:ascii="Book Antiqua" w:hAnsi="Book Antiqua" w:cs="Book Antiqua"/>
          <w:b/>
          <w:bCs/>
          <w:i/>
          <w:iCs/>
        </w:rPr>
      </w:pPr>
      <w:proofErr w:type="spellStart"/>
      <w:r>
        <w:rPr>
          <w:rFonts w:ascii="Book Antiqua" w:eastAsia="Book Antiqua" w:hAnsi="Book Antiqua" w:cs="Book Antiqua"/>
          <w:b/>
          <w:bCs/>
          <w:i/>
          <w:iCs/>
          <w:color w:val="000000"/>
        </w:rPr>
        <w:t>Disulfidptosis</w:t>
      </w:r>
      <w:proofErr w:type="spellEnd"/>
      <w:r>
        <w:rPr>
          <w:rFonts w:ascii="Book Antiqua" w:eastAsia="宋体" w:hAnsi="Book Antiqua" w:cs="Book Antiqua" w:hint="eastAsia"/>
          <w:b/>
          <w:bCs/>
          <w:i/>
          <w:iCs/>
          <w:color w:val="000000"/>
          <w:lang w:eastAsia="zh-CN"/>
        </w:rPr>
        <w:t xml:space="preserve"> s</w:t>
      </w:r>
      <w:r>
        <w:rPr>
          <w:rFonts w:ascii="Book Antiqua" w:eastAsia="Book Antiqua" w:hAnsi="Book Antiqua" w:cs="Book Antiqua"/>
          <w:b/>
          <w:bCs/>
          <w:i/>
          <w:iCs/>
          <w:color w:val="000000"/>
        </w:rPr>
        <w:t xml:space="preserve">ubtype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nalysis</w:t>
      </w:r>
    </w:p>
    <w:p w14:paraId="5F0B27C4"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R software was used to classify all samples related to the double-sulfur death gene in TCGA and GEO databases for survival analysis, heatmap clustering, gene set variation </w:t>
      </w:r>
      <w:r>
        <w:rPr>
          <w:rFonts w:ascii="Book Antiqua" w:eastAsia="Book Antiqua" w:hAnsi="Book Antiqua" w:cs="Book Antiqua"/>
          <w:color w:val="000000"/>
        </w:rPr>
        <w:lastRenderedPageBreak/>
        <w:t>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(GSVA), immune cell differential analysis, subtype differential analysis, and GO and KEGG enrichment analyses.</w:t>
      </w:r>
    </w:p>
    <w:p w14:paraId="4A018276" w14:textId="77777777" w:rsidR="00C62577" w:rsidRDefault="00C62577">
      <w:pPr>
        <w:adjustRightInd w:val="0"/>
        <w:snapToGrid w:val="0"/>
        <w:spacing w:line="360" w:lineRule="auto"/>
        <w:jc w:val="both"/>
        <w:rPr>
          <w:rFonts w:ascii="Book Antiqua" w:hAnsi="Book Antiqua" w:cs="Book Antiqua"/>
        </w:rPr>
      </w:pPr>
    </w:p>
    <w:p w14:paraId="36F6D72A"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Significant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ifferential </w:t>
      </w:r>
      <w:r>
        <w:rPr>
          <w:rFonts w:ascii="Book Antiqua" w:eastAsia="宋体" w:hAnsi="Book Antiqua" w:cs="Book Antiqua" w:hint="eastAsia"/>
          <w:b/>
          <w:bCs/>
          <w:i/>
          <w:iCs/>
          <w:color w:val="000000"/>
          <w:lang w:eastAsia="zh-CN"/>
        </w:rPr>
        <w:t>g</w:t>
      </w:r>
      <w:r>
        <w:rPr>
          <w:rFonts w:ascii="Book Antiqua" w:eastAsia="Book Antiqua" w:hAnsi="Book Antiqua" w:cs="Book Antiqua"/>
          <w:b/>
          <w:bCs/>
          <w:i/>
          <w:iCs/>
          <w:color w:val="000000"/>
        </w:rPr>
        <w:t xml:space="preserve">ene </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ubtyping,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rediction </w:t>
      </w:r>
      <w:r>
        <w:rPr>
          <w:rFonts w:ascii="Book Antiqua" w:eastAsia="宋体" w:hAnsi="Book Antiqua" w:cs="Book Antiqua" w:hint="eastAsia"/>
          <w:b/>
          <w:bCs/>
          <w:i/>
          <w:iCs/>
          <w:color w:val="000000"/>
          <w:lang w:eastAsia="zh-CN"/>
        </w:rPr>
        <w:t>m</w:t>
      </w:r>
      <w:r>
        <w:rPr>
          <w:rFonts w:ascii="Book Antiqua" w:eastAsia="Book Antiqua" w:hAnsi="Book Antiqua" w:cs="Book Antiqua"/>
          <w:b/>
          <w:bCs/>
          <w:i/>
          <w:iCs/>
          <w:color w:val="000000"/>
        </w:rPr>
        <w:t xml:space="preserve">odel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onstruction, and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nalysis</w:t>
      </w:r>
    </w:p>
    <w:p w14:paraId="36A9281F"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continued to perform survival analysis, heatmap clustering, and differential analysis of the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the samples classified by differential gene subtyping. Then, we randomly divided the significant differential samples into groups and performed </w:t>
      </w:r>
      <w:r>
        <w:rPr>
          <w:rFonts w:ascii="Book Antiqua" w:eastAsia="宋体" w:hAnsi="Book Antiqua" w:cs="Book Antiqua" w:hint="eastAsia"/>
          <w:color w:val="000000"/>
          <w:lang w:eastAsia="zh-CN"/>
        </w:rPr>
        <w:t>l</w:t>
      </w:r>
      <w:r>
        <w:rPr>
          <w:rFonts w:ascii="Book Antiqua" w:eastAsia="Book Antiqua" w:hAnsi="Book Antiqua" w:cs="Book Antiqua"/>
          <w:color w:val="000000"/>
        </w:rPr>
        <w:t>east absolute shrinkage and selection operator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LASSO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regression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univariate and multivariate Cox regression analyses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constructed a prognostic model. Using the prognostic model, we calculated the risk score for each patient sample using the following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formula:</w:t>
      </w:r>
      <w:r>
        <w:rPr>
          <w:rFonts w:ascii="Book Antiqua" w:eastAsia="宋体" w:hAnsi="Book Antiqua" w:cs="Book Antiqua" w:hint="eastAsia"/>
          <w:color w:val="000000"/>
          <w:position w:val="-26"/>
          <w:shd w:val="clear" w:color="auto" w:fill="FFFFFF"/>
          <w:lang w:eastAsia="zh-CN"/>
        </w:rPr>
        <w:object w:dxaOrig="2380" w:dyaOrig="639" w14:anchorId="13B4E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32pt" o:ole="">
            <v:imagedata r:id="rId7" o:title=""/>
          </v:shape>
          <o:OLEObject Type="Embed" ProgID="Equation.KSEE3" ShapeID="_x0000_i1025" DrawAspect="Content" ObjectID="_1756560716" r:id="rId8"/>
        </w:objec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rPr>
        <w:t>where</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Coef</w:t>
      </w:r>
      <w:r>
        <w:rPr>
          <w:rFonts w:ascii="Book Antiqua" w:eastAsia="Book Antiqua" w:hAnsi="Book Antiqua" w:cs="Book Antiqua"/>
          <w:color w:val="000000"/>
          <w:vertAlign w:val="subscript"/>
        </w:rPr>
        <w:t>i</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the coefficient,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proofErr w:type="gramStart"/>
      <w:r>
        <w:rPr>
          <w:rFonts w:ascii="Book Antiqua" w:eastAsia="Book Antiqua" w:hAnsi="Book Antiqua" w:cs="Book Antiqua"/>
          <w:color w:val="000000"/>
        </w:rPr>
        <w:t>X</w:t>
      </w:r>
      <w:r>
        <w:rPr>
          <w:rFonts w:ascii="Book Antiqua" w:eastAsia="Book Antiqua" w:hAnsi="Book Antiqua" w:cs="Book Antiqua"/>
          <w:color w:val="000000"/>
          <w:vertAlign w:val="subscript"/>
        </w:rPr>
        <w:t>i</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the expression level of the gene. 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constructed a prognostic evaluation model for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verall </w:t>
      </w:r>
      <w:r>
        <w:rPr>
          <w:rFonts w:ascii="Book Antiqua" w:eastAsia="宋体" w:hAnsi="Book Antiqua" w:cs="Book Antiqua" w:hint="eastAsia"/>
          <w:color w:val="000000"/>
          <w:lang w:eastAsia="zh-CN"/>
        </w:rPr>
        <w:t>s</w:t>
      </w:r>
      <w:r>
        <w:rPr>
          <w:rFonts w:ascii="Book Antiqua" w:eastAsia="Book Antiqua" w:hAnsi="Book Antiqua" w:cs="Book Antiqua"/>
          <w:color w:val="000000"/>
        </w:rPr>
        <w:t>urvival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based on the risk score. We then constructed a Sankey diagram and analyzed the differences in risk scores between subtypes and the differential risk of the DRGs.</w:t>
      </w:r>
    </w:p>
    <w:p w14:paraId="1274FA24" w14:textId="77777777" w:rsidR="00C62577" w:rsidRDefault="00C62577">
      <w:pPr>
        <w:adjustRightInd w:val="0"/>
        <w:snapToGrid w:val="0"/>
        <w:spacing w:line="360" w:lineRule="auto"/>
        <w:jc w:val="both"/>
        <w:rPr>
          <w:rFonts w:ascii="Book Antiqua" w:hAnsi="Book Antiqua" w:cs="Book Antiqua"/>
        </w:rPr>
      </w:pPr>
    </w:p>
    <w:p w14:paraId="2CACF87E"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Prognostic </w:t>
      </w:r>
      <w:r>
        <w:rPr>
          <w:rFonts w:ascii="Book Antiqua" w:eastAsia="宋体" w:hAnsi="Book Antiqua" w:cs="Book Antiqua" w:hint="eastAsia"/>
          <w:b/>
          <w:bCs/>
          <w:i/>
          <w:iCs/>
          <w:color w:val="000000"/>
          <w:lang w:eastAsia="zh-CN"/>
        </w:rPr>
        <w:t>m</w:t>
      </w:r>
      <w:r>
        <w:rPr>
          <w:rFonts w:ascii="Book Antiqua" w:eastAsia="Book Antiqua" w:hAnsi="Book Antiqua" w:cs="Book Antiqua"/>
          <w:b/>
          <w:bCs/>
          <w:i/>
          <w:iCs/>
          <w:color w:val="000000"/>
        </w:rPr>
        <w:t>odel</w:t>
      </w:r>
      <w:r>
        <w:rPr>
          <w:rFonts w:ascii="Book Antiqua" w:eastAsia="宋体" w:hAnsi="Book Antiqua" w:cs="Book Antiqua" w:hint="eastAsia"/>
          <w:b/>
          <w:bCs/>
          <w:i/>
          <w:iCs/>
          <w:color w:val="000000"/>
          <w:lang w:eastAsia="zh-CN"/>
        </w:rPr>
        <w:t xml:space="preserve"> v</w:t>
      </w:r>
      <w:r>
        <w:rPr>
          <w:rFonts w:ascii="Book Antiqua" w:eastAsia="Book Antiqua" w:hAnsi="Book Antiqua" w:cs="Book Antiqua"/>
          <w:b/>
          <w:bCs/>
          <w:i/>
          <w:iCs/>
          <w:color w:val="000000"/>
        </w:rPr>
        <w:t>alidation</w:t>
      </w:r>
    </w:p>
    <w:p w14:paraId="02C5C335" w14:textId="77777777" w:rsidR="00C62577"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reliability of the prognostic model was verified by survival analysis, receiver operating characteristic (ROC) curve mapping, risk curve mapping, survival state map, and clustering heatmap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model genes in each subgroup.</w:t>
      </w:r>
    </w:p>
    <w:p w14:paraId="77DE7C07" w14:textId="77777777" w:rsidR="00C62577" w:rsidRDefault="00C62577">
      <w:pPr>
        <w:adjustRightInd w:val="0"/>
        <w:snapToGrid w:val="0"/>
        <w:spacing w:line="360" w:lineRule="auto"/>
        <w:jc w:val="both"/>
        <w:rPr>
          <w:rFonts w:ascii="Book Antiqua" w:eastAsia="Book Antiqua" w:hAnsi="Book Antiqua" w:cs="Book Antiqua"/>
          <w:color w:val="000000"/>
        </w:rPr>
      </w:pPr>
    </w:p>
    <w:p w14:paraId="2D490618"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Nomogram construction and analysis of the correlation between risk score and</w:t>
      </w:r>
      <w:r>
        <w:rPr>
          <w:rFonts w:ascii="Book Antiqua" w:eastAsia="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immunity, as well as drug susceptibility</w:t>
      </w:r>
      <w:r>
        <w:rPr>
          <w:rFonts w:ascii="Book Antiqua" w:eastAsia="Book Antiqua" w:hAnsi="Book Antiqua" w:cs="Book Antiqua"/>
          <w:b/>
          <w:bCs/>
          <w:i/>
          <w:iCs/>
          <w:color w:val="000000"/>
        </w:rPr>
        <w:br/>
      </w:r>
      <w:r>
        <w:rPr>
          <w:rStyle w:val="16"/>
          <w:rFonts w:ascii="Book Antiqua" w:eastAsia="Book Antiqua" w:hAnsi="Book Antiqua" w:cs="Book Antiqua"/>
          <w:color w:val="000000"/>
        </w:rPr>
        <w:t>Next, the independent prognostic factors of GC</w:t>
      </w:r>
      <w:r>
        <w:rPr>
          <w:rStyle w:val="16"/>
          <w:rFonts w:ascii="Book Antiqua" w:eastAsia="宋体" w:hAnsi="Book Antiqua" w:cs="Book Antiqua" w:hint="eastAsia"/>
          <w:color w:val="000000"/>
          <w:lang w:eastAsia="zh-CN"/>
        </w:rPr>
        <w:t xml:space="preserve"> </w:t>
      </w:r>
      <w:r>
        <w:rPr>
          <w:rStyle w:val="16"/>
          <w:rFonts w:ascii="Book Antiqua" w:eastAsia="Book Antiqua" w:hAnsi="Book Antiqua" w:cs="Book Antiqua"/>
          <w:color w:val="000000"/>
        </w:rPr>
        <w:t>and potential therapeutic targets were sought by constructing the column diagram, and survival</w:t>
      </w:r>
      <w:r>
        <w:rPr>
          <w:rStyle w:val="16"/>
          <w:rFonts w:ascii="Book Antiqua" w:eastAsia="宋体" w:hAnsi="Book Antiqua" w:cs="Book Antiqua" w:hint="eastAsia"/>
          <w:color w:val="000000"/>
          <w:lang w:eastAsia="zh-CN"/>
        </w:rPr>
        <w:t xml:space="preserve"> </w:t>
      </w:r>
      <w:r>
        <w:rPr>
          <w:rStyle w:val="16"/>
          <w:rFonts w:ascii="Book Antiqua" w:eastAsia="Book Antiqua" w:hAnsi="Book Antiqua" w:cs="Book Antiqua"/>
          <w:color w:val="000000"/>
        </w:rPr>
        <w:t>analysis of potential prognostic genes was performed by Gene Expression Profiling Interactive Analysis</w:t>
      </w:r>
      <w:r>
        <w:rPr>
          <w:rStyle w:val="16"/>
          <w:rFonts w:ascii="Book Antiqua" w:eastAsia="宋体" w:hAnsi="Book Antiqua" w:cs="Book Antiqua" w:hint="eastAsia"/>
          <w:color w:val="000000"/>
          <w:lang w:eastAsia="zh-CN"/>
        </w:rPr>
        <w:t xml:space="preserve"> (GEPIA)</w:t>
      </w:r>
      <w:r>
        <w:rPr>
          <w:rStyle w:val="16"/>
          <w:rFonts w:ascii="Book Antiqua" w:eastAsia="Book Antiqua" w:hAnsi="Book Antiqua" w:cs="Book Antiqua"/>
          <w:color w:val="000000"/>
        </w:rPr>
        <w:t xml:space="preserve">. Subsequently, immune cell correlation analysis, tumor microenvironment (TME) difference analysis, waterfall map construction, tumor mutation load analysis, </w:t>
      </w:r>
      <w:r>
        <w:rPr>
          <w:rStyle w:val="16"/>
          <w:rFonts w:ascii="Book Antiqua" w:eastAsia="Book Antiqua" w:hAnsi="Book Antiqua" w:cs="Book Antiqua"/>
          <w:color w:val="000000"/>
        </w:rPr>
        <w:lastRenderedPageBreak/>
        <w:t>microsatellite instability</w:t>
      </w:r>
      <w:r>
        <w:rPr>
          <w:rStyle w:val="16"/>
          <w:rFonts w:ascii="Book Antiqua" w:eastAsia="宋体" w:hAnsi="Book Antiqua" w:cs="Book Antiqua" w:hint="eastAsia"/>
          <w:color w:val="000000"/>
          <w:lang w:eastAsia="zh-CN"/>
        </w:rPr>
        <w:t xml:space="preserve"> (</w:t>
      </w:r>
      <w:r>
        <w:rPr>
          <w:rStyle w:val="16"/>
          <w:rFonts w:ascii="Book Antiqua" w:eastAsia="Book Antiqua" w:hAnsi="Book Antiqua" w:cs="Book Antiqua"/>
          <w:color w:val="000000"/>
        </w:rPr>
        <w:t>MSI</w:t>
      </w:r>
      <w:r>
        <w:rPr>
          <w:rStyle w:val="16"/>
          <w:rFonts w:ascii="Book Antiqua" w:eastAsia="宋体" w:hAnsi="Book Antiqua" w:cs="Book Antiqua" w:hint="eastAsia"/>
          <w:color w:val="000000"/>
          <w:lang w:eastAsia="zh-CN"/>
        </w:rPr>
        <w:t>)</w:t>
      </w:r>
      <w:r>
        <w:rPr>
          <w:rStyle w:val="16"/>
          <w:rFonts w:ascii="Book Antiqua" w:eastAsia="Book Antiqua" w:hAnsi="Book Antiqua" w:cs="Book Antiqua"/>
          <w:color w:val="000000"/>
        </w:rPr>
        <w:t>, stem cell correlation analysis, and drug sensitivity analysis were performed for the risk score.</w:t>
      </w:r>
    </w:p>
    <w:p w14:paraId="657B8056" w14:textId="77777777" w:rsidR="00C62577" w:rsidRDefault="00C62577">
      <w:pPr>
        <w:adjustRightInd w:val="0"/>
        <w:snapToGrid w:val="0"/>
        <w:spacing w:line="360" w:lineRule="auto"/>
        <w:jc w:val="both"/>
        <w:rPr>
          <w:rFonts w:ascii="Book Antiqua" w:hAnsi="Book Antiqua" w:cs="Book Antiqua"/>
        </w:rPr>
      </w:pPr>
    </w:p>
    <w:p w14:paraId="4DF7573B"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Immunohistochemical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nalysis</w:t>
      </w:r>
    </w:p>
    <w:p w14:paraId="24DA532B"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conducted immunohistochemical analysis of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using the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uman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rotein </w:t>
      </w:r>
      <w:r>
        <w:rPr>
          <w:rFonts w:ascii="Book Antiqua" w:eastAsia="宋体" w:hAnsi="Book Antiqua" w:cs="Book Antiqua" w:hint="eastAsia"/>
          <w:color w:val="000000"/>
          <w:lang w:eastAsia="zh-CN"/>
        </w:rPr>
        <w:t>a</w:t>
      </w:r>
      <w:r>
        <w:rPr>
          <w:rFonts w:ascii="Book Antiqua" w:eastAsia="Book Antiqua" w:hAnsi="Book Antiqua" w:cs="Book Antiqua"/>
          <w:color w:val="000000"/>
        </w:rPr>
        <w:t>tlas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(HPA) network database, comparing the differences in protein expression between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tissues and adjacent normal tissues.</w:t>
      </w:r>
    </w:p>
    <w:p w14:paraId="66B55F34" w14:textId="77777777" w:rsidR="00C62577" w:rsidRDefault="00C62577">
      <w:pPr>
        <w:adjustRightInd w:val="0"/>
        <w:snapToGrid w:val="0"/>
        <w:spacing w:line="360" w:lineRule="auto"/>
        <w:jc w:val="both"/>
        <w:rPr>
          <w:rFonts w:ascii="Book Antiqua" w:hAnsi="Book Antiqua" w:cs="Book Antiqua"/>
        </w:rPr>
      </w:pPr>
    </w:p>
    <w:p w14:paraId="57122BC6"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Statistical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nalysis</w:t>
      </w:r>
    </w:p>
    <w:p w14:paraId="6F263B9F"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All statistical analyses were performed using R software (version 4.2.1). A </w:t>
      </w:r>
      <w:r>
        <w:rPr>
          <w:rFonts w:ascii="Book Antiqua" w:eastAsia="Book Antiqua" w:hAnsi="Book Antiqua" w:cs="Book Antiqua"/>
          <w:i/>
          <w:iCs/>
          <w:color w:val="000000"/>
        </w:rPr>
        <w:t>P</w:t>
      </w:r>
      <w:r>
        <w:rPr>
          <w:rFonts w:ascii="Book Antiqua" w:eastAsia="Book Antiqua" w:hAnsi="Book Antiqua" w:cs="Book Antiqua"/>
          <w:color w:val="000000"/>
        </w:rPr>
        <w:t>-value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was considered statistically significant.</w:t>
      </w:r>
    </w:p>
    <w:p w14:paraId="28CA23CC" w14:textId="77777777" w:rsidR="00C62577" w:rsidRDefault="00C62577">
      <w:pPr>
        <w:adjustRightInd w:val="0"/>
        <w:snapToGrid w:val="0"/>
        <w:spacing w:line="360" w:lineRule="auto"/>
        <w:jc w:val="both"/>
        <w:rPr>
          <w:rFonts w:ascii="Book Antiqua" w:hAnsi="Book Antiqua" w:cs="Book Antiqua"/>
        </w:rPr>
      </w:pPr>
    </w:p>
    <w:p w14:paraId="6DCC0546"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46F3492A" w14:textId="77777777" w:rsidR="00C62577" w:rsidRDefault="00000000">
      <w:pPr>
        <w:adjustRightInd w:val="0"/>
        <w:snapToGrid w:val="0"/>
        <w:spacing w:line="360" w:lineRule="auto"/>
        <w:jc w:val="both"/>
        <w:rPr>
          <w:rFonts w:ascii="Book Antiqua" w:hAnsi="Book Antiqua" w:cs="Book Antiqua"/>
          <w:b/>
          <w:bCs/>
          <w:i/>
          <w:iCs/>
        </w:rPr>
      </w:pPr>
      <w:r>
        <w:rPr>
          <w:rStyle w:val="15"/>
          <w:rFonts w:ascii="Book Antiqua" w:eastAsia="Book Antiqua" w:hAnsi="Book Antiqua" w:cs="Book Antiqua"/>
          <w:b/>
          <w:bCs/>
          <w:i/>
          <w:iCs/>
          <w:color w:val="000000"/>
        </w:rPr>
        <w:t xml:space="preserve">Difference </w:t>
      </w:r>
      <w:r>
        <w:rPr>
          <w:rStyle w:val="15"/>
          <w:rFonts w:ascii="Book Antiqua" w:eastAsia="宋体" w:hAnsi="Book Antiqua" w:cs="Book Antiqua" w:hint="eastAsia"/>
          <w:b/>
          <w:bCs/>
          <w:i/>
          <w:iCs/>
          <w:color w:val="000000"/>
          <w:lang w:eastAsia="zh-CN"/>
        </w:rPr>
        <w:t>a</w:t>
      </w:r>
      <w:r>
        <w:rPr>
          <w:rStyle w:val="15"/>
          <w:rFonts w:ascii="Book Antiqua" w:eastAsia="Book Antiqua" w:hAnsi="Book Antiqua" w:cs="Book Antiqua"/>
          <w:b/>
          <w:bCs/>
          <w:i/>
          <w:iCs/>
          <w:color w:val="000000"/>
        </w:rPr>
        <w:t>nalysis</w:t>
      </w:r>
      <w:r>
        <w:rPr>
          <w:rStyle w:val="15"/>
          <w:rFonts w:ascii="Book Antiqua" w:eastAsia="宋体" w:hAnsi="Book Antiqua" w:cs="Book Antiqua" w:hint="eastAsia"/>
          <w:b/>
          <w:bCs/>
          <w:i/>
          <w:iCs/>
          <w:color w:val="000000"/>
          <w:lang w:eastAsia="zh-CN"/>
        </w:rPr>
        <w:t xml:space="preserve"> </w:t>
      </w:r>
      <w:r>
        <w:rPr>
          <w:rStyle w:val="15"/>
          <w:rFonts w:ascii="Book Antiqua" w:eastAsia="Book Antiqua" w:hAnsi="Book Antiqua" w:cs="Book Antiqua"/>
          <w:b/>
          <w:bCs/>
          <w:i/>
          <w:iCs/>
          <w:color w:val="000000"/>
        </w:rPr>
        <w:t xml:space="preserve">and </w:t>
      </w:r>
      <w:r>
        <w:rPr>
          <w:rStyle w:val="15"/>
          <w:rFonts w:ascii="Book Antiqua" w:eastAsia="宋体" w:hAnsi="Book Antiqua" w:cs="Book Antiqua" w:hint="eastAsia"/>
          <w:b/>
          <w:bCs/>
          <w:i/>
          <w:iCs/>
          <w:color w:val="000000"/>
          <w:lang w:eastAsia="zh-CN"/>
        </w:rPr>
        <w:t>p</w:t>
      </w:r>
      <w:r>
        <w:rPr>
          <w:rStyle w:val="15"/>
          <w:rFonts w:ascii="Book Antiqua" w:eastAsia="Book Antiqua" w:hAnsi="Book Antiqua" w:cs="Book Antiqua"/>
          <w:b/>
          <w:bCs/>
          <w:i/>
          <w:iCs/>
          <w:color w:val="000000"/>
        </w:rPr>
        <w:t xml:space="preserve">rognosis </w:t>
      </w:r>
      <w:r>
        <w:rPr>
          <w:rStyle w:val="15"/>
          <w:rFonts w:ascii="Book Antiqua" w:eastAsia="宋体" w:hAnsi="Book Antiqua" w:cs="Book Antiqua" w:hint="eastAsia"/>
          <w:b/>
          <w:bCs/>
          <w:i/>
          <w:iCs/>
          <w:color w:val="000000"/>
          <w:lang w:eastAsia="zh-CN"/>
        </w:rPr>
        <w:t>a</w:t>
      </w:r>
      <w:r>
        <w:rPr>
          <w:rStyle w:val="15"/>
          <w:rFonts w:ascii="Book Antiqua" w:eastAsia="Book Antiqua" w:hAnsi="Book Antiqua" w:cs="Book Antiqua"/>
          <w:b/>
          <w:bCs/>
          <w:i/>
          <w:iCs/>
          <w:color w:val="000000"/>
        </w:rPr>
        <w:t xml:space="preserve">nalysis of </w:t>
      </w:r>
      <w:r>
        <w:rPr>
          <w:rFonts w:ascii="Book Antiqua" w:eastAsia="Book Antiqua" w:hAnsi="Book Antiqua" w:cs="Book Antiqua"/>
          <w:b/>
          <w:bCs/>
          <w:i/>
          <w:iCs/>
          <w:color w:val="000000"/>
        </w:rPr>
        <w:t>DRGs</w:t>
      </w:r>
    </w:p>
    <w:p w14:paraId="7E4A981C" w14:textId="77777777" w:rsidR="00C62577" w:rsidRDefault="00000000">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Difference</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analysis</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revealed</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that 10 </w:t>
      </w:r>
      <w:r>
        <w:rPr>
          <w:rFonts w:ascii="Book Antiqua" w:eastAsia="Book Antiqua" w:hAnsi="Book Antiqua" w:cs="Book Antiqua"/>
          <w:color w:val="000000"/>
        </w:rPr>
        <w:t>DRGs</w:t>
      </w:r>
      <w:r>
        <w:rPr>
          <w:rStyle w:val="15"/>
          <w:rFonts w:ascii="Book Antiqua" w:eastAsia="Book Antiqua" w:hAnsi="Book Antiqua" w:cs="Book Antiqua"/>
          <w:color w:val="000000"/>
        </w:rPr>
        <w:t xml:space="preserve">, namely, </w:t>
      </w:r>
      <w:r>
        <w:rPr>
          <w:rStyle w:val="15"/>
          <w:rFonts w:ascii="Book Antiqua" w:eastAsia="Book Antiqua" w:hAnsi="Book Antiqua" w:cs="Book Antiqua"/>
          <w:i/>
          <w:iCs/>
          <w:color w:val="000000"/>
        </w:rPr>
        <w:t>ACTN4</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ACTB</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CD2AP</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CAPZB</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FLNB</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INF2</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IQGAP1</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MYH10</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MYH9</w:t>
      </w:r>
      <w:r>
        <w:rPr>
          <w:rStyle w:val="15"/>
          <w:rFonts w:ascii="Book Antiqua" w:eastAsia="Book Antiqua" w:hAnsi="Book Antiqua" w:cs="Book Antiqua"/>
          <w:color w:val="000000"/>
        </w:rPr>
        <w:t>,</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and </w:t>
      </w:r>
      <w:r>
        <w:rPr>
          <w:rStyle w:val="15"/>
          <w:rFonts w:ascii="Book Antiqua" w:eastAsia="Book Antiqua" w:hAnsi="Book Antiqua" w:cs="Book Antiqua"/>
          <w:i/>
          <w:iCs/>
          <w:color w:val="000000"/>
        </w:rPr>
        <w:t>PDLIM1</w:t>
      </w:r>
      <w:r>
        <w:rPr>
          <w:rStyle w:val="15"/>
          <w:rFonts w:ascii="Book Antiqua" w:eastAsia="Book Antiqua" w:hAnsi="Book Antiqua" w:cs="Book Antiqua"/>
          <w:color w:val="000000"/>
        </w:rPr>
        <w:t>, were significantly different in GC</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samples and adjacent normal tissue samples (Figure 1A). Through mutation load analysis, copy number variation frequency analysis,</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and a </w:t>
      </w:r>
      <w:proofErr w:type="spellStart"/>
      <w:r>
        <w:rPr>
          <w:rStyle w:val="15"/>
          <w:rFonts w:ascii="Book Antiqua" w:eastAsia="Book Antiqua" w:hAnsi="Book Antiqua" w:cs="Book Antiqua"/>
          <w:color w:val="000000"/>
        </w:rPr>
        <w:t>genosphere</w:t>
      </w:r>
      <w:proofErr w:type="spellEnd"/>
      <w:r>
        <w:rPr>
          <w:rStyle w:val="15"/>
          <w:rFonts w:ascii="Book Antiqua" w:eastAsia="Book Antiqua" w:hAnsi="Book Antiqua" w:cs="Book Antiqua"/>
          <w:color w:val="000000"/>
        </w:rPr>
        <w:t xml:space="preserve"> map, we</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found that </w:t>
      </w:r>
      <w:r>
        <w:rPr>
          <w:rStyle w:val="15"/>
          <w:rFonts w:ascii="Book Antiqua" w:eastAsia="Book Antiqua" w:hAnsi="Book Antiqua" w:cs="Book Antiqua"/>
          <w:i/>
          <w:iCs/>
          <w:color w:val="000000"/>
        </w:rPr>
        <w:t>CAPZB</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and </w:t>
      </w:r>
      <w:r>
        <w:rPr>
          <w:rStyle w:val="15"/>
          <w:rFonts w:ascii="Book Antiqua" w:eastAsia="Book Antiqua" w:hAnsi="Book Antiqua" w:cs="Book Antiqua"/>
          <w:i/>
          <w:iCs/>
          <w:color w:val="000000"/>
        </w:rPr>
        <w:t>MYL6</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were not mutated, while </w:t>
      </w:r>
      <w:r>
        <w:rPr>
          <w:rStyle w:val="15"/>
          <w:rFonts w:ascii="Book Antiqua" w:eastAsia="Book Antiqua" w:hAnsi="Book Antiqua" w:cs="Book Antiqua"/>
          <w:i/>
          <w:iCs/>
          <w:color w:val="000000"/>
        </w:rPr>
        <w:t xml:space="preserve">MYH10 </w:t>
      </w:r>
      <w:r>
        <w:rPr>
          <w:rStyle w:val="15"/>
          <w:rFonts w:ascii="Book Antiqua" w:eastAsia="Book Antiqua" w:hAnsi="Book Antiqua" w:cs="Book Antiqua"/>
          <w:color w:val="000000"/>
        </w:rPr>
        <w:t>had the most mutations.</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It was also found that </w:t>
      </w:r>
      <w:r>
        <w:rPr>
          <w:rStyle w:val="15"/>
          <w:rFonts w:ascii="Book Antiqua" w:eastAsia="Book Antiqua" w:hAnsi="Book Antiqua" w:cs="Book Antiqua"/>
          <w:i/>
          <w:iCs/>
          <w:color w:val="000000"/>
        </w:rPr>
        <w:t>CAPZB</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had the most deletion mutations, while</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i/>
          <w:iCs/>
          <w:color w:val="000000"/>
        </w:rPr>
        <w:t>IQGAP1</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had the most insertion mutations. Cyclic</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analysis</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led to the identification of</w:t>
      </w:r>
      <w:r>
        <w:rPr>
          <w:rStyle w:val="15"/>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disulfidptosis</w:t>
      </w:r>
      <w:proofErr w:type="spellEnd"/>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mutations in 14 chromosomes (Figure 1B</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D).</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Moreover, survival</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analysis showed that patients with high expression of </w:t>
      </w:r>
      <w:r>
        <w:rPr>
          <w:rStyle w:val="15"/>
          <w:rFonts w:ascii="Book Antiqua" w:eastAsia="Book Antiqua" w:hAnsi="Book Antiqua" w:cs="Book Antiqua"/>
          <w:i/>
          <w:iCs/>
          <w:color w:val="000000"/>
        </w:rPr>
        <w:t>TLN1</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MYL6</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MYH10</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MYH9</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IQGAP1</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INF2</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FLNA</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DSTN</w:t>
      </w:r>
      <w:r>
        <w:rPr>
          <w:rStyle w:val="15"/>
          <w:rFonts w:ascii="Book Antiqua" w:eastAsia="Book Antiqua" w:hAnsi="Book Antiqua" w:cs="Book Antiqua"/>
          <w:color w:val="000000"/>
        </w:rPr>
        <w:t>,</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and </w:t>
      </w:r>
      <w:r>
        <w:rPr>
          <w:rStyle w:val="15"/>
          <w:rFonts w:ascii="Book Antiqua" w:eastAsia="Book Antiqua" w:hAnsi="Book Antiqua" w:cs="Book Antiqua"/>
          <w:i/>
          <w:iCs/>
          <w:color w:val="000000"/>
        </w:rPr>
        <w:t>ACTB</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had a</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reduced survival time,</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while those with high expression of </w:t>
      </w:r>
      <w:r>
        <w:rPr>
          <w:rStyle w:val="15"/>
          <w:rFonts w:ascii="Book Antiqua" w:eastAsia="Book Antiqua" w:hAnsi="Book Antiqua" w:cs="Book Antiqua"/>
          <w:i/>
          <w:iCs/>
          <w:color w:val="000000"/>
        </w:rPr>
        <w:t>PDLIM1</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had an increased survival time (Figure 2A–</w:t>
      </w:r>
      <w:r>
        <w:rPr>
          <w:rStyle w:val="15"/>
          <w:rFonts w:ascii="Book Antiqua" w:eastAsia="宋体" w:hAnsi="Book Antiqua" w:cs="Book Antiqua" w:hint="eastAsia"/>
          <w:color w:val="000000"/>
          <w:lang w:eastAsia="zh-CN"/>
        </w:rPr>
        <w:t>J</w:t>
      </w:r>
      <w:r>
        <w:rPr>
          <w:rStyle w:val="15"/>
          <w:rFonts w:ascii="Book Antiqua" w:eastAsia="Book Antiqua" w:hAnsi="Book Antiqua" w:cs="Book Antiqua"/>
          <w:color w:val="000000"/>
        </w:rPr>
        <w:t xml:space="preserve">). Prognostic network diagram analysis showed that </w:t>
      </w:r>
      <w:proofErr w:type="spellStart"/>
      <w:r>
        <w:rPr>
          <w:rFonts w:ascii="Book Antiqua" w:eastAsia="Book Antiqua" w:hAnsi="Book Antiqua" w:cs="Book Antiqua"/>
          <w:color w:val="000000"/>
        </w:rPr>
        <w:t>disulfidptosis</w:t>
      </w:r>
      <w:proofErr w:type="spellEnd"/>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genes, including</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i/>
          <w:iCs/>
          <w:color w:val="000000"/>
        </w:rPr>
        <w:t>PDLIM1</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FLNA</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MYH10</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MYL6</w:t>
      </w:r>
      <w:r>
        <w:rPr>
          <w:rStyle w:val="15"/>
          <w:rFonts w:ascii="Book Antiqua" w:eastAsia="Book Antiqua" w:hAnsi="Book Antiqua" w:cs="Book Antiqua"/>
          <w:color w:val="000000"/>
        </w:rPr>
        <w:t>,</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and </w:t>
      </w:r>
      <w:r>
        <w:rPr>
          <w:rStyle w:val="15"/>
          <w:rFonts w:ascii="Book Antiqua" w:eastAsia="Book Antiqua" w:hAnsi="Book Antiqua" w:cs="Book Antiqua"/>
          <w:i/>
          <w:iCs/>
          <w:color w:val="000000"/>
        </w:rPr>
        <w:t>DSTN</w:t>
      </w:r>
      <w:r>
        <w:rPr>
          <w:rStyle w:val="15"/>
          <w:rFonts w:ascii="Book Antiqua" w:eastAsia="Book Antiqua" w:hAnsi="Book Antiqua" w:cs="Book Antiqua"/>
          <w:color w:val="000000"/>
        </w:rPr>
        <w:t>,</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were significantly correlated with the prognosis of GC</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w:t>
      </w:r>
      <w:r>
        <w:rPr>
          <w:rStyle w:val="15"/>
          <w:rFonts w:ascii="Book Antiqua" w:eastAsia="Book Antiqua" w:hAnsi="Book Antiqua" w:cs="Book Antiqua"/>
          <w:i/>
          <w:iCs/>
          <w:color w:val="000000"/>
        </w:rPr>
        <w:t>P</w:t>
      </w:r>
      <w:r>
        <w:rPr>
          <w:rStyle w:val="15"/>
          <w:rFonts w:ascii="Book Antiqua" w:eastAsia="Book Antiqua" w:hAnsi="Book Antiqua" w:cs="Book Antiqua"/>
          <w:color w:val="000000"/>
        </w:rPr>
        <w:t xml:space="preserve"> &lt; 0.05), and </w:t>
      </w:r>
      <w:r>
        <w:rPr>
          <w:rStyle w:val="15"/>
          <w:rFonts w:ascii="Book Antiqua" w:eastAsia="Book Antiqua" w:hAnsi="Book Antiqua" w:cs="Book Antiqua"/>
          <w:i/>
          <w:iCs/>
          <w:color w:val="000000"/>
        </w:rPr>
        <w:t>DSTN</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FLNA</w:t>
      </w:r>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MYH10</w:t>
      </w:r>
      <w:r>
        <w:rPr>
          <w:rStyle w:val="15"/>
          <w:rFonts w:ascii="Book Antiqua" w:eastAsia="Book Antiqua" w:hAnsi="Book Antiqua" w:cs="Book Antiqua"/>
          <w:color w:val="000000"/>
        </w:rPr>
        <w:t>,</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and </w:t>
      </w:r>
      <w:r>
        <w:rPr>
          <w:rStyle w:val="15"/>
          <w:rFonts w:ascii="Book Antiqua" w:eastAsia="Book Antiqua" w:hAnsi="Book Antiqua" w:cs="Book Antiqua"/>
          <w:i/>
          <w:iCs/>
          <w:color w:val="000000"/>
        </w:rPr>
        <w:t>MYL6</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were risk factors for the prognosis of GC, while </w:t>
      </w:r>
      <w:r>
        <w:rPr>
          <w:rStyle w:val="15"/>
          <w:rFonts w:ascii="Book Antiqua" w:eastAsia="Book Antiqua" w:hAnsi="Book Antiqua" w:cs="Book Antiqua"/>
          <w:i/>
          <w:iCs/>
          <w:color w:val="000000"/>
        </w:rPr>
        <w:t>PDLIM1</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was a favorable factor for the prognosis of GC</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(Figure 2</w:t>
      </w:r>
      <w:r>
        <w:rPr>
          <w:rStyle w:val="15"/>
          <w:rFonts w:ascii="Book Antiqua" w:eastAsia="宋体" w:hAnsi="Book Antiqua" w:cs="Book Antiqua" w:hint="eastAsia"/>
          <w:color w:val="000000"/>
          <w:lang w:eastAsia="zh-CN"/>
        </w:rPr>
        <w:t>K</w:t>
      </w:r>
      <w:r>
        <w:rPr>
          <w:rStyle w:val="15"/>
          <w:rFonts w:ascii="Book Antiqua" w:eastAsia="Book Antiqua" w:hAnsi="Book Antiqua" w:cs="Book Antiqua"/>
          <w:color w:val="000000"/>
        </w:rPr>
        <w:t>).</w:t>
      </w:r>
    </w:p>
    <w:p w14:paraId="0EBA71CC" w14:textId="77777777" w:rsidR="00C62577" w:rsidRDefault="00C62577">
      <w:pPr>
        <w:adjustRightInd w:val="0"/>
        <w:snapToGrid w:val="0"/>
        <w:spacing w:line="360" w:lineRule="auto"/>
        <w:jc w:val="both"/>
        <w:rPr>
          <w:rFonts w:ascii="Book Antiqua" w:hAnsi="Book Antiqua" w:cs="Book Antiqua"/>
        </w:rPr>
      </w:pPr>
    </w:p>
    <w:p w14:paraId="21AC49E5"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Subtyping of the DRGs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and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 xml:space="preserve">nalysis </w:t>
      </w:r>
      <w:r>
        <w:rPr>
          <w:rFonts w:ascii="Book Antiqua" w:eastAsia="宋体" w:hAnsi="Book Antiqua" w:cs="Book Antiqua" w:hint="eastAsia"/>
          <w:b/>
          <w:bCs/>
          <w:i/>
          <w:iCs/>
          <w:color w:val="000000"/>
          <w:lang w:eastAsia="zh-CN"/>
        </w:rPr>
        <w:t>t</w:t>
      </w:r>
      <w:r>
        <w:rPr>
          <w:rFonts w:ascii="Book Antiqua" w:eastAsia="Book Antiqua" w:hAnsi="Book Antiqua" w:cs="Book Antiqua"/>
          <w:b/>
          <w:bCs/>
          <w:i/>
          <w:iCs/>
          <w:color w:val="000000"/>
        </w:rPr>
        <w:t>hrough</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GSVA, single-sample gene set enrichment analysis, GO, and KEGG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nalyses</w:t>
      </w:r>
    </w:p>
    <w:p w14:paraId="699BA52A"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Through clustering analysis of the DRG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samples, we found that the best way to divide the samples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into two subtypes, A and B (Figure 3A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D). Through survival analysis of the two subtypes, we found significant differences between the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3E), and through clustering heatmap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analysis, we found that most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upregulated in cluster A and downregulated in cluster B (Figure 3F). Using the GSVA package in R software, we performed KEGG pathway enrichment analysis on the DRG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subtyping samples and found that the significantly different pathways enriched in the two subtypes included glutamate and glutamine metabolism,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shd w:val="clear" w:color="auto" w:fill="FFFFFF"/>
        </w:rPr>
        <w:t>extracellular matrix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receptor interaction, the transforming growth factor-beta </w:t>
      </w:r>
      <w:r>
        <w:rPr>
          <w:rFonts w:ascii="Book Antiqua" w:eastAsia="宋体" w:hAnsi="Book Antiqua" w:cs="Book Antiqua" w:hint="eastAsia"/>
          <w:color w:val="000000"/>
          <w:lang w:eastAsia="zh-CN"/>
        </w:rPr>
        <w:t>(</w:t>
      </w:r>
      <w:r>
        <w:rPr>
          <w:rFonts w:ascii="Book Antiqua" w:eastAsia="Book Antiqua" w:hAnsi="Book Antiqua" w:cs="Book Antiqua"/>
          <w:color w:val="000000"/>
        </w:rPr>
        <w:t>TGF-β</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signaling pathway, and the pentose phosphate pathway (Figure 4A). Through GO functional enrichment analysis of the DRG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subtyping samples with the GSVA package in R, we found that the main enrichment was in the positive regulation of the transforming growth factor receptor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4B). We also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 significant differences in immune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such as activated CD4 T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activated CD8 T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between subtypes A and B, according to the analysis of the differences in immune cells between the subtypes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5A). Subtype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differential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led to the identification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282 significantly different co-expressed genes between subtypes A and B (Figure 5B</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C). Moreover,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GO analysis of these differentially expressed genes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revealed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that the enriched functions of these differentially expressed genes were mainly in the extracellular matrix tissue and negative regulation of the typical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(Figure 5D). KEGG analysis of these differentially expressed genes revealed that these genes were enriched in the TGF-β,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and MAPK signaling pathways, as well as in other pathways (Figure 5E).</w:t>
      </w:r>
    </w:p>
    <w:p w14:paraId="131C2755" w14:textId="77777777" w:rsidR="00C62577" w:rsidRDefault="00C62577">
      <w:pPr>
        <w:adjustRightInd w:val="0"/>
        <w:snapToGrid w:val="0"/>
        <w:spacing w:line="360" w:lineRule="auto"/>
        <w:jc w:val="both"/>
        <w:rPr>
          <w:rFonts w:ascii="Book Antiqua" w:hAnsi="Book Antiqua" w:cs="Book Antiqua"/>
        </w:rPr>
      </w:pPr>
    </w:p>
    <w:p w14:paraId="3A1DB102"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Classification and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orrelation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nalysis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of </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ignificant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ifferentially </w:t>
      </w:r>
      <w:r>
        <w:rPr>
          <w:rFonts w:ascii="Book Antiqua" w:eastAsia="宋体" w:hAnsi="Book Antiqua" w:cs="Book Antiqua" w:hint="eastAsia"/>
          <w:b/>
          <w:bCs/>
          <w:i/>
          <w:iCs/>
          <w:color w:val="000000"/>
          <w:lang w:eastAsia="zh-CN"/>
        </w:rPr>
        <w:t>e</w:t>
      </w:r>
      <w:r>
        <w:rPr>
          <w:rFonts w:ascii="Book Antiqua" w:eastAsia="Book Antiqua" w:hAnsi="Book Antiqua" w:cs="Book Antiqua"/>
          <w:b/>
          <w:bCs/>
          <w:i/>
          <w:iCs/>
          <w:color w:val="000000"/>
        </w:rPr>
        <w:t xml:space="preserve">xpressed </w:t>
      </w:r>
      <w:r>
        <w:rPr>
          <w:rFonts w:ascii="Book Antiqua" w:eastAsia="宋体" w:hAnsi="Book Antiqua" w:cs="Book Antiqua" w:hint="eastAsia"/>
          <w:b/>
          <w:bCs/>
          <w:i/>
          <w:iCs/>
          <w:color w:val="000000"/>
          <w:lang w:eastAsia="zh-CN"/>
        </w:rPr>
        <w:t>g</w:t>
      </w:r>
      <w:r>
        <w:rPr>
          <w:rFonts w:ascii="Book Antiqua" w:eastAsia="Book Antiqua" w:hAnsi="Book Antiqua" w:cs="Book Antiqua"/>
          <w:b/>
          <w:bCs/>
          <w:i/>
          <w:iCs/>
          <w:color w:val="000000"/>
        </w:rPr>
        <w:t xml:space="preserve">enes </w:t>
      </w:r>
      <w:r>
        <w:rPr>
          <w:rFonts w:ascii="Book Antiqua" w:eastAsia="宋体" w:hAnsi="Book Antiqua" w:cs="Book Antiqua" w:hint="eastAsia"/>
          <w:b/>
          <w:bCs/>
          <w:i/>
          <w:iCs/>
          <w:color w:val="000000"/>
          <w:lang w:eastAsia="zh-CN"/>
        </w:rPr>
        <w:t>o</w:t>
      </w:r>
      <w:r>
        <w:rPr>
          <w:rFonts w:ascii="Book Antiqua" w:eastAsia="Book Antiqua" w:hAnsi="Book Antiqua" w:cs="Book Antiqua"/>
          <w:b/>
          <w:bCs/>
          <w:i/>
          <w:iCs/>
          <w:color w:val="000000"/>
        </w:rPr>
        <w:t>btained</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from the </w:t>
      </w:r>
      <w:proofErr w:type="spellStart"/>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isulfidptosis</w:t>
      </w:r>
      <w:proofErr w:type="spellEnd"/>
      <w:r>
        <w:rPr>
          <w:rFonts w:ascii="Book Antiqua" w:eastAsia="Book Antiqua" w:hAnsi="Book Antiqua" w:cs="Book Antiqua"/>
          <w:b/>
          <w:bCs/>
          <w:i/>
          <w:iCs/>
          <w:color w:val="000000"/>
        </w:rPr>
        <w:t xml:space="preserve"> </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ubtype</w:t>
      </w:r>
      <w:r>
        <w:rPr>
          <w:rFonts w:ascii="Book Antiqua" w:eastAsia="宋体" w:hAnsi="Book Antiqua" w:cs="Book Antiqua" w:hint="eastAsia"/>
          <w:b/>
          <w:bCs/>
          <w:i/>
          <w:iCs/>
          <w:color w:val="000000"/>
          <w:lang w:eastAsia="zh-CN"/>
        </w:rPr>
        <w:t xml:space="preserve"> s</w:t>
      </w:r>
      <w:r>
        <w:rPr>
          <w:rFonts w:ascii="Book Antiqua" w:eastAsia="Book Antiqua" w:hAnsi="Book Antiqua" w:cs="Book Antiqua"/>
          <w:b/>
          <w:bCs/>
          <w:i/>
          <w:iCs/>
          <w:color w:val="000000"/>
        </w:rPr>
        <w:t>amples</w:t>
      </w:r>
    </w:p>
    <w:p w14:paraId="201C7E5C"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The related samples of differentially expressed genes were clustered into three subtypes (Figure 6A–D). Survival analysis showed that the prognosis of subtype C was different from that of subtypes A and B, with better prognosis for subtypes B and C (Figure 6E). Heatmap analysis showed that most samples in subtype C were upregulated, while most samples in subtype B were downregulated (Figure 6F). Differential expression analysis of the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different gene subtypes showed that the expression of the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different in subtypes A, B, and C, with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 0.05 (Figure 6G). We used the create</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ata</w:t>
      </w:r>
      <w:r>
        <w:rPr>
          <w:rFonts w:ascii="Book Antiqua" w:eastAsia="宋体" w:hAnsi="Book Antiqua" w:cs="Book Antiqua" w:hint="eastAsia"/>
          <w:color w:val="000000"/>
          <w:lang w:eastAsia="zh-CN"/>
        </w:rPr>
        <w:t xml:space="preserve"> p</w:t>
      </w:r>
      <w:r>
        <w:rPr>
          <w:rFonts w:ascii="Book Antiqua" w:eastAsia="Book Antiqua" w:hAnsi="Book Antiqua" w:cs="Book Antiqua"/>
          <w:color w:val="000000"/>
        </w:rPr>
        <w:t>artition package to randomly divide the samples into two groups of equal size, the training and testing groups. Then, using LASSO regression and Cox regression, we analyzed the training group samples and constructed a six-gene risk model based on the DRG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subtype: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isk score = (0.164102181511909* </w:t>
      </w:r>
      <w:r>
        <w:rPr>
          <w:rFonts w:ascii="Book Antiqua" w:eastAsia="Book Antiqua" w:hAnsi="Book Antiqua" w:cs="Book Antiqua"/>
          <w:i/>
          <w:iCs/>
          <w:color w:val="000000"/>
        </w:rPr>
        <w:t>PLS3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expression) + (0.079055019007862* </w:t>
      </w:r>
      <w:r>
        <w:rPr>
          <w:rFonts w:ascii="Book Antiqua" w:eastAsia="Book Antiqua" w:hAnsi="Book Antiqua" w:cs="Book Antiqua"/>
          <w:i/>
          <w:iCs/>
          <w:color w:val="000000"/>
        </w:rPr>
        <w:t>GRP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expression) + (0.0649967121599996*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expression) + (0.0920219139298833* </w:t>
      </w:r>
      <w:r>
        <w:rPr>
          <w:rFonts w:ascii="Book Antiqua" w:eastAsia="Book Antiqua" w:hAnsi="Book Antiqua" w:cs="Book Antiqua"/>
          <w:i/>
          <w:iCs/>
          <w:color w:val="000000"/>
        </w:rPr>
        <w:t>SGCE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expression) + (0.107438278125729* </w:t>
      </w:r>
      <w:r>
        <w:rPr>
          <w:rFonts w:ascii="Book Antiqua" w:eastAsia="Book Antiqua" w:hAnsi="Book Antiqua" w:cs="Book Antiqua"/>
          <w:i/>
          <w:iCs/>
          <w:color w:val="000000"/>
        </w:rPr>
        <w:t>COL8A1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expression) + (–0.0723643090076661* </w:t>
      </w:r>
      <w:r>
        <w:rPr>
          <w:rFonts w:ascii="Book Antiqua" w:eastAsia="Book Antiqua" w:hAnsi="Book Antiqua" w:cs="Book Antiqua"/>
          <w:i/>
          <w:iCs/>
          <w:color w:val="000000"/>
        </w:rPr>
        <w:t>VAMP7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expression) (Figure 6H</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I). The results of the risk model are shown in Supplementary Table 1. The Sankey diagram shows the distribution of samples among the different groups (Figure 7A). By evaluating the risk score for each group, we found significant differences in the risk between the groups (Figure 7B</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C). By evaluating the risk score for the DRGs, we found that the expression levels of 13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differed significantly between the high and low risk groups, with nine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genes showing higher expression in the high-risk group and four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genes showing higher expression in the low</w:t>
      </w:r>
      <w:r>
        <w:rPr>
          <w:rFonts w:ascii="Book Antiqua" w:eastAsia="宋体" w:hAnsi="Book Antiqua" w:cs="Book Antiqua" w:hint="eastAsia"/>
          <w:color w:val="000000"/>
          <w:lang w:eastAsia="zh-CN"/>
        </w:rPr>
        <w:t>-</w:t>
      </w:r>
      <w:r>
        <w:rPr>
          <w:rFonts w:ascii="Book Antiqua" w:eastAsia="Book Antiqua" w:hAnsi="Book Antiqua" w:cs="Book Antiqua"/>
          <w:color w:val="000000"/>
        </w:rPr>
        <w:t>risk group (Figure 7D).</w:t>
      </w:r>
    </w:p>
    <w:p w14:paraId="002840BB" w14:textId="77777777" w:rsidR="00C62577" w:rsidRDefault="00C62577">
      <w:pPr>
        <w:adjustRightInd w:val="0"/>
        <w:snapToGrid w:val="0"/>
        <w:spacing w:line="360" w:lineRule="auto"/>
        <w:jc w:val="both"/>
        <w:rPr>
          <w:rFonts w:ascii="Book Antiqua" w:hAnsi="Book Antiqua" w:cs="Book Antiqua"/>
        </w:rPr>
      </w:pPr>
    </w:p>
    <w:p w14:paraId="2347E6FB"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Validation </w:t>
      </w:r>
      <w:r>
        <w:rPr>
          <w:rFonts w:ascii="Book Antiqua" w:eastAsia="宋体" w:hAnsi="Book Antiqua" w:cs="Book Antiqua" w:hint="eastAsia"/>
          <w:b/>
          <w:bCs/>
          <w:i/>
          <w:iCs/>
          <w:color w:val="000000"/>
          <w:lang w:eastAsia="zh-CN"/>
        </w:rPr>
        <w:t>r</w:t>
      </w:r>
      <w:r>
        <w:rPr>
          <w:rFonts w:ascii="Book Antiqua" w:eastAsia="Book Antiqua" w:hAnsi="Book Antiqua" w:cs="Book Antiqua"/>
          <w:b/>
          <w:bCs/>
          <w:i/>
          <w:iCs/>
          <w:color w:val="000000"/>
        </w:rPr>
        <w:t>esults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of the </w:t>
      </w:r>
      <w:r>
        <w:rPr>
          <w:rFonts w:ascii="Book Antiqua" w:eastAsia="宋体" w:hAnsi="Book Antiqua" w:cs="Book Antiqua" w:hint="eastAsia"/>
          <w:b/>
          <w:bCs/>
          <w:i/>
          <w:iCs/>
          <w:color w:val="000000"/>
          <w:lang w:eastAsia="zh-CN"/>
        </w:rPr>
        <w:t>r</w:t>
      </w:r>
      <w:r>
        <w:rPr>
          <w:rFonts w:ascii="Book Antiqua" w:eastAsia="Book Antiqua" w:hAnsi="Book Antiqua" w:cs="Book Antiqua"/>
          <w:b/>
          <w:bCs/>
          <w:i/>
          <w:iCs/>
          <w:color w:val="000000"/>
        </w:rPr>
        <w:t xml:space="preserve">isk </w:t>
      </w:r>
      <w:r>
        <w:rPr>
          <w:rFonts w:ascii="Book Antiqua" w:eastAsia="宋体" w:hAnsi="Book Antiqua" w:cs="Book Antiqua" w:hint="eastAsia"/>
          <w:b/>
          <w:bCs/>
          <w:i/>
          <w:iCs/>
          <w:color w:val="000000"/>
          <w:lang w:eastAsia="zh-CN"/>
        </w:rPr>
        <w:t>m</w:t>
      </w:r>
      <w:r>
        <w:rPr>
          <w:rFonts w:ascii="Book Antiqua" w:eastAsia="Book Antiqua" w:hAnsi="Book Antiqua" w:cs="Book Antiqua"/>
          <w:b/>
          <w:bCs/>
          <w:i/>
          <w:iCs/>
          <w:color w:val="000000"/>
        </w:rPr>
        <w:t>odel</w:t>
      </w:r>
    </w:p>
    <w:p w14:paraId="1874E2A2"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next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used the risk model to score the differential gene-related samples mentioned above and then divided them into high- and low-risk groups for the overall, test set, and training set samples. We then performed survival, ROC, and risk analyses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each group. Survival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analysis of each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revealed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the high-risk group had poorer prognosis than the low-risk group (Figure 8A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 Through ROC curve analysis of each group, we found that the area under the curve values of the overall, training set, and </w:t>
      </w:r>
      <w:r>
        <w:rPr>
          <w:rFonts w:ascii="Book Antiqua" w:eastAsia="Book Antiqua" w:hAnsi="Book Antiqua" w:cs="Book Antiqua"/>
          <w:color w:val="000000"/>
        </w:rPr>
        <w:lastRenderedPageBreak/>
        <w:t>test set samples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1, 3, and 5 years were all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indicating the accuracy of the model in predicting survival prognosis (Figure 8D</w:t>
      </w:r>
      <w:r>
        <w:rPr>
          <w:rFonts w:ascii="Book Antiqua" w:eastAsia="宋体" w:hAnsi="Book Antiqua" w:cs="Book Antiqua" w:hint="eastAsia"/>
          <w:color w:val="000000"/>
          <w:lang w:eastAsia="zh-CN"/>
        </w:rPr>
        <w:t>-</w:t>
      </w:r>
      <w:r>
        <w:rPr>
          <w:rFonts w:ascii="Book Antiqua" w:eastAsia="Book Antiqua" w:hAnsi="Book Antiqua" w:cs="Book Antiqua"/>
          <w:color w:val="000000"/>
        </w:rPr>
        <w:t>F). Risk curve analysis of the total, training set, and test set samples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an increase in the number of deaths with an increase in the risk score. We also found that </w:t>
      </w:r>
      <w:r>
        <w:rPr>
          <w:rFonts w:ascii="Book Antiqua" w:eastAsia="Book Antiqua" w:hAnsi="Book Antiqua" w:cs="Book Antiqua"/>
          <w:i/>
          <w:iCs/>
          <w:color w:val="000000"/>
        </w:rPr>
        <w:t>VAMP7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a low-risk gene, while </w:t>
      </w:r>
      <w:r>
        <w:rPr>
          <w:rFonts w:ascii="Book Antiqua" w:eastAsia="Book Antiqua" w:hAnsi="Book Antiqua" w:cs="Book Antiqua"/>
          <w:i/>
          <w:iCs/>
          <w:color w:val="000000"/>
        </w:rPr>
        <w:t>PLS3</w:t>
      </w:r>
      <w:r>
        <w:rPr>
          <w:rFonts w:ascii="Book Antiqua" w:eastAsia="Book Antiqua" w:hAnsi="Book Antiqua" w:cs="Book Antiqua"/>
          <w:color w:val="000000"/>
        </w:rPr>
        <w:t xml:space="preserve">, </w:t>
      </w:r>
      <w:r>
        <w:rPr>
          <w:rFonts w:ascii="Book Antiqua" w:eastAsia="Book Antiqua" w:hAnsi="Book Antiqua" w:cs="Book Antiqua"/>
          <w:i/>
          <w:iCs/>
          <w:color w:val="000000"/>
        </w:rPr>
        <w:t>GRP</w:t>
      </w:r>
      <w:r>
        <w:rPr>
          <w:rFonts w:ascii="Book Antiqua" w:eastAsia="Book Antiqua" w:hAnsi="Book Antiqua" w:cs="Book Antiqua"/>
          <w:color w:val="000000"/>
        </w:rPr>
        <w:t xml:space="preserve">, </w:t>
      </w:r>
      <w:r>
        <w:rPr>
          <w:rFonts w:ascii="Book Antiqua" w:eastAsia="Book Antiqua" w:hAnsi="Book Antiqua" w:cs="Book Antiqua"/>
          <w:i/>
          <w:iCs/>
          <w:color w:val="000000"/>
        </w:rPr>
        <w:t>APOD</w:t>
      </w:r>
      <w:r>
        <w:rPr>
          <w:rFonts w:ascii="Book Antiqua" w:eastAsia="Book Antiqua" w:hAnsi="Book Antiqua" w:cs="Book Antiqua"/>
          <w:color w:val="000000"/>
        </w:rPr>
        <w:t xml:space="preserve">, </w:t>
      </w:r>
      <w:r>
        <w:rPr>
          <w:rFonts w:ascii="Book Antiqua" w:eastAsia="Book Antiqua" w:hAnsi="Book Antiqua" w:cs="Book Antiqua"/>
          <w:i/>
          <w:iCs/>
          <w:color w:val="000000"/>
        </w:rPr>
        <w:t>SGCE</w:t>
      </w:r>
      <w:r>
        <w:rPr>
          <w:rFonts w:ascii="Book Antiqua" w:eastAsia="Book Antiqua" w:hAnsi="Book Antiqua" w:cs="Book Antiqua"/>
          <w:color w:val="000000"/>
        </w:rPr>
        <w:t xml:space="preserve">, and </w:t>
      </w:r>
      <w:r>
        <w:rPr>
          <w:rFonts w:ascii="Book Antiqua" w:eastAsia="Book Antiqua" w:hAnsi="Book Antiqua" w:cs="Book Antiqua"/>
          <w:i/>
          <w:iCs/>
          <w:color w:val="000000"/>
        </w:rPr>
        <w:t>COL8A1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high-risk genes through heatmap analysis (Figure 8G</w:t>
      </w:r>
      <w:r>
        <w:rPr>
          <w:rFonts w:ascii="Book Antiqua" w:eastAsia="宋体" w:hAnsi="Book Antiqua" w:cs="Book Antiqua" w:hint="eastAsia"/>
          <w:color w:val="000000"/>
          <w:lang w:eastAsia="zh-CN"/>
        </w:rPr>
        <w:t>-</w:t>
      </w:r>
      <w:r>
        <w:rPr>
          <w:rFonts w:ascii="Book Antiqua" w:eastAsia="Book Antiqua" w:hAnsi="Book Antiqua" w:cs="Book Antiqua"/>
          <w:color w:val="000000"/>
        </w:rPr>
        <w:t>O). Comparison of the results of survival, ROC, and risk analyses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among various groups showed that the results were consistent, indicating the accuracy of this risk model in predicting the prognosis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GC.</w:t>
      </w:r>
    </w:p>
    <w:p w14:paraId="57273299" w14:textId="77777777" w:rsidR="00C62577" w:rsidRDefault="00C62577">
      <w:pPr>
        <w:adjustRightInd w:val="0"/>
        <w:snapToGrid w:val="0"/>
        <w:spacing w:line="360" w:lineRule="auto"/>
        <w:jc w:val="both"/>
        <w:rPr>
          <w:rFonts w:ascii="Book Antiqua" w:hAnsi="Book Antiqua" w:cs="Book Antiqua"/>
        </w:rPr>
      </w:pPr>
    </w:p>
    <w:p w14:paraId="15CCF7F1"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Identification of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otential </w:t>
      </w:r>
      <w:r>
        <w:rPr>
          <w:rFonts w:ascii="Book Antiqua" w:eastAsia="宋体" w:hAnsi="Book Antiqua" w:cs="Book Antiqua" w:hint="eastAsia"/>
          <w:b/>
          <w:bCs/>
          <w:i/>
          <w:iCs/>
          <w:color w:val="000000"/>
          <w:lang w:eastAsia="zh-CN"/>
        </w:rPr>
        <w:t>t</w:t>
      </w:r>
      <w:r>
        <w:rPr>
          <w:rFonts w:ascii="Book Antiqua" w:eastAsia="Book Antiqua" w:hAnsi="Book Antiqua" w:cs="Book Antiqua"/>
          <w:b/>
          <w:bCs/>
          <w:i/>
          <w:iCs/>
          <w:color w:val="000000"/>
        </w:rPr>
        <w:t xml:space="preserve">herapeutic </w:t>
      </w:r>
      <w:r>
        <w:rPr>
          <w:rFonts w:ascii="Book Antiqua" w:eastAsia="宋体" w:hAnsi="Book Antiqua" w:cs="Book Antiqua" w:hint="eastAsia"/>
          <w:b/>
          <w:bCs/>
          <w:i/>
          <w:iCs/>
          <w:color w:val="000000"/>
          <w:lang w:eastAsia="zh-CN"/>
        </w:rPr>
        <w:t>t</w:t>
      </w:r>
      <w:r>
        <w:rPr>
          <w:rFonts w:ascii="Book Antiqua" w:eastAsia="Book Antiqua" w:hAnsi="Book Antiqua" w:cs="Book Antiqua"/>
          <w:b/>
          <w:bCs/>
          <w:i/>
          <w:iCs/>
          <w:color w:val="000000"/>
        </w:rPr>
        <w:t xml:space="preserve">argets by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onstructing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olumn </w:t>
      </w:r>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 xml:space="preserve">ine </w:t>
      </w:r>
      <w:r>
        <w:rPr>
          <w:rFonts w:ascii="Book Antiqua" w:eastAsia="宋体" w:hAnsi="Book Antiqua" w:cs="Book Antiqua" w:hint="eastAsia"/>
          <w:b/>
          <w:bCs/>
          <w:i/>
          <w:iCs/>
          <w:color w:val="000000"/>
          <w:lang w:eastAsia="zh-CN"/>
        </w:rPr>
        <w:t>g</w:t>
      </w:r>
      <w:r>
        <w:rPr>
          <w:rFonts w:ascii="Book Antiqua" w:eastAsia="Book Antiqua" w:hAnsi="Book Antiqua" w:cs="Book Antiqua"/>
          <w:b/>
          <w:bCs/>
          <w:i/>
          <w:iCs/>
          <w:color w:val="000000"/>
        </w:rPr>
        <w:t xml:space="preserve">raphs and </w:t>
      </w:r>
      <w:r>
        <w:rPr>
          <w:rFonts w:ascii="Book Antiqua" w:eastAsia="宋体" w:hAnsi="Book Antiqua" w:cs="Book Antiqua" w:hint="eastAsia"/>
          <w:b/>
          <w:bCs/>
          <w:i/>
          <w:iCs/>
          <w:color w:val="000000"/>
          <w:lang w:eastAsia="zh-CN"/>
        </w:rPr>
        <w:t>i</w:t>
      </w:r>
      <w:r>
        <w:rPr>
          <w:rFonts w:ascii="Book Antiqua" w:eastAsia="Book Antiqua" w:hAnsi="Book Antiqua" w:cs="Book Antiqua"/>
          <w:b/>
          <w:bCs/>
          <w:i/>
          <w:iCs/>
          <w:color w:val="000000"/>
        </w:rPr>
        <w:t xml:space="preserve">mmune and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rug </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ensitivity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nalyses</w:t>
      </w:r>
    </w:p>
    <w:p w14:paraId="7350A2A7"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found that </w:t>
      </w:r>
      <w:r>
        <w:rPr>
          <w:rFonts w:ascii="Book Antiqua" w:eastAsia="Book Antiqua" w:hAnsi="Book Antiqua" w:cs="Book Antiqua"/>
          <w:i/>
          <w:iCs/>
          <w:color w:val="000000"/>
        </w:rPr>
        <w:t>APOD</w:t>
      </w:r>
      <w:r>
        <w:rPr>
          <w:rFonts w:ascii="Book Antiqua" w:eastAsia="Book Antiqua" w:hAnsi="Book Antiqua" w:cs="Book Antiqua"/>
          <w:color w:val="000000"/>
        </w:rPr>
        <w:t xml:space="preserve">, </w:t>
      </w:r>
      <w:r>
        <w:rPr>
          <w:rFonts w:ascii="Book Antiqua" w:eastAsia="Book Antiqua" w:hAnsi="Book Antiqua" w:cs="Book Antiqua"/>
          <w:i/>
          <w:iCs/>
          <w:color w:val="000000"/>
        </w:rPr>
        <w:t>PLS3</w:t>
      </w:r>
      <w:r>
        <w:rPr>
          <w:rFonts w:ascii="Book Antiqua" w:eastAsia="Book Antiqua" w:hAnsi="Book Antiqua" w:cs="Book Antiqua"/>
          <w:color w:val="000000"/>
        </w:rPr>
        <w:t>, age, sex, and N staging 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independent factors that impact patient prognosis, all of which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 risk factors for the prognosis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GC. The odds of patients surviving for 1, 3, and 5 years are 0.806, 0.527, and 0.39, respectively (Figure 9A). The correction curve shows that the predicted value of the model is close to the actual value (Figure 9B). Through immune cell analysis, we found that resting mast cells and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significantly positively correlated. Moreover,</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PLS3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significantly positively correlated with resting mast cells (Figure 9C). We also conducted survival analysis on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PLS3</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by</w:t>
      </w:r>
      <w:r>
        <w:rPr>
          <w:rFonts w:ascii="Book Antiqua" w:eastAsia="Book Antiqua" w:hAnsi="Book Antiqua" w:cs="Book Antiqua"/>
          <w:i/>
          <w:iCs/>
          <w:color w:val="000000"/>
        </w:rPr>
        <w:t xml:space="preserve"> </w:t>
      </w:r>
      <w:r>
        <w:rPr>
          <w:rFonts w:ascii="Book Antiqua" w:eastAsia="Book Antiqua" w:hAnsi="Book Antiqua" w:cs="Book Antiqua"/>
          <w:color w:val="000000"/>
        </w:rPr>
        <w:t>GEPIA, which were found to have independent effects on the prognosis of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through column line graph analysis, and found that the survival analysis of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showed significant differences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9D), while the survival analysis of </w:t>
      </w:r>
      <w:r>
        <w:rPr>
          <w:rFonts w:ascii="Book Antiqua" w:eastAsia="Book Antiqua" w:hAnsi="Book Antiqua" w:cs="Book Antiqua"/>
          <w:i/>
          <w:iCs/>
          <w:color w:val="000000"/>
        </w:rPr>
        <w:t>PLS3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did not indicate the presence of significant differences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 0.05) (Figure 9E). In the relationship analysis between immune cells and risk scores, we found that 13 types of immune cells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significantly correlated with risk scores (Figure 10). Through TME scoring, we found differences between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 and low risk groups in terms of the Stromal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Score and ESTIMATE Score, both of which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upregulated in the high-risk group (Figure 11A). The waterfall chart shows that the genes that undergo mutations in the high-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low-risk groups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consistent, while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probability of mutations occurring in the low-risk group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lastRenderedPageBreak/>
        <w:t>higher than that in the high-risk group (Figure 11B</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C). Through TMB analysis, we found significant differences between the high-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low-risk groups, as well as a negative correlation between TMB and risk scores (Figure 11D</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E). Through microsatellite instability analysis, we found significant differences between the microsatellite stability and MSI</w:t>
      </w:r>
      <w:r>
        <w:rPr>
          <w:rFonts w:ascii="Book Antiqua" w:eastAsia="Book Antiqua" w:hAnsi="Book Antiqua" w:cs="Book Antiqua"/>
          <w:color w:val="000000"/>
          <w:shd w:val="clear" w:color="auto" w:fill="FFFFFF"/>
        </w:rPr>
        <w:t>-high</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MSI-H)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groups, as well 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between the MSI-H and MSI</w:t>
      </w:r>
      <w:r>
        <w:rPr>
          <w:rFonts w:ascii="Book Antiqua" w:eastAsia="Book Antiqua" w:hAnsi="Book Antiqua" w:cs="Book Antiqua"/>
          <w:color w:val="000000"/>
          <w:shd w:val="clear" w:color="auto" w:fill="FFFFFF"/>
        </w:rPr>
        <w:t>-low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groups. The risk value of the MSI-H group is the lowest, and the proportion of stable samples in the high-risk group is as high as 71% (Figure 11F</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G). Stem cell correlation analysis shows that RNA stemness scores (</w:t>
      </w:r>
      <w:proofErr w:type="spellStart"/>
      <w:r>
        <w:rPr>
          <w:rFonts w:ascii="Book Antiqua" w:eastAsia="Book Antiqua" w:hAnsi="Book Antiqua" w:cs="Book Antiqua"/>
          <w:color w:val="000000"/>
        </w:rPr>
        <w:t>RNAss</w:t>
      </w:r>
      <w:proofErr w:type="spellEnd"/>
      <w:r>
        <w:rPr>
          <w:rFonts w:ascii="Book Antiqua" w:eastAsia="Book Antiqua" w:hAnsi="Book Antiqua" w:cs="Book Antiqua"/>
          <w:color w:val="000000"/>
        </w:rPr>
        <w:t>) is negatively correlated with risk scores (Figure 11H). Finally, drug analysis showed significant differences in the sensitivity of 89 drugs, including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Bosutinib and </w:t>
      </w:r>
      <w:proofErr w:type="spellStart"/>
      <w:r>
        <w:rPr>
          <w:rFonts w:ascii="Book Antiqua" w:eastAsia="Book Antiqua" w:hAnsi="Book Antiqua" w:cs="Book Antiqua"/>
          <w:color w:val="000000"/>
        </w:rPr>
        <w:t>Bryostatin</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11I</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J), between high-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low-risk groups.</w:t>
      </w:r>
    </w:p>
    <w:p w14:paraId="777CD328" w14:textId="77777777" w:rsidR="00C62577" w:rsidRDefault="00C62577">
      <w:pPr>
        <w:adjustRightInd w:val="0"/>
        <w:snapToGrid w:val="0"/>
        <w:spacing w:line="360" w:lineRule="auto"/>
        <w:jc w:val="both"/>
        <w:rPr>
          <w:rFonts w:ascii="Book Antiqua" w:hAnsi="Book Antiqua" w:cs="Book Antiqua"/>
        </w:rPr>
      </w:pPr>
    </w:p>
    <w:p w14:paraId="0ABD945B" w14:textId="77777777" w:rsidR="00C62577"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Immunohistochemical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nalysis</w:t>
      </w:r>
    </w:p>
    <w:p w14:paraId="25F10D0D"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Through the HPA network database, immunohistochemical analysis of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revealed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that the protein expression level of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tissues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significantly higher than that in normal tissues adjacent to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12).</w:t>
      </w:r>
    </w:p>
    <w:p w14:paraId="2B8E62B9" w14:textId="77777777" w:rsidR="00C62577" w:rsidRDefault="00C62577">
      <w:pPr>
        <w:adjustRightInd w:val="0"/>
        <w:snapToGrid w:val="0"/>
        <w:spacing w:line="360" w:lineRule="auto"/>
        <w:jc w:val="both"/>
        <w:rPr>
          <w:rFonts w:ascii="Book Antiqua" w:hAnsi="Book Antiqua" w:cs="Book Antiqua"/>
        </w:rPr>
      </w:pPr>
    </w:p>
    <w:p w14:paraId="106E1320"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69E063C7"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occurrence and development of GC 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complex pathological processes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involving the activation and alteration of multiple genes and signaling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Previous studies have shown that the expression of certain genes in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tissue and normal gastric tissue can </w:t>
      </w:r>
      <w:proofErr w:type="gramStart"/>
      <w:r>
        <w:rPr>
          <w:rFonts w:ascii="Book Antiqua" w:eastAsia="Book Antiqua" w:hAnsi="Book Antiqua" w:cs="Book Antiqua"/>
          <w:color w:val="000000"/>
        </w:rPr>
        <w:t>vary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In this study, we analyzed the differential expression of 10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between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tissue and adjacent normal tissue and found significant differences between the two. By analyzing the mutation waterfall plot and mutation frequency plot of DRGs, we observed that most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mutated in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tissue, further indicating that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are differentially expressed in cancer tissue. Previous studies have found that high expression of the sulfide death gene </w:t>
      </w:r>
      <w:r>
        <w:rPr>
          <w:rFonts w:ascii="Book Antiqua" w:eastAsia="Book Antiqua" w:hAnsi="Book Antiqua" w:cs="Book Antiqua"/>
          <w:i/>
          <w:iCs/>
          <w:color w:val="000000"/>
        </w:rPr>
        <w:t>PDLIM1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inhibit the proliferation, invasion,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migration of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cells, promote apoptosis, and enhance their sensitivity to </w:t>
      </w:r>
      <w:proofErr w:type="gramStart"/>
      <w:r>
        <w:rPr>
          <w:rFonts w:ascii="Book Antiqua" w:eastAsia="Book Antiqua" w:hAnsi="Book Antiqua" w:cs="Book Antiqua"/>
          <w:color w:val="000000"/>
        </w:rPr>
        <w:t>cisplatin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has also been found that the high expression of </w:t>
      </w:r>
      <w:r>
        <w:rPr>
          <w:rFonts w:ascii="Book Antiqua" w:eastAsia="Book Antiqua" w:hAnsi="Book Antiqua" w:cs="Book Antiqua"/>
          <w:i/>
          <w:iCs/>
          <w:color w:val="000000"/>
        </w:rPr>
        <w:t>FLNA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can lead to low </w:t>
      </w:r>
      <w:r>
        <w:rPr>
          <w:rFonts w:ascii="Book Antiqua" w:eastAsia="Book Antiqua" w:hAnsi="Book Antiqua" w:cs="Book Antiqua"/>
          <w:color w:val="000000"/>
        </w:rPr>
        <w:lastRenderedPageBreak/>
        <w:t>survival rate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migration and invasion energy of GC</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Additionally,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sulfide death gene </w:t>
      </w:r>
      <w:r>
        <w:rPr>
          <w:rFonts w:ascii="Book Antiqua" w:eastAsia="Book Antiqua" w:hAnsi="Book Antiqua" w:cs="Book Antiqua"/>
          <w:i/>
          <w:iCs/>
          <w:color w:val="000000"/>
        </w:rPr>
        <w:t>MYH10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be related to the occurrence, development,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drug resistance of ovarian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70</w:t>
      </w:r>
      <w:r>
        <w:rPr>
          <w:rFonts w:ascii="Book Antiqua" w:eastAsia="Book Antiqua" w:hAnsi="Book Antiqua" w:cs="Book Antiqua"/>
          <w:color w:val="000000"/>
          <w:vertAlign w:val="superscript"/>
        </w:rPr>
        <w:t>]</w:t>
      </w:r>
      <w:r>
        <w:rPr>
          <w:rFonts w:ascii="Book Antiqua" w:eastAsia="Book Antiqua" w:hAnsi="Book Antiqua" w:cs="Book Antiqua"/>
          <w:color w:val="000000"/>
        </w:rPr>
        <w:t>, but its role in GC requires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further exploration. Moreover,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previous studies have revealed that </w:t>
      </w:r>
      <w:r>
        <w:rPr>
          <w:rFonts w:ascii="Book Antiqua" w:eastAsia="Book Antiqua" w:hAnsi="Book Antiqua" w:cs="Book Antiqua"/>
          <w:i/>
          <w:iCs/>
          <w:color w:val="000000"/>
        </w:rPr>
        <w:t>DSTN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increases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colony formation and migration ability of tumor cells when highly </w:t>
      </w:r>
      <w:proofErr w:type="gramStart"/>
      <w:r>
        <w:rPr>
          <w:rFonts w:ascii="Book Antiqua" w:eastAsia="Book Antiqua" w:hAnsi="Book Antiqua" w:cs="Book Antiqua"/>
          <w:color w:val="000000"/>
        </w:rPr>
        <w:t>expressed</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71</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its relationship with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prognosis requires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further study. Study on</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MYL6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revealed possible impacts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migration of melanoma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72</w:t>
      </w:r>
      <w:r>
        <w:rPr>
          <w:rFonts w:ascii="Book Antiqua" w:eastAsia="Book Antiqua" w:hAnsi="Book Antiqua" w:cs="Book Antiqua"/>
          <w:color w:val="000000"/>
          <w:vertAlign w:val="superscript"/>
        </w:rPr>
        <w:t>]</w:t>
      </w:r>
      <w:r>
        <w:rPr>
          <w:rFonts w:ascii="Book Antiqua" w:eastAsia="Book Antiqua" w:hAnsi="Book Antiqua" w:cs="Book Antiqua"/>
          <w:color w:val="000000"/>
        </w:rPr>
        <w:t>, but its relationship with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needs further study. In this study, we found that </w:t>
      </w:r>
      <w:r>
        <w:rPr>
          <w:rFonts w:ascii="Book Antiqua" w:eastAsia="Book Antiqua" w:hAnsi="Book Antiqua" w:cs="Book Antiqua"/>
          <w:i/>
          <w:iCs/>
          <w:color w:val="000000"/>
        </w:rPr>
        <w:t>PDLIM1</w:t>
      </w:r>
      <w:r>
        <w:rPr>
          <w:rFonts w:ascii="Book Antiqua" w:eastAsia="Book Antiqua" w:hAnsi="Book Antiqua" w:cs="Book Antiqua"/>
          <w:color w:val="000000"/>
        </w:rPr>
        <w:t xml:space="preserve">, </w:t>
      </w:r>
      <w:r>
        <w:rPr>
          <w:rFonts w:ascii="Book Antiqua" w:eastAsia="Book Antiqua" w:hAnsi="Book Antiqua" w:cs="Book Antiqua"/>
          <w:i/>
          <w:iCs/>
          <w:color w:val="000000"/>
        </w:rPr>
        <w:t>FLNA</w:t>
      </w:r>
      <w:r>
        <w:rPr>
          <w:rFonts w:ascii="Book Antiqua" w:eastAsia="Book Antiqua" w:hAnsi="Book Antiqua" w:cs="Book Antiqua"/>
          <w:color w:val="000000"/>
        </w:rPr>
        <w:t xml:space="preserve">, </w:t>
      </w:r>
      <w:r>
        <w:rPr>
          <w:rFonts w:ascii="Book Antiqua" w:eastAsia="Book Antiqua" w:hAnsi="Book Antiqua" w:cs="Book Antiqua"/>
          <w:i/>
          <w:iCs/>
          <w:color w:val="000000"/>
        </w:rPr>
        <w:t>MYH10</w:t>
      </w:r>
      <w:r>
        <w:rPr>
          <w:rFonts w:ascii="Book Antiqua" w:eastAsia="Book Antiqua" w:hAnsi="Book Antiqua" w:cs="Book Antiqua"/>
          <w:color w:val="000000"/>
        </w:rPr>
        <w:t xml:space="preserve">, </w:t>
      </w:r>
      <w:r>
        <w:rPr>
          <w:rFonts w:ascii="Book Antiqua" w:eastAsia="Book Antiqua" w:hAnsi="Book Antiqua" w:cs="Book Antiqua"/>
          <w:i/>
          <w:iCs/>
          <w:color w:val="000000"/>
        </w:rPr>
        <w:t>MYL6</w:t>
      </w:r>
      <w:r>
        <w:rPr>
          <w:rFonts w:ascii="Book Antiqua" w:eastAsia="Book Antiqua" w:hAnsi="Book Antiqua" w:cs="Book Antiqua"/>
          <w:color w:val="000000"/>
        </w:rPr>
        <w:t xml:space="preserve">, and </w:t>
      </w:r>
      <w:r>
        <w:rPr>
          <w:rFonts w:ascii="Book Antiqua" w:eastAsia="Book Antiqua" w:hAnsi="Book Antiqua" w:cs="Book Antiqua"/>
          <w:i/>
          <w:iCs/>
          <w:color w:val="000000"/>
        </w:rPr>
        <w:t>DSTN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 significantly associated with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prognosis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among which,</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DSTN</w:t>
      </w:r>
      <w:r>
        <w:rPr>
          <w:rFonts w:ascii="Book Antiqua" w:eastAsia="Book Antiqua" w:hAnsi="Book Antiqua" w:cs="Book Antiqua"/>
          <w:color w:val="000000"/>
        </w:rPr>
        <w:t xml:space="preserve">, </w:t>
      </w:r>
      <w:r>
        <w:rPr>
          <w:rFonts w:ascii="Book Antiqua" w:eastAsia="Book Antiqua" w:hAnsi="Book Antiqua" w:cs="Book Antiqua"/>
          <w:i/>
          <w:iCs/>
          <w:color w:val="000000"/>
        </w:rPr>
        <w:t>FLNA</w:t>
      </w:r>
      <w:r>
        <w:rPr>
          <w:rFonts w:ascii="Book Antiqua" w:eastAsia="Book Antiqua" w:hAnsi="Book Antiqua" w:cs="Book Antiqua"/>
          <w:color w:val="000000"/>
        </w:rPr>
        <w:t xml:space="preserve">, </w:t>
      </w:r>
      <w:r>
        <w:rPr>
          <w:rFonts w:ascii="Book Antiqua" w:eastAsia="Book Antiqua" w:hAnsi="Book Antiqua" w:cs="Book Antiqua"/>
          <w:i/>
          <w:iCs/>
          <w:color w:val="000000"/>
        </w:rPr>
        <w:t>MYH10</w:t>
      </w:r>
      <w:r>
        <w:rPr>
          <w:rFonts w:ascii="Book Antiqua" w:eastAsia="Book Antiqua" w:hAnsi="Book Antiqua" w:cs="Book Antiqua"/>
          <w:color w:val="000000"/>
        </w:rPr>
        <w:t xml:space="preserve">, and </w:t>
      </w:r>
      <w:r>
        <w:rPr>
          <w:rFonts w:ascii="Book Antiqua" w:eastAsia="Book Antiqua" w:hAnsi="Book Antiqua" w:cs="Book Antiqua"/>
          <w:i/>
          <w:iCs/>
          <w:color w:val="000000"/>
        </w:rPr>
        <w:t>MYL6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 risk factors for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prognosis, while </w:t>
      </w:r>
      <w:r>
        <w:rPr>
          <w:rFonts w:ascii="Book Antiqua" w:eastAsia="Book Antiqua" w:hAnsi="Book Antiqua" w:cs="Book Antiqua"/>
          <w:i/>
          <w:iCs/>
          <w:color w:val="000000"/>
        </w:rPr>
        <w:t>PDLIM1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 protective factor for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prognosis. Our study further demonstrates the impact of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prognosis.</w:t>
      </w:r>
    </w:p>
    <w:p w14:paraId="6060A920" w14:textId="77777777" w:rsidR="00C62577"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Our results revealed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significant pathway and functional differences, as well as significantly different KEGG and GO pathways and functions between the two subtypes of </w:t>
      </w:r>
      <w:proofErr w:type="spellStart"/>
      <w:r>
        <w:rPr>
          <w:rFonts w:ascii="Book Antiqua" w:eastAsia="Book Antiqua" w:hAnsi="Book Antiqua" w:cs="Book Antiqua"/>
          <w:color w:val="000000"/>
        </w:rPr>
        <w:t>disulfidptosis</w:t>
      </w:r>
      <w:proofErr w:type="spellEnd"/>
      <w:r>
        <w:rPr>
          <w:rFonts w:ascii="Book Antiqua" w:eastAsia="Book Antiqua" w:hAnsi="Book Antiqua" w:cs="Book Antiqua"/>
          <w:color w:val="000000"/>
        </w:rPr>
        <w:t xml:space="preserve">, mainly enriched in amino acid metabolism, TGF-β signaling pathway, pentose phosphate pathway,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and MAPK signaling pathway, among others. These functions and pathways may be related to the presence of GC. Indeed, previous studies have found that the TGF-β signaling pathway may be involved in the occurrence, invasion, proliferation, and metastasis of GC, affecting the prognosis of patients with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73-77]</w:t>
      </w:r>
      <w:r>
        <w:rPr>
          <w:rFonts w:ascii="Book Antiqua" w:eastAsia="Book Antiqua" w:hAnsi="Book Antiqua" w:cs="Book Antiqua"/>
          <w:color w:val="000000"/>
        </w:rPr>
        <w:t>. Furthermore, some studies have suggested that the pentose phosphate pathway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be related to the proliferation of GC</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Previous studies have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also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found that the MAPK signaling pathway may also be involved in the occurrence, invasion, proliferation, and metastasis of GC, affecting the prognosis of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79-87]</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Additionally, some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studies have found that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may be involved in the metastasis, migration, invasion, and progression of GC, affecting the prognosis of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88-94]</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current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study, 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also found differences in immune cell infiltration between the subgroups of </w:t>
      </w:r>
      <w:proofErr w:type="spellStart"/>
      <w:r>
        <w:rPr>
          <w:rFonts w:ascii="Book Antiqua" w:eastAsia="Book Antiqua" w:hAnsi="Book Antiqua" w:cs="Book Antiqua"/>
          <w:color w:val="000000"/>
        </w:rPr>
        <w:t>disulfidptosis</w:t>
      </w:r>
      <w:proofErr w:type="spellEnd"/>
      <w:r>
        <w:rPr>
          <w:rFonts w:ascii="Book Antiqua" w:eastAsia="Book Antiqua" w:hAnsi="Book Antiqua" w:cs="Book Antiqua"/>
          <w:color w:val="000000"/>
        </w:rPr>
        <w:t xml:space="preserve"> gene typing. Taken together, these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findings and research suggest that DRGs affect various aspects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GC, including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amino acid metabolism, various signaling pathways, and immune cell </w:t>
      </w:r>
      <w:r>
        <w:rPr>
          <w:rFonts w:ascii="Book Antiqua" w:eastAsia="Book Antiqua" w:hAnsi="Book Antiqua" w:cs="Book Antiqua"/>
          <w:color w:val="000000"/>
        </w:rPr>
        <w:lastRenderedPageBreak/>
        <w:t>infiltration, all of which may affect the survival or prognosis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GC; however,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specific mechanisms and functions need to be further explored.</w:t>
      </w:r>
    </w:p>
    <w:p w14:paraId="774516AD" w14:textId="77777777" w:rsidR="00C62577"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study, 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used a risk model to score differentially expressed genes in overall, training set, and testing set samples, dividing them into high- and low-risk groups. Survival, ROC, and risk analyses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conducted for each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results showed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the high-risk group had a poorer prognosis than the low-risk group in all groups, and the result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trend was consistent, further demonstrating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reliability of the model.</w:t>
      </w:r>
    </w:p>
    <w:p w14:paraId="3083D3D3" w14:textId="77777777" w:rsidR="00C62577"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Through column line chart analysis, we revealed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that </w:t>
      </w:r>
      <w:r>
        <w:rPr>
          <w:rFonts w:ascii="Book Antiqua" w:eastAsia="Book Antiqua" w:hAnsi="Book Antiqua" w:cs="Book Antiqua"/>
          <w:i/>
          <w:iCs/>
          <w:color w:val="000000"/>
        </w:rPr>
        <w:t>APOD</w:t>
      </w:r>
      <w:r>
        <w:rPr>
          <w:rFonts w:ascii="Book Antiqua" w:eastAsia="Book Antiqua" w:hAnsi="Book Antiqua" w:cs="Book Antiqua"/>
          <w:color w:val="000000"/>
        </w:rPr>
        <w:t xml:space="preserve">, </w:t>
      </w:r>
      <w:r>
        <w:rPr>
          <w:rFonts w:ascii="Book Antiqua" w:eastAsia="Book Antiqua" w:hAnsi="Book Antiqua" w:cs="Book Antiqua"/>
          <w:i/>
          <w:iCs/>
          <w:color w:val="000000"/>
        </w:rPr>
        <w:t>PLS3</w:t>
      </w:r>
      <w:r>
        <w:rPr>
          <w:rFonts w:ascii="Book Antiqua" w:eastAsia="Book Antiqua" w:hAnsi="Book Antiqua" w:cs="Book Antiqua"/>
          <w:color w:val="000000"/>
        </w:rPr>
        <w:t>, age, sex, and N stage represent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independent risk factors affecting patient prognosis, all of which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 risk factors for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prognosis. Through column line chart analysis, we observed that the survival rates of patients at 1, 3, and 5 years gradually decreased, with rates of 0.806, 0.527, and 0.39, respectively; this is consistent with the trend of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5-year survival rates in previous studies on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further confirming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reliability of the prognostic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w:t>
      </w:r>
      <w:r>
        <w:rPr>
          <w:rFonts w:ascii="Book Antiqua" w:eastAsia="Book Antiqua" w:hAnsi="Book Antiqua" w:cs="Book Antiqua"/>
          <w:color w:val="000000"/>
        </w:rPr>
        <w:t xml:space="preserve">. Additionally, we found that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represents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 independent prognostic factor for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this model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Previous studies on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have found that it may be involved in the construction of multiple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prognostic and immune prediction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96-103]</w:t>
      </w:r>
      <w:r>
        <w:rPr>
          <w:rFonts w:ascii="Book Antiqua" w:eastAsia="Book Antiqua" w:hAnsi="Book Antiqua" w:cs="Book Antiqua"/>
          <w:color w:val="000000"/>
        </w:rPr>
        <w:t>, which may be related to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prognosis. In this study, we further analyzed the protein encoded by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HPA network database through immunohistochemical analysis and found that its protein expression level in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tissues was significantly higher than that in adjacent normal tissues, further indicating significant differences in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between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tissues and adjacent normal tissues. Overall, our results suggest that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play an important role in the occurrence and development of GC, while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its expression level may be related to the prognosis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further suggesting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that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represents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potential therapeutic target for GC.</w:t>
      </w:r>
    </w:p>
    <w:p w14:paraId="4C620B8F" w14:textId="77777777" w:rsidR="00C62577"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We also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 that the genes constituting the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prognosis model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related to various immune cells, indicating that the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affect the immunity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GC. The heatmap of the correlation between the model genes and immune cells in </w:t>
      </w:r>
      <w:r>
        <w:rPr>
          <w:rFonts w:ascii="Book Antiqua" w:eastAsia="Book Antiqua" w:hAnsi="Book Antiqua" w:cs="Book Antiqua"/>
          <w:color w:val="000000"/>
        </w:rPr>
        <w:lastRenderedPageBreak/>
        <w:t xml:space="preserve">this study showed a significant positive correlation between </w:t>
      </w:r>
      <w:proofErr w:type="spellStart"/>
      <w:r>
        <w:rPr>
          <w:rFonts w:ascii="Book Antiqua" w:eastAsia="Book Antiqua" w:hAnsi="Book Antiqua" w:cs="Book Antiqua"/>
          <w:color w:val="000000"/>
        </w:rPr>
        <w:t>disulfidptosis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PLS3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resting mast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 0.001).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Indeed, previous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have found a correlation between resting mast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cells and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104,105]</w:t>
      </w:r>
      <w:r>
        <w:rPr>
          <w:rFonts w:ascii="Book Antiqua" w:eastAsia="Book Antiqua" w:hAnsi="Book Antiqua" w:cs="Book Antiqua"/>
          <w:color w:val="000000"/>
        </w:rPr>
        <w:t xml:space="preserve">, and it has been suggested that </w:t>
      </w:r>
      <w:r>
        <w:rPr>
          <w:rFonts w:ascii="Book Antiqua" w:eastAsia="Book Antiqua" w:hAnsi="Book Antiqua" w:cs="Book Antiqua"/>
          <w:i/>
          <w:iCs/>
          <w:color w:val="000000"/>
        </w:rPr>
        <w:t>PLS3</w:t>
      </w:r>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may also be related to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Through the analysis of TME differences in the prognosis model, 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 differences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Stromal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Score and ESTIMATE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Score in the high- and low-risk groups,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both scores found to be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upregulated in the high-risk group, indicating that the risk score of the prognosis model is related to the TME of GC. Through the analysis of the relationship between the risk score of the prognosis model and TMB, MSI, and stem cell correlation, 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 that the risk score of the prognosis model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correlated with TMB, MSI, and </w:t>
      </w:r>
      <w:proofErr w:type="spellStart"/>
      <w:r>
        <w:rPr>
          <w:rFonts w:ascii="Book Antiqua" w:eastAsia="Book Antiqua" w:hAnsi="Book Antiqua" w:cs="Book Antiqua"/>
          <w:color w:val="000000"/>
        </w:rPr>
        <w:t>RNAss</w:t>
      </w:r>
      <w:proofErr w:type="spellEnd"/>
      <w:r>
        <w:rPr>
          <w:rFonts w:ascii="Book Antiqua" w:eastAsia="Book Antiqua" w:hAnsi="Book Antiqua" w:cs="Book Antiqua"/>
          <w:color w:val="000000"/>
        </w:rPr>
        <w:t>. These results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further indicate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the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may be related to the immunity or immune therapy targets of TMB, MSI, and </w:t>
      </w:r>
      <w:proofErr w:type="spellStart"/>
      <w:r>
        <w:rPr>
          <w:rFonts w:ascii="Book Antiqua" w:eastAsia="Book Antiqua" w:hAnsi="Book Antiqua" w:cs="Book Antiqua"/>
          <w:color w:val="000000"/>
        </w:rPr>
        <w:t>RNAss</w:t>
      </w:r>
      <w:proofErr w:type="spellEnd"/>
      <w:r>
        <w:rPr>
          <w:rFonts w:ascii="Book Antiqua" w:eastAsia="Book Antiqua" w:hAnsi="Book Antiqua" w:cs="Book Antiqua"/>
          <w:color w:val="000000"/>
        </w:rPr>
        <w:t xml:space="preserve"> in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GC, which may affect the immune therapy effect and prognosis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GC. Among them, MSI, an immune therapy target, has been found to affect the treatment and prognosis of patients with GC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107-111]</w:t>
      </w:r>
      <w:r>
        <w:rPr>
          <w:rFonts w:ascii="Book Antiqua" w:eastAsia="Book Antiqua" w:hAnsi="Book Antiqua" w:cs="Book Antiqua"/>
          <w:color w:val="000000"/>
        </w:rPr>
        <w:t>, while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significant correlation between the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risk prediction model established in this study and MSI indicates that MSI-targeted treatment may be meaningful for the treatment and prognosis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GC. This further indicates the correlation between </w:t>
      </w:r>
      <w:proofErr w:type="spellStart"/>
      <w:r>
        <w:rPr>
          <w:rFonts w:ascii="Book Antiqua" w:eastAsia="Book Antiqua" w:hAnsi="Book Antiqua" w:cs="Book Antiqua"/>
          <w:color w:val="000000"/>
        </w:rPr>
        <w:t>disulfidptosis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immunity or immune therapy targets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GC.</w:t>
      </w:r>
    </w:p>
    <w:p w14:paraId="686258D8" w14:textId="77777777" w:rsidR="00C62577"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results of our drug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sensitivity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revealed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89 drugs, including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Bosutinib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Bryostatin</w:t>
      </w:r>
      <w:proofErr w:type="spellEnd"/>
      <w:r>
        <w:rPr>
          <w:rFonts w:ascii="Book Antiqua" w:eastAsia="Book Antiqua" w:hAnsi="Book Antiqua" w:cs="Book Antiqua"/>
          <w:color w:val="000000"/>
        </w:rPr>
        <w:t>, were significantly correlated with the sensitivity of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treatment. Previous studies have found that </w:t>
      </w:r>
      <w:proofErr w:type="spellStart"/>
      <w:r>
        <w:rPr>
          <w:rFonts w:ascii="Book Antiqua" w:eastAsia="Book Antiqua" w:hAnsi="Book Antiqua" w:cs="Book Antiqua"/>
          <w:color w:val="000000"/>
        </w:rPr>
        <w:t>Bryostatin</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can enhance the effect of paclitaxel in the treatment of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w:t>
      </w:r>
      <w:r>
        <w:rPr>
          <w:rFonts w:ascii="Book Antiqua" w:eastAsia="Book Antiqua" w:hAnsi="Book Antiqua" w:cs="Book Antiqua"/>
          <w:color w:val="000000"/>
        </w:rPr>
        <w:t>, while others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have found that Bosutinib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inhibit the migration of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w:t>
      </w:r>
      <w:r>
        <w:rPr>
          <w:rFonts w:ascii="Book Antiqua" w:eastAsia="Book Antiqua" w:hAnsi="Book Antiqua" w:cs="Book Antiqua"/>
          <w:color w:val="000000"/>
          <w:vertAlign w:val="superscript"/>
        </w:rPr>
        <w:t>[113]</w:t>
      </w:r>
      <w:r>
        <w:rPr>
          <w:rFonts w:ascii="Book Antiqua" w:eastAsia="Book Antiqua" w:hAnsi="Book Antiqua" w:cs="Book Antiqua"/>
          <w:color w:val="000000"/>
        </w:rPr>
        <w:t>. These results suggest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Bosutinib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have therapeutic effects on GC. The high sensitivity of Bosutinib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Bryostatin</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 in this study suggests that they may be useful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drugs for the treatment of GC. Therefore, the 89 drugs represented by Bosutinib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this study may be potential drugs for the treatment of GC.</w:t>
      </w:r>
    </w:p>
    <w:p w14:paraId="1FF745E4" w14:textId="77777777" w:rsidR="00C62577" w:rsidRDefault="00C62577">
      <w:pPr>
        <w:adjustRightInd w:val="0"/>
        <w:snapToGrid w:val="0"/>
        <w:spacing w:line="360" w:lineRule="auto"/>
        <w:jc w:val="both"/>
        <w:rPr>
          <w:rFonts w:ascii="Book Antiqua" w:hAnsi="Book Antiqua" w:cs="Book Antiqua"/>
        </w:rPr>
      </w:pPr>
    </w:p>
    <w:p w14:paraId="6C40F31F"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12BBEE6A"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In conclusion, our findings suggest that the DRGs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their</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submolecules</w:t>
      </w:r>
      <w:proofErr w:type="spellEnd"/>
      <w:r>
        <w:rPr>
          <w:rFonts w:ascii="Book Antiqua" w:eastAsia="Book Antiqua" w:hAnsi="Book Antiqua" w:cs="Book Antiqua"/>
          <w:color w:val="000000"/>
        </w:rPr>
        <w:t xml:space="preserve"> may have an impact on immunity, immunotherapy targets, signaling pathways, and drug sensitivity in patients with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DRGs, including</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PDLIM1</w:t>
      </w:r>
      <w:r>
        <w:rPr>
          <w:rFonts w:ascii="Book Antiqua" w:eastAsia="Book Antiqua" w:hAnsi="Book Antiqua" w:cs="Book Antiqua"/>
          <w:color w:val="000000"/>
        </w:rPr>
        <w:t xml:space="preserve">, </w:t>
      </w:r>
      <w:r>
        <w:rPr>
          <w:rFonts w:ascii="Book Antiqua" w:eastAsia="Book Antiqua" w:hAnsi="Book Antiqua" w:cs="Book Antiqua"/>
          <w:i/>
          <w:iCs/>
          <w:color w:val="000000"/>
        </w:rPr>
        <w:t>FLNA</w:t>
      </w:r>
      <w:r>
        <w:rPr>
          <w:rFonts w:ascii="Book Antiqua" w:eastAsia="Book Antiqua" w:hAnsi="Book Antiqua" w:cs="Book Antiqua"/>
          <w:color w:val="000000"/>
        </w:rPr>
        <w:t xml:space="preserve">, </w:t>
      </w:r>
      <w:r>
        <w:rPr>
          <w:rFonts w:ascii="Book Antiqua" w:eastAsia="Book Antiqua" w:hAnsi="Book Antiqua" w:cs="Book Antiqua"/>
          <w:i/>
          <w:iCs/>
          <w:color w:val="000000"/>
        </w:rPr>
        <w:t>MYH10</w:t>
      </w:r>
      <w:r>
        <w:rPr>
          <w:rFonts w:ascii="Book Antiqua" w:eastAsia="Book Antiqua" w:hAnsi="Book Antiqua" w:cs="Book Antiqua"/>
          <w:color w:val="000000"/>
        </w:rPr>
        <w:t xml:space="preserve">, </w:t>
      </w:r>
      <w:r>
        <w:rPr>
          <w:rFonts w:ascii="Book Antiqua" w:eastAsia="Book Antiqua" w:hAnsi="Book Antiqua" w:cs="Book Antiqua"/>
          <w:i/>
          <w:iCs/>
          <w:color w:val="000000"/>
        </w:rPr>
        <w:t>MYL6</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DSTN</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may be related to the prognosis of GC. Six genes, namely, </w:t>
      </w:r>
      <w:r>
        <w:rPr>
          <w:rFonts w:ascii="Book Antiqua" w:eastAsia="Book Antiqua" w:hAnsi="Book Antiqua" w:cs="Book Antiqua"/>
          <w:i/>
          <w:iCs/>
          <w:color w:val="000000"/>
        </w:rPr>
        <w:t>PLS3</w:t>
      </w:r>
      <w:r>
        <w:rPr>
          <w:rFonts w:ascii="Book Antiqua" w:eastAsia="Book Antiqua" w:hAnsi="Book Antiqua" w:cs="Book Antiqua"/>
          <w:color w:val="000000"/>
        </w:rPr>
        <w:t xml:space="preserve">, </w:t>
      </w:r>
      <w:r>
        <w:rPr>
          <w:rFonts w:ascii="Book Antiqua" w:eastAsia="Book Antiqua" w:hAnsi="Book Antiqua" w:cs="Book Antiqua"/>
          <w:i/>
          <w:iCs/>
          <w:color w:val="000000"/>
        </w:rPr>
        <w:t>GRP</w:t>
      </w:r>
      <w:r>
        <w:rPr>
          <w:rFonts w:ascii="Book Antiqua" w:eastAsia="Book Antiqua" w:hAnsi="Book Antiqua" w:cs="Book Antiqua"/>
          <w:color w:val="000000"/>
        </w:rPr>
        <w:t xml:space="preserve">, </w:t>
      </w:r>
      <w:r>
        <w:rPr>
          <w:rFonts w:ascii="Book Antiqua" w:eastAsia="Book Antiqua" w:hAnsi="Book Antiqua" w:cs="Book Antiqua"/>
          <w:i/>
          <w:iCs/>
          <w:color w:val="000000"/>
        </w:rPr>
        <w:t>APOD</w:t>
      </w:r>
      <w:r>
        <w:rPr>
          <w:rFonts w:ascii="Book Antiqua" w:eastAsia="Book Antiqua" w:hAnsi="Book Antiqua" w:cs="Book Antiqua"/>
          <w:color w:val="000000"/>
        </w:rPr>
        <w:t xml:space="preserve">, </w:t>
      </w:r>
      <w:r>
        <w:rPr>
          <w:rFonts w:ascii="Book Antiqua" w:eastAsia="Book Antiqua" w:hAnsi="Book Antiqua" w:cs="Book Antiqua"/>
          <w:i/>
          <w:iCs/>
          <w:color w:val="000000"/>
        </w:rPr>
        <w:t>SGCE</w:t>
      </w:r>
      <w:r>
        <w:rPr>
          <w:rFonts w:ascii="Book Antiqua" w:eastAsia="Book Antiqua" w:hAnsi="Book Antiqua" w:cs="Book Antiqua"/>
          <w:color w:val="000000"/>
        </w:rPr>
        <w:t xml:space="preserve">, </w:t>
      </w:r>
      <w:r>
        <w:rPr>
          <w:rFonts w:ascii="Book Antiqua" w:eastAsia="Book Antiqua" w:hAnsi="Book Antiqua" w:cs="Book Antiqua"/>
          <w:i/>
          <w:iCs/>
          <w:color w:val="000000"/>
        </w:rPr>
        <w:t>COL8A1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VAMP7</w:t>
      </w:r>
      <w:r>
        <w:rPr>
          <w:rFonts w:ascii="Book Antiqua" w:eastAsia="Book Antiqua" w:hAnsi="Book Antiqua" w:cs="Book Antiqua"/>
          <w:color w:val="000000"/>
        </w:rPr>
        <w:t>, constituted a prognostic model of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associated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DRG.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be a potential target for the treatment of GC, while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89 drugs, including Bosutinib and </w:t>
      </w:r>
      <w:proofErr w:type="spellStart"/>
      <w:r>
        <w:rPr>
          <w:rFonts w:ascii="Book Antiqua" w:eastAsia="Book Antiqua" w:hAnsi="Book Antiqua" w:cs="Book Antiqua"/>
          <w:color w:val="000000"/>
        </w:rPr>
        <w:t>Bryostatin</w:t>
      </w:r>
      <w:proofErr w:type="spellEnd"/>
      <w:r>
        <w:rPr>
          <w:rFonts w:ascii="Book Antiqua" w:eastAsia="Book Antiqua" w:hAnsi="Book Antiqua" w:cs="Book Antiqua"/>
          <w:color w:val="000000"/>
        </w:rPr>
        <w:t>, may be potential drugs for the treatment of GC.</w:t>
      </w:r>
    </w:p>
    <w:p w14:paraId="4EB61F9D" w14:textId="77777777" w:rsidR="00C62577" w:rsidRDefault="00C62577">
      <w:pPr>
        <w:adjustRightInd w:val="0"/>
        <w:snapToGrid w:val="0"/>
        <w:spacing w:line="360" w:lineRule="auto"/>
        <w:jc w:val="both"/>
        <w:rPr>
          <w:rFonts w:ascii="Book Antiqua" w:hAnsi="Book Antiqua" w:cs="Book Antiqua"/>
        </w:rPr>
      </w:pPr>
    </w:p>
    <w:p w14:paraId="3BE7B256"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42B16116"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29E66CA6"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Gastric cancer (GC) is one of the most common malignant tumors, although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its pathogenesis remains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unclear.</w:t>
      </w:r>
    </w:p>
    <w:p w14:paraId="07E2E61D" w14:textId="77777777" w:rsidR="00C62577" w:rsidRDefault="00C62577">
      <w:pPr>
        <w:adjustRightInd w:val="0"/>
        <w:snapToGrid w:val="0"/>
        <w:spacing w:line="360" w:lineRule="auto"/>
        <w:jc w:val="both"/>
        <w:rPr>
          <w:rFonts w:ascii="Book Antiqua" w:hAnsi="Book Antiqua" w:cs="Book Antiqua"/>
        </w:rPr>
      </w:pPr>
    </w:p>
    <w:p w14:paraId="26A296CA"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467F9C53"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first time, in the current study, we constructed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new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prognostic model based on the sub-group analysis of </w:t>
      </w:r>
      <w:proofErr w:type="spellStart"/>
      <w:r>
        <w:rPr>
          <w:rFonts w:ascii="Book Antiqua" w:eastAsia="Book Antiqua" w:hAnsi="Book Antiqua" w:cs="Book Antiqua"/>
          <w:color w:val="000000"/>
        </w:rPr>
        <w:t>disulfidptosis</w:t>
      </w:r>
      <w:proofErr w:type="spellEnd"/>
      <w:r>
        <w:rPr>
          <w:rFonts w:ascii="Book Antiqua" w:eastAsia="Book Antiqua" w:hAnsi="Book Antiqua" w:cs="Book Antiqua"/>
          <w:color w:val="000000"/>
        </w:rPr>
        <w:t>-related genes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DRGs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explored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treatment targets and sensitive drugs.</w:t>
      </w:r>
    </w:p>
    <w:p w14:paraId="289CE6EF" w14:textId="77777777" w:rsidR="00C62577" w:rsidRDefault="00C62577">
      <w:pPr>
        <w:adjustRightInd w:val="0"/>
        <w:snapToGrid w:val="0"/>
        <w:spacing w:line="360" w:lineRule="auto"/>
        <w:jc w:val="both"/>
        <w:rPr>
          <w:rFonts w:ascii="Book Antiqua" w:hAnsi="Book Antiqua" w:cs="Book Antiqua"/>
        </w:rPr>
      </w:pPr>
    </w:p>
    <w:p w14:paraId="26541CF1"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03E71349"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aims of this study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explore a new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prognostic model based on the sub-group analysis of DRGs and explore treatment targets and sensitive drugs.</w:t>
      </w:r>
    </w:p>
    <w:p w14:paraId="52DB80CE" w14:textId="77777777" w:rsidR="00C62577" w:rsidRDefault="00C62577">
      <w:pPr>
        <w:adjustRightInd w:val="0"/>
        <w:snapToGrid w:val="0"/>
        <w:spacing w:line="360" w:lineRule="auto"/>
        <w:jc w:val="both"/>
        <w:rPr>
          <w:rFonts w:ascii="Book Antiqua" w:hAnsi="Book Antiqua" w:cs="Book Antiqua"/>
        </w:rPr>
      </w:pPr>
    </w:p>
    <w:p w14:paraId="49E93BE6"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13ABB0F6"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 this study, a bioinformatics strategy was used to extract GC-related data from The Cancer Genome Atlas and Gene Expression Omnibus databases, while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 software (version 4.2.1) was used for correlation analysis.</w:t>
      </w:r>
    </w:p>
    <w:p w14:paraId="3CB08F01" w14:textId="77777777" w:rsidR="00C62577" w:rsidRDefault="00C62577">
      <w:pPr>
        <w:adjustRightInd w:val="0"/>
        <w:snapToGrid w:val="0"/>
        <w:spacing w:line="360" w:lineRule="auto"/>
        <w:jc w:val="both"/>
        <w:rPr>
          <w:rFonts w:ascii="Book Antiqua" w:hAnsi="Book Antiqua" w:cs="Book Antiqua"/>
        </w:rPr>
      </w:pPr>
    </w:p>
    <w:p w14:paraId="5C6AF7B2"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0EAD5BCE"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Through the above analysis, we found that the disulfide death gene may be related to the prognosis of GC. Six genes, namely,</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PLS3</w:t>
      </w:r>
      <w:r>
        <w:rPr>
          <w:rFonts w:ascii="Book Antiqua" w:eastAsia="Book Antiqua" w:hAnsi="Book Antiqua" w:cs="Book Antiqua"/>
          <w:color w:val="000000"/>
        </w:rPr>
        <w:t xml:space="preserve">, </w:t>
      </w:r>
      <w:r>
        <w:rPr>
          <w:rFonts w:ascii="Book Antiqua" w:eastAsia="Book Antiqua" w:hAnsi="Book Antiqua" w:cs="Book Antiqua"/>
          <w:i/>
          <w:iCs/>
          <w:color w:val="000000"/>
        </w:rPr>
        <w:t>GRP</w:t>
      </w:r>
      <w:r>
        <w:rPr>
          <w:rFonts w:ascii="Book Antiqua" w:eastAsia="Book Antiqua" w:hAnsi="Book Antiqua" w:cs="Book Antiqua"/>
          <w:color w:val="000000"/>
        </w:rPr>
        <w:t xml:space="preserve">, </w:t>
      </w:r>
      <w:r>
        <w:rPr>
          <w:rFonts w:ascii="Book Antiqua" w:eastAsia="Book Antiqua" w:hAnsi="Book Antiqua" w:cs="Book Antiqua"/>
          <w:i/>
          <w:iCs/>
          <w:color w:val="000000"/>
        </w:rPr>
        <w:t>APOD</w:t>
      </w:r>
      <w:r>
        <w:rPr>
          <w:rFonts w:ascii="Book Antiqua" w:eastAsia="Book Antiqua" w:hAnsi="Book Antiqua" w:cs="Book Antiqua"/>
          <w:color w:val="000000"/>
        </w:rPr>
        <w:t xml:space="preserve">, </w:t>
      </w:r>
      <w:r>
        <w:rPr>
          <w:rFonts w:ascii="Book Antiqua" w:eastAsia="Book Antiqua" w:hAnsi="Book Antiqua" w:cs="Book Antiqua"/>
          <w:i/>
          <w:iCs/>
          <w:color w:val="000000"/>
        </w:rPr>
        <w:t>SGCE</w:t>
      </w:r>
      <w:r>
        <w:rPr>
          <w:rFonts w:ascii="Book Antiqua" w:eastAsia="Book Antiqua" w:hAnsi="Book Antiqua" w:cs="Book Antiqua"/>
          <w:color w:val="000000"/>
        </w:rPr>
        <w:t xml:space="preserve">, </w:t>
      </w:r>
      <w:r>
        <w:rPr>
          <w:rFonts w:ascii="Book Antiqua" w:eastAsia="Book Antiqua" w:hAnsi="Book Antiqua" w:cs="Book Antiqua"/>
          <w:i/>
          <w:iCs/>
          <w:color w:val="000000"/>
        </w:rPr>
        <w:t>COL8A1</w:t>
      </w:r>
      <w:r>
        <w:rPr>
          <w:rFonts w:ascii="Book Antiqua" w:eastAsia="Book Antiqua" w:hAnsi="Book Antiqua" w:cs="Book Antiqua"/>
          <w:color w:val="000000"/>
        </w:rPr>
        <w:t xml:space="preserve">, and </w:t>
      </w:r>
      <w:r>
        <w:rPr>
          <w:rFonts w:ascii="Book Antiqua" w:eastAsia="Book Antiqua" w:hAnsi="Book Antiqua" w:cs="Book Antiqua"/>
          <w:i/>
          <w:iCs/>
          <w:color w:val="000000"/>
        </w:rPr>
        <w:t>VAMP7</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constitute a predictive model for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prognosis.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 potential therapeutic target. Bosutinib and other drugs are suitable for the treatment of GC.</w:t>
      </w:r>
    </w:p>
    <w:p w14:paraId="2BA7B625" w14:textId="77777777" w:rsidR="00C62577" w:rsidRDefault="00C62577">
      <w:pPr>
        <w:adjustRightInd w:val="0"/>
        <w:snapToGrid w:val="0"/>
        <w:spacing w:line="360" w:lineRule="auto"/>
        <w:jc w:val="both"/>
        <w:rPr>
          <w:rFonts w:ascii="Book Antiqua" w:hAnsi="Book Antiqua" w:cs="Book Antiqua"/>
        </w:rPr>
      </w:pPr>
    </w:p>
    <w:p w14:paraId="5C0367C8"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09B1424B"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results of this study indicate that disulfide death is related to the prognosis and treatment of GC. Additionally,</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 be used as a potential therapeutic target for GC.</w:t>
      </w:r>
    </w:p>
    <w:p w14:paraId="7048FA87" w14:textId="77777777" w:rsidR="00C62577" w:rsidRDefault="00C62577">
      <w:pPr>
        <w:adjustRightInd w:val="0"/>
        <w:snapToGrid w:val="0"/>
        <w:spacing w:line="360" w:lineRule="auto"/>
        <w:jc w:val="both"/>
        <w:rPr>
          <w:rFonts w:ascii="Book Antiqua" w:hAnsi="Book Antiqua" w:cs="Book Antiqua"/>
        </w:rPr>
      </w:pPr>
    </w:p>
    <w:p w14:paraId="3AC01197"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756FB421"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Six genes, namely,</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PLS3</w:t>
      </w:r>
      <w:r>
        <w:rPr>
          <w:rFonts w:ascii="Book Antiqua" w:eastAsia="Book Antiqua" w:hAnsi="Book Antiqua" w:cs="Book Antiqua"/>
          <w:color w:val="000000"/>
        </w:rPr>
        <w:t xml:space="preserve">, </w:t>
      </w:r>
      <w:r>
        <w:rPr>
          <w:rFonts w:ascii="Book Antiqua" w:eastAsia="Book Antiqua" w:hAnsi="Book Antiqua" w:cs="Book Antiqua"/>
          <w:i/>
          <w:iCs/>
          <w:color w:val="000000"/>
        </w:rPr>
        <w:t>GRP</w:t>
      </w:r>
      <w:r>
        <w:rPr>
          <w:rFonts w:ascii="Book Antiqua" w:eastAsia="Book Antiqua" w:hAnsi="Book Antiqua" w:cs="Book Antiqua"/>
          <w:color w:val="000000"/>
        </w:rPr>
        <w:t xml:space="preserve">, </w:t>
      </w:r>
      <w:r>
        <w:rPr>
          <w:rFonts w:ascii="Book Antiqua" w:eastAsia="Book Antiqua" w:hAnsi="Book Antiqua" w:cs="Book Antiqua"/>
          <w:i/>
          <w:iCs/>
          <w:color w:val="000000"/>
        </w:rPr>
        <w:t>APOD</w:t>
      </w:r>
      <w:r>
        <w:rPr>
          <w:rFonts w:ascii="Book Antiqua" w:eastAsia="Book Antiqua" w:hAnsi="Book Antiqua" w:cs="Book Antiqua"/>
          <w:color w:val="000000"/>
        </w:rPr>
        <w:t xml:space="preserve">, </w:t>
      </w:r>
      <w:r>
        <w:rPr>
          <w:rFonts w:ascii="Book Antiqua" w:eastAsia="Book Antiqua" w:hAnsi="Book Antiqua" w:cs="Book Antiqua"/>
          <w:i/>
          <w:iCs/>
          <w:color w:val="000000"/>
        </w:rPr>
        <w:t>SGCE</w:t>
      </w:r>
      <w:r>
        <w:rPr>
          <w:rFonts w:ascii="Book Antiqua" w:eastAsia="Book Antiqua" w:hAnsi="Book Antiqua" w:cs="Book Antiqua"/>
          <w:color w:val="000000"/>
        </w:rPr>
        <w:t xml:space="preserve">, </w:t>
      </w:r>
      <w:r>
        <w:rPr>
          <w:rFonts w:ascii="Book Antiqua" w:eastAsia="Book Antiqua" w:hAnsi="Book Antiqua" w:cs="Book Antiqua"/>
          <w:i/>
          <w:iCs/>
          <w:color w:val="000000"/>
        </w:rPr>
        <w:t>COL8A1</w:t>
      </w:r>
      <w:r>
        <w:rPr>
          <w:rFonts w:ascii="Book Antiqua" w:eastAsia="Book Antiqua" w:hAnsi="Book Antiqua" w:cs="Book Antiqua"/>
          <w:color w:val="000000"/>
        </w:rPr>
        <w:t xml:space="preserve">, and </w:t>
      </w:r>
      <w:r>
        <w:rPr>
          <w:rFonts w:ascii="Book Antiqua" w:eastAsia="Book Antiqua" w:hAnsi="Book Antiqua" w:cs="Book Antiqua"/>
          <w:i/>
          <w:iCs/>
          <w:color w:val="000000"/>
        </w:rPr>
        <w:t>VAMP7</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constitute a predictive model for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prognosis. </w:t>
      </w:r>
      <w:r>
        <w:rPr>
          <w:rFonts w:ascii="Book Antiqua" w:eastAsia="Book Antiqua" w:hAnsi="Book Antiqua" w:cs="Book Antiqua"/>
          <w:i/>
          <w:iCs/>
          <w:color w:val="000000"/>
        </w:rPr>
        <w:t>APOD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 potential therapeutic target</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for treating</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GC</w:t>
      </w:r>
      <w:r>
        <w:rPr>
          <w:rFonts w:ascii="Book Antiqua" w:eastAsia="Book Antiqua" w:hAnsi="Book Antiqua" w:cs="Book Antiqua"/>
          <w:color w:val="000000"/>
        </w:rPr>
        <w:t>. Bosutinib and other drugs are suitable for the treatment of GC, although this requires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further confirmation through molecular biology and clinical experiments.</w:t>
      </w:r>
    </w:p>
    <w:p w14:paraId="595E53DE" w14:textId="77777777" w:rsidR="00C62577" w:rsidRDefault="00C62577">
      <w:pPr>
        <w:adjustRightInd w:val="0"/>
        <w:snapToGrid w:val="0"/>
        <w:spacing w:line="360" w:lineRule="auto"/>
        <w:jc w:val="both"/>
        <w:rPr>
          <w:rFonts w:ascii="Book Antiqua" w:hAnsi="Book Antiqua" w:cs="Book Antiqua"/>
        </w:rPr>
      </w:pPr>
    </w:p>
    <w:p w14:paraId="12C44B7C" w14:textId="77777777" w:rsidR="00C62577"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0F9093BD"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Li Y</w:t>
      </w:r>
      <w:r>
        <w:rPr>
          <w:rFonts w:ascii="Book Antiqua" w:hAnsi="Book Antiqua" w:cs="Book Antiqua"/>
        </w:rPr>
        <w:t xml:space="preserve">, Hu X, Lin R, Zhou G, Zhao L, Zhao D, Zhang Y, Li W, Zhang Y, Ma P, Ren H, Liao X, Niu P, Wang T, Zhang X, Wang W, Gao R, Li Q, Church G, He J, Chen Y. Single-cell landscape reveals active cell subtypes and their interaction in the tumor microenvironment of gastric cancer. </w:t>
      </w:r>
      <w:proofErr w:type="spellStart"/>
      <w:r>
        <w:rPr>
          <w:rFonts w:ascii="Book Antiqua" w:hAnsi="Book Antiqua" w:cs="Book Antiqua"/>
          <w:i/>
          <w:iCs/>
        </w:rPr>
        <w:t>Theranostics</w:t>
      </w:r>
      <w:proofErr w:type="spellEnd"/>
      <w:r>
        <w:rPr>
          <w:rFonts w:ascii="Book Antiqua" w:hAnsi="Book Antiqua" w:cs="Book Antiqua"/>
        </w:rPr>
        <w:t xml:space="preserve"> 2022; </w:t>
      </w:r>
      <w:r>
        <w:rPr>
          <w:rFonts w:ascii="Book Antiqua" w:hAnsi="Book Antiqua" w:cs="Book Antiqua"/>
          <w:b/>
          <w:bCs/>
        </w:rPr>
        <w:t>12</w:t>
      </w:r>
      <w:r>
        <w:rPr>
          <w:rFonts w:ascii="Book Antiqua" w:hAnsi="Book Antiqua" w:cs="Book Antiqua"/>
        </w:rPr>
        <w:t>: 3818-3833 [PMID: 35664061 DOI: 10.7150/thno.71833]</w:t>
      </w:r>
    </w:p>
    <w:p w14:paraId="38807C46"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Chang X</w:t>
      </w:r>
      <w:r>
        <w:rPr>
          <w:rFonts w:ascii="Book Antiqua" w:hAnsi="Book Antiqua" w:cs="Book Antiqua"/>
        </w:rPr>
        <w:t xml:space="preserve">, Ge X, Zhang Y, Xue X. The current management and biomarkers of immunotherapy in advanced gastric cancer. </w:t>
      </w:r>
      <w:r>
        <w:rPr>
          <w:rFonts w:ascii="Book Antiqua" w:hAnsi="Book Antiqua" w:cs="Book Antiqua"/>
          <w:i/>
          <w:iCs/>
        </w:rPr>
        <w:t>Medicine (Baltimore)</w:t>
      </w:r>
      <w:r>
        <w:rPr>
          <w:rFonts w:ascii="Book Antiqua" w:hAnsi="Book Antiqua" w:cs="Book Antiqua"/>
        </w:rPr>
        <w:t xml:space="preserve"> 2022; </w:t>
      </w:r>
      <w:r>
        <w:rPr>
          <w:rFonts w:ascii="Book Antiqua" w:hAnsi="Book Antiqua" w:cs="Book Antiqua"/>
          <w:b/>
          <w:bCs/>
        </w:rPr>
        <w:t>101</w:t>
      </w:r>
      <w:r>
        <w:rPr>
          <w:rFonts w:ascii="Book Antiqua" w:hAnsi="Book Antiqua" w:cs="Book Antiqua"/>
        </w:rPr>
        <w:t>: e29304 [PMID: 35623069 DOI: 10.1097/MD.0000000000029304]</w:t>
      </w:r>
    </w:p>
    <w:p w14:paraId="342C4F44"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Zhang Y</w:t>
      </w:r>
      <w:r>
        <w:rPr>
          <w:rFonts w:ascii="Book Antiqua" w:hAnsi="Book Antiqua" w:cs="Book Antiqua"/>
        </w:rPr>
        <w:t xml:space="preserve">, Yu J. The role of MRI in the diagnosis and treatment of gastric cancer. </w:t>
      </w:r>
      <w:proofErr w:type="spellStart"/>
      <w:r>
        <w:rPr>
          <w:rFonts w:ascii="Book Antiqua" w:hAnsi="Book Antiqua" w:cs="Book Antiqua"/>
          <w:i/>
          <w:iCs/>
        </w:rPr>
        <w:t>Diagn</w:t>
      </w:r>
      <w:proofErr w:type="spellEnd"/>
      <w:r>
        <w:rPr>
          <w:rFonts w:ascii="Book Antiqua" w:hAnsi="Book Antiqua" w:cs="Book Antiqua"/>
          <w:i/>
          <w:iCs/>
        </w:rPr>
        <w:t xml:space="preserve"> </w:t>
      </w:r>
      <w:proofErr w:type="spellStart"/>
      <w:r>
        <w:rPr>
          <w:rFonts w:ascii="Book Antiqua" w:hAnsi="Book Antiqua" w:cs="Book Antiqua"/>
          <w:i/>
          <w:iCs/>
        </w:rPr>
        <w:t>Interv</w:t>
      </w:r>
      <w:proofErr w:type="spellEnd"/>
      <w:r>
        <w:rPr>
          <w:rFonts w:ascii="Book Antiqua" w:hAnsi="Book Antiqua" w:cs="Book Antiqua"/>
          <w:i/>
          <w:iCs/>
        </w:rPr>
        <w:t xml:space="preserve"> </w:t>
      </w:r>
      <w:proofErr w:type="spellStart"/>
      <w:r>
        <w:rPr>
          <w:rFonts w:ascii="Book Antiqua" w:hAnsi="Book Antiqua" w:cs="Book Antiqua"/>
          <w:i/>
          <w:iCs/>
        </w:rPr>
        <w:t>Radiol</w:t>
      </w:r>
      <w:proofErr w:type="spellEnd"/>
      <w:r>
        <w:rPr>
          <w:rFonts w:ascii="Book Antiqua" w:hAnsi="Book Antiqua" w:cs="Book Antiqua"/>
        </w:rPr>
        <w:t xml:space="preserve"> 2020; </w:t>
      </w:r>
      <w:r>
        <w:rPr>
          <w:rFonts w:ascii="Book Antiqua" w:hAnsi="Book Antiqua" w:cs="Book Antiqua"/>
          <w:b/>
          <w:bCs/>
        </w:rPr>
        <w:t>26</w:t>
      </w:r>
      <w:r>
        <w:rPr>
          <w:rFonts w:ascii="Book Antiqua" w:hAnsi="Book Antiqua" w:cs="Book Antiqua"/>
        </w:rPr>
        <w:t>: 176-182 [PMID: 32209504 DOI: 10.5152/dir.2019.19375]</w:t>
      </w:r>
    </w:p>
    <w:p w14:paraId="22E9A245"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Smyth EC</w:t>
      </w:r>
      <w:r>
        <w:rPr>
          <w:rFonts w:ascii="Book Antiqua" w:hAnsi="Book Antiqua" w:cs="Book Antiqua"/>
        </w:rPr>
        <w:t xml:space="preserve">, Nilsson M, </w:t>
      </w:r>
      <w:proofErr w:type="spellStart"/>
      <w:r>
        <w:rPr>
          <w:rFonts w:ascii="Book Antiqua" w:hAnsi="Book Antiqua" w:cs="Book Antiqua"/>
        </w:rPr>
        <w:t>Grabsch</w:t>
      </w:r>
      <w:proofErr w:type="spellEnd"/>
      <w:r>
        <w:rPr>
          <w:rFonts w:ascii="Book Antiqua" w:hAnsi="Book Antiqua" w:cs="Book Antiqua"/>
        </w:rPr>
        <w:t xml:space="preserve"> HI, van </w:t>
      </w:r>
      <w:proofErr w:type="spellStart"/>
      <w:r>
        <w:rPr>
          <w:rFonts w:ascii="Book Antiqua" w:hAnsi="Book Antiqua" w:cs="Book Antiqua"/>
        </w:rPr>
        <w:t>Grieken</w:t>
      </w:r>
      <w:proofErr w:type="spellEnd"/>
      <w:r>
        <w:rPr>
          <w:rFonts w:ascii="Book Antiqua" w:hAnsi="Book Antiqua" w:cs="Book Antiqua"/>
        </w:rPr>
        <w:t xml:space="preserve"> NC, </w:t>
      </w:r>
      <w:proofErr w:type="spellStart"/>
      <w:r>
        <w:rPr>
          <w:rFonts w:ascii="Book Antiqua" w:hAnsi="Book Antiqua" w:cs="Book Antiqua"/>
        </w:rPr>
        <w:t>Lordick</w:t>
      </w:r>
      <w:proofErr w:type="spellEnd"/>
      <w:r>
        <w:rPr>
          <w:rFonts w:ascii="Book Antiqua" w:hAnsi="Book Antiqua" w:cs="Book Antiqua"/>
        </w:rPr>
        <w:t xml:space="preserve"> F. Gastric cancer. </w:t>
      </w:r>
      <w:r>
        <w:rPr>
          <w:rFonts w:ascii="Book Antiqua" w:hAnsi="Book Antiqua" w:cs="Book Antiqua"/>
          <w:i/>
          <w:iCs/>
        </w:rPr>
        <w:t>Lancet</w:t>
      </w:r>
      <w:r>
        <w:rPr>
          <w:rFonts w:ascii="Book Antiqua" w:hAnsi="Book Antiqua" w:cs="Book Antiqua"/>
        </w:rPr>
        <w:t xml:space="preserve"> 2020; </w:t>
      </w:r>
      <w:r>
        <w:rPr>
          <w:rFonts w:ascii="Book Antiqua" w:hAnsi="Book Antiqua" w:cs="Book Antiqua"/>
          <w:b/>
          <w:bCs/>
        </w:rPr>
        <w:t>396</w:t>
      </w:r>
      <w:r>
        <w:rPr>
          <w:rFonts w:ascii="Book Antiqua" w:hAnsi="Book Antiqua" w:cs="Book Antiqua"/>
        </w:rPr>
        <w:t>: 635-648 [PMID: 32861308 DOI: 10.1016/S0140-6736(20)31288-5]</w:t>
      </w:r>
    </w:p>
    <w:p w14:paraId="7802FE3D"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5 </w:t>
      </w:r>
      <w:proofErr w:type="spellStart"/>
      <w:r>
        <w:rPr>
          <w:rFonts w:ascii="Book Antiqua" w:hAnsi="Book Antiqua" w:cs="Book Antiqua"/>
          <w:b/>
          <w:bCs/>
        </w:rPr>
        <w:t>Machlowska</w:t>
      </w:r>
      <w:proofErr w:type="spellEnd"/>
      <w:r>
        <w:rPr>
          <w:rFonts w:ascii="Book Antiqua" w:hAnsi="Book Antiqua" w:cs="Book Antiqua"/>
          <w:b/>
          <w:bCs/>
        </w:rPr>
        <w:t xml:space="preserve"> J</w:t>
      </w:r>
      <w:r>
        <w:rPr>
          <w:rFonts w:ascii="Book Antiqua" w:hAnsi="Book Antiqua" w:cs="Book Antiqua"/>
        </w:rPr>
        <w:t xml:space="preserve">, Baj J, Sitarz M, Maciejewski R, Sitarz R. Gastric Cancer: Epidemiology, Risk Factors, Classification, Genomic Characteristics and Treatment Strategies. </w:t>
      </w:r>
      <w:r>
        <w:rPr>
          <w:rFonts w:ascii="Book Antiqua" w:hAnsi="Book Antiqua" w:cs="Book Antiqua"/>
          <w:i/>
          <w:iCs/>
        </w:rPr>
        <w:t>Int J Mol Sci</w:t>
      </w:r>
      <w:r>
        <w:rPr>
          <w:rFonts w:ascii="Book Antiqua" w:hAnsi="Book Antiqua" w:cs="Book Antiqua"/>
        </w:rPr>
        <w:t xml:space="preserve"> 2020; </w:t>
      </w:r>
      <w:r>
        <w:rPr>
          <w:rFonts w:ascii="Book Antiqua" w:hAnsi="Book Antiqua" w:cs="Book Antiqua"/>
          <w:b/>
          <w:bCs/>
        </w:rPr>
        <w:t>21</w:t>
      </w:r>
      <w:r>
        <w:rPr>
          <w:rFonts w:ascii="Book Antiqua" w:hAnsi="Book Antiqua" w:cs="Book Antiqua"/>
        </w:rPr>
        <w:t xml:space="preserve"> [PMID: 32512697 DOI: 10.3390/ijms21114012]</w:t>
      </w:r>
    </w:p>
    <w:p w14:paraId="25E06DD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Zhao Q</w:t>
      </w:r>
      <w:r>
        <w:rPr>
          <w:rFonts w:ascii="Book Antiqua" w:hAnsi="Book Antiqua" w:cs="Book Antiqua"/>
        </w:rPr>
        <w:t xml:space="preserve">, Cao L, Guan L, </w:t>
      </w:r>
      <w:proofErr w:type="spellStart"/>
      <w:r>
        <w:rPr>
          <w:rFonts w:ascii="Book Antiqua" w:hAnsi="Book Antiqua" w:cs="Book Antiqua"/>
        </w:rPr>
        <w:t>Bie</w:t>
      </w:r>
      <w:proofErr w:type="spellEnd"/>
      <w:r>
        <w:rPr>
          <w:rFonts w:ascii="Book Antiqua" w:hAnsi="Book Antiqua" w:cs="Book Antiqua"/>
        </w:rPr>
        <w:t xml:space="preserve"> L, Wang S, Xie B, Chen X, Shen X, Cao F. Immunotherapy for gastric cancer: dilemmas and prospect. </w:t>
      </w:r>
      <w:r>
        <w:rPr>
          <w:rFonts w:ascii="Book Antiqua" w:hAnsi="Book Antiqua" w:cs="Book Antiqua"/>
          <w:i/>
          <w:iCs/>
        </w:rPr>
        <w:t xml:space="preserve">Brief </w:t>
      </w:r>
      <w:proofErr w:type="spellStart"/>
      <w:r>
        <w:rPr>
          <w:rFonts w:ascii="Book Antiqua" w:hAnsi="Book Antiqua" w:cs="Book Antiqua"/>
          <w:i/>
          <w:iCs/>
        </w:rPr>
        <w:t>Funct</w:t>
      </w:r>
      <w:proofErr w:type="spellEnd"/>
      <w:r>
        <w:rPr>
          <w:rFonts w:ascii="Book Antiqua" w:hAnsi="Book Antiqua" w:cs="Book Antiqua"/>
          <w:i/>
          <w:iCs/>
        </w:rPr>
        <w:t xml:space="preserve"> Genomics</w:t>
      </w:r>
      <w:r>
        <w:rPr>
          <w:rFonts w:ascii="Book Antiqua" w:hAnsi="Book Antiqua" w:cs="Book Antiqua"/>
        </w:rPr>
        <w:t xml:space="preserve"> 2019; </w:t>
      </w:r>
      <w:r>
        <w:rPr>
          <w:rFonts w:ascii="Book Antiqua" w:hAnsi="Book Antiqua" w:cs="Book Antiqua"/>
          <w:b/>
          <w:bCs/>
        </w:rPr>
        <w:t>18</w:t>
      </w:r>
      <w:r>
        <w:rPr>
          <w:rFonts w:ascii="Book Antiqua" w:hAnsi="Book Antiqua" w:cs="Book Antiqua"/>
        </w:rPr>
        <w:t>: 107-112 [PMID: 30388190 DOI: 10.1093/</w:t>
      </w:r>
      <w:proofErr w:type="spellStart"/>
      <w:r>
        <w:rPr>
          <w:rFonts w:ascii="Book Antiqua" w:hAnsi="Book Antiqua" w:cs="Book Antiqua"/>
        </w:rPr>
        <w:t>bfgp</w:t>
      </w:r>
      <w:proofErr w:type="spellEnd"/>
      <w:r>
        <w:rPr>
          <w:rFonts w:ascii="Book Antiqua" w:hAnsi="Book Antiqua" w:cs="Book Antiqua"/>
        </w:rPr>
        <w:t>/ely019]</w:t>
      </w:r>
    </w:p>
    <w:p w14:paraId="2DE17D96"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Wu SL</w:t>
      </w:r>
      <w:r>
        <w:rPr>
          <w:rFonts w:ascii="Book Antiqua" w:hAnsi="Book Antiqua" w:cs="Book Antiqua"/>
        </w:rPr>
        <w:t xml:space="preserve">, Zhang Y, Fu Y, Li J, Wang JS. Gastric cancer incidence, mortality and burden in adolescents and young adults: a time-trend analysis and comparison among China, South Korea, Japan and the USA. </w:t>
      </w:r>
      <w:r>
        <w:rPr>
          <w:rFonts w:ascii="Book Antiqua" w:hAnsi="Book Antiqua" w:cs="Book Antiqua"/>
          <w:i/>
          <w:iCs/>
        </w:rPr>
        <w:t>BMJ Open</w:t>
      </w:r>
      <w:r>
        <w:rPr>
          <w:rFonts w:ascii="Book Antiqua" w:hAnsi="Book Antiqua" w:cs="Book Antiqua"/>
        </w:rPr>
        <w:t xml:space="preserve"> 2022; </w:t>
      </w:r>
      <w:r>
        <w:rPr>
          <w:rFonts w:ascii="Book Antiqua" w:hAnsi="Book Antiqua" w:cs="Book Antiqua"/>
          <w:b/>
          <w:bCs/>
        </w:rPr>
        <w:t>12</w:t>
      </w:r>
      <w:r>
        <w:rPr>
          <w:rFonts w:ascii="Book Antiqua" w:hAnsi="Book Antiqua" w:cs="Book Antiqua"/>
        </w:rPr>
        <w:t>: e061038 [PMID: 35863834 DOI: 10.1136/bmjopen-2022-061038]</w:t>
      </w:r>
    </w:p>
    <w:p w14:paraId="3E9B9FB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Yang X</w:t>
      </w:r>
      <w:r>
        <w:rPr>
          <w:rFonts w:ascii="Book Antiqua" w:hAnsi="Book Antiqua" w:cs="Book Antiqua"/>
        </w:rPr>
        <w:t xml:space="preserve">, Zhang T, Zhang H, Sang S, Chen H, Zuo X. Temporal trend of gastric cancer burden along with its risk factors in China from 1990 to 2019, and projections until 2030: comparison with Japan, South Korea, and Mongolia. </w:t>
      </w:r>
      <w:proofErr w:type="spellStart"/>
      <w:r>
        <w:rPr>
          <w:rFonts w:ascii="Book Antiqua" w:hAnsi="Book Antiqua" w:cs="Book Antiqua"/>
          <w:i/>
          <w:iCs/>
        </w:rPr>
        <w:t>Biomark</w:t>
      </w:r>
      <w:proofErr w:type="spellEnd"/>
      <w:r>
        <w:rPr>
          <w:rFonts w:ascii="Book Antiqua" w:hAnsi="Book Antiqua" w:cs="Book Antiqua"/>
          <w:i/>
          <w:iCs/>
        </w:rPr>
        <w:t xml:space="preserve"> Res</w:t>
      </w:r>
      <w:r>
        <w:rPr>
          <w:rFonts w:ascii="Book Antiqua" w:hAnsi="Book Antiqua" w:cs="Book Antiqua"/>
        </w:rPr>
        <w:t xml:space="preserve"> 2021; </w:t>
      </w:r>
      <w:r>
        <w:rPr>
          <w:rFonts w:ascii="Book Antiqua" w:hAnsi="Book Antiqua" w:cs="Book Antiqua"/>
          <w:b/>
          <w:bCs/>
        </w:rPr>
        <w:t>9</w:t>
      </w:r>
      <w:r>
        <w:rPr>
          <w:rFonts w:ascii="Book Antiqua" w:hAnsi="Book Antiqua" w:cs="Book Antiqua"/>
        </w:rPr>
        <w:t>: 84 [PMID: 34784961 DOI: 10.1186/s40364-021-00340-6]</w:t>
      </w:r>
    </w:p>
    <w:p w14:paraId="734BCAA2"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Gao M</w:t>
      </w:r>
      <w:r>
        <w:rPr>
          <w:rFonts w:ascii="Book Antiqua" w:hAnsi="Book Antiqua" w:cs="Book Antiqua"/>
        </w:rPr>
        <w:t xml:space="preserve">, Yin H, Fei ZW. Clinical application of microRNA in gastric cancer in Eastern Asian area. </w:t>
      </w:r>
      <w:r>
        <w:rPr>
          <w:rFonts w:ascii="Book Antiqua" w:hAnsi="Book Antiqua" w:cs="Book Antiqua"/>
          <w:i/>
          <w:iCs/>
        </w:rPr>
        <w:t>World J Gastroenterol</w:t>
      </w:r>
      <w:r>
        <w:rPr>
          <w:rFonts w:ascii="Book Antiqua" w:hAnsi="Book Antiqua" w:cs="Book Antiqua"/>
        </w:rPr>
        <w:t xml:space="preserve"> 2013; </w:t>
      </w:r>
      <w:r>
        <w:rPr>
          <w:rFonts w:ascii="Book Antiqua" w:hAnsi="Book Antiqua" w:cs="Book Antiqua"/>
          <w:b/>
          <w:bCs/>
        </w:rPr>
        <w:t>19</w:t>
      </w:r>
      <w:r>
        <w:rPr>
          <w:rFonts w:ascii="Book Antiqua" w:hAnsi="Book Antiqua" w:cs="Book Antiqua"/>
        </w:rPr>
        <w:t>: 2019-2027 [PMID: 23599620 DOI: 10.3748/</w:t>
      </w:r>
      <w:proofErr w:type="gramStart"/>
      <w:r>
        <w:rPr>
          <w:rFonts w:ascii="Book Antiqua" w:hAnsi="Book Antiqua" w:cs="Book Antiqua"/>
        </w:rPr>
        <w:t>wjg.v19.i</w:t>
      </w:r>
      <w:proofErr w:type="gramEnd"/>
      <w:r>
        <w:rPr>
          <w:rFonts w:ascii="Book Antiqua" w:hAnsi="Book Antiqua" w:cs="Book Antiqua"/>
        </w:rPr>
        <w:t>13.2019]</w:t>
      </w:r>
    </w:p>
    <w:p w14:paraId="3DA992CD"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Tang D</w:t>
      </w:r>
      <w:r>
        <w:rPr>
          <w:rFonts w:ascii="Book Antiqua" w:hAnsi="Book Antiqua" w:cs="Book Antiqua"/>
        </w:rPr>
        <w:t xml:space="preserve">, Liu S, Shen H, Deng G, Zeng S. Extracellular Vesicles Promote the Formation of Pre-Metastasis Niche in Gastric Cancer. </w:t>
      </w:r>
      <w:r>
        <w:rPr>
          <w:rFonts w:ascii="Book Antiqua" w:hAnsi="Book Antiqua" w:cs="Book Antiqua"/>
          <w:i/>
          <w:iCs/>
        </w:rPr>
        <w:t>Front Immunol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813015 [PMID: 35173726 DOI: 10.3389/fimmu.2022.813015]</w:t>
      </w:r>
    </w:p>
    <w:p w14:paraId="2D719652"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Gu X</w:t>
      </w:r>
      <w:r>
        <w:rPr>
          <w:rFonts w:ascii="Book Antiqua" w:hAnsi="Book Antiqua" w:cs="Book Antiqua"/>
        </w:rPr>
        <w:t xml:space="preserve">, Zhang Y, Huang Y, Ju S. Comprehensive Evaluation of Serum tRF-17-WS7K092 as a Promising Biomarker for the Diagnosis of Gastric Cancer. </w:t>
      </w:r>
      <w:r>
        <w:rPr>
          <w:rFonts w:ascii="Book Antiqua" w:hAnsi="Book Antiqua" w:cs="Book Antiqua"/>
          <w:i/>
          <w:iCs/>
        </w:rPr>
        <w:t>J Oncol</w:t>
      </w:r>
      <w:r>
        <w:rPr>
          <w:rFonts w:ascii="Book Antiqua" w:hAnsi="Book Antiqua" w:cs="Book Antiqua"/>
        </w:rPr>
        <w:t xml:space="preserve"> 2022; </w:t>
      </w:r>
      <w:r>
        <w:rPr>
          <w:rFonts w:ascii="Book Antiqua" w:hAnsi="Book Antiqua" w:cs="Book Antiqua"/>
          <w:b/>
          <w:bCs/>
        </w:rPr>
        <w:t>2022</w:t>
      </w:r>
      <w:r>
        <w:rPr>
          <w:rFonts w:ascii="Book Antiqua" w:hAnsi="Book Antiqua" w:cs="Book Antiqua"/>
        </w:rPr>
        <w:t>: 8438726 [PMID: 36245992 DOI: 10.1155/2022/8438726]</w:t>
      </w:r>
    </w:p>
    <w:p w14:paraId="79A08514"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Titov SE</w:t>
      </w:r>
      <w:r>
        <w:rPr>
          <w:rFonts w:ascii="Book Antiqua" w:hAnsi="Book Antiqua" w:cs="Book Antiqua"/>
        </w:rPr>
        <w:t xml:space="preserve">, </w:t>
      </w:r>
      <w:proofErr w:type="spellStart"/>
      <w:r>
        <w:rPr>
          <w:rFonts w:ascii="Book Antiqua" w:hAnsi="Book Antiqua" w:cs="Book Antiqua"/>
        </w:rPr>
        <w:t>Anishchenko</w:t>
      </w:r>
      <w:proofErr w:type="spellEnd"/>
      <w:r>
        <w:rPr>
          <w:rFonts w:ascii="Book Antiqua" w:hAnsi="Book Antiqua" w:cs="Book Antiqua"/>
        </w:rPr>
        <w:t xml:space="preserve"> VV, Poloz TL, </w:t>
      </w:r>
      <w:proofErr w:type="spellStart"/>
      <w:r>
        <w:rPr>
          <w:rFonts w:ascii="Book Antiqua" w:hAnsi="Book Antiqua" w:cs="Book Antiqua"/>
        </w:rPr>
        <w:t>Veryaskina</w:t>
      </w:r>
      <w:proofErr w:type="spellEnd"/>
      <w:r>
        <w:rPr>
          <w:rFonts w:ascii="Book Antiqua" w:hAnsi="Book Antiqua" w:cs="Book Antiqua"/>
        </w:rPr>
        <w:t xml:space="preserve"> YA, Arkhipova AA, Ustinov SN. [Differential diagnostics of gastric cancer and precancerous changes of the gastric mucosa using analysis of expression of six </w:t>
      </w:r>
      <w:proofErr w:type="spellStart"/>
      <w:r>
        <w:rPr>
          <w:rFonts w:ascii="Book Antiqua" w:hAnsi="Book Antiqua" w:cs="Book Antiqua"/>
        </w:rPr>
        <w:t>microRNAS</w:t>
      </w:r>
      <w:proofErr w:type="spellEnd"/>
      <w:r>
        <w:rPr>
          <w:rFonts w:ascii="Book Antiqua" w:hAnsi="Book Antiqua" w:cs="Book Antiqua"/>
        </w:rPr>
        <w:t xml:space="preserve">.]. </w:t>
      </w:r>
      <w:r>
        <w:rPr>
          <w:rFonts w:ascii="Book Antiqua" w:hAnsi="Book Antiqua" w:cs="Book Antiqua"/>
          <w:i/>
          <w:iCs/>
        </w:rPr>
        <w:t xml:space="preserve">Klin Lab </w:t>
      </w:r>
      <w:proofErr w:type="spellStart"/>
      <w:r>
        <w:rPr>
          <w:rFonts w:ascii="Book Antiqua" w:hAnsi="Book Antiqua" w:cs="Book Antiqua"/>
          <w:i/>
          <w:iCs/>
        </w:rPr>
        <w:t>Diagn</w:t>
      </w:r>
      <w:proofErr w:type="spellEnd"/>
      <w:r>
        <w:rPr>
          <w:rFonts w:ascii="Book Antiqua" w:hAnsi="Book Antiqua" w:cs="Book Antiqua"/>
        </w:rPr>
        <w:t xml:space="preserve"> 2020; </w:t>
      </w:r>
      <w:r>
        <w:rPr>
          <w:rFonts w:ascii="Book Antiqua" w:hAnsi="Book Antiqua" w:cs="Book Antiqua"/>
          <w:b/>
          <w:bCs/>
        </w:rPr>
        <w:t>65</w:t>
      </w:r>
      <w:r>
        <w:rPr>
          <w:rFonts w:ascii="Book Antiqua" w:hAnsi="Book Antiqua" w:cs="Book Antiqua"/>
        </w:rPr>
        <w:t>: 131-136 [PMID: 32159312 DOI: 10.18821/0869-2084-2020-65-2-131-136]</w:t>
      </w:r>
    </w:p>
    <w:p w14:paraId="1E1E407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Tong H</w:t>
      </w:r>
      <w:r>
        <w:rPr>
          <w:rFonts w:ascii="Book Antiqua" w:hAnsi="Book Antiqua" w:cs="Book Antiqua"/>
        </w:rPr>
        <w:t xml:space="preserve">, Wang Y, Li Y, Liu S, Chi C, Liu D, Guo L, Li E, Wang C. Volatile organic metabolites identify patients with gastric carcinoma, gastric ulcer, or gastritis and </w:t>
      </w:r>
      <w:r>
        <w:rPr>
          <w:rFonts w:ascii="Book Antiqua" w:hAnsi="Book Antiqua" w:cs="Book Antiqua"/>
        </w:rPr>
        <w:lastRenderedPageBreak/>
        <w:t xml:space="preserve">control patients. </w:t>
      </w:r>
      <w:r>
        <w:rPr>
          <w:rFonts w:ascii="Book Antiqua" w:hAnsi="Book Antiqua" w:cs="Book Antiqua"/>
          <w:i/>
          <w:iCs/>
        </w:rPr>
        <w:t>Cancer Cell Int</w:t>
      </w:r>
      <w:r>
        <w:rPr>
          <w:rFonts w:ascii="Book Antiqua" w:hAnsi="Book Antiqua" w:cs="Book Antiqua"/>
        </w:rPr>
        <w:t xml:space="preserve"> 2017; </w:t>
      </w:r>
      <w:r>
        <w:rPr>
          <w:rFonts w:ascii="Book Antiqua" w:hAnsi="Book Antiqua" w:cs="Book Antiqua"/>
          <w:b/>
          <w:bCs/>
        </w:rPr>
        <w:t>17</w:t>
      </w:r>
      <w:r>
        <w:rPr>
          <w:rFonts w:ascii="Book Antiqua" w:hAnsi="Book Antiqua" w:cs="Book Antiqua"/>
        </w:rPr>
        <w:t>: 108 [PMID: 29200968 DOI: 10.1186/s12935-017-0475-x]</w:t>
      </w:r>
    </w:p>
    <w:p w14:paraId="099AB905"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Zhao Y</w:t>
      </w:r>
      <w:r>
        <w:rPr>
          <w:rFonts w:ascii="Book Antiqua" w:hAnsi="Book Antiqua" w:cs="Book Antiqua"/>
        </w:rPr>
        <w:t xml:space="preserve">, Zhou T, Li A, Yao H, He F, Wang L, Si J. A potential role of collagens expression in distinguishing between premalignant and malignant lesions in stomach. </w:t>
      </w:r>
      <w:r>
        <w:rPr>
          <w:rFonts w:ascii="Book Antiqua" w:hAnsi="Book Antiqua" w:cs="Book Antiqua"/>
          <w:i/>
          <w:iCs/>
        </w:rPr>
        <w:t>Anat Rec (Hoboken)</w:t>
      </w:r>
      <w:r>
        <w:rPr>
          <w:rFonts w:ascii="Book Antiqua" w:hAnsi="Book Antiqua" w:cs="Book Antiqua"/>
        </w:rPr>
        <w:t xml:space="preserve"> 2009; </w:t>
      </w:r>
      <w:r>
        <w:rPr>
          <w:rFonts w:ascii="Book Antiqua" w:hAnsi="Book Antiqua" w:cs="Book Antiqua"/>
          <w:b/>
          <w:bCs/>
        </w:rPr>
        <w:t>292</w:t>
      </w:r>
      <w:r>
        <w:rPr>
          <w:rFonts w:ascii="Book Antiqua" w:hAnsi="Book Antiqua" w:cs="Book Antiqua"/>
        </w:rPr>
        <w:t>: 692-700 [PMID: 19306436 DOI: 10.1002/ar.20874]</w:t>
      </w:r>
    </w:p>
    <w:p w14:paraId="0FB8AE5D"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Qi M</w:t>
      </w:r>
      <w:r>
        <w:rPr>
          <w:rFonts w:ascii="Book Antiqua" w:hAnsi="Book Antiqua" w:cs="Book Antiqua"/>
        </w:rPr>
        <w:t xml:space="preserve">, Liu D, Wang H, Bianba C, Ji W. Correlation of Single Nucleotide Gene Polymorphisms and Gastric Cancer Based on Magnetic Nanoparticles. </w:t>
      </w:r>
      <w:r>
        <w:rPr>
          <w:rFonts w:ascii="Book Antiqua" w:hAnsi="Book Antiqua" w:cs="Book Antiqua"/>
          <w:i/>
          <w:iCs/>
        </w:rPr>
        <w:t xml:space="preserve">J </w:t>
      </w:r>
      <w:proofErr w:type="spellStart"/>
      <w:r>
        <w:rPr>
          <w:rFonts w:ascii="Book Antiqua" w:hAnsi="Book Antiqua" w:cs="Book Antiqua"/>
          <w:i/>
          <w:iCs/>
        </w:rPr>
        <w:t>Nanosci</w:t>
      </w:r>
      <w:proofErr w:type="spellEnd"/>
      <w:r>
        <w:rPr>
          <w:rFonts w:ascii="Book Antiqua" w:hAnsi="Book Antiqua" w:cs="Book Antiqua"/>
          <w:i/>
          <w:iCs/>
        </w:rPr>
        <w:t xml:space="preserve"> </w:t>
      </w:r>
      <w:proofErr w:type="spellStart"/>
      <w:r>
        <w:rPr>
          <w:rFonts w:ascii="Book Antiqua" w:hAnsi="Book Antiqua" w:cs="Book Antiqua"/>
          <w:i/>
          <w:iCs/>
        </w:rPr>
        <w:t>Nanotechnol</w:t>
      </w:r>
      <w:proofErr w:type="spellEnd"/>
      <w:r>
        <w:rPr>
          <w:rFonts w:ascii="Book Antiqua" w:hAnsi="Book Antiqua" w:cs="Book Antiqua"/>
        </w:rPr>
        <w:t xml:space="preserve"> 2021; </w:t>
      </w:r>
      <w:r>
        <w:rPr>
          <w:rFonts w:ascii="Book Antiqua" w:hAnsi="Book Antiqua" w:cs="Book Antiqua"/>
          <w:b/>
          <w:bCs/>
        </w:rPr>
        <w:t>21</w:t>
      </w:r>
      <w:r>
        <w:rPr>
          <w:rFonts w:ascii="Book Antiqua" w:hAnsi="Book Antiqua" w:cs="Book Antiqua"/>
        </w:rPr>
        <w:t>: 928-934 [PMID: 33183426 DOI: 10.1166/jnn.2021.18628]</w:t>
      </w:r>
    </w:p>
    <w:p w14:paraId="3B05EC71"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Jiang L</w:t>
      </w:r>
      <w:r>
        <w:rPr>
          <w:rFonts w:ascii="Book Antiqua" w:hAnsi="Book Antiqua" w:cs="Book Antiqua"/>
        </w:rPr>
        <w:t xml:space="preserve">, Gong X, Liao W, </w:t>
      </w:r>
      <w:proofErr w:type="spellStart"/>
      <w:r>
        <w:rPr>
          <w:rFonts w:ascii="Book Antiqua" w:hAnsi="Book Antiqua" w:cs="Book Antiqua"/>
        </w:rPr>
        <w:t>Lv</w:t>
      </w:r>
      <w:proofErr w:type="spellEnd"/>
      <w:r>
        <w:rPr>
          <w:rFonts w:ascii="Book Antiqua" w:hAnsi="Book Antiqua" w:cs="Book Antiqua"/>
        </w:rPr>
        <w:t xml:space="preserve"> N, Yan R. Molecular targeted treatment and drug delivery system for gastric cancer. </w:t>
      </w:r>
      <w:r>
        <w:rPr>
          <w:rFonts w:ascii="Book Antiqua" w:hAnsi="Book Antiqua" w:cs="Book Antiqua"/>
          <w:i/>
          <w:iCs/>
        </w:rPr>
        <w:t>J Cancer Res Clin Oncol</w:t>
      </w:r>
      <w:r>
        <w:rPr>
          <w:rFonts w:ascii="Book Antiqua" w:hAnsi="Book Antiqua" w:cs="Book Antiqua"/>
        </w:rPr>
        <w:t xml:space="preserve"> 2021; </w:t>
      </w:r>
      <w:r>
        <w:rPr>
          <w:rFonts w:ascii="Book Antiqua" w:hAnsi="Book Antiqua" w:cs="Book Antiqua"/>
          <w:b/>
          <w:bCs/>
        </w:rPr>
        <w:t>147</w:t>
      </w:r>
      <w:r>
        <w:rPr>
          <w:rFonts w:ascii="Book Antiqua" w:hAnsi="Book Antiqua" w:cs="Book Antiqua"/>
        </w:rPr>
        <w:t>: 973-986 [PMID: 33550445 DOI: 10.1007/s00432-021-03520-x]</w:t>
      </w:r>
    </w:p>
    <w:p w14:paraId="6D4C8FE7"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Jiang H</w:t>
      </w:r>
      <w:r>
        <w:rPr>
          <w:rFonts w:ascii="Book Antiqua" w:hAnsi="Book Antiqua" w:cs="Book Antiqua"/>
        </w:rPr>
        <w:t xml:space="preserve">, Hu K, Xia Y, Liang L, Zhu X. Long Noncoding RNA KLF3-AS1 Acts as an Endogenous RNA of miR-223 to Attenuate Gastric Cancer Progression and Chemoresistance. </w:t>
      </w:r>
      <w:r>
        <w:rPr>
          <w:rFonts w:ascii="Book Antiqua" w:hAnsi="Book Antiqua" w:cs="Book Antiqua"/>
          <w:i/>
          <w:iCs/>
        </w:rPr>
        <w:t>Front Oncol</w:t>
      </w:r>
      <w:r>
        <w:rPr>
          <w:rFonts w:ascii="Book Antiqua" w:hAnsi="Book Antiqua" w:cs="Book Antiqua"/>
        </w:rPr>
        <w:t xml:space="preserve"> 2021; </w:t>
      </w:r>
      <w:r>
        <w:rPr>
          <w:rFonts w:ascii="Book Antiqua" w:hAnsi="Book Antiqua" w:cs="Book Antiqua"/>
          <w:b/>
          <w:bCs/>
        </w:rPr>
        <w:t>11</w:t>
      </w:r>
      <w:r>
        <w:rPr>
          <w:rFonts w:ascii="Book Antiqua" w:hAnsi="Book Antiqua" w:cs="Book Antiqua"/>
        </w:rPr>
        <w:t>: 704339 [PMID: 34745937 DOI: 10.3389/fonc.2021.704339]</w:t>
      </w:r>
    </w:p>
    <w:p w14:paraId="2D397D7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Guo XM</w:t>
      </w:r>
      <w:r>
        <w:rPr>
          <w:rFonts w:ascii="Book Antiqua" w:hAnsi="Book Antiqua" w:cs="Book Antiqua"/>
        </w:rPr>
        <w:t xml:space="preserve">, Zhao HY, Shi ZY, Wang Y, Jin ML. [Application and Progress of Convolutional Neural Network-based Pathological Diagnosis of Gastric Cancer]. </w:t>
      </w:r>
      <w:r>
        <w:rPr>
          <w:rFonts w:ascii="Book Antiqua" w:hAnsi="Book Antiqua" w:cs="Book Antiqua"/>
          <w:i/>
          <w:iCs/>
        </w:rPr>
        <w:t xml:space="preserve">Sichuan Da Xue </w:t>
      </w:r>
      <w:proofErr w:type="spellStart"/>
      <w:r>
        <w:rPr>
          <w:rFonts w:ascii="Book Antiqua" w:hAnsi="Book Antiqua" w:cs="Book Antiqua"/>
          <w:i/>
          <w:iCs/>
        </w:rPr>
        <w:t>Xue</w:t>
      </w:r>
      <w:proofErr w:type="spellEnd"/>
      <w:r>
        <w:rPr>
          <w:rFonts w:ascii="Book Antiqua" w:hAnsi="Book Antiqua" w:cs="Book Antiqua"/>
          <w:i/>
          <w:iCs/>
        </w:rPr>
        <w:t xml:space="preserve"> Bao Yi Xue Ban</w:t>
      </w:r>
      <w:r>
        <w:rPr>
          <w:rFonts w:ascii="Book Antiqua" w:hAnsi="Book Antiqua" w:cs="Book Antiqua"/>
        </w:rPr>
        <w:t xml:space="preserve"> 2021; </w:t>
      </w:r>
      <w:r>
        <w:rPr>
          <w:rFonts w:ascii="Book Antiqua" w:hAnsi="Book Antiqua" w:cs="Book Antiqua"/>
          <w:b/>
          <w:bCs/>
        </w:rPr>
        <w:t>52</w:t>
      </w:r>
      <w:r>
        <w:rPr>
          <w:rFonts w:ascii="Book Antiqua" w:hAnsi="Book Antiqua" w:cs="Book Antiqua"/>
        </w:rPr>
        <w:t>: 166-169 [PMID: 33829686 DOI: 10.12182/20210360501]</w:t>
      </w:r>
    </w:p>
    <w:p w14:paraId="119005E5"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Chen R</w:t>
      </w:r>
      <w:r>
        <w:rPr>
          <w:rFonts w:ascii="Book Antiqua" w:hAnsi="Book Antiqua" w:cs="Book Antiqua"/>
        </w:rPr>
        <w:t xml:space="preserve">, Yang M, Huang W, Wang B. Cascades between miRNAs, </w:t>
      </w:r>
      <w:proofErr w:type="spellStart"/>
      <w:r>
        <w:rPr>
          <w:rFonts w:ascii="Book Antiqua" w:hAnsi="Book Antiqua" w:cs="Book Antiqua"/>
        </w:rPr>
        <w:t>lncRNAs</w:t>
      </w:r>
      <w:proofErr w:type="spellEnd"/>
      <w:r>
        <w:rPr>
          <w:rFonts w:ascii="Book Antiqua" w:hAnsi="Book Antiqua" w:cs="Book Antiqua"/>
        </w:rPr>
        <w:t xml:space="preserve"> and the NF-</w:t>
      </w:r>
      <w:proofErr w:type="spellStart"/>
      <w:r>
        <w:rPr>
          <w:rFonts w:ascii="Book Antiqua" w:hAnsi="Book Antiqua" w:cs="Book Antiqua"/>
        </w:rPr>
        <w:t>κB</w:t>
      </w:r>
      <w:proofErr w:type="spellEnd"/>
      <w:r>
        <w:rPr>
          <w:rFonts w:ascii="Book Antiqua" w:hAnsi="Book Antiqua" w:cs="Book Antiqua"/>
        </w:rPr>
        <w:t xml:space="preserve"> signaling pathway in gastric cancer (Review). </w:t>
      </w:r>
      <w:r>
        <w:rPr>
          <w:rFonts w:ascii="Book Antiqua" w:hAnsi="Book Antiqua" w:cs="Book Antiqua"/>
          <w:i/>
          <w:iCs/>
        </w:rPr>
        <w:t>Exp Ther Med</w:t>
      </w:r>
      <w:r>
        <w:rPr>
          <w:rFonts w:ascii="Book Antiqua" w:hAnsi="Book Antiqua" w:cs="Book Antiqua"/>
        </w:rPr>
        <w:t xml:space="preserve"> 2021; </w:t>
      </w:r>
      <w:r>
        <w:rPr>
          <w:rFonts w:ascii="Book Antiqua" w:hAnsi="Book Antiqua" w:cs="Book Antiqua"/>
          <w:b/>
          <w:bCs/>
        </w:rPr>
        <w:t>22</w:t>
      </w:r>
      <w:r>
        <w:rPr>
          <w:rFonts w:ascii="Book Antiqua" w:hAnsi="Book Antiqua" w:cs="Book Antiqua"/>
        </w:rPr>
        <w:t>: 769 [PMID: 34055068 DOI: 10.3892/etm.2021.10201]</w:t>
      </w:r>
    </w:p>
    <w:p w14:paraId="5D3EE1BB"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Chen J</w:t>
      </w:r>
      <w:r>
        <w:rPr>
          <w:rFonts w:ascii="Book Antiqua" w:hAnsi="Book Antiqua" w:cs="Book Antiqua"/>
        </w:rPr>
        <w:t xml:space="preserve">, Liu Z, Gao G, Mo Y, Zhou H, Huang W, Wu L, He X, Ding J, Luo C, Long H, Feng J, Sun Y, Guan X. Efficacy of circulating microRNA-130b and blood routine parameters in the early diagnosis of gastric cancer. </w:t>
      </w:r>
      <w:r>
        <w:rPr>
          <w:rFonts w:ascii="Book Antiqua" w:hAnsi="Book Antiqua" w:cs="Book Antiqua"/>
          <w:i/>
          <w:iCs/>
        </w:rPr>
        <w:t>Oncol Lett</w:t>
      </w:r>
      <w:r>
        <w:rPr>
          <w:rFonts w:ascii="Book Antiqua" w:hAnsi="Book Antiqua" w:cs="Book Antiqua"/>
        </w:rPr>
        <w:t xml:space="preserve"> 2021; </w:t>
      </w:r>
      <w:r>
        <w:rPr>
          <w:rFonts w:ascii="Book Antiqua" w:hAnsi="Book Antiqua" w:cs="Book Antiqua"/>
          <w:b/>
          <w:bCs/>
        </w:rPr>
        <w:t>22</w:t>
      </w:r>
      <w:r>
        <w:rPr>
          <w:rFonts w:ascii="Book Antiqua" w:hAnsi="Book Antiqua" w:cs="Book Antiqua"/>
        </w:rPr>
        <w:t>: 725 [PMID: 34429765 DOI: 10.3892/ol.2021.12986]</w:t>
      </w:r>
    </w:p>
    <w:p w14:paraId="50669DF9"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Wang H</w:t>
      </w:r>
      <w:r>
        <w:rPr>
          <w:rFonts w:ascii="Book Antiqua" w:hAnsi="Book Antiqua" w:cs="Book Antiqua"/>
        </w:rPr>
        <w:t xml:space="preserve">, Li J. A systematic review and meta-analysis protocol of clinical characteristics and prognostic significance of mammalian target of rapamycin for gastric </w:t>
      </w:r>
      <w:r>
        <w:rPr>
          <w:rFonts w:ascii="Book Antiqua" w:hAnsi="Book Antiqua" w:cs="Book Antiqua"/>
        </w:rPr>
        <w:lastRenderedPageBreak/>
        <w:t xml:space="preserve">cancer patients. </w:t>
      </w:r>
      <w:r>
        <w:rPr>
          <w:rFonts w:ascii="Book Antiqua" w:hAnsi="Book Antiqua" w:cs="Book Antiqua"/>
          <w:i/>
          <w:iCs/>
        </w:rPr>
        <w:t>Medicine (Baltimore)</w:t>
      </w:r>
      <w:r>
        <w:rPr>
          <w:rFonts w:ascii="Book Antiqua" w:hAnsi="Book Antiqua" w:cs="Book Antiqua"/>
        </w:rPr>
        <w:t xml:space="preserve"> 2020; </w:t>
      </w:r>
      <w:r>
        <w:rPr>
          <w:rFonts w:ascii="Book Antiqua" w:hAnsi="Book Antiqua" w:cs="Book Antiqua"/>
          <w:b/>
          <w:bCs/>
        </w:rPr>
        <w:t>99</w:t>
      </w:r>
      <w:r>
        <w:rPr>
          <w:rFonts w:ascii="Book Antiqua" w:hAnsi="Book Antiqua" w:cs="Book Antiqua"/>
        </w:rPr>
        <w:t>: e21138 [PMID: 32769866 DOI: 10.1097/MD.0000000000021138]</w:t>
      </w:r>
    </w:p>
    <w:p w14:paraId="0BC72789"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22 </w:t>
      </w:r>
      <w:proofErr w:type="spellStart"/>
      <w:r>
        <w:rPr>
          <w:rFonts w:ascii="Book Antiqua" w:hAnsi="Book Antiqua" w:cs="Book Antiqua"/>
          <w:b/>
          <w:bCs/>
        </w:rPr>
        <w:t>Shafabakhsh</w:t>
      </w:r>
      <w:proofErr w:type="spellEnd"/>
      <w:r>
        <w:rPr>
          <w:rFonts w:ascii="Book Antiqua" w:hAnsi="Book Antiqua" w:cs="Book Antiqua"/>
          <w:b/>
          <w:bCs/>
        </w:rPr>
        <w:t xml:space="preserve"> R</w:t>
      </w:r>
      <w:r>
        <w:rPr>
          <w:rFonts w:ascii="Book Antiqua" w:hAnsi="Book Antiqua" w:cs="Book Antiqua"/>
        </w:rPr>
        <w:t xml:space="preserve">, Yousefi B, </w:t>
      </w:r>
      <w:proofErr w:type="spellStart"/>
      <w:r>
        <w:rPr>
          <w:rFonts w:ascii="Book Antiqua" w:hAnsi="Book Antiqua" w:cs="Book Antiqua"/>
        </w:rPr>
        <w:t>Asemi</w:t>
      </w:r>
      <w:proofErr w:type="spellEnd"/>
      <w:r>
        <w:rPr>
          <w:rFonts w:ascii="Book Antiqua" w:hAnsi="Book Antiqua" w:cs="Book Antiqua"/>
        </w:rPr>
        <w:t xml:space="preserve"> Z, </w:t>
      </w:r>
      <w:proofErr w:type="spellStart"/>
      <w:r>
        <w:rPr>
          <w:rFonts w:ascii="Book Antiqua" w:hAnsi="Book Antiqua" w:cs="Book Antiqua"/>
        </w:rPr>
        <w:t>Nikfar</w:t>
      </w:r>
      <w:proofErr w:type="spellEnd"/>
      <w:r>
        <w:rPr>
          <w:rFonts w:ascii="Book Antiqua" w:hAnsi="Book Antiqua" w:cs="Book Antiqua"/>
        </w:rPr>
        <w:t xml:space="preserve"> B, </w:t>
      </w:r>
      <w:proofErr w:type="spellStart"/>
      <w:r>
        <w:rPr>
          <w:rFonts w:ascii="Book Antiqua" w:hAnsi="Book Antiqua" w:cs="Book Antiqua"/>
        </w:rPr>
        <w:t>Mansournia</w:t>
      </w:r>
      <w:proofErr w:type="spellEnd"/>
      <w:r>
        <w:rPr>
          <w:rFonts w:ascii="Book Antiqua" w:hAnsi="Book Antiqua" w:cs="Book Antiqua"/>
        </w:rPr>
        <w:t xml:space="preserve"> MA, </w:t>
      </w:r>
      <w:proofErr w:type="spellStart"/>
      <w:r>
        <w:rPr>
          <w:rFonts w:ascii="Book Antiqua" w:hAnsi="Book Antiqua" w:cs="Book Antiqua"/>
        </w:rPr>
        <w:t>Hallajzadeh</w:t>
      </w:r>
      <w:proofErr w:type="spellEnd"/>
      <w:r>
        <w:rPr>
          <w:rFonts w:ascii="Book Antiqua" w:hAnsi="Book Antiqua" w:cs="Book Antiqua"/>
        </w:rPr>
        <w:t xml:space="preserve"> J. Chitosan: A compound for drug delivery system in gastric cancer-a review. </w:t>
      </w:r>
      <w:proofErr w:type="spellStart"/>
      <w:r>
        <w:rPr>
          <w:rFonts w:ascii="Book Antiqua" w:hAnsi="Book Antiqua" w:cs="Book Antiqua"/>
          <w:i/>
          <w:iCs/>
        </w:rPr>
        <w:t>Carbohydr</w:t>
      </w:r>
      <w:proofErr w:type="spellEnd"/>
      <w:r>
        <w:rPr>
          <w:rFonts w:ascii="Book Antiqua" w:hAnsi="Book Antiqua" w:cs="Book Antiqua"/>
          <w:i/>
          <w:iCs/>
        </w:rPr>
        <w:t xml:space="preserve"> </w:t>
      </w:r>
      <w:proofErr w:type="spellStart"/>
      <w:r>
        <w:rPr>
          <w:rFonts w:ascii="Book Antiqua" w:hAnsi="Book Antiqua" w:cs="Book Antiqua"/>
          <w:i/>
          <w:iCs/>
        </w:rPr>
        <w:t>Polym</w:t>
      </w:r>
      <w:proofErr w:type="spellEnd"/>
      <w:r>
        <w:rPr>
          <w:rFonts w:ascii="Book Antiqua" w:hAnsi="Book Antiqua" w:cs="Book Antiqua"/>
        </w:rPr>
        <w:t xml:space="preserve"> 2020; </w:t>
      </w:r>
      <w:r>
        <w:rPr>
          <w:rFonts w:ascii="Book Antiqua" w:hAnsi="Book Antiqua" w:cs="Book Antiqua"/>
          <w:b/>
          <w:bCs/>
        </w:rPr>
        <w:t>242</w:t>
      </w:r>
      <w:r>
        <w:rPr>
          <w:rFonts w:ascii="Book Antiqua" w:hAnsi="Book Antiqua" w:cs="Book Antiqua"/>
        </w:rPr>
        <w:t>: 116403 [PMID: 32564837 DOI: 10.1016/j.carbpol.2020.116403]</w:t>
      </w:r>
    </w:p>
    <w:p w14:paraId="72447095"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Tan Z</w:t>
      </w:r>
      <w:r>
        <w:rPr>
          <w:rFonts w:ascii="Book Antiqua" w:hAnsi="Book Antiqua" w:cs="Book Antiqua"/>
        </w:rPr>
        <w:t xml:space="preserve">. Recent Advances in the Surgical Treatment of Advanced Gastric Cancer: A Review. </w:t>
      </w:r>
      <w:r>
        <w:rPr>
          <w:rFonts w:ascii="Book Antiqua" w:hAnsi="Book Antiqua" w:cs="Book Antiqua"/>
          <w:i/>
          <w:iCs/>
        </w:rPr>
        <w:t>Med Sci Monit</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3537-3541 [PMID: 31080234 DOI: 10.12659/MSM.916475]</w:t>
      </w:r>
    </w:p>
    <w:p w14:paraId="469FFEB6"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Zou WB</w:t>
      </w:r>
      <w:r>
        <w:rPr>
          <w:rFonts w:ascii="Book Antiqua" w:hAnsi="Book Antiqua" w:cs="Book Antiqua"/>
        </w:rPr>
        <w:t xml:space="preserve">, Yang F, Li ZS. [How to improve the diagnosis rate of early gastric cancer in China]. </w:t>
      </w:r>
      <w:r>
        <w:rPr>
          <w:rFonts w:ascii="Book Antiqua" w:hAnsi="Book Antiqua" w:cs="Book Antiqua"/>
          <w:i/>
          <w:iCs/>
        </w:rPr>
        <w:t xml:space="preserve">Zhejiang Da Xue </w:t>
      </w:r>
      <w:proofErr w:type="spellStart"/>
      <w:r>
        <w:rPr>
          <w:rFonts w:ascii="Book Antiqua" w:hAnsi="Book Antiqua" w:cs="Book Antiqua"/>
          <w:i/>
          <w:iCs/>
        </w:rPr>
        <w:t>Xue</w:t>
      </w:r>
      <w:proofErr w:type="spellEnd"/>
      <w:r>
        <w:rPr>
          <w:rFonts w:ascii="Book Antiqua" w:hAnsi="Book Antiqua" w:cs="Book Antiqua"/>
          <w:i/>
          <w:iCs/>
        </w:rPr>
        <w:t xml:space="preserve"> Bao Yi Xue Ban</w:t>
      </w:r>
      <w:r>
        <w:rPr>
          <w:rFonts w:ascii="Book Antiqua" w:hAnsi="Book Antiqua" w:cs="Book Antiqua"/>
        </w:rPr>
        <w:t xml:space="preserve"> 2015; </w:t>
      </w:r>
      <w:r>
        <w:rPr>
          <w:rFonts w:ascii="Book Antiqua" w:hAnsi="Book Antiqua" w:cs="Book Antiqua"/>
          <w:b/>
          <w:bCs/>
        </w:rPr>
        <w:t>44</w:t>
      </w:r>
      <w:r>
        <w:rPr>
          <w:rFonts w:ascii="Book Antiqua" w:hAnsi="Book Antiqua" w:cs="Book Antiqua"/>
        </w:rPr>
        <w:t>: 9-14 [PMID: 25851969 DOI: 10.3785/j.issn.1008-9292.2015.01.002]</w:t>
      </w:r>
    </w:p>
    <w:p w14:paraId="02FB6C41"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Mu YP</w:t>
      </w:r>
      <w:r>
        <w:rPr>
          <w:rFonts w:ascii="Book Antiqua" w:hAnsi="Book Antiqua" w:cs="Book Antiqua"/>
        </w:rPr>
        <w:t xml:space="preserve">, Sun WJ, Lu CW, Su XL. MicroRNAs May Serve as Emerging Molecular Biomarkers for Diagnosis and Prognostic Assessment or as Targets for Therapy in Gastric Cancer. </w:t>
      </w:r>
      <w:r>
        <w:rPr>
          <w:rFonts w:ascii="Book Antiqua" w:hAnsi="Book Antiqua" w:cs="Book Antiqua"/>
          <w:i/>
          <w:iCs/>
        </w:rPr>
        <w:t>Asian Pac J Cancer Prev</w:t>
      </w:r>
      <w:r>
        <w:rPr>
          <w:rFonts w:ascii="Book Antiqua" w:hAnsi="Book Antiqua" w:cs="Book Antiqua"/>
        </w:rPr>
        <w:t xml:space="preserve"> 2015; </w:t>
      </w:r>
      <w:r>
        <w:rPr>
          <w:rFonts w:ascii="Book Antiqua" w:hAnsi="Book Antiqua" w:cs="Book Antiqua"/>
          <w:b/>
          <w:bCs/>
        </w:rPr>
        <w:t>16</w:t>
      </w:r>
      <w:r>
        <w:rPr>
          <w:rFonts w:ascii="Book Antiqua" w:hAnsi="Book Antiqua" w:cs="Book Antiqua"/>
        </w:rPr>
        <w:t>: 4813-4820 [PMID: 26163596 DOI: 10.7314/apjcp.2015.16.12.4813]</w:t>
      </w:r>
    </w:p>
    <w:p w14:paraId="0274AED1"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Zheng G</w:t>
      </w:r>
      <w:r>
        <w:rPr>
          <w:rFonts w:ascii="Book Antiqua" w:hAnsi="Book Antiqua" w:cs="Book Antiqua"/>
        </w:rPr>
        <w:t xml:space="preserve">, Xiong Y, Xu W, Wang Y, Chen F, Wang Z, Yan Z. A two-microRNA signature as a potential biomarker for early gastric cancer. </w:t>
      </w:r>
      <w:r>
        <w:rPr>
          <w:rFonts w:ascii="Book Antiqua" w:hAnsi="Book Antiqua" w:cs="Book Antiqua"/>
          <w:i/>
          <w:iCs/>
        </w:rPr>
        <w:t>Oncol Lett</w:t>
      </w:r>
      <w:r>
        <w:rPr>
          <w:rFonts w:ascii="Book Antiqua" w:hAnsi="Book Antiqua" w:cs="Book Antiqua"/>
        </w:rPr>
        <w:t xml:space="preserve"> 2014; </w:t>
      </w:r>
      <w:r>
        <w:rPr>
          <w:rFonts w:ascii="Book Antiqua" w:hAnsi="Book Antiqua" w:cs="Book Antiqua"/>
          <w:b/>
          <w:bCs/>
        </w:rPr>
        <w:t>7</w:t>
      </w:r>
      <w:r>
        <w:rPr>
          <w:rFonts w:ascii="Book Antiqua" w:hAnsi="Book Antiqua" w:cs="Book Antiqua"/>
        </w:rPr>
        <w:t>: 679-684 [PMID: 24527072 DOI: 10.3892/ol.2014.1797]</w:t>
      </w:r>
    </w:p>
    <w:p w14:paraId="51633A0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Xiang Z</w:t>
      </w:r>
      <w:r>
        <w:rPr>
          <w:rFonts w:ascii="Book Antiqua" w:hAnsi="Book Antiqua" w:cs="Book Antiqua"/>
        </w:rPr>
        <w:t xml:space="preserve">, Zhou X, </w:t>
      </w:r>
      <w:proofErr w:type="spellStart"/>
      <w:r>
        <w:rPr>
          <w:rFonts w:ascii="Book Antiqua" w:hAnsi="Book Antiqua" w:cs="Book Antiqua"/>
        </w:rPr>
        <w:t>Mranda</w:t>
      </w:r>
      <w:proofErr w:type="spellEnd"/>
      <w:r>
        <w:rPr>
          <w:rFonts w:ascii="Book Antiqua" w:hAnsi="Book Antiqua" w:cs="Book Antiqua"/>
        </w:rPr>
        <w:t xml:space="preserve"> GM, Xue Y, Wang Y, Wei T, Liu J, Ding Y. Identification of the ferroptosis-related </w:t>
      </w:r>
      <w:proofErr w:type="spellStart"/>
      <w:r>
        <w:rPr>
          <w:rFonts w:ascii="Book Antiqua" w:hAnsi="Book Antiqua" w:cs="Book Antiqua"/>
        </w:rPr>
        <w:t>ceRNA</w:t>
      </w:r>
      <w:proofErr w:type="spellEnd"/>
      <w:r>
        <w:rPr>
          <w:rFonts w:ascii="Book Antiqua" w:hAnsi="Book Antiqua" w:cs="Book Antiqua"/>
        </w:rPr>
        <w:t xml:space="preserve"> network related to prognosis and tumor immunity for gastric cancer. </w:t>
      </w:r>
      <w:r>
        <w:rPr>
          <w:rFonts w:ascii="Book Antiqua" w:hAnsi="Book Antiqua" w:cs="Book Antiqua"/>
          <w:i/>
          <w:iCs/>
        </w:rPr>
        <w:t>Aging (Albany NY)</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5768-5782 [PMID: 35835721 DOI: 10.18632/aging.204176]</w:t>
      </w:r>
    </w:p>
    <w:p w14:paraId="66B7096A"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White JR</w:t>
      </w:r>
      <w:r>
        <w:rPr>
          <w:rFonts w:ascii="Book Antiqua" w:hAnsi="Book Antiqua" w:cs="Book Antiqua"/>
        </w:rPr>
        <w:t xml:space="preserve">, Banks M. Identifying the pre-malignant stomach: from guidelines to practice. </w:t>
      </w:r>
      <w:proofErr w:type="spellStart"/>
      <w:r>
        <w:rPr>
          <w:rFonts w:ascii="Book Antiqua" w:hAnsi="Book Antiqua" w:cs="Book Antiqua"/>
          <w:i/>
          <w:iCs/>
        </w:rPr>
        <w:t>Transl</w:t>
      </w:r>
      <w:proofErr w:type="spellEnd"/>
      <w:r>
        <w:rPr>
          <w:rFonts w:ascii="Book Antiqua" w:hAnsi="Book Antiqua" w:cs="Book Antiqua"/>
          <w:i/>
          <w:iCs/>
        </w:rPr>
        <w:t xml:space="preserve"> Gastroenterol Hepatol</w:t>
      </w:r>
      <w:r>
        <w:rPr>
          <w:rFonts w:ascii="Book Antiqua" w:hAnsi="Book Antiqua" w:cs="Book Antiqua"/>
        </w:rPr>
        <w:t xml:space="preserve"> 2022; </w:t>
      </w:r>
      <w:r>
        <w:rPr>
          <w:rFonts w:ascii="Book Antiqua" w:hAnsi="Book Antiqua" w:cs="Book Antiqua"/>
          <w:b/>
          <w:bCs/>
        </w:rPr>
        <w:t>7</w:t>
      </w:r>
      <w:r>
        <w:rPr>
          <w:rFonts w:ascii="Book Antiqua" w:hAnsi="Book Antiqua" w:cs="Book Antiqua"/>
        </w:rPr>
        <w:t>: 8 [PMID: 35243117 DOI: 10.21037/tgh.2020.03.03]</w:t>
      </w:r>
    </w:p>
    <w:p w14:paraId="16F11402"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29 </w:t>
      </w:r>
      <w:proofErr w:type="spellStart"/>
      <w:r>
        <w:rPr>
          <w:rFonts w:ascii="Book Antiqua" w:hAnsi="Book Antiqua" w:cs="Book Antiqua"/>
          <w:b/>
          <w:bCs/>
        </w:rPr>
        <w:t>Sukri</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Hanafiah</w:t>
      </w:r>
      <w:proofErr w:type="spellEnd"/>
      <w:r>
        <w:rPr>
          <w:rFonts w:ascii="Book Antiqua" w:hAnsi="Book Antiqua" w:cs="Book Antiqua"/>
        </w:rPr>
        <w:t xml:space="preserve"> A, Kosai NR. The Roles of Immune Cells in Gastric Cancer: Anti-Cancer or Pro-Cancer? </w:t>
      </w:r>
      <w:r>
        <w:rPr>
          <w:rFonts w:ascii="Book Antiqua" w:hAnsi="Book Antiqua" w:cs="Book Antiqua"/>
          <w:i/>
          <w:iCs/>
        </w:rPr>
        <w:t>Cancers (Basel)</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xml:space="preserve"> [PMID: 36010915 DOI: 10.3390/cancers14163922]</w:t>
      </w:r>
    </w:p>
    <w:p w14:paraId="399944CD"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30 </w:t>
      </w:r>
      <w:r>
        <w:rPr>
          <w:rFonts w:ascii="Book Antiqua" w:hAnsi="Book Antiqua" w:cs="Book Antiqua"/>
          <w:b/>
          <w:bCs/>
        </w:rPr>
        <w:t>Niu X</w:t>
      </w:r>
      <w:r>
        <w:rPr>
          <w:rFonts w:ascii="Book Antiqua" w:hAnsi="Book Antiqua" w:cs="Book Antiqua"/>
        </w:rPr>
        <w:t xml:space="preserve">, Ren L, Hu A, Zhang S, Qi H. Identification of Potential Diagnostic and Prognostic Biomarkers for Gastric Cancer Based on Bioinformatic Analysis. </w:t>
      </w:r>
      <w:r>
        <w:rPr>
          <w:rFonts w:ascii="Book Antiqua" w:hAnsi="Book Antiqua" w:cs="Book Antiqua"/>
          <w:i/>
          <w:iCs/>
        </w:rPr>
        <w:t>Front Genet</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862105 [PMID: 35368700 DOI: 10.3389/fgene.2022.862105]</w:t>
      </w:r>
    </w:p>
    <w:p w14:paraId="47F14F87"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31 </w:t>
      </w:r>
      <w:proofErr w:type="spellStart"/>
      <w:r>
        <w:rPr>
          <w:rFonts w:ascii="Book Antiqua" w:hAnsi="Book Antiqua" w:cs="Book Antiqua"/>
          <w:b/>
          <w:bCs/>
        </w:rPr>
        <w:t>Koopaie</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Ghafourian</w:t>
      </w:r>
      <w:proofErr w:type="spellEnd"/>
      <w:r>
        <w:rPr>
          <w:rFonts w:ascii="Book Antiqua" w:hAnsi="Book Antiqua" w:cs="Book Antiqua"/>
        </w:rPr>
        <w:t xml:space="preserve"> M, </w:t>
      </w:r>
      <w:proofErr w:type="spellStart"/>
      <w:r>
        <w:rPr>
          <w:rFonts w:ascii="Book Antiqua" w:hAnsi="Book Antiqua" w:cs="Book Antiqua"/>
        </w:rPr>
        <w:t>Manifar</w:t>
      </w:r>
      <w:proofErr w:type="spellEnd"/>
      <w:r>
        <w:rPr>
          <w:rFonts w:ascii="Book Antiqua" w:hAnsi="Book Antiqua" w:cs="Book Antiqua"/>
        </w:rPr>
        <w:t xml:space="preserve"> S, </w:t>
      </w:r>
      <w:proofErr w:type="spellStart"/>
      <w:r>
        <w:rPr>
          <w:rFonts w:ascii="Book Antiqua" w:hAnsi="Book Antiqua" w:cs="Book Antiqua"/>
        </w:rPr>
        <w:t>Younespour</w:t>
      </w:r>
      <w:proofErr w:type="spellEnd"/>
      <w:r>
        <w:rPr>
          <w:rFonts w:ascii="Book Antiqua" w:hAnsi="Book Antiqua" w:cs="Book Antiqua"/>
        </w:rPr>
        <w:t xml:space="preserve"> S, Davoudi M, </w:t>
      </w:r>
      <w:proofErr w:type="spellStart"/>
      <w:r>
        <w:rPr>
          <w:rFonts w:ascii="Book Antiqua" w:hAnsi="Book Antiqua" w:cs="Book Antiqua"/>
        </w:rPr>
        <w:t>Kolahdooz</w:t>
      </w:r>
      <w:proofErr w:type="spellEnd"/>
      <w:r>
        <w:rPr>
          <w:rFonts w:ascii="Book Antiqua" w:hAnsi="Book Antiqua" w:cs="Book Antiqua"/>
        </w:rPr>
        <w:t xml:space="preserve"> S, </w:t>
      </w:r>
      <w:proofErr w:type="spellStart"/>
      <w:r>
        <w:rPr>
          <w:rFonts w:ascii="Book Antiqua" w:hAnsi="Book Antiqua" w:cs="Book Antiqua"/>
        </w:rPr>
        <w:t>Shirkhoda</w:t>
      </w:r>
      <w:proofErr w:type="spellEnd"/>
      <w:r>
        <w:rPr>
          <w:rFonts w:ascii="Book Antiqua" w:hAnsi="Book Antiqua" w:cs="Book Antiqua"/>
        </w:rPr>
        <w:t xml:space="preserve"> M. Evaluation of CSTB and DMBT1 expression in saliva of gastric cancer patients and controls. </w:t>
      </w:r>
      <w:r>
        <w:rPr>
          <w:rFonts w:ascii="Book Antiqua" w:hAnsi="Book Antiqua" w:cs="Book Antiqua"/>
          <w:i/>
          <w:iCs/>
        </w:rPr>
        <w:t>BMC Cancer</w:t>
      </w:r>
      <w:r>
        <w:rPr>
          <w:rFonts w:ascii="Book Antiqua" w:hAnsi="Book Antiqua" w:cs="Book Antiqua"/>
        </w:rPr>
        <w:t xml:space="preserve"> 2022; </w:t>
      </w:r>
      <w:r>
        <w:rPr>
          <w:rFonts w:ascii="Book Antiqua" w:hAnsi="Book Antiqua" w:cs="Book Antiqua"/>
          <w:b/>
          <w:bCs/>
        </w:rPr>
        <w:t>22</w:t>
      </w:r>
      <w:r>
        <w:rPr>
          <w:rFonts w:ascii="Book Antiqua" w:hAnsi="Book Antiqua" w:cs="Book Antiqua"/>
        </w:rPr>
        <w:t>: 473 [PMID: 35488257 DOI: 10.1186/s12885-022-09570-9]</w:t>
      </w:r>
    </w:p>
    <w:p w14:paraId="0F84CCD5"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Hassen G</w:t>
      </w:r>
      <w:r>
        <w:rPr>
          <w:rFonts w:ascii="Book Antiqua" w:hAnsi="Book Antiqua" w:cs="Book Antiqua"/>
        </w:rPr>
        <w:t xml:space="preserve">, Kasar A, Jain N, Berry S, Dave J, </w:t>
      </w:r>
      <w:proofErr w:type="spellStart"/>
      <w:r>
        <w:rPr>
          <w:rFonts w:ascii="Book Antiqua" w:hAnsi="Book Antiqua" w:cs="Book Antiqua"/>
        </w:rPr>
        <w:t>Zouetr</w:t>
      </w:r>
      <w:proofErr w:type="spellEnd"/>
      <w:r>
        <w:rPr>
          <w:rFonts w:ascii="Book Antiqua" w:hAnsi="Book Antiqua" w:cs="Book Antiqua"/>
        </w:rPr>
        <w:t xml:space="preserve"> M, Priyanka </w:t>
      </w:r>
      <w:proofErr w:type="spellStart"/>
      <w:r>
        <w:rPr>
          <w:rFonts w:ascii="Book Antiqua" w:hAnsi="Book Antiqua" w:cs="Book Antiqua"/>
        </w:rPr>
        <w:t>Ganapathiraju</w:t>
      </w:r>
      <w:proofErr w:type="spellEnd"/>
      <w:r>
        <w:rPr>
          <w:rFonts w:ascii="Book Antiqua" w:hAnsi="Book Antiqua" w:cs="Book Antiqua"/>
        </w:rPr>
        <w:t xml:space="preserve"> VLN, Kurapati T, Oshai S, Saad M, Pathan J, Kamat S, Tirupathi R, Patel UK, Rana RK. Programmed Death-Ligand 1 (PD-L1) Positivity and Factors Associated with Poor Prognosis in Patients with Gastric Cancer: An Umbrella Meta-Analysis. </w:t>
      </w:r>
      <w:proofErr w:type="spellStart"/>
      <w:r>
        <w:rPr>
          <w:rFonts w:ascii="Book Antiqua" w:hAnsi="Book Antiqua" w:cs="Book Antiqua"/>
          <w:i/>
          <w:iCs/>
        </w:rPr>
        <w:t>Cureus</w:t>
      </w:r>
      <w:proofErr w:type="spellEnd"/>
      <w:r>
        <w:rPr>
          <w:rFonts w:ascii="Book Antiqua" w:hAnsi="Book Antiqua" w:cs="Book Antiqua"/>
        </w:rPr>
        <w:t xml:space="preserve"> 2022; </w:t>
      </w:r>
      <w:r>
        <w:rPr>
          <w:rFonts w:ascii="Book Antiqua" w:hAnsi="Book Antiqua" w:cs="Book Antiqua"/>
          <w:b/>
          <w:bCs/>
        </w:rPr>
        <w:t>14</w:t>
      </w:r>
      <w:r>
        <w:rPr>
          <w:rFonts w:ascii="Book Antiqua" w:hAnsi="Book Antiqua" w:cs="Book Antiqua"/>
        </w:rPr>
        <w:t>: e23845 [PMID: 35530821 DOI: 10.7759/cureus.23845]</w:t>
      </w:r>
    </w:p>
    <w:p w14:paraId="74B2B23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Waddingham W</w:t>
      </w:r>
      <w:r>
        <w:rPr>
          <w:rFonts w:ascii="Book Antiqua" w:hAnsi="Book Antiqua" w:cs="Book Antiqua"/>
        </w:rPr>
        <w:t xml:space="preserve">, </w:t>
      </w:r>
      <w:proofErr w:type="spellStart"/>
      <w:r>
        <w:rPr>
          <w:rFonts w:ascii="Book Antiqua" w:hAnsi="Book Antiqua" w:cs="Book Antiqua"/>
        </w:rPr>
        <w:t>Nieuwenburg</w:t>
      </w:r>
      <w:proofErr w:type="spellEnd"/>
      <w:r>
        <w:rPr>
          <w:rFonts w:ascii="Book Antiqua" w:hAnsi="Book Antiqua" w:cs="Book Antiqua"/>
        </w:rPr>
        <w:t xml:space="preserve"> SAV, Carlson S, Rodriguez-Justo M, </w:t>
      </w:r>
      <w:proofErr w:type="spellStart"/>
      <w:r>
        <w:rPr>
          <w:rFonts w:ascii="Book Antiqua" w:hAnsi="Book Antiqua" w:cs="Book Antiqua"/>
        </w:rPr>
        <w:t>Spaander</w:t>
      </w:r>
      <w:proofErr w:type="spellEnd"/>
      <w:r>
        <w:rPr>
          <w:rFonts w:ascii="Book Antiqua" w:hAnsi="Book Antiqua" w:cs="Book Antiqua"/>
        </w:rPr>
        <w:t xml:space="preserve"> M, Kuipers EJ, Jansen M, Graham DG, Banks M. Recent advances in the detection and management of early gastric cancer and its precursors. </w:t>
      </w:r>
      <w:r>
        <w:rPr>
          <w:rFonts w:ascii="Book Antiqua" w:hAnsi="Book Antiqua" w:cs="Book Antiqua"/>
          <w:i/>
          <w:iCs/>
        </w:rPr>
        <w:t>Frontline Gastroenterol</w:t>
      </w:r>
      <w:r>
        <w:rPr>
          <w:rFonts w:ascii="Book Antiqua" w:hAnsi="Book Antiqua" w:cs="Book Antiqua"/>
        </w:rPr>
        <w:t xml:space="preserve"> 2021; </w:t>
      </w:r>
      <w:r>
        <w:rPr>
          <w:rFonts w:ascii="Book Antiqua" w:hAnsi="Book Antiqua" w:cs="Book Antiqua"/>
          <w:b/>
          <w:bCs/>
        </w:rPr>
        <w:t>12</w:t>
      </w:r>
      <w:r>
        <w:rPr>
          <w:rFonts w:ascii="Book Antiqua" w:hAnsi="Book Antiqua" w:cs="Book Antiqua"/>
        </w:rPr>
        <w:t>: 322-331 [PMID: 34249318 DOI: 10.1136/flgastro-2018-101089]</w:t>
      </w:r>
    </w:p>
    <w:p w14:paraId="066CA41B"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Feng H</w:t>
      </w:r>
      <w:r>
        <w:rPr>
          <w:rFonts w:ascii="Book Antiqua" w:hAnsi="Book Antiqua" w:cs="Book Antiqua"/>
        </w:rPr>
        <w:t xml:space="preserve">, Liu X. Interaction between ACOT7 and LncRNA NMRAL2P via Methylation Regulates Gastric Cancer Progression. </w:t>
      </w:r>
      <w:r>
        <w:rPr>
          <w:rFonts w:ascii="Book Antiqua" w:hAnsi="Book Antiqua" w:cs="Book Antiqua"/>
          <w:i/>
          <w:iCs/>
        </w:rPr>
        <w:t>Yonsei Med J</w:t>
      </w:r>
      <w:r>
        <w:rPr>
          <w:rFonts w:ascii="Book Antiqua" w:hAnsi="Book Antiqua" w:cs="Book Antiqua"/>
        </w:rPr>
        <w:t xml:space="preserve"> 2020; </w:t>
      </w:r>
      <w:r>
        <w:rPr>
          <w:rFonts w:ascii="Book Antiqua" w:hAnsi="Book Antiqua" w:cs="Book Antiqua"/>
          <w:b/>
          <w:bCs/>
        </w:rPr>
        <w:t>61</w:t>
      </w:r>
      <w:r>
        <w:rPr>
          <w:rFonts w:ascii="Book Antiqua" w:hAnsi="Book Antiqua" w:cs="Book Antiqua"/>
        </w:rPr>
        <w:t>: 471-481 [PMID: 32469171 DOI: 10.3349/ymj.2020.61.6.471]</w:t>
      </w:r>
    </w:p>
    <w:p w14:paraId="10E0607A"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Canale M</w:t>
      </w:r>
      <w:r>
        <w:rPr>
          <w:rFonts w:ascii="Book Antiqua" w:hAnsi="Book Antiqua" w:cs="Book Antiqua"/>
        </w:rPr>
        <w:t xml:space="preserve">, Casadei-Gardini A, </w:t>
      </w:r>
      <w:proofErr w:type="spellStart"/>
      <w:r>
        <w:rPr>
          <w:rFonts w:ascii="Book Antiqua" w:hAnsi="Book Antiqua" w:cs="Book Antiqua"/>
        </w:rPr>
        <w:t>Ulivi</w:t>
      </w:r>
      <w:proofErr w:type="spellEnd"/>
      <w:r>
        <w:rPr>
          <w:rFonts w:ascii="Book Antiqua" w:hAnsi="Book Antiqua" w:cs="Book Antiqua"/>
        </w:rPr>
        <w:t xml:space="preserve"> P, Arechederra M, </w:t>
      </w:r>
      <w:proofErr w:type="spellStart"/>
      <w:r>
        <w:rPr>
          <w:rFonts w:ascii="Book Antiqua" w:hAnsi="Book Antiqua" w:cs="Book Antiqua"/>
        </w:rPr>
        <w:t>Berasain</w:t>
      </w:r>
      <w:proofErr w:type="spellEnd"/>
      <w:r>
        <w:rPr>
          <w:rFonts w:ascii="Book Antiqua" w:hAnsi="Book Antiqua" w:cs="Book Antiqua"/>
        </w:rPr>
        <w:t xml:space="preserve"> C, </w:t>
      </w:r>
      <w:proofErr w:type="spellStart"/>
      <w:r>
        <w:rPr>
          <w:rFonts w:ascii="Book Antiqua" w:hAnsi="Book Antiqua" w:cs="Book Antiqua"/>
        </w:rPr>
        <w:t>Lollini</w:t>
      </w:r>
      <w:proofErr w:type="spellEnd"/>
      <w:r>
        <w:rPr>
          <w:rFonts w:ascii="Book Antiqua" w:hAnsi="Book Antiqua" w:cs="Book Antiqua"/>
        </w:rPr>
        <w:t xml:space="preserve"> PL, Fernández-Barrena MG, Avila MA. Epigenetic Mechanisms in Gastric Cancer: Potential New Therapeutic Opportunities. </w:t>
      </w:r>
      <w:r>
        <w:rPr>
          <w:rFonts w:ascii="Book Antiqua" w:hAnsi="Book Antiqua" w:cs="Book Antiqua"/>
          <w:i/>
          <w:iCs/>
        </w:rPr>
        <w:t>Int J Mol Sci</w:t>
      </w:r>
      <w:r>
        <w:rPr>
          <w:rFonts w:ascii="Book Antiqua" w:hAnsi="Book Antiqua" w:cs="Book Antiqua"/>
        </w:rPr>
        <w:t xml:space="preserve"> 2020; </w:t>
      </w:r>
      <w:r>
        <w:rPr>
          <w:rFonts w:ascii="Book Antiqua" w:hAnsi="Book Antiqua" w:cs="Book Antiqua"/>
          <w:b/>
          <w:bCs/>
        </w:rPr>
        <w:t>21</w:t>
      </w:r>
      <w:r>
        <w:rPr>
          <w:rFonts w:ascii="Book Antiqua" w:hAnsi="Book Antiqua" w:cs="Book Antiqua"/>
        </w:rPr>
        <w:t xml:space="preserve"> [PMID: 32752096 DOI: 10.3390/ijms21155500]</w:t>
      </w:r>
    </w:p>
    <w:p w14:paraId="0AE1D26F"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36 </w:t>
      </w:r>
      <w:proofErr w:type="spellStart"/>
      <w:r>
        <w:rPr>
          <w:rFonts w:ascii="Book Antiqua" w:hAnsi="Book Antiqua" w:cs="Book Antiqua"/>
          <w:b/>
          <w:bCs/>
        </w:rPr>
        <w:t>Negovan</w:t>
      </w:r>
      <w:proofErr w:type="spellEnd"/>
      <w:r>
        <w:rPr>
          <w:rFonts w:ascii="Book Antiqua" w:hAnsi="Book Antiqua" w:cs="Book Antiqua"/>
          <w:b/>
          <w:bCs/>
        </w:rPr>
        <w:t xml:space="preserve"> A</w:t>
      </w:r>
      <w:r>
        <w:rPr>
          <w:rFonts w:ascii="Book Antiqua" w:hAnsi="Book Antiqua" w:cs="Book Antiqua"/>
        </w:rPr>
        <w:t xml:space="preserve">, Iancu M, Fülöp E, Bănescu C. Helicobacter pylori and cytokine gene variants as predictors of premalignant gastric lesions. </w:t>
      </w:r>
      <w:r>
        <w:rPr>
          <w:rFonts w:ascii="Book Antiqua" w:hAnsi="Book Antiqua" w:cs="Book Antiqua"/>
          <w:i/>
          <w:iCs/>
        </w:rPr>
        <w:t>World J Gastroenterol</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4105-4124 [PMID: 31435167 DOI: 10.3748/</w:t>
      </w:r>
      <w:proofErr w:type="gramStart"/>
      <w:r>
        <w:rPr>
          <w:rFonts w:ascii="Book Antiqua" w:hAnsi="Book Antiqua" w:cs="Book Antiqua"/>
        </w:rPr>
        <w:t>wjg.v25.i</w:t>
      </w:r>
      <w:proofErr w:type="gramEnd"/>
      <w:r>
        <w:rPr>
          <w:rFonts w:ascii="Book Antiqua" w:hAnsi="Book Antiqua" w:cs="Book Antiqua"/>
        </w:rPr>
        <w:t>30.4105]</w:t>
      </w:r>
    </w:p>
    <w:p w14:paraId="1452A2F3"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Gu X</w:t>
      </w:r>
      <w:r>
        <w:rPr>
          <w:rFonts w:ascii="Book Antiqua" w:hAnsi="Book Antiqua" w:cs="Book Antiqua"/>
        </w:rPr>
        <w:t xml:space="preserve">, Zhang Q, Zhang W, Zhu L. Curcumin inhibits liver metastasis of gastric cancer through reducing circulating tumor cells. </w:t>
      </w:r>
      <w:r>
        <w:rPr>
          <w:rFonts w:ascii="Book Antiqua" w:hAnsi="Book Antiqua" w:cs="Book Antiqua"/>
          <w:i/>
          <w:iCs/>
        </w:rPr>
        <w:t>Aging (Albany NY)</w:t>
      </w:r>
      <w:r>
        <w:rPr>
          <w:rFonts w:ascii="Book Antiqua" w:hAnsi="Book Antiqua" w:cs="Book Antiqua"/>
        </w:rPr>
        <w:t xml:space="preserve"> 2019; </w:t>
      </w:r>
      <w:r>
        <w:rPr>
          <w:rFonts w:ascii="Book Antiqua" w:hAnsi="Book Antiqua" w:cs="Book Antiqua"/>
          <w:b/>
          <w:bCs/>
        </w:rPr>
        <w:t>11</w:t>
      </w:r>
      <w:r>
        <w:rPr>
          <w:rFonts w:ascii="Book Antiqua" w:hAnsi="Book Antiqua" w:cs="Book Antiqua"/>
        </w:rPr>
        <w:t>: 1501-1509 [PMID: 30844765 DOI: 10.18632/aging.101848]</w:t>
      </w:r>
    </w:p>
    <w:p w14:paraId="414207B7"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38 </w:t>
      </w:r>
      <w:r>
        <w:rPr>
          <w:rFonts w:ascii="Book Antiqua" w:hAnsi="Book Antiqua" w:cs="Book Antiqua"/>
          <w:b/>
          <w:bCs/>
        </w:rPr>
        <w:t>Cen D</w:t>
      </w:r>
      <w:r>
        <w:rPr>
          <w:rFonts w:ascii="Book Antiqua" w:hAnsi="Book Antiqua" w:cs="Book Antiqua"/>
        </w:rPr>
        <w:t xml:space="preserve">, Huang H, Yang L, Guo K, Zhang J. Long noncoding RNA STXBP5-AS1 inhibits cell proliferation, migration, and invasion through inhibiting the PI3K/AKT signaling pathway in gastric cancer cells. </w:t>
      </w:r>
      <w:proofErr w:type="spellStart"/>
      <w:r>
        <w:rPr>
          <w:rFonts w:ascii="Book Antiqua" w:hAnsi="Book Antiqua" w:cs="Book Antiqua"/>
          <w:i/>
          <w:iCs/>
        </w:rPr>
        <w:t>Onco</w:t>
      </w:r>
      <w:proofErr w:type="spellEnd"/>
      <w:r>
        <w:rPr>
          <w:rFonts w:ascii="Book Antiqua" w:hAnsi="Book Antiqua" w:cs="Book Antiqua"/>
          <w:i/>
          <w:iCs/>
        </w:rPr>
        <w:t xml:space="preserve"> Targets Ther</w:t>
      </w:r>
      <w:r>
        <w:rPr>
          <w:rFonts w:ascii="Book Antiqua" w:hAnsi="Book Antiqua" w:cs="Book Antiqua"/>
        </w:rPr>
        <w:t xml:space="preserve"> 2019; </w:t>
      </w:r>
      <w:r>
        <w:rPr>
          <w:rFonts w:ascii="Book Antiqua" w:hAnsi="Book Antiqua" w:cs="Book Antiqua"/>
          <w:b/>
          <w:bCs/>
        </w:rPr>
        <w:t>12</w:t>
      </w:r>
      <w:r>
        <w:rPr>
          <w:rFonts w:ascii="Book Antiqua" w:hAnsi="Book Antiqua" w:cs="Book Antiqua"/>
        </w:rPr>
        <w:t>: 1929-1936 [PMID: 30881044 DOI: 10.2147/OTT.S194463]</w:t>
      </w:r>
    </w:p>
    <w:p w14:paraId="1D2EBD3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Banks M</w:t>
      </w:r>
      <w:r>
        <w:rPr>
          <w:rFonts w:ascii="Book Antiqua" w:hAnsi="Book Antiqua" w:cs="Book Antiqua"/>
        </w:rPr>
        <w:t xml:space="preserve">, Graham D, Jansen M, </w:t>
      </w:r>
      <w:proofErr w:type="spellStart"/>
      <w:r>
        <w:rPr>
          <w:rFonts w:ascii="Book Antiqua" w:hAnsi="Book Antiqua" w:cs="Book Antiqua"/>
        </w:rPr>
        <w:t>Gotoda</w:t>
      </w:r>
      <w:proofErr w:type="spellEnd"/>
      <w:r>
        <w:rPr>
          <w:rFonts w:ascii="Book Antiqua" w:hAnsi="Book Antiqua" w:cs="Book Antiqua"/>
        </w:rPr>
        <w:t xml:space="preserve"> T, Coda S, di Pietro M, </w:t>
      </w:r>
      <w:proofErr w:type="spellStart"/>
      <w:r>
        <w:rPr>
          <w:rFonts w:ascii="Book Antiqua" w:hAnsi="Book Antiqua" w:cs="Book Antiqua"/>
        </w:rPr>
        <w:t>Uedo</w:t>
      </w:r>
      <w:proofErr w:type="spellEnd"/>
      <w:r>
        <w:rPr>
          <w:rFonts w:ascii="Book Antiqua" w:hAnsi="Book Antiqua" w:cs="Book Antiqua"/>
        </w:rPr>
        <w:t xml:space="preserve"> N, Bhandari P, Pritchard DM, Kuipers EJ, Rodriguez-Justo M, Novelli MR, Ragunath K, Shepherd N, Dinis-Ribeiro M. British Society of Gastroenterology guidelines on the diagnosis and management of patients at risk of gastric adenocarcinoma. </w:t>
      </w:r>
      <w:r>
        <w:rPr>
          <w:rFonts w:ascii="Book Antiqua" w:hAnsi="Book Antiqua" w:cs="Book Antiqua"/>
          <w:i/>
          <w:iCs/>
        </w:rPr>
        <w:t>Gut</w:t>
      </w:r>
      <w:r>
        <w:rPr>
          <w:rFonts w:ascii="Book Antiqua" w:hAnsi="Book Antiqua" w:cs="Book Antiqua"/>
        </w:rPr>
        <w:t xml:space="preserve"> 2019; </w:t>
      </w:r>
      <w:r>
        <w:rPr>
          <w:rFonts w:ascii="Book Antiqua" w:hAnsi="Book Antiqua" w:cs="Book Antiqua"/>
          <w:b/>
          <w:bCs/>
        </w:rPr>
        <w:t>68</w:t>
      </w:r>
      <w:r>
        <w:rPr>
          <w:rFonts w:ascii="Book Antiqua" w:hAnsi="Book Antiqua" w:cs="Book Antiqua"/>
        </w:rPr>
        <w:t>: 1545-1575 [PMID: 31278206 DOI: 10.1136/gutjnl-2018-318126]</w:t>
      </w:r>
    </w:p>
    <w:p w14:paraId="251EAB1F"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Yang J</w:t>
      </w:r>
      <w:r>
        <w:rPr>
          <w:rFonts w:ascii="Book Antiqua" w:hAnsi="Book Antiqua" w:cs="Book Antiqua"/>
        </w:rPr>
        <w:t xml:space="preserve">, Bo L, Han T, Ding D, Nie M, Yin K. Pathway- and clinical-factor-based risk model predicts the prognosis of patients with gastric cancer. </w:t>
      </w:r>
      <w:r>
        <w:rPr>
          <w:rFonts w:ascii="Book Antiqua" w:hAnsi="Book Antiqua" w:cs="Book Antiqua"/>
          <w:i/>
          <w:iCs/>
        </w:rPr>
        <w:t>Mol Med Rep</w:t>
      </w:r>
      <w:r>
        <w:rPr>
          <w:rFonts w:ascii="Book Antiqua" w:hAnsi="Book Antiqua" w:cs="Book Antiqua"/>
        </w:rPr>
        <w:t xml:space="preserve"> 2018; </w:t>
      </w:r>
      <w:r>
        <w:rPr>
          <w:rFonts w:ascii="Book Antiqua" w:hAnsi="Book Antiqua" w:cs="Book Antiqua"/>
          <w:b/>
          <w:bCs/>
        </w:rPr>
        <w:t>17</w:t>
      </w:r>
      <w:r>
        <w:rPr>
          <w:rFonts w:ascii="Book Antiqua" w:hAnsi="Book Antiqua" w:cs="Book Antiqua"/>
        </w:rPr>
        <w:t>: 6345-6356 [PMID: 29532879 DOI: 10.3892/mmr.2018.8722]</w:t>
      </w:r>
    </w:p>
    <w:p w14:paraId="2497959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Zhang Z</w:t>
      </w:r>
      <w:r>
        <w:rPr>
          <w:rFonts w:ascii="Book Antiqua" w:hAnsi="Book Antiqua" w:cs="Book Antiqua"/>
        </w:rPr>
        <w:t xml:space="preserve">, Wu H, Chong W, Shang L, Jing C, Li L. Liquid biopsy in gastric cancer: predictive and prognostic biomarkers. </w:t>
      </w:r>
      <w:r>
        <w:rPr>
          <w:rFonts w:ascii="Book Antiqua" w:hAnsi="Book Antiqua" w:cs="Book Antiqua"/>
          <w:i/>
          <w:iCs/>
        </w:rPr>
        <w:t>Cell Death Dis</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903 [PMID: 36302755 DOI: 10.1038/s41419-022-05350-2]</w:t>
      </w:r>
    </w:p>
    <w:p w14:paraId="66516BD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42 </w:t>
      </w:r>
      <w:r>
        <w:rPr>
          <w:rFonts w:ascii="Book Antiqua" w:hAnsi="Book Antiqua" w:cs="Book Antiqua"/>
          <w:b/>
          <w:bCs/>
        </w:rPr>
        <w:t>Jin X</w:t>
      </w:r>
      <w:r>
        <w:rPr>
          <w:rFonts w:ascii="Book Antiqua" w:hAnsi="Book Antiqua" w:cs="Book Antiqua"/>
        </w:rPr>
        <w:t xml:space="preserve">, Liu Z, Yang D, Yin K, Chang X. Recent Progress and Future Perspectives of Immunotherapy in Advanced Gastric Cancer. </w:t>
      </w:r>
      <w:r>
        <w:rPr>
          <w:rFonts w:ascii="Book Antiqua" w:hAnsi="Book Antiqua" w:cs="Book Antiqua"/>
          <w:i/>
          <w:iCs/>
        </w:rPr>
        <w:t>Front Immunol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948647 [PMID: 35844558 DOI: 10.3389/fimmu.2022.948647]</w:t>
      </w:r>
    </w:p>
    <w:p w14:paraId="5CA3B9C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43 </w:t>
      </w:r>
      <w:r>
        <w:rPr>
          <w:rFonts w:ascii="Book Antiqua" w:hAnsi="Book Antiqua" w:cs="Book Antiqua"/>
          <w:b/>
          <w:bCs/>
        </w:rPr>
        <w:t>Ajani JA</w:t>
      </w:r>
      <w:r>
        <w:rPr>
          <w:rFonts w:ascii="Book Antiqua" w:hAnsi="Book Antiqua" w:cs="Book Antiqua"/>
        </w:rPr>
        <w:t xml:space="preserve">, D'Amico TA, Bentrem DJ, Chao J, Cooke D, Corvera C, Das P, </w:t>
      </w:r>
      <w:proofErr w:type="spellStart"/>
      <w:r>
        <w:rPr>
          <w:rFonts w:ascii="Book Antiqua" w:hAnsi="Book Antiqua" w:cs="Book Antiqua"/>
        </w:rPr>
        <w:t>Enzinger</w:t>
      </w:r>
      <w:proofErr w:type="spellEnd"/>
      <w:r>
        <w:rPr>
          <w:rFonts w:ascii="Book Antiqua" w:hAnsi="Book Antiqua" w:cs="Book Antiqua"/>
        </w:rPr>
        <w:t xml:space="preserve"> PC, Enzler T, Fanta P, </w:t>
      </w:r>
      <w:proofErr w:type="spellStart"/>
      <w:r>
        <w:rPr>
          <w:rFonts w:ascii="Book Antiqua" w:hAnsi="Book Antiqua" w:cs="Book Antiqua"/>
        </w:rPr>
        <w:t>Farjah</w:t>
      </w:r>
      <w:proofErr w:type="spellEnd"/>
      <w:r>
        <w:rPr>
          <w:rFonts w:ascii="Book Antiqua" w:hAnsi="Book Antiqua" w:cs="Book Antiqua"/>
        </w:rPr>
        <w:t xml:space="preserve"> F, Gerdes H, Gibson MK, Hochwald S, Hofstetter WL, </w:t>
      </w:r>
      <w:proofErr w:type="spellStart"/>
      <w:r>
        <w:rPr>
          <w:rFonts w:ascii="Book Antiqua" w:hAnsi="Book Antiqua" w:cs="Book Antiqua"/>
        </w:rPr>
        <w:t>Ilson</w:t>
      </w:r>
      <w:proofErr w:type="spellEnd"/>
      <w:r>
        <w:rPr>
          <w:rFonts w:ascii="Book Antiqua" w:hAnsi="Book Antiqua" w:cs="Book Antiqua"/>
        </w:rPr>
        <w:t xml:space="preserve"> DH, Keswani RN, Kim S, Kleinberg LR, Klempner SJ, Lacy J, Ly QP, </w:t>
      </w:r>
      <w:proofErr w:type="spellStart"/>
      <w:r>
        <w:rPr>
          <w:rFonts w:ascii="Book Antiqua" w:hAnsi="Book Antiqua" w:cs="Book Antiqua"/>
        </w:rPr>
        <w:t>Matkowskyj</w:t>
      </w:r>
      <w:proofErr w:type="spellEnd"/>
      <w:r>
        <w:rPr>
          <w:rFonts w:ascii="Book Antiqua" w:hAnsi="Book Antiqua" w:cs="Book Antiqua"/>
        </w:rPr>
        <w:t xml:space="preserve"> KA, McNamara M, Mulcahy MF, Outlaw D, Park H, Perry KA, Pimiento J, </w:t>
      </w:r>
      <w:proofErr w:type="spellStart"/>
      <w:r>
        <w:rPr>
          <w:rFonts w:ascii="Book Antiqua" w:hAnsi="Book Antiqua" w:cs="Book Antiqua"/>
        </w:rPr>
        <w:t>Poultsides</w:t>
      </w:r>
      <w:proofErr w:type="spellEnd"/>
      <w:r>
        <w:rPr>
          <w:rFonts w:ascii="Book Antiqua" w:hAnsi="Book Antiqua" w:cs="Book Antiqua"/>
        </w:rPr>
        <w:t xml:space="preserve"> GA, Reznik S, Roses RE, Strong VE, Su S, Wang HL, Wiesner G, Willett CG, Yakoub D, Yoon H, McMillian N, Pluchino LA. Gastric Cancer, Version 2.2022, NCCN Clinical Practice Guidelines in Oncology. </w:t>
      </w:r>
      <w:r>
        <w:rPr>
          <w:rFonts w:ascii="Book Antiqua" w:hAnsi="Book Antiqua" w:cs="Book Antiqua"/>
          <w:i/>
          <w:iCs/>
        </w:rPr>
        <w:t xml:space="preserve">J Natl </w:t>
      </w:r>
      <w:proofErr w:type="spellStart"/>
      <w:r>
        <w:rPr>
          <w:rFonts w:ascii="Book Antiqua" w:hAnsi="Book Antiqua" w:cs="Book Antiqua"/>
          <w:i/>
          <w:iCs/>
        </w:rPr>
        <w:t>Compr</w:t>
      </w:r>
      <w:proofErr w:type="spellEnd"/>
      <w:r>
        <w:rPr>
          <w:rFonts w:ascii="Book Antiqua" w:hAnsi="Book Antiqua" w:cs="Book Antiqua"/>
          <w:i/>
          <w:iCs/>
        </w:rPr>
        <w:t xml:space="preserve"> </w:t>
      </w:r>
      <w:proofErr w:type="spellStart"/>
      <w:r>
        <w:rPr>
          <w:rFonts w:ascii="Book Antiqua" w:hAnsi="Book Antiqua" w:cs="Book Antiqua"/>
          <w:i/>
          <w:iCs/>
        </w:rPr>
        <w:t>Canc</w:t>
      </w:r>
      <w:proofErr w:type="spellEnd"/>
      <w:r>
        <w:rPr>
          <w:rFonts w:ascii="Book Antiqua" w:hAnsi="Book Antiqua" w:cs="Book Antiqua"/>
          <w:i/>
          <w:iCs/>
        </w:rPr>
        <w:t xml:space="preserve"> </w:t>
      </w:r>
      <w:proofErr w:type="spellStart"/>
      <w:r>
        <w:rPr>
          <w:rFonts w:ascii="Book Antiqua" w:hAnsi="Book Antiqua" w:cs="Book Antiqua"/>
          <w:i/>
          <w:iCs/>
        </w:rPr>
        <w:t>Netw</w:t>
      </w:r>
      <w:proofErr w:type="spellEnd"/>
      <w:r>
        <w:rPr>
          <w:rFonts w:ascii="Book Antiqua" w:hAnsi="Book Antiqua" w:cs="Book Antiqua"/>
        </w:rPr>
        <w:t xml:space="preserve"> 2022; </w:t>
      </w:r>
      <w:r>
        <w:rPr>
          <w:rFonts w:ascii="Book Antiqua" w:hAnsi="Book Antiqua" w:cs="Book Antiqua"/>
          <w:b/>
          <w:bCs/>
        </w:rPr>
        <w:t>20</w:t>
      </w:r>
      <w:r>
        <w:rPr>
          <w:rFonts w:ascii="Book Antiqua" w:hAnsi="Book Antiqua" w:cs="Book Antiqua"/>
        </w:rPr>
        <w:t>: 167-192 [PMID: 35130500 DOI: 10.6004/jnccn.2022.0008]</w:t>
      </w:r>
    </w:p>
    <w:p w14:paraId="1019EAFF"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44 </w:t>
      </w:r>
      <w:r>
        <w:rPr>
          <w:rFonts w:ascii="Book Antiqua" w:hAnsi="Book Antiqua" w:cs="Book Antiqua"/>
          <w:b/>
          <w:bCs/>
        </w:rPr>
        <w:t>Necula L</w:t>
      </w:r>
      <w:r>
        <w:rPr>
          <w:rFonts w:ascii="Book Antiqua" w:hAnsi="Book Antiqua" w:cs="Book Antiqua"/>
        </w:rPr>
        <w:t xml:space="preserve">, Matei L, Dragu D, Neagu AI, </w:t>
      </w:r>
      <w:proofErr w:type="spellStart"/>
      <w:r>
        <w:rPr>
          <w:rFonts w:ascii="Book Antiqua" w:hAnsi="Book Antiqua" w:cs="Book Antiqua"/>
        </w:rPr>
        <w:t>Mambet</w:t>
      </w:r>
      <w:proofErr w:type="spellEnd"/>
      <w:r>
        <w:rPr>
          <w:rFonts w:ascii="Book Antiqua" w:hAnsi="Book Antiqua" w:cs="Book Antiqua"/>
        </w:rPr>
        <w:t xml:space="preserve"> C, </w:t>
      </w:r>
      <w:proofErr w:type="spellStart"/>
      <w:r>
        <w:rPr>
          <w:rFonts w:ascii="Book Antiqua" w:hAnsi="Book Antiqua" w:cs="Book Antiqua"/>
        </w:rPr>
        <w:t>Nedeianu</w:t>
      </w:r>
      <w:proofErr w:type="spellEnd"/>
      <w:r>
        <w:rPr>
          <w:rFonts w:ascii="Book Antiqua" w:hAnsi="Book Antiqua" w:cs="Book Antiqua"/>
        </w:rPr>
        <w:t xml:space="preserve"> S, </w:t>
      </w:r>
      <w:proofErr w:type="spellStart"/>
      <w:r>
        <w:rPr>
          <w:rFonts w:ascii="Book Antiqua" w:hAnsi="Book Antiqua" w:cs="Book Antiqua"/>
        </w:rPr>
        <w:t>Bleotu</w:t>
      </w:r>
      <w:proofErr w:type="spellEnd"/>
      <w:r>
        <w:rPr>
          <w:rFonts w:ascii="Book Antiqua" w:hAnsi="Book Antiqua" w:cs="Book Antiqua"/>
        </w:rPr>
        <w:t xml:space="preserve"> C, Diaconu CC, Chivu-</w:t>
      </w:r>
      <w:proofErr w:type="spellStart"/>
      <w:r>
        <w:rPr>
          <w:rFonts w:ascii="Book Antiqua" w:hAnsi="Book Antiqua" w:cs="Book Antiqua"/>
        </w:rPr>
        <w:t>Economescu</w:t>
      </w:r>
      <w:proofErr w:type="spellEnd"/>
      <w:r>
        <w:rPr>
          <w:rFonts w:ascii="Book Antiqua" w:hAnsi="Book Antiqua" w:cs="Book Antiqua"/>
        </w:rPr>
        <w:t xml:space="preserve"> M. Recent advances in gastric cancer early diagnosis. </w:t>
      </w:r>
      <w:r>
        <w:rPr>
          <w:rFonts w:ascii="Book Antiqua" w:hAnsi="Book Antiqua" w:cs="Book Antiqua"/>
          <w:i/>
          <w:iCs/>
        </w:rPr>
        <w:t>World J Gastroenterol</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2029-2044 [PMID: 31114131 DOI: 10.3748/</w:t>
      </w:r>
      <w:proofErr w:type="gramStart"/>
      <w:r>
        <w:rPr>
          <w:rFonts w:ascii="Book Antiqua" w:hAnsi="Book Antiqua" w:cs="Book Antiqua"/>
        </w:rPr>
        <w:t>wjg.v25.i</w:t>
      </w:r>
      <w:proofErr w:type="gramEnd"/>
      <w:r>
        <w:rPr>
          <w:rFonts w:ascii="Book Antiqua" w:hAnsi="Book Antiqua" w:cs="Book Antiqua"/>
        </w:rPr>
        <w:t>17.2029]</w:t>
      </w:r>
    </w:p>
    <w:p w14:paraId="4D58EFD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45 </w:t>
      </w:r>
      <w:proofErr w:type="spellStart"/>
      <w:r>
        <w:rPr>
          <w:rFonts w:ascii="Book Antiqua" w:hAnsi="Book Antiqua" w:cs="Book Antiqua"/>
          <w:b/>
          <w:bCs/>
        </w:rPr>
        <w:t>Coutzac</w:t>
      </w:r>
      <w:proofErr w:type="spellEnd"/>
      <w:r>
        <w:rPr>
          <w:rFonts w:ascii="Book Antiqua" w:hAnsi="Book Antiqua" w:cs="Book Antiqua"/>
          <w:b/>
          <w:bCs/>
        </w:rPr>
        <w:t xml:space="preserve"> C</w:t>
      </w:r>
      <w:r>
        <w:rPr>
          <w:rFonts w:ascii="Book Antiqua" w:hAnsi="Book Antiqua" w:cs="Book Antiqua"/>
        </w:rPr>
        <w:t xml:space="preserve">, Pernot S, Chaput N, </w:t>
      </w:r>
      <w:proofErr w:type="spellStart"/>
      <w:r>
        <w:rPr>
          <w:rFonts w:ascii="Book Antiqua" w:hAnsi="Book Antiqua" w:cs="Book Antiqua"/>
        </w:rPr>
        <w:t>Zaanan</w:t>
      </w:r>
      <w:proofErr w:type="spellEnd"/>
      <w:r>
        <w:rPr>
          <w:rFonts w:ascii="Book Antiqua" w:hAnsi="Book Antiqua" w:cs="Book Antiqua"/>
        </w:rPr>
        <w:t xml:space="preserve"> A. Immunotherapy in advanced gastric cancer, is it the future? </w:t>
      </w:r>
      <w:r>
        <w:rPr>
          <w:rFonts w:ascii="Book Antiqua" w:hAnsi="Book Antiqua" w:cs="Book Antiqua"/>
          <w:i/>
          <w:iCs/>
        </w:rPr>
        <w:t xml:space="preserve">Crit Rev Oncol </w:t>
      </w:r>
      <w:proofErr w:type="spellStart"/>
      <w:r>
        <w:rPr>
          <w:rFonts w:ascii="Book Antiqua" w:hAnsi="Book Antiqua" w:cs="Book Antiqua"/>
          <w:i/>
          <w:iCs/>
        </w:rPr>
        <w:t>Hematol</w:t>
      </w:r>
      <w:proofErr w:type="spellEnd"/>
      <w:r>
        <w:rPr>
          <w:rFonts w:ascii="Book Antiqua" w:hAnsi="Book Antiqua" w:cs="Book Antiqua"/>
        </w:rPr>
        <w:t xml:space="preserve"> 2019; </w:t>
      </w:r>
      <w:r>
        <w:rPr>
          <w:rFonts w:ascii="Book Antiqua" w:hAnsi="Book Antiqua" w:cs="Book Antiqua"/>
          <w:b/>
          <w:bCs/>
        </w:rPr>
        <w:t>133</w:t>
      </w:r>
      <w:r>
        <w:rPr>
          <w:rFonts w:ascii="Book Antiqua" w:hAnsi="Book Antiqua" w:cs="Book Antiqua"/>
        </w:rPr>
        <w:t>: 25-32 [PMID: 30661655 DOI: 10.1016/j.critrevonc.2018.10.007]</w:t>
      </w:r>
    </w:p>
    <w:p w14:paraId="67F69FBD"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Ratti M</w:t>
      </w:r>
      <w:r>
        <w:rPr>
          <w:rFonts w:ascii="Book Antiqua" w:hAnsi="Book Antiqua" w:cs="Book Antiqua"/>
        </w:rPr>
        <w:t xml:space="preserve">, </w:t>
      </w:r>
      <w:proofErr w:type="spellStart"/>
      <w:r>
        <w:rPr>
          <w:rFonts w:ascii="Book Antiqua" w:hAnsi="Book Antiqua" w:cs="Book Antiqua"/>
        </w:rPr>
        <w:t>Lampis</w:t>
      </w:r>
      <w:proofErr w:type="spellEnd"/>
      <w:r>
        <w:rPr>
          <w:rFonts w:ascii="Book Antiqua" w:hAnsi="Book Antiqua" w:cs="Book Antiqua"/>
        </w:rPr>
        <w:t xml:space="preserve"> A, Hahne JC, Passalacqua R, Valeri N. Microsatellite instability in gastric cancer: molecular bases, clinical perspectives, and new treatment approaches. </w:t>
      </w:r>
      <w:r>
        <w:rPr>
          <w:rFonts w:ascii="Book Antiqua" w:hAnsi="Book Antiqua" w:cs="Book Antiqua"/>
          <w:i/>
          <w:iCs/>
        </w:rPr>
        <w:t>Cell Mol Life Sci</w:t>
      </w:r>
      <w:r>
        <w:rPr>
          <w:rFonts w:ascii="Book Antiqua" w:hAnsi="Book Antiqua" w:cs="Book Antiqua"/>
        </w:rPr>
        <w:t xml:space="preserve"> 2018; </w:t>
      </w:r>
      <w:r>
        <w:rPr>
          <w:rFonts w:ascii="Book Antiqua" w:hAnsi="Book Antiqua" w:cs="Book Antiqua"/>
          <w:b/>
          <w:bCs/>
        </w:rPr>
        <w:t>75</w:t>
      </w:r>
      <w:r>
        <w:rPr>
          <w:rFonts w:ascii="Book Antiqua" w:hAnsi="Book Antiqua" w:cs="Book Antiqua"/>
        </w:rPr>
        <w:t>: 4151-4162 [PMID: 30173350 DOI: 10.1007/s00018-018-2906-9]</w:t>
      </w:r>
    </w:p>
    <w:p w14:paraId="7B5B072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47 </w:t>
      </w:r>
      <w:r>
        <w:rPr>
          <w:rFonts w:ascii="Book Antiqua" w:hAnsi="Book Antiqua" w:cs="Book Antiqua"/>
          <w:b/>
          <w:bCs/>
        </w:rPr>
        <w:t>Alessandrini L</w:t>
      </w:r>
      <w:r>
        <w:rPr>
          <w:rFonts w:ascii="Book Antiqua" w:hAnsi="Book Antiqua" w:cs="Book Antiqua"/>
        </w:rPr>
        <w:t xml:space="preserve">, </w:t>
      </w:r>
      <w:proofErr w:type="spellStart"/>
      <w:r>
        <w:rPr>
          <w:rFonts w:ascii="Book Antiqua" w:hAnsi="Book Antiqua" w:cs="Book Antiqua"/>
        </w:rPr>
        <w:t>Manchi</w:t>
      </w:r>
      <w:proofErr w:type="spellEnd"/>
      <w:r>
        <w:rPr>
          <w:rFonts w:ascii="Book Antiqua" w:hAnsi="Book Antiqua" w:cs="Book Antiqua"/>
        </w:rPr>
        <w:t xml:space="preserve"> M, De Re V, Dolcetti R, </w:t>
      </w:r>
      <w:proofErr w:type="spellStart"/>
      <w:r>
        <w:rPr>
          <w:rFonts w:ascii="Book Antiqua" w:hAnsi="Book Antiqua" w:cs="Book Antiqua"/>
        </w:rPr>
        <w:t>Canzonieri</w:t>
      </w:r>
      <w:proofErr w:type="spellEnd"/>
      <w:r>
        <w:rPr>
          <w:rFonts w:ascii="Book Antiqua" w:hAnsi="Book Antiqua" w:cs="Book Antiqua"/>
        </w:rPr>
        <w:t xml:space="preserve"> V. Proposed Molecular and miRNA Classification of Gastric Cancer. </w:t>
      </w:r>
      <w:r>
        <w:rPr>
          <w:rFonts w:ascii="Book Antiqua" w:hAnsi="Book Antiqua" w:cs="Book Antiqua"/>
          <w:i/>
          <w:iCs/>
        </w:rPr>
        <w:t>Int J Mol Sci</w:t>
      </w:r>
      <w:r>
        <w:rPr>
          <w:rFonts w:ascii="Book Antiqua" w:hAnsi="Book Antiqua" w:cs="Book Antiqua"/>
        </w:rPr>
        <w:t xml:space="preserve"> 2018; </w:t>
      </w:r>
      <w:r>
        <w:rPr>
          <w:rFonts w:ascii="Book Antiqua" w:hAnsi="Book Antiqua" w:cs="Book Antiqua"/>
          <w:b/>
          <w:bCs/>
        </w:rPr>
        <w:t>19</w:t>
      </w:r>
      <w:r>
        <w:rPr>
          <w:rFonts w:ascii="Book Antiqua" w:hAnsi="Book Antiqua" w:cs="Book Antiqua"/>
        </w:rPr>
        <w:t xml:space="preserve"> [PMID: 29882766 DOI: 10.3390/ijms19061683]</w:t>
      </w:r>
    </w:p>
    <w:p w14:paraId="6E2F2A4D"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48 </w:t>
      </w:r>
      <w:proofErr w:type="spellStart"/>
      <w:r>
        <w:rPr>
          <w:rFonts w:ascii="Book Antiqua" w:hAnsi="Book Antiqua" w:cs="Book Antiqua"/>
          <w:b/>
          <w:bCs/>
        </w:rPr>
        <w:t>Massarrat</w:t>
      </w:r>
      <w:proofErr w:type="spellEnd"/>
      <w:r>
        <w:rPr>
          <w:rFonts w:ascii="Book Antiqua" w:hAnsi="Book Antiqua" w:cs="Book Antiqua"/>
          <w:b/>
          <w:bCs/>
        </w:rPr>
        <w:t xml:space="preserve"> S</w:t>
      </w:r>
      <w:r>
        <w:rPr>
          <w:rFonts w:ascii="Book Antiqua" w:hAnsi="Book Antiqua" w:cs="Book Antiqua"/>
        </w:rPr>
        <w:t xml:space="preserve">, Stolte M. Development of gastric cancer and its prevention. </w:t>
      </w:r>
      <w:r>
        <w:rPr>
          <w:rFonts w:ascii="Book Antiqua" w:hAnsi="Book Antiqua" w:cs="Book Antiqua"/>
          <w:i/>
          <w:iCs/>
        </w:rPr>
        <w:t>Arch Iran Med</w:t>
      </w:r>
      <w:r>
        <w:rPr>
          <w:rFonts w:ascii="Book Antiqua" w:hAnsi="Book Antiqua" w:cs="Book Antiqua"/>
        </w:rPr>
        <w:t xml:space="preserve"> 2014; </w:t>
      </w:r>
      <w:r>
        <w:rPr>
          <w:rFonts w:ascii="Book Antiqua" w:hAnsi="Book Antiqua" w:cs="Book Antiqua"/>
          <w:b/>
          <w:bCs/>
        </w:rPr>
        <w:t>17</w:t>
      </w:r>
      <w:r>
        <w:rPr>
          <w:rFonts w:ascii="Book Antiqua" w:hAnsi="Book Antiqua" w:cs="Book Antiqua"/>
        </w:rPr>
        <w:t>: 514-520 [PMID: 24979566]</w:t>
      </w:r>
    </w:p>
    <w:p w14:paraId="2276CDFA"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49 </w:t>
      </w:r>
      <w:r>
        <w:rPr>
          <w:rFonts w:ascii="Book Antiqua" w:hAnsi="Book Antiqua" w:cs="Book Antiqua"/>
          <w:b/>
          <w:bCs/>
        </w:rPr>
        <w:t>Song S</w:t>
      </w:r>
      <w:r>
        <w:rPr>
          <w:rFonts w:ascii="Book Antiqua" w:hAnsi="Book Antiqua" w:cs="Book Antiqua"/>
        </w:rPr>
        <w:t xml:space="preserve">, Shu P. Expression of ferroptosis-related gene correlates with immune microenvironment and predicts prognosis in gastric cancer. </w:t>
      </w:r>
      <w:r>
        <w:rPr>
          <w:rFonts w:ascii="Book Antiqua" w:hAnsi="Book Antiqua" w:cs="Book Antiqua"/>
          <w:i/>
          <w:iCs/>
        </w:rPr>
        <w:t>Sci Rep</w:t>
      </w:r>
      <w:r>
        <w:rPr>
          <w:rFonts w:ascii="Book Antiqua" w:hAnsi="Book Antiqua" w:cs="Book Antiqua"/>
        </w:rPr>
        <w:t xml:space="preserve"> 2022; </w:t>
      </w:r>
      <w:r>
        <w:rPr>
          <w:rFonts w:ascii="Book Antiqua" w:hAnsi="Book Antiqua" w:cs="Book Antiqua"/>
          <w:b/>
          <w:bCs/>
        </w:rPr>
        <w:t>12</w:t>
      </w:r>
      <w:r>
        <w:rPr>
          <w:rFonts w:ascii="Book Antiqua" w:hAnsi="Book Antiqua" w:cs="Book Antiqua"/>
        </w:rPr>
        <w:t>: 8785 [PMID: 35610340 DOI: 10.1038/s41598-022-12800-6]</w:t>
      </w:r>
    </w:p>
    <w:p w14:paraId="42C8A8F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50 </w:t>
      </w:r>
      <w:r>
        <w:rPr>
          <w:rFonts w:ascii="Book Antiqua" w:hAnsi="Book Antiqua" w:cs="Book Antiqua"/>
          <w:b/>
          <w:bCs/>
        </w:rPr>
        <w:t>Ouyang S</w:t>
      </w:r>
      <w:r>
        <w:rPr>
          <w:rFonts w:ascii="Book Antiqua" w:hAnsi="Book Antiqua" w:cs="Book Antiqua"/>
        </w:rPr>
        <w:t xml:space="preserve">, Li H, Lou L, Huang Q, Zhang Z, Mo J, Li M, Lu J, Zhu K, Chu Y, Ding W, Zhu J, Lin Z, Zhong L, Wang J, Yue P, Turkson J, Liu P, Wang Y, Zhang X. Inhibition of STAT3-ferroptosis negative regulatory axis suppresses tumor growth and alleviates chemoresistance in gastric cancer. </w:t>
      </w:r>
      <w:r>
        <w:rPr>
          <w:rFonts w:ascii="Book Antiqua" w:hAnsi="Book Antiqua" w:cs="Book Antiqua"/>
          <w:i/>
          <w:iCs/>
        </w:rPr>
        <w:t>Redox Biol</w:t>
      </w:r>
      <w:r>
        <w:rPr>
          <w:rFonts w:ascii="Book Antiqua" w:hAnsi="Book Antiqua" w:cs="Book Antiqua"/>
        </w:rPr>
        <w:t xml:space="preserve"> 2022; </w:t>
      </w:r>
      <w:r>
        <w:rPr>
          <w:rFonts w:ascii="Book Antiqua" w:hAnsi="Book Antiqua" w:cs="Book Antiqua"/>
          <w:b/>
          <w:bCs/>
        </w:rPr>
        <w:t>52</w:t>
      </w:r>
      <w:r>
        <w:rPr>
          <w:rFonts w:ascii="Book Antiqua" w:hAnsi="Book Antiqua" w:cs="Book Antiqua"/>
        </w:rPr>
        <w:t>: 102317 [PMID: 35483272 DOI: 10.1016/j.redox.2022.102317]</w:t>
      </w:r>
    </w:p>
    <w:p w14:paraId="2707E274"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51 </w:t>
      </w:r>
      <w:r>
        <w:rPr>
          <w:rFonts w:ascii="Book Antiqua" w:hAnsi="Book Antiqua" w:cs="Book Antiqua"/>
          <w:b/>
          <w:bCs/>
        </w:rPr>
        <w:t>Yao F</w:t>
      </w:r>
      <w:r>
        <w:rPr>
          <w:rFonts w:ascii="Book Antiqua" w:hAnsi="Book Antiqua" w:cs="Book Antiqua"/>
        </w:rPr>
        <w:t xml:space="preserve">, Zhan Y, Pu Z, Lu Y, Chen J, Deng J, Wu Z, Chen B, Chen J, Tian K, Ni Y, </w:t>
      </w:r>
      <w:proofErr w:type="spellStart"/>
      <w:r>
        <w:rPr>
          <w:rFonts w:ascii="Book Antiqua" w:hAnsi="Book Antiqua" w:cs="Book Antiqua"/>
        </w:rPr>
        <w:t>Mou</w:t>
      </w:r>
      <w:proofErr w:type="spellEnd"/>
      <w:r>
        <w:rPr>
          <w:rFonts w:ascii="Book Antiqua" w:hAnsi="Book Antiqua" w:cs="Book Antiqua"/>
        </w:rPr>
        <w:t xml:space="preserve"> L. </w:t>
      </w:r>
      <w:proofErr w:type="spellStart"/>
      <w:r>
        <w:rPr>
          <w:rFonts w:ascii="Book Antiqua" w:hAnsi="Book Antiqua" w:cs="Book Antiqua"/>
        </w:rPr>
        <w:t>LncRNAs</w:t>
      </w:r>
      <w:proofErr w:type="spellEnd"/>
      <w:r>
        <w:rPr>
          <w:rFonts w:ascii="Book Antiqua" w:hAnsi="Book Antiqua" w:cs="Book Antiqua"/>
        </w:rPr>
        <w:t xml:space="preserve"> Target Ferroptosis-Related Genes and Impair Activation of CD4(+) T Cell in Gastric Cancer. </w:t>
      </w:r>
      <w:r>
        <w:rPr>
          <w:rFonts w:ascii="Book Antiqua" w:hAnsi="Book Antiqua" w:cs="Book Antiqua"/>
          <w:i/>
          <w:iCs/>
        </w:rPr>
        <w:t>Front Cell Dev Biol</w:t>
      </w:r>
      <w:r>
        <w:rPr>
          <w:rFonts w:ascii="Book Antiqua" w:hAnsi="Book Antiqua" w:cs="Book Antiqua"/>
        </w:rPr>
        <w:t xml:space="preserve"> 2021; </w:t>
      </w:r>
      <w:r>
        <w:rPr>
          <w:rFonts w:ascii="Book Antiqua" w:hAnsi="Book Antiqua" w:cs="Book Antiqua"/>
          <w:b/>
          <w:bCs/>
        </w:rPr>
        <w:t>9</w:t>
      </w:r>
      <w:r>
        <w:rPr>
          <w:rFonts w:ascii="Book Antiqua" w:hAnsi="Book Antiqua" w:cs="Book Antiqua"/>
        </w:rPr>
        <w:t>: 797339 [PMID: 34966745 DOI: 10.3389/fcell.2021.797339]</w:t>
      </w:r>
    </w:p>
    <w:p w14:paraId="74874F3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52 </w:t>
      </w:r>
      <w:r>
        <w:rPr>
          <w:rFonts w:ascii="Book Antiqua" w:hAnsi="Book Antiqua" w:cs="Book Antiqua"/>
          <w:b/>
          <w:bCs/>
        </w:rPr>
        <w:t>Xiao S</w:t>
      </w:r>
      <w:r>
        <w:rPr>
          <w:rFonts w:ascii="Book Antiqua" w:hAnsi="Book Antiqua" w:cs="Book Antiqua"/>
        </w:rPr>
        <w:t xml:space="preserve">, Liu X, Yuan L, Wang F. A Ferroptosis-Related </w:t>
      </w:r>
      <w:proofErr w:type="spellStart"/>
      <w:r>
        <w:rPr>
          <w:rFonts w:ascii="Book Antiqua" w:hAnsi="Book Antiqua" w:cs="Book Antiqua"/>
        </w:rPr>
        <w:t>lncRNAs</w:t>
      </w:r>
      <w:proofErr w:type="spellEnd"/>
      <w:r>
        <w:rPr>
          <w:rFonts w:ascii="Book Antiqua" w:hAnsi="Book Antiqua" w:cs="Book Antiqua"/>
        </w:rPr>
        <w:t xml:space="preserve"> Signature Predicts Prognosis and Therapeutic Response of Gastric Cancer. </w:t>
      </w:r>
      <w:r>
        <w:rPr>
          <w:rFonts w:ascii="Book Antiqua" w:hAnsi="Book Antiqua" w:cs="Book Antiqua"/>
          <w:i/>
          <w:iCs/>
        </w:rPr>
        <w:t>Front Cell Dev Biol</w:t>
      </w:r>
      <w:r>
        <w:rPr>
          <w:rFonts w:ascii="Book Antiqua" w:hAnsi="Book Antiqua" w:cs="Book Antiqua"/>
        </w:rPr>
        <w:t xml:space="preserve"> 2021; </w:t>
      </w:r>
      <w:r>
        <w:rPr>
          <w:rFonts w:ascii="Book Antiqua" w:hAnsi="Book Antiqua" w:cs="Book Antiqua"/>
          <w:b/>
          <w:bCs/>
        </w:rPr>
        <w:t>9</w:t>
      </w:r>
      <w:r>
        <w:rPr>
          <w:rFonts w:ascii="Book Antiqua" w:hAnsi="Book Antiqua" w:cs="Book Antiqua"/>
        </w:rPr>
        <w:t>: 736682 [PMID: 34926441 DOI: 10.3389/fcell.2021.736682]</w:t>
      </w:r>
    </w:p>
    <w:p w14:paraId="05F79B8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53 </w:t>
      </w:r>
      <w:r>
        <w:rPr>
          <w:rFonts w:ascii="Book Antiqua" w:hAnsi="Book Antiqua" w:cs="Book Antiqua"/>
          <w:b/>
          <w:bCs/>
        </w:rPr>
        <w:t>Huo J</w:t>
      </w:r>
      <w:r>
        <w:rPr>
          <w:rFonts w:ascii="Book Antiqua" w:hAnsi="Book Antiqua" w:cs="Book Antiqua"/>
        </w:rPr>
        <w:t xml:space="preserve">, Wu L, Zang Y. Eight-gene prognostic signature associated with hypoxia and ferroptosis for gastric cancer with general applicability. </w:t>
      </w:r>
      <w:r>
        <w:rPr>
          <w:rFonts w:ascii="Book Antiqua" w:hAnsi="Book Antiqua" w:cs="Book Antiqua"/>
          <w:i/>
          <w:iCs/>
        </w:rPr>
        <w:t>Epigenomics</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875-890 [PMID: 33942671 DOI: 10.2217/epi-2020-0411]</w:t>
      </w:r>
    </w:p>
    <w:p w14:paraId="071523CB"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54 </w:t>
      </w:r>
      <w:r>
        <w:rPr>
          <w:rFonts w:ascii="Book Antiqua" w:hAnsi="Book Antiqua" w:cs="Book Antiqua"/>
          <w:b/>
          <w:bCs/>
        </w:rPr>
        <w:t>Chen W</w:t>
      </w:r>
      <w:r>
        <w:rPr>
          <w:rFonts w:ascii="Book Antiqua" w:hAnsi="Book Antiqua" w:cs="Book Antiqua"/>
        </w:rPr>
        <w:t xml:space="preserve">, Feng Z, Huang J, Fu P, Xiong J, Cao Y, Liu Y, Tu Y, Li Z, Jie Z, Xiao T. Identification of Ferroptosis-Related Long Noncoding RNA and Construction of a Novel Prognostic Signature for Gastric Cancer. </w:t>
      </w:r>
      <w:r>
        <w:rPr>
          <w:rFonts w:ascii="Book Antiqua" w:hAnsi="Book Antiqua" w:cs="Book Antiqua"/>
          <w:i/>
          <w:iCs/>
        </w:rPr>
        <w:t>Dis Markers</w:t>
      </w:r>
      <w:r>
        <w:rPr>
          <w:rFonts w:ascii="Book Antiqua" w:hAnsi="Book Antiqua" w:cs="Book Antiqua"/>
        </w:rPr>
        <w:t xml:space="preserve"> 2021; </w:t>
      </w:r>
      <w:r>
        <w:rPr>
          <w:rFonts w:ascii="Book Antiqua" w:hAnsi="Book Antiqua" w:cs="Book Antiqua"/>
          <w:b/>
          <w:bCs/>
        </w:rPr>
        <w:t>2021</w:t>
      </w:r>
      <w:r>
        <w:rPr>
          <w:rFonts w:ascii="Book Antiqua" w:hAnsi="Book Antiqua" w:cs="Book Antiqua"/>
        </w:rPr>
        <w:t>: 7724997 [PMID: 34394774 DOI: 10.1155/2021/7724997]</w:t>
      </w:r>
    </w:p>
    <w:p w14:paraId="510ACF41"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55 </w:t>
      </w:r>
      <w:r>
        <w:rPr>
          <w:rFonts w:ascii="Book Antiqua" w:hAnsi="Book Antiqua" w:cs="Book Antiqua"/>
          <w:b/>
          <w:bCs/>
        </w:rPr>
        <w:t>Wang J</w:t>
      </w:r>
      <w:r>
        <w:rPr>
          <w:rFonts w:ascii="Book Antiqua" w:hAnsi="Book Antiqua" w:cs="Book Antiqua"/>
        </w:rPr>
        <w:t xml:space="preserve">, Qin D, Tao Z, Wang B, Xie Y, Wang Y, Li B, Cao J, Qiao X, Zhong S, Hu X. Identification of </w:t>
      </w:r>
      <w:proofErr w:type="spellStart"/>
      <w:r>
        <w:rPr>
          <w:rFonts w:ascii="Book Antiqua" w:hAnsi="Book Antiqua" w:cs="Book Antiqua"/>
        </w:rPr>
        <w:t>cuproptosis</w:t>
      </w:r>
      <w:proofErr w:type="spellEnd"/>
      <w:r>
        <w:rPr>
          <w:rFonts w:ascii="Book Antiqua" w:hAnsi="Book Antiqua" w:cs="Book Antiqua"/>
        </w:rPr>
        <w:t xml:space="preserve">-related subtypes, construction of a prognosis model, and tumor microenvironment landscape in gastric cancer. </w:t>
      </w:r>
      <w:r>
        <w:rPr>
          <w:rFonts w:ascii="Book Antiqua" w:hAnsi="Book Antiqua" w:cs="Book Antiqua"/>
          <w:i/>
          <w:iCs/>
        </w:rPr>
        <w:t>Front Immunol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1056932 [PMID: 36479114 DOI: 10.3389/fimmu.2022.1056932]</w:t>
      </w:r>
    </w:p>
    <w:p w14:paraId="26BDC668"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56 </w:t>
      </w:r>
      <w:r>
        <w:rPr>
          <w:rFonts w:ascii="Book Antiqua" w:hAnsi="Book Antiqua" w:cs="Book Antiqua"/>
          <w:b/>
          <w:bCs/>
        </w:rPr>
        <w:t>Song X</w:t>
      </w:r>
      <w:r>
        <w:rPr>
          <w:rFonts w:ascii="Book Antiqua" w:hAnsi="Book Antiqua" w:cs="Book Antiqua"/>
        </w:rPr>
        <w:t xml:space="preserve">, Hou L, Zhao Y, Guan Q, Li Z. Metal-dependent programmed cell death-related lncRNA prognostic signatures and natural drug sensitivity prediction for gastric cancer. </w:t>
      </w:r>
      <w:r>
        <w:rPr>
          <w:rFonts w:ascii="Book Antiqua" w:hAnsi="Book Antiqua" w:cs="Book Antiqua"/>
          <w:i/>
          <w:iCs/>
        </w:rPr>
        <w:t xml:space="preserve">Front </w:t>
      </w:r>
      <w:proofErr w:type="spellStart"/>
      <w:r>
        <w:rPr>
          <w:rFonts w:ascii="Book Antiqua" w:hAnsi="Book Antiqua" w:cs="Book Antiqua"/>
          <w:i/>
          <w:iCs/>
        </w:rPr>
        <w:t>Pharmacol</w:t>
      </w:r>
      <w:proofErr w:type="spellEnd"/>
      <w:r>
        <w:rPr>
          <w:rFonts w:ascii="Book Antiqua" w:hAnsi="Book Antiqua" w:cs="Book Antiqua"/>
        </w:rPr>
        <w:t xml:space="preserve"> 2022; </w:t>
      </w:r>
      <w:r>
        <w:rPr>
          <w:rFonts w:ascii="Book Antiqua" w:hAnsi="Book Antiqua" w:cs="Book Antiqua"/>
          <w:b/>
          <w:bCs/>
        </w:rPr>
        <w:t>13</w:t>
      </w:r>
      <w:r>
        <w:rPr>
          <w:rFonts w:ascii="Book Antiqua" w:hAnsi="Book Antiqua" w:cs="Book Antiqua"/>
        </w:rPr>
        <w:t>: 1039499 [PMID: 36339625 DOI: 10.3389/fphar.2022.1039499]</w:t>
      </w:r>
    </w:p>
    <w:p w14:paraId="59715CCB"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57 </w:t>
      </w:r>
      <w:r>
        <w:rPr>
          <w:rFonts w:ascii="Book Antiqua" w:hAnsi="Book Antiqua" w:cs="Book Antiqua"/>
          <w:b/>
          <w:bCs/>
        </w:rPr>
        <w:t>Nie H</w:t>
      </w:r>
      <w:r>
        <w:rPr>
          <w:rFonts w:ascii="Book Antiqua" w:hAnsi="Book Antiqua" w:cs="Book Antiqua"/>
        </w:rPr>
        <w:t xml:space="preserve">, Wang H, Zhang M, Ning Y, Chen X, Zhang Z, Hu X, Zhao Q, Chen P, Fang J, Wang F. Comprehensive analysis of </w:t>
      </w:r>
      <w:proofErr w:type="spellStart"/>
      <w:r>
        <w:rPr>
          <w:rFonts w:ascii="Book Antiqua" w:hAnsi="Book Antiqua" w:cs="Book Antiqua"/>
        </w:rPr>
        <w:t>cuproptosis</w:t>
      </w:r>
      <w:proofErr w:type="spellEnd"/>
      <w:r>
        <w:rPr>
          <w:rFonts w:ascii="Book Antiqua" w:hAnsi="Book Antiqua" w:cs="Book Antiqua"/>
        </w:rPr>
        <w:t xml:space="preserve">-related genes in prognosis, tumor microenvironment infiltration, and immunotherapy response in gastric cancer. </w:t>
      </w:r>
      <w:r>
        <w:rPr>
          <w:rFonts w:ascii="Book Antiqua" w:hAnsi="Book Antiqua" w:cs="Book Antiqua"/>
          <w:i/>
          <w:iCs/>
        </w:rPr>
        <w:t>J Cancer Res Clin Oncol</w:t>
      </w:r>
      <w:r>
        <w:rPr>
          <w:rFonts w:ascii="Book Antiqua" w:hAnsi="Book Antiqua" w:cs="Book Antiqua"/>
        </w:rPr>
        <w:t xml:space="preserve"> 2023; </w:t>
      </w:r>
      <w:r>
        <w:rPr>
          <w:rFonts w:ascii="Book Antiqua" w:hAnsi="Book Antiqua" w:cs="Book Antiqua"/>
          <w:b/>
          <w:bCs/>
        </w:rPr>
        <w:t>149</w:t>
      </w:r>
      <w:r>
        <w:rPr>
          <w:rFonts w:ascii="Book Antiqua" w:hAnsi="Book Antiqua" w:cs="Book Antiqua"/>
        </w:rPr>
        <w:t>: 5453-5468 [PMID: 36462036 DOI: 10.1007/s00432-022-04474-4]</w:t>
      </w:r>
    </w:p>
    <w:p w14:paraId="6D01CFDB"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58 </w:t>
      </w:r>
      <w:r>
        <w:rPr>
          <w:rFonts w:ascii="Book Antiqua" w:hAnsi="Book Antiqua" w:cs="Book Antiqua"/>
          <w:b/>
          <w:bCs/>
        </w:rPr>
        <w:t>Huang J</w:t>
      </w:r>
      <w:r>
        <w:rPr>
          <w:rFonts w:ascii="Book Antiqua" w:hAnsi="Book Antiqua" w:cs="Book Antiqua"/>
        </w:rPr>
        <w:t xml:space="preserve">, Chen M, Pei W, Xu Z, Ning J, Chen C. Distinct tumor microenvironment landscapes in gastric cancer classified by </w:t>
      </w:r>
      <w:proofErr w:type="spellStart"/>
      <w:r>
        <w:rPr>
          <w:rFonts w:ascii="Book Antiqua" w:hAnsi="Book Antiqua" w:cs="Book Antiqua"/>
        </w:rPr>
        <w:t>cuproptosis</w:t>
      </w:r>
      <w:proofErr w:type="spellEnd"/>
      <w:r>
        <w:rPr>
          <w:rFonts w:ascii="Book Antiqua" w:hAnsi="Book Antiqua" w:cs="Book Antiqua"/>
        </w:rPr>
        <w:t xml:space="preserve">-related </w:t>
      </w:r>
      <w:proofErr w:type="spellStart"/>
      <w:r>
        <w:rPr>
          <w:rFonts w:ascii="Book Antiqua" w:hAnsi="Book Antiqua" w:cs="Book Antiqua"/>
        </w:rPr>
        <w:t>lncRNAs</w:t>
      </w:r>
      <w:proofErr w:type="spellEnd"/>
      <w:r>
        <w:rPr>
          <w:rFonts w:ascii="Book Antiqua" w:hAnsi="Book Antiqua" w:cs="Book Antiqua"/>
        </w:rPr>
        <w:t xml:space="preserve">. </w:t>
      </w:r>
      <w:r>
        <w:rPr>
          <w:rFonts w:ascii="Book Antiqua" w:hAnsi="Book Antiqua" w:cs="Book Antiqua"/>
          <w:i/>
          <w:iCs/>
        </w:rPr>
        <w:t>J Cancer</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3687-3700 [PMID: 36606199 DOI: 10.7150/jca.79640]</w:t>
      </w:r>
    </w:p>
    <w:p w14:paraId="798FE4EA"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59 </w:t>
      </w:r>
      <w:r>
        <w:rPr>
          <w:rFonts w:ascii="Book Antiqua" w:hAnsi="Book Antiqua" w:cs="Book Antiqua"/>
          <w:b/>
          <w:bCs/>
        </w:rPr>
        <w:t>Liu X</w:t>
      </w:r>
      <w:r>
        <w:rPr>
          <w:rFonts w:ascii="Book Antiqua" w:hAnsi="Book Antiqua" w:cs="Book Antiqua"/>
        </w:rPr>
        <w:t xml:space="preserve">, Nie L, Zhang Y, Yan Y, Wang C, Colic M, Olszewski K, </w:t>
      </w:r>
      <w:proofErr w:type="spellStart"/>
      <w:r>
        <w:rPr>
          <w:rFonts w:ascii="Book Antiqua" w:hAnsi="Book Antiqua" w:cs="Book Antiqua"/>
        </w:rPr>
        <w:t>Horbath</w:t>
      </w:r>
      <w:proofErr w:type="spellEnd"/>
      <w:r>
        <w:rPr>
          <w:rFonts w:ascii="Book Antiqua" w:hAnsi="Book Antiqua" w:cs="Book Antiqua"/>
        </w:rPr>
        <w:t xml:space="preserve"> A, Chen X, Lei G, Mao C, Wu S, Zhuang L, </w:t>
      </w:r>
      <w:proofErr w:type="spellStart"/>
      <w:r>
        <w:rPr>
          <w:rFonts w:ascii="Book Antiqua" w:hAnsi="Book Antiqua" w:cs="Book Antiqua"/>
        </w:rPr>
        <w:t>Poyurovsky</w:t>
      </w:r>
      <w:proofErr w:type="spellEnd"/>
      <w:r>
        <w:rPr>
          <w:rFonts w:ascii="Book Antiqua" w:hAnsi="Book Antiqua" w:cs="Book Antiqua"/>
        </w:rPr>
        <w:t xml:space="preserve"> MV, James You M, Hart T, Billadeau DD, Chen J, Gan B. Actin cytoskeleton vulnerability to disulfide stress mediates </w:t>
      </w:r>
      <w:proofErr w:type="spellStart"/>
      <w:r>
        <w:rPr>
          <w:rFonts w:ascii="Book Antiqua" w:hAnsi="Book Antiqua" w:cs="Book Antiqua"/>
        </w:rPr>
        <w:t>disulfidptosis</w:t>
      </w:r>
      <w:proofErr w:type="spellEnd"/>
      <w:r>
        <w:rPr>
          <w:rFonts w:ascii="Book Antiqua" w:hAnsi="Book Antiqua" w:cs="Book Antiqua"/>
        </w:rPr>
        <w:t xml:space="preserve">. </w:t>
      </w:r>
      <w:r>
        <w:rPr>
          <w:rFonts w:ascii="Book Antiqua" w:hAnsi="Book Antiqua" w:cs="Book Antiqua"/>
          <w:i/>
          <w:iCs/>
        </w:rPr>
        <w:t>Nat Cell Biol</w:t>
      </w:r>
      <w:r>
        <w:rPr>
          <w:rFonts w:ascii="Book Antiqua" w:hAnsi="Book Antiqua" w:cs="Book Antiqua"/>
        </w:rPr>
        <w:t xml:space="preserve"> 2023; </w:t>
      </w:r>
      <w:r>
        <w:rPr>
          <w:rFonts w:ascii="Book Antiqua" w:hAnsi="Book Antiqua" w:cs="Book Antiqua"/>
          <w:b/>
          <w:bCs/>
        </w:rPr>
        <w:t>25</w:t>
      </w:r>
      <w:r>
        <w:rPr>
          <w:rFonts w:ascii="Book Antiqua" w:hAnsi="Book Antiqua" w:cs="Book Antiqua"/>
        </w:rPr>
        <w:t>: 404-414 [PMID: 36747082 DOI: 10.1038/s41556-023-01091-2]</w:t>
      </w:r>
    </w:p>
    <w:p w14:paraId="204DD5A1"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60 </w:t>
      </w:r>
      <w:r>
        <w:rPr>
          <w:rFonts w:ascii="Book Antiqua" w:hAnsi="Book Antiqua" w:cs="Book Antiqua"/>
          <w:b/>
          <w:bCs/>
        </w:rPr>
        <w:t>Tomczak K</w:t>
      </w:r>
      <w:r>
        <w:rPr>
          <w:rFonts w:ascii="Book Antiqua" w:hAnsi="Book Antiqua" w:cs="Book Antiqua"/>
        </w:rPr>
        <w:t xml:space="preserve">, Czerwińska P, </w:t>
      </w:r>
      <w:proofErr w:type="spellStart"/>
      <w:r>
        <w:rPr>
          <w:rFonts w:ascii="Book Antiqua" w:hAnsi="Book Antiqua" w:cs="Book Antiqua"/>
        </w:rPr>
        <w:t>Wiznerowicz</w:t>
      </w:r>
      <w:proofErr w:type="spellEnd"/>
      <w:r>
        <w:rPr>
          <w:rFonts w:ascii="Book Antiqua" w:hAnsi="Book Antiqua" w:cs="Book Antiqua"/>
        </w:rPr>
        <w:t xml:space="preserve"> M. The Cancer Genome Atlas (TCGA): an immeasurable source of knowledge. </w:t>
      </w:r>
      <w:proofErr w:type="spellStart"/>
      <w:r>
        <w:rPr>
          <w:rFonts w:ascii="Book Antiqua" w:hAnsi="Book Antiqua" w:cs="Book Antiqua"/>
          <w:i/>
          <w:iCs/>
        </w:rPr>
        <w:t>Contemp</w:t>
      </w:r>
      <w:proofErr w:type="spellEnd"/>
      <w:r>
        <w:rPr>
          <w:rFonts w:ascii="Book Antiqua" w:hAnsi="Book Antiqua" w:cs="Book Antiqua"/>
          <w:i/>
          <w:iCs/>
        </w:rPr>
        <w:t xml:space="preserve"> Oncol (</w:t>
      </w:r>
      <w:proofErr w:type="spellStart"/>
      <w:r>
        <w:rPr>
          <w:rFonts w:ascii="Book Antiqua" w:hAnsi="Book Antiqua" w:cs="Book Antiqua"/>
          <w:i/>
          <w:iCs/>
        </w:rPr>
        <w:t>Pozn</w:t>
      </w:r>
      <w:proofErr w:type="spellEnd"/>
      <w:r>
        <w:rPr>
          <w:rFonts w:ascii="Book Antiqua" w:hAnsi="Book Antiqua" w:cs="Book Antiqua"/>
          <w:i/>
          <w:iCs/>
        </w:rPr>
        <w:t>)</w:t>
      </w:r>
      <w:r>
        <w:rPr>
          <w:rFonts w:ascii="Book Antiqua" w:hAnsi="Book Antiqua" w:cs="Book Antiqua"/>
        </w:rPr>
        <w:t xml:space="preserve"> 2015; </w:t>
      </w:r>
      <w:r>
        <w:rPr>
          <w:rFonts w:ascii="Book Antiqua" w:hAnsi="Book Antiqua" w:cs="Book Antiqua"/>
          <w:b/>
          <w:bCs/>
        </w:rPr>
        <w:t>19</w:t>
      </w:r>
      <w:r>
        <w:rPr>
          <w:rFonts w:ascii="Book Antiqua" w:hAnsi="Book Antiqua" w:cs="Book Antiqua"/>
        </w:rPr>
        <w:t>: A68-A77 [PMID: 25691825 DOI: 10.5114/wo.2014.47136]</w:t>
      </w:r>
    </w:p>
    <w:p w14:paraId="65093543"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61 </w:t>
      </w:r>
      <w:r>
        <w:rPr>
          <w:rFonts w:ascii="Book Antiqua" w:hAnsi="Book Antiqua" w:cs="Book Antiqua"/>
          <w:b/>
          <w:bCs/>
        </w:rPr>
        <w:t>Barrett T</w:t>
      </w:r>
      <w:r>
        <w:rPr>
          <w:rFonts w:ascii="Book Antiqua" w:hAnsi="Book Antiqua" w:cs="Book Antiqua"/>
        </w:rPr>
        <w:t xml:space="preserve">, Wilhite SE, Ledoux P, Evangelista C, Kim IF, </w:t>
      </w:r>
      <w:proofErr w:type="spellStart"/>
      <w:r>
        <w:rPr>
          <w:rFonts w:ascii="Book Antiqua" w:hAnsi="Book Antiqua" w:cs="Book Antiqua"/>
        </w:rPr>
        <w:t>Tomashevsky</w:t>
      </w:r>
      <w:proofErr w:type="spellEnd"/>
      <w:r>
        <w:rPr>
          <w:rFonts w:ascii="Book Antiqua" w:hAnsi="Book Antiqua" w:cs="Book Antiqua"/>
        </w:rPr>
        <w:t xml:space="preserve"> M, Marshall KA, Phillippy KH, Sherman PM, Holko M, </w:t>
      </w:r>
      <w:proofErr w:type="spellStart"/>
      <w:r>
        <w:rPr>
          <w:rFonts w:ascii="Book Antiqua" w:hAnsi="Book Antiqua" w:cs="Book Antiqua"/>
        </w:rPr>
        <w:t>Yefanov</w:t>
      </w:r>
      <w:proofErr w:type="spellEnd"/>
      <w:r>
        <w:rPr>
          <w:rFonts w:ascii="Book Antiqua" w:hAnsi="Book Antiqua" w:cs="Book Antiqua"/>
        </w:rPr>
        <w:t xml:space="preserve"> A, Lee H, Zhang N, Robertson CL, </w:t>
      </w:r>
      <w:r>
        <w:rPr>
          <w:rFonts w:ascii="Book Antiqua" w:hAnsi="Book Antiqua" w:cs="Book Antiqua"/>
        </w:rPr>
        <w:lastRenderedPageBreak/>
        <w:t xml:space="preserve">Serova N, Davis S, Soboleva A. NCBI GEO: archive for functional genomics data sets--update. </w:t>
      </w:r>
      <w:r>
        <w:rPr>
          <w:rFonts w:ascii="Book Antiqua" w:hAnsi="Book Antiqua" w:cs="Book Antiqua"/>
          <w:i/>
          <w:iCs/>
        </w:rPr>
        <w:t>Nucleic Acids Res</w:t>
      </w:r>
      <w:r>
        <w:rPr>
          <w:rFonts w:ascii="Book Antiqua" w:hAnsi="Book Antiqua" w:cs="Book Antiqua"/>
        </w:rPr>
        <w:t xml:space="preserve"> 2013; </w:t>
      </w:r>
      <w:r>
        <w:rPr>
          <w:rFonts w:ascii="Book Antiqua" w:hAnsi="Book Antiqua" w:cs="Book Antiqua"/>
          <w:b/>
          <w:bCs/>
        </w:rPr>
        <w:t>41</w:t>
      </w:r>
      <w:r>
        <w:rPr>
          <w:rFonts w:ascii="Book Antiqua" w:hAnsi="Book Antiqua" w:cs="Book Antiqua"/>
        </w:rPr>
        <w:t>: D991-D995 [PMID: 23193258 DOI: 10.1093/</w:t>
      </w:r>
      <w:proofErr w:type="spellStart"/>
      <w:r>
        <w:rPr>
          <w:rFonts w:ascii="Book Antiqua" w:hAnsi="Book Antiqua" w:cs="Book Antiqua"/>
        </w:rPr>
        <w:t>nar</w:t>
      </w:r>
      <w:proofErr w:type="spellEnd"/>
      <w:r>
        <w:rPr>
          <w:rFonts w:ascii="Book Antiqua" w:hAnsi="Book Antiqua" w:cs="Book Antiqua"/>
        </w:rPr>
        <w:t>/gks1193]</w:t>
      </w:r>
    </w:p>
    <w:p w14:paraId="2D4D38E3"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62 </w:t>
      </w:r>
      <w:r>
        <w:rPr>
          <w:rFonts w:ascii="Book Antiqua" w:hAnsi="Book Antiqua" w:cs="Book Antiqua"/>
          <w:b/>
          <w:bCs/>
        </w:rPr>
        <w:t>Addeo A</w:t>
      </w:r>
      <w:r>
        <w:rPr>
          <w:rFonts w:ascii="Book Antiqua" w:hAnsi="Book Antiqua" w:cs="Book Antiqua"/>
        </w:rPr>
        <w:t xml:space="preserve">, Friedlaender A, Banna GL, Weiss GJ. TMB or not TMB as a biomarker: That is the question. </w:t>
      </w:r>
      <w:r>
        <w:rPr>
          <w:rFonts w:ascii="Book Antiqua" w:hAnsi="Book Antiqua" w:cs="Book Antiqua"/>
          <w:i/>
          <w:iCs/>
        </w:rPr>
        <w:t xml:space="preserve">Crit Rev Oncol </w:t>
      </w:r>
      <w:proofErr w:type="spellStart"/>
      <w:r>
        <w:rPr>
          <w:rFonts w:ascii="Book Antiqua" w:hAnsi="Book Antiqua" w:cs="Book Antiqua"/>
          <w:i/>
          <w:iCs/>
        </w:rPr>
        <w:t>Hematol</w:t>
      </w:r>
      <w:proofErr w:type="spellEnd"/>
      <w:r>
        <w:rPr>
          <w:rFonts w:ascii="Book Antiqua" w:hAnsi="Book Antiqua" w:cs="Book Antiqua"/>
        </w:rPr>
        <w:t xml:space="preserve"> 2021; </w:t>
      </w:r>
      <w:r>
        <w:rPr>
          <w:rFonts w:ascii="Book Antiqua" w:hAnsi="Book Antiqua" w:cs="Book Antiqua"/>
          <w:b/>
          <w:bCs/>
        </w:rPr>
        <w:t>163</w:t>
      </w:r>
      <w:r>
        <w:rPr>
          <w:rFonts w:ascii="Book Antiqua" w:hAnsi="Book Antiqua" w:cs="Book Antiqua"/>
        </w:rPr>
        <w:t>: 103374 [PMID: 34087341 DOI: 10.1016/j.critrevonc.2021.103374]</w:t>
      </w:r>
    </w:p>
    <w:p w14:paraId="068C256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63 </w:t>
      </w:r>
      <w:r>
        <w:rPr>
          <w:rFonts w:ascii="Book Antiqua" w:hAnsi="Book Antiqua" w:cs="Book Antiqua"/>
          <w:b/>
          <w:bCs/>
        </w:rPr>
        <w:t>Liu L</w:t>
      </w:r>
      <w:r>
        <w:rPr>
          <w:rFonts w:ascii="Book Antiqua" w:hAnsi="Book Antiqua" w:cs="Book Antiqua"/>
        </w:rPr>
        <w:t xml:space="preserve">, Bai X, Wang J, Tang XR, Wu DH, Du SS, Du XJ, Zhang YW, Zhu HB, Fang Y, Guo ZQ, Zeng Q, Guo XJ, Liu Z, Dong ZY. Combination of TMB and CNA Stratifies Prognostic and Predictive Responses to Immunotherapy Across Metastatic Cancer. </w:t>
      </w:r>
      <w:r>
        <w:rPr>
          <w:rFonts w:ascii="Book Antiqua" w:hAnsi="Book Antiqua" w:cs="Book Antiqua"/>
          <w:i/>
          <w:iCs/>
        </w:rPr>
        <w:t>Clin Cancer Res</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7413-7423 [PMID: 31515453 DOI: 10.1158/1078-0432.CCR-19-0558]</w:t>
      </w:r>
    </w:p>
    <w:p w14:paraId="49827D3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64 </w:t>
      </w:r>
      <w:r>
        <w:rPr>
          <w:rFonts w:ascii="Book Antiqua" w:hAnsi="Book Antiqua" w:cs="Book Antiqua"/>
          <w:b/>
          <w:bCs/>
        </w:rPr>
        <w:t>Gene Ontology Consortium</w:t>
      </w:r>
      <w:r>
        <w:rPr>
          <w:rFonts w:ascii="Book Antiqua" w:hAnsi="Book Antiqua" w:cs="Book Antiqua"/>
        </w:rPr>
        <w:t xml:space="preserve">. Gene Ontology Consortium: going forward. </w:t>
      </w:r>
      <w:r>
        <w:rPr>
          <w:rFonts w:ascii="Book Antiqua" w:hAnsi="Book Antiqua" w:cs="Book Antiqua"/>
          <w:i/>
          <w:iCs/>
        </w:rPr>
        <w:t>Nucleic Acids Res</w:t>
      </w:r>
      <w:r>
        <w:rPr>
          <w:rFonts w:ascii="Book Antiqua" w:hAnsi="Book Antiqua" w:cs="Book Antiqua"/>
        </w:rPr>
        <w:t xml:space="preserve"> 2015; </w:t>
      </w:r>
      <w:r>
        <w:rPr>
          <w:rFonts w:ascii="Book Antiqua" w:hAnsi="Book Antiqua" w:cs="Book Antiqua"/>
          <w:b/>
          <w:bCs/>
        </w:rPr>
        <w:t>43</w:t>
      </w:r>
      <w:r>
        <w:rPr>
          <w:rFonts w:ascii="Book Antiqua" w:hAnsi="Book Antiqua" w:cs="Book Antiqua"/>
        </w:rPr>
        <w:t>: D1049-D1056 [PMID: 25428369 DOI: 10.1093/</w:t>
      </w:r>
      <w:proofErr w:type="spellStart"/>
      <w:r>
        <w:rPr>
          <w:rFonts w:ascii="Book Antiqua" w:hAnsi="Book Antiqua" w:cs="Book Antiqua"/>
        </w:rPr>
        <w:t>nar</w:t>
      </w:r>
      <w:proofErr w:type="spellEnd"/>
      <w:r>
        <w:rPr>
          <w:rFonts w:ascii="Book Antiqua" w:hAnsi="Book Antiqua" w:cs="Book Antiqua"/>
        </w:rPr>
        <w:t>/gku1179]</w:t>
      </w:r>
    </w:p>
    <w:p w14:paraId="2E0B4AD4"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65 </w:t>
      </w:r>
      <w:proofErr w:type="spellStart"/>
      <w:r>
        <w:rPr>
          <w:rFonts w:ascii="Book Antiqua" w:hAnsi="Book Antiqua" w:cs="Book Antiqua"/>
          <w:b/>
          <w:bCs/>
        </w:rPr>
        <w:t>Kanehisa</w:t>
      </w:r>
      <w:proofErr w:type="spellEnd"/>
      <w:r>
        <w:rPr>
          <w:rFonts w:ascii="Book Antiqua" w:hAnsi="Book Antiqua" w:cs="Book Antiqua"/>
          <w:b/>
          <w:bCs/>
        </w:rPr>
        <w:t xml:space="preserve"> M</w:t>
      </w:r>
      <w:r>
        <w:rPr>
          <w:rFonts w:ascii="Book Antiqua" w:hAnsi="Book Antiqua" w:cs="Book Antiqua"/>
        </w:rPr>
        <w:t xml:space="preserve">, Goto S. KEGG: </w:t>
      </w:r>
      <w:proofErr w:type="spellStart"/>
      <w:r>
        <w:rPr>
          <w:rFonts w:ascii="Book Antiqua" w:hAnsi="Book Antiqua" w:cs="Book Antiqua"/>
        </w:rPr>
        <w:t>kyoto</w:t>
      </w:r>
      <w:proofErr w:type="spellEnd"/>
      <w:r>
        <w:rPr>
          <w:rFonts w:ascii="Book Antiqua" w:hAnsi="Book Antiqua" w:cs="Book Antiqua"/>
        </w:rPr>
        <w:t xml:space="preserve"> encyclopedia of genes and genomes. </w:t>
      </w:r>
      <w:r>
        <w:rPr>
          <w:rFonts w:ascii="Book Antiqua" w:hAnsi="Book Antiqua" w:cs="Book Antiqua"/>
          <w:i/>
          <w:iCs/>
        </w:rPr>
        <w:t>Nucleic Acids Res</w:t>
      </w:r>
      <w:r>
        <w:rPr>
          <w:rFonts w:ascii="Book Antiqua" w:hAnsi="Book Antiqua" w:cs="Book Antiqua"/>
        </w:rPr>
        <w:t xml:space="preserve"> 2000; </w:t>
      </w:r>
      <w:r>
        <w:rPr>
          <w:rFonts w:ascii="Book Antiqua" w:hAnsi="Book Antiqua" w:cs="Book Antiqua"/>
          <w:b/>
          <w:bCs/>
        </w:rPr>
        <w:t>28</w:t>
      </w:r>
      <w:r>
        <w:rPr>
          <w:rFonts w:ascii="Book Antiqua" w:hAnsi="Book Antiqua" w:cs="Book Antiqua"/>
        </w:rPr>
        <w:t>: 27-30 [PMID: 10592173 DOI: 10.1093/</w:t>
      </w:r>
      <w:proofErr w:type="spellStart"/>
      <w:r>
        <w:rPr>
          <w:rFonts w:ascii="Book Antiqua" w:hAnsi="Book Antiqua" w:cs="Book Antiqua"/>
        </w:rPr>
        <w:t>nar</w:t>
      </w:r>
      <w:proofErr w:type="spellEnd"/>
      <w:r>
        <w:rPr>
          <w:rFonts w:ascii="Book Antiqua" w:hAnsi="Book Antiqua" w:cs="Book Antiqua"/>
        </w:rPr>
        <w:t>/28.1.27]</w:t>
      </w:r>
    </w:p>
    <w:p w14:paraId="02426D4D"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66 </w:t>
      </w:r>
      <w:r>
        <w:rPr>
          <w:rFonts w:ascii="Book Antiqua" w:hAnsi="Book Antiqua" w:cs="Book Antiqua"/>
          <w:b/>
          <w:bCs/>
        </w:rPr>
        <w:t>Tao W</w:t>
      </w:r>
      <w:r>
        <w:rPr>
          <w:rFonts w:ascii="Book Antiqua" w:hAnsi="Book Antiqua" w:cs="Book Antiqua"/>
        </w:rPr>
        <w:t xml:space="preserve">, Li Y, Zhu M, Li C, Li P. LncRNA NORAD Promotes Proliferation </w:t>
      </w:r>
      <w:proofErr w:type="gramStart"/>
      <w:r>
        <w:rPr>
          <w:rFonts w:ascii="Book Antiqua" w:hAnsi="Book Antiqua" w:cs="Book Antiqua"/>
        </w:rPr>
        <w:t>And</w:t>
      </w:r>
      <w:proofErr w:type="gramEnd"/>
      <w:r>
        <w:rPr>
          <w:rFonts w:ascii="Book Antiqua" w:hAnsi="Book Antiqua" w:cs="Book Antiqua"/>
        </w:rPr>
        <w:t xml:space="preserve"> Inhibits Apoptosis Of Gastric Cancer By Regulating miR-214/Akt/mTOR Axis. </w:t>
      </w:r>
      <w:proofErr w:type="spellStart"/>
      <w:r>
        <w:rPr>
          <w:rFonts w:ascii="Book Antiqua" w:hAnsi="Book Antiqua" w:cs="Book Antiqua"/>
          <w:i/>
          <w:iCs/>
        </w:rPr>
        <w:t>Onco</w:t>
      </w:r>
      <w:proofErr w:type="spellEnd"/>
      <w:r>
        <w:rPr>
          <w:rFonts w:ascii="Book Antiqua" w:hAnsi="Book Antiqua" w:cs="Book Antiqua"/>
          <w:i/>
          <w:iCs/>
        </w:rPr>
        <w:t xml:space="preserve"> Targets Ther</w:t>
      </w:r>
      <w:r>
        <w:rPr>
          <w:rFonts w:ascii="Book Antiqua" w:hAnsi="Book Antiqua" w:cs="Book Antiqua"/>
        </w:rPr>
        <w:t xml:space="preserve"> 2019; </w:t>
      </w:r>
      <w:r>
        <w:rPr>
          <w:rFonts w:ascii="Book Antiqua" w:hAnsi="Book Antiqua" w:cs="Book Antiqua"/>
          <w:b/>
          <w:bCs/>
        </w:rPr>
        <w:t>12</w:t>
      </w:r>
      <w:r>
        <w:rPr>
          <w:rFonts w:ascii="Book Antiqua" w:hAnsi="Book Antiqua" w:cs="Book Antiqua"/>
        </w:rPr>
        <w:t>: 8841-8851 [PMID: 31802897 DOI: 10.2147/OTT.S216862]</w:t>
      </w:r>
    </w:p>
    <w:p w14:paraId="4967E4F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67 </w:t>
      </w:r>
      <w:r>
        <w:rPr>
          <w:rFonts w:ascii="Book Antiqua" w:hAnsi="Book Antiqua" w:cs="Book Antiqua"/>
          <w:b/>
          <w:bCs/>
        </w:rPr>
        <w:t>Sung H</w:t>
      </w:r>
      <w:r>
        <w:rPr>
          <w:rFonts w:ascii="Book Antiqua" w:hAnsi="Book Antiqua" w:cs="Book Antiqua"/>
        </w:rPr>
        <w:t xml:space="preserve">, Hu N, Yang HH, Giffen CA, Zhu B, Song L, Su H, Wang C, Parisi DM, Goldstein AM, Taylor PR, Hyland PL. Association of high-evidence gastric cancer susceptibility loci and somatic gene expression levels with survival. </w:t>
      </w:r>
      <w:r>
        <w:rPr>
          <w:rFonts w:ascii="Book Antiqua" w:hAnsi="Book Antiqua" w:cs="Book Antiqua"/>
          <w:i/>
          <w:iCs/>
        </w:rPr>
        <w:t>Carcinogenesis</w:t>
      </w:r>
      <w:r>
        <w:rPr>
          <w:rFonts w:ascii="Book Antiqua" w:hAnsi="Book Antiqua" w:cs="Book Antiqua"/>
        </w:rPr>
        <w:t xml:space="preserve"> 2017; </w:t>
      </w:r>
      <w:r>
        <w:rPr>
          <w:rFonts w:ascii="Book Antiqua" w:hAnsi="Book Antiqua" w:cs="Book Antiqua"/>
          <w:b/>
          <w:bCs/>
        </w:rPr>
        <w:t>38</w:t>
      </w:r>
      <w:r>
        <w:rPr>
          <w:rFonts w:ascii="Book Antiqua" w:hAnsi="Book Antiqua" w:cs="Book Antiqua"/>
        </w:rPr>
        <w:t>: 1119-1128 [PMID: 29028942 DOI: 10.1093/</w:t>
      </w:r>
      <w:proofErr w:type="spellStart"/>
      <w:r>
        <w:rPr>
          <w:rFonts w:ascii="Book Antiqua" w:hAnsi="Book Antiqua" w:cs="Book Antiqua"/>
        </w:rPr>
        <w:t>carcin</w:t>
      </w:r>
      <w:proofErr w:type="spellEnd"/>
      <w:r>
        <w:rPr>
          <w:rFonts w:ascii="Book Antiqua" w:hAnsi="Book Antiqua" w:cs="Book Antiqua"/>
        </w:rPr>
        <w:t>/bgx090]</w:t>
      </w:r>
    </w:p>
    <w:p w14:paraId="31C8725D"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68 </w:t>
      </w:r>
      <w:r>
        <w:rPr>
          <w:rFonts w:ascii="Book Antiqua" w:hAnsi="Book Antiqua" w:cs="Book Antiqua"/>
          <w:b/>
          <w:bCs/>
        </w:rPr>
        <w:t>Tan Y</w:t>
      </w:r>
      <w:r>
        <w:rPr>
          <w:rFonts w:ascii="Book Antiqua" w:hAnsi="Book Antiqua" w:cs="Book Antiqua"/>
        </w:rPr>
        <w:t xml:space="preserve">, Li Y, Zhu H, Wu X, Mei K, Li P, Yang Q. miR-187/PDLIM1 Gets Involved in Gastric Cancer Progression and Cisplatin Sensitivity of Cisplatin by Mediating the Hippo-YAP Signaling Pathway. </w:t>
      </w:r>
      <w:r>
        <w:rPr>
          <w:rFonts w:ascii="Book Antiqua" w:hAnsi="Book Antiqua" w:cs="Book Antiqua"/>
          <w:i/>
          <w:iCs/>
        </w:rPr>
        <w:t>J Oncol</w:t>
      </w:r>
      <w:r>
        <w:rPr>
          <w:rFonts w:ascii="Book Antiqua" w:hAnsi="Book Antiqua" w:cs="Book Antiqua"/>
        </w:rPr>
        <w:t xml:space="preserve"> 2022; </w:t>
      </w:r>
      <w:r>
        <w:rPr>
          <w:rFonts w:ascii="Book Antiqua" w:hAnsi="Book Antiqua" w:cs="Book Antiqua"/>
          <w:b/>
          <w:bCs/>
        </w:rPr>
        <w:t>2022</w:t>
      </w:r>
      <w:r>
        <w:rPr>
          <w:rFonts w:ascii="Book Antiqua" w:hAnsi="Book Antiqua" w:cs="Book Antiqua"/>
        </w:rPr>
        <w:t>: 5456016 [PMID: 36164345 DOI: 10.1155/2022/5456016]</w:t>
      </w:r>
    </w:p>
    <w:p w14:paraId="71D829F5"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69 </w:t>
      </w:r>
      <w:r>
        <w:rPr>
          <w:rFonts w:ascii="Book Antiqua" w:hAnsi="Book Antiqua" w:cs="Book Antiqua"/>
          <w:b/>
          <w:bCs/>
        </w:rPr>
        <w:t>Sun GG</w:t>
      </w:r>
      <w:r>
        <w:rPr>
          <w:rFonts w:ascii="Book Antiqua" w:hAnsi="Book Antiqua" w:cs="Book Antiqua"/>
        </w:rPr>
        <w:t xml:space="preserve">, Sheng SH, Jing SW, Hu WN. An antiproliferative gene FLNA regulates migration and invasion of gastric carcinoma cell in vitro and its clinical significance. </w:t>
      </w:r>
      <w:proofErr w:type="spellStart"/>
      <w:r>
        <w:rPr>
          <w:rFonts w:ascii="Book Antiqua" w:hAnsi="Book Antiqua" w:cs="Book Antiqua"/>
          <w:i/>
          <w:iCs/>
        </w:rPr>
        <w:t>Tumour</w:t>
      </w:r>
      <w:proofErr w:type="spellEnd"/>
      <w:r>
        <w:rPr>
          <w:rFonts w:ascii="Book Antiqua" w:hAnsi="Book Antiqua" w:cs="Book Antiqua"/>
          <w:i/>
          <w:iCs/>
        </w:rPr>
        <w:t xml:space="preserve"> Biol</w:t>
      </w:r>
      <w:r>
        <w:rPr>
          <w:rFonts w:ascii="Book Antiqua" w:hAnsi="Book Antiqua" w:cs="Book Antiqua"/>
        </w:rPr>
        <w:t xml:space="preserve"> 2014; </w:t>
      </w:r>
      <w:r>
        <w:rPr>
          <w:rFonts w:ascii="Book Antiqua" w:hAnsi="Book Antiqua" w:cs="Book Antiqua"/>
          <w:b/>
          <w:bCs/>
        </w:rPr>
        <w:t>35</w:t>
      </w:r>
      <w:r>
        <w:rPr>
          <w:rFonts w:ascii="Book Antiqua" w:hAnsi="Book Antiqua" w:cs="Book Antiqua"/>
        </w:rPr>
        <w:t>: 2641-2648 [PMID: 24241900 DOI: 10.1007/s13277-013-1347-1]</w:t>
      </w:r>
    </w:p>
    <w:p w14:paraId="0CCE837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70 </w:t>
      </w:r>
      <w:r>
        <w:rPr>
          <w:rFonts w:ascii="Book Antiqua" w:hAnsi="Book Antiqua" w:cs="Book Antiqua"/>
          <w:b/>
          <w:bCs/>
        </w:rPr>
        <w:t>Liu L</w:t>
      </w:r>
      <w:r>
        <w:rPr>
          <w:rFonts w:ascii="Book Antiqua" w:hAnsi="Book Antiqua" w:cs="Book Antiqua"/>
        </w:rPr>
        <w:t xml:space="preserve">, Chen C, Liu P, Li J, Pang Z, Zhu J, Lin Z, Zhou H, Xie Y, Lan T, Chen ZS, Zeng Z, Fang W. MYH10 Combines with MYH9 to Recruit USP45 by Deubiquitinating Snail and Promotes Serous Ovarian Cancer Carcinogenesis, Progression, and Cisplatin Resistance. </w:t>
      </w:r>
      <w:r>
        <w:rPr>
          <w:rFonts w:ascii="Book Antiqua" w:hAnsi="Book Antiqua" w:cs="Book Antiqua"/>
          <w:i/>
          <w:iCs/>
        </w:rPr>
        <w:t>Adv Sci (</w:t>
      </w:r>
      <w:proofErr w:type="spellStart"/>
      <w:r>
        <w:rPr>
          <w:rFonts w:ascii="Book Antiqua" w:hAnsi="Book Antiqua" w:cs="Book Antiqua"/>
          <w:i/>
          <w:iCs/>
        </w:rPr>
        <w:t>Weinh</w:t>
      </w:r>
      <w:proofErr w:type="spellEnd"/>
      <w:r>
        <w:rPr>
          <w:rFonts w:ascii="Book Antiqua" w:hAnsi="Book Antiqua" w:cs="Book Antiqua"/>
          <w:i/>
          <w:iCs/>
        </w:rPr>
        <w:t>)</w:t>
      </w:r>
      <w:r>
        <w:rPr>
          <w:rFonts w:ascii="Book Antiqua" w:hAnsi="Book Antiqua" w:cs="Book Antiqua"/>
        </w:rPr>
        <w:t xml:space="preserve"> 2023; </w:t>
      </w:r>
      <w:r>
        <w:rPr>
          <w:rFonts w:ascii="Book Antiqua" w:hAnsi="Book Antiqua" w:cs="Book Antiqua"/>
          <w:b/>
          <w:bCs/>
        </w:rPr>
        <w:t>10</w:t>
      </w:r>
      <w:r>
        <w:rPr>
          <w:rFonts w:ascii="Book Antiqua" w:hAnsi="Book Antiqua" w:cs="Book Antiqua"/>
        </w:rPr>
        <w:t>: e2203423 [PMID: 36929633 DOI: 10.1002/advs.202203423]</w:t>
      </w:r>
    </w:p>
    <w:p w14:paraId="6996D9AD"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71 </w:t>
      </w:r>
      <w:r>
        <w:rPr>
          <w:rFonts w:ascii="Book Antiqua" w:hAnsi="Book Antiqua" w:cs="Book Antiqua"/>
          <w:b/>
          <w:bCs/>
        </w:rPr>
        <w:t>Yu J</w:t>
      </w:r>
      <w:r>
        <w:rPr>
          <w:rFonts w:ascii="Book Antiqua" w:hAnsi="Book Antiqua" w:cs="Book Antiqua"/>
        </w:rPr>
        <w:t xml:space="preserve">, Liang QY, Wang J, Cheng Y, Wang S, Poon TC, Go MY, Tao Q, Chang Z, Sung JJ. Zinc-finger protein 331, a novel putative tumor suppressor, suppresses growth and invasiveness of gastric cancer. </w:t>
      </w:r>
      <w:r>
        <w:rPr>
          <w:rFonts w:ascii="Book Antiqua" w:hAnsi="Book Antiqua" w:cs="Book Antiqua"/>
          <w:i/>
          <w:iCs/>
        </w:rPr>
        <w:t>Oncogene</w:t>
      </w:r>
      <w:r>
        <w:rPr>
          <w:rFonts w:ascii="Book Antiqua" w:hAnsi="Book Antiqua" w:cs="Book Antiqua"/>
        </w:rPr>
        <w:t xml:space="preserve"> 2013; </w:t>
      </w:r>
      <w:r>
        <w:rPr>
          <w:rFonts w:ascii="Book Antiqua" w:hAnsi="Book Antiqua" w:cs="Book Antiqua"/>
          <w:b/>
          <w:bCs/>
        </w:rPr>
        <w:t>32</w:t>
      </w:r>
      <w:r>
        <w:rPr>
          <w:rFonts w:ascii="Book Antiqua" w:hAnsi="Book Antiqua" w:cs="Book Antiqua"/>
        </w:rPr>
        <w:t>: 307-317 [PMID: 22370639 DOI: 10.1038/onc.2012.54]</w:t>
      </w:r>
    </w:p>
    <w:p w14:paraId="5B29B37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72 </w:t>
      </w:r>
      <w:r>
        <w:rPr>
          <w:rFonts w:ascii="Book Antiqua" w:hAnsi="Book Antiqua" w:cs="Book Antiqua"/>
          <w:b/>
          <w:bCs/>
        </w:rPr>
        <w:t>Vierthaler M</w:t>
      </w:r>
      <w:r>
        <w:rPr>
          <w:rFonts w:ascii="Book Antiqua" w:hAnsi="Book Antiqua" w:cs="Book Antiqua"/>
        </w:rPr>
        <w:t xml:space="preserve">, Sun Q, Wang Y, </w:t>
      </w:r>
      <w:proofErr w:type="spellStart"/>
      <w:r>
        <w:rPr>
          <w:rFonts w:ascii="Book Antiqua" w:hAnsi="Book Antiqua" w:cs="Book Antiqua"/>
        </w:rPr>
        <w:t>Steinfass</w:t>
      </w:r>
      <w:proofErr w:type="spellEnd"/>
      <w:r>
        <w:rPr>
          <w:rFonts w:ascii="Book Antiqua" w:hAnsi="Book Antiqua" w:cs="Book Antiqua"/>
        </w:rPr>
        <w:t xml:space="preserve"> T, </w:t>
      </w:r>
      <w:proofErr w:type="spellStart"/>
      <w:r>
        <w:rPr>
          <w:rFonts w:ascii="Book Antiqua" w:hAnsi="Book Antiqua" w:cs="Book Antiqua"/>
        </w:rPr>
        <w:t>Poelchen</w:t>
      </w:r>
      <w:proofErr w:type="spellEnd"/>
      <w:r>
        <w:rPr>
          <w:rFonts w:ascii="Book Antiqua" w:hAnsi="Book Antiqua" w:cs="Book Antiqua"/>
        </w:rPr>
        <w:t xml:space="preserve"> J, Hielscher T, Novak D, Umansky V, </w:t>
      </w:r>
      <w:proofErr w:type="spellStart"/>
      <w:r>
        <w:rPr>
          <w:rFonts w:ascii="Book Antiqua" w:hAnsi="Book Antiqua" w:cs="Book Antiqua"/>
        </w:rPr>
        <w:t>Utikal</w:t>
      </w:r>
      <w:proofErr w:type="spellEnd"/>
      <w:r>
        <w:rPr>
          <w:rFonts w:ascii="Book Antiqua" w:hAnsi="Book Antiqua" w:cs="Book Antiqua"/>
        </w:rPr>
        <w:t xml:space="preserve"> J. ADCK2 Knockdown Affects the Migration of Melanoma Cells via MYL6. </w:t>
      </w:r>
      <w:r>
        <w:rPr>
          <w:rFonts w:ascii="Book Antiqua" w:hAnsi="Book Antiqua" w:cs="Book Antiqua"/>
          <w:i/>
          <w:iCs/>
        </w:rPr>
        <w:t>Cancers (Basel)</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xml:space="preserve"> [PMID: 35205819 DOI: 10.3390/cancers14041071]</w:t>
      </w:r>
    </w:p>
    <w:p w14:paraId="69D5B79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73 </w:t>
      </w:r>
      <w:r>
        <w:rPr>
          <w:rFonts w:ascii="Book Antiqua" w:hAnsi="Book Antiqua" w:cs="Book Antiqua"/>
          <w:b/>
          <w:bCs/>
        </w:rPr>
        <w:t>Kato S</w:t>
      </w:r>
      <w:r>
        <w:rPr>
          <w:rFonts w:ascii="Book Antiqua" w:hAnsi="Book Antiqua" w:cs="Book Antiqua"/>
        </w:rPr>
        <w:t xml:space="preserve">, Shiozaki A, Kudou M, Shimizu H, Kosuga T, Ohashi T, Arita T, Konishi H, Komatsu S, Kubota T, Fujiwara H, Okamoto K, Kishimoto M, Konishi E, Otsuji E. TRPV2 Promotes Cell Migration and Invasion in Gastric Cancer via the Transforming Growth Factor-β Signaling Pathway. </w:t>
      </w:r>
      <w:r>
        <w:rPr>
          <w:rFonts w:ascii="Book Antiqua" w:hAnsi="Book Antiqua" w:cs="Book Antiqua"/>
          <w:i/>
          <w:iCs/>
        </w:rPr>
        <w:t>Ann Surg Oncol</w:t>
      </w:r>
      <w:r>
        <w:rPr>
          <w:rFonts w:ascii="Book Antiqua" w:hAnsi="Book Antiqua" w:cs="Book Antiqua"/>
        </w:rPr>
        <w:t xml:space="preserve"> 2022; </w:t>
      </w:r>
      <w:r>
        <w:rPr>
          <w:rFonts w:ascii="Book Antiqua" w:hAnsi="Book Antiqua" w:cs="Book Antiqua"/>
          <w:b/>
          <w:bCs/>
        </w:rPr>
        <w:t>29</w:t>
      </w:r>
      <w:r>
        <w:rPr>
          <w:rFonts w:ascii="Book Antiqua" w:hAnsi="Book Antiqua" w:cs="Book Antiqua"/>
        </w:rPr>
        <w:t>: 2944-2956 [PMID: 34855064 DOI: 10.1245/s10434-021-11132-5]</w:t>
      </w:r>
    </w:p>
    <w:p w14:paraId="46F1D967"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74 </w:t>
      </w:r>
      <w:r>
        <w:rPr>
          <w:rFonts w:ascii="Book Antiqua" w:hAnsi="Book Antiqua" w:cs="Book Antiqua"/>
          <w:b/>
          <w:bCs/>
        </w:rPr>
        <w:t>Jiang H</w:t>
      </w:r>
      <w:r>
        <w:rPr>
          <w:rFonts w:ascii="Book Antiqua" w:hAnsi="Book Antiqua" w:cs="Book Antiqua"/>
        </w:rPr>
        <w:t xml:space="preserve">, Ma P, Duan Z, Liu Y, Shen S, Mi Y, Fan D. Ginsenoside Rh4 Suppresses Metastasis of Gastric Cancer via SIX1-Dependent TGF-β/Smad2/3 Signaling Pathway. </w:t>
      </w:r>
      <w:r>
        <w:rPr>
          <w:rFonts w:ascii="Book Antiqua" w:hAnsi="Book Antiqua" w:cs="Book Antiqua"/>
          <w:i/>
          <w:iCs/>
        </w:rPr>
        <w:t>Nutrients</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xml:space="preserve"> [PMID: 35458126 DOI: 10.3390/nu14081564]</w:t>
      </w:r>
    </w:p>
    <w:p w14:paraId="472E1651"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75 </w:t>
      </w:r>
      <w:r>
        <w:rPr>
          <w:rFonts w:ascii="Book Antiqua" w:hAnsi="Book Antiqua" w:cs="Book Antiqua"/>
          <w:b/>
          <w:bCs/>
        </w:rPr>
        <w:t>Zhang X</w:t>
      </w:r>
      <w:r>
        <w:rPr>
          <w:rFonts w:ascii="Book Antiqua" w:hAnsi="Book Antiqua" w:cs="Book Antiqua"/>
        </w:rPr>
        <w:t xml:space="preserve">, Wu J. LINC00665 promotes cell proliferation, invasion, and metastasis by activating the TGF-β pathway in gastric cancer. </w:t>
      </w:r>
      <w:proofErr w:type="spellStart"/>
      <w:r>
        <w:rPr>
          <w:rFonts w:ascii="Book Antiqua" w:hAnsi="Book Antiqua" w:cs="Book Antiqua"/>
          <w:i/>
          <w:iCs/>
        </w:rPr>
        <w:t>Pathol</w:t>
      </w:r>
      <w:proofErr w:type="spellEnd"/>
      <w:r>
        <w:rPr>
          <w:rFonts w:ascii="Book Antiqua" w:hAnsi="Book Antiqua" w:cs="Book Antiqua"/>
          <w:i/>
          <w:iCs/>
        </w:rPr>
        <w:t xml:space="preserve"> Res </w:t>
      </w:r>
      <w:proofErr w:type="spellStart"/>
      <w:r>
        <w:rPr>
          <w:rFonts w:ascii="Book Antiqua" w:hAnsi="Book Antiqua" w:cs="Book Antiqua"/>
          <w:i/>
          <w:iCs/>
        </w:rPr>
        <w:t>Pract</w:t>
      </w:r>
      <w:proofErr w:type="spellEnd"/>
      <w:r>
        <w:rPr>
          <w:rFonts w:ascii="Book Antiqua" w:hAnsi="Book Antiqua" w:cs="Book Antiqua"/>
        </w:rPr>
        <w:t xml:space="preserve"> 2021; </w:t>
      </w:r>
      <w:r>
        <w:rPr>
          <w:rFonts w:ascii="Book Antiqua" w:hAnsi="Book Antiqua" w:cs="Book Antiqua"/>
          <w:b/>
          <w:bCs/>
        </w:rPr>
        <w:t>224</w:t>
      </w:r>
      <w:r>
        <w:rPr>
          <w:rFonts w:ascii="Book Antiqua" w:hAnsi="Book Antiqua" w:cs="Book Antiqua"/>
        </w:rPr>
        <w:t>: 153492 [PMID: 34091388 DOI: 10.1016/j.prp.2021.153492]</w:t>
      </w:r>
    </w:p>
    <w:p w14:paraId="4E1AE95B"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76 </w:t>
      </w:r>
      <w:r>
        <w:rPr>
          <w:rFonts w:ascii="Book Antiqua" w:hAnsi="Book Antiqua" w:cs="Book Antiqua"/>
          <w:b/>
          <w:bCs/>
        </w:rPr>
        <w:t>Xiong R</w:t>
      </w:r>
      <w:r>
        <w:rPr>
          <w:rFonts w:ascii="Book Antiqua" w:hAnsi="Book Antiqua" w:cs="Book Antiqua"/>
        </w:rPr>
        <w:t xml:space="preserve">, Yin T, Gao JL, Yuan YF. HOXD9 Activates the TGF-β/Smad Signaling Pathway to Promote Gastric Cancer. </w:t>
      </w:r>
      <w:proofErr w:type="spellStart"/>
      <w:r>
        <w:rPr>
          <w:rFonts w:ascii="Book Antiqua" w:hAnsi="Book Antiqua" w:cs="Book Antiqua"/>
          <w:i/>
          <w:iCs/>
        </w:rPr>
        <w:t>Onco</w:t>
      </w:r>
      <w:proofErr w:type="spellEnd"/>
      <w:r>
        <w:rPr>
          <w:rFonts w:ascii="Book Antiqua" w:hAnsi="Book Antiqua" w:cs="Book Antiqua"/>
          <w:i/>
          <w:iCs/>
        </w:rPr>
        <w:t xml:space="preserve"> Targets Ther</w:t>
      </w:r>
      <w:r>
        <w:rPr>
          <w:rFonts w:ascii="Book Antiqua" w:hAnsi="Book Antiqua" w:cs="Book Antiqua"/>
        </w:rPr>
        <w:t xml:space="preserve"> 2020; </w:t>
      </w:r>
      <w:r>
        <w:rPr>
          <w:rFonts w:ascii="Book Antiqua" w:hAnsi="Book Antiqua" w:cs="Book Antiqua"/>
          <w:b/>
          <w:bCs/>
        </w:rPr>
        <w:t>13</w:t>
      </w:r>
      <w:r>
        <w:rPr>
          <w:rFonts w:ascii="Book Antiqua" w:hAnsi="Book Antiqua" w:cs="Book Antiqua"/>
        </w:rPr>
        <w:t>: 2163-2172 [PMID: 32210582 DOI: 10.2147/OTT.S234829]</w:t>
      </w:r>
    </w:p>
    <w:p w14:paraId="79773048"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77 </w:t>
      </w:r>
      <w:r>
        <w:rPr>
          <w:rFonts w:ascii="Book Antiqua" w:hAnsi="Book Antiqua" w:cs="Book Antiqua"/>
          <w:b/>
          <w:bCs/>
        </w:rPr>
        <w:t>Xiong R</w:t>
      </w:r>
      <w:r>
        <w:rPr>
          <w:rFonts w:ascii="Book Antiqua" w:hAnsi="Book Antiqua" w:cs="Book Antiqua"/>
        </w:rPr>
        <w:t xml:space="preserve">, Gao JL, Yin T. G3BP1 activates the TGF-β/Smad signaling pathway to promote gastric cancer. </w:t>
      </w:r>
      <w:proofErr w:type="spellStart"/>
      <w:r>
        <w:rPr>
          <w:rFonts w:ascii="Book Antiqua" w:hAnsi="Book Antiqua" w:cs="Book Antiqua"/>
          <w:i/>
          <w:iCs/>
        </w:rPr>
        <w:t>Onco</w:t>
      </w:r>
      <w:proofErr w:type="spellEnd"/>
      <w:r>
        <w:rPr>
          <w:rFonts w:ascii="Book Antiqua" w:hAnsi="Book Antiqua" w:cs="Book Antiqua"/>
          <w:i/>
          <w:iCs/>
        </w:rPr>
        <w:t xml:space="preserve"> Targets Ther</w:t>
      </w:r>
      <w:r>
        <w:rPr>
          <w:rFonts w:ascii="Book Antiqua" w:hAnsi="Book Antiqua" w:cs="Book Antiqua"/>
        </w:rPr>
        <w:t xml:space="preserve"> 2019; </w:t>
      </w:r>
      <w:r>
        <w:rPr>
          <w:rFonts w:ascii="Book Antiqua" w:hAnsi="Book Antiqua" w:cs="Book Antiqua"/>
          <w:b/>
          <w:bCs/>
        </w:rPr>
        <w:t>12</w:t>
      </w:r>
      <w:r>
        <w:rPr>
          <w:rFonts w:ascii="Book Antiqua" w:hAnsi="Book Antiqua" w:cs="Book Antiqua"/>
        </w:rPr>
        <w:t>: 7149-7156 [PMID: 31564899 DOI: 10.2147/OTT.S213728]</w:t>
      </w:r>
    </w:p>
    <w:p w14:paraId="6C842D65"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78 </w:t>
      </w:r>
      <w:r>
        <w:rPr>
          <w:rFonts w:ascii="Book Antiqua" w:hAnsi="Book Antiqua" w:cs="Book Antiqua"/>
          <w:b/>
          <w:bCs/>
        </w:rPr>
        <w:t>Tao L</w:t>
      </w:r>
      <w:r>
        <w:rPr>
          <w:rFonts w:ascii="Book Antiqua" w:hAnsi="Book Antiqua" w:cs="Book Antiqua"/>
        </w:rPr>
        <w:t>, Yu H, Liang R, Jia R, Wang J, Jiang K, Wang Z. Rev-</w:t>
      </w:r>
      <w:proofErr w:type="spellStart"/>
      <w:r>
        <w:rPr>
          <w:rFonts w:ascii="Book Antiqua" w:hAnsi="Book Antiqua" w:cs="Book Antiqua"/>
        </w:rPr>
        <w:t>erb</w:t>
      </w:r>
      <w:proofErr w:type="spellEnd"/>
      <w:r>
        <w:rPr>
          <w:rFonts w:ascii="Book Antiqua" w:hAnsi="Book Antiqua" w:cs="Book Antiqua"/>
        </w:rPr>
        <w:t xml:space="preserve">α inhibits proliferation by reducing glycolytic flux and pentose phosphate pathway in human gastric cancer cells. </w:t>
      </w:r>
      <w:r>
        <w:rPr>
          <w:rFonts w:ascii="Book Antiqua" w:hAnsi="Book Antiqua" w:cs="Book Antiqua"/>
          <w:i/>
          <w:iCs/>
        </w:rPr>
        <w:t>Oncogenesis</w:t>
      </w:r>
      <w:r>
        <w:rPr>
          <w:rFonts w:ascii="Book Antiqua" w:hAnsi="Book Antiqua" w:cs="Book Antiqua"/>
        </w:rPr>
        <w:t xml:space="preserve"> 2019; </w:t>
      </w:r>
      <w:r>
        <w:rPr>
          <w:rFonts w:ascii="Book Antiqua" w:hAnsi="Book Antiqua" w:cs="Book Antiqua"/>
          <w:b/>
          <w:bCs/>
        </w:rPr>
        <w:t>8</w:t>
      </w:r>
      <w:r>
        <w:rPr>
          <w:rFonts w:ascii="Book Antiqua" w:hAnsi="Book Antiqua" w:cs="Book Antiqua"/>
        </w:rPr>
        <w:t>: 57 [PMID: 31591390 DOI: 10.1038/s41389-019-0168-5]</w:t>
      </w:r>
    </w:p>
    <w:p w14:paraId="25CE639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79 </w:t>
      </w:r>
      <w:r>
        <w:rPr>
          <w:rFonts w:ascii="Book Antiqua" w:hAnsi="Book Antiqua" w:cs="Book Antiqua"/>
          <w:b/>
          <w:bCs/>
        </w:rPr>
        <w:t>Xia S</w:t>
      </w:r>
      <w:r>
        <w:rPr>
          <w:rFonts w:ascii="Book Antiqua" w:hAnsi="Book Antiqua" w:cs="Book Antiqua"/>
        </w:rPr>
        <w:t xml:space="preserve">, Ji L, Tang L, Zhang L, Zhang X, Tang Q, Feng Z, Lu L. Proteasome Subunit Alpha Type 7 Promotes Proliferation and Metastasis of Gastric Cancer Through MAPK Signaling Pathway. </w:t>
      </w:r>
      <w:r>
        <w:rPr>
          <w:rFonts w:ascii="Book Antiqua" w:hAnsi="Book Antiqua" w:cs="Book Antiqua"/>
          <w:i/>
          <w:iCs/>
        </w:rPr>
        <w:t>Dig Dis Sci</w:t>
      </w:r>
      <w:r>
        <w:rPr>
          <w:rFonts w:ascii="Book Antiqua" w:hAnsi="Book Antiqua" w:cs="Book Antiqua"/>
        </w:rPr>
        <w:t xml:space="preserve"> 2022; </w:t>
      </w:r>
      <w:r>
        <w:rPr>
          <w:rFonts w:ascii="Book Antiqua" w:hAnsi="Book Antiqua" w:cs="Book Antiqua"/>
          <w:b/>
          <w:bCs/>
        </w:rPr>
        <w:t>67</w:t>
      </w:r>
      <w:r>
        <w:rPr>
          <w:rFonts w:ascii="Book Antiqua" w:hAnsi="Book Antiqua" w:cs="Book Antiqua"/>
        </w:rPr>
        <w:t>: 880-891 [PMID: 33721161 DOI: 10.1007/s10620-021-06903-9]</w:t>
      </w:r>
    </w:p>
    <w:p w14:paraId="79D07BD6"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80 </w:t>
      </w:r>
      <w:r>
        <w:rPr>
          <w:rFonts w:ascii="Book Antiqua" w:hAnsi="Book Antiqua" w:cs="Book Antiqua"/>
          <w:b/>
          <w:bCs/>
        </w:rPr>
        <w:t>Feng X</w:t>
      </w:r>
      <w:r>
        <w:rPr>
          <w:rFonts w:ascii="Book Antiqua" w:hAnsi="Book Antiqua" w:cs="Book Antiqua"/>
        </w:rPr>
        <w:t xml:space="preserve">, Song Z, Huang Q, Jia J, Zhang L, Zhu M, Qian J. AIM2 Promotes Gastric Cancer Cell Proliferation via the MAPK Signaling Pathway. </w:t>
      </w:r>
      <w:r>
        <w:rPr>
          <w:rFonts w:ascii="Book Antiqua" w:hAnsi="Book Antiqua" w:cs="Book Antiqua"/>
          <w:i/>
          <w:iCs/>
        </w:rPr>
        <w:t xml:space="preserve">J </w:t>
      </w:r>
      <w:proofErr w:type="spellStart"/>
      <w:r>
        <w:rPr>
          <w:rFonts w:ascii="Book Antiqua" w:hAnsi="Book Antiqua" w:cs="Book Antiqua"/>
          <w:i/>
          <w:iCs/>
        </w:rPr>
        <w:t>Healthc</w:t>
      </w:r>
      <w:proofErr w:type="spellEnd"/>
      <w:r>
        <w:rPr>
          <w:rFonts w:ascii="Book Antiqua" w:hAnsi="Book Antiqua" w:cs="Book Antiqua"/>
          <w:i/>
          <w:iCs/>
        </w:rPr>
        <w:t xml:space="preserve"> Eng</w:t>
      </w:r>
      <w:r>
        <w:rPr>
          <w:rFonts w:ascii="Book Antiqua" w:hAnsi="Book Antiqua" w:cs="Book Antiqua"/>
        </w:rPr>
        <w:t xml:space="preserve"> 2022; </w:t>
      </w:r>
      <w:r>
        <w:rPr>
          <w:rFonts w:ascii="Book Antiqua" w:hAnsi="Book Antiqua" w:cs="Book Antiqua"/>
          <w:b/>
          <w:bCs/>
        </w:rPr>
        <w:t>2022</w:t>
      </w:r>
      <w:r>
        <w:rPr>
          <w:rFonts w:ascii="Book Antiqua" w:hAnsi="Book Antiqua" w:cs="Book Antiqua"/>
        </w:rPr>
        <w:t>: 8756844 [PMID: 35432843 DOI: 10.1155/2022/8756844]</w:t>
      </w:r>
    </w:p>
    <w:p w14:paraId="4E2BBFF8"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81 </w:t>
      </w:r>
      <w:r>
        <w:rPr>
          <w:rFonts w:ascii="Book Antiqua" w:hAnsi="Book Antiqua" w:cs="Book Antiqua"/>
          <w:b/>
          <w:bCs/>
        </w:rPr>
        <w:t>Xu W</w:t>
      </w:r>
      <w:r>
        <w:rPr>
          <w:rFonts w:ascii="Book Antiqua" w:hAnsi="Book Antiqua" w:cs="Book Antiqua"/>
        </w:rPr>
        <w:t xml:space="preserve">, Zhou B, Wang J, Tang L, Hu Q, Wang J, Chen H, Zheng J, Yan F, Chen H. tRNA-Derived Fragment tRF-Glu-TTC-027 Regulates the Progression of Gastric Carcinoma via MAPK Signaling Pathway. </w:t>
      </w:r>
      <w:r>
        <w:rPr>
          <w:rFonts w:ascii="Book Antiqua" w:hAnsi="Book Antiqua" w:cs="Book Antiqua"/>
          <w:i/>
          <w:iCs/>
        </w:rPr>
        <w:t>Front Oncol</w:t>
      </w:r>
      <w:r>
        <w:rPr>
          <w:rFonts w:ascii="Book Antiqua" w:hAnsi="Book Antiqua" w:cs="Book Antiqua"/>
        </w:rPr>
        <w:t xml:space="preserve"> 2021; </w:t>
      </w:r>
      <w:r>
        <w:rPr>
          <w:rFonts w:ascii="Book Antiqua" w:hAnsi="Book Antiqua" w:cs="Book Antiqua"/>
          <w:b/>
          <w:bCs/>
        </w:rPr>
        <w:t>11</w:t>
      </w:r>
      <w:r>
        <w:rPr>
          <w:rFonts w:ascii="Book Antiqua" w:hAnsi="Book Antiqua" w:cs="Book Antiqua"/>
        </w:rPr>
        <w:t>: 733763 [PMID: 34497772 DOI: 10.3389/fonc.2021.733763]</w:t>
      </w:r>
    </w:p>
    <w:p w14:paraId="7F70776A"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82 </w:t>
      </w:r>
      <w:r>
        <w:rPr>
          <w:rFonts w:ascii="Book Antiqua" w:hAnsi="Book Antiqua" w:cs="Book Antiqua"/>
          <w:b/>
          <w:bCs/>
        </w:rPr>
        <w:t>Wu S</w:t>
      </w:r>
      <w:r>
        <w:rPr>
          <w:rFonts w:ascii="Book Antiqua" w:hAnsi="Book Antiqua" w:cs="Book Antiqua"/>
        </w:rPr>
        <w:t xml:space="preserve">, Chen M, Huang J, Zhang F, </w:t>
      </w:r>
      <w:proofErr w:type="spellStart"/>
      <w:r>
        <w:rPr>
          <w:rFonts w:ascii="Book Antiqua" w:hAnsi="Book Antiqua" w:cs="Book Antiqua"/>
        </w:rPr>
        <w:t>Lv</w:t>
      </w:r>
      <w:proofErr w:type="spellEnd"/>
      <w:r>
        <w:rPr>
          <w:rFonts w:ascii="Book Antiqua" w:hAnsi="Book Antiqua" w:cs="Book Antiqua"/>
        </w:rPr>
        <w:t xml:space="preserve"> Z, Jia Y, Cui YZ, Sun LZ, Wang Y, Tang Y, </w:t>
      </w:r>
      <w:proofErr w:type="spellStart"/>
      <w:r>
        <w:rPr>
          <w:rFonts w:ascii="Book Antiqua" w:hAnsi="Book Antiqua" w:cs="Book Antiqua"/>
        </w:rPr>
        <w:t>Verhoeft</w:t>
      </w:r>
      <w:proofErr w:type="spellEnd"/>
      <w:r>
        <w:rPr>
          <w:rFonts w:ascii="Book Antiqua" w:hAnsi="Book Antiqua" w:cs="Book Antiqua"/>
        </w:rPr>
        <w:t xml:space="preserve"> KR, Li Y, Qin Y, Lin X, Guan XY, Lam KO. ORAI2 Promotes Gastric Cancer Tumorigenicity and Metastasis through PI3K/Akt Signaling and MAPK-Dependent Focal Adhesion Disassembly. </w:t>
      </w:r>
      <w:r>
        <w:rPr>
          <w:rFonts w:ascii="Book Antiqua" w:hAnsi="Book Antiqua" w:cs="Book Antiqua"/>
          <w:i/>
          <w:iCs/>
        </w:rPr>
        <w:t>Cancer Res</w:t>
      </w:r>
      <w:r>
        <w:rPr>
          <w:rFonts w:ascii="Book Antiqua" w:hAnsi="Book Antiqua" w:cs="Book Antiqua"/>
        </w:rPr>
        <w:t xml:space="preserve"> 2021; </w:t>
      </w:r>
      <w:r>
        <w:rPr>
          <w:rFonts w:ascii="Book Antiqua" w:hAnsi="Book Antiqua" w:cs="Book Antiqua"/>
          <w:b/>
          <w:bCs/>
        </w:rPr>
        <w:t>81</w:t>
      </w:r>
      <w:r>
        <w:rPr>
          <w:rFonts w:ascii="Book Antiqua" w:hAnsi="Book Antiqua" w:cs="Book Antiqua"/>
        </w:rPr>
        <w:t>: 986-1000 [PMID: 33310726 DOI: 10.1158/0008-5472.CAN-20-0049]</w:t>
      </w:r>
    </w:p>
    <w:p w14:paraId="18A2140C"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83 </w:t>
      </w:r>
      <w:r>
        <w:rPr>
          <w:rFonts w:ascii="Book Antiqua" w:hAnsi="Book Antiqua" w:cs="Book Antiqua"/>
          <w:b/>
          <w:bCs/>
        </w:rPr>
        <w:t>Wang JF</w:t>
      </w:r>
      <w:r>
        <w:rPr>
          <w:rFonts w:ascii="Book Antiqua" w:hAnsi="Book Antiqua" w:cs="Book Antiqua"/>
        </w:rPr>
        <w:t xml:space="preserve">, Zhao K, Chen YY, Qiu Y, Zhu JH, Li BP, Wang Z, Chen JQ. NKCC1 promotes proliferation, invasion and migration in human gastric cancer cells via activation of the MAPK-JNK/EMT signaling pathway. </w:t>
      </w:r>
      <w:r>
        <w:rPr>
          <w:rFonts w:ascii="Book Antiqua" w:hAnsi="Book Antiqua" w:cs="Book Antiqua"/>
          <w:i/>
          <w:iCs/>
        </w:rPr>
        <w:t>J Cancer</w:t>
      </w:r>
      <w:r>
        <w:rPr>
          <w:rFonts w:ascii="Book Antiqua" w:hAnsi="Book Antiqua" w:cs="Book Antiqua"/>
        </w:rPr>
        <w:t xml:space="preserve"> 2021; </w:t>
      </w:r>
      <w:r>
        <w:rPr>
          <w:rFonts w:ascii="Book Antiqua" w:hAnsi="Book Antiqua" w:cs="Book Antiqua"/>
          <w:b/>
          <w:bCs/>
        </w:rPr>
        <w:t>12</w:t>
      </w:r>
      <w:r>
        <w:rPr>
          <w:rFonts w:ascii="Book Antiqua" w:hAnsi="Book Antiqua" w:cs="Book Antiqua"/>
        </w:rPr>
        <w:t>: 253-263 [PMID: 33391422 DOI: 10.7150/jca.49709]</w:t>
      </w:r>
    </w:p>
    <w:p w14:paraId="1CE7D1A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84 </w:t>
      </w:r>
      <w:r>
        <w:rPr>
          <w:rFonts w:ascii="Book Antiqua" w:hAnsi="Book Antiqua" w:cs="Book Antiqua"/>
          <w:b/>
          <w:bCs/>
        </w:rPr>
        <w:t>Zhang Q</w:t>
      </w:r>
      <w:r>
        <w:rPr>
          <w:rFonts w:ascii="Book Antiqua" w:hAnsi="Book Antiqua" w:cs="Book Antiqua"/>
        </w:rPr>
        <w:t xml:space="preserve">, Wang X, Cao S, Sun Y, He X, Jiang B, Yu Y, Duan J, Qiu F, Kang N. Berberine represses human gastric cancer cell growth in vitro and in vivo by inducing cytostatic autophagy via inhibition of MAPK/mTOR/p70S6K and Akt signaling pathways. </w:t>
      </w:r>
      <w:r>
        <w:rPr>
          <w:rFonts w:ascii="Book Antiqua" w:hAnsi="Book Antiqua" w:cs="Book Antiqua"/>
          <w:i/>
          <w:iCs/>
        </w:rPr>
        <w:t xml:space="preserve">Biomed </w:t>
      </w:r>
      <w:proofErr w:type="spellStart"/>
      <w:r>
        <w:rPr>
          <w:rFonts w:ascii="Book Antiqua" w:hAnsi="Book Antiqua" w:cs="Book Antiqua"/>
          <w:i/>
          <w:iCs/>
        </w:rPr>
        <w:t>Pharmacother</w:t>
      </w:r>
      <w:proofErr w:type="spellEnd"/>
      <w:r>
        <w:rPr>
          <w:rFonts w:ascii="Book Antiqua" w:hAnsi="Book Antiqua" w:cs="Book Antiqua"/>
        </w:rPr>
        <w:t xml:space="preserve"> 2020; </w:t>
      </w:r>
      <w:r>
        <w:rPr>
          <w:rFonts w:ascii="Book Antiqua" w:hAnsi="Book Antiqua" w:cs="Book Antiqua"/>
          <w:b/>
          <w:bCs/>
        </w:rPr>
        <w:t>128</w:t>
      </w:r>
      <w:r>
        <w:rPr>
          <w:rFonts w:ascii="Book Antiqua" w:hAnsi="Book Antiqua" w:cs="Book Antiqua"/>
        </w:rPr>
        <w:t>: 110245 [PMID: 32454290 DOI: 10.1016/j.biopha.2020.110245]</w:t>
      </w:r>
    </w:p>
    <w:p w14:paraId="0461A29F"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85 </w:t>
      </w:r>
      <w:r>
        <w:rPr>
          <w:rFonts w:ascii="Book Antiqua" w:hAnsi="Book Antiqua" w:cs="Book Antiqua"/>
          <w:b/>
          <w:bCs/>
        </w:rPr>
        <w:t>Xu B</w:t>
      </w:r>
      <w:r>
        <w:rPr>
          <w:rFonts w:ascii="Book Antiqua" w:hAnsi="Book Antiqua" w:cs="Book Antiqua"/>
        </w:rPr>
        <w:t xml:space="preserve">, Li S, Fang Y, Zou Y, Song D, Zhang S, Cai Y. Proprotein Convertase Subtilisin/Kexin Type 9 Promotes Gastric Cancer Metastasis and Suppresses Apoptosis by Facilitating MAPK Signaling Pathway Through HSP70 Up-Regulation. </w:t>
      </w:r>
      <w:r>
        <w:rPr>
          <w:rFonts w:ascii="Book Antiqua" w:hAnsi="Book Antiqua" w:cs="Book Antiqua"/>
          <w:i/>
          <w:iCs/>
        </w:rPr>
        <w:t>Front Oncol</w:t>
      </w:r>
      <w:r>
        <w:rPr>
          <w:rFonts w:ascii="Book Antiqua" w:hAnsi="Book Antiqua" w:cs="Book Antiqua"/>
        </w:rPr>
        <w:t xml:space="preserve"> 2020; </w:t>
      </w:r>
      <w:r>
        <w:rPr>
          <w:rFonts w:ascii="Book Antiqua" w:hAnsi="Book Antiqua" w:cs="Book Antiqua"/>
          <w:b/>
          <w:bCs/>
        </w:rPr>
        <w:t>10</w:t>
      </w:r>
      <w:r>
        <w:rPr>
          <w:rFonts w:ascii="Book Antiqua" w:hAnsi="Book Antiqua" w:cs="Book Antiqua"/>
        </w:rPr>
        <w:t>: 609663 [PMID: 33489919 DOI: 10.3389/fonc.2020.609663]</w:t>
      </w:r>
    </w:p>
    <w:p w14:paraId="30A869C8"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86 </w:t>
      </w:r>
      <w:r>
        <w:rPr>
          <w:rFonts w:ascii="Book Antiqua" w:hAnsi="Book Antiqua" w:cs="Book Antiqua"/>
          <w:b/>
          <w:bCs/>
        </w:rPr>
        <w:t>Xiang Z</w:t>
      </w:r>
      <w:r>
        <w:rPr>
          <w:rFonts w:ascii="Book Antiqua" w:hAnsi="Book Antiqua" w:cs="Book Antiqua"/>
        </w:rPr>
        <w:t xml:space="preserve">, Li J, Song S, Wang J, Cai W, Hu W, Ji J, Zhu Z, Zang L, Yan R, Yu Y. </w:t>
      </w:r>
      <w:proofErr w:type="gramStart"/>
      <w:r>
        <w:rPr>
          <w:rFonts w:ascii="Book Antiqua" w:hAnsi="Book Antiqua" w:cs="Book Antiqua"/>
        </w:rPr>
        <w:t>A positive feedback</w:t>
      </w:r>
      <w:proofErr w:type="gramEnd"/>
      <w:r>
        <w:rPr>
          <w:rFonts w:ascii="Book Antiqua" w:hAnsi="Book Antiqua" w:cs="Book Antiqua"/>
        </w:rPr>
        <w:t xml:space="preserve"> between IDO1 metabolite and COL12A1 via MAPK pathway to promote gastric cancer metastasis. </w:t>
      </w:r>
      <w:r>
        <w:rPr>
          <w:rFonts w:ascii="Book Antiqua" w:hAnsi="Book Antiqua" w:cs="Book Antiqua"/>
          <w:i/>
          <w:iCs/>
        </w:rPr>
        <w:t>J Exp Clin Cancer Res</w:t>
      </w:r>
      <w:r>
        <w:rPr>
          <w:rFonts w:ascii="Book Antiqua" w:hAnsi="Book Antiqua" w:cs="Book Antiqua"/>
        </w:rPr>
        <w:t xml:space="preserve"> 2019; </w:t>
      </w:r>
      <w:r>
        <w:rPr>
          <w:rFonts w:ascii="Book Antiqua" w:hAnsi="Book Antiqua" w:cs="Book Antiqua"/>
          <w:b/>
          <w:bCs/>
        </w:rPr>
        <w:t>38</w:t>
      </w:r>
      <w:r>
        <w:rPr>
          <w:rFonts w:ascii="Book Antiqua" w:hAnsi="Book Antiqua" w:cs="Book Antiqua"/>
        </w:rPr>
        <w:t>: 314 [PMID: 31315643 DOI: 10.1186/s13046-019-1318-5]</w:t>
      </w:r>
    </w:p>
    <w:p w14:paraId="47EEE417"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87 </w:t>
      </w:r>
      <w:r>
        <w:rPr>
          <w:rFonts w:ascii="Book Antiqua" w:hAnsi="Book Antiqua" w:cs="Book Antiqua"/>
          <w:b/>
          <w:bCs/>
        </w:rPr>
        <w:t>Du F</w:t>
      </w:r>
      <w:r>
        <w:rPr>
          <w:rFonts w:ascii="Book Antiqua" w:hAnsi="Book Antiqua" w:cs="Book Antiqua"/>
        </w:rPr>
        <w:t xml:space="preserve">, Sun L, Chu Y, Li T, Lei C, Wang X, Jiang M, Min Y, Lu Y, Zhao X, Nie Y, Fan D. DDIT4 promotes gastric cancer proliferation and tumorigenesis through the p53 and MAPK pathways. </w:t>
      </w:r>
      <w:r>
        <w:rPr>
          <w:rFonts w:ascii="Book Antiqua" w:hAnsi="Book Antiqua" w:cs="Book Antiqua"/>
          <w:i/>
          <w:iCs/>
        </w:rPr>
        <w:t xml:space="preserve">Cancer </w:t>
      </w:r>
      <w:proofErr w:type="spellStart"/>
      <w:r>
        <w:rPr>
          <w:rFonts w:ascii="Book Antiqua" w:hAnsi="Book Antiqua" w:cs="Book Antiqua"/>
          <w:i/>
          <w:iCs/>
        </w:rPr>
        <w:t>Commun</w:t>
      </w:r>
      <w:proofErr w:type="spellEnd"/>
      <w:r>
        <w:rPr>
          <w:rFonts w:ascii="Book Antiqua" w:hAnsi="Book Antiqua" w:cs="Book Antiqua"/>
          <w:i/>
          <w:iCs/>
        </w:rPr>
        <w:t xml:space="preserve"> (Lond)</w:t>
      </w:r>
      <w:r>
        <w:rPr>
          <w:rFonts w:ascii="Book Antiqua" w:hAnsi="Book Antiqua" w:cs="Book Antiqua"/>
        </w:rPr>
        <w:t xml:space="preserve"> 2018; </w:t>
      </w:r>
      <w:r>
        <w:rPr>
          <w:rFonts w:ascii="Book Antiqua" w:hAnsi="Book Antiqua" w:cs="Book Antiqua"/>
          <w:b/>
          <w:bCs/>
        </w:rPr>
        <w:t>38</w:t>
      </w:r>
      <w:r>
        <w:rPr>
          <w:rFonts w:ascii="Book Antiqua" w:hAnsi="Book Antiqua" w:cs="Book Antiqua"/>
        </w:rPr>
        <w:t>: 45 [PMID: 29976242 DOI: 10.1186/s40880-018-0315-y]</w:t>
      </w:r>
    </w:p>
    <w:p w14:paraId="32B1164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88 </w:t>
      </w:r>
      <w:r>
        <w:rPr>
          <w:rFonts w:ascii="Book Antiqua" w:hAnsi="Book Antiqua" w:cs="Book Antiqua"/>
          <w:b/>
          <w:bCs/>
        </w:rPr>
        <w:t>Peng Y</w:t>
      </w:r>
      <w:r>
        <w:rPr>
          <w:rFonts w:ascii="Book Antiqua" w:hAnsi="Book Antiqua" w:cs="Book Antiqua"/>
        </w:rPr>
        <w:t xml:space="preserve">, Xu Y, Zhang X, Deng S, Yuan Y, Luo X, Hossain MT, Zhu X, Du K, Hu F, Chen Y, Chang S, Feng X, Fan X, </w:t>
      </w:r>
      <w:proofErr w:type="spellStart"/>
      <w:r>
        <w:rPr>
          <w:rFonts w:ascii="Book Antiqua" w:hAnsi="Book Antiqua" w:cs="Book Antiqua"/>
        </w:rPr>
        <w:t>Ashktorab</w:t>
      </w:r>
      <w:proofErr w:type="spellEnd"/>
      <w:r>
        <w:rPr>
          <w:rFonts w:ascii="Book Antiqua" w:hAnsi="Book Antiqua" w:cs="Book Antiqua"/>
        </w:rPr>
        <w:t xml:space="preserve"> H, Smoot D, Meltzer SJ, Hou G, Wei Y, Li S, Qin Y, Jin Z. A novel protein AXIN1-295aa encoded by circAXIN1 activates the </w:t>
      </w:r>
      <w:proofErr w:type="spellStart"/>
      <w:r>
        <w:rPr>
          <w:rFonts w:ascii="Book Antiqua" w:hAnsi="Book Antiqua" w:cs="Book Antiqua"/>
        </w:rPr>
        <w:t>Wnt</w:t>
      </w:r>
      <w:proofErr w:type="spellEnd"/>
      <w:r>
        <w:rPr>
          <w:rFonts w:ascii="Book Antiqua" w:hAnsi="Book Antiqua" w:cs="Book Antiqua"/>
        </w:rPr>
        <w:t xml:space="preserve">/β-catenin signaling pathway to promote gastric cancer progression. </w:t>
      </w:r>
      <w:r>
        <w:rPr>
          <w:rFonts w:ascii="Book Antiqua" w:hAnsi="Book Antiqua" w:cs="Book Antiqua"/>
          <w:i/>
          <w:iCs/>
        </w:rPr>
        <w:t>Mol Cancer</w:t>
      </w:r>
      <w:r>
        <w:rPr>
          <w:rFonts w:ascii="Book Antiqua" w:hAnsi="Book Antiqua" w:cs="Book Antiqua"/>
        </w:rPr>
        <w:t xml:space="preserve"> 2021; </w:t>
      </w:r>
      <w:r>
        <w:rPr>
          <w:rFonts w:ascii="Book Antiqua" w:hAnsi="Book Antiqua" w:cs="Book Antiqua"/>
          <w:b/>
          <w:bCs/>
        </w:rPr>
        <w:t>20</w:t>
      </w:r>
      <w:r>
        <w:rPr>
          <w:rFonts w:ascii="Book Antiqua" w:hAnsi="Book Antiqua" w:cs="Book Antiqua"/>
        </w:rPr>
        <w:t>: 158 [PMID: 34863211 DOI: 10.1186/s12943-021-01457-w]</w:t>
      </w:r>
    </w:p>
    <w:p w14:paraId="4EB180E8"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89 </w:t>
      </w:r>
      <w:r>
        <w:rPr>
          <w:rFonts w:ascii="Book Antiqua" w:hAnsi="Book Antiqua" w:cs="Book Antiqua"/>
          <w:b/>
          <w:bCs/>
        </w:rPr>
        <w:t>Liu H</w:t>
      </w:r>
      <w:r>
        <w:rPr>
          <w:rFonts w:ascii="Book Antiqua" w:hAnsi="Book Antiqua" w:cs="Book Antiqua"/>
        </w:rPr>
        <w:t xml:space="preserve">, </w:t>
      </w:r>
      <w:proofErr w:type="spellStart"/>
      <w:r>
        <w:rPr>
          <w:rFonts w:ascii="Book Antiqua" w:hAnsi="Book Antiqua" w:cs="Book Antiqua"/>
        </w:rPr>
        <w:t>Fredimoses</w:t>
      </w:r>
      <w:proofErr w:type="spellEnd"/>
      <w:r>
        <w:rPr>
          <w:rFonts w:ascii="Book Antiqua" w:hAnsi="Book Antiqua" w:cs="Book Antiqua"/>
        </w:rPr>
        <w:t xml:space="preserve"> M, Niu P, Liu T, Qiao Y, Tian X, Chen X, Kim DJ, Li X, Liu K, Dong Z. EPRS/</w:t>
      </w:r>
      <w:proofErr w:type="spellStart"/>
      <w:r>
        <w:rPr>
          <w:rFonts w:ascii="Book Antiqua" w:hAnsi="Book Antiqua" w:cs="Book Antiqua"/>
        </w:rPr>
        <w:t>GluRS</w:t>
      </w:r>
      <w:proofErr w:type="spellEnd"/>
      <w:r>
        <w:rPr>
          <w:rFonts w:ascii="Book Antiqua" w:hAnsi="Book Antiqua" w:cs="Book Antiqua"/>
        </w:rPr>
        <w:t xml:space="preserve"> promotes gastric cancer development via WNT/GSK-3β/β-catenin signaling pathway. </w:t>
      </w:r>
      <w:r>
        <w:rPr>
          <w:rFonts w:ascii="Book Antiqua" w:hAnsi="Book Antiqua" w:cs="Book Antiqua"/>
          <w:i/>
          <w:iCs/>
        </w:rPr>
        <w:t>Gastric Cancer</w:t>
      </w:r>
      <w:r>
        <w:rPr>
          <w:rFonts w:ascii="Book Antiqua" w:hAnsi="Book Antiqua" w:cs="Book Antiqua"/>
        </w:rPr>
        <w:t xml:space="preserve"> 2021; </w:t>
      </w:r>
      <w:r>
        <w:rPr>
          <w:rFonts w:ascii="Book Antiqua" w:hAnsi="Book Antiqua" w:cs="Book Antiqua"/>
          <w:b/>
          <w:bCs/>
        </w:rPr>
        <w:t>24</w:t>
      </w:r>
      <w:r>
        <w:rPr>
          <w:rFonts w:ascii="Book Antiqua" w:hAnsi="Book Antiqua" w:cs="Book Antiqua"/>
        </w:rPr>
        <w:t>: 1021-1036 [PMID: 33740160 DOI: 10.1007/s10120-021-01180-x]</w:t>
      </w:r>
    </w:p>
    <w:p w14:paraId="0AAB2491"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90 </w:t>
      </w:r>
      <w:r>
        <w:rPr>
          <w:rFonts w:ascii="Book Antiqua" w:hAnsi="Book Antiqua" w:cs="Book Antiqua"/>
          <w:b/>
          <w:bCs/>
        </w:rPr>
        <w:t>Li H</w:t>
      </w:r>
      <w:r>
        <w:rPr>
          <w:rFonts w:ascii="Book Antiqua" w:hAnsi="Book Antiqua" w:cs="Book Antiqua"/>
        </w:rPr>
        <w:t xml:space="preserve">, Zhao J, Sun J, Tian C, Jiang Q, Ding C, Gan Q, Shu P, Wang X, Qin J, Sun Y. Demethylation of the SFRP4 Promoter Drives Gastric Cancer Progression via the </w:t>
      </w:r>
      <w:proofErr w:type="spellStart"/>
      <w:r>
        <w:rPr>
          <w:rFonts w:ascii="Book Antiqua" w:hAnsi="Book Antiqua" w:cs="Book Antiqua"/>
        </w:rPr>
        <w:t>Wnt</w:t>
      </w:r>
      <w:proofErr w:type="spellEnd"/>
      <w:r>
        <w:rPr>
          <w:rFonts w:ascii="Book Antiqua" w:hAnsi="Book Antiqua" w:cs="Book Antiqua"/>
        </w:rPr>
        <w:t xml:space="preserve"> Pathway. </w:t>
      </w:r>
      <w:r>
        <w:rPr>
          <w:rFonts w:ascii="Book Antiqua" w:hAnsi="Book Antiqua" w:cs="Book Antiqua"/>
          <w:i/>
          <w:iCs/>
        </w:rPr>
        <w:t>Mol Cancer Res</w:t>
      </w:r>
      <w:r>
        <w:rPr>
          <w:rFonts w:ascii="Book Antiqua" w:hAnsi="Book Antiqua" w:cs="Book Antiqua"/>
        </w:rPr>
        <w:t xml:space="preserve"> 2021; </w:t>
      </w:r>
      <w:r>
        <w:rPr>
          <w:rFonts w:ascii="Book Antiqua" w:hAnsi="Book Antiqua" w:cs="Book Antiqua"/>
          <w:b/>
          <w:bCs/>
        </w:rPr>
        <w:t>19</w:t>
      </w:r>
      <w:r>
        <w:rPr>
          <w:rFonts w:ascii="Book Antiqua" w:hAnsi="Book Antiqua" w:cs="Book Antiqua"/>
        </w:rPr>
        <w:t>: 1454-1464 [PMID: 34016745 DOI: 10.1158/1541-7786.MCR-20-0933]</w:t>
      </w:r>
    </w:p>
    <w:p w14:paraId="62A691CF"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91 </w:t>
      </w:r>
      <w:r>
        <w:rPr>
          <w:rFonts w:ascii="Book Antiqua" w:hAnsi="Book Antiqua" w:cs="Book Antiqua"/>
          <w:b/>
          <w:bCs/>
        </w:rPr>
        <w:t>Guo Q</w:t>
      </w:r>
      <w:r>
        <w:rPr>
          <w:rFonts w:ascii="Book Antiqua" w:hAnsi="Book Antiqua" w:cs="Book Antiqua"/>
        </w:rPr>
        <w:t xml:space="preserve">, Xu J, Huang Z, Yao Q, Chen F, Liu H, Zhang Z, Lin J. ADMA mediates gastric cancer cell migration and invasion via </w:t>
      </w:r>
      <w:proofErr w:type="spellStart"/>
      <w:r>
        <w:rPr>
          <w:rFonts w:ascii="Book Antiqua" w:hAnsi="Book Antiqua" w:cs="Book Antiqua"/>
        </w:rPr>
        <w:t>Wnt</w:t>
      </w:r>
      <w:proofErr w:type="spellEnd"/>
      <w:r>
        <w:rPr>
          <w:rFonts w:ascii="Book Antiqua" w:hAnsi="Book Antiqua" w:cs="Book Antiqua"/>
        </w:rPr>
        <w:t xml:space="preserve">/β-catenin signaling pathway. </w:t>
      </w:r>
      <w:r>
        <w:rPr>
          <w:rFonts w:ascii="Book Antiqua" w:hAnsi="Book Antiqua" w:cs="Book Antiqua"/>
          <w:i/>
          <w:iCs/>
        </w:rPr>
        <w:t xml:space="preserve">Clin </w:t>
      </w:r>
      <w:proofErr w:type="spellStart"/>
      <w:r>
        <w:rPr>
          <w:rFonts w:ascii="Book Antiqua" w:hAnsi="Book Antiqua" w:cs="Book Antiqua"/>
          <w:i/>
          <w:iCs/>
        </w:rPr>
        <w:t>Transl</w:t>
      </w:r>
      <w:proofErr w:type="spellEnd"/>
      <w:r>
        <w:rPr>
          <w:rFonts w:ascii="Book Antiqua" w:hAnsi="Book Antiqua" w:cs="Book Antiqua"/>
          <w:i/>
          <w:iCs/>
        </w:rPr>
        <w:t xml:space="preserve"> Oncol</w:t>
      </w:r>
      <w:r>
        <w:rPr>
          <w:rFonts w:ascii="Book Antiqua" w:hAnsi="Book Antiqua" w:cs="Book Antiqua"/>
        </w:rPr>
        <w:t xml:space="preserve"> 2021; </w:t>
      </w:r>
      <w:r>
        <w:rPr>
          <w:rFonts w:ascii="Book Antiqua" w:hAnsi="Book Antiqua" w:cs="Book Antiqua"/>
          <w:b/>
          <w:bCs/>
        </w:rPr>
        <w:t>23</w:t>
      </w:r>
      <w:r>
        <w:rPr>
          <w:rFonts w:ascii="Book Antiqua" w:hAnsi="Book Antiqua" w:cs="Book Antiqua"/>
        </w:rPr>
        <w:t>: 325-334 [PMID: 32607811 DOI: 10.1007/s12094-020-02422-7]</w:t>
      </w:r>
    </w:p>
    <w:p w14:paraId="2B34A8D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92 </w:t>
      </w:r>
      <w:r>
        <w:rPr>
          <w:rFonts w:ascii="Book Antiqua" w:hAnsi="Book Antiqua" w:cs="Book Antiqua"/>
          <w:b/>
          <w:bCs/>
        </w:rPr>
        <w:t>Tian S</w:t>
      </w:r>
      <w:r>
        <w:rPr>
          <w:rFonts w:ascii="Book Antiqua" w:hAnsi="Book Antiqua" w:cs="Book Antiqua"/>
        </w:rPr>
        <w:t xml:space="preserve">, Peng P, Li J, Deng H, Zhan N, Zeng Z, Dong W. SERPINH1 regulates EMT and gastric cancer metastasis via the </w:t>
      </w:r>
      <w:proofErr w:type="spellStart"/>
      <w:r>
        <w:rPr>
          <w:rFonts w:ascii="Book Antiqua" w:hAnsi="Book Antiqua" w:cs="Book Antiqua"/>
        </w:rPr>
        <w:t>Wnt</w:t>
      </w:r>
      <w:proofErr w:type="spellEnd"/>
      <w:r>
        <w:rPr>
          <w:rFonts w:ascii="Book Antiqua" w:hAnsi="Book Antiqua" w:cs="Book Antiqua"/>
        </w:rPr>
        <w:t xml:space="preserve">/β-catenin signaling pathway. </w:t>
      </w:r>
      <w:r>
        <w:rPr>
          <w:rFonts w:ascii="Book Antiqua" w:hAnsi="Book Antiqua" w:cs="Book Antiqua"/>
          <w:i/>
          <w:iCs/>
        </w:rPr>
        <w:t>Aging (Albany NY)</w:t>
      </w:r>
      <w:r>
        <w:rPr>
          <w:rFonts w:ascii="Book Antiqua" w:hAnsi="Book Antiqua" w:cs="Book Antiqua"/>
        </w:rPr>
        <w:t xml:space="preserve"> 2020; </w:t>
      </w:r>
      <w:r>
        <w:rPr>
          <w:rFonts w:ascii="Book Antiqua" w:hAnsi="Book Antiqua" w:cs="Book Antiqua"/>
          <w:b/>
          <w:bCs/>
        </w:rPr>
        <w:t>12</w:t>
      </w:r>
      <w:r>
        <w:rPr>
          <w:rFonts w:ascii="Book Antiqua" w:hAnsi="Book Antiqua" w:cs="Book Antiqua"/>
        </w:rPr>
        <w:t>: 3574-3593 [PMID: 32091407 DOI: 10.18632/aging.102831]</w:t>
      </w:r>
    </w:p>
    <w:p w14:paraId="1E3CFBA5"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93 </w:t>
      </w:r>
      <w:r>
        <w:rPr>
          <w:rFonts w:ascii="Book Antiqua" w:hAnsi="Book Antiqua" w:cs="Book Antiqua"/>
          <w:b/>
          <w:bCs/>
        </w:rPr>
        <w:t>Yue B</w:t>
      </w:r>
      <w:r>
        <w:rPr>
          <w:rFonts w:ascii="Book Antiqua" w:hAnsi="Book Antiqua" w:cs="Book Antiqua"/>
        </w:rPr>
        <w:t xml:space="preserve">, Liu C, Sun H, Liu M, Song C, Cui R, Qiu S, Zhong M. A Positive Feed-Forward Loop between LncRNA-CYTOR and </w:t>
      </w:r>
      <w:proofErr w:type="spellStart"/>
      <w:r>
        <w:rPr>
          <w:rFonts w:ascii="Book Antiqua" w:hAnsi="Book Antiqua" w:cs="Book Antiqua"/>
        </w:rPr>
        <w:t>Wnt</w:t>
      </w:r>
      <w:proofErr w:type="spellEnd"/>
      <w:r>
        <w:rPr>
          <w:rFonts w:ascii="Book Antiqua" w:hAnsi="Book Antiqua" w:cs="Book Antiqua"/>
        </w:rPr>
        <w:t xml:space="preserve">/β-Catenin Signaling Promotes Metastasis of Colon Cancer. </w:t>
      </w:r>
      <w:r>
        <w:rPr>
          <w:rFonts w:ascii="Book Antiqua" w:hAnsi="Book Antiqua" w:cs="Book Antiqua"/>
          <w:i/>
          <w:iCs/>
        </w:rPr>
        <w:t>Mol Ther</w:t>
      </w:r>
      <w:r>
        <w:rPr>
          <w:rFonts w:ascii="Book Antiqua" w:hAnsi="Book Antiqua" w:cs="Book Antiqua"/>
        </w:rPr>
        <w:t xml:space="preserve"> 2018; </w:t>
      </w:r>
      <w:r>
        <w:rPr>
          <w:rFonts w:ascii="Book Antiqua" w:hAnsi="Book Antiqua" w:cs="Book Antiqua"/>
          <w:b/>
          <w:bCs/>
        </w:rPr>
        <w:t>26</w:t>
      </w:r>
      <w:r>
        <w:rPr>
          <w:rFonts w:ascii="Book Antiqua" w:hAnsi="Book Antiqua" w:cs="Book Antiqua"/>
        </w:rPr>
        <w:t>: 1287-1298 [PMID: 29606502 DOI: 10.1016/j.ymthe.2018.02.024]</w:t>
      </w:r>
    </w:p>
    <w:p w14:paraId="248EB8B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94 </w:t>
      </w:r>
      <w:r>
        <w:rPr>
          <w:rFonts w:ascii="Book Antiqua" w:hAnsi="Book Antiqua" w:cs="Book Antiqua"/>
          <w:b/>
          <w:bCs/>
        </w:rPr>
        <w:t>Yang XZ</w:t>
      </w:r>
      <w:r>
        <w:rPr>
          <w:rFonts w:ascii="Book Antiqua" w:hAnsi="Book Antiqua" w:cs="Book Antiqua"/>
        </w:rPr>
        <w:t xml:space="preserve">, Cheng TT, He QJ, Lei ZY, Chi J, Tang Z, Liao QX, Zhang H, Zeng LS, Cui SZ. LINC01133 as </w:t>
      </w:r>
      <w:proofErr w:type="spellStart"/>
      <w:r>
        <w:rPr>
          <w:rFonts w:ascii="Book Antiqua" w:hAnsi="Book Antiqua" w:cs="Book Antiqua"/>
        </w:rPr>
        <w:t>ceRNA</w:t>
      </w:r>
      <w:proofErr w:type="spellEnd"/>
      <w:r>
        <w:rPr>
          <w:rFonts w:ascii="Book Antiqua" w:hAnsi="Book Antiqua" w:cs="Book Antiqua"/>
        </w:rPr>
        <w:t xml:space="preserve"> inhibits gastric cancer progression by sponging miR-106a-3p to regulate APC expression and the </w:t>
      </w:r>
      <w:proofErr w:type="spellStart"/>
      <w:r>
        <w:rPr>
          <w:rFonts w:ascii="Book Antiqua" w:hAnsi="Book Antiqua" w:cs="Book Antiqua"/>
        </w:rPr>
        <w:t>Wnt</w:t>
      </w:r>
      <w:proofErr w:type="spellEnd"/>
      <w:r>
        <w:rPr>
          <w:rFonts w:ascii="Book Antiqua" w:hAnsi="Book Antiqua" w:cs="Book Antiqua"/>
        </w:rPr>
        <w:t xml:space="preserve">/β-catenin pathway. </w:t>
      </w:r>
      <w:r>
        <w:rPr>
          <w:rFonts w:ascii="Book Antiqua" w:hAnsi="Book Antiqua" w:cs="Book Antiqua"/>
          <w:i/>
          <w:iCs/>
        </w:rPr>
        <w:t>Mol Cancer</w:t>
      </w:r>
      <w:r>
        <w:rPr>
          <w:rFonts w:ascii="Book Antiqua" w:hAnsi="Book Antiqua" w:cs="Book Antiqua"/>
        </w:rPr>
        <w:t xml:space="preserve"> 2018; </w:t>
      </w:r>
      <w:r>
        <w:rPr>
          <w:rFonts w:ascii="Book Antiqua" w:hAnsi="Book Antiqua" w:cs="Book Antiqua"/>
          <w:b/>
          <w:bCs/>
        </w:rPr>
        <w:t>17</w:t>
      </w:r>
      <w:r>
        <w:rPr>
          <w:rFonts w:ascii="Book Antiqua" w:hAnsi="Book Antiqua" w:cs="Book Antiqua"/>
        </w:rPr>
        <w:t>: 126 [PMID: 30134915 DOI: 10.1186/s12943-018-0874-1]</w:t>
      </w:r>
    </w:p>
    <w:p w14:paraId="125215A9"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95 </w:t>
      </w:r>
      <w:proofErr w:type="spellStart"/>
      <w:r>
        <w:rPr>
          <w:rFonts w:ascii="Book Antiqua" w:hAnsi="Book Antiqua" w:cs="Book Antiqua"/>
          <w:b/>
          <w:bCs/>
        </w:rPr>
        <w:t>Xiaobin</w:t>
      </w:r>
      <w:proofErr w:type="spellEnd"/>
      <w:r>
        <w:rPr>
          <w:rFonts w:ascii="Book Antiqua" w:hAnsi="Book Antiqua" w:cs="Book Antiqua"/>
          <w:b/>
          <w:bCs/>
        </w:rPr>
        <w:t xml:space="preserve"> C</w:t>
      </w:r>
      <w:r>
        <w:rPr>
          <w:rFonts w:ascii="Book Antiqua" w:hAnsi="Book Antiqua" w:cs="Book Antiqua"/>
        </w:rPr>
        <w:t xml:space="preserve">, </w:t>
      </w:r>
      <w:proofErr w:type="spellStart"/>
      <w:r>
        <w:rPr>
          <w:rFonts w:ascii="Book Antiqua" w:hAnsi="Book Antiqua" w:cs="Book Antiqua"/>
        </w:rPr>
        <w:t>Zhaojun</w:t>
      </w:r>
      <w:proofErr w:type="spellEnd"/>
      <w:r>
        <w:rPr>
          <w:rFonts w:ascii="Book Antiqua" w:hAnsi="Book Antiqua" w:cs="Book Antiqua"/>
        </w:rPr>
        <w:t xml:space="preserve"> X, Tao L, </w:t>
      </w:r>
      <w:proofErr w:type="spellStart"/>
      <w:r>
        <w:rPr>
          <w:rFonts w:ascii="Book Antiqua" w:hAnsi="Book Antiqua" w:cs="Book Antiqua"/>
        </w:rPr>
        <w:t>Tianzeng</w:t>
      </w:r>
      <w:proofErr w:type="spellEnd"/>
      <w:r>
        <w:rPr>
          <w:rFonts w:ascii="Book Antiqua" w:hAnsi="Book Antiqua" w:cs="Book Antiqua"/>
        </w:rPr>
        <w:t xml:space="preserve"> D, Xuemei H, Fan Z, </w:t>
      </w:r>
      <w:proofErr w:type="spellStart"/>
      <w:r>
        <w:rPr>
          <w:rFonts w:ascii="Book Antiqua" w:hAnsi="Book Antiqua" w:cs="Book Antiqua"/>
        </w:rPr>
        <w:t>Chunyin</w:t>
      </w:r>
      <w:proofErr w:type="spellEnd"/>
      <w:r>
        <w:rPr>
          <w:rFonts w:ascii="Book Antiqua" w:hAnsi="Book Antiqua" w:cs="Book Antiqua"/>
        </w:rPr>
        <w:t xml:space="preserve"> H, </w:t>
      </w:r>
      <w:proofErr w:type="spellStart"/>
      <w:r>
        <w:rPr>
          <w:rFonts w:ascii="Book Antiqua" w:hAnsi="Book Antiqua" w:cs="Book Antiqua"/>
        </w:rPr>
        <w:t>Jianqiang</w:t>
      </w:r>
      <w:proofErr w:type="spellEnd"/>
      <w:r>
        <w:rPr>
          <w:rFonts w:ascii="Book Antiqua" w:hAnsi="Book Antiqua" w:cs="Book Antiqua"/>
        </w:rPr>
        <w:t xml:space="preserve"> H, Chen L. Analysis of Related Risk Factors and Prognostic Factors of Gastric Cancer with Bone Metastasis: A SEER-Based Study. </w:t>
      </w:r>
      <w:r>
        <w:rPr>
          <w:rFonts w:ascii="Book Antiqua" w:hAnsi="Book Antiqua" w:cs="Book Antiqua"/>
          <w:i/>
          <w:iCs/>
        </w:rPr>
        <w:t>J Immunol Res</w:t>
      </w:r>
      <w:r>
        <w:rPr>
          <w:rFonts w:ascii="Book Antiqua" w:hAnsi="Book Antiqua" w:cs="Book Antiqua"/>
        </w:rPr>
        <w:t xml:space="preserve"> 2022; </w:t>
      </w:r>
      <w:r>
        <w:rPr>
          <w:rFonts w:ascii="Book Antiqua" w:hAnsi="Book Antiqua" w:cs="Book Antiqua"/>
          <w:b/>
          <w:bCs/>
        </w:rPr>
        <w:t>2022</w:t>
      </w:r>
      <w:r>
        <w:rPr>
          <w:rFonts w:ascii="Book Antiqua" w:hAnsi="Book Antiqua" w:cs="Book Antiqua"/>
        </w:rPr>
        <w:t>: 3251051 [PMID: 35211630 DOI: 10.1155/2022/3251051]</w:t>
      </w:r>
    </w:p>
    <w:p w14:paraId="7215B68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96 </w:t>
      </w:r>
      <w:r>
        <w:rPr>
          <w:rFonts w:ascii="Book Antiqua" w:hAnsi="Book Antiqua" w:cs="Book Antiqua"/>
          <w:b/>
          <w:bCs/>
        </w:rPr>
        <w:t>Song L</w:t>
      </w:r>
      <w:r>
        <w:rPr>
          <w:rFonts w:ascii="Book Antiqua" w:hAnsi="Book Antiqua" w:cs="Book Antiqua"/>
        </w:rPr>
        <w:t xml:space="preserve">, Wang S, Li Q, Lu Y, Yang R, Feng X. Identification and Validation of a m5C RNA Modification-Related Gene Signature for Predicting Prognosis and Immunotherapeutic Efficiency of Gastric Cancer. </w:t>
      </w:r>
      <w:r>
        <w:rPr>
          <w:rFonts w:ascii="Book Antiqua" w:hAnsi="Book Antiqua" w:cs="Book Antiqua"/>
          <w:i/>
          <w:iCs/>
        </w:rPr>
        <w:t>J Oncol</w:t>
      </w:r>
      <w:r>
        <w:rPr>
          <w:rFonts w:ascii="Book Antiqua" w:hAnsi="Book Antiqua" w:cs="Book Antiqua"/>
        </w:rPr>
        <w:t xml:space="preserve"> 2023; </w:t>
      </w:r>
      <w:r>
        <w:rPr>
          <w:rFonts w:ascii="Book Antiqua" w:hAnsi="Book Antiqua" w:cs="Book Antiqua"/>
          <w:b/>
          <w:bCs/>
        </w:rPr>
        <w:t>2023</w:t>
      </w:r>
      <w:r>
        <w:rPr>
          <w:rFonts w:ascii="Book Antiqua" w:hAnsi="Book Antiqua" w:cs="Book Antiqua"/>
        </w:rPr>
        <w:t>: 9931419 [PMID: 36936373 DOI: 10.1155/2023/9931419]</w:t>
      </w:r>
    </w:p>
    <w:p w14:paraId="46094E56"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97 </w:t>
      </w:r>
      <w:r>
        <w:rPr>
          <w:rFonts w:ascii="Book Antiqua" w:hAnsi="Book Antiqua" w:cs="Book Antiqua"/>
          <w:b/>
          <w:bCs/>
        </w:rPr>
        <w:t>Khan M</w:t>
      </w:r>
      <w:r>
        <w:rPr>
          <w:rFonts w:ascii="Book Antiqua" w:hAnsi="Book Antiqua" w:cs="Book Antiqua"/>
        </w:rPr>
        <w:t xml:space="preserve">, Lin J, Wang B, Chen C, Huang Z, Tian Y, Yuan Y, Bu J. A novel necroptosis-related gene index for predicting prognosis and a cold tumor immune microenvironment in stomach adenocarcinoma. </w:t>
      </w:r>
      <w:r>
        <w:rPr>
          <w:rFonts w:ascii="Book Antiqua" w:hAnsi="Book Antiqua" w:cs="Book Antiqua"/>
          <w:i/>
          <w:iCs/>
        </w:rPr>
        <w:t>Front Immunol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968165 [PMID: 36389725 DOI: 10.3389/fimmu.2022.968165]</w:t>
      </w:r>
    </w:p>
    <w:p w14:paraId="6E0F10A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98 </w:t>
      </w:r>
      <w:r>
        <w:rPr>
          <w:rFonts w:ascii="Book Antiqua" w:hAnsi="Book Antiqua" w:cs="Book Antiqua"/>
          <w:b/>
          <w:bCs/>
        </w:rPr>
        <w:t>Huo J</w:t>
      </w:r>
      <w:r>
        <w:rPr>
          <w:rFonts w:ascii="Book Antiqua" w:hAnsi="Book Antiqua" w:cs="Book Antiqua"/>
        </w:rPr>
        <w:t xml:space="preserve">, Guan G, Cai J, Wu L. Integrated analysis of 1804 samples of six centers to construct and validate a robust immune-related prognostic signature associated with stromal cell abundance in tumor microenvironment for gastric cancer. </w:t>
      </w:r>
      <w:r>
        <w:rPr>
          <w:rFonts w:ascii="Book Antiqua" w:hAnsi="Book Antiqua" w:cs="Book Antiqua"/>
          <w:i/>
          <w:iCs/>
        </w:rPr>
        <w:t>World J Surg Oncol</w:t>
      </w:r>
      <w:r>
        <w:rPr>
          <w:rFonts w:ascii="Book Antiqua" w:hAnsi="Book Antiqua" w:cs="Book Antiqua"/>
        </w:rPr>
        <w:t xml:space="preserve"> 2022; </w:t>
      </w:r>
      <w:r>
        <w:rPr>
          <w:rFonts w:ascii="Book Antiqua" w:hAnsi="Book Antiqua" w:cs="Book Antiqua"/>
          <w:b/>
          <w:bCs/>
        </w:rPr>
        <w:t>20</w:t>
      </w:r>
      <w:r>
        <w:rPr>
          <w:rFonts w:ascii="Book Antiqua" w:hAnsi="Book Antiqua" w:cs="Book Antiqua"/>
        </w:rPr>
        <w:t>: 4 [PMID: 34983559 DOI: 10.1186/s12957-021-02485-y]</w:t>
      </w:r>
    </w:p>
    <w:p w14:paraId="52FFE27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99 </w:t>
      </w:r>
      <w:r>
        <w:rPr>
          <w:rFonts w:ascii="Book Antiqua" w:hAnsi="Book Antiqua" w:cs="Book Antiqua"/>
          <w:b/>
          <w:bCs/>
        </w:rPr>
        <w:t>Dong R</w:t>
      </w:r>
      <w:r>
        <w:rPr>
          <w:rFonts w:ascii="Book Antiqua" w:hAnsi="Book Antiqua" w:cs="Book Antiqua"/>
        </w:rPr>
        <w:t xml:space="preserve">, Chen S, Lu F, Zheng N, Peng G, Li Y, Yang P, Wen H, Qiu Q, Wang Y, Wu H, Liu M. Models for Predicting Response to Immunotherapy and Prognosis in Patients </w:t>
      </w:r>
      <w:r>
        <w:rPr>
          <w:rFonts w:ascii="Book Antiqua" w:hAnsi="Book Antiqua" w:cs="Book Antiqua"/>
        </w:rPr>
        <w:lastRenderedPageBreak/>
        <w:t xml:space="preserve">with Gastric Cancer: DNA Damage Response Genes. </w:t>
      </w:r>
      <w:r>
        <w:rPr>
          <w:rFonts w:ascii="Book Antiqua" w:hAnsi="Book Antiqua" w:cs="Book Antiqua"/>
          <w:i/>
          <w:iCs/>
        </w:rPr>
        <w:t>Biomed Res Int</w:t>
      </w:r>
      <w:r>
        <w:rPr>
          <w:rFonts w:ascii="Book Antiqua" w:hAnsi="Book Antiqua" w:cs="Book Antiqua"/>
        </w:rPr>
        <w:t xml:space="preserve"> 2022; </w:t>
      </w:r>
      <w:r>
        <w:rPr>
          <w:rFonts w:ascii="Book Antiqua" w:hAnsi="Book Antiqua" w:cs="Book Antiqua"/>
          <w:b/>
          <w:bCs/>
        </w:rPr>
        <w:t>2022</w:t>
      </w:r>
      <w:r>
        <w:rPr>
          <w:rFonts w:ascii="Book Antiqua" w:hAnsi="Book Antiqua" w:cs="Book Antiqua"/>
        </w:rPr>
        <w:t>: 4909544 [PMID: 36578802 DOI: 10.1155/2022/4909544]</w:t>
      </w:r>
    </w:p>
    <w:p w14:paraId="3D9ECD03"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100 </w:t>
      </w:r>
      <w:r>
        <w:rPr>
          <w:rFonts w:ascii="Book Antiqua" w:hAnsi="Book Antiqua" w:cs="Book Antiqua"/>
          <w:b/>
          <w:bCs/>
        </w:rPr>
        <w:t>Sun Q</w:t>
      </w:r>
      <w:r>
        <w:rPr>
          <w:rFonts w:ascii="Book Antiqua" w:hAnsi="Book Antiqua" w:cs="Book Antiqua"/>
        </w:rPr>
        <w:t xml:space="preserve">, Guo D, Li S, Xu Y, Jiang M, Li Y, Duan H, Zhuo W, Liu W, Zhu S, Wang L, Zhou T. Combining gene expression signature with clinical features for survival stratification of gastric cancer. </w:t>
      </w:r>
      <w:r>
        <w:rPr>
          <w:rFonts w:ascii="Book Antiqua" w:hAnsi="Book Antiqua" w:cs="Book Antiqua"/>
          <w:i/>
          <w:iCs/>
        </w:rPr>
        <w:t>Genomics</w:t>
      </w:r>
      <w:r>
        <w:rPr>
          <w:rFonts w:ascii="Book Antiqua" w:hAnsi="Book Antiqua" w:cs="Book Antiqua"/>
        </w:rPr>
        <w:t xml:space="preserve"> 2021; </w:t>
      </w:r>
      <w:r>
        <w:rPr>
          <w:rFonts w:ascii="Book Antiqua" w:hAnsi="Book Antiqua" w:cs="Book Antiqua"/>
          <w:b/>
          <w:bCs/>
        </w:rPr>
        <w:t>113</w:t>
      </w:r>
      <w:r>
        <w:rPr>
          <w:rFonts w:ascii="Book Antiqua" w:hAnsi="Book Antiqua" w:cs="Book Antiqua"/>
        </w:rPr>
        <w:t>: 2683-2694 [PMID: 34129933 DOI: 10.1016/j.ygeno.2021.06.018]</w:t>
      </w:r>
    </w:p>
    <w:p w14:paraId="102BBC44"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101 </w:t>
      </w:r>
      <w:r>
        <w:rPr>
          <w:rFonts w:ascii="Book Antiqua" w:hAnsi="Book Antiqua" w:cs="Book Antiqua"/>
          <w:b/>
          <w:bCs/>
        </w:rPr>
        <w:t>Huo J</w:t>
      </w:r>
      <w:r>
        <w:rPr>
          <w:rFonts w:ascii="Book Antiqua" w:hAnsi="Book Antiqua" w:cs="Book Antiqua"/>
        </w:rPr>
        <w:t xml:space="preserve">, Wu L, Zang Y. Construction and Validation of a Universal Applicable Prognostic Signature for Gastric Cancer Based on Seven Immune-Related Gene Correlated </w:t>
      </w:r>
      <w:proofErr w:type="gramStart"/>
      <w:r>
        <w:rPr>
          <w:rFonts w:ascii="Book Antiqua" w:hAnsi="Book Antiqua" w:cs="Book Antiqua"/>
        </w:rPr>
        <w:t>With</w:t>
      </w:r>
      <w:proofErr w:type="gramEnd"/>
      <w:r>
        <w:rPr>
          <w:rFonts w:ascii="Book Antiqua" w:hAnsi="Book Antiqua" w:cs="Book Antiqua"/>
        </w:rPr>
        <w:t xml:space="preserve"> Tumor Associated Macrophages. </w:t>
      </w:r>
      <w:r>
        <w:rPr>
          <w:rFonts w:ascii="Book Antiqua" w:hAnsi="Book Antiqua" w:cs="Book Antiqua"/>
          <w:i/>
          <w:iCs/>
        </w:rPr>
        <w:t>Front Oncol</w:t>
      </w:r>
      <w:r>
        <w:rPr>
          <w:rFonts w:ascii="Book Antiqua" w:hAnsi="Book Antiqua" w:cs="Book Antiqua"/>
        </w:rPr>
        <w:t xml:space="preserve"> 2021; </w:t>
      </w:r>
      <w:r>
        <w:rPr>
          <w:rFonts w:ascii="Book Antiqua" w:hAnsi="Book Antiqua" w:cs="Book Antiqua"/>
          <w:b/>
          <w:bCs/>
        </w:rPr>
        <w:t>11</w:t>
      </w:r>
      <w:r>
        <w:rPr>
          <w:rFonts w:ascii="Book Antiqua" w:hAnsi="Book Antiqua" w:cs="Book Antiqua"/>
        </w:rPr>
        <w:t>: 635324 [PMID: 34178625 DOI: 10.3389/fonc.2021.635324]</w:t>
      </w:r>
    </w:p>
    <w:p w14:paraId="78E23DD0"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102 </w:t>
      </w:r>
      <w:r>
        <w:rPr>
          <w:rFonts w:ascii="Book Antiqua" w:hAnsi="Book Antiqua" w:cs="Book Antiqua"/>
          <w:b/>
          <w:bCs/>
        </w:rPr>
        <w:t>Guo X</w:t>
      </w:r>
      <w:r>
        <w:rPr>
          <w:rFonts w:ascii="Book Antiqua" w:hAnsi="Book Antiqua" w:cs="Book Antiqua"/>
        </w:rPr>
        <w:t xml:space="preserve">, Liang X, Wang Y, Cheng A, Zhang H, Qin C, Wang Z. Significance of Tumor Mutation Burden Combined </w:t>
      </w:r>
      <w:proofErr w:type="gramStart"/>
      <w:r>
        <w:rPr>
          <w:rFonts w:ascii="Book Antiqua" w:hAnsi="Book Antiqua" w:cs="Book Antiqua"/>
        </w:rPr>
        <w:t>With</w:t>
      </w:r>
      <w:proofErr w:type="gramEnd"/>
      <w:r>
        <w:rPr>
          <w:rFonts w:ascii="Book Antiqua" w:hAnsi="Book Antiqua" w:cs="Book Antiqua"/>
        </w:rPr>
        <w:t xml:space="preserve"> Immune Infiltrates in the Progression and Prognosis of Advanced Gastric Cancer. </w:t>
      </w:r>
      <w:r>
        <w:rPr>
          <w:rFonts w:ascii="Book Antiqua" w:hAnsi="Book Antiqua" w:cs="Book Antiqua"/>
          <w:i/>
          <w:iCs/>
        </w:rPr>
        <w:t>Front Genet</w:t>
      </w:r>
      <w:r>
        <w:rPr>
          <w:rFonts w:ascii="Book Antiqua" w:hAnsi="Book Antiqua" w:cs="Book Antiqua"/>
        </w:rPr>
        <w:t xml:space="preserve"> 2021; </w:t>
      </w:r>
      <w:r>
        <w:rPr>
          <w:rFonts w:ascii="Book Antiqua" w:hAnsi="Book Antiqua" w:cs="Book Antiqua"/>
          <w:b/>
          <w:bCs/>
        </w:rPr>
        <w:t>12</w:t>
      </w:r>
      <w:r>
        <w:rPr>
          <w:rFonts w:ascii="Book Antiqua" w:hAnsi="Book Antiqua" w:cs="Book Antiqua"/>
        </w:rPr>
        <w:t>: 642608 [PMID: 34306002 DOI: 10.3389/fgene.2021.642608]</w:t>
      </w:r>
    </w:p>
    <w:p w14:paraId="1A6A4ED9"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103 </w:t>
      </w:r>
      <w:r>
        <w:rPr>
          <w:rFonts w:ascii="Book Antiqua" w:hAnsi="Book Antiqua" w:cs="Book Antiqua"/>
          <w:b/>
          <w:bCs/>
        </w:rPr>
        <w:t>Hu C</w:t>
      </w:r>
      <w:r>
        <w:rPr>
          <w:rFonts w:ascii="Book Antiqua" w:hAnsi="Book Antiqua" w:cs="Book Antiqua"/>
        </w:rPr>
        <w:t xml:space="preserve">, Zhou Y, Liu C, Kang Y. A novel scoring system for gastric cancer risk assessment based on the expression of three CLIP4 DNA methylation-associated genes. </w:t>
      </w:r>
      <w:r>
        <w:rPr>
          <w:rFonts w:ascii="Book Antiqua" w:hAnsi="Book Antiqua" w:cs="Book Antiqua"/>
          <w:i/>
          <w:iCs/>
        </w:rPr>
        <w:t>Int J Oncol</w:t>
      </w:r>
      <w:r>
        <w:rPr>
          <w:rFonts w:ascii="Book Antiqua" w:hAnsi="Book Antiqua" w:cs="Book Antiqua"/>
        </w:rPr>
        <w:t xml:space="preserve"> 2018; </w:t>
      </w:r>
      <w:r>
        <w:rPr>
          <w:rFonts w:ascii="Book Antiqua" w:hAnsi="Book Antiqua" w:cs="Book Antiqua"/>
          <w:b/>
          <w:bCs/>
        </w:rPr>
        <w:t>53</w:t>
      </w:r>
      <w:r>
        <w:rPr>
          <w:rFonts w:ascii="Book Antiqua" w:hAnsi="Book Antiqua" w:cs="Book Antiqua"/>
        </w:rPr>
        <w:t>: 633-643 [PMID: 29901187 DOI: 10.3892/ijo.2018.4433]</w:t>
      </w:r>
    </w:p>
    <w:p w14:paraId="7B5F9F17"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104 </w:t>
      </w:r>
      <w:r>
        <w:rPr>
          <w:rFonts w:ascii="Book Antiqua" w:hAnsi="Book Antiqua" w:cs="Book Antiqua"/>
          <w:b/>
          <w:bCs/>
        </w:rPr>
        <w:t>Huang J</w:t>
      </w:r>
      <w:r>
        <w:rPr>
          <w:rFonts w:ascii="Book Antiqua" w:hAnsi="Book Antiqua" w:cs="Book Antiqua"/>
        </w:rPr>
        <w:t xml:space="preserve">, Song J, Li X, Liu S, Huang W, Shen Z, Cheng Y, Kou S, Gao Z, Tian Y, Hu J. Analysis and prognostic significance of </w:t>
      </w:r>
      <w:proofErr w:type="spellStart"/>
      <w:r>
        <w:rPr>
          <w:rFonts w:ascii="Book Antiqua" w:hAnsi="Book Antiqua" w:cs="Book Antiqua"/>
        </w:rPr>
        <w:t>tumour</w:t>
      </w:r>
      <w:proofErr w:type="spellEnd"/>
      <w:r>
        <w:rPr>
          <w:rFonts w:ascii="Book Antiqua" w:hAnsi="Book Antiqua" w:cs="Book Antiqua"/>
        </w:rPr>
        <w:t xml:space="preserve"> immune infiltrates and immune microenvironment of m6A-related </w:t>
      </w:r>
      <w:proofErr w:type="spellStart"/>
      <w:r>
        <w:rPr>
          <w:rFonts w:ascii="Book Antiqua" w:hAnsi="Book Antiqua" w:cs="Book Antiqua"/>
        </w:rPr>
        <w:t>lncRNAs</w:t>
      </w:r>
      <w:proofErr w:type="spellEnd"/>
      <w:r>
        <w:rPr>
          <w:rFonts w:ascii="Book Antiqua" w:hAnsi="Book Antiqua" w:cs="Book Antiqua"/>
        </w:rPr>
        <w:t xml:space="preserve"> in patients with gastric cancer. </w:t>
      </w:r>
      <w:r>
        <w:rPr>
          <w:rFonts w:ascii="Book Antiqua" w:hAnsi="Book Antiqua" w:cs="Book Antiqua"/>
          <w:i/>
          <w:iCs/>
        </w:rPr>
        <w:t>BMC Med Genomics</w:t>
      </w:r>
      <w:r>
        <w:rPr>
          <w:rFonts w:ascii="Book Antiqua" w:hAnsi="Book Antiqua" w:cs="Book Antiqua"/>
        </w:rPr>
        <w:t xml:space="preserve"> 2022; </w:t>
      </w:r>
      <w:r>
        <w:rPr>
          <w:rFonts w:ascii="Book Antiqua" w:hAnsi="Book Antiqua" w:cs="Book Antiqua"/>
          <w:b/>
          <w:bCs/>
        </w:rPr>
        <w:t>15</w:t>
      </w:r>
      <w:r>
        <w:rPr>
          <w:rFonts w:ascii="Book Antiqua" w:hAnsi="Book Antiqua" w:cs="Book Antiqua"/>
        </w:rPr>
        <w:t>: 164 [PMID: 35879790 DOI: 10.1186/s12920-022-01318-5]</w:t>
      </w:r>
    </w:p>
    <w:p w14:paraId="1E672168"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105 </w:t>
      </w:r>
      <w:r>
        <w:rPr>
          <w:rFonts w:ascii="Book Antiqua" w:hAnsi="Book Antiqua" w:cs="Book Antiqua"/>
          <w:b/>
          <w:bCs/>
        </w:rPr>
        <w:t>Zhao Y</w:t>
      </w:r>
      <w:r>
        <w:rPr>
          <w:rFonts w:ascii="Book Antiqua" w:hAnsi="Book Antiqua" w:cs="Book Antiqua"/>
        </w:rPr>
        <w:t xml:space="preserve">, Hu S, Zhang J, Cai Z, Wang S, Liu M, Dai J, Gao Y. Glucoside </w:t>
      </w:r>
      <w:proofErr w:type="spellStart"/>
      <w:r>
        <w:rPr>
          <w:rFonts w:ascii="Book Antiqua" w:hAnsi="Book Antiqua" w:cs="Book Antiqua"/>
        </w:rPr>
        <w:t>xylosyltransferase</w:t>
      </w:r>
      <w:proofErr w:type="spellEnd"/>
      <w:r>
        <w:rPr>
          <w:rFonts w:ascii="Book Antiqua" w:hAnsi="Book Antiqua" w:cs="Book Antiqua"/>
        </w:rPr>
        <w:t xml:space="preserve"> 2 as a diagnostic and prognostic marker in gastric cancer via comprehensive analysis. </w:t>
      </w:r>
      <w:r>
        <w:rPr>
          <w:rFonts w:ascii="Book Antiqua" w:hAnsi="Book Antiqua" w:cs="Book Antiqua"/>
          <w:i/>
          <w:iCs/>
        </w:rPr>
        <w:t>Bioengineered</w:t>
      </w:r>
      <w:r>
        <w:rPr>
          <w:rFonts w:ascii="Book Antiqua" w:hAnsi="Book Antiqua" w:cs="Book Antiqua"/>
        </w:rPr>
        <w:t xml:space="preserve"> 2021; </w:t>
      </w:r>
      <w:r>
        <w:rPr>
          <w:rFonts w:ascii="Book Antiqua" w:hAnsi="Book Antiqua" w:cs="Book Antiqua"/>
          <w:b/>
          <w:bCs/>
        </w:rPr>
        <w:t>12</w:t>
      </w:r>
      <w:r>
        <w:rPr>
          <w:rFonts w:ascii="Book Antiqua" w:hAnsi="Book Antiqua" w:cs="Book Antiqua"/>
        </w:rPr>
        <w:t>: 5641-5654 [PMID: 34506251 DOI: 10.1080/21655979.2021.1967067]</w:t>
      </w:r>
    </w:p>
    <w:p w14:paraId="7579438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106 </w:t>
      </w:r>
      <w:r>
        <w:rPr>
          <w:rFonts w:ascii="Book Antiqua" w:hAnsi="Book Antiqua" w:cs="Book Antiqua"/>
          <w:b/>
          <w:bCs/>
        </w:rPr>
        <w:t>Cao L</w:t>
      </w:r>
      <w:r>
        <w:rPr>
          <w:rFonts w:ascii="Book Antiqua" w:hAnsi="Book Antiqua" w:cs="Book Antiqua"/>
        </w:rPr>
        <w:t xml:space="preserve">, Wang S, Zhang Y, Wong KC, Nakatsu G, Wang X, Wong S, Ji J, Yu J. Zinc-finger protein 471 suppresses gastric cancer through transcriptionally repressing downstream oncogenic PLS3 and TFAP2A. </w:t>
      </w:r>
      <w:r>
        <w:rPr>
          <w:rFonts w:ascii="Book Antiqua" w:hAnsi="Book Antiqua" w:cs="Book Antiqua"/>
          <w:i/>
          <w:iCs/>
        </w:rPr>
        <w:t>Oncogene</w:t>
      </w:r>
      <w:r>
        <w:rPr>
          <w:rFonts w:ascii="Book Antiqua" w:hAnsi="Book Antiqua" w:cs="Book Antiqua"/>
        </w:rPr>
        <w:t xml:space="preserve"> 2018; </w:t>
      </w:r>
      <w:r>
        <w:rPr>
          <w:rFonts w:ascii="Book Antiqua" w:hAnsi="Book Antiqua" w:cs="Book Antiqua"/>
          <w:b/>
          <w:bCs/>
        </w:rPr>
        <w:t>37</w:t>
      </w:r>
      <w:r>
        <w:rPr>
          <w:rFonts w:ascii="Book Antiqua" w:hAnsi="Book Antiqua" w:cs="Book Antiqua"/>
        </w:rPr>
        <w:t>: 3601-3616 [PMID: 29610526 DOI: 10.1038/s41388-018-0220-5]</w:t>
      </w:r>
    </w:p>
    <w:p w14:paraId="4821A84E"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107 </w:t>
      </w:r>
      <w:r>
        <w:rPr>
          <w:rFonts w:ascii="Book Antiqua" w:hAnsi="Book Antiqua" w:cs="Book Antiqua"/>
          <w:b/>
          <w:bCs/>
        </w:rPr>
        <w:t>Yang Y</w:t>
      </w:r>
      <w:r>
        <w:rPr>
          <w:rFonts w:ascii="Book Antiqua" w:hAnsi="Book Antiqua" w:cs="Book Antiqua"/>
        </w:rPr>
        <w:t xml:space="preserve">, Shi Z, Bai R, Hu W. Heterogeneity of MSI-H gastric cancer identifies a subtype with worse survival. </w:t>
      </w:r>
      <w:r>
        <w:rPr>
          <w:rFonts w:ascii="Book Antiqua" w:hAnsi="Book Antiqua" w:cs="Book Antiqua"/>
          <w:i/>
          <w:iCs/>
        </w:rPr>
        <w:t>J Med Genet</w:t>
      </w:r>
      <w:r>
        <w:rPr>
          <w:rFonts w:ascii="Book Antiqua" w:hAnsi="Book Antiqua" w:cs="Book Antiqua"/>
        </w:rPr>
        <w:t xml:space="preserve"> 2021; </w:t>
      </w:r>
      <w:r>
        <w:rPr>
          <w:rFonts w:ascii="Book Antiqua" w:hAnsi="Book Antiqua" w:cs="Book Antiqua"/>
          <w:b/>
          <w:bCs/>
        </w:rPr>
        <w:t>58</w:t>
      </w:r>
      <w:r>
        <w:rPr>
          <w:rFonts w:ascii="Book Antiqua" w:hAnsi="Book Antiqua" w:cs="Book Antiqua"/>
        </w:rPr>
        <w:t>: 12-19 [PMID: 32170001 DOI: 10.1136/jmedgenet-2019-106609]</w:t>
      </w:r>
    </w:p>
    <w:p w14:paraId="4E428CC8"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108 </w:t>
      </w:r>
      <w:r>
        <w:rPr>
          <w:rFonts w:ascii="Book Antiqua" w:hAnsi="Book Antiqua" w:cs="Book Antiqua"/>
          <w:b/>
          <w:bCs/>
        </w:rPr>
        <w:t>Pietrantonio F</w:t>
      </w:r>
      <w:r>
        <w:rPr>
          <w:rFonts w:ascii="Book Antiqua" w:hAnsi="Book Antiqua" w:cs="Book Antiqua"/>
        </w:rPr>
        <w:t xml:space="preserve">, Randon G, Di Bartolomeo M, Luciani A, Chao J, Smyth EC, Petrelli F. Predictive role of microsatellite instability for PD-1 blockade in patients with advanced gastric cancer: a meta-analysis of randomized clinical trials. </w:t>
      </w:r>
      <w:r>
        <w:rPr>
          <w:rFonts w:ascii="Book Antiqua" w:hAnsi="Book Antiqua" w:cs="Book Antiqua"/>
          <w:i/>
          <w:iCs/>
        </w:rPr>
        <w:t>ESMO Open</w:t>
      </w:r>
      <w:r>
        <w:rPr>
          <w:rFonts w:ascii="Book Antiqua" w:hAnsi="Book Antiqua" w:cs="Book Antiqua"/>
        </w:rPr>
        <w:t xml:space="preserve"> 2021; </w:t>
      </w:r>
      <w:r>
        <w:rPr>
          <w:rFonts w:ascii="Book Antiqua" w:hAnsi="Book Antiqua" w:cs="Book Antiqua"/>
          <w:b/>
          <w:bCs/>
        </w:rPr>
        <w:t>6</w:t>
      </w:r>
      <w:r>
        <w:rPr>
          <w:rFonts w:ascii="Book Antiqua" w:hAnsi="Book Antiqua" w:cs="Book Antiqua"/>
        </w:rPr>
        <w:t>: 100036 [PMID: 33460964 DOI: 10.1016/j.esmoop.2020.100036]</w:t>
      </w:r>
    </w:p>
    <w:p w14:paraId="6A1FA354"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109 </w:t>
      </w:r>
      <w:r>
        <w:rPr>
          <w:rFonts w:ascii="Book Antiqua" w:hAnsi="Book Antiqua" w:cs="Book Antiqua"/>
          <w:b/>
          <w:bCs/>
        </w:rPr>
        <w:t>Kwon M</w:t>
      </w:r>
      <w:r>
        <w:rPr>
          <w:rFonts w:ascii="Book Antiqua" w:hAnsi="Book Antiqua" w:cs="Book Antiqua"/>
        </w:rPr>
        <w:t xml:space="preserve">, An M, Klempner SJ, Lee H, Kim KM, Sa JK, Cho HJ, Hong JY, Lee T, Min YW, Kim TJ, Min BH, Park WY, Kang WK, Kim KT, Kim ST, Lee J. Determinants of Response and Intrinsic Resistance to PD-1 Blockade in Microsatellite Instability-High Gastric Cancer. </w:t>
      </w:r>
      <w:r>
        <w:rPr>
          <w:rFonts w:ascii="Book Antiqua" w:hAnsi="Book Antiqua" w:cs="Book Antiqua"/>
          <w:i/>
          <w:iCs/>
        </w:rPr>
        <w:t xml:space="preserve">Cancer </w:t>
      </w:r>
      <w:proofErr w:type="spellStart"/>
      <w:r>
        <w:rPr>
          <w:rFonts w:ascii="Book Antiqua" w:hAnsi="Book Antiqua" w:cs="Book Antiqua"/>
          <w:i/>
          <w:iCs/>
        </w:rPr>
        <w:t>Discov</w:t>
      </w:r>
      <w:proofErr w:type="spellEnd"/>
      <w:r>
        <w:rPr>
          <w:rFonts w:ascii="Book Antiqua" w:hAnsi="Book Antiqua" w:cs="Book Antiqua"/>
        </w:rPr>
        <w:t xml:space="preserve"> 2021; </w:t>
      </w:r>
      <w:r>
        <w:rPr>
          <w:rFonts w:ascii="Book Antiqua" w:hAnsi="Book Antiqua" w:cs="Book Antiqua"/>
          <w:b/>
          <w:bCs/>
        </w:rPr>
        <w:t>11</w:t>
      </w:r>
      <w:r>
        <w:rPr>
          <w:rFonts w:ascii="Book Antiqua" w:hAnsi="Book Antiqua" w:cs="Book Antiqua"/>
        </w:rPr>
        <w:t>: 2168-2185 [PMID: 33846173 DOI: 10.1158/2159-8290.CD-21-0219]</w:t>
      </w:r>
    </w:p>
    <w:p w14:paraId="5AC9C314"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110 </w:t>
      </w:r>
      <w:r>
        <w:rPr>
          <w:rFonts w:ascii="Book Antiqua" w:hAnsi="Book Antiqua" w:cs="Book Antiqua"/>
          <w:b/>
          <w:bCs/>
        </w:rPr>
        <w:t>Chao J</w:t>
      </w:r>
      <w:r>
        <w:rPr>
          <w:rFonts w:ascii="Book Antiqua" w:hAnsi="Book Antiqua" w:cs="Book Antiqua"/>
        </w:rPr>
        <w:t xml:space="preserve">, Fuchs CS, Shitara K, Tabernero J, Muro K, Van </w:t>
      </w:r>
      <w:proofErr w:type="spellStart"/>
      <w:r>
        <w:rPr>
          <w:rFonts w:ascii="Book Antiqua" w:hAnsi="Book Antiqua" w:cs="Book Antiqua"/>
        </w:rPr>
        <w:t>Cutsem</w:t>
      </w:r>
      <w:proofErr w:type="spellEnd"/>
      <w:r>
        <w:rPr>
          <w:rFonts w:ascii="Book Antiqua" w:hAnsi="Book Antiqua" w:cs="Book Antiqua"/>
        </w:rPr>
        <w:t xml:space="preserve"> E, Bang YJ, De Vita F, Landers G, Yen CJ, Chau I, Elme A, Lee J, </w:t>
      </w:r>
      <w:proofErr w:type="spellStart"/>
      <w:r>
        <w:rPr>
          <w:rFonts w:ascii="Book Antiqua" w:hAnsi="Book Antiqua" w:cs="Book Antiqua"/>
        </w:rPr>
        <w:t>Özgüroglu</w:t>
      </w:r>
      <w:proofErr w:type="spellEnd"/>
      <w:r>
        <w:rPr>
          <w:rFonts w:ascii="Book Antiqua" w:hAnsi="Book Antiqua" w:cs="Book Antiqua"/>
        </w:rPr>
        <w:t xml:space="preserve"> M, Catenacci D, Yoon HH, Chen E, Adelberg D, Shih CS, Shah S, </w:t>
      </w:r>
      <w:proofErr w:type="spellStart"/>
      <w:r>
        <w:rPr>
          <w:rFonts w:ascii="Book Antiqua" w:hAnsi="Book Antiqua" w:cs="Book Antiqua"/>
        </w:rPr>
        <w:t>Bhagia</w:t>
      </w:r>
      <w:proofErr w:type="spellEnd"/>
      <w:r>
        <w:rPr>
          <w:rFonts w:ascii="Book Antiqua" w:hAnsi="Book Antiqua" w:cs="Book Antiqua"/>
        </w:rPr>
        <w:t xml:space="preserve"> P, </w:t>
      </w:r>
      <w:proofErr w:type="spellStart"/>
      <w:r>
        <w:rPr>
          <w:rFonts w:ascii="Book Antiqua" w:hAnsi="Book Antiqua" w:cs="Book Antiqua"/>
        </w:rPr>
        <w:t>Wainberg</w:t>
      </w:r>
      <w:proofErr w:type="spellEnd"/>
      <w:r>
        <w:rPr>
          <w:rFonts w:ascii="Book Antiqua" w:hAnsi="Book Antiqua" w:cs="Book Antiqua"/>
        </w:rPr>
        <w:t xml:space="preserve"> ZA. Assessment of Pembrolizumab Therapy for the Treatment of Microsatellite Instability-High Gastric or Gastroesophageal Junction Cancer Among Patients in the KEYNOTE-059, KEYNOTE-061, and KEYNOTE-062 Clinical Trials. </w:t>
      </w:r>
      <w:r>
        <w:rPr>
          <w:rFonts w:ascii="Book Antiqua" w:hAnsi="Book Antiqua" w:cs="Book Antiqua"/>
          <w:i/>
          <w:iCs/>
        </w:rPr>
        <w:t>JAMA Oncol</w:t>
      </w:r>
      <w:r>
        <w:rPr>
          <w:rFonts w:ascii="Book Antiqua" w:hAnsi="Book Antiqua" w:cs="Book Antiqua"/>
        </w:rPr>
        <w:t xml:space="preserve"> 2021; </w:t>
      </w:r>
      <w:r>
        <w:rPr>
          <w:rFonts w:ascii="Book Antiqua" w:hAnsi="Book Antiqua" w:cs="Book Antiqua"/>
          <w:b/>
          <w:bCs/>
        </w:rPr>
        <w:t>7</w:t>
      </w:r>
      <w:r>
        <w:rPr>
          <w:rFonts w:ascii="Book Antiqua" w:hAnsi="Book Antiqua" w:cs="Book Antiqua"/>
        </w:rPr>
        <w:t>: 895-902 [PMID: 33792646 DOI: 10.1001/jamaoncol.2021.0275]</w:t>
      </w:r>
    </w:p>
    <w:p w14:paraId="094DAFE2"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111 </w:t>
      </w:r>
      <w:r>
        <w:rPr>
          <w:rFonts w:ascii="Book Antiqua" w:hAnsi="Book Antiqua" w:cs="Book Antiqua"/>
          <w:b/>
          <w:bCs/>
        </w:rPr>
        <w:t>Pietrantonio F</w:t>
      </w:r>
      <w:r>
        <w:rPr>
          <w:rFonts w:ascii="Book Antiqua" w:hAnsi="Book Antiqua" w:cs="Book Antiqua"/>
        </w:rPr>
        <w:t xml:space="preserve">, Miceli R, Raimondi A, Kim YW, Kang WK, Langley RE, Choi YY, Kim KM, Nankivell MG, Morano F, Wotherspoon A, Valeri N, Kook MC, </w:t>
      </w:r>
      <w:proofErr w:type="gramStart"/>
      <w:r>
        <w:rPr>
          <w:rFonts w:ascii="Book Antiqua" w:hAnsi="Book Antiqua" w:cs="Book Antiqua"/>
        </w:rPr>
        <w:t>An</w:t>
      </w:r>
      <w:proofErr w:type="gramEnd"/>
      <w:r>
        <w:rPr>
          <w:rFonts w:ascii="Book Antiqua" w:hAnsi="Book Antiqua" w:cs="Book Antiqua"/>
        </w:rPr>
        <w:t xml:space="preserve"> JY, </w:t>
      </w:r>
      <w:proofErr w:type="spellStart"/>
      <w:r>
        <w:rPr>
          <w:rFonts w:ascii="Book Antiqua" w:hAnsi="Book Antiqua" w:cs="Book Antiqua"/>
        </w:rPr>
        <w:t>Grabsch</w:t>
      </w:r>
      <w:proofErr w:type="spellEnd"/>
      <w:r>
        <w:rPr>
          <w:rFonts w:ascii="Book Antiqua" w:hAnsi="Book Antiqua" w:cs="Book Antiqua"/>
        </w:rPr>
        <w:t xml:space="preserve"> HI, </w:t>
      </w:r>
      <w:proofErr w:type="spellStart"/>
      <w:r>
        <w:rPr>
          <w:rFonts w:ascii="Book Antiqua" w:hAnsi="Book Antiqua" w:cs="Book Antiqua"/>
        </w:rPr>
        <w:t>Fucà</w:t>
      </w:r>
      <w:proofErr w:type="spellEnd"/>
      <w:r>
        <w:rPr>
          <w:rFonts w:ascii="Book Antiqua" w:hAnsi="Book Antiqua" w:cs="Book Antiqua"/>
        </w:rPr>
        <w:t xml:space="preserve"> G, Noh SH, Sohn TS, Kim S, Di Bartolomeo M, Cunningham D, Lee J, Cheong JH, Smyth EC. Individual Patient Data Meta-Analysis of the Value of Microsatellite Instability As a Biomarker in Gastric Cancer. </w:t>
      </w:r>
      <w:r>
        <w:rPr>
          <w:rFonts w:ascii="Book Antiqua" w:hAnsi="Book Antiqua" w:cs="Book Antiqua"/>
          <w:i/>
          <w:iCs/>
        </w:rPr>
        <w:t>J Clin Oncol</w:t>
      </w:r>
      <w:r>
        <w:rPr>
          <w:rFonts w:ascii="Book Antiqua" w:hAnsi="Book Antiqua" w:cs="Book Antiqua"/>
        </w:rPr>
        <w:t xml:space="preserve"> 2019; </w:t>
      </w:r>
      <w:r>
        <w:rPr>
          <w:rFonts w:ascii="Book Antiqua" w:hAnsi="Book Antiqua" w:cs="Book Antiqua"/>
          <w:b/>
          <w:bCs/>
        </w:rPr>
        <w:t>37</w:t>
      </w:r>
      <w:r>
        <w:rPr>
          <w:rFonts w:ascii="Book Antiqua" w:hAnsi="Book Antiqua" w:cs="Book Antiqua"/>
        </w:rPr>
        <w:t>: 3392-3400 [PMID: 31513484 DOI: 10.1200/JCO.19.01124]</w:t>
      </w:r>
    </w:p>
    <w:p w14:paraId="04612DDF"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112 </w:t>
      </w:r>
      <w:r>
        <w:rPr>
          <w:rFonts w:ascii="Book Antiqua" w:hAnsi="Book Antiqua" w:cs="Book Antiqua"/>
          <w:b/>
          <w:bCs/>
        </w:rPr>
        <w:t>Ajani JA</w:t>
      </w:r>
      <w:r>
        <w:rPr>
          <w:rFonts w:ascii="Book Antiqua" w:hAnsi="Book Antiqua" w:cs="Book Antiqua"/>
        </w:rPr>
        <w:t xml:space="preserve">, Jiang Y, Faust J, Chang BB, Ho L, Yao JC, Rousey S, Dakhil S, Cherny RC, Craig C, Bleyer A. A multi-center phase II study of sequential paclitaxel and bryostatin-1 (NSC 339555) in patients with untreated, advanced gastric or gastroesophageal </w:t>
      </w:r>
      <w:r>
        <w:rPr>
          <w:rFonts w:ascii="Book Antiqua" w:hAnsi="Book Antiqua" w:cs="Book Antiqua"/>
        </w:rPr>
        <w:lastRenderedPageBreak/>
        <w:t xml:space="preserve">junction adenocarcinoma. </w:t>
      </w:r>
      <w:r>
        <w:rPr>
          <w:rFonts w:ascii="Book Antiqua" w:hAnsi="Book Antiqua" w:cs="Book Antiqua"/>
          <w:i/>
          <w:iCs/>
        </w:rPr>
        <w:t>Invest New Drugs</w:t>
      </w:r>
      <w:r>
        <w:rPr>
          <w:rFonts w:ascii="Book Antiqua" w:hAnsi="Book Antiqua" w:cs="Book Antiqua"/>
        </w:rPr>
        <w:t xml:space="preserve"> 2006; </w:t>
      </w:r>
      <w:r>
        <w:rPr>
          <w:rFonts w:ascii="Book Antiqua" w:hAnsi="Book Antiqua" w:cs="Book Antiqua"/>
          <w:b/>
          <w:bCs/>
        </w:rPr>
        <w:t>24</w:t>
      </w:r>
      <w:r>
        <w:rPr>
          <w:rFonts w:ascii="Book Antiqua" w:hAnsi="Book Antiqua" w:cs="Book Antiqua"/>
        </w:rPr>
        <w:t>: 353-357 [PMID: 16683077 DOI: 10.1007/s10637-006-6452-1]</w:t>
      </w:r>
    </w:p>
    <w:p w14:paraId="1F298367"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113 </w:t>
      </w:r>
      <w:r>
        <w:rPr>
          <w:rFonts w:ascii="Book Antiqua" w:hAnsi="Book Antiqua" w:cs="Book Antiqua"/>
          <w:b/>
          <w:bCs/>
        </w:rPr>
        <w:t>Tseng LL</w:t>
      </w:r>
      <w:r>
        <w:rPr>
          <w:rFonts w:ascii="Book Antiqua" w:hAnsi="Book Antiqua" w:cs="Book Antiqua"/>
        </w:rPr>
        <w:t xml:space="preserve">, Cheng HH, Yeh TS, Huang SC, </w:t>
      </w:r>
      <w:proofErr w:type="spellStart"/>
      <w:r>
        <w:rPr>
          <w:rFonts w:ascii="Book Antiqua" w:hAnsi="Book Antiqua" w:cs="Book Antiqua"/>
        </w:rPr>
        <w:t>Syu</w:t>
      </w:r>
      <w:proofErr w:type="spellEnd"/>
      <w:r>
        <w:rPr>
          <w:rFonts w:ascii="Book Antiqua" w:hAnsi="Book Antiqua" w:cs="Book Antiqua"/>
        </w:rPr>
        <w:t xml:space="preserve"> YY, </w:t>
      </w:r>
      <w:proofErr w:type="spellStart"/>
      <w:r>
        <w:rPr>
          <w:rFonts w:ascii="Book Antiqua" w:hAnsi="Book Antiqua" w:cs="Book Antiqua"/>
        </w:rPr>
        <w:t>Chuu</w:t>
      </w:r>
      <w:proofErr w:type="spellEnd"/>
      <w:r>
        <w:rPr>
          <w:rFonts w:ascii="Book Antiqua" w:hAnsi="Book Antiqua" w:cs="Book Antiqua"/>
        </w:rPr>
        <w:t xml:space="preserve"> CP, Yuh CH, Kung HJ, Wang WC. Targeting the histone demethylase PHF8-mediated PKCα-</w:t>
      </w:r>
      <w:proofErr w:type="spellStart"/>
      <w:r>
        <w:rPr>
          <w:rFonts w:ascii="Book Antiqua" w:hAnsi="Book Antiqua" w:cs="Book Antiqua"/>
        </w:rPr>
        <w:t>Src</w:t>
      </w:r>
      <w:proofErr w:type="spellEnd"/>
      <w:r>
        <w:rPr>
          <w:rFonts w:ascii="Book Antiqua" w:hAnsi="Book Antiqua" w:cs="Book Antiqua"/>
        </w:rPr>
        <w:t xml:space="preserve">-PTEN axis in HER2-negative gastric cancer. </w:t>
      </w:r>
      <w:r>
        <w:rPr>
          <w:rFonts w:ascii="Book Antiqua" w:hAnsi="Book Antiqua" w:cs="Book Antiqua"/>
          <w:i/>
          <w:iCs/>
        </w:rPr>
        <w:t xml:space="preserve">Proc Natl </w:t>
      </w:r>
      <w:proofErr w:type="spellStart"/>
      <w:r>
        <w:rPr>
          <w:rFonts w:ascii="Book Antiqua" w:hAnsi="Book Antiqua" w:cs="Book Antiqua"/>
          <w:i/>
          <w:iCs/>
        </w:rPr>
        <w:t>Acad</w:t>
      </w:r>
      <w:proofErr w:type="spellEnd"/>
      <w:r>
        <w:rPr>
          <w:rFonts w:ascii="Book Antiqua" w:hAnsi="Book Antiqua" w:cs="Book Antiqua"/>
          <w:i/>
          <w:iCs/>
        </w:rPr>
        <w:t xml:space="preserve"> Sci U S A</w:t>
      </w:r>
      <w:r>
        <w:rPr>
          <w:rFonts w:ascii="Book Antiqua" w:hAnsi="Book Antiqua" w:cs="Book Antiqua"/>
        </w:rPr>
        <w:t xml:space="preserve"> 2020; </w:t>
      </w:r>
      <w:r>
        <w:rPr>
          <w:rFonts w:ascii="Book Antiqua" w:hAnsi="Book Antiqua" w:cs="Book Antiqua"/>
          <w:b/>
          <w:bCs/>
        </w:rPr>
        <w:t>117</w:t>
      </w:r>
      <w:r>
        <w:rPr>
          <w:rFonts w:ascii="Book Antiqua" w:hAnsi="Book Antiqua" w:cs="Book Antiqua"/>
        </w:rPr>
        <w:t>: 24859-24866 [PMID: 32958674 DOI: 10.1073/pnas.1919766117]</w:t>
      </w:r>
    </w:p>
    <w:p w14:paraId="16A2D386"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7F996BA1"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3BC30948"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4447EA7E"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15FBCDBA"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781005E6"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19BF44A3"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59B8F343"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27592736"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2241FC3D"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58767DC9"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54C468C0"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0DF37AB3"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50B6DC8C"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1237D78E"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03551D42"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73502911"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654464F1"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0BE15462"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5E6EFD7B"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62FF3544"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73AB6CE2"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127D0B9F"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62338D6E" w14:textId="77777777" w:rsidR="00C62577" w:rsidRDefault="00C62577">
      <w:pPr>
        <w:adjustRightInd w:val="0"/>
        <w:snapToGrid w:val="0"/>
        <w:spacing w:line="360" w:lineRule="auto"/>
        <w:jc w:val="both"/>
        <w:rPr>
          <w:rFonts w:ascii="Book Antiqua" w:eastAsia="Book Antiqua" w:hAnsi="Book Antiqua" w:cs="Book Antiqua"/>
          <w:b/>
          <w:color w:val="000000"/>
        </w:rPr>
      </w:pPr>
    </w:p>
    <w:p w14:paraId="6EC5976A" w14:textId="77777777" w:rsidR="00C62577"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lastRenderedPageBreak/>
        <w:t>Footnotes</w:t>
      </w:r>
    </w:p>
    <w:p w14:paraId="2D4EB146" w14:textId="77777777" w:rsidR="00C62577" w:rsidRDefault="00000000">
      <w:pPr>
        <w:adjustRightInd w:val="0"/>
        <w:snapToGrid w:val="0"/>
        <w:spacing w:line="360" w:lineRule="auto"/>
        <w:jc w:val="both"/>
        <w:rPr>
          <w:rFonts w:ascii="Book Antiqua" w:eastAsia="Book Antiqua" w:hAnsi="Book Antiqua" w:cs="Book Antiqua"/>
        </w:rPr>
      </w:pPr>
      <w:r>
        <w:rPr>
          <w:rFonts w:ascii="Book Antiqua" w:hAnsi="Book Antiqua"/>
          <w:b/>
          <w:color w:val="000000"/>
          <w:lang w:val="hu-HU"/>
        </w:rPr>
        <w:t>Institutional review board statement:</w:t>
      </w:r>
      <w:r>
        <w:rPr>
          <w:rFonts w:ascii="Book Antiqua" w:hAnsi="Book Antiqua"/>
          <w:color w:val="000000"/>
          <w:lang w:val="hu-HU"/>
        </w:rPr>
        <w:t xml:space="preserve"> </w:t>
      </w:r>
      <w:r>
        <w:rPr>
          <w:rFonts w:ascii="Book Antiqua" w:eastAsia="Book Antiqua" w:hAnsi="Book Antiqua" w:cs="Book Antiqua"/>
        </w:rPr>
        <w:t xml:space="preserve">The data supporting the results of this study are available from </w:t>
      </w:r>
      <w:r>
        <w:rPr>
          <w:rFonts w:ascii="Book Antiqua" w:hAnsi="Book Antiqua" w:cs="Book Antiqua"/>
        </w:rPr>
        <w:t>Gene Expression Omnibus</w:t>
      </w:r>
      <w:r>
        <w:rPr>
          <w:rFonts w:ascii="Book Antiqua" w:eastAsia="Book Antiqua" w:hAnsi="Book Antiqua" w:cs="Book Antiqua"/>
        </w:rPr>
        <w:t xml:space="preserve"> database (GSE84433andGSE26253) and the expression data, clinical data, mutation</w:t>
      </w:r>
      <w:r>
        <w:rPr>
          <w:rFonts w:ascii="Book Antiqua" w:eastAsia="宋体" w:hAnsi="Book Antiqua" w:cs="Book Antiqua" w:hint="eastAsia"/>
          <w:lang w:eastAsia="zh-CN"/>
        </w:rPr>
        <w:t xml:space="preserve"> </w:t>
      </w:r>
      <w:r>
        <w:rPr>
          <w:rFonts w:ascii="Book Antiqua" w:eastAsia="Book Antiqua" w:hAnsi="Book Antiqua" w:cs="Book Antiqua"/>
        </w:rPr>
        <w:t xml:space="preserve">data, and copy data related to </w:t>
      </w:r>
      <w:r>
        <w:rPr>
          <w:rFonts w:ascii="Book Antiqua" w:eastAsia="宋体" w:hAnsi="Book Antiqua" w:cs="Book Antiqua" w:hint="eastAsia"/>
          <w:lang w:eastAsia="zh-CN"/>
        </w:rPr>
        <w:t>g</w:t>
      </w:r>
      <w:r>
        <w:rPr>
          <w:rFonts w:ascii="Book Antiqua" w:eastAsia="Book Antiqua" w:hAnsi="Book Antiqua" w:cs="Book Antiqua"/>
        </w:rPr>
        <w:t>astric cancer from The Cancer Genome Atlas database.</w:t>
      </w:r>
    </w:p>
    <w:p w14:paraId="3EF39655" w14:textId="77777777" w:rsidR="00C62577" w:rsidRDefault="00C62577">
      <w:pPr>
        <w:adjustRightInd w:val="0"/>
        <w:snapToGrid w:val="0"/>
        <w:spacing w:line="360" w:lineRule="auto"/>
        <w:jc w:val="both"/>
        <w:rPr>
          <w:rFonts w:ascii="Book Antiqua" w:eastAsia="Book Antiqua" w:hAnsi="Book Antiqua" w:cs="Book Antiqua"/>
          <w:b/>
          <w:bCs/>
        </w:rPr>
      </w:pPr>
    </w:p>
    <w:p w14:paraId="21DB14CC" w14:textId="77777777" w:rsidR="00C62577"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deny any conflict of interest.</w:t>
      </w:r>
    </w:p>
    <w:p w14:paraId="6CB98862" w14:textId="77777777" w:rsidR="00C62577" w:rsidRDefault="00C62577">
      <w:pPr>
        <w:adjustRightInd w:val="0"/>
        <w:snapToGrid w:val="0"/>
        <w:spacing w:line="360" w:lineRule="auto"/>
        <w:jc w:val="both"/>
        <w:rPr>
          <w:rFonts w:ascii="Book Antiqua" w:eastAsia="Book Antiqua" w:hAnsi="Book Antiqua" w:cs="Book Antiqua"/>
        </w:rPr>
      </w:pPr>
    </w:p>
    <w:p w14:paraId="24B2133C" w14:textId="77777777" w:rsidR="00C62577" w:rsidRDefault="00000000">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Data sharing statement: </w:t>
      </w:r>
      <w:r>
        <w:rPr>
          <w:rFonts w:ascii="Book Antiqua" w:hAnsi="Book Antiqua" w:cstheme="minorHAnsi"/>
        </w:rPr>
        <w:t>No additional data are available.</w:t>
      </w:r>
    </w:p>
    <w:p w14:paraId="5E98B38C" w14:textId="77777777" w:rsidR="00C62577" w:rsidRDefault="00C62577">
      <w:pPr>
        <w:adjustRightInd w:val="0"/>
        <w:snapToGrid w:val="0"/>
        <w:spacing w:line="360" w:lineRule="auto"/>
        <w:jc w:val="both"/>
        <w:rPr>
          <w:rFonts w:ascii="Book Antiqua" w:eastAsia="Book Antiqua" w:hAnsi="Book Antiqua" w:cs="Book Antiqua"/>
          <w:b/>
          <w:bCs/>
        </w:rPr>
      </w:pPr>
    </w:p>
    <w:p w14:paraId="232CD807"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685A0A" w14:textId="77777777" w:rsidR="00C62577" w:rsidRDefault="00C62577">
      <w:pPr>
        <w:adjustRightInd w:val="0"/>
        <w:snapToGrid w:val="0"/>
        <w:spacing w:line="360" w:lineRule="auto"/>
        <w:jc w:val="both"/>
        <w:rPr>
          <w:rFonts w:ascii="Book Antiqua" w:hAnsi="Book Antiqua" w:cs="Book Antiqua"/>
        </w:rPr>
      </w:pPr>
    </w:p>
    <w:p w14:paraId="6052EEC6" w14:textId="77777777" w:rsidR="00C62577"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89F0429" w14:textId="77777777" w:rsidR="00C62577" w:rsidRDefault="00C62577">
      <w:pPr>
        <w:adjustRightInd w:val="0"/>
        <w:snapToGrid w:val="0"/>
        <w:spacing w:line="360" w:lineRule="auto"/>
        <w:jc w:val="both"/>
        <w:rPr>
          <w:rFonts w:ascii="Book Antiqua" w:eastAsia="Book Antiqua" w:hAnsi="Book Antiqua" w:cs="Book Antiqua"/>
        </w:rPr>
      </w:pPr>
    </w:p>
    <w:p w14:paraId="376F77C1"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A51FF4E" w14:textId="77777777" w:rsidR="00C62577" w:rsidRDefault="00C62577">
      <w:pPr>
        <w:adjustRightInd w:val="0"/>
        <w:snapToGrid w:val="0"/>
        <w:spacing w:line="360" w:lineRule="auto"/>
        <w:jc w:val="both"/>
        <w:rPr>
          <w:rFonts w:ascii="Book Antiqua" w:hAnsi="Book Antiqua" w:cs="Book Antiqua"/>
        </w:rPr>
      </w:pPr>
    </w:p>
    <w:p w14:paraId="46BC2528"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30, 2023</w:t>
      </w:r>
    </w:p>
    <w:p w14:paraId="3AEA56DC"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24, 2023</w:t>
      </w:r>
    </w:p>
    <w:p w14:paraId="4B12FBE8"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3256BFC9" w14:textId="77777777" w:rsidR="00C62577" w:rsidRDefault="00C62577">
      <w:pPr>
        <w:adjustRightInd w:val="0"/>
        <w:snapToGrid w:val="0"/>
        <w:spacing w:line="360" w:lineRule="auto"/>
        <w:jc w:val="both"/>
        <w:rPr>
          <w:rFonts w:ascii="Book Antiqua" w:hAnsi="Book Antiqua" w:cs="Book Antiqua"/>
        </w:rPr>
      </w:pPr>
    </w:p>
    <w:p w14:paraId="450846F4"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6996DCAC"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B9CB11D"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25437E54"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A (Excellent): 0</w:t>
      </w:r>
    </w:p>
    <w:p w14:paraId="2952195C"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 B</w:t>
      </w:r>
    </w:p>
    <w:p w14:paraId="4DA3A4C7"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19F555A4"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73E324E7" w14:textId="77777777" w:rsidR="00C62577"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6C0BB830" w14:textId="77777777" w:rsidR="00C62577" w:rsidRDefault="00C62577">
      <w:pPr>
        <w:adjustRightInd w:val="0"/>
        <w:snapToGrid w:val="0"/>
        <w:spacing w:line="360" w:lineRule="auto"/>
        <w:jc w:val="both"/>
        <w:rPr>
          <w:rFonts w:ascii="Book Antiqua" w:hAnsi="Book Antiqua" w:cs="Book Antiqua"/>
        </w:rPr>
      </w:pPr>
    </w:p>
    <w:p w14:paraId="18A5F676" w14:textId="77777777" w:rsidR="00C62577"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Ozturk E, Turkey; Rhoden CRB, Brazil</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P-Editor: </w:t>
      </w:r>
    </w:p>
    <w:p w14:paraId="31ECCB6F" w14:textId="77777777" w:rsidR="00C62577" w:rsidRDefault="00000000">
      <w:pPr>
        <w:adjustRightInd w:val="0"/>
        <w:snapToGrid w:val="0"/>
        <w:spacing w:line="360" w:lineRule="auto"/>
        <w:jc w:val="both"/>
      </w:pPr>
      <w:r>
        <w:rPr>
          <w:rFonts w:ascii="Book Antiqua" w:eastAsia="Book Antiqua" w:hAnsi="Book Antiqua" w:cs="Book Antiqua"/>
          <w:b/>
          <w:color w:val="000000"/>
        </w:rPr>
        <w:br w:type="page"/>
      </w:r>
      <w:r>
        <w:rPr>
          <w:rFonts w:ascii="Book Antiqua" w:hAnsi="Book Antiqua"/>
          <w:b/>
        </w:rPr>
        <w:lastRenderedPageBreak/>
        <w:t>Figure Legends</w:t>
      </w:r>
    </w:p>
    <w:p w14:paraId="64452E80" w14:textId="77777777" w:rsidR="00C62577" w:rsidRDefault="00000000">
      <w:pPr>
        <w:adjustRightInd w:val="0"/>
        <w:snapToGrid w:val="0"/>
        <w:spacing w:line="360" w:lineRule="auto"/>
        <w:jc w:val="both"/>
      </w:pPr>
      <w:r>
        <w:rPr>
          <w:noProof/>
          <w:lang w:eastAsia="zh-CN"/>
        </w:rPr>
        <w:drawing>
          <wp:inline distT="0" distB="0" distL="114300" distR="114300" wp14:anchorId="1E5E88AC" wp14:editId="2BADF13F">
            <wp:extent cx="5936615" cy="3615055"/>
            <wp:effectExtent l="0" t="0" r="698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936615" cy="3615055"/>
                    </a:xfrm>
                    <a:prstGeom prst="rect">
                      <a:avLst/>
                    </a:prstGeom>
                    <a:noFill/>
                    <a:ln>
                      <a:noFill/>
                    </a:ln>
                  </pic:spPr>
                </pic:pic>
              </a:graphicData>
            </a:graphic>
          </wp:inline>
        </w:drawing>
      </w:r>
    </w:p>
    <w:p w14:paraId="4D15C1C9" w14:textId="77777777" w:rsidR="00C62577"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 xml:space="preserve">Figure 1 The results of the differential expression analysis of </w:t>
      </w:r>
      <w:proofErr w:type="spellStart"/>
      <w:r>
        <w:rPr>
          <w:rFonts w:ascii="Book Antiqua" w:hAnsi="Book Antiqua" w:cs="Book Antiqua"/>
          <w:b/>
          <w:bCs/>
        </w:rPr>
        <w:t>disulfidptosis</w:t>
      </w:r>
      <w:proofErr w:type="spellEnd"/>
      <w:r>
        <w:rPr>
          <w:rFonts w:ascii="Book Antiqua" w:hAnsi="Book Antiqua" w:cs="Book Antiqua"/>
          <w:b/>
          <w:bCs/>
        </w:rPr>
        <w:t xml:space="preserve"> related genes in gastric cancer and adjacent normal tissues are presented.</w:t>
      </w:r>
      <w:r>
        <w:rPr>
          <w:rFonts w:ascii="Book Antiqua" w:hAnsi="Book Antiqua" w:cs="Book Antiqua"/>
        </w:rPr>
        <w:t xml:space="preserve"> A: </w:t>
      </w:r>
      <w:r>
        <w:rPr>
          <w:rFonts w:ascii="Book Antiqua" w:eastAsia="宋体" w:hAnsi="Book Antiqua" w:cs="Book Antiqua" w:hint="eastAsia"/>
          <w:lang w:eastAsia="zh-CN"/>
        </w:rPr>
        <w:t>S</w:t>
      </w:r>
      <w:r>
        <w:rPr>
          <w:rFonts w:ascii="Book Antiqua" w:hAnsi="Book Antiqua" w:cs="Book Antiqua"/>
        </w:rPr>
        <w:t xml:space="preserve">hows the difference analysis of </w:t>
      </w:r>
      <w:proofErr w:type="spellStart"/>
      <w:r>
        <w:rPr>
          <w:rFonts w:ascii="Book Antiqua" w:hAnsi="Book Antiqua" w:cs="Book Antiqua"/>
        </w:rPr>
        <w:t>disulfidptosis</w:t>
      </w:r>
      <w:proofErr w:type="spellEnd"/>
      <w:r>
        <w:rPr>
          <w:rFonts w:ascii="Book Antiqua" w:hAnsi="Book Antiqua" w:cs="Book Antiqua"/>
        </w:rPr>
        <w:t xml:space="preserve"> related genes in gastric cancer tissue samples and adjacent normal tissue samples</w:t>
      </w:r>
      <w:r>
        <w:rPr>
          <w:rFonts w:ascii="Book Antiqua" w:eastAsia="宋体" w:hAnsi="Book Antiqua" w:cs="Book Antiqua" w:hint="eastAsia"/>
          <w:lang w:eastAsia="zh-CN"/>
        </w:rPr>
        <w:t xml:space="preserve">; </w:t>
      </w:r>
      <w:r>
        <w:rPr>
          <w:rFonts w:ascii="Book Antiqua" w:hAnsi="Book Antiqua" w:cs="Book Antiqua"/>
        </w:rPr>
        <w:t xml:space="preserve">B: </w:t>
      </w:r>
      <w:r>
        <w:rPr>
          <w:rFonts w:ascii="Book Antiqua" w:eastAsia="宋体" w:hAnsi="Book Antiqua" w:cs="Book Antiqua" w:hint="eastAsia"/>
          <w:lang w:eastAsia="zh-CN"/>
        </w:rPr>
        <w:t>S</w:t>
      </w:r>
      <w:r>
        <w:rPr>
          <w:rFonts w:ascii="Book Antiqua" w:hAnsi="Book Antiqua" w:cs="Book Antiqua"/>
        </w:rPr>
        <w:t xml:space="preserve">hows the waterfall plot of </w:t>
      </w:r>
      <w:proofErr w:type="spellStart"/>
      <w:r>
        <w:rPr>
          <w:rFonts w:ascii="Book Antiqua" w:hAnsi="Book Antiqua" w:cs="Book Antiqua"/>
        </w:rPr>
        <w:t>disulfidptosis</w:t>
      </w:r>
      <w:proofErr w:type="spellEnd"/>
      <w:r>
        <w:rPr>
          <w:rFonts w:ascii="Book Antiqua" w:hAnsi="Book Antiqua" w:cs="Book Antiqua"/>
        </w:rPr>
        <w:t xml:space="preserve"> related genes mutations</w:t>
      </w:r>
      <w:r>
        <w:rPr>
          <w:rFonts w:ascii="Book Antiqua" w:eastAsia="宋体" w:hAnsi="Book Antiqua" w:cs="Book Antiqua" w:hint="eastAsia"/>
          <w:lang w:eastAsia="zh-CN"/>
        </w:rPr>
        <w:t>;</w:t>
      </w:r>
      <w:r>
        <w:rPr>
          <w:rFonts w:ascii="Book Antiqua" w:hAnsi="Book Antiqua" w:cs="Book Antiqua"/>
        </w:rPr>
        <w:t xml:space="preserve"> C: </w:t>
      </w:r>
      <w:r>
        <w:rPr>
          <w:rFonts w:ascii="Book Antiqua" w:eastAsia="宋体" w:hAnsi="Book Antiqua" w:cs="Book Antiqua" w:hint="eastAsia"/>
          <w:lang w:eastAsia="zh-CN"/>
        </w:rPr>
        <w:t>P</w:t>
      </w:r>
      <w:r>
        <w:rPr>
          <w:rFonts w:ascii="Book Antiqua" w:hAnsi="Book Antiqua" w:cs="Book Antiqua"/>
        </w:rPr>
        <w:t xml:space="preserve">resents the mutation frequency of </w:t>
      </w:r>
      <w:proofErr w:type="spellStart"/>
      <w:r>
        <w:rPr>
          <w:rFonts w:ascii="Book Antiqua" w:hAnsi="Book Antiqua" w:cs="Book Antiqua"/>
        </w:rPr>
        <w:t>disulfidptosis</w:t>
      </w:r>
      <w:proofErr w:type="spellEnd"/>
      <w:r>
        <w:rPr>
          <w:rFonts w:ascii="Book Antiqua" w:hAnsi="Book Antiqua" w:cs="Book Antiqua"/>
        </w:rPr>
        <w:t xml:space="preserve"> related genes</w:t>
      </w:r>
      <w:r>
        <w:rPr>
          <w:rFonts w:ascii="Book Antiqua" w:eastAsia="宋体" w:hAnsi="Book Antiqua" w:cs="Book Antiqua" w:hint="eastAsia"/>
          <w:lang w:eastAsia="zh-CN"/>
        </w:rPr>
        <w:t>;</w:t>
      </w:r>
      <w:r>
        <w:rPr>
          <w:rFonts w:ascii="Book Antiqua" w:hAnsi="Book Antiqua" w:cs="Book Antiqua"/>
        </w:rPr>
        <w:t xml:space="preserve"> D:</w:t>
      </w:r>
      <w:r>
        <w:rPr>
          <w:rFonts w:ascii="Book Antiqua" w:eastAsia="宋体" w:hAnsi="Book Antiqua" w:cs="Book Antiqua" w:hint="eastAsia"/>
          <w:lang w:eastAsia="zh-CN"/>
        </w:rPr>
        <w:t xml:space="preserve"> S</w:t>
      </w:r>
      <w:r>
        <w:rPr>
          <w:rFonts w:ascii="Book Antiqua" w:hAnsi="Book Antiqua" w:cs="Book Antiqua"/>
        </w:rPr>
        <w:t xml:space="preserve">hows the mutation sites of </w:t>
      </w:r>
      <w:proofErr w:type="spellStart"/>
      <w:r>
        <w:rPr>
          <w:rFonts w:ascii="Book Antiqua" w:hAnsi="Book Antiqua" w:cs="Book Antiqua"/>
        </w:rPr>
        <w:t>disulfidptosis</w:t>
      </w:r>
      <w:proofErr w:type="spellEnd"/>
      <w:r>
        <w:rPr>
          <w:rFonts w:ascii="Book Antiqua" w:hAnsi="Book Antiqua" w:cs="Book Antiqua"/>
        </w:rPr>
        <w:t xml:space="preserve"> related genes.</w:t>
      </w:r>
      <w:r>
        <w:rPr>
          <w:rFonts w:eastAsia="宋体"/>
          <w:lang w:eastAsia="zh-CN"/>
        </w:rPr>
        <w:t xml:space="preserve"> </w:t>
      </w:r>
      <w:r>
        <w:rPr>
          <w:rFonts w:ascii="Book Antiqua" w:eastAsia="宋体" w:hAnsi="Book Antiqua" w:cs="Book Antiqua"/>
          <w:lang w:eastAsia="zh-CN"/>
        </w:rPr>
        <w:t xml:space="preserve">CNV: Copy </w:t>
      </w:r>
      <w:r>
        <w:rPr>
          <w:rFonts w:ascii="Book Antiqua" w:eastAsia="宋体" w:hAnsi="Book Antiqua" w:cs="Book Antiqua" w:hint="eastAsia"/>
          <w:lang w:eastAsia="zh-CN"/>
        </w:rPr>
        <w:t>n</w:t>
      </w:r>
      <w:r>
        <w:rPr>
          <w:rFonts w:ascii="Book Antiqua" w:eastAsia="宋体" w:hAnsi="Book Antiqua" w:cs="Book Antiqua"/>
          <w:lang w:eastAsia="zh-CN"/>
        </w:rPr>
        <w:t xml:space="preserve">umber </w:t>
      </w:r>
      <w:r>
        <w:rPr>
          <w:rFonts w:ascii="Book Antiqua" w:eastAsia="宋体" w:hAnsi="Book Antiqua" w:cs="Book Antiqua" w:hint="eastAsia"/>
          <w:lang w:eastAsia="zh-CN"/>
        </w:rPr>
        <w:t>v</w:t>
      </w:r>
      <w:r>
        <w:rPr>
          <w:rFonts w:ascii="Book Antiqua" w:eastAsia="宋体" w:hAnsi="Book Antiqua" w:cs="Book Antiqua"/>
          <w:lang w:eastAsia="zh-CN"/>
        </w:rPr>
        <w:t>ariation.</w:t>
      </w:r>
    </w:p>
    <w:p w14:paraId="56B81B54" w14:textId="77777777" w:rsidR="00C62577" w:rsidRDefault="00000000">
      <w:pPr>
        <w:adjustRightInd w:val="0"/>
        <w:snapToGrid w:val="0"/>
        <w:spacing w:line="360" w:lineRule="auto"/>
        <w:jc w:val="both"/>
        <w:rPr>
          <w:rFonts w:ascii="Book Antiqua" w:eastAsia="宋体" w:hAnsi="Book Antiqua" w:cs="Book Antiqua"/>
          <w:lang w:eastAsia="zh-CN"/>
        </w:rPr>
      </w:pPr>
      <w:r>
        <w:rPr>
          <w:noProof/>
          <w:lang w:eastAsia="zh-CN"/>
        </w:rPr>
        <w:lastRenderedPageBreak/>
        <w:drawing>
          <wp:inline distT="0" distB="0" distL="114300" distR="114300" wp14:anchorId="4B0CD1A8" wp14:editId="45D3F6B8">
            <wp:extent cx="5935345" cy="3243580"/>
            <wp:effectExtent l="0" t="0" r="825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935345" cy="3243580"/>
                    </a:xfrm>
                    <a:prstGeom prst="rect">
                      <a:avLst/>
                    </a:prstGeom>
                    <a:noFill/>
                    <a:ln>
                      <a:noFill/>
                    </a:ln>
                  </pic:spPr>
                </pic:pic>
              </a:graphicData>
            </a:graphic>
          </wp:inline>
        </w:drawing>
      </w:r>
    </w:p>
    <w:p w14:paraId="6FFD4126" w14:textId="77777777" w:rsidR="00C62577" w:rsidRDefault="00000000">
      <w:pPr>
        <w:adjustRightInd w:val="0"/>
        <w:snapToGrid w:val="0"/>
        <w:spacing w:line="360" w:lineRule="auto"/>
        <w:jc w:val="both"/>
      </w:pPr>
      <w:r>
        <w:rPr>
          <w:noProof/>
          <w:lang w:eastAsia="zh-CN"/>
        </w:rPr>
        <w:drawing>
          <wp:inline distT="0" distB="0" distL="114300" distR="114300" wp14:anchorId="6FACBEC4" wp14:editId="511F61CF">
            <wp:extent cx="5941695" cy="432816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1695" cy="4328160"/>
                    </a:xfrm>
                    <a:prstGeom prst="rect">
                      <a:avLst/>
                    </a:prstGeom>
                    <a:noFill/>
                    <a:ln>
                      <a:noFill/>
                    </a:ln>
                  </pic:spPr>
                </pic:pic>
              </a:graphicData>
            </a:graphic>
          </wp:inline>
        </w:drawing>
      </w:r>
    </w:p>
    <w:p w14:paraId="61B954A0" w14:textId="77777777" w:rsidR="00C62577" w:rsidRDefault="00C62577">
      <w:pPr>
        <w:adjustRightInd w:val="0"/>
        <w:snapToGrid w:val="0"/>
        <w:spacing w:line="360" w:lineRule="auto"/>
        <w:jc w:val="both"/>
        <w:rPr>
          <w:rFonts w:ascii="Book Antiqua" w:hAnsi="Book Antiqua" w:cs="Book Antiqua"/>
          <w:b/>
          <w:bCs/>
        </w:rPr>
      </w:pPr>
    </w:p>
    <w:p w14:paraId="1DF067DA"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b/>
          <w:bCs/>
        </w:rPr>
        <w:lastRenderedPageBreak/>
        <w:t>Figure 2</w:t>
      </w:r>
      <w:r>
        <w:rPr>
          <w:rFonts w:ascii="Book Antiqua" w:hAnsi="Book Antiqua" w:cs="Book Antiqua"/>
        </w:rPr>
        <w:t xml:space="preserve"> </w:t>
      </w:r>
      <w:r>
        <w:rPr>
          <w:rFonts w:ascii="Book Antiqua" w:hAnsi="Book Antiqua" w:cs="Book Antiqua"/>
          <w:b/>
          <w:bCs/>
        </w:rPr>
        <w:t xml:space="preserve">Screening </w:t>
      </w:r>
      <w:proofErr w:type="spellStart"/>
      <w:r>
        <w:rPr>
          <w:rFonts w:ascii="Book Antiqua" w:hAnsi="Book Antiqua" w:cs="Book Antiqua"/>
          <w:b/>
          <w:bCs/>
        </w:rPr>
        <w:t>disulfidptosis</w:t>
      </w:r>
      <w:proofErr w:type="spellEnd"/>
      <w:r>
        <w:rPr>
          <w:rFonts w:ascii="Book Antiqua" w:hAnsi="Book Antiqua" w:cs="Book Antiqua"/>
          <w:b/>
          <w:bCs/>
        </w:rPr>
        <w:t xml:space="preserve"> related genes related to the prognosis of gastric cancer.</w:t>
      </w:r>
      <w:r>
        <w:rPr>
          <w:rFonts w:ascii="Book Antiqua" w:eastAsia="宋体" w:hAnsi="Book Antiqua" w:cs="Book Antiqua" w:hint="eastAsia"/>
          <w:b/>
          <w:bCs/>
          <w:lang w:eastAsia="zh-CN"/>
        </w:rPr>
        <w:t xml:space="preserve"> </w:t>
      </w:r>
      <w:r>
        <w:rPr>
          <w:rFonts w:ascii="Book Antiqua" w:hAnsi="Book Antiqua" w:cs="Book Antiqua"/>
        </w:rPr>
        <w:t xml:space="preserve">A-J: </w:t>
      </w:r>
      <w:r>
        <w:rPr>
          <w:rFonts w:ascii="Book Antiqua" w:eastAsia="宋体" w:hAnsi="Book Antiqua" w:cs="Book Antiqua" w:hint="eastAsia"/>
          <w:lang w:eastAsia="zh-CN"/>
        </w:rPr>
        <w:t>S</w:t>
      </w:r>
      <w:r>
        <w:rPr>
          <w:rFonts w:ascii="Book Antiqua" w:hAnsi="Book Antiqua" w:cs="Book Antiqua"/>
        </w:rPr>
        <w:t xml:space="preserve">how the Kaplan-Meier analysis of the survival curves of </w:t>
      </w:r>
      <w:proofErr w:type="spellStart"/>
      <w:r>
        <w:rPr>
          <w:rFonts w:ascii="Book Antiqua" w:hAnsi="Book Antiqua" w:cs="Book Antiqua"/>
        </w:rPr>
        <w:t>disulfidptosis</w:t>
      </w:r>
      <w:proofErr w:type="spellEnd"/>
      <w:r>
        <w:rPr>
          <w:rFonts w:ascii="Book Antiqua" w:hAnsi="Book Antiqua" w:cs="Book Antiqua"/>
        </w:rPr>
        <w:t xml:space="preserve"> related genes between high and low expression groups, and 10 </w:t>
      </w:r>
      <w:proofErr w:type="spellStart"/>
      <w:r>
        <w:rPr>
          <w:rFonts w:ascii="Book Antiqua" w:hAnsi="Book Antiqua" w:cs="Book Antiqua"/>
        </w:rPr>
        <w:t>disulfidptosis</w:t>
      </w:r>
      <w:proofErr w:type="spellEnd"/>
      <w:r>
        <w:rPr>
          <w:rFonts w:ascii="Book Antiqua" w:hAnsi="Book Antiqua" w:cs="Book Antiqua"/>
        </w:rPr>
        <w:t xml:space="preserve"> related genes related to gastric cancer prognosis were identified</w:t>
      </w:r>
      <w:r>
        <w:rPr>
          <w:rFonts w:ascii="Book Antiqua" w:eastAsia="宋体" w:hAnsi="Book Antiqua" w:cs="Book Antiqua" w:hint="eastAsia"/>
          <w:lang w:eastAsia="zh-CN"/>
        </w:rPr>
        <w:t>;</w:t>
      </w:r>
      <w:r>
        <w:rPr>
          <w:rFonts w:ascii="Book Antiqua" w:hAnsi="Book Antiqua" w:cs="Book Antiqua"/>
        </w:rPr>
        <w:t xml:space="preserve"> K: </w:t>
      </w:r>
      <w:r>
        <w:rPr>
          <w:rFonts w:ascii="Book Antiqua" w:eastAsia="宋体" w:hAnsi="Book Antiqua" w:cs="Book Antiqua" w:hint="eastAsia"/>
          <w:lang w:eastAsia="zh-CN"/>
        </w:rPr>
        <w:t>S</w:t>
      </w:r>
      <w:r>
        <w:rPr>
          <w:rFonts w:ascii="Book Antiqua" w:hAnsi="Book Antiqua" w:cs="Book Antiqua"/>
        </w:rPr>
        <w:t xml:space="preserve">hows the COX analysis of the </w:t>
      </w:r>
      <w:proofErr w:type="spellStart"/>
      <w:r>
        <w:rPr>
          <w:rFonts w:ascii="Book Antiqua" w:hAnsi="Book Antiqua" w:cs="Book Antiqua"/>
        </w:rPr>
        <w:t>disulfidptosis</w:t>
      </w:r>
      <w:proofErr w:type="spellEnd"/>
      <w:r>
        <w:rPr>
          <w:rFonts w:ascii="Book Antiqua" w:hAnsi="Book Antiqua" w:cs="Book Antiqua"/>
        </w:rPr>
        <w:t xml:space="preserve"> related genes circle plot related to gastric cancer prognosis, and five significantly prognostic </w:t>
      </w:r>
      <w:proofErr w:type="spellStart"/>
      <w:r>
        <w:rPr>
          <w:rFonts w:ascii="Book Antiqua" w:hAnsi="Book Antiqua" w:cs="Book Antiqua"/>
        </w:rPr>
        <w:t>disulfidptosis</w:t>
      </w:r>
      <w:proofErr w:type="spellEnd"/>
      <w:r>
        <w:rPr>
          <w:rFonts w:ascii="Book Antiqua" w:hAnsi="Book Antiqua" w:cs="Book Antiqua"/>
        </w:rPr>
        <w:t xml:space="preserve"> related genes were identified.</w:t>
      </w:r>
    </w:p>
    <w:p w14:paraId="2ACCD4FD" w14:textId="77777777" w:rsidR="00C62577" w:rsidRDefault="00C62577">
      <w:pPr>
        <w:adjustRightInd w:val="0"/>
        <w:snapToGrid w:val="0"/>
        <w:spacing w:line="360" w:lineRule="auto"/>
        <w:jc w:val="both"/>
        <w:rPr>
          <w:rFonts w:ascii="Book Antiqua" w:hAnsi="Book Antiqua" w:cs="Book Antiqua"/>
        </w:rPr>
      </w:pPr>
    </w:p>
    <w:p w14:paraId="0F13A9A2" w14:textId="77777777" w:rsidR="00C62577" w:rsidRDefault="00000000">
      <w:pPr>
        <w:adjustRightInd w:val="0"/>
        <w:snapToGrid w:val="0"/>
        <w:spacing w:line="360" w:lineRule="auto"/>
        <w:jc w:val="both"/>
        <w:rPr>
          <w:rFonts w:ascii="Book Antiqua" w:hAnsi="Book Antiqua" w:cs="Book Antiqua"/>
        </w:rPr>
      </w:pPr>
      <w:r>
        <w:rPr>
          <w:noProof/>
          <w:lang w:eastAsia="zh-CN"/>
        </w:rPr>
        <w:lastRenderedPageBreak/>
        <w:drawing>
          <wp:inline distT="0" distB="0" distL="114300" distR="114300" wp14:anchorId="3BF81EBC" wp14:editId="38BFF8A6">
            <wp:extent cx="5943600" cy="3354705"/>
            <wp:effectExtent l="0" t="0" r="0" b="13335"/>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pic:cNvPicPr>
                  </pic:nvPicPr>
                  <pic:blipFill>
                    <a:blip r:embed="rId12"/>
                    <a:stretch>
                      <a:fillRect/>
                    </a:stretch>
                  </pic:blipFill>
                  <pic:spPr>
                    <a:xfrm>
                      <a:off x="0" y="0"/>
                      <a:ext cx="5943600" cy="3354705"/>
                    </a:xfrm>
                    <a:prstGeom prst="rect">
                      <a:avLst/>
                    </a:prstGeom>
                    <a:noFill/>
                    <a:ln>
                      <a:noFill/>
                    </a:ln>
                  </pic:spPr>
                </pic:pic>
              </a:graphicData>
            </a:graphic>
          </wp:inline>
        </w:drawing>
      </w:r>
      <w:r>
        <w:rPr>
          <w:noProof/>
          <w:lang w:eastAsia="zh-CN"/>
        </w:rPr>
        <w:drawing>
          <wp:inline distT="0" distB="0" distL="114300" distR="114300" wp14:anchorId="37B2D6CA" wp14:editId="62E6DF18">
            <wp:extent cx="5937885" cy="4166235"/>
            <wp:effectExtent l="0" t="0" r="5715" b="9525"/>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13"/>
                    <a:stretch>
                      <a:fillRect/>
                    </a:stretch>
                  </pic:blipFill>
                  <pic:spPr>
                    <a:xfrm>
                      <a:off x="0" y="0"/>
                      <a:ext cx="5937885" cy="4166235"/>
                    </a:xfrm>
                    <a:prstGeom prst="rect">
                      <a:avLst/>
                    </a:prstGeom>
                    <a:noFill/>
                    <a:ln>
                      <a:noFill/>
                    </a:ln>
                  </pic:spPr>
                </pic:pic>
              </a:graphicData>
            </a:graphic>
          </wp:inline>
        </w:drawing>
      </w:r>
    </w:p>
    <w:p w14:paraId="005F566A" w14:textId="77777777" w:rsidR="00C62577" w:rsidRDefault="00C62577">
      <w:pPr>
        <w:adjustRightInd w:val="0"/>
        <w:snapToGrid w:val="0"/>
        <w:spacing w:line="360" w:lineRule="auto"/>
        <w:jc w:val="both"/>
        <w:rPr>
          <w:rFonts w:ascii="Book Antiqua" w:hAnsi="Book Antiqua" w:cs="Book Antiqua"/>
          <w:b/>
          <w:bCs/>
        </w:rPr>
      </w:pPr>
    </w:p>
    <w:p w14:paraId="6482DA93"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b/>
          <w:bCs/>
        </w:rPr>
        <w:lastRenderedPageBreak/>
        <w:t xml:space="preserve">Figure 3 The sample classification, subgroup survival analysis, and differential gene heatmap related to </w:t>
      </w:r>
      <w:proofErr w:type="spellStart"/>
      <w:r>
        <w:rPr>
          <w:rFonts w:ascii="Book Antiqua" w:hAnsi="Book Antiqua" w:cs="Book Antiqua"/>
          <w:b/>
          <w:bCs/>
        </w:rPr>
        <w:t>disulfidptosis</w:t>
      </w:r>
      <w:proofErr w:type="spellEnd"/>
      <w:r>
        <w:rPr>
          <w:rFonts w:ascii="Book Antiqua" w:hAnsi="Book Antiqua" w:cs="Book Antiqua"/>
          <w:b/>
          <w:bCs/>
        </w:rPr>
        <w:t xml:space="preserve"> related genes are presented.</w:t>
      </w:r>
      <w:r>
        <w:rPr>
          <w:rFonts w:ascii="Book Antiqua" w:hAnsi="Book Antiqua" w:cs="Book Antiqua"/>
        </w:rPr>
        <w:t xml:space="preserve"> A</w:t>
      </w:r>
      <w:r>
        <w:rPr>
          <w:rFonts w:ascii="Book Antiqua" w:eastAsia="宋体" w:hAnsi="Book Antiqua" w:cs="Book Antiqua" w:hint="eastAsia"/>
          <w:lang w:eastAsia="zh-CN"/>
        </w:rPr>
        <w:t>: S</w:t>
      </w:r>
      <w:r>
        <w:rPr>
          <w:rFonts w:ascii="Book Antiqua" w:hAnsi="Book Antiqua" w:cs="Book Antiqua"/>
        </w:rPr>
        <w:t xml:space="preserve">hows the clustering matrix plot of </w:t>
      </w:r>
      <w:proofErr w:type="spellStart"/>
      <w:r>
        <w:rPr>
          <w:rFonts w:ascii="Book Antiqua" w:hAnsi="Book Antiqua" w:cs="Book Antiqua"/>
        </w:rPr>
        <w:t>disulfidptosis</w:t>
      </w:r>
      <w:proofErr w:type="spellEnd"/>
      <w:r>
        <w:rPr>
          <w:rFonts w:ascii="Book Antiqua" w:hAnsi="Book Antiqua" w:cs="Book Antiqua"/>
        </w:rPr>
        <w:t xml:space="preserve"> related genes-related samples</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 S</w:t>
      </w:r>
      <w:r>
        <w:rPr>
          <w:rFonts w:ascii="Book Antiqua" w:hAnsi="Book Antiqua" w:cs="Book Antiqua"/>
        </w:rPr>
        <w:t xml:space="preserve">hows the clustering index plot of </w:t>
      </w:r>
      <w:proofErr w:type="spellStart"/>
      <w:r>
        <w:rPr>
          <w:rFonts w:ascii="Book Antiqua" w:hAnsi="Book Antiqua" w:cs="Book Antiqua"/>
        </w:rPr>
        <w:t>disulfidptosis</w:t>
      </w:r>
      <w:proofErr w:type="spellEnd"/>
      <w:r>
        <w:rPr>
          <w:rFonts w:ascii="Book Antiqua" w:hAnsi="Book Antiqua" w:cs="Book Antiqua"/>
        </w:rPr>
        <w:t xml:space="preserve"> related genes-related samples</w:t>
      </w:r>
      <w:r>
        <w:rPr>
          <w:rFonts w:ascii="Book Antiqua" w:eastAsia="宋体" w:hAnsi="Book Antiqua" w:cs="Book Antiqua" w:hint="eastAsia"/>
          <w:lang w:eastAsia="zh-CN"/>
        </w:rPr>
        <w:t>;</w:t>
      </w:r>
      <w:r>
        <w:rPr>
          <w:rFonts w:ascii="Book Antiqua" w:hAnsi="Book Antiqua" w:cs="Book Antiqua"/>
        </w:rPr>
        <w:t xml:space="preserve"> C</w:t>
      </w:r>
      <w:r>
        <w:rPr>
          <w:rFonts w:ascii="Book Antiqua" w:eastAsia="宋体" w:hAnsi="Book Antiqua" w:cs="Book Antiqua" w:hint="eastAsia"/>
          <w:lang w:eastAsia="zh-CN"/>
        </w:rPr>
        <w:t>: P</w:t>
      </w:r>
      <w:r>
        <w:rPr>
          <w:rFonts w:ascii="Book Antiqua" w:hAnsi="Book Antiqua" w:cs="Book Antiqua"/>
        </w:rPr>
        <w:t xml:space="preserve">resents the relative change area under the </w:t>
      </w:r>
      <w:r>
        <w:rPr>
          <w:rFonts w:ascii="Book Antiqua" w:eastAsia="宋体" w:hAnsi="Book Antiqua" w:cs="Book Antiqua" w:hint="eastAsia"/>
          <w:lang w:eastAsia="zh-CN"/>
        </w:rPr>
        <w:t>c</w:t>
      </w:r>
      <w:r>
        <w:rPr>
          <w:rFonts w:ascii="Book Antiqua" w:hAnsi="Book Antiqua" w:cs="Book Antiqua"/>
        </w:rPr>
        <w:t xml:space="preserve">umulative </w:t>
      </w:r>
      <w:r>
        <w:rPr>
          <w:rFonts w:ascii="Book Antiqua" w:eastAsia="宋体" w:hAnsi="Book Antiqua" w:cs="Book Antiqua" w:hint="eastAsia"/>
          <w:lang w:eastAsia="zh-CN"/>
        </w:rPr>
        <w:t>d</w:t>
      </w:r>
      <w:r>
        <w:rPr>
          <w:rFonts w:ascii="Book Antiqua" w:hAnsi="Book Antiqua" w:cs="Book Antiqua"/>
        </w:rPr>
        <w:t xml:space="preserve">istribution </w:t>
      </w:r>
      <w:r>
        <w:rPr>
          <w:rFonts w:ascii="Book Antiqua" w:eastAsia="宋体" w:hAnsi="Book Antiqua" w:cs="Book Antiqua" w:hint="eastAsia"/>
          <w:lang w:eastAsia="zh-CN"/>
        </w:rPr>
        <w:t>f</w:t>
      </w:r>
      <w:r>
        <w:rPr>
          <w:rFonts w:ascii="Book Antiqua" w:hAnsi="Book Antiqua" w:cs="Book Antiqua"/>
        </w:rPr>
        <w:t>unction curve</w:t>
      </w:r>
      <w:r>
        <w:rPr>
          <w:rFonts w:ascii="Book Antiqua" w:eastAsia="宋体" w:hAnsi="Book Antiqua" w:cs="Book Antiqua" w:hint="eastAsia"/>
          <w:lang w:eastAsia="zh-CN"/>
        </w:rPr>
        <w:t>;</w:t>
      </w:r>
      <w:r>
        <w:rPr>
          <w:rFonts w:ascii="Book Antiqua" w:hAnsi="Book Antiqua" w:cs="Book Antiqua"/>
        </w:rPr>
        <w:t xml:space="preserve"> D</w:t>
      </w:r>
      <w:r>
        <w:rPr>
          <w:rFonts w:ascii="Book Antiqua" w:eastAsia="宋体" w:hAnsi="Book Antiqua" w:cs="Book Antiqua" w:hint="eastAsia"/>
          <w:lang w:eastAsia="zh-CN"/>
        </w:rPr>
        <w:t>: S</w:t>
      </w:r>
      <w:r>
        <w:rPr>
          <w:rFonts w:ascii="Book Antiqua" w:hAnsi="Book Antiqua" w:cs="Book Antiqua"/>
        </w:rPr>
        <w:t xml:space="preserve">hows the tracking plot of </w:t>
      </w:r>
      <w:proofErr w:type="spellStart"/>
      <w:r>
        <w:rPr>
          <w:rFonts w:ascii="Book Antiqua" w:hAnsi="Book Antiqua" w:cs="Book Antiqua"/>
        </w:rPr>
        <w:t>disulfidptosis</w:t>
      </w:r>
      <w:proofErr w:type="spellEnd"/>
      <w:r>
        <w:rPr>
          <w:rFonts w:ascii="Book Antiqua" w:hAnsi="Book Antiqua" w:cs="Book Antiqua"/>
        </w:rPr>
        <w:t xml:space="preserve"> related genes subgroup samples</w:t>
      </w:r>
      <w:r>
        <w:rPr>
          <w:rFonts w:ascii="Book Antiqua" w:eastAsia="宋体" w:hAnsi="Book Antiqua" w:cs="Book Antiqua" w:hint="eastAsia"/>
          <w:lang w:eastAsia="zh-CN"/>
        </w:rPr>
        <w:t>;</w:t>
      </w:r>
      <w:r>
        <w:rPr>
          <w:rFonts w:ascii="Book Antiqua" w:hAnsi="Book Antiqua" w:cs="Book Antiqua"/>
        </w:rPr>
        <w:t xml:space="preserve"> E</w:t>
      </w:r>
      <w:r>
        <w:rPr>
          <w:rFonts w:ascii="Book Antiqua" w:eastAsia="宋体" w:hAnsi="Book Antiqua" w:cs="Book Antiqua" w:hint="eastAsia"/>
          <w:lang w:eastAsia="zh-CN"/>
        </w:rPr>
        <w:t>: P</w:t>
      </w:r>
      <w:r>
        <w:rPr>
          <w:rFonts w:ascii="Book Antiqua" w:hAnsi="Book Antiqua" w:cs="Book Antiqua"/>
        </w:rPr>
        <w:t xml:space="preserve">resents the survival analysis curves of </w:t>
      </w:r>
      <w:proofErr w:type="spellStart"/>
      <w:r>
        <w:rPr>
          <w:rFonts w:ascii="Book Antiqua" w:hAnsi="Book Antiqua" w:cs="Book Antiqua"/>
        </w:rPr>
        <w:t>disulfidptosis</w:t>
      </w:r>
      <w:proofErr w:type="spellEnd"/>
      <w:r>
        <w:rPr>
          <w:rFonts w:ascii="Book Antiqua" w:hAnsi="Book Antiqua" w:cs="Book Antiqua"/>
        </w:rPr>
        <w:t xml:space="preserve"> related genes subgroups</w:t>
      </w:r>
      <w:r>
        <w:rPr>
          <w:rFonts w:ascii="Book Antiqua" w:eastAsia="宋体" w:hAnsi="Book Antiqua" w:cs="Book Antiqua" w:hint="eastAsia"/>
          <w:lang w:eastAsia="zh-CN"/>
        </w:rPr>
        <w:t>;</w:t>
      </w:r>
      <w:r>
        <w:rPr>
          <w:rFonts w:ascii="Book Antiqua" w:hAnsi="Book Antiqua" w:cs="Book Antiqua"/>
        </w:rPr>
        <w:t xml:space="preserve"> F</w:t>
      </w:r>
      <w:r>
        <w:rPr>
          <w:rFonts w:ascii="Book Antiqua" w:eastAsia="宋体" w:hAnsi="Book Antiqua" w:cs="Book Antiqua" w:hint="eastAsia"/>
          <w:lang w:eastAsia="zh-CN"/>
        </w:rPr>
        <w:t>: S</w:t>
      </w:r>
      <w:r>
        <w:rPr>
          <w:rFonts w:ascii="Book Antiqua" w:hAnsi="Book Antiqua" w:cs="Book Antiqua"/>
        </w:rPr>
        <w:t xml:space="preserve">hows the differential gene clustering heatmap between </w:t>
      </w:r>
      <w:proofErr w:type="spellStart"/>
      <w:r>
        <w:rPr>
          <w:rFonts w:ascii="Book Antiqua" w:hAnsi="Book Antiqua" w:cs="Book Antiqua"/>
        </w:rPr>
        <w:t>disulfidptosis</w:t>
      </w:r>
      <w:proofErr w:type="spellEnd"/>
      <w:r>
        <w:rPr>
          <w:rFonts w:ascii="Book Antiqua" w:hAnsi="Book Antiqua" w:cs="Book Antiqua"/>
        </w:rPr>
        <w:t xml:space="preserve"> related genes subgroups.</w:t>
      </w:r>
    </w:p>
    <w:p w14:paraId="0B0830D8" w14:textId="77777777" w:rsidR="00C62577" w:rsidRDefault="00C62577">
      <w:pPr>
        <w:adjustRightInd w:val="0"/>
        <w:snapToGrid w:val="0"/>
        <w:spacing w:line="360" w:lineRule="auto"/>
        <w:jc w:val="both"/>
        <w:rPr>
          <w:rFonts w:ascii="Book Antiqua" w:hAnsi="Book Antiqua" w:cs="Book Antiqua"/>
        </w:rPr>
      </w:pPr>
    </w:p>
    <w:p w14:paraId="54467E7F" w14:textId="77777777" w:rsidR="00C62577" w:rsidRDefault="00C62577">
      <w:pPr>
        <w:adjustRightInd w:val="0"/>
        <w:snapToGrid w:val="0"/>
        <w:spacing w:line="360" w:lineRule="auto"/>
        <w:jc w:val="both"/>
        <w:rPr>
          <w:rFonts w:ascii="Book Antiqua" w:hAnsi="Book Antiqua" w:cs="Book Antiqua"/>
        </w:rPr>
      </w:pPr>
    </w:p>
    <w:p w14:paraId="2F6FB889" w14:textId="77777777" w:rsidR="00C62577" w:rsidRDefault="00C62577">
      <w:pPr>
        <w:adjustRightInd w:val="0"/>
        <w:snapToGrid w:val="0"/>
        <w:spacing w:line="360" w:lineRule="auto"/>
        <w:jc w:val="both"/>
        <w:rPr>
          <w:rFonts w:ascii="Book Antiqua" w:hAnsi="Book Antiqua" w:cs="Book Antiqua"/>
        </w:rPr>
      </w:pPr>
    </w:p>
    <w:p w14:paraId="6C0736E9" w14:textId="77777777" w:rsidR="00C62577" w:rsidRDefault="00C62577">
      <w:pPr>
        <w:adjustRightInd w:val="0"/>
        <w:snapToGrid w:val="0"/>
        <w:spacing w:line="360" w:lineRule="auto"/>
        <w:jc w:val="both"/>
        <w:rPr>
          <w:rFonts w:ascii="Book Antiqua" w:hAnsi="Book Antiqua" w:cs="Book Antiqua"/>
        </w:rPr>
      </w:pPr>
    </w:p>
    <w:p w14:paraId="6BD26BFF" w14:textId="77777777" w:rsidR="00C62577" w:rsidRDefault="00C62577">
      <w:pPr>
        <w:adjustRightInd w:val="0"/>
        <w:snapToGrid w:val="0"/>
        <w:spacing w:line="360" w:lineRule="auto"/>
        <w:jc w:val="both"/>
        <w:rPr>
          <w:rFonts w:ascii="Book Antiqua" w:hAnsi="Book Antiqua" w:cs="Book Antiqua"/>
        </w:rPr>
      </w:pPr>
    </w:p>
    <w:p w14:paraId="02861073" w14:textId="77777777" w:rsidR="00C62577" w:rsidRDefault="00C62577">
      <w:pPr>
        <w:adjustRightInd w:val="0"/>
        <w:snapToGrid w:val="0"/>
        <w:spacing w:line="360" w:lineRule="auto"/>
        <w:jc w:val="both"/>
        <w:rPr>
          <w:rFonts w:ascii="Book Antiqua" w:hAnsi="Book Antiqua" w:cs="Book Antiqua"/>
        </w:rPr>
      </w:pPr>
    </w:p>
    <w:p w14:paraId="6C31B429" w14:textId="77777777" w:rsidR="00C62577" w:rsidRDefault="00C62577">
      <w:pPr>
        <w:adjustRightInd w:val="0"/>
        <w:snapToGrid w:val="0"/>
        <w:spacing w:line="360" w:lineRule="auto"/>
        <w:jc w:val="both"/>
        <w:rPr>
          <w:rFonts w:ascii="Book Antiqua" w:hAnsi="Book Antiqua" w:cs="Book Antiqua"/>
        </w:rPr>
      </w:pPr>
    </w:p>
    <w:p w14:paraId="49D9856D" w14:textId="77777777" w:rsidR="00C62577" w:rsidRDefault="00C62577">
      <w:pPr>
        <w:adjustRightInd w:val="0"/>
        <w:snapToGrid w:val="0"/>
        <w:spacing w:line="360" w:lineRule="auto"/>
        <w:jc w:val="both"/>
        <w:rPr>
          <w:rFonts w:ascii="Book Antiqua" w:hAnsi="Book Antiqua" w:cs="Book Antiqua"/>
        </w:rPr>
      </w:pPr>
    </w:p>
    <w:p w14:paraId="38E0932B" w14:textId="77777777" w:rsidR="00C62577" w:rsidRDefault="00C62577">
      <w:pPr>
        <w:adjustRightInd w:val="0"/>
        <w:snapToGrid w:val="0"/>
        <w:spacing w:line="360" w:lineRule="auto"/>
        <w:jc w:val="both"/>
        <w:rPr>
          <w:rFonts w:ascii="Book Antiqua" w:hAnsi="Book Antiqua" w:cs="Book Antiqua"/>
        </w:rPr>
      </w:pPr>
    </w:p>
    <w:p w14:paraId="1A7ABA08" w14:textId="77777777" w:rsidR="00C62577" w:rsidRDefault="00C62577">
      <w:pPr>
        <w:adjustRightInd w:val="0"/>
        <w:snapToGrid w:val="0"/>
        <w:spacing w:line="360" w:lineRule="auto"/>
        <w:jc w:val="both"/>
        <w:rPr>
          <w:rFonts w:ascii="Book Antiqua" w:hAnsi="Book Antiqua" w:cs="Book Antiqua"/>
        </w:rPr>
      </w:pPr>
    </w:p>
    <w:p w14:paraId="713F7D79" w14:textId="77777777" w:rsidR="00C62577" w:rsidRDefault="00C62577">
      <w:pPr>
        <w:adjustRightInd w:val="0"/>
        <w:snapToGrid w:val="0"/>
        <w:spacing w:line="360" w:lineRule="auto"/>
        <w:jc w:val="both"/>
        <w:rPr>
          <w:rFonts w:ascii="Book Antiqua" w:hAnsi="Book Antiqua" w:cs="Book Antiqua"/>
        </w:rPr>
      </w:pPr>
    </w:p>
    <w:p w14:paraId="2BBD907B" w14:textId="77777777" w:rsidR="00C62577" w:rsidRDefault="00C62577">
      <w:pPr>
        <w:adjustRightInd w:val="0"/>
        <w:snapToGrid w:val="0"/>
        <w:spacing w:line="360" w:lineRule="auto"/>
        <w:jc w:val="both"/>
        <w:rPr>
          <w:rFonts w:ascii="Book Antiqua" w:hAnsi="Book Antiqua" w:cs="Book Antiqua"/>
        </w:rPr>
      </w:pPr>
    </w:p>
    <w:p w14:paraId="225C8C89" w14:textId="77777777" w:rsidR="00C62577" w:rsidRDefault="00C62577">
      <w:pPr>
        <w:adjustRightInd w:val="0"/>
        <w:snapToGrid w:val="0"/>
        <w:spacing w:line="360" w:lineRule="auto"/>
        <w:jc w:val="both"/>
        <w:rPr>
          <w:rFonts w:ascii="Book Antiqua" w:hAnsi="Book Antiqua" w:cs="Book Antiqua"/>
        </w:rPr>
      </w:pPr>
    </w:p>
    <w:p w14:paraId="5388330B" w14:textId="77777777" w:rsidR="00C62577" w:rsidRDefault="00000000">
      <w:pPr>
        <w:adjustRightInd w:val="0"/>
        <w:snapToGrid w:val="0"/>
        <w:spacing w:line="360" w:lineRule="auto"/>
        <w:jc w:val="both"/>
      </w:pPr>
      <w:r>
        <w:rPr>
          <w:noProof/>
          <w:lang w:eastAsia="zh-CN"/>
        </w:rPr>
        <w:lastRenderedPageBreak/>
        <w:drawing>
          <wp:inline distT="0" distB="0" distL="114300" distR="114300" wp14:anchorId="4E098225" wp14:editId="5DD2AAE5">
            <wp:extent cx="5937250" cy="3284220"/>
            <wp:effectExtent l="0" t="0" r="635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5937250" cy="3284220"/>
                    </a:xfrm>
                    <a:prstGeom prst="rect">
                      <a:avLst/>
                    </a:prstGeom>
                    <a:noFill/>
                    <a:ln>
                      <a:noFill/>
                    </a:ln>
                  </pic:spPr>
                </pic:pic>
              </a:graphicData>
            </a:graphic>
          </wp:inline>
        </w:drawing>
      </w:r>
    </w:p>
    <w:p w14:paraId="2B1B0D95" w14:textId="77777777" w:rsidR="00C62577" w:rsidRDefault="00000000">
      <w:pPr>
        <w:adjustRightInd w:val="0"/>
        <w:snapToGrid w:val="0"/>
        <w:spacing w:line="360" w:lineRule="auto"/>
        <w:jc w:val="both"/>
      </w:pPr>
      <w:r>
        <w:rPr>
          <w:noProof/>
          <w:lang w:eastAsia="zh-CN"/>
        </w:rPr>
        <w:drawing>
          <wp:inline distT="0" distB="0" distL="114300" distR="114300" wp14:anchorId="75F2EAC8" wp14:editId="0325E176">
            <wp:extent cx="5938520" cy="3338830"/>
            <wp:effectExtent l="0" t="0" r="5080" b="139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5938520" cy="3338830"/>
                    </a:xfrm>
                    <a:prstGeom prst="rect">
                      <a:avLst/>
                    </a:prstGeom>
                    <a:noFill/>
                    <a:ln>
                      <a:noFill/>
                    </a:ln>
                  </pic:spPr>
                </pic:pic>
              </a:graphicData>
            </a:graphic>
          </wp:inline>
        </w:drawing>
      </w:r>
    </w:p>
    <w:p w14:paraId="47E4C5C6" w14:textId="77777777" w:rsidR="00C62577" w:rsidRDefault="00C62577">
      <w:pPr>
        <w:adjustRightInd w:val="0"/>
        <w:snapToGrid w:val="0"/>
        <w:spacing w:line="360" w:lineRule="auto"/>
        <w:jc w:val="both"/>
        <w:rPr>
          <w:rFonts w:ascii="Book Antiqua" w:hAnsi="Book Antiqua" w:cs="Book Antiqua"/>
          <w:b/>
          <w:bCs/>
        </w:rPr>
      </w:pPr>
    </w:p>
    <w:p w14:paraId="2E84230F" w14:textId="77777777" w:rsidR="00C62577" w:rsidRDefault="00C62577">
      <w:pPr>
        <w:adjustRightInd w:val="0"/>
        <w:snapToGrid w:val="0"/>
        <w:spacing w:line="360" w:lineRule="auto"/>
        <w:jc w:val="both"/>
        <w:rPr>
          <w:rFonts w:ascii="Book Antiqua" w:hAnsi="Book Antiqua" w:cs="Book Antiqua"/>
          <w:b/>
          <w:bCs/>
        </w:rPr>
      </w:pPr>
    </w:p>
    <w:p w14:paraId="1E41C008" w14:textId="77777777" w:rsidR="00C62577" w:rsidRDefault="00C62577">
      <w:pPr>
        <w:adjustRightInd w:val="0"/>
        <w:snapToGrid w:val="0"/>
        <w:spacing w:line="360" w:lineRule="auto"/>
        <w:jc w:val="both"/>
        <w:rPr>
          <w:rFonts w:ascii="Book Antiqua" w:hAnsi="Book Antiqua" w:cs="Book Antiqua"/>
          <w:b/>
          <w:bCs/>
        </w:rPr>
      </w:pPr>
    </w:p>
    <w:p w14:paraId="5B70B49E" w14:textId="77777777" w:rsidR="00C62577" w:rsidRDefault="00C62577">
      <w:pPr>
        <w:adjustRightInd w:val="0"/>
        <w:snapToGrid w:val="0"/>
        <w:spacing w:line="360" w:lineRule="auto"/>
        <w:jc w:val="both"/>
        <w:rPr>
          <w:rFonts w:ascii="Book Antiqua" w:hAnsi="Book Antiqua" w:cs="Book Antiqua"/>
          <w:b/>
          <w:bCs/>
        </w:rPr>
      </w:pPr>
    </w:p>
    <w:p w14:paraId="0DCDF6B4"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b/>
          <w:bCs/>
        </w:rPr>
        <w:lastRenderedPageBreak/>
        <w:t xml:space="preserve">Figure 4 The significantly different </w:t>
      </w:r>
      <w:proofErr w:type="spellStart"/>
      <w:r>
        <w:rPr>
          <w:rFonts w:ascii="Book Antiqua" w:eastAsia="宋体" w:hAnsi="Book Antiqua" w:cs="Book Antiqua" w:hint="eastAsia"/>
          <w:b/>
          <w:bCs/>
          <w:lang w:eastAsia="zh-CN"/>
        </w:rPr>
        <w:t>k</w:t>
      </w:r>
      <w:r>
        <w:rPr>
          <w:rFonts w:ascii="Book Antiqua" w:eastAsia="Book Antiqua" w:hAnsi="Book Antiqua" w:cs="Book Antiqua"/>
          <w:b/>
          <w:bCs/>
          <w:color w:val="000000"/>
        </w:rPr>
        <w:t>yoto</w:t>
      </w:r>
      <w:proofErr w:type="spellEnd"/>
      <w:r>
        <w:rPr>
          <w:rFonts w:ascii="Book Antiqua" w:eastAsia="Book Antiqua" w:hAnsi="Book Antiqua" w:cs="Book Antiqua"/>
          <w:b/>
          <w:bCs/>
          <w:color w:val="000000"/>
        </w:rPr>
        <w:t xml:space="preserve"> </w:t>
      </w:r>
      <w:r>
        <w:rPr>
          <w:rFonts w:ascii="Book Antiqua" w:eastAsia="宋体" w:hAnsi="Book Antiqua" w:cs="Book Antiqua" w:hint="eastAsia"/>
          <w:b/>
          <w:bCs/>
          <w:color w:val="000000"/>
          <w:lang w:eastAsia="zh-CN"/>
        </w:rPr>
        <w:t>e</w:t>
      </w:r>
      <w:r>
        <w:rPr>
          <w:rFonts w:ascii="Book Antiqua" w:eastAsia="Book Antiqua" w:hAnsi="Book Antiqua" w:cs="Book Antiqua"/>
          <w:b/>
          <w:bCs/>
          <w:color w:val="000000"/>
        </w:rPr>
        <w:t xml:space="preserve">ncyclopedia of </w:t>
      </w:r>
      <w:r>
        <w:rPr>
          <w:rFonts w:ascii="Book Antiqua" w:eastAsia="宋体" w:hAnsi="Book Antiqua" w:cs="Book Antiqua" w:hint="eastAsia"/>
          <w:b/>
          <w:bCs/>
          <w:color w:val="000000"/>
          <w:lang w:eastAsia="zh-CN"/>
        </w:rPr>
        <w:t>g</w:t>
      </w:r>
      <w:r>
        <w:rPr>
          <w:rFonts w:ascii="Book Antiqua" w:eastAsia="Book Antiqua" w:hAnsi="Book Antiqua" w:cs="Book Antiqua"/>
          <w:b/>
          <w:bCs/>
          <w:color w:val="000000"/>
        </w:rPr>
        <w:t xml:space="preserve">enes and </w:t>
      </w:r>
      <w:r>
        <w:rPr>
          <w:rFonts w:ascii="Book Antiqua" w:eastAsia="宋体" w:hAnsi="Book Antiqua" w:cs="Book Antiqua" w:hint="eastAsia"/>
          <w:b/>
          <w:bCs/>
          <w:color w:val="000000"/>
          <w:lang w:eastAsia="zh-CN"/>
        </w:rPr>
        <w:t>g</w:t>
      </w:r>
      <w:r>
        <w:rPr>
          <w:rFonts w:ascii="Book Antiqua" w:eastAsia="Book Antiqua" w:hAnsi="Book Antiqua" w:cs="Book Antiqua"/>
          <w:b/>
          <w:bCs/>
          <w:color w:val="000000"/>
        </w:rPr>
        <w:t>enomes</w:t>
      </w:r>
      <w:r>
        <w:rPr>
          <w:rFonts w:ascii="Book Antiqua" w:hAnsi="Book Antiqua" w:cs="Book Antiqua"/>
          <w:b/>
          <w:bCs/>
        </w:rPr>
        <w:t xml:space="preserve"> pathways and </w:t>
      </w:r>
      <w:r>
        <w:rPr>
          <w:rFonts w:ascii="Book Antiqua" w:eastAsia="宋体" w:hAnsi="Book Antiqua" w:cs="Book Antiqua" w:hint="eastAsia"/>
          <w:b/>
          <w:bCs/>
          <w:color w:val="000000"/>
          <w:lang w:eastAsia="zh-CN"/>
        </w:rPr>
        <w:t>g</w:t>
      </w:r>
      <w:r>
        <w:rPr>
          <w:rFonts w:ascii="Book Antiqua" w:eastAsia="Book Antiqua" w:hAnsi="Book Antiqua" w:cs="Book Antiqua"/>
          <w:b/>
          <w:bCs/>
          <w:color w:val="000000"/>
        </w:rPr>
        <w:t xml:space="preserve">ene </w:t>
      </w:r>
      <w:r>
        <w:rPr>
          <w:rFonts w:ascii="Book Antiqua" w:eastAsia="宋体" w:hAnsi="Book Antiqua" w:cs="Book Antiqua" w:hint="eastAsia"/>
          <w:b/>
          <w:bCs/>
          <w:color w:val="000000"/>
          <w:lang w:eastAsia="zh-CN"/>
        </w:rPr>
        <w:t>o</w:t>
      </w:r>
      <w:r>
        <w:rPr>
          <w:rFonts w:ascii="Book Antiqua" w:eastAsia="Book Antiqua" w:hAnsi="Book Antiqua" w:cs="Book Antiqua"/>
          <w:b/>
          <w:bCs/>
          <w:color w:val="000000"/>
        </w:rPr>
        <w:t>ntology</w:t>
      </w:r>
      <w:r>
        <w:rPr>
          <w:rFonts w:ascii="Book Antiqua" w:hAnsi="Book Antiqua" w:cs="Book Antiqua"/>
          <w:b/>
          <w:bCs/>
        </w:rPr>
        <w:t xml:space="preserve"> functional analysis between </w:t>
      </w:r>
      <w:proofErr w:type="spellStart"/>
      <w:r>
        <w:rPr>
          <w:rFonts w:ascii="Book Antiqua" w:hAnsi="Book Antiqua" w:cs="Book Antiqua"/>
          <w:b/>
          <w:bCs/>
        </w:rPr>
        <w:t>disulfidptosis</w:t>
      </w:r>
      <w:proofErr w:type="spellEnd"/>
      <w:r>
        <w:rPr>
          <w:rFonts w:ascii="Book Antiqua" w:hAnsi="Book Antiqua" w:cs="Book Antiqua"/>
          <w:b/>
          <w:bCs/>
        </w:rPr>
        <w:t xml:space="preserve"> related genes subgroups are presented. </w:t>
      </w:r>
      <w:r>
        <w:rPr>
          <w:rFonts w:ascii="Book Antiqua" w:hAnsi="Book Antiqua" w:cs="Book Antiqua"/>
        </w:rPr>
        <w:t>A</w:t>
      </w:r>
      <w:r>
        <w:rPr>
          <w:rFonts w:ascii="Book Antiqua" w:eastAsia="宋体" w:hAnsi="Book Antiqua" w:cs="Book Antiqua" w:hint="eastAsia"/>
          <w:lang w:eastAsia="zh-CN"/>
        </w:rPr>
        <w:t>: S</w:t>
      </w:r>
      <w:r>
        <w:rPr>
          <w:rFonts w:ascii="Book Antiqua" w:hAnsi="Book Antiqua" w:cs="Book Antiqua"/>
        </w:rPr>
        <w:t xml:space="preserve">hows the significantly different </w:t>
      </w:r>
      <w:proofErr w:type="spellStart"/>
      <w:r>
        <w:rPr>
          <w:rFonts w:ascii="Book Antiqua" w:eastAsia="宋体" w:hAnsi="Book Antiqua" w:cs="Book Antiqua" w:hint="eastAsia"/>
          <w:lang w:eastAsia="zh-CN"/>
        </w:rPr>
        <w:t>k</w:t>
      </w:r>
      <w:r>
        <w:rPr>
          <w:rFonts w:ascii="Book Antiqua" w:eastAsia="Book Antiqua" w:hAnsi="Book Antiqua" w:cs="Book Antiqua"/>
          <w:color w:val="000000"/>
        </w:rPr>
        <w:t>yoto</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ncyclopedia of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enes and </w:t>
      </w:r>
      <w:r>
        <w:rPr>
          <w:rFonts w:ascii="Book Antiqua" w:eastAsia="宋体" w:hAnsi="Book Antiqua" w:cs="Book Antiqua" w:hint="eastAsia"/>
          <w:color w:val="000000"/>
          <w:lang w:eastAsia="zh-CN"/>
        </w:rPr>
        <w:t>g</w:t>
      </w:r>
      <w:r>
        <w:rPr>
          <w:rFonts w:ascii="Book Antiqua" w:eastAsia="Book Antiqua" w:hAnsi="Book Antiqua" w:cs="Book Antiqua"/>
          <w:color w:val="000000"/>
        </w:rPr>
        <w:t>enomes</w:t>
      </w:r>
      <w:r>
        <w:rPr>
          <w:rFonts w:ascii="Book Antiqua" w:hAnsi="Book Antiqua" w:cs="Book Antiqua"/>
        </w:rPr>
        <w:t xml:space="preserve"> pathway enrichment analysis between </w:t>
      </w:r>
      <w:proofErr w:type="spellStart"/>
      <w:r>
        <w:rPr>
          <w:rFonts w:ascii="Book Antiqua" w:hAnsi="Book Antiqua" w:cs="Book Antiqua"/>
        </w:rPr>
        <w:t>disulfidptosis</w:t>
      </w:r>
      <w:proofErr w:type="spellEnd"/>
      <w:r>
        <w:rPr>
          <w:rFonts w:ascii="Book Antiqua" w:hAnsi="Book Antiqua" w:cs="Book Antiqua"/>
        </w:rPr>
        <w:t xml:space="preserve"> related genes subgroups</w:t>
      </w:r>
      <w:r>
        <w:rPr>
          <w:rFonts w:ascii="Book Antiqua" w:eastAsia="宋体" w:hAnsi="Book Antiqua" w:cs="Book Antiqua" w:hint="eastAsia"/>
          <w:lang w:eastAsia="zh-CN"/>
        </w:rPr>
        <w:t xml:space="preserve">; </w:t>
      </w:r>
      <w:r>
        <w:rPr>
          <w:rFonts w:ascii="Book Antiqua" w:hAnsi="Book Antiqua" w:cs="Book Antiqua"/>
        </w:rPr>
        <w:t>B</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hows the significantly different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ene </w:t>
      </w:r>
      <w:r>
        <w:rPr>
          <w:rFonts w:ascii="Book Antiqua" w:eastAsia="宋体" w:hAnsi="Book Antiqua" w:cs="Book Antiqua" w:hint="eastAsia"/>
          <w:color w:val="000000"/>
          <w:lang w:eastAsia="zh-CN"/>
        </w:rPr>
        <w:t>o</w:t>
      </w:r>
      <w:r>
        <w:rPr>
          <w:rFonts w:ascii="Book Antiqua" w:eastAsia="Book Antiqua" w:hAnsi="Book Antiqua" w:cs="Book Antiqua"/>
          <w:color w:val="000000"/>
        </w:rPr>
        <w:t>ntology</w:t>
      </w:r>
      <w:r>
        <w:rPr>
          <w:rFonts w:ascii="Book Antiqua" w:hAnsi="Book Antiqua" w:cs="Book Antiqua"/>
        </w:rPr>
        <w:t xml:space="preserve"> pathway enrichment analysis between </w:t>
      </w:r>
      <w:proofErr w:type="spellStart"/>
      <w:r>
        <w:rPr>
          <w:rFonts w:ascii="Book Antiqua" w:hAnsi="Book Antiqua" w:cs="Book Antiqua"/>
        </w:rPr>
        <w:t>disulfidptosis</w:t>
      </w:r>
      <w:proofErr w:type="spellEnd"/>
      <w:r>
        <w:rPr>
          <w:rFonts w:ascii="Book Antiqua" w:hAnsi="Book Antiqua" w:cs="Book Antiqua"/>
        </w:rPr>
        <w:t xml:space="preserve"> related genes subgroups.</w:t>
      </w:r>
    </w:p>
    <w:p w14:paraId="317E210C" w14:textId="77777777" w:rsidR="00C62577" w:rsidRDefault="00C62577">
      <w:pPr>
        <w:adjustRightInd w:val="0"/>
        <w:snapToGrid w:val="0"/>
        <w:spacing w:line="360" w:lineRule="auto"/>
        <w:jc w:val="both"/>
        <w:rPr>
          <w:rFonts w:ascii="Book Antiqua" w:hAnsi="Book Antiqua" w:cs="Book Antiqua"/>
        </w:rPr>
      </w:pPr>
    </w:p>
    <w:p w14:paraId="4EC6920A" w14:textId="77777777" w:rsidR="00C62577" w:rsidRDefault="00C62577">
      <w:pPr>
        <w:adjustRightInd w:val="0"/>
        <w:snapToGrid w:val="0"/>
        <w:spacing w:line="360" w:lineRule="auto"/>
        <w:jc w:val="both"/>
        <w:rPr>
          <w:rFonts w:ascii="Book Antiqua" w:hAnsi="Book Antiqua" w:cs="Book Antiqua"/>
        </w:rPr>
      </w:pPr>
    </w:p>
    <w:p w14:paraId="32DD6AD1" w14:textId="77777777" w:rsidR="00C62577" w:rsidRDefault="00C62577">
      <w:pPr>
        <w:adjustRightInd w:val="0"/>
        <w:snapToGrid w:val="0"/>
        <w:spacing w:line="360" w:lineRule="auto"/>
        <w:jc w:val="both"/>
        <w:rPr>
          <w:rFonts w:ascii="Book Antiqua" w:hAnsi="Book Antiqua" w:cs="Book Antiqua"/>
        </w:rPr>
      </w:pPr>
    </w:p>
    <w:p w14:paraId="73579DF4" w14:textId="77777777" w:rsidR="00C62577" w:rsidRDefault="00C62577">
      <w:pPr>
        <w:adjustRightInd w:val="0"/>
        <w:snapToGrid w:val="0"/>
        <w:spacing w:line="360" w:lineRule="auto"/>
        <w:jc w:val="both"/>
        <w:rPr>
          <w:rFonts w:ascii="Book Antiqua" w:hAnsi="Book Antiqua" w:cs="Book Antiqua"/>
        </w:rPr>
      </w:pPr>
    </w:p>
    <w:p w14:paraId="0353852B" w14:textId="77777777" w:rsidR="00C62577" w:rsidRDefault="00C62577">
      <w:pPr>
        <w:adjustRightInd w:val="0"/>
        <w:snapToGrid w:val="0"/>
        <w:spacing w:line="360" w:lineRule="auto"/>
        <w:jc w:val="both"/>
        <w:rPr>
          <w:rFonts w:ascii="Book Antiqua" w:hAnsi="Book Antiqua" w:cs="Book Antiqua"/>
        </w:rPr>
      </w:pPr>
    </w:p>
    <w:p w14:paraId="362868E9" w14:textId="77777777" w:rsidR="00C62577" w:rsidRDefault="00C62577">
      <w:pPr>
        <w:adjustRightInd w:val="0"/>
        <w:snapToGrid w:val="0"/>
        <w:spacing w:line="360" w:lineRule="auto"/>
        <w:jc w:val="both"/>
        <w:rPr>
          <w:rFonts w:ascii="Book Antiqua" w:hAnsi="Book Antiqua" w:cs="Book Antiqua"/>
        </w:rPr>
      </w:pPr>
    </w:p>
    <w:p w14:paraId="474D8584" w14:textId="77777777" w:rsidR="00C62577" w:rsidRDefault="00C62577">
      <w:pPr>
        <w:adjustRightInd w:val="0"/>
        <w:snapToGrid w:val="0"/>
        <w:spacing w:line="360" w:lineRule="auto"/>
        <w:jc w:val="both"/>
        <w:rPr>
          <w:rFonts w:ascii="Book Antiqua" w:hAnsi="Book Antiqua" w:cs="Book Antiqua"/>
        </w:rPr>
      </w:pPr>
    </w:p>
    <w:p w14:paraId="040805C1" w14:textId="77777777" w:rsidR="00C62577" w:rsidRDefault="00C62577">
      <w:pPr>
        <w:adjustRightInd w:val="0"/>
        <w:snapToGrid w:val="0"/>
        <w:spacing w:line="360" w:lineRule="auto"/>
        <w:jc w:val="both"/>
        <w:rPr>
          <w:rFonts w:ascii="Book Antiqua" w:hAnsi="Book Antiqua" w:cs="Book Antiqua"/>
        </w:rPr>
      </w:pPr>
    </w:p>
    <w:p w14:paraId="42D166B3" w14:textId="77777777" w:rsidR="00C62577" w:rsidRDefault="00C62577">
      <w:pPr>
        <w:adjustRightInd w:val="0"/>
        <w:snapToGrid w:val="0"/>
        <w:spacing w:line="360" w:lineRule="auto"/>
        <w:jc w:val="both"/>
        <w:rPr>
          <w:rFonts w:ascii="Book Antiqua" w:hAnsi="Book Antiqua" w:cs="Book Antiqua"/>
        </w:rPr>
      </w:pPr>
    </w:p>
    <w:p w14:paraId="765DB398" w14:textId="77777777" w:rsidR="00C62577" w:rsidRDefault="00C62577">
      <w:pPr>
        <w:adjustRightInd w:val="0"/>
        <w:snapToGrid w:val="0"/>
        <w:spacing w:line="360" w:lineRule="auto"/>
        <w:jc w:val="both"/>
        <w:rPr>
          <w:rFonts w:ascii="Book Antiqua" w:hAnsi="Book Antiqua" w:cs="Book Antiqua"/>
        </w:rPr>
      </w:pPr>
    </w:p>
    <w:p w14:paraId="03BFD4DE" w14:textId="77777777" w:rsidR="00C62577" w:rsidRDefault="00C62577">
      <w:pPr>
        <w:adjustRightInd w:val="0"/>
        <w:snapToGrid w:val="0"/>
        <w:spacing w:line="360" w:lineRule="auto"/>
        <w:jc w:val="both"/>
        <w:rPr>
          <w:rFonts w:ascii="Book Antiqua" w:hAnsi="Book Antiqua" w:cs="Book Antiqua"/>
        </w:rPr>
      </w:pPr>
    </w:p>
    <w:p w14:paraId="71560BDB" w14:textId="77777777" w:rsidR="00C62577" w:rsidRDefault="00C62577">
      <w:pPr>
        <w:adjustRightInd w:val="0"/>
        <w:snapToGrid w:val="0"/>
        <w:spacing w:line="360" w:lineRule="auto"/>
        <w:jc w:val="both"/>
        <w:rPr>
          <w:rFonts w:ascii="Book Antiqua" w:hAnsi="Book Antiqua" w:cs="Book Antiqua"/>
        </w:rPr>
      </w:pPr>
    </w:p>
    <w:p w14:paraId="0D11CE24" w14:textId="77777777" w:rsidR="00C62577" w:rsidRDefault="00C62577">
      <w:pPr>
        <w:adjustRightInd w:val="0"/>
        <w:snapToGrid w:val="0"/>
        <w:spacing w:line="360" w:lineRule="auto"/>
        <w:jc w:val="both"/>
        <w:rPr>
          <w:rFonts w:ascii="Book Antiqua" w:hAnsi="Book Antiqua" w:cs="Book Antiqua"/>
        </w:rPr>
      </w:pPr>
    </w:p>
    <w:p w14:paraId="7F1DFF09" w14:textId="77777777" w:rsidR="00C62577" w:rsidRDefault="00C62577">
      <w:pPr>
        <w:adjustRightInd w:val="0"/>
        <w:snapToGrid w:val="0"/>
        <w:spacing w:line="360" w:lineRule="auto"/>
        <w:jc w:val="both"/>
        <w:rPr>
          <w:rFonts w:ascii="Book Antiqua" w:hAnsi="Book Antiqua" w:cs="Book Antiqua"/>
        </w:rPr>
      </w:pPr>
    </w:p>
    <w:p w14:paraId="3CCDF2CE" w14:textId="77777777" w:rsidR="00C62577" w:rsidRDefault="00C62577">
      <w:pPr>
        <w:adjustRightInd w:val="0"/>
        <w:snapToGrid w:val="0"/>
        <w:spacing w:line="360" w:lineRule="auto"/>
        <w:jc w:val="both"/>
        <w:rPr>
          <w:rFonts w:ascii="Book Antiqua" w:hAnsi="Book Antiqua" w:cs="Book Antiqua"/>
        </w:rPr>
      </w:pPr>
    </w:p>
    <w:p w14:paraId="43E8B076" w14:textId="77777777" w:rsidR="00C62577" w:rsidRDefault="00C62577">
      <w:pPr>
        <w:adjustRightInd w:val="0"/>
        <w:snapToGrid w:val="0"/>
        <w:spacing w:line="360" w:lineRule="auto"/>
        <w:jc w:val="both"/>
        <w:rPr>
          <w:rFonts w:ascii="Book Antiqua" w:hAnsi="Book Antiqua" w:cs="Book Antiqua"/>
        </w:rPr>
      </w:pPr>
    </w:p>
    <w:p w14:paraId="50C680B9" w14:textId="77777777" w:rsidR="00C62577" w:rsidRDefault="00C62577">
      <w:pPr>
        <w:adjustRightInd w:val="0"/>
        <w:snapToGrid w:val="0"/>
        <w:spacing w:line="360" w:lineRule="auto"/>
        <w:jc w:val="both"/>
        <w:rPr>
          <w:rFonts w:ascii="Book Antiqua" w:hAnsi="Book Antiqua" w:cs="Book Antiqua"/>
        </w:rPr>
      </w:pPr>
    </w:p>
    <w:p w14:paraId="6A451B96" w14:textId="77777777" w:rsidR="00C62577" w:rsidRDefault="00C62577">
      <w:pPr>
        <w:adjustRightInd w:val="0"/>
        <w:snapToGrid w:val="0"/>
        <w:spacing w:line="360" w:lineRule="auto"/>
        <w:jc w:val="both"/>
        <w:rPr>
          <w:rFonts w:ascii="Book Antiqua" w:hAnsi="Book Antiqua" w:cs="Book Antiqua"/>
        </w:rPr>
      </w:pPr>
    </w:p>
    <w:p w14:paraId="78403649" w14:textId="77777777" w:rsidR="00C62577" w:rsidRDefault="00C62577">
      <w:pPr>
        <w:adjustRightInd w:val="0"/>
        <w:snapToGrid w:val="0"/>
        <w:spacing w:line="360" w:lineRule="auto"/>
        <w:jc w:val="both"/>
        <w:rPr>
          <w:rFonts w:ascii="Book Antiqua" w:hAnsi="Book Antiqua" w:cs="Book Antiqua"/>
        </w:rPr>
      </w:pPr>
    </w:p>
    <w:p w14:paraId="526F84D5" w14:textId="77777777" w:rsidR="00C62577" w:rsidRDefault="00C62577">
      <w:pPr>
        <w:adjustRightInd w:val="0"/>
        <w:snapToGrid w:val="0"/>
        <w:spacing w:line="360" w:lineRule="auto"/>
        <w:jc w:val="both"/>
        <w:rPr>
          <w:rFonts w:ascii="Book Antiqua" w:hAnsi="Book Antiqua" w:cs="Book Antiqua"/>
        </w:rPr>
      </w:pPr>
    </w:p>
    <w:p w14:paraId="1B47B207" w14:textId="77777777" w:rsidR="00C62577" w:rsidRDefault="00000000">
      <w:pPr>
        <w:adjustRightInd w:val="0"/>
        <w:snapToGrid w:val="0"/>
        <w:spacing w:line="360" w:lineRule="auto"/>
        <w:jc w:val="both"/>
      </w:pPr>
      <w:r>
        <w:rPr>
          <w:noProof/>
          <w:lang w:eastAsia="zh-CN"/>
        </w:rPr>
        <w:lastRenderedPageBreak/>
        <w:drawing>
          <wp:inline distT="0" distB="0" distL="114300" distR="114300" wp14:anchorId="5F47276F" wp14:editId="47C0B6AD">
            <wp:extent cx="5941695" cy="2482215"/>
            <wp:effectExtent l="0" t="0" r="1905"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a:stretch>
                      <a:fillRect/>
                    </a:stretch>
                  </pic:blipFill>
                  <pic:spPr>
                    <a:xfrm>
                      <a:off x="0" y="0"/>
                      <a:ext cx="5941695" cy="2482215"/>
                    </a:xfrm>
                    <a:prstGeom prst="rect">
                      <a:avLst/>
                    </a:prstGeom>
                    <a:noFill/>
                    <a:ln>
                      <a:noFill/>
                    </a:ln>
                  </pic:spPr>
                </pic:pic>
              </a:graphicData>
            </a:graphic>
          </wp:inline>
        </w:drawing>
      </w:r>
    </w:p>
    <w:p w14:paraId="2885776F" w14:textId="77777777" w:rsidR="00C62577" w:rsidRDefault="00000000">
      <w:pPr>
        <w:adjustRightInd w:val="0"/>
        <w:snapToGrid w:val="0"/>
        <w:spacing w:line="360" w:lineRule="auto"/>
        <w:jc w:val="both"/>
        <w:rPr>
          <w:rFonts w:ascii="Book Antiqua" w:hAnsi="Book Antiqua" w:cs="Book Antiqua"/>
          <w:b/>
          <w:bCs/>
        </w:rPr>
      </w:pPr>
      <w:r>
        <w:rPr>
          <w:noProof/>
          <w:lang w:eastAsia="zh-CN"/>
        </w:rPr>
        <w:drawing>
          <wp:inline distT="0" distB="0" distL="114300" distR="114300" wp14:anchorId="472CE429" wp14:editId="2039E684">
            <wp:extent cx="4745355" cy="2809875"/>
            <wp:effectExtent l="0" t="0" r="9525"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7"/>
                    <a:stretch>
                      <a:fillRect/>
                    </a:stretch>
                  </pic:blipFill>
                  <pic:spPr>
                    <a:xfrm>
                      <a:off x="0" y="0"/>
                      <a:ext cx="4745355" cy="2809875"/>
                    </a:xfrm>
                    <a:prstGeom prst="rect">
                      <a:avLst/>
                    </a:prstGeom>
                    <a:noFill/>
                    <a:ln>
                      <a:noFill/>
                    </a:ln>
                  </pic:spPr>
                </pic:pic>
              </a:graphicData>
            </a:graphic>
          </wp:inline>
        </w:drawing>
      </w:r>
      <w:r>
        <w:rPr>
          <w:noProof/>
          <w:lang w:eastAsia="zh-CN"/>
        </w:rPr>
        <w:drawing>
          <wp:inline distT="0" distB="0" distL="114300" distR="114300" wp14:anchorId="684D25D3" wp14:editId="72B1019E">
            <wp:extent cx="4518025" cy="2578100"/>
            <wp:effectExtent l="0" t="0" r="8255" b="1270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8"/>
                    <a:stretch>
                      <a:fillRect/>
                    </a:stretch>
                  </pic:blipFill>
                  <pic:spPr>
                    <a:xfrm>
                      <a:off x="0" y="0"/>
                      <a:ext cx="4518025" cy="2578100"/>
                    </a:xfrm>
                    <a:prstGeom prst="rect">
                      <a:avLst/>
                    </a:prstGeom>
                    <a:noFill/>
                    <a:ln>
                      <a:noFill/>
                    </a:ln>
                  </pic:spPr>
                </pic:pic>
              </a:graphicData>
            </a:graphic>
          </wp:inline>
        </w:drawing>
      </w:r>
    </w:p>
    <w:p w14:paraId="23439C57"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b/>
          <w:bCs/>
        </w:rPr>
        <w:lastRenderedPageBreak/>
        <w:t xml:space="preserve">Figure 5 The immune cell differential analysis, </w:t>
      </w:r>
      <w:r>
        <w:rPr>
          <w:rFonts w:ascii="Book Antiqua" w:eastAsia="宋体" w:hAnsi="Book Antiqua" w:cs="Book Antiqua" w:hint="eastAsia"/>
          <w:b/>
          <w:bCs/>
          <w:lang w:eastAsia="zh-CN"/>
        </w:rPr>
        <w:t>p</w:t>
      </w:r>
      <w:r>
        <w:rPr>
          <w:rFonts w:ascii="Book Antiqua" w:hAnsi="Book Antiqua" w:cs="Book Antiqua"/>
          <w:b/>
          <w:bCs/>
        </w:rPr>
        <w:t xml:space="preserve">rincipal </w:t>
      </w:r>
      <w:r>
        <w:rPr>
          <w:rFonts w:ascii="Book Antiqua" w:eastAsia="宋体" w:hAnsi="Book Antiqua" w:cs="Book Antiqua" w:hint="eastAsia"/>
          <w:b/>
          <w:bCs/>
          <w:lang w:eastAsia="zh-CN"/>
        </w:rPr>
        <w:t>c</w:t>
      </w:r>
      <w:r>
        <w:rPr>
          <w:rFonts w:ascii="Book Antiqua" w:hAnsi="Book Antiqua" w:cs="Book Antiqua"/>
          <w:b/>
          <w:bCs/>
        </w:rPr>
        <w:t xml:space="preserve">omponent </w:t>
      </w:r>
      <w:r>
        <w:rPr>
          <w:rFonts w:ascii="Book Antiqua" w:eastAsia="宋体" w:hAnsi="Book Antiqua" w:cs="Book Antiqua" w:hint="eastAsia"/>
          <w:b/>
          <w:bCs/>
          <w:lang w:eastAsia="zh-CN"/>
        </w:rPr>
        <w:t>a</w:t>
      </w:r>
      <w:r>
        <w:rPr>
          <w:rFonts w:ascii="Book Antiqua" w:hAnsi="Book Antiqua" w:cs="Book Antiqua"/>
          <w:b/>
          <w:bCs/>
        </w:rPr>
        <w:t xml:space="preserve">nalysis </w:t>
      </w:r>
      <w:proofErr w:type="spellStart"/>
      <w:r>
        <w:rPr>
          <w:rFonts w:ascii="Book Antiqua" w:hAnsi="Book Antiqua" w:cs="Book Antiqua"/>
          <w:b/>
          <w:bCs/>
        </w:rPr>
        <w:t>analysis</w:t>
      </w:r>
      <w:proofErr w:type="spellEnd"/>
      <w:r>
        <w:rPr>
          <w:rFonts w:ascii="Book Antiqua" w:hAnsi="Book Antiqua" w:cs="Book Antiqua"/>
          <w:b/>
          <w:bCs/>
        </w:rPr>
        <w:t>, significantly different genes, and gene ontology/</w:t>
      </w:r>
      <w:proofErr w:type="spellStart"/>
      <w:r>
        <w:rPr>
          <w:rFonts w:ascii="Book Antiqua" w:hAnsi="Book Antiqua" w:cs="Book Antiqua"/>
          <w:b/>
          <w:bCs/>
        </w:rPr>
        <w:t>kyoto</w:t>
      </w:r>
      <w:proofErr w:type="spellEnd"/>
      <w:r>
        <w:rPr>
          <w:rFonts w:ascii="Book Antiqua" w:hAnsi="Book Antiqua" w:cs="Book Antiqua"/>
          <w:b/>
          <w:bCs/>
        </w:rPr>
        <w:t xml:space="preserve"> encyclopedia of genes and genomes analysis between </w:t>
      </w:r>
      <w:proofErr w:type="spellStart"/>
      <w:r>
        <w:rPr>
          <w:rFonts w:ascii="Book Antiqua" w:hAnsi="Book Antiqua" w:cs="Book Antiqua"/>
          <w:b/>
          <w:bCs/>
        </w:rPr>
        <w:t>disulfidptosis</w:t>
      </w:r>
      <w:proofErr w:type="spellEnd"/>
      <w:r>
        <w:rPr>
          <w:rFonts w:ascii="Book Antiqua" w:hAnsi="Book Antiqua" w:cs="Book Antiqua"/>
          <w:b/>
          <w:bCs/>
        </w:rPr>
        <w:t xml:space="preserve"> related genes subgroups are presented.</w:t>
      </w:r>
      <w:r>
        <w:rPr>
          <w:rFonts w:ascii="Book Antiqua" w:hAnsi="Book Antiqua" w:cs="Book Antiqua"/>
        </w:rPr>
        <w:t xml:space="preserve"> A:</w:t>
      </w:r>
      <w:r>
        <w:rPr>
          <w:rFonts w:ascii="Book Antiqua" w:eastAsia="宋体" w:hAnsi="Book Antiqua" w:cs="Book Antiqua" w:hint="eastAsia"/>
          <w:lang w:eastAsia="zh-CN"/>
        </w:rPr>
        <w:t xml:space="preserve"> S</w:t>
      </w:r>
      <w:r>
        <w:rPr>
          <w:rFonts w:ascii="Book Antiqua" w:hAnsi="Book Antiqua" w:cs="Book Antiqua"/>
        </w:rPr>
        <w:t xml:space="preserve">hows the immune cell differential analysis between </w:t>
      </w:r>
      <w:proofErr w:type="spellStart"/>
      <w:r>
        <w:rPr>
          <w:rFonts w:ascii="Book Antiqua" w:hAnsi="Book Antiqua" w:cs="Book Antiqua"/>
        </w:rPr>
        <w:t>disulfidptosis</w:t>
      </w:r>
      <w:proofErr w:type="spellEnd"/>
      <w:r>
        <w:rPr>
          <w:rFonts w:ascii="Book Antiqua" w:hAnsi="Book Antiqua" w:cs="Book Antiqua"/>
        </w:rPr>
        <w:t xml:space="preserve"> related genes subgroups</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 xml:space="preserve"> P</w:t>
      </w:r>
      <w:r>
        <w:rPr>
          <w:rFonts w:ascii="Book Antiqua" w:hAnsi="Book Antiqua" w:cs="Book Antiqua"/>
        </w:rPr>
        <w:t xml:space="preserve">resents the </w:t>
      </w:r>
      <w:r>
        <w:rPr>
          <w:rFonts w:ascii="Book Antiqua" w:eastAsia="宋体" w:hAnsi="Book Antiqua" w:cs="Book Antiqua" w:hint="eastAsia"/>
          <w:lang w:eastAsia="zh-CN"/>
        </w:rPr>
        <w:t>p</w:t>
      </w:r>
      <w:r>
        <w:rPr>
          <w:rFonts w:ascii="Book Antiqua" w:hAnsi="Book Antiqua" w:cs="Book Antiqua"/>
        </w:rPr>
        <w:t xml:space="preserve">rincipal </w:t>
      </w:r>
      <w:r>
        <w:rPr>
          <w:rFonts w:ascii="Book Antiqua" w:eastAsia="宋体" w:hAnsi="Book Antiqua" w:cs="Book Antiqua" w:hint="eastAsia"/>
          <w:lang w:eastAsia="zh-CN"/>
        </w:rPr>
        <w:t>c</w:t>
      </w:r>
      <w:r>
        <w:rPr>
          <w:rFonts w:ascii="Book Antiqua" w:hAnsi="Book Antiqua" w:cs="Book Antiqua"/>
        </w:rPr>
        <w:t xml:space="preserve">omponent </w:t>
      </w:r>
      <w:r>
        <w:rPr>
          <w:rFonts w:ascii="Book Antiqua" w:eastAsia="宋体" w:hAnsi="Book Antiqua" w:cs="Book Antiqua" w:hint="eastAsia"/>
          <w:lang w:eastAsia="zh-CN"/>
        </w:rPr>
        <w:t>a</w:t>
      </w:r>
      <w:r>
        <w:rPr>
          <w:rFonts w:ascii="Book Antiqua" w:hAnsi="Book Antiqua" w:cs="Book Antiqua"/>
        </w:rPr>
        <w:t xml:space="preserve">nalysis </w:t>
      </w:r>
      <w:proofErr w:type="spellStart"/>
      <w:r>
        <w:rPr>
          <w:rFonts w:ascii="Book Antiqua" w:hAnsi="Book Antiqua" w:cs="Book Antiqua"/>
        </w:rPr>
        <w:t>analysis</w:t>
      </w:r>
      <w:proofErr w:type="spellEnd"/>
      <w:r>
        <w:rPr>
          <w:rFonts w:ascii="Book Antiqua" w:hAnsi="Book Antiqua" w:cs="Book Antiqua"/>
        </w:rPr>
        <w:t xml:space="preserve"> of </w:t>
      </w:r>
      <w:proofErr w:type="spellStart"/>
      <w:r>
        <w:rPr>
          <w:rFonts w:ascii="Book Antiqua" w:hAnsi="Book Antiqua" w:cs="Book Antiqua"/>
        </w:rPr>
        <w:t>disulfidptosis</w:t>
      </w:r>
      <w:proofErr w:type="spellEnd"/>
      <w:r>
        <w:rPr>
          <w:rFonts w:ascii="Book Antiqua" w:hAnsi="Book Antiqua" w:cs="Book Antiqua"/>
        </w:rPr>
        <w:t xml:space="preserve"> related genes subgroups</w:t>
      </w:r>
      <w:r>
        <w:rPr>
          <w:rFonts w:ascii="Book Antiqua" w:eastAsia="宋体" w:hAnsi="Book Antiqua" w:cs="Book Antiqua" w:hint="eastAsia"/>
          <w:lang w:eastAsia="zh-CN"/>
        </w:rPr>
        <w:t>;</w:t>
      </w:r>
      <w:r>
        <w:rPr>
          <w:rFonts w:ascii="Book Antiqua" w:hAnsi="Book Antiqua" w:cs="Book Antiqua"/>
        </w:rPr>
        <w:t xml:space="preserve"> C:</w:t>
      </w:r>
      <w:r>
        <w:rPr>
          <w:rFonts w:ascii="Book Antiqua" w:eastAsia="宋体" w:hAnsi="Book Antiqua" w:cs="Book Antiqua" w:hint="eastAsia"/>
          <w:lang w:eastAsia="zh-CN"/>
        </w:rPr>
        <w:t xml:space="preserve"> S</w:t>
      </w:r>
      <w:r>
        <w:rPr>
          <w:rFonts w:ascii="Book Antiqua" w:hAnsi="Book Antiqua" w:cs="Book Antiqua"/>
        </w:rPr>
        <w:t xml:space="preserve">hows the significantly different genes between </w:t>
      </w:r>
      <w:proofErr w:type="spellStart"/>
      <w:r>
        <w:rPr>
          <w:rFonts w:ascii="Book Antiqua" w:hAnsi="Book Antiqua" w:cs="Book Antiqua"/>
        </w:rPr>
        <w:t>disulfidptosis</w:t>
      </w:r>
      <w:proofErr w:type="spellEnd"/>
      <w:r>
        <w:rPr>
          <w:rFonts w:ascii="Book Antiqua" w:hAnsi="Book Antiqua" w:cs="Book Antiqua"/>
        </w:rPr>
        <w:t xml:space="preserve"> related genes subgroups</w:t>
      </w:r>
      <w:r>
        <w:rPr>
          <w:rFonts w:ascii="Book Antiqua" w:eastAsia="宋体" w:hAnsi="Book Antiqua" w:cs="Book Antiqua" w:hint="eastAsia"/>
          <w:lang w:eastAsia="zh-CN"/>
        </w:rPr>
        <w:t xml:space="preserve">; </w:t>
      </w:r>
      <w:r>
        <w:rPr>
          <w:rFonts w:ascii="Book Antiqua" w:hAnsi="Book Antiqua" w:cs="Book Antiqua"/>
        </w:rPr>
        <w:t>D:</w:t>
      </w:r>
      <w:r>
        <w:rPr>
          <w:rFonts w:ascii="Book Antiqua" w:eastAsia="宋体" w:hAnsi="Book Antiqua" w:cs="Book Antiqua" w:hint="eastAsia"/>
          <w:lang w:eastAsia="zh-CN"/>
        </w:rPr>
        <w:t xml:space="preserve"> P</w:t>
      </w:r>
      <w:r>
        <w:rPr>
          <w:rFonts w:ascii="Book Antiqua" w:hAnsi="Book Antiqua" w:cs="Book Antiqua"/>
        </w:rPr>
        <w:t xml:space="preserve">resents the gene ontology analysis of significantly different genes between </w:t>
      </w:r>
      <w:proofErr w:type="spellStart"/>
      <w:r>
        <w:rPr>
          <w:rFonts w:ascii="Book Antiqua" w:hAnsi="Book Antiqua" w:cs="Book Antiqua"/>
        </w:rPr>
        <w:t>disulfidptosis</w:t>
      </w:r>
      <w:proofErr w:type="spellEnd"/>
      <w:r>
        <w:rPr>
          <w:rFonts w:ascii="Book Antiqua" w:hAnsi="Book Antiqua" w:cs="Book Antiqua"/>
        </w:rPr>
        <w:t xml:space="preserve"> related genes subgroups</w:t>
      </w:r>
      <w:r>
        <w:rPr>
          <w:rFonts w:ascii="Book Antiqua" w:eastAsia="宋体" w:hAnsi="Book Antiqua" w:cs="Book Antiqua" w:hint="eastAsia"/>
          <w:lang w:eastAsia="zh-CN"/>
        </w:rPr>
        <w:t>;</w:t>
      </w:r>
      <w:r>
        <w:rPr>
          <w:rFonts w:ascii="Book Antiqua" w:hAnsi="Book Antiqua" w:cs="Book Antiqua"/>
        </w:rPr>
        <w:t xml:space="preserve"> E:</w:t>
      </w:r>
      <w:r>
        <w:rPr>
          <w:rFonts w:ascii="Book Antiqua" w:eastAsia="宋体" w:hAnsi="Book Antiqua" w:cs="Book Antiqua" w:hint="eastAsia"/>
          <w:lang w:eastAsia="zh-CN"/>
        </w:rPr>
        <w:t xml:space="preserve"> P</w:t>
      </w:r>
      <w:r>
        <w:rPr>
          <w:rFonts w:ascii="Book Antiqua" w:hAnsi="Book Antiqua" w:cs="Book Antiqua"/>
        </w:rPr>
        <w:t xml:space="preserve">resents the </w:t>
      </w:r>
      <w:proofErr w:type="spellStart"/>
      <w:r>
        <w:rPr>
          <w:rFonts w:ascii="Book Antiqua" w:hAnsi="Book Antiqua" w:cs="Book Antiqua"/>
        </w:rPr>
        <w:t>kyoto</w:t>
      </w:r>
      <w:proofErr w:type="spellEnd"/>
      <w:r>
        <w:rPr>
          <w:rFonts w:ascii="Book Antiqua" w:hAnsi="Book Antiqua" w:cs="Book Antiqua"/>
        </w:rPr>
        <w:t xml:space="preserve"> encyclopedia of genes and genomes analysis of significantly different genes between </w:t>
      </w:r>
      <w:proofErr w:type="spellStart"/>
      <w:r>
        <w:rPr>
          <w:rFonts w:ascii="Book Antiqua" w:hAnsi="Book Antiqua" w:cs="Book Antiqua"/>
        </w:rPr>
        <w:t>disulfidptosis</w:t>
      </w:r>
      <w:proofErr w:type="spellEnd"/>
      <w:r>
        <w:rPr>
          <w:rFonts w:ascii="Book Antiqua" w:hAnsi="Book Antiqua" w:cs="Book Antiqua"/>
        </w:rPr>
        <w:t xml:space="preserve"> related genes subgroups.</w:t>
      </w:r>
    </w:p>
    <w:p w14:paraId="73D1863A" w14:textId="77777777" w:rsidR="00C62577" w:rsidRDefault="00C62577">
      <w:pPr>
        <w:adjustRightInd w:val="0"/>
        <w:snapToGrid w:val="0"/>
        <w:spacing w:line="360" w:lineRule="auto"/>
        <w:jc w:val="both"/>
        <w:rPr>
          <w:rFonts w:ascii="Book Antiqua" w:hAnsi="Book Antiqua" w:cs="Book Antiqua"/>
        </w:rPr>
      </w:pPr>
    </w:p>
    <w:p w14:paraId="481749FE" w14:textId="77777777" w:rsidR="00C62577" w:rsidRDefault="00C62577">
      <w:pPr>
        <w:adjustRightInd w:val="0"/>
        <w:snapToGrid w:val="0"/>
        <w:spacing w:line="360" w:lineRule="auto"/>
        <w:jc w:val="both"/>
        <w:rPr>
          <w:rFonts w:ascii="Book Antiqua" w:hAnsi="Book Antiqua" w:cs="Book Antiqua"/>
        </w:rPr>
      </w:pPr>
    </w:p>
    <w:p w14:paraId="407E76E8" w14:textId="77777777" w:rsidR="00C62577" w:rsidRDefault="00C62577">
      <w:pPr>
        <w:adjustRightInd w:val="0"/>
        <w:snapToGrid w:val="0"/>
        <w:spacing w:line="360" w:lineRule="auto"/>
        <w:jc w:val="both"/>
        <w:rPr>
          <w:rFonts w:ascii="Book Antiqua" w:hAnsi="Book Antiqua" w:cs="Book Antiqua"/>
        </w:rPr>
      </w:pPr>
    </w:p>
    <w:p w14:paraId="4EA46FC2" w14:textId="77777777" w:rsidR="00C62577" w:rsidRDefault="00C62577">
      <w:pPr>
        <w:adjustRightInd w:val="0"/>
        <w:snapToGrid w:val="0"/>
        <w:spacing w:line="360" w:lineRule="auto"/>
        <w:jc w:val="both"/>
        <w:rPr>
          <w:rFonts w:ascii="Book Antiqua" w:hAnsi="Book Antiqua" w:cs="Book Antiqua"/>
        </w:rPr>
      </w:pPr>
    </w:p>
    <w:p w14:paraId="15603846" w14:textId="77777777" w:rsidR="00C62577" w:rsidRDefault="00C62577">
      <w:pPr>
        <w:adjustRightInd w:val="0"/>
        <w:snapToGrid w:val="0"/>
        <w:spacing w:line="360" w:lineRule="auto"/>
        <w:jc w:val="both"/>
        <w:rPr>
          <w:rFonts w:ascii="Book Antiqua" w:hAnsi="Book Antiqua" w:cs="Book Antiqua"/>
        </w:rPr>
      </w:pPr>
    </w:p>
    <w:p w14:paraId="275BA442" w14:textId="77777777" w:rsidR="00C62577" w:rsidRDefault="00C62577">
      <w:pPr>
        <w:adjustRightInd w:val="0"/>
        <w:snapToGrid w:val="0"/>
        <w:spacing w:line="360" w:lineRule="auto"/>
        <w:jc w:val="both"/>
        <w:rPr>
          <w:rFonts w:ascii="Book Antiqua" w:hAnsi="Book Antiqua" w:cs="Book Antiqua"/>
        </w:rPr>
      </w:pPr>
    </w:p>
    <w:p w14:paraId="01B92EC1" w14:textId="77777777" w:rsidR="00C62577" w:rsidRDefault="00C62577">
      <w:pPr>
        <w:adjustRightInd w:val="0"/>
        <w:snapToGrid w:val="0"/>
        <w:spacing w:line="360" w:lineRule="auto"/>
        <w:jc w:val="both"/>
        <w:rPr>
          <w:rFonts w:ascii="Book Antiqua" w:hAnsi="Book Antiqua" w:cs="Book Antiqua"/>
        </w:rPr>
      </w:pPr>
    </w:p>
    <w:p w14:paraId="38434D1F" w14:textId="77777777" w:rsidR="00C62577" w:rsidRDefault="00C62577">
      <w:pPr>
        <w:adjustRightInd w:val="0"/>
        <w:snapToGrid w:val="0"/>
        <w:spacing w:line="360" w:lineRule="auto"/>
        <w:jc w:val="both"/>
        <w:rPr>
          <w:rFonts w:ascii="Book Antiqua" w:hAnsi="Book Antiqua" w:cs="Book Antiqua"/>
        </w:rPr>
      </w:pPr>
    </w:p>
    <w:p w14:paraId="08F28226" w14:textId="77777777" w:rsidR="00C62577" w:rsidRDefault="00000000">
      <w:pPr>
        <w:adjustRightInd w:val="0"/>
        <w:snapToGrid w:val="0"/>
        <w:spacing w:line="360" w:lineRule="auto"/>
        <w:jc w:val="both"/>
      </w:pPr>
      <w:r>
        <w:rPr>
          <w:noProof/>
          <w:lang w:eastAsia="zh-CN"/>
        </w:rPr>
        <w:lastRenderedPageBreak/>
        <w:drawing>
          <wp:inline distT="0" distB="0" distL="114300" distR="114300" wp14:anchorId="0B97EECE" wp14:editId="5EB11798">
            <wp:extent cx="5933440" cy="3202940"/>
            <wp:effectExtent l="0" t="0" r="10160" b="1270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9"/>
                    <a:stretch>
                      <a:fillRect/>
                    </a:stretch>
                  </pic:blipFill>
                  <pic:spPr>
                    <a:xfrm>
                      <a:off x="0" y="0"/>
                      <a:ext cx="5933440" cy="3202940"/>
                    </a:xfrm>
                    <a:prstGeom prst="rect">
                      <a:avLst/>
                    </a:prstGeom>
                    <a:noFill/>
                    <a:ln>
                      <a:noFill/>
                    </a:ln>
                  </pic:spPr>
                </pic:pic>
              </a:graphicData>
            </a:graphic>
          </wp:inline>
        </w:drawing>
      </w:r>
    </w:p>
    <w:p w14:paraId="5A7794CA" w14:textId="77777777" w:rsidR="00C62577" w:rsidRDefault="00000000">
      <w:pPr>
        <w:adjustRightInd w:val="0"/>
        <w:snapToGrid w:val="0"/>
        <w:spacing w:line="360" w:lineRule="auto"/>
        <w:jc w:val="both"/>
      </w:pPr>
      <w:r>
        <w:rPr>
          <w:noProof/>
          <w:lang w:eastAsia="zh-CN"/>
        </w:rPr>
        <w:drawing>
          <wp:inline distT="0" distB="0" distL="114300" distR="114300" wp14:anchorId="4AE31C5A" wp14:editId="05C38563">
            <wp:extent cx="5939155" cy="4053840"/>
            <wp:effectExtent l="0" t="0" r="4445"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0"/>
                    <a:stretch>
                      <a:fillRect/>
                    </a:stretch>
                  </pic:blipFill>
                  <pic:spPr>
                    <a:xfrm>
                      <a:off x="0" y="0"/>
                      <a:ext cx="5939155" cy="4053840"/>
                    </a:xfrm>
                    <a:prstGeom prst="rect">
                      <a:avLst/>
                    </a:prstGeom>
                    <a:noFill/>
                    <a:ln>
                      <a:noFill/>
                    </a:ln>
                  </pic:spPr>
                </pic:pic>
              </a:graphicData>
            </a:graphic>
          </wp:inline>
        </w:drawing>
      </w:r>
    </w:p>
    <w:p w14:paraId="3893F0EF" w14:textId="77777777" w:rsidR="00C62577" w:rsidRDefault="00000000">
      <w:pPr>
        <w:adjustRightInd w:val="0"/>
        <w:snapToGrid w:val="0"/>
        <w:spacing w:line="360" w:lineRule="auto"/>
        <w:jc w:val="both"/>
      </w:pPr>
      <w:r>
        <w:rPr>
          <w:noProof/>
          <w:lang w:eastAsia="zh-CN"/>
        </w:rPr>
        <w:lastRenderedPageBreak/>
        <w:drawing>
          <wp:inline distT="0" distB="0" distL="114300" distR="114300" wp14:anchorId="38E0CE87" wp14:editId="235FE74A">
            <wp:extent cx="5941695" cy="3373755"/>
            <wp:effectExtent l="0" t="0" r="1905" b="952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1"/>
                    <a:stretch>
                      <a:fillRect/>
                    </a:stretch>
                  </pic:blipFill>
                  <pic:spPr>
                    <a:xfrm>
                      <a:off x="0" y="0"/>
                      <a:ext cx="5941695" cy="3373755"/>
                    </a:xfrm>
                    <a:prstGeom prst="rect">
                      <a:avLst/>
                    </a:prstGeom>
                    <a:noFill/>
                    <a:ln>
                      <a:noFill/>
                    </a:ln>
                  </pic:spPr>
                </pic:pic>
              </a:graphicData>
            </a:graphic>
          </wp:inline>
        </w:drawing>
      </w:r>
      <w:r>
        <w:rPr>
          <w:noProof/>
          <w:lang w:eastAsia="zh-CN"/>
        </w:rPr>
        <w:drawing>
          <wp:inline distT="0" distB="0" distL="114300" distR="114300" wp14:anchorId="3138B7FB" wp14:editId="67F6F791">
            <wp:extent cx="5938520" cy="3284220"/>
            <wp:effectExtent l="0" t="0" r="5080" b="762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2"/>
                    <a:stretch>
                      <a:fillRect/>
                    </a:stretch>
                  </pic:blipFill>
                  <pic:spPr>
                    <a:xfrm>
                      <a:off x="0" y="0"/>
                      <a:ext cx="5938520" cy="3284220"/>
                    </a:xfrm>
                    <a:prstGeom prst="rect">
                      <a:avLst/>
                    </a:prstGeom>
                    <a:noFill/>
                    <a:ln>
                      <a:noFill/>
                    </a:ln>
                  </pic:spPr>
                </pic:pic>
              </a:graphicData>
            </a:graphic>
          </wp:inline>
        </w:drawing>
      </w:r>
    </w:p>
    <w:p w14:paraId="1E8EDBB7"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6 The differential gene-related sample clustering matrix, clustering index, </w:t>
      </w:r>
      <w:r>
        <w:rPr>
          <w:rFonts w:ascii="Book Antiqua" w:eastAsia="宋体" w:hAnsi="Book Antiqua" w:cs="Book Antiqua" w:hint="eastAsia"/>
          <w:b/>
          <w:bCs/>
          <w:lang w:eastAsia="zh-CN"/>
        </w:rPr>
        <w:t>cumulative distribution function</w:t>
      </w:r>
      <w:r>
        <w:rPr>
          <w:rFonts w:ascii="Book Antiqua" w:hAnsi="Book Antiqua" w:cs="Book Antiqua"/>
          <w:b/>
          <w:bCs/>
        </w:rPr>
        <w:t xml:space="preserve"> curve, tracking plot, survival curve, heat map, differential analysis of </w:t>
      </w:r>
      <w:proofErr w:type="spellStart"/>
      <w:r>
        <w:rPr>
          <w:rFonts w:ascii="Book Antiqua" w:hAnsi="Book Antiqua" w:cs="Book Antiqua"/>
          <w:b/>
          <w:bCs/>
        </w:rPr>
        <w:t>disulfidptosis</w:t>
      </w:r>
      <w:proofErr w:type="spellEnd"/>
      <w:r>
        <w:rPr>
          <w:rFonts w:ascii="Book Antiqua" w:hAnsi="Book Antiqua" w:cs="Book Antiqua"/>
          <w:b/>
          <w:bCs/>
        </w:rPr>
        <w:t xml:space="preserve"> related genes, lasso regression plot, and </w:t>
      </w:r>
      <w:proofErr w:type="spellStart"/>
      <w:r>
        <w:rPr>
          <w:rFonts w:ascii="Book Antiqua" w:hAnsi="Book Antiqua" w:cs="Book Antiqua"/>
          <w:b/>
          <w:bCs/>
        </w:rPr>
        <w:t>cvfit</w:t>
      </w:r>
      <w:proofErr w:type="spellEnd"/>
      <w:r>
        <w:rPr>
          <w:rFonts w:ascii="Book Antiqua" w:hAnsi="Book Antiqua" w:cs="Book Antiqua"/>
          <w:b/>
          <w:bCs/>
        </w:rPr>
        <w:t xml:space="preserve"> plot are presented. </w:t>
      </w:r>
      <w:r>
        <w:rPr>
          <w:rFonts w:ascii="Book Antiqua" w:hAnsi="Book Antiqua" w:cs="Book Antiqua"/>
        </w:rPr>
        <w:t>A:</w:t>
      </w:r>
      <w:r>
        <w:rPr>
          <w:rFonts w:ascii="Book Antiqua" w:eastAsia="宋体" w:hAnsi="Book Antiqua" w:cs="Book Antiqua" w:hint="eastAsia"/>
          <w:lang w:eastAsia="zh-CN"/>
        </w:rPr>
        <w:t xml:space="preserve"> S</w:t>
      </w:r>
      <w:r>
        <w:rPr>
          <w:rFonts w:ascii="Book Antiqua" w:hAnsi="Book Antiqua" w:cs="Book Antiqua"/>
        </w:rPr>
        <w:t>hows the clustering matrix of differential gene-related samples</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 xml:space="preserve"> P</w:t>
      </w:r>
      <w:r>
        <w:rPr>
          <w:rFonts w:ascii="Book Antiqua" w:hAnsi="Book Antiqua" w:cs="Book Antiqua"/>
        </w:rPr>
        <w:t>resents the clustering index of differential gene-related samples</w:t>
      </w:r>
      <w:r>
        <w:rPr>
          <w:rFonts w:ascii="Book Antiqua" w:eastAsia="宋体" w:hAnsi="Book Antiqua" w:cs="Book Antiqua" w:hint="eastAsia"/>
          <w:lang w:eastAsia="zh-CN"/>
        </w:rPr>
        <w:t xml:space="preserve">; </w:t>
      </w:r>
      <w:r>
        <w:rPr>
          <w:rFonts w:ascii="Book Antiqua" w:hAnsi="Book Antiqua" w:cs="Book Antiqua"/>
        </w:rPr>
        <w:t>C:</w:t>
      </w:r>
      <w:r>
        <w:rPr>
          <w:rFonts w:ascii="Book Antiqua" w:eastAsia="宋体" w:hAnsi="Book Antiqua" w:cs="Book Antiqua" w:hint="eastAsia"/>
          <w:lang w:eastAsia="zh-CN"/>
        </w:rPr>
        <w:t xml:space="preserve"> S</w:t>
      </w:r>
      <w:r>
        <w:rPr>
          <w:rFonts w:ascii="Book Antiqua" w:hAnsi="Book Antiqua" w:cs="Book Antiqua"/>
        </w:rPr>
        <w:t xml:space="preserve">hows the </w:t>
      </w:r>
      <w:r>
        <w:rPr>
          <w:rFonts w:ascii="Book Antiqua" w:hAnsi="Book Antiqua" w:cs="Book Antiqua"/>
        </w:rPr>
        <w:lastRenderedPageBreak/>
        <w:t xml:space="preserve">relative change area of the </w:t>
      </w:r>
      <w:r>
        <w:rPr>
          <w:rFonts w:ascii="Book Antiqua" w:eastAsia="宋体" w:hAnsi="Book Antiqua" w:cs="Book Antiqua" w:hint="eastAsia"/>
          <w:lang w:eastAsia="zh-CN"/>
        </w:rPr>
        <w:t>cumulative distribution function</w:t>
      </w:r>
      <w:r>
        <w:rPr>
          <w:rFonts w:ascii="Book Antiqua" w:eastAsia="宋体" w:hAnsi="Book Antiqua" w:cs="Book Antiqua" w:hint="eastAsia"/>
          <w:b/>
          <w:bCs/>
          <w:lang w:eastAsia="zh-CN"/>
        </w:rPr>
        <w:t xml:space="preserve"> </w:t>
      </w:r>
      <w:r>
        <w:rPr>
          <w:rFonts w:ascii="Book Antiqua" w:hAnsi="Book Antiqua" w:cs="Book Antiqua"/>
        </w:rPr>
        <w:t>curve of differential gene-related samples</w:t>
      </w:r>
      <w:r>
        <w:rPr>
          <w:rFonts w:ascii="Book Antiqua" w:eastAsia="宋体" w:hAnsi="Book Antiqua" w:cs="Book Antiqua" w:hint="eastAsia"/>
          <w:lang w:eastAsia="zh-CN"/>
        </w:rPr>
        <w:t>;</w:t>
      </w:r>
      <w:r>
        <w:rPr>
          <w:rFonts w:ascii="Book Antiqua" w:hAnsi="Book Antiqua" w:cs="Book Antiqua"/>
        </w:rPr>
        <w:t xml:space="preserve"> D:</w:t>
      </w:r>
      <w:r>
        <w:rPr>
          <w:rFonts w:ascii="Book Antiqua" w:eastAsia="宋体" w:hAnsi="Book Antiqua" w:cs="Book Antiqua" w:hint="eastAsia"/>
          <w:lang w:eastAsia="zh-CN"/>
        </w:rPr>
        <w:t xml:space="preserve"> P</w:t>
      </w:r>
      <w:r>
        <w:rPr>
          <w:rFonts w:ascii="Book Antiqua" w:hAnsi="Book Antiqua" w:cs="Book Antiqua"/>
        </w:rPr>
        <w:t>resents the tracking plot of differential gene subgroups</w:t>
      </w:r>
      <w:r>
        <w:rPr>
          <w:rFonts w:ascii="Book Antiqua" w:eastAsia="宋体" w:hAnsi="Book Antiqua" w:cs="Book Antiqua" w:hint="eastAsia"/>
          <w:lang w:eastAsia="zh-CN"/>
        </w:rPr>
        <w:t>;</w:t>
      </w:r>
      <w:r>
        <w:rPr>
          <w:rFonts w:ascii="Book Antiqua" w:hAnsi="Book Antiqua" w:cs="Book Antiqua"/>
        </w:rPr>
        <w:t xml:space="preserve"> E:</w:t>
      </w:r>
      <w:r>
        <w:rPr>
          <w:rFonts w:ascii="Book Antiqua" w:eastAsia="宋体" w:hAnsi="Book Antiqua" w:cs="Book Antiqua" w:hint="eastAsia"/>
          <w:lang w:eastAsia="zh-CN"/>
        </w:rPr>
        <w:t xml:space="preserve"> S</w:t>
      </w:r>
      <w:r>
        <w:rPr>
          <w:rFonts w:ascii="Book Antiqua" w:hAnsi="Book Antiqua" w:cs="Book Antiqua"/>
        </w:rPr>
        <w:t>hows the survival curve of differential gene-related samples</w:t>
      </w:r>
      <w:r>
        <w:rPr>
          <w:rFonts w:ascii="Book Antiqua" w:eastAsia="宋体" w:hAnsi="Book Antiqua" w:cs="Book Antiqua" w:hint="eastAsia"/>
          <w:lang w:eastAsia="zh-CN"/>
        </w:rPr>
        <w:t>;</w:t>
      </w:r>
      <w:r>
        <w:rPr>
          <w:rFonts w:ascii="Book Antiqua" w:hAnsi="Book Antiqua" w:cs="Book Antiqua"/>
        </w:rPr>
        <w:t xml:space="preserve"> F:</w:t>
      </w:r>
      <w:r>
        <w:rPr>
          <w:rFonts w:ascii="Book Antiqua" w:eastAsia="宋体" w:hAnsi="Book Antiqua" w:cs="Book Antiqua" w:hint="eastAsia"/>
          <w:lang w:eastAsia="zh-CN"/>
        </w:rPr>
        <w:t xml:space="preserve"> P</w:t>
      </w:r>
      <w:r>
        <w:rPr>
          <w:rFonts w:ascii="Book Antiqua" w:hAnsi="Book Antiqua" w:cs="Book Antiqua"/>
        </w:rPr>
        <w:t>resents the heat map of differential gene-related samples</w:t>
      </w:r>
      <w:r>
        <w:rPr>
          <w:rFonts w:ascii="Book Antiqua" w:eastAsia="宋体" w:hAnsi="Book Antiqua" w:cs="Book Antiqua" w:hint="eastAsia"/>
          <w:lang w:eastAsia="zh-CN"/>
        </w:rPr>
        <w:t>;</w:t>
      </w:r>
      <w:r>
        <w:rPr>
          <w:rFonts w:ascii="Book Antiqua" w:hAnsi="Book Antiqua" w:cs="Book Antiqua"/>
        </w:rPr>
        <w:t xml:space="preserve"> G:</w:t>
      </w:r>
      <w:r>
        <w:rPr>
          <w:rFonts w:ascii="Book Antiqua" w:eastAsia="宋体" w:hAnsi="Book Antiqua" w:cs="Book Antiqua" w:hint="eastAsia"/>
          <w:lang w:eastAsia="zh-CN"/>
        </w:rPr>
        <w:t xml:space="preserve"> P</w:t>
      </w:r>
      <w:r>
        <w:rPr>
          <w:rFonts w:ascii="Book Antiqua" w:hAnsi="Book Antiqua" w:cs="Book Antiqua"/>
        </w:rPr>
        <w:t xml:space="preserve">resents the differential analysis of </w:t>
      </w:r>
      <w:proofErr w:type="spellStart"/>
      <w:r>
        <w:rPr>
          <w:rFonts w:ascii="Book Antiqua" w:hAnsi="Book Antiqua" w:cs="Book Antiqua"/>
        </w:rPr>
        <w:t>disulfidptosis</w:t>
      </w:r>
      <w:proofErr w:type="spellEnd"/>
      <w:r>
        <w:rPr>
          <w:rFonts w:ascii="Book Antiqua" w:hAnsi="Book Antiqua" w:cs="Book Antiqua"/>
        </w:rPr>
        <w:t xml:space="preserve"> related genes between differential gene-related sample groups</w:t>
      </w:r>
      <w:r>
        <w:rPr>
          <w:rFonts w:ascii="Book Antiqua" w:eastAsia="宋体" w:hAnsi="Book Antiqua" w:cs="Book Antiqua" w:hint="eastAsia"/>
          <w:lang w:eastAsia="zh-CN"/>
        </w:rPr>
        <w:t xml:space="preserve">; </w:t>
      </w:r>
      <w:r>
        <w:rPr>
          <w:rFonts w:ascii="Book Antiqua" w:hAnsi="Book Antiqua" w:cs="Book Antiqua"/>
        </w:rPr>
        <w:t>H:</w:t>
      </w:r>
      <w:r>
        <w:rPr>
          <w:rFonts w:ascii="Book Antiqua" w:eastAsia="宋体" w:hAnsi="Book Antiqua" w:cs="Book Antiqua" w:hint="eastAsia"/>
          <w:lang w:eastAsia="zh-CN"/>
        </w:rPr>
        <w:t xml:space="preserve"> S</w:t>
      </w:r>
      <w:r>
        <w:rPr>
          <w:rFonts w:ascii="Book Antiqua" w:hAnsi="Book Antiqua" w:cs="Book Antiqua"/>
        </w:rPr>
        <w:t>hows the lasso regression plot</w:t>
      </w:r>
      <w:r>
        <w:rPr>
          <w:rFonts w:ascii="Book Antiqua" w:eastAsia="宋体" w:hAnsi="Book Antiqua" w:cs="Book Antiqua" w:hint="eastAsia"/>
          <w:lang w:eastAsia="zh-CN"/>
        </w:rPr>
        <w:t>;</w:t>
      </w:r>
      <w:r>
        <w:rPr>
          <w:rFonts w:ascii="Book Antiqua" w:hAnsi="Book Antiqua" w:cs="Book Antiqua"/>
        </w:rPr>
        <w:t xml:space="preserve"> I:</w:t>
      </w:r>
      <w:r>
        <w:rPr>
          <w:rFonts w:ascii="Book Antiqua" w:eastAsia="宋体" w:hAnsi="Book Antiqua" w:cs="Book Antiqua" w:hint="eastAsia"/>
          <w:lang w:eastAsia="zh-CN"/>
        </w:rPr>
        <w:t xml:space="preserve"> P</w:t>
      </w:r>
      <w:r>
        <w:rPr>
          <w:rFonts w:ascii="Book Antiqua" w:hAnsi="Book Antiqua" w:cs="Book Antiqua"/>
        </w:rPr>
        <w:t xml:space="preserve">resents the </w:t>
      </w:r>
      <w:proofErr w:type="spellStart"/>
      <w:r>
        <w:rPr>
          <w:rFonts w:ascii="Book Antiqua" w:hAnsi="Book Antiqua" w:cs="Book Antiqua"/>
        </w:rPr>
        <w:t>cvfit</w:t>
      </w:r>
      <w:proofErr w:type="spellEnd"/>
      <w:r>
        <w:rPr>
          <w:rFonts w:ascii="Book Antiqua" w:hAnsi="Book Antiqua" w:cs="Book Antiqua"/>
        </w:rPr>
        <w:t xml:space="preserve"> plot of the lasso regression.</w:t>
      </w:r>
    </w:p>
    <w:p w14:paraId="698FBB9E" w14:textId="77777777" w:rsidR="00C62577" w:rsidRDefault="00C62577">
      <w:pPr>
        <w:adjustRightInd w:val="0"/>
        <w:snapToGrid w:val="0"/>
        <w:spacing w:line="360" w:lineRule="auto"/>
        <w:jc w:val="both"/>
        <w:rPr>
          <w:rFonts w:ascii="Book Antiqua" w:hAnsi="Book Antiqua" w:cs="Book Antiqua"/>
        </w:rPr>
      </w:pPr>
    </w:p>
    <w:p w14:paraId="4A1D88D2" w14:textId="77777777" w:rsidR="00C62577" w:rsidRDefault="00000000">
      <w:pPr>
        <w:adjustRightInd w:val="0"/>
        <w:snapToGrid w:val="0"/>
        <w:spacing w:line="360" w:lineRule="auto"/>
        <w:jc w:val="both"/>
        <w:rPr>
          <w:rFonts w:ascii="Book Antiqua" w:hAnsi="Book Antiqua" w:cs="Book Antiqua"/>
        </w:rPr>
      </w:pPr>
      <w:r>
        <w:rPr>
          <w:noProof/>
          <w:lang w:eastAsia="zh-CN"/>
        </w:rPr>
        <w:drawing>
          <wp:inline distT="0" distB="0" distL="114300" distR="114300" wp14:anchorId="08845849" wp14:editId="583B9D7E">
            <wp:extent cx="5941695" cy="2656205"/>
            <wp:effectExtent l="0" t="0" r="1905" b="1079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3"/>
                    <a:stretch>
                      <a:fillRect/>
                    </a:stretch>
                  </pic:blipFill>
                  <pic:spPr>
                    <a:xfrm>
                      <a:off x="0" y="0"/>
                      <a:ext cx="5941695" cy="2656205"/>
                    </a:xfrm>
                    <a:prstGeom prst="rect">
                      <a:avLst/>
                    </a:prstGeom>
                    <a:noFill/>
                    <a:ln>
                      <a:noFill/>
                    </a:ln>
                  </pic:spPr>
                </pic:pic>
              </a:graphicData>
            </a:graphic>
          </wp:inline>
        </w:drawing>
      </w:r>
      <w:r>
        <w:rPr>
          <w:noProof/>
          <w:lang w:eastAsia="zh-CN"/>
        </w:rPr>
        <w:drawing>
          <wp:inline distT="0" distB="0" distL="114300" distR="114300" wp14:anchorId="0215D4BA" wp14:editId="1A8E90E8">
            <wp:extent cx="5938520" cy="2530475"/>
            <wp:effectExtent l="0" t="0" r="5080" b="1460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4"/>
                    <a:stretch>
                      <a:fillRect/>
                    </a:stretch>
                  </pic:blipFill>
                  <pic:spPr>
                    <a:xfrm>
                      <a:off x="0" y="0"/>
                      <a:ext cx="5938520" cy="2530475"/>
                    </a:xfrm>
                    <a:prstGeom prst="rect">
                      <a:avLst/>
                    </a:prstGeom>
                    <a:noFill/>
                    <a:ln>
                      <a:noFill/>
                    </a:ln>
                  </pic:spPr>
                </pic:pic>
              </a:graphicData>
            </a:graphic>
          </wp:inline>
        </w:drawing>
      </w:r>
    </w:p>
    <w:p w14:paraId="6A16B3C2"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b/>
          <w:bCs/>
        </w:rPr>
        <w:t>Figure 7 Testing the reliability of prognostic models.</w:t>
      </w:r>
      <w:r>
        <w:rPr>
          <w:rFonts w:ascii="Book Antiqua" w:eastAsia="宋体" w:hAnsi="Book Antiqua" w:cs="Book Antiqua" w:hint="eastAsia"/>
          <w:lang w:eastAsia="zh-CN"/>
        </w:rPr>
        <w:t xml:space="preserve"> </w:t>
      </w:r>
      <w:r>
        <w:rPr>
          <w:rFonts w:ascii="Book Antiqua" w:hAnsi="Book Antiqua" w:cs="Book Antiqua"/>
        </w:rPr>
        <w:t>A:</w:t>
      </w:r>
      <w:r>
        <w:rPr>
          <w:rFonts w:ascii="Book Antiqua" w:eastAsia="宋体" w:hAnsi="Book Antiqua" w:cs="Book Antiqua" w:hint="eastAsia"/>
          <w:lang w:eastAsia="zh-CN"/>
        </w:rPr>
        <w:t xml:space="preserve"> A</w:t>
      </w:r>
      <w:r>
        <w:rPr>
          <w:rFonts w:ascii="Book Antiqua" w:hAnsi="Book Antiqua" w:cs="Book Antiqua"/>
        </w:rPr>
        <w:t xml:space="preserve"> Sankey diagram of the relationships between various data is presented</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 xml:space="preserve"> S</w:t>
      </w:r>
      <w:r>
        <w:rPr>
          <w:rFonts w:ascii="Book Antiqua" w:hAnsi="Book Antiqua" w:cs="Book Antiqua"/>
        </w:rPr>
        <w:t xml:space="preserve">hows a box plot of the double </w:t>
      </w:r>
      <w:r>
        <w:rPr>
          <w:rFonts w:ascii="Book Antiqua" w:hAnsi="Book Antiqua" w:cs="Book Antiqua"/>
        </w:rPr>
        <w:lastRenderedPageBreak/>
        <w:t>sulfur death subtype</w:t>
      </w:r>
      <w:r>
        <w:rPr>
          <w:rFonts w:ascii="Book Antiqua" w:eastAsia="宋体" w:hAnsi="Book Antiqua" w:cs="Book Antiqua" w:hint="eastAsia"/>
          <w:lang w:eastAsia="zh-CN"/>
        </w:rPr>
        <w:t>;</w:t>
      </w:r>
      <w:r>
        <w:rPr>
          <w:rFonts w:ascii="Book Antiqua" w:hAnsi="Book Antiqua" w:cs="Book Antiqua"/>
        </w:rPr>
        <w:t xml:space="preserve"> C:</w:t>
      </w:r>
      <w:r>
        <w:rPr>
          <w:rFonts w:ascii="Book Antiqua" w:eastAsia="宋体" w:hAnsi="Book Antiqua" w:cs="Book Antiqua" w:hint="eastAsia"/>
          <w:lang w:eastAsia="zh-CN"/>
        </w:rPr>
        <w:t xml:space="preserve"> P</w:t>
      </w:r>
      <w:r>
        <w:rPr>
          <w:rFonts w:ascii="Book Antiqua" w:hAnsi="Book Antiqua" w:cs="Book Antiqua"/>
        </w:rPr>
        <w:t>resents a box plot of gene subtypes</w:t>
      </w:r>
      <w:r>
        <w:rPr>
          <w:rFonts w:ascii="Book Antiqua" w:eastAsia="宋体" w:hAnsi="Book Antiqua" w:cs="Book Antiqua" w:hint="eastAsia"/>
          <w:lang w:eastAsia="zh-CN"/>
        </w:rPr>
        <w:t>;</w:t>
      </w:r>
      <w:r>
        <w:rPr>
          <w:rFonts w:ascii="Book Antiqua" w:hAnsi="Book Antiqua" w:cs="Book Antiqua"/>
        </w:rPr>
        <w:t xml:space="preserve"> D:</w:t>
      </w:r>
      <w:r>
        <w:rPr>
          <w:rFonts w:ascii="Book Antiqua" w:eastAsia="宋体" w:hAnsi="Book Antiqua" w:cs="Book Antiqua" w:hint="eastAsia"/>
          <w:lang w:eastAsia="zh-CN"/>
        </w:rPr>
        <w:t xml:space="preserve"> S</w:t>
      </w:r>
      <w:r>
        <w:rPr>
          <w:rFonts w:ascii="Book Antiqua" w:hAnsi="Book Antiqua" w:cs="Book Antiqua"/>
        </w:rPr>
        <w:t xml:space="preserve">hows the differential analysis of </w:t>
      </w:r>
      <w:proofErr w:type="spellStart"/>
      <w:r>
        <w:rPr>
          <w:rFonts w:ascii="Book Antiqua" w:hAnsi="Book Antiqua" w:cs="Book Antiqua"/>
        </w:rPr>
        <w:t>disulfidptosis</w:t>
      </w:r>
      <w:proofErr w:type="spellEnd"/>
      <w:r>
        <w:rPr>
          <w:rFonts w:ascii="Book Antiqua" w:hAnsi="Book Antiqua" w:cs="Book Antiqua"/>
        </w:rPr>
        <w:t xml:space="preserve"> related genes between high and low-risk groups.</w:t>
      </w:r>
    </w:p>
    <w:p w14:paraId="03FB00A8" w14:textId="77777777" w:rsidR="00C62577" w:rsidRDefault="00C62577">
      <w:pPr>
        <w:adjustRightInd w:val="0"/>
        <w:snapToGrid w:val="0"/>
        <w:spacing w:line="360" w:lineRule="auto"/>
        <w:jc w:val="both"/>
        <w:rPr>
          <w:rFonts w:ascii="Book Antiqua" w:hAnsi="Book Antiqua" w:cs="Book Antiqua"/>
        </w:rPr>
      </w:pPr>
    </w:p>
    <w:p w14:paraId="4F54E514" w14:textId="77777777" w:rsidR="00C62577" w:rsidRDefault="00000000">
      <w:pPr>
        <w:adjustRightInd w:val="0"/>
        <w:snapToGrid w:val="0"/>
        <w:spacing w:line="360" w:lineRule="auto"/>
        <w:jc w:val="both"/>
      </w:pPr>
      <w:r>
        <w:rPr>
          <w:noProof/>
          <w:lang w:eastAsia="zh-CN"/>
        </w:rPr>
        <w:drawing>
          <wp:inline distT="0" distB="0" distL="114300" distR="114300" wp14:anchorId="6A59C3A3" wp14:editId="10B32D44">
            <wp:extent cx="5933440" cy="2381250"/>
            <wp:effectExtent l="0" t="0" r="10160" b="1143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5"/>
                    <a:stretch>
                      <a:fillRect/>
                    </a:stretch>
                  </pic:blipFill>
                  <pic:spPr>
                    <a:xfrm>
                      <a:off x="0" y="0"/>
                      <a:ext cx="5933440" cy="2381250"/>
                    </a:xfrm>
                    <a:prstGeom prst="rect">
                      <a:avLst/>
                    </a:prstGeom>
                    <a:noFill/>
                    <a:ln>
                      <a:noFill/>
                    </a:ln>
                  </pic:spPr>
                </pic:pic>
              </a:graphicData>
            </a:graphic>
          </wp:inline>
        </w:drawing>
      </w:r>
      <w:r>
        <w:rPr>
          <w:noProof/>
          <w:lang w:eastAsia="zh-CN"/>
        </w:rPr>
        <w:drawing>
          <wp:inline distT="0" distB="0" distL="114300" distR="114300" wp14:anchorId="44DC5681" wp14:editId="53EF73AB">
            <wp:extent cx="5935345" cy="2384425"/>
            <wp:effectExtent l="0" t="0" r="8255" b="825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6"/>
                    <a:stretch>
                      <a:fillRect/>
                    </a:stretch>
                  </pic:blipFill>
                  <pic:spPr>
                    <a:xfrm>
                      <a:off x="0" y="0"/>
                      <a:ext cx="5935345" cy="2384425"/>
                    </a:xfrm>
                    <a:prstGeom prst="rect">
                      <a:avLst/>
                    </a:prstGeom>
                    <a:noFill/>
                    <a:ln>
                      <a:noFill/>
                    </a:ln>
                  </pic:spPr>
                </pic:pic>
              </a:graphicData>
            </a:graphic>
          </wp:inline>
        </w:drawing>
      </w:r>
      <w:r>
        <w:rPr>
          <w:noProof/>
          <w:lang w:eastAsia="zh-CN"/>
        </w:rPr>
        <w:drawing>
          <wp:inline distT="0" distB="0" distL="114300" distR="114300" wp14:anchorId="24355B0A" wp14:editId="2DF24209">
            <wp:extent cx="5546090" cy="1771015"/>
            <wp:effectExtent l="0" t="0" r="1270" b="12065"/>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27"/>
                    <a:stretch>
                      <a:fillRect/>
                    </a:stretch>
                  </pic:blipFill>
                  <pic:spPr>
                    <a:xfrm>
                      <a:off x="0" y="0"/>
                      <a:ext cx="5546090" cy="1771015"/>
                    </a:xfrm>
                    <a:prstGeom prst="rect">
                      <a:avLst/>
                    </a:prstGeom>
                    <a:noFill/>
                    <a:ln>
                      <a:noFill/>
                    </a:ln>
                  </pic:spPr>
                </pic:pic>
              </a:graphicData>
            </a:graphic>
          </wp:inline>
        </w:drawing>
      </w:r>
      <w:r>
        <w:rPr>
          <w:noProof/>
          <w:lang w:eastAsia="zh-CN"/>
        </w:rPr>
        <w:lastRenderedPageBreak/>
        <w:drawing>
          <wp:inline distT="0" distB="0" distL="114300" distR="114300" wp14:anchorId="41DC1DF9" wp14:editId="3476B6F8">
            <wp:extent cx="5941060" cy="1656080"/>
            <wp:effectExtent l="0" t="0" r="2540" b="508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8"/>
                    <a:stretch>
                      <a:fillRect/>
                    </a:stretch>
                  </pic:blipFill>
                  <pic:spPr>
                    <a:xfrm>
                      <a:off x="0" y="0"/>
                      <a:ext cx="5941060" cy="1656080"/>
                    </a:xfrm>
                    <a:prstGeom prst="rect">
                      <a:avLst/>
                    </a:prstGeom>
                    <a:noFill/>
                    <a:ln>
                      <a:noFill/>
                    </a:ln>
                  </pic:spPr>
                </pic:pic>
              </a:graphicData>
            </a:graphic>
          </wp:inline>
        </w:drawing>
      </w:r>
      <w:r>
        <w:rPr>
          <w:noProof/>
          <w:lang w:eastAsia="zh-CN"/>
        </w:rPr>
        <w:drawing>
          <wp:inline distT="0" distB="0" distL="114300" distR="114300" wp14:anchorId="495615F2" wp14:editId="0694B431">
            <wp:extent cx="5935980" cy="3268345"/>
            <wp:effectExtent l="0" t="0" r="7620" b="8255"/>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29"/>
                    <a:stretch>
                      <a:fillRect/>
                    </a:stretch>
                  </pic:blipFill>
                  <pic:spPr>
                    <a:xfrm>
                      <a:off x="0" y="0"/>
                      <a:ext cx="5935980" cy="3268345"/>
                    </a:xfrm>
                    <a:prstGeom prst="rect">
                      <a:avLst/>
                    </a:prstGeom>
                    <a:noFill/>
                    <a:ln>
                      <a:noFill/>
                    </a:ln>
                  </pic:spPr>
                </pic:pic>
              </a:graphicData>
            </a:graphic>
          </wp:inline>
        </w:drawing>
      </w:r>
    </w:p>
    <w:p w14:paraId="06E50503"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b/>
          <w:bCs/>
        </w:rPr>
        <w:t>Figure 8 The accuracy of the prognostic model was verified by subgroup analysis.</w:t>
      </w:r>
      <w:r>
        <w:rPr>
          <w:rFonts w:ascii="Book Antiqua" w:eastAsia="宋体" w:hAnsi="Book Antiqua" w:cs="Book Antiqua" w:hint="eastAsia"/>
          <w:b/>
          <w:bCs/>
          <w:lang w:eastAsia="zh-CN"/>
        </w:rPr>
        <w:t xml:space="preserve"> </w:t>
      </w:r>
      <w:r>
        <w:rPr>
          <w:rFonts w:ascii="Book Antiqua" w:hAnsi="Book Antiqua" w:cs="Book Antiqua"/>
        </w:rPr>
        <w:t>A-C:</w:t>
      </w:r>
      <w:r>
        <w:rPr>
          <w:rFonts w:ascii="Book Antiqua" w:eastAsia="宋体" w:hAnsi="Book Antiqua" w:cs="Book Antiqua" w:hint="eastAsia"/>
          <w:lang w:eastAsia="zh-CN"/>
        </w:rPr>
        <w:t xml:space="preserve"> S</w:t>
      </w:r>
      <w:r>
        <w:rPr>
          <w:rFonts w:ascii="Book Antiqua" w:hAnsi="Book Antiqua" w:cs="Book Antiqua"/>
        </w:rPr>
        <w:t>urvival curves between different groups are presented in panels</w:t>
      </w:r>
      <w:r>
        <w:rPr>
          <w:rFonts w:ascii="Book Antiqua" w:eastAsia="宋体" w:hAnsi="Book Antiqua" w:cs="Book Antiqua" w:hint="eastAsia"/>
          <w:lang w:eastAsia="zh-CN"/>
        </w:rPr>
        <w:t>;</w:t>
      </w:r>
      <w:r>
        <w:rPr>
          <w:rFonts w:ascii="Book Antiqua" w:hAnsi="Book Antiqua" w:cs="Book Antiqua"/>
        </w:rPr>
        <w:t xml:space="preserve"> D-F: </w:t>
      </w:r>
      <w:r>
        <w:rPr>
          <w:rFonts w:ascii="Book Antiqua" w:eastAsia="宋体" w:hAnsi="Book Antiqua" w:cs="Book Antiqua" w:hint="eastAsia"/>
          <w:lang w:eastAsia="zh-CN"/>
        </w:rPr>
        <w:t>S</w:t>
      </w:r>
      <w:r>
        <w:rPr>
          <w:rFonts w:ascii="Book Antiqua" w:hAnsi="Book Antiqua" w:cs="Book Antiqua"/>
        </w:rPr>
        <w:t>how receiver operating characteristic curves between different groups</w:t>
      </w:r>
      <w:r>
        <w:rPr>
          <w:rFonts w:ascii="Book Antiqua" w:eastAsia="宋体" w:hAnsi="Book Antiqua" w:cs="Book Antiqua" w:hint="eastAsia"/>
          <w:lang w:eastAsia="zh-CN"/>
        </w:rPr>
        <w:t>;</w:t>
      </w:r>
      <w:r>
        <w:rPr>
          <w:rFonts w:ascii="Book Antiqua" w:hAnsi="Book Antiqua" w:cs="Book Antiqua"/>
        </w:rPr>
        <w:t xml:space="preserve"> G-I:</w:t>
      </w:r>
      <w:r>
        <w:rPr>
          <w:rFonts w:ascii="Book Antiqua" w:eastAsia="宋体" w:hAnsi="Book Antiqua" w:cs="Book Antiqua" w:hint="eastAsia"/>
          <w:lang w:eastAsia="zh-CN"/>
        </w:rPr>
        <w:t xml:space="preserve"> </w:t>
      </w:r>
      <w:r>
        <w:rPr>
          <w:rFonts w:ascii="Book Antiqua" w:hAnsi="Book Antiqua" w:cs="Book Antiqua"/>
        </w:rPr>
        <w:t>Risk curves for each group are presented</w:t>
      </w:r>
      <w:r>
        <w:rPr>
          <w:rFonts w:ascii="Book Antiqua" w:eastAsia="宋体" w:hAnsi="Book Antiqua" w:cs="Book Antiqua" w:hint="eastAsia"/>
          <w:lang w:eastAsia="zh-CN"/>
        </w:rPr>
        <w:t>;</w:t>
      </w:r>
      <w:r>
        <w:rPr>
          <w:rFonts w:ascii="Book Antiqua" w:hAnsi="Book Antiqua" w:cs="Book Antiqua"/>
        </w:rPr>
        <w:t xml:space="preserve"> J-L:</w:t>
      </w:r>
      <w:r>
        <w:rPr>
          <w:rFonts w:ascii="Book Antiqua" w:eastAsia="宋体" w:hAnsi="Book Antiqua" w:cs="Book Antiqua" w:hint="eastAsia"/>
          <w:lang w:eastAsia="zh-CN"/>
        </w:rPr>
        <w:t xml:space="preserve"> S</w:t>
      </w:r>
      <w:r>
        <w:rPr>
          <w:rFonts w:ascii="Book Antiqua" w:hAnsi="Book Antiqua" w:cs="Book Antiqua"/>
        </w:rPr>
        <w:t>how survival status plots for each group</w:t>
      </w:r>
      <w:r>
        <w:rPr>
          <w:rFonts w:ascii="Book Antiqua" w:eastAsia="宋体" w:hAnsi="Book Antiqua" w:cs="Book Antiqua" w:hint="eastAsia"/>
          <w:lang w:eastAsia="zh-CN"/>
        </w:rPr>
        <w:t>;</w:t>
      </w:r>
      <w:r>
        <w:rPr>
          <w:rFonts w:ascii="Book Antiqua" w:hAnsi="Book Antiqua" w:cs="Book Antiqua"/>
        </w:rPr>
        <w:t xml:space="preserve"> M-O:</w:t>
      </w:r>
      <w:r>
        <w:rPr>
          <w:rFonts w:ascii="Book Antiqua" w:eastAsia="宋体" w:hAnsi="Book Antiqua" w:cs="Book Antiqua" w:hint="eastAsia"/>
          <w:lang w:eastAsia="zh-CN"/>
        </w:rPr>
        <w:t xml:space="preserve"> </w:t>
      </w:r>
      <w:r>
        <w:rPr>
          <w:rFonts w:ascii="Book Antiqua" w:hAnsi="Book Antiqua" w:cs="Book Antiqua"/>
        </w:rPr>
        <w:t>Risk heat maps for each group are presented.</w:t>
      </w:r>
    </w:p>
    <w:p w14:paraId="1AFE0847" w14:textId="77777777" w:rsidR="00C62577" w:rsidRDefault="00000000">
      <w:pPr>
        <w:adjustRightInd w:val="0"/>
        <w:snapToGrid w:val="0"/>
        <w:spacing w:line="360" w:lineRule="auto"/>
        <w:jc w:val="both"/>
        <w:rPr>
          <w:rFonts w:ascii="Book Antiqua" w:hAnsi="Book Antiqua" w:cs="Book Antiqua"/>
        </w:rPr>
      </w:pPr>
      <w:r>
        <w:rPr>
          <w:noProof/>
          <w:lang w:eastAsia="zh-CN"/>
        </w:rPr>
        <w:lastRenderedPageBreak/>
        <w:drawing>
          <wp:inline distT="0" distB="0" distL="114300" distR="114300" wp14:anchorId="11D17606" wp14:editId="2BA97CD4">
            <wp:extent cx="5939790" cy="3032760"/>
            <wp:effectExtent l="0" t="0" r="3810" b="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30"/>
                    <a:stretch>
                      <a:fillRect/>
                    </a:stretch>
                  </pic:blipFill>
                  <pic:spPr>
                    <a:xfrm>
                      <a:off x="0" y="0"/>
                      <a:ext cx="5939790" cy="3032760"/>
                    </a:xfrm>
                    <a:prstGeom prst="rect">
                      <a:avLst/>
                    </a:prstGeom>
                    <a:noFill/>
                    <a:ln>
                      <a:noFill/>
                    </a:ln>
                  </pic:spPr>
                </pic:pic>
              </a:graphicData>
            </a:graphic>
          </wp:inline>
        </w:drawing>
      </w:r>
      <w:r>
        <w:rPr>
          <w:noProof/>
          <w:lang w:eastAsia="zh-CN"/>
        </w:rPr>
        <w:drawing>
          <wp:inline distT="0" distB="0" distL="114300" distR="114300" wp14:anchorId="202690C8" wp14:editId="028D123D">
            <wp:extent cx="5937250" cy="2848610"/>
            <wp:effectExtent l="0" t="0" r="6350" b="1270"/>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31"/>
                    <a:stretch>
                      <a:fillRect/>
                    </a:stretch>
                  </pic:blipFill>
                  <pic:spPr>
                    <a:xfrm>
                      <a:off x="0" y="0"/>
                      <a:ext cx="5937250" cy="2848610"/>
                    </a:xfrm>
                    <a:prstGeom prst="rect">
                      <a:avLst/>
                    </a:prstGeom>
                    <a:noFill/>
                    <a:ln>
                      <a:noFill/>
                    </a:ln>
                  </pic:spPr>
                </pic:pic>
              </a:graphicData>
            </a:graphic>
          </wp:inline>
        </w:drawing>
      </w:r>
      <w:r>
        <w:rPr>
          <w:noProof/>
          <w:lang w:eastAsia="zh-CN"/>
        </w:rPr>
        <w:drawing>
          <wp:inline distT="0" distB="0" distL="114300" distR="114300" wp14:anchorId="79016FDE" wp14:editId="472DA351">
            <wp:extent cx="4961255" cy="2316480"/>
            <wp:effectExtent l="0" t="0" r="6985"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32"/>
                    <a:stretch>
                      <a:fillRect/>
                    </a:stretch>
                  </pic:blipFill>
                  <pic:spPr>
                    <a:xfrm>
                      <a:off x="0" y="0"/>
                      <a:ext cx="4961255" cy="2316480"/>
                    </a:xfrm>
                    <a:prstGeom prst="rect">
                      <a:avLst/>
                    </a:prstGeom>
                    <a:noFill/>
                    <a:ln>
                      <a:noFill/>
                    </a:ln>
                  </pic:spPr>
                </pic:pic>
              </a:graphicData>
            </a:graphic>
          </wp:inline>
        </w:drawing>
      </w:r>
    </w:p>
    <w:p w14:paraId="1E904A83" w14:textId="77777777" w:rsidR="00C62577"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lastRenderedPageBreak/>
        <w:t>Figure 9 Further analysis of prognostic models to screen potential therapeutic targets.</w:t>
      </w:r>
      <w:r>
        <w:rPr>
          <w:rFonts w:ascii="Book Antiqua" w:eastAsia="宋体" w:hAnsi="Book Antiqua" w:cs="Book Antiqua" w:hint="eastAsia"/>
          <w:b/>
          <w:bCs/>
          <w:lang w:eastAsia="zh-CN"/>
        </w:rPr>
        <w:t xml:space="preserve"> </w:t>
      </w:r>
      <w:r>
        <w:rPr>
          <w:rFonts w:ascii="Book Antiqua" w:hAnsi="Book Antiqua" w:cs="Book Antiqua"/>
        </w:rPr>
        <w:t>A:</w:t>
      </w:r>
      <w:r>
        <w:rPr>
          <w:rFonts w:ascii="Book Antiqua" w:eastAsia="宋体" w:hAnsi="Book Antiqua" w:cs="Book Antiqua" w:hint="eastAsia"/>
          <w:lang w:eastAsia="zh-CN"/>
        </w:rPr>
        <w:t xml:space="preserve"> P</w:t>
      </w:r>
      <w:r>
        <w:rPr>
          <w:rFonts w:ascii="Book Antiqua" w:hAnsi="Book Antiqua" w:cs="Book Antiqua"/>
        </w:rPr>
        <w:t>resents a column line chart</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 xml:space="preserve"> S</w:t>
      </w:r>
      <w:r>
        <w:rPr>
          <w:rFonts w:ascii="Book Antiqua" w:hAnsi="Book Antiqua" w:cs="Book Antiqua"/>
        </w:rPr>
        <w:t>hows a calibration curve</w:t>
      </w:r>
      <w:r>
        <w:rPr>
          <w:rFonts w:ascii="Book Antiqua" w:eastAsia="宋体" w:hAnsi="Book Antiqua" w:cs="Book Antiqua" w:hint="eastAsia"/>
          <w:lang w:eastAsia="zh-CN"/>
        </w:rPr>
        <w:t>;</w:t>
      </w:r>
      <w:r>
        <w:rPr>
          <w:rFonts w:ascii="Book Antiqua" w:hAnsi="Book Antiqua" w:cs="Book Antiqua"/>
        </w:rPr>
        <w:t xml:space="preserve"> C:</w:t>
      </w:r>
      <w:r>
        <w:rPr>
          <w:rFonts w:ascii="Book Antiqua" w:eastAsia="宋体" w:hAnsi="Book Antiqua" w:cs="Book Antiqua" w:hint="eastAsia"/>
          <w:lang w:eastAsia="zh-CN"/>
        </w:rPr>
        <w:t xml:space="preserve"> P</w:t>
      </w:r>
      <w:r>
        <w:rPr>
          <w:rFonts w:ascii="Book Antiqua" w:hAnsi="Book Antiqua" w:cs="Book Antiqua"/>
        </w:rPr>
        <w:t>resents a heat map of the correlation between model genes and immune cells</w:t>
      </w:r>
      <w:r>
        <w:rPr>
          <w:rFonts w:ascii="Book Antiqua" w:eastAsia="宋体" w:hAnsi="Book Antiqua" w:cs="Book Antiqua" w:hint="eastAsia"/>
          <w:lang w:eastAsia="zh-CN"/>
        </w:rPr>
        <w:t xml:space="preserve">; </w:t>
      </w:r>
      <w:proofErr w:type="gramStart"/>
      <w:r>
        <w:rPr>
          <w:rFonts w:ascii="Book Antiqua" w:eastAsia="宋体" w:hAnsi="Book Antiqua" w:cs="Book Antiqua" w:hint="eastAsia"/>
          <w:lang w:eastAsia="zh-CN"/>
        </w:rPr>
        <w:t>D:The</w:t>
      </w:r>
      <w:proofErr w:type="gramEnd"/>
      <w:r>
        <w:rPr>
          <w:rFonts w:ascii="Book Antiqua" w:eastAsia="宋体" w:hAnsi="Book Antiqua" w:cs="Book Antiqua" w:hint="eastAsia"/>
          <w:lang w:eastAsia="zh-CN"/>
        </w:rPr>
        <w:t xml:space="preserve"> survival curve of </w:t>
      </w:r>
      <w:r>
        <w:rPr>
          <w:rFonts w:ascii="Book Antiqua" w:eastAsia="宋体" w:hAnsi="Book Antiqua" w:cs="Book Antiqua" w:hint="eastAsia"/>
          <w:i/>
          <w:iCs/>
          <w:lang w:eastAsia="zh-CN"/>
        </w:rPr>
        <w:t>APOD</w:t>
      </w:r>
      <w:r>
        <w:rPr>
          <w:rFonts w:ascii="Book Antiqua" w:eastAsia="宋体" w:hAnsi="Book Antiqua" w:cs="Book Antiqua" w:hint="eastAsia"/>
          <w:lang w:eastAsia="zh-CN"/>
        </w:rPr>
        <w:t xml:space="preserve"> in gastric cancer was significantly different between high and low risk groups (</w:t>
      </w:r>
      <w:bookmarkStart w:id="2" w:name="OLE_LINK2"/>
      <w:r>
        <w:rPr>
          <w:rFonts w:ascii="Book Antiqua" w:eastAsia="宋体" w:hAnsi="Book Antiqua" w:cs="Book Antiqua" w:hint="eastAsia"/>
          <w:i/>
          <w:iCs/>
          <w:lang w:eastAsia="zh-CN"/>
        </w:rPr>
        <w:t xml:space="preserve">P </w:t>
      </w:r>
      <w:r>
        <w:rPr>
          <w:rFonts w:ascii="Book Antiqua" w:eastAsia="宋体" w:hAnsi="Book Antiqua" w:cs="Book Antiqua"/>
          <w:lang w:eastAsia="zh-CN"/>
        </w:rPr>
        <w:t>&lt;</w:t>
      </w:r>
      <w:r>
        <w:rPr>
          <w:rFonts w:ascii="Book Antiqua" w:eastAsia="宋体" w:hAnsi="Book Antiqua" w:cs="Book Antiqua" w:hint="eastAsia"/>
          <w:lang w:eastAsia="zh-CN"/>
        </w:rPr>
        <w:t xml:space="preserve"> 0.05</w:t>
      </w:r>
      <w:bookmarkEnd w:id="2"/>
      <w:r>
        <w:rPr>
          <w:rFonts w:ascii="Book Antiqua" w:eastAsia="宋体" w:hAnsi="Book Antiqua" w:cs="Book Antiqua" w:hint="eastAsia"/>
          <w:lang w:eastAsia="zh-CN"/>
        </w:rPr>
        <w:t xml:space="preserve">); E: The survival curve of </w:t>
      </w:r>
      <w:r>
        <w:rPr>
          <w:rFonts w:ascii="Book Antiqua" w:eastAsia="宋体" w:hAnsi="Book Antiqua" w:cs="Book Antiqua" w:hint="eastAsia"/>
          <w:i/>
          <w:iCs/>
          <w:lang w:eastAsia="zh-CN"/>
        </w:rPr>
        <w:t>PLS3</w:t>
      </w:r>
      <w:r>
        <w:rPr>
          <w:rFonts w:ascii="Book Antiqua" w:eastAsia="宋体" w:hAnsi="Book Antiqua" w:cs="Book Antiqua" w:hint="eastAsia"/>
          <w:lang w:eastAsia="zh-CN"/>
        </w:rPr>
        <w:t xml:space="preserve"> in gastric cancer was shown between high and low risk groups, and the results suggested that the difference was not significant (</w:t>
      </w:r>
      <w:r>
        <w:rPr>
          <w:rFonts w:ascii="Book Antiqua" w:eastAsia="宋体" w:hAnsi="Book Antiqua" w:cs="Book Antiqua" w:hint="eastAsia"/>
          <w:i/>
          <w:iCs/>
          <w:lang w:eastAsia="zh-CN"/>
        </w:rPr>
        <w:t xml:space="preserve">P </w:t>
      </w:r>
      <w:r>
        <w:rPr>
          <w:rFonts w:ascii="Book Antiqua" w:eastAsia="宋体" w:hAnsi="Book Antiqua" w:cs="Book Antiqua"/>
          <w:lang w:eastAsia="zh-CN"/>
        </w:rPr>
        <w:t>&gt;</w:t>
      </w:r>
      <w:r>
        <w:rPr>
          <w:rFonts w:ascii="Book Antiqua" w:eastAsia="宋体" w:hAnsi="Book Antiqua" w:cs="Book Antiqua" w:hint="eastAsia"/>
          <w:lang w:eastAsia="zh-CN"/>
        </w:rPr>
        <w:t xml:space="preserve"> 0.05).</w:t>
      </w:r>
    </w:p>
    <w:p w14:paraId="20873857" w14:textId="77777777" w:rsidR="00C62577" w:rsidRDefault="00000000">
      <w:pPr>
        <w:adjustRightInd w:val="0"/>
        <w:snapToGrid w:val="0"/>
        <w:spacing w:line="360" w:lineRule="auto"/>
        <w:jc w:val="both"/>
        <w:rPr>
          <w:rFonts w:ascii="Book Antiqua" w:hAnsi="Book Antiqua" w:cs="Book Antiqua"/>
        </w:rPr>
      </w:pPr>
      <w:r>
        <w:rPr>
          <w:noProof/>
          <w:lang w:eastAsia="zh-CN"/>
        </w:rPr>
        <w:lastRenderedPageBreak/>
        <w:drawing>
          <wp:inline distT="0" distB="0" distL="114300" distR="114300" wp14:anchorId="3CDF3B29" wp14:editId="5AED5A7A">
            <wp:extent cx="5935980" cy="3319780"/>
            <wp:effectExtent l="0" t="0" r="7620" b="2540"/>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33"/>
                    <a:stretch>
                      <a:fillRect/>
                    </a:stretch>
                  </pic:blipFill>
                  <pic:spPr>
                    <a:xfrm>
                      <a:off x="0" y="0"/>
                      <a:ext cx="5935980" cy="3319780"/>
                    </a:xfrm>
                    <a:prstGeom prst="rect">
                      <a:avLst/>
                    </a:prstGeom>
                    <a:noFill/>
                    <a:ln>
                      <a:noFill/>
                    </a:ln>
                  </pic:spPr>
                </pic:pic>
              </a:graphicData>
            </a:graphic>
          </wp:inline>
        </w:drawing>
      </w:r>
      <w:r>
        <w:rPr>
          <w:noProof/>
          <w:lang w:eastAsia="zh-CN"/>
        </w:rPr>
        <w:drawing>
          <wp:inline distT="0" distB="0" distL="114300" distR="114300" wp14:anchorId="5EB4D834" wp14:editId="5AD73395">
            <wp:extent cx="5941060" cy="3334385"/>
            <wp:effectExtent l="0" t="0" r="2540" b="3175"/>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34"/>
                    <a:stretch>
                      <a:fillRect/>
                    </a:stretch>
                  </pic:blipFill>
                  <pic:spPr>
                    <a:xfrm>
                      <a:off x="0" y="0"/>
                      <a:ext cx="5941060" cy="3334385"/>
                    </a:xfrm>
                    <a:prstGeom prst="rect">
                      <a:avLst/>
                    </a:prstGeom>
                    <a:noFill/>
                    <a:ln>
                      <a:noFill/>
                    </a:ln>
                  </pic:spPr>
                </pic:pic>
              </a:graphicData>
            </a:graphic>
          </wp:inline>
        </w:drawing>
      </w:r>
    </w:p>
    <w:p w14:paraId="7E8936A5" w14:textId="77777777" w:rsidR="00C62577"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 xml:space="preserve">Figure 10 </w:t>
      </w:r>
      <w:r>
        <w:rPr>
          <w:rFonts w:ascii="Book Antiqua" w:eastAsia="宋体" w:hAnsi="Book Antiqua" w:cs="Book Antiqua" w:hint="eastAsia"/>
          <w:b/>
          <w:bCs/>
          <w:lang w:eastAsia="zh-CN"/>
        </w:rPr>
        <w:t>T</w:t>
      </w:r>
      <w:r>
        <w:rPr>
          <w:rFonts w:ascii="Book Antiqua" w:hAnsi="Book Antiqua" w:cs="Book Antiqua"/>
          <w:b/>
          <w:bCs/>
        </w:rPr>
        <w:t>he correlation between immune cells and risk scores is analyzed.</w:t>
      </w:r>
      <w:r>
        <w:rPr>
          <w:rFonts w:ascii="Book Antiqua" w:eastAsia="宋体" w:hAnsi="Book Antiqua" w:cs="Book Antiqua" w:hint="eastAsia"/>
          <w:b/>
          <w:bCs/>
          <w:lang w:eastAsia="zh-CN"/>
        </w:rPr>
        <w:t xml:space="preserve"> </w:t>
      </w:r>
      <w:r>
        <w:rPr>
          <w:rFonts w:ascii="Book Antiqua" w:eastAsia="宋体" w:hAnsi="Book Antiqua" w:cs="Book Antiqua"/>
          <w:lang w:eastAsia="zh-CN"/>
        </w:rPr>
        <w:t>A</w:t>
      </w:r>
      <w:r>
        <w:rPr>
          <w:rFonts w:ascii="Book Antiqua" w:eastAsia="宋体" w:hAnsi="Book Antiqua" w:cs="Book Antiqua" w:hint="eastAsia"/>
          <w:lang w:eastAsia="zh-CN"/>
        </w:rPr>
        <w:t xml:space="preserve">: </w:t>
      </w:r>
      <w:r>
        <w:rPr>
          <w:rFonts w:ascii="Book Antiqua" w:eastAsia="宋体" w:hAnsi="Book Antiqua" w:cs="Book Antiqua"/>
          <w:lang w:eastAsia="zh-CN"/>
        </w:rPr>
        <w:t xml:space="preserve">There was a positive correlation between B cells naive and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B: The result shows that </w:t>
      </w:r>
      <w:r>
        <w:rPr>
          <w:rFonts w:ascii="Book Antiqua" w:eastAsia="宋体" w:hAnsi="Book Antiqua" w:cs="Book Antiqua" w:hint="eastAsia"/>
          <w:lang w:eastAsia="zh-CN"/>
        </w:rPr>
        <w:t>m</w:t>
      </w:r>
      <w:r>
        <w:rPr>
          <w:rFonts w:ascii="Book Antiqua" w:eastAsia="宋体" w:hAnsi="Book Antiqua" w:cs="Book Antiqua"/>
          <w:lang w:eastAsia="zh-CN"/>
        </w:rPr>
        <w:t xml:space="preserve">acrophages M0 is negatively correlated with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C: The results showed that </w:t>
      </w:r>
      <w:r>
        <w:rPr>
          <w:rFonts w:ascii="Book Antiqua" w:eastAsia="宋体" w:hAnsi="Book Antiqua" w:cs="Book Antiqua" w:hint="eastAsia"/>
          <w:lang w:eastAsia="zh-CN"/>
        </w:rPr>
        <w:t>m</w:t>
      </w:r>
      <w:r>
        <w:rPr>
          <w:rFonts w:ascii="Book Antiqua" w:eastAsia="宋体" w:hAnsi="Book Antiqua" w:cs="Book Antiqua"/>
          <w:lang w:eastAsia="zh-CN"/>
        </w:rPr>
        <w:t xml:space="preserve">acrophages M1 was positively correlated with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D: The results showed that </w:t>
      </w:r>
      <w:r>
        <w:rPr>
          <w:rFonts w:ascii="Book Antiqua" w:eastAsia="宋体" w:hAnsi="Book Antiqua" w:cs="Book Antiqua" w:hint="eastAsia"/>
          <w:lang w:eastAsia="zh-CN"/>
        </w:rPr>
        <w:t>m</w:t>
      </w:r>
      <w:r>
        <w:rPr>
          <w:rFonts w:ascii="Book Antiqua" w:eastAsia="宋体" w:hAnsi="Book Antiqua" w:cs="Book Antiqua"/>
          <w:lang w:eastAsia="zh-CN"/>
        </w:rPr>
        <w:t xml:space="preserve">acrophages M2 was positively correlated with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E: There was a negative </w:t>
      </w:r>
      <w:r>
        <w:rPr>
          <w:rFonts w:ascii="Book Antiqua" w:eastAsia="宋体" w:hAnsi="Book Antiqua" w:cs="Book Antiqua"/>
          <w:lang w:eastAsia="zh-CN"/>
        </w:rPr>
        <w:lastRenderedPageBreak/>
        <w:t xml:space="preserve">correlation between </w:t>
      </w:r>
      <w:r>
        <w:rPr>
          <w:rFonts w:ascii="Book Antiqua" w:eastAsia="宋体" w:hAnsi="Book Antiqua" w:cs="Book Antiqua" w:hint="eastAsia"/>
          <w:lang w:eastAsia="zh-CN"/>
        </w:rPr>
        <w:t>m</w:t>
      </w:r>
      <w:r>
        <w:rPr>
          <w:rFonts w:ascii="Book Antiqua" w:eastAsia="宋体" w:hAnsi="Book Antiqua" w:cs="Book Antiqua"/>
          <w:lang w:eastAsia="zh-CN"/>
        </w:rPr>
        <w:t xml:space="preserve">ast cells activated and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F: The results showed that </w:t>
      </w:r>
      <w:r>
        <w:rPr>
          <w:rFonts w:ascii="Book Antiqua" w:eastAsia="宋体" w:hAnsi="Book Antiqua" w:cs="Book Antiqua" w:hint="eastAsia"/>
          <w:lang w:eastAsia="zh-CN"/>
        </w:rPr>
        <w:t>m</w:t>
      </w:r>
      <w:r>
        <w:rPr>
          <w:rFonts w:ascii="Book Antiqua" w:eastAsia="宋体" w:hAnsi="Book Antiqua" w:cs="Book Antiqua"/>
          <w:lang w:eastAsia="zh-CN"/>
        </w:rPr>
        <w:t xml:space="preserve">ast cells </w:t>
      </w:r>
      <w:proofErr w:type="spellStart"/>
      <w:r>
        <w:rPr>
          <w:rFonts w:ascii="Book Antiqua" w:eastAsia="宋体" w:hAnsi="Book Antiqua" w:cs="Book Antiqua"/>
          <w:lang w:eastAsia="zh-CN"/>
        </w:rPr>
        <w:t>reting</w:t>
      </w:r>
      <w:proofErr w:type="spellEnd"/>
      <w:r>
        <w:rPr>
          <w:rFonts w:ascii="Book Antiqua" w:eastAsia="宋体" w:hAnsi="Book Antiqua" w:cs="Book Antiqua"/>
          <w:lang w:eastAsia="zh-CN"/>
        </w:rPr>
        <w:t xml:space="preserve"> was </w:t>
      </w:r>
      <w:bookmarkStart w:id="3" w:name="OLE_LINK3"/>
      <w:r>
        <w:rPr>
          <w:rFonts w:ascii="Book Antiqua" w:eastAsia="宋体" w:hAnsi="Book Antiqua" w:cs="Book Antiqua"/>
          <w:lang w:eastAsia="zh-CN"/>
        </w:rPr>
        <w:t>positively</w:t>
      </w:r>
      <w:bookmarkEnd w:id="3"/>
      <w:r>
        <w:rPr>
          <w:rFonts w:ascii="Book Antiqua" w:eastAsia="宋体" w:hAnsi="Book Antiqua" w:cs="Book Antiqua"/>
          <w:lang w:eastAsia="zh-CN"/>
        </w:rPr>
        <w:t xml:space="preserve"> correlated with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G: There was a positive correlation between </w:t>
      </w:r>
      <w:r>
        <w:rPr>
          <w:rFonts w:ascii="Book Antiqua" w:eastAsia="宋体" w:hAnsi="Book Antiqua" w:cs="Book Antiqua" w:hint="eastAsia"/>
          <w:lang w:eastAsia="zh-CN"/>
        </w:rPr>
        <w:t>m</w:t>
      </w:r>
      <w:r>
        <w:rPr>
          <w:rFonts w:ascii="Book Antiqua" w:eastAsia="宋体" w:hAnsi="Book Antiqua" w:cs="Book Antiqua"/>
          <w:lang w:eastAsia="zh-CN"/>
        </w:rPr>
        <w:t xml:space="preserve">onocytes and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H: There was a negative correlation between </w:t>
      </w:r>
      <w:r>
        <w:rPr>
          <w:rFonts w:ascii="Book Antiqua" w:eastAsia="宋体" w:hAnsi="Book Antiqua" w:cs="Book Antiqua" w:hint="eastAsia"/>
          <w:lang w:eastAsia="zh-CN"/>
        </w:rPr>
        <w:t>n</w:t>
      </w:r>
      <w:r>
        <w:rPr>
          <w:rFonts w:ascii="Book Antiqua" w:eastAsia="宋体" w:hAnsi="Book Antiqua" w:cs="Book Antiqua"/>
          <w:lang w:eastAsia="zh-CN"/>
        </w:rPr>
        <w:t xml:space="preserve">atural </w:t>
      </w:r>
      <w:r>
        <w:rPr>
          <w:rFonts w:ascii="Book Antiqua" w:eastAsia="宋体" w:hAnsi="Book Antiqua" w:cs="Book Antiqua" w:hint="eastAsia"/>
          <w:lang w:eastAsia="zh-CN"/>
        </w:rPr>
        <w:t>k</w:t>
      </w:r>
      <w:r>
        <w:rPr>
          <w:rFonts w:ascii="Book Antiqua" w:eastAsia="宋体" w:hAnsi="Book Antiqua" w:cs="Book Antiqua"/>
          <w:lang w:eastAsia="zh-CN"/>
        </w:rPr>
        <w:t xml:space="preserve">iller cells activated and </w:t>
      </w:r>
      <w:r>
        <w:rPr>
          <w:rFonts w:ascii="Book Antiqua" w:eastAsia="宋体" w:hAnsi="Book Antiqua" w:cs="Book Antiqua" w:hint="eastAsia"/>
          <w:lang w:eastAsia="zh-CN"/>
        </w:rPr>
        <w:t>r</w:t>
      </w:r>
      <w:r>
        <w:rPr>
          <w:rFonts w:ascii="Book Antiqua" w:eastAsia="宋体" w:hAnsi="Book Antiqua" w:cs="Book Antiqua"/>
          <w:lang w:eastAsia="zh-CN"/>
        </w:rPr>
        <w:t>isk score; I:</w:t>
      </w:r>
      <w:r>
        <w:rPr>
          <w:rFonts w:ascii="Book Antiqua" w:eastAsia="宋体" w:hAnsi="Book Antiqua" w:cs="Book Antiqua" w:hint="eastAsia"/>
          <w:lang w:eastAsia="zh-CN"/>
        </w:rPr>
        <w:t xml:space="preserve"> </w:t>
      </w:r>
      <w:r>
        <w:rPr>
          <w:rFonts w:ascii="Book Antiqua" w:eastAsia="宋体" w:hAnsi="Book Antiqua" w:cs="Book Antiqua"/>
          <w:lang w:eastAsia="zh-CN"/>
        </w:rPr>
        <w:t xml:space="preserve">There was a negative correlation between </w:t>
      </w:r>
      <w:r>
        <w:rPr>
          <w:rFonts w:ascii="Book Antiqua" w:eastAsia="宋体" w:hAnsi="Book Antiqua" w:cs="Book Antiqua" w:hint="eastAsia"/>
          <w:lang w:eastAsia="zh-CN"/>
        </w:rPr>
        <w:t>p</w:t>
      </w:r>
      <w:r>
        <w:rPr>
          <w:rFonts w:ascii="Book Antiqua" w:eastAsia="宋体" w:hAnsi="Book Antiqua" w:cs="Book Antiqua"/>
          <w:lang w:eastAsia="zh-CN"/>
        </w:rPr>
        <w:t xml:space="preserve">lasma cells and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J: There was a positive correlation between T cells CD4 naive and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K: It showed that T cells follicular helper was negatively correlated with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L: There was a positive correlation between T cells gamma delta and </w:t>
      </w:r>
      <w:r>
        <w:rPr>
          <w:rFonts w:ascii="Book Antiqua" w:eastAsia="宋体" w:hAnsi="Book Antiqua" w:cs="Book Antiqua" w:hint="eastAsia"/>
          <w:lang w:eastAsia="zh-CN"/>
        </w:rPr>
        <w:t>r</w:t>
      </w:r>
      <w:r>
        <w:rPr>
          <w:rFonts w:ascii="Book Antiqua" w:eastAsia="宋体" w:hAnsi="Book Antiqua" w:cs="Book Antiqua"/>
          <w:lang w:eastAsia="zh-CN"/>
        </w:rPr>
        <w:t xml:space="preserve">isk score; M: There was a positive correlation between T cells regulation and </w:t>
      </w:r>
      <w:r>
        <w:rPr>
          <w:rFonts w:ascii="Book Antiqua" w:eastAsia="宋体" w:hAnsi="Book Antiqua" w:cs="Book Antiqua" w:hint="eastAsia"/>
          <w:lang w:eastAsia="zh-CN"/>
        </w:rPr>
        <w:t>r</w:t>
      </w:r>
      <w:r>
        <w:rPr>
          <w:rFonts w:ascii="Book Antiqua" w:eastAsia="宋体" w:hAnsi="Book Antiqua" w:cs="Book Antiqua"/>
          <w:lang w:eastAsia="zh-CN"/>
        </w:rPr>
        <w:t>isk score.</w:t>
      </w:r>
    </w:p>
    <w:p w14:paraId="71025E5C" w14:textId="77777777" w:rsidR="00C62577" w:rsidRDefault="00C62577">
      <w:pPr>
        <w:adjustRightInd w:val="0"/>
        <w:snapToGrid w:val="0"/>
        <w:spacing w:line="360" w:lineRule="auto"/>
        <w:jc w:val="both"/>
        <w:rPr>
          <w:rFonts w:ascii="Book Antiqua" w:hAnsi="Book Antiqua" w:cs="Book Antiqua"/>
        </w:rPr>
      </w:pPr>
    </w:p>
    <w:p w14:paraId="02EAEA88" w14:textId="77777777" w:rsidR="00C62577" w:rsidRDefault="00000000">
      <w:pPr>
        <w:adjustRightInd w:val="0"/>
        <w:snapToGrid w:val="0"/>
        <w:spacing w:line="360" w:lineRule="auto"/>
        <w:jc w:val="both"/>
        <w:rPr>
          <w:rFonts w:ascii="Book Antiqua" w:hAnsi="Book Antiqua" w:cs="Book Antiqua"/>
          <w:b/>
          <w:bCs/>
        </w:rPr>
      </w:pPr>
      <w:r>
        <w:rPr>
          <w:noProof/>
          <w:lang w:eastAsia="zh-CN"/>
        </w:rPr>
        <w:lastRenderedPageBreak/>
        <w:drawing>
          <wp:inline distT="0" distB="0" distL="114300" distR="114300" wp14:anchorId="0CE2BC2A" wp14:editId="71595359">
            <wp:extent cx="5939155" cy="2877185"/>
            <wp:effectExtent l="0" t="0" r="4445" b="3175"/>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35"/>
                    <a:stretch>
                      <a:fillRect/>
                    </a:stretch>
                  </pic:blipFill>
                  <pic:spPr>
                    <a:xfrm>
                      <a:off x="0" y="0"/>
                      <a:ext cx="5939155" cy="2877185"/>
                    </a:xfrm>
                    <a:prstGeom prst="rect">
                      <a:avLst/>
                    </a:prstGeom>
                    <a:noFill/>
                    <a:ln>
                      <a:noFill/>
                    </a:ln>
                  </pic:spPr>
                </pic:pic>
              </a:graphicData>
            </a:graphic>
          </wp:inline>
        </w:drawing>
      </w:r>
      <w:r>
        <w:rPr>
          <w:noProof/>
          <w:lang w:eastAsia="zh-CN"/>
        </w:rPr>
        <w:drawing>
          <wp:inline distT="0" distB="0" distL="114300" distR="114300" wp14:anchorId="0ADF711A" wp14:editId="390297FC">
            <wp:extent cx="5937250" cy="2997200"/>
            <wp:effectExtent l="0" t="0" r="6350" b="508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36"/>
                    <a:stretch>
                      <a:fillRect/>
                    </a:stretch>
                  </pic:blipFill>
                  <pic:spPr>
                    <a:xfrm>
                      <a:off x="0" y="0"/>
                      <a:ext cx="5937250" cy="2997200"/>
                    </a:xfrm>
                    <a:prstGeom prst="rect">
                      <a:avLst/>
                    </a:prstGeom>
                    <a:noFill/>
                    <a:ln>
                      <a:noFill/>
                    </a:ln>
                  </pic:spPr>
                </pic:pic>
              </a:graphicData>
            </a:graphic>
          </wp:inline>
        </w:drawing>
      </w:r>
      <w:r>
        <w:rPr>
          <w:noProof/>
          <w:lang w:eastAsia="zh-CN"/>
        </w:rPr>
        <w:lastRenderedPageBreak/>
        <w:drawing>
          <wp:inline distT="0" distB="0" distL="114300" distR="114300" wp14:anchorId="338D7876" wp14:editId="55531F82">
            <wp:extent cx="5939790" cy="2609215"/>
            <wp:effectExtent l="0" t="0" r="3810" b="12065"/>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37"/>
                    <a:stretch>
                      <a:fillRect/>
                    </a:stretch>
                  </pic:blipFill>
                  <pic:spPr>
                    <a:xfrm>
                      <a:off x="0" y="0"/>
                      <a:ext cx="5939790" cy="2609215"/>
                    </a:xfrm>
                    <a:prstGeom prst="rect">
                      <a:avLst/>
                    </a:prstGeom>
                    <a:noFill/>
                    <a:ln>
                      <a:noFill/>
                    </a:ln>
                  </pic:spPr>
                </pic:pic>
              </a:graphicData>
            </a:graphic>
          </wp:inline>
        </w:drawing>
      </w:r>
      <w:r>
        <w:rPr>
          <w:noProof/>
          <w:lang w:eastAsia="zh-CN"/>
        </w:rPr>
        <w:drawing>
          <wp:inline distT="0" distB="0" distL="114300" distR="114300" wp14:anchorId="70EC937E" wp14:editId="3EE33DBD">
            <wp:extent cx="5937885" cy="2713990"/>
            <wp:effectExtent l="0" t="0" r="5715" b="13970"/>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38"/>
                    <a:stretch>
                      <a:fillRect/>
                    </a:stretch>
                  </pic:blipFill>
                  <pic:spPr>
                    <a:xfrm>
                      <a:off x="0" y="0"/>
                      <a:ext cx="5937885" cy="2713990"/>
                    </a:xfrm>
                    <a:prstGeom prst="rect">
                      <a:avLst/>
                    </a:prstGeom>
                    <a:noFill/>
                    <a:ln>
                      <a:noFill/>
                    </a:ln>
                  </pic:spPr>
                </pic:pic>
              </a:graphicData>
            </a:graphic>
          </wp:inline>
        </w:drawing>
      </w:r>
    </w:p>
    <w:p w14:paraId="093427AB" w14:textId="77777777" w:rsidR="00C62577"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11 </w:t>
      </w:r>
      <w:r>
        <w:rPr>
          <w:rFonts w:ascii="Book Antiqua" w:eastAsia="宋体" w:hAnsi="Book Antiqua" w:cs="Book Antiqua" w:hint="eastAsia"/>
          <w:b/>
          <w:bCs/>
          <w:lang w:eastAsia="zh-CN"/>
        </w:rPr>
        <w:t>T</w:t>
      </w:r>
      <w:r>
        <w:rPr>
          <w:rFonts w:ascii="Book Antiqua" w:hAnsi="Book Antiqua" w:cs="Book Antiqua"/>
          <w:b/>
          <w:bCs/>
        </w:rPr>
        <w:t xml:space="preserve">he correlation between the prognostic scoring model and tumor microenvironment, microsatellite instability, and </w:t>
      </w:r>
      <w:proofErr w:type="spellStart"/>
      <w:r>
        <w:rPr>
          <w:rFonts w:ascii="Book Antiqua" w:hAnsi="Book Antiqua" w:cs="Book Antiqua"/>
          <w:b/>
          <w:bCs/>
        </w:rPr>
        <w:t>RNAss</w:t>
      </w:r>
      <w:proofErr w:type="spellEnd"/>
      <w:r>
        <w:rPr>
          <w:rFonts w:ascii="Book Antiqua" w:hAnsi="Book Antiqua" w:cs="Book Antiqua"/>
          <w:b/>
          <w:bCs/>
        </w:rPr>
        <w:t xml:space="preserve">, as well as drug sensitivity analysis, is presented. </w:t>
      </w:r>
      <w:r>
        <w:rPr>
          <w:rFonts w:ascii="Book Antiqua" w:hAnsi="Book Antiqua" w:cs="Book Antiqua"/>
        </w:rPr>
        <w:t>A:</w:t>
      </w:r>
      <w:r>
        <w:rPr>
          <w:rFonts w:ascii="Book Antiqua" w:eastAsia="宋体" w:hAnsi="Book Antiqua" w:cs="Book Antiqua" w:hint="eastAsia"/>
          <w:lang w:eastAsia="zh-CN"/>
        </w:rPr>
        <w:t xml:space="preserve"> S</w:t>
      </w:r>
      <w:r>
        <w:rPr>
          <w:rFonts w:ascii="Book Antiqua" w:hAnsi="Book Antiqua" w:cs="Book Antiqua"/>
        </w:rPr>
        <w:t>hows the tumor microenvironment score for high and low-risk groups</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 xml:space="preserve"> and </w:t>
      </w:r>
      <w:r>
        <w:rPr>
          <w:rFonts w:ascii="Book Antiqua" w:hAnsi="Book Antiqua" w:cs="Book Antiqua"/>
        </w:rPr>
        <w:t>C:</w:t>
      </w:r>
      <w:r>
        <w:rPr>
          <w:rFonts w:ascii="Book Antiqua" w:eastAsia="宋体" w:hAnsi="Book Antiqua" w:cs="Book Antiqua" w:hint="eastAsia"/>
          <w:lang w:eastAsia="zh-CN"/>
        </w:rPr>
        <w:t xml:space="preserve"> P</w:t>
      </w:r>
      <w:r>
        <w:rPr>
          <w:rFonts w:ascii="Book Antiqua" w:hAnsi="Book Antiqua" w:cs="Book Antiqua"/>
        </w:rPr>
        <w:t>resent waterfall plots of mutations for high and low-risk groups</w:t>
      </w:r>
      <w:r>
        <w:rPr>
          <w:rFonts w:ascii="Book Antiqua" w:eastAsia="宋体" w:hAnsi="Book Antiqua" w:cs="Book Antiqua" w:hint="eastAsia"/>
          <w:lang w:eastAsia="zh-CN"/>
        </w:rPr>
        <w:t>;</w:t>
      </w:r>
      <w:r>
        <w:rPr>
          <w:rFonts w:ascii="Book Antiqua" w:hAnsi="Book Antiqua" w:cs="Book Antiqua"/>
        </w:rPr>
        <w:t xml:space="preserve"> D:</w:t>
      </w:r>
      <w:r>
        <w:rPr>
          <w:rFonts w:ascii="Book Antiqua" w:eastAsia="宋体" w:hAnsi="Book Antiqua" w:cs="Book Antiqua" w:hint="eastAsia"/>
          <w:lang w:eastAsia="zh-CN"/>
        </w:rPr>
        <w:t xml:space="preserve"> A</w:t>
      </w:r>
      <w:r>
        <w:rPr>
          <w:rFonts w:ascii="Book Antiqua" w:hAnsi="Book Antiqua" w:cs="Book Antiqua"/>
        </w:rPr>
        <w:t>nalyzes the differences in tumor mutation burden between high and low-risk groups</w:t>
      </w:r>
      <w:r>
        <w:rPr>
          <w:rFonts w:ascii="Book Antiqua" w:eastAsia="宋体" w:hAnsi="Book Antiqua" w:cs="Book Antiqua" w:hint="eastAsia"/>
          <w:lang w:eastAsia="zh-CN"/>
        </w:rPr>
        <w:t>;</w:t>
      </w:r>
      <w:r>
        <w:rPr>
          <w:rFonts w:ascii="Book Antiqua" w:hAnsi="Book Antiqua" w:cs="Book Antiqua"/>
        </w:rPr>
        <w:t xml:space="preserve"> E:</w:t>
      </w:r>
      <w:r>
        <w:rPr>
          <w:rFonts w:ascii="Book Antiqua" w:eastAsia="宋体" w:hAnsi="Book Antiqua" w:cs="Book Antiqua" w:hint="eastAsia"/>
          <w:lang w:eastAsia="zh-CN"/>
        </w:rPr>
        <w:t xml:space="preserve"> S</w:t>
      </w:r>
      <w:r>
        <w:rPr>
          <w:rFonts w:ascii="Book Antiqua" w:hAnsi="Book Antiqua" w:cs="Book Antiqua"/>
        </w:rPr>
        <w:t>hows the relationship between tumor mutation burden and risk score</w:t>
      </w:r>
      <w:r>
        <w:rPr>
          <w:rFonts w:ascii="Book Antiqua" w:eastAsia="宋体" w:hAnsi="Book Antiqua" w:cs="Book Antiqua" w:hint="eastAsia"/>
          <w:lang w:eastAsia="zh-CN"/>
        </w:rPr>
        <w:t>;</w:t>
      </w:r>
      <w:r>
        <w:rPr>
          <w:rFonts w:ascii="Book Antiqua" w:hAnsi="Book Antiqua" w:cs="Book Antiqua"/>
        </w:rPr>
        <w:t xml:space="preserve"> F</w:t>
      </w:r>
      <w:r>
        <w:rPr>
          <w:rFonts w:ascii="Book Antiqua" w:eastAsia="宋体" w:hAnsi="Book Antiqua" w:cs="Book Antiqua" w:hint="eastAsia"/>
          <w:lang w:eastAsia="zh-CN"/>
        </w:rPr>
        <w:t xml:space="preserve"> and </w:t>
      </w:r>
      <w:r>
        <w:rPr>
          <w:rFonts w:ascii="Book Antiqua" w:hAnsi="Book Antiqua" w:cs="Book Antiqua"/>
        </w:rPr>
        <w:t>G:</w:t>
      </w:r>
      <w:r>
        <w:rPr>
          <w:rFonts w:ascii="Book Antiqua" w:eastAsia="宋体" w:hAnsi="Book Antiqua" w:cs="Book Antiqua" w:hint="eastAsia"/>
          <w:lang w:eastAsia="zh-CN"/>
        </w:rPr>
        <w:t xml:space="preserve"> P</w:t>
      </w:r>
      <w:r>
        <w:rPr>
          <w:rFonts w:ascii="Book Antiqua" w:hAnsi="Book Antiqua" w:cs="Book Antiqua"/>
        </w:rPr>
        <w:t>resent microsatellite instability analysis for high and low-risk groups</w:t>
      </w:r>
      <w:r>
        <w:rPr>
          <w:rFonts w:ascii="Book Antiqua" w:eastAsia="宋体" w:hAnsi="Book Antiqua" w:cs="Book Antiqua" w:hint="eastAsia"/>
          <w:lang w:eastAsia="zh-CN"/>
        </w:rPr>
        <w:t>;</w:t>
      </w:r>
      <w:r>
        <w:rPr>
          <w:rFonts w:ascii="Book Antiqua" w:hAnsi="Book Antiqua" w:cs="Book Antiqua"/>
        </w:rPr>
        <w:t xml:space="preserve"> H:</w:t>
      </w:r>
      <w:r>
        <w:rPr>
          <w:rFonts w:ascii="Book Antiqua" w:eastAsia="宋体" w:hAnsi="Book Antiqua" w:cs="Book Antiqua" w:hint="eastAsia"/>
          <w:lang w:eastAsia="zh-CN"/>
        </w:rPr>
        <w:t xml:space="preserve"> A</w:t>
      </w:r>
      <w:r>
        <w:rPr>
          <w:rFonts w:ascii="Book Antiqua" w:hAnsi="Book Antiqua" w:cs="Book Antiqua"/>
        </w:rPr>
        <w:t>nalyzes the correlation between stem cells and risk score</w:t>
      </w:r>
      <w:r>
        <w:rPr>
          <w:rFonts w:ascii="Book Antiqua" w:eastAsia="宋体" w:hAnsi="Book Antiqua" w:cs="Book Antiqua" w:hint="eastAsia"/>
          <w:lang w:eastAsia="zh-CN"/>
        </w:rPr>
        <w:t>;</w:t>
      </w:r>
      <w:r>
        <w:rPr>
          <w:rFonts w:ascii="Book Antiqua" w:hAnsi="Book Antiqua" w:cs="Book Antiqua"/>
        </w:rPr>
        <w:t xml:space="preserve"> I</w:t>
      </w:r>
      <w:r>
        <w:rPr>
          <w:rFonts w:ascii="Book Antiqua" w:eastAsia="宋体" w:hAnsi="Book Antiqua" w:cs="Book Antiqua" w:hint="eastAsia"/>
          <w:lang w:eastAsia="zh-CN"/>
        </w:rPr>
        <w:t xml:space="preserve"> and </w:t>
      </w:r>
      <w:r>
        <w:rPr>
          <w:rFonts w:ascii="Book Antiqua" w:hAnsi="Book Antiqua" w:cs="Book Antiqua"/>
        </w:rPr>
        <w:t>J:</w:t>
      </w:r>
      <w:r>
        <w:rPr>
          <w:rFonts w:ascii="Book Antiqua" w:eastAsia="宋体" w:hAnsi="Book Antiqua" w:cs="Book Antiqua" w:hint="eastAsia"/>
          <w:lang w:eastAsia="zh-CN"/>
        </w:rPr>
        <w:t xml:space="preserve"> P</w:t>
      </w:r>
      <w:r>
        <w:rPr>
          <w:rFonts w:ascii="Book Antiqua" w:hAnsi="Book Antiqua" w:cs="Book Antiqua"/>
        </w:rPr>
        <w:t xml:space="preserve">resent drug sensitivity analysis for drugs such as Bosutinib and </w:t>
      </w:r>
      <w:proofErr w:type="spellStart"/>
      <w:r>
        <w:rPr>
          <w:rFonts w:ascii="Book Antiqua" w:hAnsi="Book Antiqua" w:cs="Book Antiqua"/>
        </w:rPr>
        <w:t>Bryostatin</w:t>
      </w:r>
      <w:proofErr w:type="spellEnd"/>
      <w:r>
        <w:rPr>
          <w:rFonts w:ascii="Book Antiqua" w:hAnsi="Book Antiqua" w:cs="Book Antiqua"/>
        </w:rPr>
        <w:t>.</w:t>
      </w:r>
    </w:p>
    <w:p w14:paraId="30E290CF" w14:textId="77777777" w:rsidR="00C62577" w:rsidRDefault="00C62577">
      <w:pPr>
        <w:adjustRightInd w:val="0"/>
        <w:snapToGrid w:val="0"/>
        <w:spacing w:line="360" w:lineRule="auto"/>
        <w:jc w:val="both"/>
        <w:rPr>
          <w:rFonts w:ascii="Book Antiqua" w:hAnsi="Book Antiqua" w:cs="Book Antiqua"/>
        </w:rPr>
      </w:pPr>
    </w:p>
    <w:p w14:paraId="7EDA1CD1" w14:textId="77777777" w:rsidR="00C62577" w:rsidRDefault="00000000">
      <w:pPr>
        <w:adjustRightInd w:val="0"/>
        <w:snapToGrid w:val="0"/>
        <w:spacing w:line="360" w:lineRule="auto"/>
        <w:jc w:val="both"/>
        <w:rPr>
          <w:rFonts w:ascii="Book Antiqua" w:hAnsi="Book Antiqua" w:cs="Book Antiqua"/>
          <w:b/>
          <w:bCs/>
        </w:rPr>
      </w:pPr>
      <w:r>
        <w:rPr>
          <w:noProof/>
          <w:lang w:eastAsia="zh-CN"/>
        </w:rPr>
        <w:lastRenderedPageBreak/>
        <w:drawing>
          <wp:inline distT="0" distB="0" distL="114300" distR="114300" wp14:anchorId="2EC443F8" wp14:editId="3A703F6F">
            <wp:extent cx="5890260" cy="3467100"/>
            <wp:effectExtent l="0" t="0" r="7620" b="7620"/>
            <wp:docPr id="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pic:cNvPicPr>
                      <a:picLocks noChangeAspect="1"/>
                    </pic:cNvPicPr>
                  </pic:nvPicPr>
                  <pic:blipFill>
                    <a:blip r:embed="rId39"/>
                    <a:stretch>
                      <a:fillRect/>
                    </a:stretch>
                  </pic:blipFill>
                  <pic:spPr>
                    <a:xfrm>
                      <a:off x="0" y="0"/>
                      <a:ext cx="5890260" cy="3467100"/>
                    </a:xfrm>
                    <a:prstGeom prst="rect">
                      <a:avLst/>
                    </a:prstGeom>
                    <a:noFill/>
                    <a:ln>
                      <a:noFill/>
                    </a:ln>
                  </pic:spPr>
                </pic:pic>
              </a:graphicData>
            </a:graphic>
          </wp:inline>
        </w:drawing>
      </w:r>
      <w:r>
        <w:rPr>
          <w:noProof/>
          <w:lang w:eastAsia="zh-CN"/>
        </w:rPr>
        <w:drawing>
          <wp:inline distT="0" distB="0" distL="114300" distR="114300" wp14:anchorId="7F3E63F5" wp14:editId="178D97A8">
            <wp:extent cx="5082540" cy="3459480"/>
            <wp:effectExtent l="0" t="0" r="7620" b="0"/>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40"/>
                    <a:stretch>
                      <a:fillRect/>
                    </a:stretch>
                  </pic:blipFill>
                  <pic:spPr>
                    <a:xfrm>
                      <a:off x="0" y="0"/>
                      <a:ext cx="5082540" cy="3459480"/>
                    </a:xfrm>
                    <a:prstGeom prst="rect">
                      <a:avLst/>
                    </a:prstGeom>
                    <a:noFill/>
                    <a:ln>
                      <a:noFill/>
                    </a:ln>
                  </pic:spPr>
                </pic:pic>
              </a:graphicData>
            </a:graphic>
          </wp:inline>
        </w:drawing>
      </w:r>
    </w:p>
    <w:p w14:paraId="109087C2" w14:textId="77777777" w:rsidR="00C62577" w:rsidRDefault="00000000">
      <w:pPr>
        <w:adjustRightInd w:val="0"/>
        <w:snapToGrid w:val="0"/>
        <w:spacing w:line="360" w:lineRule="auto"/>
        <w:jc w:val="both"/>
      </w:pPr>
      <w:r>
        <w:rPr>
          <w:rFonts w:ascii="Book Antiqua" w:hAnsi="Book Antiqua" w:cs="Book Antiqua"/>
          <w:b/>
          <w:bCs/>
        </w:rPr>
        <w:t xml:space="preserve">Figure 12 </w:t>
      </w:r>
      <w:r>
        <w:rPr>
          <w:rFonts w:ascii="Book Antiqua" w:eastAsia="宋体" w:hAnsi="Book Antiqua" w:cs="Book Antiqua" w:hint="eastAsia"/>
          <w:b/>
          <w:bCs/>
          <w:lang w:eastAsia="zh-CN"/>
        </w:rPr>
        <w:t>T</w:t>
      </w:r>
      <w:r>
        <w:rPr>
          <w:rFonts w:ascii="Book Antiqua" w:hAnsi="Book Antiqua" w:cs="Book Antiqua"/>
          <w:b/>
          <w:bCs/>
        </w:rPr>
        <w:t xml:space="preserve">he immunohistochemical analysis of the </w:t>
      </w:r>
      <w:r>
        <w:rPr>
          <w:rFonts w:ascii="Book Antiqua" w:hAnsi="Book Antiqua" w:cs="Book Antiqua"/>
          <w:b/>
          <w:bCs/>
          <w:i/>
          <w:iCs/>
        </w:rPr>
        <w:t>APOD</w:t>
      </w:r>
      <w:r>
        <w:rPr>
          <w:rFonts w:ascii="Book Antiqua" w:hAnsi="Book Antiqua" w:cs="Book Antiqua"/>
          <w:b/>
          <w:bCs/>
        </w:rPr>
        <w:t xml:space="preserve"> gene based on</w:t>
      </w:r>
      <w:r>
        <w:rPr>
          <w:rFonts w:ascii="Book Antiqua" w:eastAsia="宋体" w:hAnsi="Book Antiqua" w:cs="Book Antiqua" w:hint="eastAsia"/>
          <w:b/>
          <w:bCs/>
          <w:lang w:eastAsia="zh-CN"/>
        </w:rPr>
        <w:t xml:space="preserve"> h</w:t>
      </w:r>
      <w:r>
        <w:rPr>
          <w:rFonts w:ascii="Book Antiqua" w:hAnsi="Book Antiqua" w:cs="Book Antiqua"/>
          <w:b/>
          <w:bCs/>
        </w:rPr>
        <w:t xml:space="preserve">uman </w:t>
      </w:r>
      <w:r>
        <w:rPr>
          <w:rFonts w:ascii="Book Antiqua" w:eastAsia="宋体" w:hAnsi="Book Antiqua" w:cs="Book Antiqua" w:hint="eastAsia"/>
          <w:b/>
          <w:bCs/>
          <w:lang w:eastAsia="zh-CN"/>
        </w:rPr>
        <w:t>p</w:t>
      </w:r>
      <w:r>
        <w:rPr>
          <w:rFonts w:ascii="Book Antiqua" w:hAnsi="Book Antiqua" w:cs="Book Antiqua"/>
          <w:b/>
          <w:bCs/>
        </w:rPr>
        <w:t xml:space="preserve">rotein </w:t>
      </w:r>
      <w:r>
        <w:rPr>
          <w:rFonts w:ascii="Book Antiqua" w:eastAsia="宋体" w:hAnsi="Book Antiqua" w:cs="Book Antiqua" w:hint="eastAsia"/>
          <w:b/>
          <w:bCs/>
          <w:lang w:eastAsia="zh-CN"/>
        </w:rPr>
        <w:t>a</w:t>
      </w:r>
      <w:r>
        <w:rPr>
          <w:rFonts w:ascii="Book Antiqua" w:hAnsi="Book Antiqua" w:cs="Book Antiqua"/>
          <w:b/>
          <w:bCs/>
        </w:rPr>
        <w:t xml:space="preserve">tlas is presented. </w:t>
      </w:r>
      <w:r>
        <w:rPr>
          <w:rFonts w:ascii="Book Antiqua" w:eastAsia="宋体" w:hAnsi="Book Antiqua" w:cs="Book Antiqua" w:hint="eastAsia"/>
          <w:lang w:eastAsia="zh-CN"/>
        </w:rPr>
        <w:t>A: T</w:t>
      </w:r>
      <w:r>
        <w:rPr>
          <w:rFonts w:ascii="Book Antiqua" w:hAnsi="Book Antiqua" w:cs="Book Antiqua"/>
        </w:rPr>
        <w:t>umor tissue</w:t>
      </w:r>
      <w:r>
        <w:rPr>
          <w:rFonts w:ascii="Book Antiqua" w:eastAsia="宋体" w:hAnsi="Book Antiqua" w:cs="Book Antiqua" w:hint="eastAsia"/>
          <w:lang w:eastAsia="zh-CN"/>
        </w:rPr>
        <w:t>; B: N</w:t>
      </w:r>
      <w:r>
        <w:rPr>
          <w:rFonts w:ascii="Book Antiqua" w:hAnsi="Book Antiqua" w:cs="Book Antiqua"/>
        </w:rPr>
        <w:t>ormal tissue</w:t>
      </w:r>
      <w:r>
        <w:rPr>
          <w:rFonts w:ascii="Book Antiqua" w:eastAsia="宋体" w:hAnsi="Book Antiqua" w:cs="Book Antiqua" w:hint="eastAsia"/>
          <w:lang w:eastAsia="zh-CN"/>
        </w:rPr>
        <w:t>. T: T</w:t>
      </w:r>
      <w:r>
        <w:rPr>
          <w:rFonts w:ascii="Book Antiqua" w:hAnsi="Book Antiqua" w:cs="Book Antiqua"/>
        </w:rPr>
        <w:t>umor tissue</w:t>
      </w:r>
      <w:r>
        <w:rPr>
          <w:rFonts w:ascii="Book Antiqua" w:eastAsia="宋体" w:hAnsi="Book Antiqua" w:cs="Book Antiqua" w:hint="eastAsia"/>
          <w:lang w:eastAsia="zh-CN"/>
        </w:rPr>
        <w:t>; B: N</w:t>
      </w:r>
      <w:r>
        <w:rPr>
          <w:rFonts w:ascii="Book Antiqua" w:hAnsi="Book Antiqua" w:cs="Book Antiqua"/>
        </w:rPr>
        <w:t>ormal tissue</w:t>
      </w:r>
      <w:r>
        <w:rPr>
          <w:rFonts w:ascii="Book Antiqua" w:eastAsia="宋体" w:hAnsi="Book Antiqua" w:cs="Book Antiqua" w:hint="eastAsia"/>
          <w:lang w:eastAsia="zh-CN"/>
        </w:rPr>
        <w:t>.</w:t>
      </w:r>
    </w:p>
    <w:sectPr w:rsidR="00C625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C226D" w14:textId="77777777" w:rsidR="000C5BFB" w:rsidRDefault="000C5BFB">
      <w:r>
        <w:separator/>
      </w:r>
    </w:p>
  </w:endnote>
  <w:endnote w:type="continuationSeparator" w:id="0">
    <w:p w14:paraId="673B85C0" w14:textId="77777777" w:rsidR="000C5BFB" w:rsidRDefault="000C5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322292"/>
    </w:sdtPr>
    <w:sdtContent>
      <w:sdt>
        <w:sdtPr>
          <w:id w:val="860082579"/>
        </w:sdtPr>
        <w:sdtContent>
          <w:p w14:paraId="486A200D" w14:textId="77777777" w:rsidR="00C62577" w:rsidRDefault="00000000">
            <w:pPr>
              <w:pStyle w:val="a4"/>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51</w:t>
            </w:r>
            <w:r>
              <w:rPr>
                <w:rFonts w:ascii="Book Antiqua" w:hAnsi="Book Antiqua"/>
                <w:bCs/>
                <w:sz w:val="24"/>
                <w:szCs w:val="24"/>
              </w:rPr>
              <w:fldChar w:fldCharType="end"/>
            </w:r>
          </w:p>
        </w:sdtContent>
      </w:sdt>
    </w:sdtContent>
  </w:sdt>
  <w:p w14:paraId="2A5C6F8F" w14:textId="77777777" w:rsidR="00C62577" w:rsidRDefault="00C6257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CDA2D" w14:textId="77777777" w:rsidR="000C5BFB" w:rsidRDefault="000C5BFB">
      <w:r>
        <w:separator/>
      </w:r>
    </w:p>
  </w:footnote>
  <w:footnote w:type="continuationSeparator" w:id="0">
    <w:p w14:paraId="36082E38" w14:textId="77777777" w:rsidR="000C5BFB" w:rsidRDefault="000C5BF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A002F"/>
    <w:rsid w:val="000C5BFB"/>
    <w:rsid w:val="001F7F7E"/>
    <w:rsid w:val="002E1F6F"/>
    <w:rsid w:val="002F3A48"/>
    <w:rsid w:val="003A6B66"/>
    <w:rsid w:val="004874D5"/>
    <w:rsid w:val="005C546A"/>
    <w:rsid w:val="006911F9"/>
    <w:rsid w:val="00753DA4"/>
    <w:rsid w:val="008B146B"/>
    <w:rsid w:val="009F23EF"/>
    <w:rsid w:val="00A77B3E"/>
    <w:rsid w:val="00C62577"/>
    <w:rsid w:val="00CA2A55"/>
    <w:rsid w:val="00D30547"/>
    <w:rsid w:val="00D7297C"/>
    <w:rsid w:val="00E13486"/>
    <w:rsid w:val="00E15234"/>
    <w:rsid w:val="00E865C2"/>
    <w:rsid w:val="00F44F67"/>
    <w:rsid w:val="01145609"/>
    <w:rsid w:val="011E1FE4"/>
    <w:rsid w:val="014632E9"/>
    <w:rsid w:val="014F219D"/>
    <w:rsid w:val="017240DE"/>
    <w:rsid w:val="01A22C15"/>
    <w:rsid w:val="01A73D87"/>
    <w:rsid w:val="01A87AFF"/>
    <w:rsid w:val="01C54B55"/>
    <w:rsid w:val="01D17056"/>
    <w:rsid w:val="01EC0334"/>
    <w:rsid w:val="01EC5C3E"/>
    <w:rsid w:val="01F82835"/>
    <w:rsid w:val="020016E9"/>
    <w:rsid w:val="02070CCA"/>
    <w:rsid w:val="023A109F"/>
    <w:rsid w:val="0241242E"/>
    <w:rsid w:val="024E4B4B"/>
    <w:rsid w:val="02663C42"/>
    <w:rsid w:val="027D3B5B"/>
    <w:rsid w:val="02B56978"/>
    <w:rsid w:val="02D17BE8"/>
    <w:rsid w:val="02E01C47"/>
    <w:rsid w:val="030376E3"/>
    <w:rsid w:val="030516AD"/>
    <w:rsid w:val="032B6C3A"/>
    <w:rsid w:val="034675D0"/>
    <w:rsid w:val="03547F3F"/>
    <w:rsid w:val="03767EB5"/>
    <w:rsid w:val="039667A9"/>
    <w:rsid w:val="03975914"/>
    <w:rsid w:val="03977E2B"/>
    <w:rsid w:val="03A82039"/>
    <w:rsid w:val="03B804CE"/>
    <w:rsid w:val="03D1158F"/>
    <w:rsid w:val="03EE2141"/>
    <w:rsid w:val="041D6583"/>
    <w:rsid w:val="046248DD"/>
    <w:rsid w:val="04722D72"/>
    <w:rsid w:val="04806B11"/>
    <w:rsid w:val="04825C21"/>
    <w:rsid w:val="048C3708"/>
    <w:rsid w:val="049C1B9D"/>
    <w:rsid w:val="04DE21B6"/>
    <w:rsid w:val="04E83035"/>
    <w:rsid w:val="04F33787"/>
    <w:rsid w:val="04F82B4C"/>
    <w:rsid w:val="0506170D"/>
    <w:rsid w:val="050F6813"/>
    <w:rsid w:val="05340028"/>
    <w:rsid w:val="05412745"/>
    <w:rsid w:val="05542478"/>
    <w:rsid w:val="0571302A"/>
    <w:rsid w:val="058B39C0"/>
    <w:rsid w:val="05D215EF"/>
    <w:rsid w:val="05E05ABA"/>
    <w:rsid w:val="05E25CD6"/>
    <w:rsid w:val="05ED6429"/>
    <w:rsid w:val="0619721E"/>
    <w:rsid w:val="065D710A"/>
    <w:rsid w:val="066A1827"/>
    <w:rsid w:val="06A116ED"/>
    <w:rsid w:val="06D373CC"/>
    <w:rsid w:val="06E11AE9"/>
    <w:rsid w:val="06F86E33"/>
    <w:rsid w:val="0721638A"/>
    <w:rsid w:val="0757624F"/>
    <w:rsid w:val="075E75DE"/>
    <w:rsid w:val="075F6EB2"/>
    <w:rsid w:val="0781507A"/>
    <w:rsid w:val="07C05BA3"/>
    <w:rsid w:val="07D23B28"/>
    <w:rsid w:val="07D433FC"/>
    <w:rsid w:val="07FB6BDB"/>
    <w:rsid w:val="08002443"/>
    <w:rsid w:val="080261BB"/>
    <w:rsid w:val="0817778D"/>
    <w:rsid w:val="08193505"/>
    <w:rsid w:val="08420CAE"/>
    <w:rsid w:val="084E1401"/>
    <w:rsid w:val="084E7652"/>
    <w:rsid w:val="085E53BC"/>
    <w:rsid w:val="086E1AA3"/>
    <w:rsid w:val="08732C15"/>
    <w:rsid w:val="0882554E"/>
    <w:rsid w:val="089A2898"/>
    <w:rsid w:val="08C16076"/>
    <w:rsid w:val="08D31906"/>
    <w:rsid w:val="08EB30F3"/>
    <w:rsid w:val="08FD2E27"/>
    <w:rsid w:val="09000221"/>
    <w:rsid w:val="09067F2D"/>
    <w:rsid w:val="093C74AB"/>
    <w:rsid w:val="094B1DE4"/>
    <w:rsid w:val="096802A0"/>
    <w:rsid w:val="096D1D5A"/>
    <w:rsid w:val="09F45FD8"/>
    <w:rsid w:val="09FE29B2"/>
    <w:rsid w:val="0A00672A"/>
    <w:rsid w:val="0A14667A"/>
    <w:rsid w:val="0A1B17B6"/>
    <w:rsid w:val="0A3665F0"/>
    <w:rsid w:val="0A590531"/>
    <w:rsid w:val="0A917CCA"/>
    <w:rsid w:val="0AC43BFC"/>
    <w:rsid w:val="0AC77248"/>
    <w:rsid w:val="0AE56260"/>
    <w:rsid w:val="0AEE0DA7"/>
    <w:rsid w:val="0B0B35D9"/>
    <w:rsid w:val="0B1D50BA"/>
    <w:rsid w:val="0B224DC6"/>
    <w:rsid w:val="0B260413"/>
    <w:rsid w:val="0B380146"/>
    <w:rsid w:val="0B3A5C6C"/>
    <w:rsid w:val="0B4E1717"/>
    <w:rsid w:val="0B705B32"/>
    <w:rsid w:val="0B786794"/>
    <w:rsid w:val="0B8B296C"/>
    <w:rsid w:val="0B9C6927"/>
    <w:rsid w:val="0BCA3494"/>
    <w:rsid w:val="0BCB0FBA"/>
    <w:rsid w:val="0BD31C1D"/>
    <w:rsid w:val="0BE856C8"/>
    <w:rsid w:val="0BFC1173"/>
    <w:rsid w:val="0BFC5617"/>
    <w:rsid w:val="0C1B5A9E"/>
    <w:rsid w:val="0C25691C"/>
    <w:rsid w:val="0C28640C"/>
    <w:rsid w:val="0C322DE7"/>
    <w:rsid w:val="0C372D53"/>
    <w:rsid w:val="0C452B1A"/>
    <w:rsid w:val="0C5114BF"/>
    <w:rsid w:val="0C6C454B"/>
    <w:rsid w:val="0C6D2071"/>
    <w:rsid w:val="0C774C9E"/>
    <w:rsid w:val="0CAC4948"/>
    <w:rsid w:val="0CBE28CD"/>
    <w:rsid w:val="0CC7352F"/>
    <w:rsid w:val="0CD65E68"/>
    <w:rsid w:val="0D156991"/>
    <w:rsid w:val="0D162709"/>
    <w:rsid w:val="0D205D04"/>
    <w:rsid w:val="0D4B4161"/>
    <w:rsid w:val="0D570D57"/>
    <w:rsid w:val="0D611BD6"/>
    <w:rsid w:val="0DC67C8B"/>
    <w:rsid w:val="0DE95727"/>
    <w:rsid w:val="0DF50570"/>
    <w:rsid w:val="0DF540CC"/>
    <w:rsid w:val="0E146C48"/>
    <w:rsid w:val="0E264E93"/>
    <w:rsid w:val="0E39220B"/>
    <w:rsid w:val="0E72396F"/>
    <w:rsid w:val="0E7E0566"/>
    <w:rsid w:val="0E875E5F"/>
    <w:rsid w:val="0EB6385C"/>
    <w:rsid w:val="0ED974DB"/>
    <w:rsid w:val="0EED1247"/>
    <w:rsid w:val="0F087E2F"/>
    <w:rsid w:val="0F1669F0"/>
    <w:rsid w:val="0F276507"/>
    <w:rsid w:val="0F2F360E"/>
    <w:rsid w:val="0F476BAA"/>
    <w:rsid w:val="0F517A28"/>
    <w:rsid w:val="0F7554C5"/>
    <w:rsid w:val="0F957915"/>
    <w:rsid w:val="0FB57FB7"/>
    <w:rsid w:val="0FCB77DB"/>
    <w:rsid w:val="0FCC70AF"/>
    <w:rsid w:val="0FFA1E6E"/>
    <w:rsid w:val="10466E61"/>
    <w:rsid w:val="10521CAA"/>
    <w:rsid w:val="107439CE"/>
    <w:rsid w:val="108A1444"/>
    <w:rsid w:val="10AA73F0"/>
    <w:rsid w:val="10C04426"/>
    <w:rsid w:val="10C06C14"/>
    <w:rsid w:val="10FE598E"/>
    <w:rsid w:val="11020FDA"/>
    <w:rsid w:val="11603F53"/>
    <w:rsid w:val="11671785"/>
    <w:rsid w:val="11847C41"/>
    <w:rsid w:val="11895257"/>
    <w:rsid w:val="11D81D3B"/>
    <w:rsid w:val="11DF756D"/>
    <w:rsid w:val="11E40B43"/>
    <w:rsid w:val="11E42DD6"/>
    <w:rsid w:val="11F72B09"/>
    <w:rsid w:val="1209283C"/>
    <w:rsid w:val="12443874"/>
    <w:rsid w:val="124675EC"/>
    <w:rsid w:val="127A7296"/>
    <w:rsid w:val="12A54313"/>
    <w:rsid w:val="12B409FA"/>
    <w:rsid w:val="12C34799"/>
    <w:rsid w:val="12FE7EC7"/>
    <w:rsid w:val="13315BA7"/>
    <w:rsid w:val="136715C8"/>
    <w:rsid w:val="138228A6"/>
    <w:rsid w:val="13C0517C"/>
    <w:rsid w:val="14327E28"/>
    <w:rsid w:val="143A0A8B"/>
    <w:rsid w:val="143F2545"/>
    <w:rsid w:val="147815B3"/>
    <w:rsid w:val="147E306D"/>
    <w:rsid w:val="14AA3E63"/>
    <w:rsid w:val="14BE16BC"/>
    <w:rsid w:val="14D42C8D"/>
    <w:rsid w:val="14D507B4"/>
    <w:rsid w:val="14DA401C"/>
    <w:rsid w:val="15007F26"/>
    <w:rsid w:val="15051099"/>
    <w:rsid w:val="151439D2"/>
    <w:rsid w:val="1524459B"/>
    <w:rsid w:val="152543B4"/>
    <w:rsid w:val="156F0C08"/>
    <w:rsid w:val="15806971"/>
    <w:rsid w:val="15836462"/>
    <w:rsid w:val="158E5532"/>
    <w:rsid w:val="159D39C7"/>
    <w:rsid w:val="15D32F45"/>
    <w:rsid w:val="15F555B1"/>
    <w:rsid w:val="15F66C34"/>
    <w:rsid w:val="16225C7A"/>
    <w:rsid w:val="164B6F7F"/>
    <w:rsid w:val="164C3300"/>
    <w:rsid w:val="165C73DE"/>
    <w:rsid w:val="16610551"/>
    <w:rsid w:val="1671080F"/>
    <w:rsid w:val="16900E36"/>
    <w:rsid w:val="16A06334"/>
    <w:rsid w:val="16A6065A"/>
    <w:rsid w:val="16C46D32"/>
    <w:rsid w:val="16C60CFC"/>
    <w:rsid w:val="16EF0253"/>
    <w:rsid w:val="170034C4"/>
    <w:rsid w:val="170D06D9"/>
    <w:rsid w:val="171B1048"/>
    <w:rsid w:val="17233A58"/>
    <w:rsid w:val="17400AAE"/>
    <w:rsid w:val="17577BA6"/>
    <w:rsid w:val="175D340E"/>
    <w:rsid w:val="176302F9"/>
    <w:rsid w:val="176C3651"/>
    <w:rsid w:val="178A1D29"/>
    <w:rsid w:val="17A80401"/>
    <w:rsid w:val="17AA23CB"/>
    <w:rsid w:val="17C74D2B"/>
    <w:rsid w:val="17C84600"/>
    <w:rsid w:val="17CF598E"/>
    <w:rsid w:val="17FD0606"/>
    <w:rsid w:val="17FE48E7"/>
    <w:rsid w:val="181A12FF"/>
    <w:rsid w:val="183C74C7"/>
    <w:rsid w:val="1864257A"/>
    <w:rsid w:val="187A1D9E"/>
    <w:rsid w:val="189C07CD"/>
    <w:rsid w:val="18A4506D"/>
    <w:rsid w:val="18A62B93"/>
    <w:rsid w:val="18B828C6"/>
    <w:rsid w:val="19173D05"/>
    <w:rsid w:val="193C7053"/>
    <w:rsid w:val="193E2DCB"/>
    <w:rsid w:val="194A5C14"/>
    <w:rsid w:val="1977008B"/>
    <w:rsid w:val="19A54BF8"/>
    <w:rsid w:val="19B66E06"/>
    <w:rsid w:val="19CA465F"/>
    <w:rsid w:val="19E35721"/>
    <w:rsid w:val="19EA6AAF"/>
    <w:rsid w:val="19EE2A43"/>
    <w:rsid w:val="19F3005A"/>
    <w:rsid w:val="1A02029D"/>
    <w:rsid w:val="1A3A17E5"/>
    <w:rsid w:val="1A5D1977"/>
    <w:rsid w:val="1A9A0036"/>
    <w:rsid w:val="1A9D1D74"/>
    <w:rsid w:val="1A9F789A"/>
    <w:rsid w:val="1AA255DC"/>
    <w:rsid w:val="1AB63F2F"/>
    <w:rsid w:val="1ABA2925"/>
    <w:rsid w:val="1AC83294"/>
    <w:rsid w:val="1AF776D6"/>
    <w:rsid w:val="1B0B13D3"/>
    <w:rsid w:val="1B0D4C89"/>
    <w:rsid w:val="1B4E306E"/>
    <w:rsid w:val="1B762CF0"/>
    <w:rsid w:val="1B886580"/>
    <w:rsid w:val="1B9118D8"/>
    <w:rsid w:val="1B982ED9"/>
    <w:rsid w:val="1B9A62B3"/>
    <w:rsid w:val="1B9B2757"/>
    <w:rsid w:val="1BAD4238"/>
    <w:rsid w:val="1BB6133F"/>
    <w:rsid w:val="1BC25F36"/>
    <w:rsid w:val="1BE91714"/>
    <w:rsid w:val="1BEE6D2B"/>
    <w:rsid w:val="1BF604D2"/>
    <w:rsid w:val="1BFB1448"/>
    <w:rsid w:val="1C1D316C"/>
    <w:rsid w:val="1C387FA6"/>
    <w:rsid w:val="1C7F7983"/>
    <w:rsid w:val="1C850D11"/>
    <w:rsid w:val="1CA76EDA"/>
    <w:rsid w:val="1CB82E95"/>
    <w:rsid w:val="1CDC3027"/>
    <w:rsid w:val="1CE27F12"/>
    <w:rsid w:val="1D1A58FD"/>
    <w:rsid w:val="1D320E99"/>
    <w:rsid w:val="1D4110DC"/>
    <w:rsid w:val="1D4E37F9"/>
    <w:rsid w:val="1D70551D"/>
    <w:rsid w:val="1D772D50"/>
    <w:rsid w:val="1D8611E5"/>
    <w:rsid w:val="1D882D2B"/>
    <w:rsid w:val="1DA022A7"/>
    <w:rsid w:val="1DB96EC4"/>
    <w:rsid w:val="1E142848"/>
    <w:rsid w:val="1E2C6DF0"/>
    <w:rsid w:val="1E731769"/>
    <w:rsid w:val="1EA57449"/>
    <w:rsid w:val="1ECD34E0"/>
    <w:rsid w:val="1F17089A"/>
    <w:rsid w:val="1F26058A"/>
    <w:rsid w:val="1F2B5BA0"/>
    <w:rsid w:val="1F2E743E"/>
    <w:rsid w:val="1F52137F"/>
    <w:rsid w:val="1F8452B0"/>
    <w:rsid w:val="1F941997"/>
    <w:rsid w:val="1FE83A91"/>
    <w:rsid w:val="1FEE40BC"/>
    <w:rsid w:val="1FF95C9E"/>
    <w:rsid w:val="200563F1"/>
    <w:rsid w:val="200F54C2"/>
    <w:rsid w:val="20542ED4"/>
    <w:rsid w:val="20712EAE"/>
    <w:rsid w:val="20755F4B"/>
    <w:rsid w:val="20A21E92"/>
    <w:rsid w:val="20AA51EA"/>
    <w:rsid w:val="20CA3197"/>
    <w:rsid w:val="21162880"/>
    <w:rsid w:val="212705E9"/>
    <w:rsid w:val="21336F8E"/>
    <w:rsid w:val="21354AB4"/>
    <w:rsid w:val="214271D1"/>
    <w:rsid w:val="21472A39"/>
    <w:rsid w:val="214967B1"/>
    <w:rsid w:val="214E4C32"/>
    <w:rsid w:val="215315ED"/>
    <w:rsid w:val="215D400B"/>
    <w:rsid w:val="21621621"/>
    <w:rsid w:val="21747CD2"/>
    <w:rsid w:val="2181419D"/>
    <w:rsid w:val="21894E00"/>
    <w:rsid w:val="219C4B33"/>
    <w:rsid w:val="21A34113"/>
    <w:rsid w:val="21CE6CB6"/>
    <w:rsid w:val="222B5EB7"/>
    <w:rsid w:val="223119FD"/>
    <w:rsid w:val="22477195"/>
    <w:rsid w:val="22761828"/>
    <w:rsid w:val="22877591"/>
    <w:rsid w:val="229C0B63"/>
    <w:rsid w:val="22AA14D2"/>
    <w:rsid w:val="22B8599C"/>
    <w:rsid w:val="22F94FDE"/>
    <w:rsid w:val="22FD7853"/>
    <w:rsid w:val="23072480"/>
    <w:rsid w:val="23276719"/>
    <w:rsid w:val="232A616E"/>
    <w:rsid w:val="232E5C5F"/>
    <w:rsid w:val="233174FD"/>
    <w:rsid w:val="235F406A"/>
    <w:rsid w:val="237F64BA"/>
    <w:rsid w:val="23847F75"/>
    <w:rsid w:val="2398757C"/>
    <w:rsid w:val="239C706C"/>
    <w:rsid w:val="23B75C54"/>
    <w:rsid w:val="23C40371"/>
    <w:rsid w:val="23C9261C"/>
    <w:rsid w:val="23D26F32"/>
    <w:rsid w:val="23E46C65"/>
    <w:rsid w:val="23E629DD"/>
    <w:rsid w:val="23EB7FF4"/>
    <w:rsid w:val="240115C5"/>
    <w:rsid w:val="241906BD"/>
    <w:rsid w:val="24373239"/>
    <w:rsid w:val="244F0582"/>
    <w:rsid w:val="247B3126"/>
    <w:rsid w:val="24863878"/>
    <w:rsid w:val="249E0BC2"/>
    <w:rsid w:val="24AA3A0B"/>
    <w:rsid w:val="24B228BF"/>
    <w:rsid w:val="24B91EA0"/>
    <w:rsid w:val="24C3687B"/>
    <w:rsid w:val="24F904EE"/>
    <w:rsid w:val="24F9229C"/>
    <w:rsid w:val="252217F3"/>
    <w:rsid w:val="25473008"/>
    <w:rsid w:val="25592D3B"/>
    <w:rsid w:val="256C0CC0"/>
    <w:rsid w:val="25781413"/>
    <w:rsid w:val="25930F7E"/>
    <w:rsid w:val="259A3A7F"/>
    <w:rsid w:val="25AE752B"/>
    <w:rsid w:val="26306192"/>
    <w:rsid w:val="2652435A"/>
    <w:rsid w:val="268362C1"/>
    <w:rsid w:val="268D0EEE"/>
    <w:rsid w:val="26B446CD"/>
    <w:rsid w:val="26D134D1"/>
    <w:rsid w:val="26E86A6C"/>
    <w:rsid w:val="26F70A5D"/>
    <w:rsid w:val="27003DB6"/>
    <w:rsid w:val="27127C7A"/>
    <w:rsid w:val="27160EE4"/>
    <w:rsid w:val="2725381D"/>
    <w:rsid w:val="27343A60"/>
    <w:rsid w:val="274C6FFB"/>
    <w:rsid w:val="276F4A98"/>
    <w:rsid w:val="27C2106B"/>
    <w:rsid w:val="27D36DD5"/>
    <w:rsid w:val="27E72880"/>
    <w:rsid w:val="27E965F8"/>
    <w:rsid w:val="27FC632B"/>
    <w:rsid w:val="28074CD0"/>
    <w:rsid w:val="2812669E"/>
    <w:rsid w:val="281D62A2"/>
    <w:rsid w:val="2829733C"/>
    <w:rsid w:val="283C0E1E"/>
    <w:rsid w:val="285919D0"/>
    <w:rsid w:val="29127DD1"/>
    <w:rsid w:val="292F44DF"/>
    <w:rsid w:val="296A19BB"/>
    <w:rsid w:val="297168A5"/>
    <w:rsid w:val="29AC1FD3"/>
    <w:rsid w:val="29AF561F"/>
    <w:rsid w:val="29BA46F0"/>
    <w:rsid w:val="29DA6B40"/>
    <w:rsid w:val="2A375D41"/>
    <w:rsid w:val="2A495A74"/>
    <w:rsid w:val="2AD03A9F"/>
    <w:rsid w:val="2AD73080"/>
    <w:rsid w:val="2ADF3CE2"/>
    <w:rsid w:val="2B0C0F7B"/>
    <w:rsid w:val="2B17347C"/>
    <w:rsid w:val="2B395AE8"/>
    <w:rsid w:val="2B4324C3"/>
    <w:rsid w:val="2B434271"/>
    <w:rsid w:val="2B4D6E9E"/>
    <w:rsid w:val="2B5B5A5F"/>
    <w:rsid w:val="2B5E0B35"/>
    <w:rsid w:val="2B6E5792"/>
    <w:rsid w:val="2B956A91"/>
    <w:rsid w:val="2BD31A99"/>
    <w:rsid w:val="2BE96DDF"/>
    <w:rsid w:val="2BF11F1F"/>
    <w:rsid w:val="2C057779"/>
    <w:rsid w:val="2C1C51EE"/>
    <w:rsid w:val="2C3A5674"/>
    <w:rsid w:val="2C6E17C2"/>
    <w:rsid w:val="2C932FD6"/>
    <w:rsid w:val="2C974875"/>
    <w:rsid w:val="2CB25B52"/>
    <w:rsid w:val="2CC67D7E"/>
    <w:rsid w:val="2CCB2770"/>
    <w:rsid w:val="2CD23AFF"/>
    <w:rsid w:val="2CFA5AB0"/>
    <w:rsid w:val="2D047A30"/>
    <w:rsid w:val="2D0668E8"/>
    <w:rsid w:val="2D0D0FDB"/>
    <w:rsid w:val="2D34043B"/>
    <w:rsid w:val="2D452523"/>
    <w:rsid w:val="2D67693D"/>
    <w:rsid w:val="2D6D3827"/>
    <w:rsid w:val="2D713318"/>
    <w:rsid w:val="2D7B5F44"/>
    <w:rsid w:val="2D8E211C"/>
    <w:rsid w:val="2D9139BA"/>
    <w:rsid w:val="2D937732"/>
    <w:rsid w:val="2D9C5EBB"/>
    <w:rsid w:val="2DAF5BEE"/>
    <w:rsid w:val="2DB476A8"/>
    <w:rsid w:val="2DB80F46"/>
    <w:rsid w:val="2DC773DC"/>
    <w:rsid w:val="2DF301D1"/>
    <w:rsid w:val="2DF6381D"/>
    <w:rsid w:val="2DF83A39"/>
    <w:rsid w:val="2E0028ED"/>
    <w:rsid w:val="2E20089A"/>
    <w:rsid w:val="2E514EF7"/>
    <w:rsid w:val="2E61338C"/>
    <w:rsid w:val="2E823302"/>
    <w:rsid w:val="2E8B21B7"/>
    <w:rsid w:val="2E960B5C"/>
    <w:rsid w:val="2EBD433B"/>
    <w:rsid w:val="2EDC2A13"/>
    <w:rsid w:val="2F000DF7"/>
    <w:rsid w:val="2F176141"/>
    <w:rsid w:val="2F1E127D"/>
    <w:rsid w:val="2F210D6D"/>
    <w:rsid w:val="2F2E4FD5"/>
    <w:rsid w:val="2F3C7955"/>
    <w:rsid w:val="2F4B1946"/>
    <w:rsid w:val="2F527179"/>
    <w:rsid w:val="2F77098D"/>
    <w:rsid w:val="2F8A246F"/>
    <w:rsid w:val="2F8D01B1"/>
    <w:rsid w:val="2F9B28CE"/>
    <w:rsid w:val="2FAC4ADB"/>
    <w:rsid w:val="2FD7142C"/>
    <w:rsid w:val="2FE029D7"/>
    <w:rsid w:val="2FE06533"/>
    <w:rsid w:val="30055F99"/>
    <w:rsid w:val="30202DD3"/>
    <w:rsid w:val="302D7B32"/>
    <w:rsid w:val="304F5466"/>
    <w:rsid w:val="306B04F2"/>
    <w:rsid w:val="307355F9"/>
    <w:rsid w:val="30B55C11"/>
    <w:rsid w:val="30C310ED"/>
    <w:rsid w:val="30C419B0"/>
    <w:rsid w:val="30C47C02"/>
    <w:rsid w:val="30F229C1"/>
    <w:rsid w:val="311A3CC6"/>
    <w:rsid w:val="312D57A8"/>
    <w:rsid w:val="315F16D9"/>
    <w:rsid w:val="316D029A"/>
    <w:rsid w:val="3175714F"/>
    <w:rsid w:val="31AD0696"/>
    <w:rsid w:val="31B163D9"/>
    <w:rsid w:val="31B732C3"/>
    <w:rsid w:val="31C12394"/>
    <w:rsid w:val="31C53C32"/>
    <w:rsid w:val="31D10829"/>
    <w:rsid w:val="31DC0F7C"/>
    <w:rsid w:val="31E02532"/>
    <w:rsid w:val="31F2254D"/>
    <w:rsid w:val="31F369F1"/>
    <w:rsid w:val="3207249C"/>
    <w:rsid w:val="320F1351"/>
    <w:rsid w:val="3251196A"/>
    <w:rsid w:val="325356E2"/>
    <w:rsid w:val="32544FB6"/>
    <w:rsid w:val="32546D64"/>
    <w:rsid w:val="32625925"/>
    <w:rsid w:val="32676A97"/>
    <w:rsid w:val="326C2300"/>
    <w:rsid w:val="327B69E7"/>
    <w:rsid w:val="327D275F"/>
    <w:rsid w:val="327D450D"/>
    <w:rsid w:val="328238D1"/>
    <w:rsid w:val="32877139"/>
    <w:rsid w:val="32B1065A"/>
    <w:rsid w:val="32C97752"/>
    <w:rsid w:val="32CC2D9E"/>
    <w:rsid w:val="32E0684A"/>
    <w:rsid w:val="32E4458C"/>
    <w:rsid w:val="33154F2C"/>
    <w:rsid w:val="331A1010"/>
    <w:rsid w:val="33694A91"/>
    <w:rsid w:val="33705E1F"/>
    <w:rsid w:val="337551E4"/>
    <w:rsid w:val="337E053C"/>
    <w:rsid w:val="33997124"/>
    <w:rsid w:val="33BD268F"/>
    <w:rsid w:val="33C30645"/>
    <w:rsid w:val="33CA19D4"/>
    <w:rsid w:val="34052A0C"/>
    <w:rsid w:val="340D7B12"/>
    <w:rsid w:val="34142C4F"/>
    <w:rsid w:val="341C1B03"/>
    <w:rsid w:val="341E1D1F"/>
    <w:rsid w:val="341E587B"/>
    <w:rsid w:val="346959F8"/>
    <w:rsid w:val="347A51A8"/>
    <w:rsid w:val="3491097A"/>
    <w:rsid w:val="34C957E7"/>
    <w:rsid w:val="34CA155F"/>
    <w:rsid w:val="34CC3529"/>
    <w:rsid w:val="34CE54F3"/>
    <w:rsid w:val="34FB5BBD"/>
    <w:rsid w:val="350727B3"/>
    <w:rsid w:val="350C7DCA"/>
    <w:rsid w:val="354362C5"/>
    <w:rsid w:val="354E3F3E"/>
    <w:rsid w:val="355C2AFF"/>
    <w:rsid w:val="355E0625"/>
    <w:rsid w:val="35A65B28"/>
    <w:rsid w:val="35CF1523"/>
    <w:rsid w:val="35E825E5"/>
    <w:rsid w:val="35FB2318"/>
    <w:rsid w:val="3619279E"/>
    <w:rsid w:val="36681030"/>
    <w:rsid w:val="368C11C2"/>
    <w:rsid w:val="36A4475E"/>
    <w:rsid w:val="36B9188B"/>
    <w:rsid w:val="36D913FC"/>
    <w:rsid w:val="36E7464B"/>
    <w:rsid w:val="370A0339"/>
    <w:rsid w:val="371511B8"/>
    <w:rsid w:val="37225683"/>
    <w:rsid w:val="372C02AF"/>
    <w:rsid w:val="37411FAD"/>
    <w:rsid w:val="37441A9D"/>
    <w:rsid w:val="375C0B95"/>
    <w:rsid w:val="376161AB"/>
    <w:rsid w:val="37645C9B"/>
    <w:rsid w:val="378B76CC"/>
    <w:rsid w:val="37904CE2"/>
    <w:rsid w:val="37A34A15"/>
    <w:rsid w:val="37B07132"/>
    <w:rsid w:val="386A5533"/>
    <w:rsid w:val="3894610C"/>
    <w:rsid w:val="38B22A36"/>
    <w:rsid w:val="38D26C34"/>
    <w:rsid w:val="38E04A8D"/>
    <w:rsid w:val="38F35529"/>
    <w:rsid w:val="390C65EA"/>
    <w:rsid w:val="395078BE"/>
    <w:rsid w:val="395D0BF4"/>
    <w:rsid w:val="396E2E01"/>
    <w:rsid w:val="39B34CB8"/>
    <w:rsid w:val="39CB0253"/>
    <w:rsid w:val="39CD7B28"/>
    <w:rsid w:val="39CF05D0"/>
    <w:rsid w:val="39F552D0"/>
    <w:rsid w:val="39FA4695"/>
    <w:rsid w:val="3A296D28"/>
    <w:rsid w:val="3AA0348E"/>
    <w:rsid w:val="3B021A53"/>
    <w:rsid w:val="3B3B6D13"/>
    <w:rsid w:val="3B3F2CA7"/>
    <w:rsid w:val="3B4A51A8"/>
    <w:rsid w:val="3BA23236"/>
    <w:rsid w:val="3BA945C4"/>
    <w:rsid w:val="3BB52F69"/>
    <w:rsid w:val="3BB70A8F"/>
    <w:rsid w:val="3C0B2B89"/>
    <w:rsid w:val="3C2D6FA3"/>
    <w:rsid w:val="3C3A521C"/>
    <w:rsid w:val="3C5462DE"/>
    <w:rsid w:val="3C9708C1"/>
    <w:rsid w:val="3CAA4150"/>
    <w:rsid w:val="3CB46D7D"/>
    <w:rsid w:val="3CF11D7F"/>
    <w:rsid w:val="3CF74EBC"/>
    <w:rsid w:val="3D145A6E"/>
    <w:rsid w:val="3D251A29"/>
    <w:rsid w:val="3D3954D4"/>
    <w:rsid w:val="3D513775"/>
    <w:rsid w:val="3D624A2B"/>
    <w:rsid w:val="3DAA0180"/>
    <w:rsid w:val="3DC96858"/>
    <w:rsid w:val="3DF8538F"/>
    <w:rsid w:val="3E155F41"/>
    <w:rsid w:val="3E190929"/>
    <w:rsid w:val="3E1D6BA4"/>
    <w:rsid w:val="3E391C30"/>
    <w:rsid w:val="3E497999"/>
    <w:rsid w:val="3E506F79"/>
    <w:rsid w:val="3E677932"/>
    <w:rsid w:val="3E8D3D29"/>
    <w:rsid w:val="3ED74FA5"/>
    <w:rsid w:val="3EEB6EB0"/>
    <w:rsid w:val="3F0C10F2"/>
    <w:rsid w:val="3F1B7587"/>
    <w:rsid w:val="3F1C71A0"/>
    <w:rsid w:val="3F2B709E"/>
    <w:rsid w:val="3F473ED8"/>
    <w:rsid w:val="3F5C54AA"/>
    <w:rsid w:val="3F632CDC"/>
    <w:rsid w:val="40251D40"/>
    <w:rsid w:val="40363F4D"/>
    <w:rsid w:val="40381A73"/>
    <w:rsid w:val="4050500F"/>
    <w:rsid w:val="40AB493B"/>
    <w:rsid w:val="40DF1663"/>
    <w:rsid w:val="40F55BB6"/>
    <w:rsid w:val="41200E85"/>
    <w:rsid w:val="41313092"/>
    <w:rsid w:val="41401527"/>
    <w:rsid w:val="414F176A"/>
    <w:rsid w:val="415C3EC7"/>
    <w:rsid w:val="416D1BF0"/>
    <w:rsid w:val="41744D2D"/>
    <w:rsid w:val="417967E7"/>
    <w:rsid w:val="417E3DFD"/>
    <w:rsid w:val="418D5DEE"/>
    <w:rsid w:val="419B675D"/>
    <w:rsid w:val="41AF045B"/>
    <w:rsid w:val="41B63597"/>
    <w:rsid w:val="41D659E7"/>
    <w:rsid w:val="41E225DE"/>
    <w:rsid w:val="41F8770C"/>
    <w:rsid w:val="4205007B"/>
    <w:rsid w:val="42310E70"/>
    <w:rsid w:val="42480200"/>
    <w:rsid w:val="426B4382"/>
    <w:rsid w:val="42707BEA"/>
    <w:rsid w:val="427F2168"/>
    <w:rsid w:val="42903DE8"/>
    <w:rsid w:val="429A4C67"/>
    <w:rsid w:val="42A22417"/>
    <w:rsid w:val="42D53EF1"/>
    <w:rsid w:val="42EF4FB3"/>
    <w:rsid w:val="43086074"/>
    <w:rsid w:val="43210EE4"/>
    <w:rsid w:val="43340C18"/>
    <w:rsid w:val="4340580E"/>
    <w:rsid w:val="434A043B"/>
    <w:rsid w:val="43994F1E"/>
    <w:rsid w:val="43BB6C43"/>
    <w:rsid w:val="43EF0FE2"/>
    <w:rsid w:val="4427077C"/>
    <w:rsid w:val="443C4228"/>
    <w:rsid w:val="447339C1"/>
    <w:rsid w:val="447A4D50"/>
    <w:rsid w:val="447D214A"/>
    <w:rsid w:val="44D53D34"/>
    <w:rsid w:val="44FE14DD"/>
    <w:rsid w:val="451E1B7F"/>
    <w:rsid w:val="45216F7A"/>
    <w:rsid w:val="459C4852"/>
    <w:rsid w:val="45A007E6"/>
    <w:rsid w:val="460074D7"/>
    <w:rsid w:val="462E7BA0"/>
    <w:rsid w:val="464C6278"/>
    <w:rsid w:val="466A5972"/>
    <w:rsid w:val="469814BD"/>
    <w:rsid w:val="469A6FE4"/>
    <w:rsid w:val="46AF05B5"/>
    <w:rsid w:val="46F72354"/>
    <w:rsid w:val="46FF153C"/>
    <w:rsid w:val="47431429"/>
    <w:rsid w:val="47507FEA"/>
    <w:rsid w:val="47797541"/>
    <w:rsid w:val="478B2DD0"/>
    <w:rsid w:val="479003E6"/>
    <w:rsid w:val="479779C7"/>
    <w:rsid w:val="47AD2D46"/>
    <w:rsid w:val="47C22C96"/>
    <w:rsid w:val="47CD163B"/>
    <w:rsid w:val="47D6229D"/>
    <w:rsid w:val="482A25E9"/>
    <w:rsid w:val="48384D06"/>
    <w:rsid w:val="48657FC9"/>
    <w:rsid w:val="48790E7B"/>
    <w:rsid w:val="489839F7"/>
    <w:rsid w:val="48A44149"/>
    <w:rsid w:val="48CE11C6"/>
    <w:rsid w:val="48EE1869"/>
    <w:rsid w:val="48FD7CFE"/>
    <w:rsid w:val="491237A9"/>
    <w:rsid w:val="49155047"/>
    <w:rsid w:val="491C63D6"/>
    <w:rsid w:val="49211C3E"/>
    <w:rsid w:val="49B06B1E"/>
    <w:rsid w:val="49B74350"/>
    <w:rsid w:val="49C03205"/>
    <w:rsid w:val="49E41602"/>
    <w:rsid w:val="4A064990"/>
    <w:rsid w:val="4A1470AD"/>
    <w:rsid w:val="4A161077"/>
    <w:rsid w:val="4A331464"/>
    <w:rsid w:val="4A6C0C97"/>
    <w:rsid w:val="4A755FDC"/>
    <w:rsid w:val="4A7638C4"/>
    <w:rsid w:val="4A7D10F6"/>
    <w:rsid w:val="4A875AD1"/>
    <w:rsid w:val="4A914BA1"/>
    <w:rsid w:val="4ACA3C0F"/>
    <w:rsid w:val="4AE9678B"/>
    <w:rsid w:val="4B02784D"/>
    <w:rsid w:val="4B076C12"/>
    <w:rsid w:val="4B427C4A"/>
    <w:rsid w:val="4B4439C2"/>
    <w:rsid w:val="4B5300A9"/>
    <w:rsid w:val="4B69167A"/>
    <w:rsid w:val="4B9009B5"/>
    <w:rsid w:val="4BB46D99"/>
    <w:rsid w:val="4BB87F0C"/>
    <w:rsid w:val="4BC36FDC"/>
    <w:rsid w:val="4BCA036B"/>
    <w:rsid w:val="4C3677AE"/>
    <w:rsid w:val="4C4243A5"/>
    <w:rsid w:val="4C5B5467"/>
    <w:rsid w:val="4C6267F5"/>
    <w:rsid w:val="4C6D00CE"/>
    <w:rsid w:val="4C79769B"/>
    <w:rsid w:val="4D043409"/>
    <w:rsid w:val="4D1E03D2"/>
    <w:rsid w:val="4D2A6BE7"/>
    <w:rsid w:val="4D2B4E39"/>
    <w:rsid w:val="4D3857A8"/>
    <w:rsid w:val="4D491763"/>
    <w:rsid w:val="4D4C5F59"/>
    <w:rsid w:val="4D722A68"/>
    <w:rsid w:val="4DA90454"/>
    <w:rsid w:val="4DAD1CF2"/>
    <w:rsid w:val="4DBA7F6B"/>
    <w:rsid w:val="4DCF7EBB"/>
    <w:rsid w:val="4DF23BA9"/>
    <w:rsid w:val="4DFF04B8"/>
    <w:rsid w:val="4E1C29D4"/>
    <w:rsid w:val="4E797E26"/>
    <w:rsid w:val="4EA330F5"/>
    <w:rsid w:val="4EFE20DA"/>
    <w:rsid w:val="4F155DA1"/>
    <w:rsid w:val="4F1B712F"/>
    <w:rsid w:val="4F5F0DCA"/>
    <w:rsid w:val="4F710AFD"/>
    <w:rsid w:val="4F8B1BBF"/>
    <w:rsid w:val="4F9667B6"/>
    <w:rsid w:val="4F980780"/>
    <w:rsid w:val="4FC357FD"/>
    <w:rsid w:val="4FC7696F"/>
    <w:rsid w:val="4FDF7541"/>
    <w:rsid w:val="4FEE214E"/>
    <w:rsid w:val="50352A1E"/>
    <w:rsid w:val="503E6C32"/>
    <w:rsid w:val="50416722"/>
    <w:rsid w:val="50493828"/>
    <w:rsid w:val="50593A6B"/>
    <w:rsid w:val="505C7A00"/>
    <w:rsid w:val="508A1E77"/>
    <w:rsid w:val="50A32F39"/>
    <w:rsid w:val="50BE7D72"/>
    <w:rsid w:val="50DB6B76"/>
    <w:rsid w:val="50FE4613"/>
    <w:rsid w:val="51167BAE"/>
    <w:rsid w:val="513B2C5D"/>
    <w:rsid w:val="514364CA"/>
    <w:rsid w:val="51750D79"/>
    <w:rsid w:val="51C13FBE"/>
    <w:rsid w:val="51C55131"/>
    <w:rsid w:val="51D35A9F"/>
    <w:rsid w:val="52157E66"/>
    <w:rsid w:val="521A1920"/>
    <w:rsid w:val="528172AA"/>
    <w:rsid w:val="52A116FA"/>
    <w:rsid w:val="52A66D10"/>
    <w:rsid w:val="52C06024"/>
    <w:rsid w:val="52C13B4A"/>
    <w:rsid w:val="52E57838"/>
    <w:rsid w:val="52FE08FA"/>
    <w:rsid w:val="53004672"/>
    <w:rsid w:val="53051C89"/>
    <w:rsid w:val="53083527"/>
    <w:rsid w:val="53130849"/>
    <w:rsid w:val="5345477B"/>
    <w:rsid w:val="535D1AC5"/>
    <w:rsid w:val="53607807"/>
    <w:rsid w:val="53DF24DA"/>
    <w:rsid w:val="540006A2"/>
    <w:rsid w:val="54181E8F"/>
    <w:rsid w:val="545C0256"/>
    <w:rsid w:val="5472334E"/>
    <w:rsid w:val="54857525"/>
    <w:rsid w:val="54A43723"/>
    <w:rsid w:val="54B167A5"/>
    <w:rsid w:val="54D23DEC"/>
    <w:rsid w:val="54F46459"/>
    <w:rsid w:val="54F975CB"/>
    <w:rsid w:val="54FB1595"/>
    <w:rsid w:val="54FC355F"/>
    <w:rsid w:val="5527238A"/>
    <w:rsid w:val="55346855"/>
    <w:rsid w:val="557430F6"/>
    <w:rsid w:val="558E065B"/>
    <w:rsid w:val="55AC288F"/>
    <w:rsid w:val="55BA31FE"/>
    <w:rsid w:val="55BE30DF"/>
    <w:rsid w:val="55DD513F"/>
    <w:rsid w:val="55F36710"/>
    <w:rsid w:val="55F66200"/>
    <w:rsid w:val="560C77D2"/>
    <w:rsid w:val="562543F0"/>
    <w:rsid w:val="563C00B7"/>
    <w:rsid w:val="568832FC"/>
    <w:rsid w:val="56A812A9"/>
    <w:rsid w:val="57233025"/>
    <w:rsid w:val="57400A23"/>
    <w:rsid w:val="575256B8"/>
    <w:rsid w:val="577B4C0F"/>
    <w:rsid w:val="57A777B2"/>
    <w:rsid w:val="57AC6B77"/>
    <w:rsid w:val="57CD6624"/>
    <w:rsid w:val="57F30C49"/>
    <w:rsid w:val="57F329F7"/>
    <w:rsid w:val="580469B3"/>
    <w:rsid w:val="580544D9"/>
    <w:rsid w:val="5814471C"/>
    <w:rsid w:val="58670CF0"/>
    <w:rsid w:val="58694A68"/>
    <w:rsid w:val="58845D45"/>
    <w:rsid w:val="5895585D"/>
    <w:rsid w:val="58BD4DB3"/>
    <w:rsid w:val="58C779E0"/>
    <w:rsid w:val="58DC348C"/>
    <w:rsid w:val="590A624B"/>
    <w:rsid w:val="5919023C"/>
    <w:rsid w:val="59266DFD"/>
    <w:rsid w:val="592A2449"/>
    <w:rsid w:val="596D0588"/>
    <w:rsid w:val="59745DBA"/>
    <w:rsid w:val="59853B23"/>
    <w:rsid w:val="59875AED"/>
    <w:rsid w:val="59934492"/>
    <w:rsid w:val="59973856"/>
    <w:rsid w:val="59C759D8"/>
    <w:rsid w:val="59D95C1D"/>
    <w:rsid w:val="59EA1BD8"/>
    <w:rsid w:val="59FE5684"/>
    <w:rsid w:val="59FE7432"/>
    <w:rsid w:val="5A221372"/>
    <w:rsid w:val="5A5B2AD6"/>
    <w:rsid w:val="5A625C12"/>
    <w:rsid w:val="5A647BDD"/>
    <w:rsid w:val="5A6E2809"/>
    <w:rsid w:val="5A7A2F5C"/>
    <w:rsid w:val="5A8E07B6"/>
    <w:rsid w:val="5A943A15"/>
    <w:rsid w:val="5A9A3496"/>
    <w:rsid w:val="5AAE0E58"/>
    <w:rsid w:val="5AD00DCE"/>
    <w:rsid w:val="5AD84127"/>
    <w:rsid w:val="5B123195"/>
    <w:rsid w:val="5B1F1D55"/>
    <w:rsid w:val="5B70610D"/>
    <w:rsid w:val="5B953DC6"/>
    <w:rsid w:val="5BAB5397"/>
    <w:rsid w:val="5BAF4E87"/>
    <w:rsid w:val="5BCA7F13"/>
    <w:rsid w:val="5BD3501A"/>
    <w:rsid w:val="5BE54D4D"/>
    <w:rsid w:val="5BF907F8"/>
    <w:rsid w:val="5C0A6562"/>
    <w:rsid w:val="5C1318BA"/>
    <w:rsid w:val="5C2C78B7"/>
    <w:rsid w:val="5C4E644E"/>
    <w:rsid w:val="5C545A2F"/>
    <w:rsid w:val="5C693288"/>
    <w:rsid w:val="5C702869"/>
    <w:rsid w:val="5C9B11E4"/>
    <w:rsid w:val="5CCB4A8E"/>
    <w:rsid w:val="5CF05758"/>
    <w:rsid w:val="5D2378DB"/>
    <w:rsid w:val="5D557CB0"/>
    <w:rsid w:val="5D6E48CE"/>
    <w:rsid w:val="5D8365CC"/>
    <w:rsid w:val="5D964551"/>
    <w:rsid w:val="5DCB3ACF"/>
    <w:rsid w:val="5DCC7F73"/>
    <w:rsid w:val="5DD010E5"/>
    <w:rsid w:val="5DE84681"/>
    <w:rsid w:val="5E0A2849"/>
    <w:rsid w:val="5E282CCF"/>
    <w:rsid w:val="5E2960AF"/>
    <w:rsid w:val="5E6737F7"/>
    <w:rsid w:val="5E710B1A"/>
    <w:rsid w:val="5E761C8C"/>
    <w:rsid w:val="5E912F6A"/>
    <w:rsid w:val="5EE17A4E"/>
    <w:rsid w:val="5F090D52"/>
    <w:rsid w:val="5F12773F"/>
    <w:rsid w:val="5F526256"/>
    <w:rsid w:val="5F5E109E"/>
    <w:rsid w:val="5F816B3B"/>
    <w:rsid w:val="5F993E84"/>
    <w:rsid w:val="5FB213EA"/>
    <w:rsid w:val="5FB40CBE"/>
    <w:rsid w:val="5FC52ECB"/>
    <w:rsid w:val="5FD50C35"/>
    <w:rsid w:val="5FED1A34"/>
    <w:rsid w:val="60123C37"/>
    <w:rsid w:val="601C6864"/>
    <w:rsid w:val="602C1457"/>
    <w:rsid w:val="60765F74"/>
    <w:rsid w:val="609B00D0"/>
    <w:rsid w:val="609D5BF6"/>
    <w:rsid w:val="609F196E"/>
    <w:rsid w:val="60B371C8"/>
    <w:rsid w:val="60DB671F"/>
    <w:rsid w:val="60E03D35"/>
    <w:rsid w:val="60E43825"/>
    <w:rsid w:val="60E7023C"/>
    <w:rsid w:val="60F021CA"/>
    <w:rsid w:val="60F375C4"/>
    <w:rsid w:val="6126799A"/>
    <w:rsid w:val="612E2CF2"/>
    <w:rsid w:val="613D2F35"/>
    <w:rsid w:val="6155202D"/>
    <w:rsid w:val="615E35D8"/>
    <w:rsid w:val="615F4C5A"/>
    <w:rsid w:val="61DB4C28"/>
    <w:rsid w:val="61E17D65"/>
    <w:rsid w:val="61F41846"/>
    <w:rsid w:val="61FA2BD4"/>
    <w:rsid w:val="61FC7890"/>
    <w:rsid w:val="62145A44"/>
    <w:rsid w:val="624125B1"/>
    <w:rsid w:val="62456545"/>
    <w:rsid w:val="626764BC"/>
    <w:rsid w:val="626D784A"/>
    <w:rsid w:val="628726BA"/>
    <w:rsid w:val="62894684"/>
    <w:rsid w:val="62C456BC"/>
    <w:rsid w:val="62C84A81"/>
    <w:rsid w:val="62E25B42"/>
    <w:rsid w:val="62E278F0"/>
    <w:rsid w:val="6300246C"/>
    <w:rsid w:val="63051831"/>
    <w:rsid w:val="631D4DCC"/>
    <w:rsid w:val="63202864"/>
    <w:rsid w:val="632B74E9"/>
    <w:rsid w:val="639332E1"/>
    <w:rsid w:val="63C811DC"/>
    <w:rsid w:val="63F0428F"/>
    <w:rsid w:val="63F773CC"/>
    <w:rsid w:val="6410048D"/>
    <w:rsid w:val="64264155"/>
    <w:rsid w:val="643248A8"/>
    <w:rsid w:val="64721148"/>
    <w:rsid w:val="648C045C"/>
    <w:rsid w:val="64966BE4"/>
    <w:rsid w:val="649C61C5"/>
    <w:rsid w:val="64A21A2D"/>
    <w:rsid w:val="64B4350F"/>
    <w:rsid w:val="64C37BF6"/>
    <w:rsid w:val="64E35BA2"/>
    <w:rsid w:val="64EA5182"/>
    <w:rsid w:val="64FE5585"/>
    <w:rsid w:val="65051FBC"/>
    <w:rsid w:val="65091AAC"/>
    <w:rsid w:val="653B3C30"/>
    <w:rsid w:val="6546685C"/>
    <w:rsid w:val="65532D27"/>
    <w:rsid w:val="655B398A"/>
    <w:rsid w:val="658729D1"/>
    <w:rsid w:val="658904F7"/>
    <w:rsid w:val="65905D2A"/>
    <w:rsid w:val="65A90B99"/>
    <w:rsid w:val="65C07C91"/>
    <w:rsid w:val="65CB0B10"/>
    <w:rsid w:val="65E6594A"/>
    <w:rsid w:val="65FA371A"/>
    <w:rsid w:val="66044022"/>
    <w:rsid w:val="660758C0"/>
    <w:rsid w:val="66091638"/>
    <w:rsid w:val="661701F9"/>
    <w:rsid w:val="661F0E5C"/>
    <w:rsid w:val="66320B8F"/>
    <w:rsid w:val="66432D9C"/>
    <w:rsid w:val="66482160"/>
    <w:rsid w:val="664D7777"/>
    <w:rsid w:val="667733BA"/>
    <w:rsid w:val="66A575B3"/>
    <w:rsid w:val="67564D51"/>
    <w:rsid w:val="676C6322"/>
    <w:rsid w:val="677F7E04"/>
    <w:rsid w:val="67C47F0C"/>
    <w:rsid w:val="67F00D02"/>
    <w:rsid w:val="67F1641A"/>
    <w:rsid w:val="67FC1454"/>
    <w:rsid w:val="68246BFD"/>
    <w:rsid w:val="68437083"/>
    <w:rsid w:val="68617509"/>
    <w:rsid w:val="687F5BE1"/>
    <w:rsid w:val="68F22857"/>
    <w:rsid w:val="68F4037D"/>
    <w:rsid w:val="68FB788A"/>
    <w:rsid w:val="69076FCD"/>
    <w:rsid w:val="690F3409"/>
    <w:rsid w:val="6953779A"/>
    <w:rsid w:val="69545323"/>
    <w:rsid w:val="698A2A90"/>
    <w:rsid w:val="69B144C0"/>
    <w:rsid w:val="69B53FB1"/>
    <w:rsid w:val="69BB0E9B"/>
    <w:rsid w:val="69DB153D"/>
    <w:rsid w:val="6A294057"/>
    <w:rsid w:val="6A60436C"/>
    <w:rsid w:val="6A9040D6"/>
    <w:rsid w:val="6A975464"/>
    <w:rsid w:val="6AA302AD"/>
    <w:rsid w:val="6AAB0F10"/>
    <w:rsid w:val="6AC00E5F"/>
    <w:rsid w:val="6ACD0E86"/>
    <w:rsid w:val="6AD246EE"/>
    <w:rsid w:val="6AEC1C54"/>
    <w:rsid w:val="6AED32D6"/>
    <w:rsid w:val="6AF705F9"/>
    <w:rsid w:val="6B106FC5"/>
    <w:rsid w:val="6B252A70"/>
    <w:rsid w:val="6B3E7FD6"/>
    <w:rsid w:val="6B431148"/>
    <w:rsid w:val="6B574BF4"/>
    <w:rsid w:val="6B633598"/>
    <w:rsid w:val="6B6D2669"/>
    <w:rsid w:val="6B7B7D93"/>
    <w:rsid w:val="6B9E2823"/>
    <w:rsid w:val="6BA442DD"/>
    <w:rsid w:val="6BD050D2"/>
    <w:rsid w:val="6BE446D9"/>
    <w:rsid w:val="6BE741CA"/>
    <w:rsid w:val="6BF16DF6"/>
    <w:rsid w:val="6C0C3C30"/>
    <w:rsid w:val="6C292A34"/>
    <w:rsid w:val="6C2E3BA6"/>
    <w:rsid w:val="6C411B2C"/>
    <w:rsid w:val="6C423AF6"/>
    <w:rsid w:val="6C517895"/>
    <w:rsid w:val="6C53185F"/>
    <w:rsid w:val="6C553829"/>
    <w:rsid w:val="6C6E48EB"/>
    <w:rsid w:val="6C953C26"/>
    <w:rsid w:val="6CA125CA"/>
    <w:rsid w:val="6CA976D1"/>
    <w:rsid w:val="6CBA18DE"/>
    <w:rsid w:val="6CBF5146"/>
    <w:rsid w:val="6CCD7863"/>
    <w:rsid w:val="6CD96208"/>
    <w:rsid w:val="6D125276"/>
    <w:rsid w:val="6D194538"/>
    <w:rsid w:val="6D262AD0"/>
    <w:rsid w:val="6D396CA7"/>
    <w:rsid w:val="6D3B2A1F"/>
    <w:rsid w:val="6D415B5B"/>
    <w:rsid w:val="6D57712D"/>
    <w:rsid w:val="6D68758C"/>
    <w:rsid w:val="6DD15131"/>
    <w:rsid w:val="6DD32C57"/>
    <w:rsid w:val="6DD662A4"/>
    <w:rsid w:val="6E115847"/>
    <w:rsid w:val="6E3336F6"/>
    <w:rsid w:val="6E4C0C5C"/>
    <w:rsid w:val="6E600263"/>
    <w:rsid w:val="6E641B01"/>
    <w:rsid w:val="6E7F06E9"/>
    <w:rsid w:val="6E865F1C"/>
    <w:rsid w:val="6E8B0D18"/>
    <w:rsid w:val="6E9A19C7"/>
    <w:rsid w:val="6ED8429D"/>
    <w:rsid w:val="6EF7427F"/>
    <w:rsid w:val="6F12155D"/>
    <w:rsid w:val="6F2614AD"/>
    <w:rsid w:val="6F7B4EC0"/>
    <w:rsid w:val="6FA523D2"/>
    <w:rsid w:val="6FE949B4"/>
    <w:rsid w:val="6FEF7AF1"/>
    <w:rsid w:val="6FF2313D"/>
    <w:rsid w:val="70096E04"/>
    <w:rsid w:val="703379DD"/>
    <w:rsid w:val="70455963"/>
    <w:rsid w:val="70673B2B"/>
    <w:rsid w:val="70785D38"/>
    <w:rsid w:val="70812E3F"/>
    <w:rsid w:val="708A15C7"/>
    <w:rsid w:val="70910BA8"/>
    <w:rsid w:val="70BB79D3"/>
    <w:rsid w:val="70DA254F"/>
    <w:rsid w:val="70EB3C4B"/>
    <w:rsid w:val="70F96E79"/>
    <w:rsid w:val="710C022E"/>
    <w:rsid w:val="711C2B67"/>
    <w:rsid w:val="71257C6E"/>
    <w:rsid w:val="713E2ADE"/>
    <w:rsid w:val="714B51FB"/>
    <w:rsid w:val="715E6CDC"/>
    <w:rsid w:val="71744751"/>
    <w:rsid w:val="71902C0D"/>
    <w:rsid w:val="71B96608"/>
    <w:rsid w:val="71BA7C8A"/>
    <w:rsid w:val="720535FB"/>
    <w:rsid w:val="720930EC"/>
    <w:rsid w:val="722E2B52"/>
    <w:rsid w:val="727F33AE"/>
    <w:rsid w:val="72B55021"/>
    <w:rsid w:val="72DF209E"/>
    <w:rsid w:val="73223D39"/>
    <w:rsid w:val="73263829"/>
    <w:rsid w:val="734343DB"/>
    <w:rsid w:val="735760D9"/>
    <w:rsid w:val="73610D05"/>
    <w:rsid w:val="736A5E0C"/>
    <w:rsid w:val="739C7F8F"/>
    <w:rsid w:val="73AB3D2F"/>
    <w:rsid w:val="73C82B32"/>
    <w:rsid w:val="73D25867"/>
    <w:rsid w:val="73E13BF4"/>
    <w:rsid w:val="73EF1E6D"/>
    <w:rsid w:val="74033B6B"/>
    <w:rsid w:val="74493C73"/>
    <w:rsid w:val="7463285B"/>
    <w:rsid w:val="74A470FC"/>
    <w:rsid w:val="74A569D0"/>
    <w:rsid w:val="74CE4179"/>
    <w:rsid w:val="74E25E76"/>
    <w:rsid w:val="74F3598D"/>
    <w:rsid w:val="74FB2A94"/>
    <w:rsid w:val="74FF07D6"/>
    <w:rsid w:val="75232716"/>
    <w:rsid w:val="754B7577"/>
    <w:rsid w:val="75581C94"/>
    <w:rsid w:val="758807CB"/>
    <w:rsid w:val="759C7DD3"/>
    <w:rsid w:val="75D22519"/>
    <w:rsid w:val="75F06371"/>
    <w:rsid w:val="76116A13"/>
    <w:rsid w:val="761756AB"/>
    <w:rsid w:val="76244623"/>
    <w:rsid w:val="763E0E8A"/>
    <w:rsid w:val="76766876"/>
    <w:rsid w:val="767B3E8C"/>
    <w:rsid w:val="769D2054"/>
    <w:rsid w:val="76A71125"/>
    <w:rsid w:val="76EB7264"/>
    <w:rsid w:val="7722255A"/>
    <w:rsid w:val="77277B70"/>
    <w:rsid w:val="7730111A"/>
    <w:rsid w:val="774E77F3"/>
    <w:rsid w:val="775B5A6C"/>
    <w:rsid w:val="778E4093"/>
    <w:rsid w:val="77BE04D4"/>
    <w:rsid w:val="77BF249E"/>
    <w:rsid w:val="77C81353"/>
    <w:rsid w:val="77ED700C"/>
    <w:rsid w:val="78236589"/>
    <w:rsid w:val="78280044"/>
    <w:rsid w:val="78574485"/>
    <w:rsid w:val="7877282E"/>
    <w:rsid w:val="789B6A68"/>
    <w:rsid w:val="78E81581"/>
    <w:rsid w:val="79132AA2"/>
    <w:rsid w:val="793A002E"/>
    <w:rsid w:val="79517126"/>
    <w:rsid w:val="79584959"/>
    <w:rsid w:val="797F1EE5"/>
    <w:rsid w:val="79817A0B"/>
    <w:rsid w:val="798B2638"/>
    <w:rsid w:val="799040F2"/>
    <w:rsid w:val="79B80F53"/>
    <w:rsid w:val="79D51B05"/>
    <w:rsid w:val="79E955B1"/>
    <w:rsid w:val="79FF3026"/>
    <w:rsid w:val="7A1545F8"/>
    <w:rsid w:val="7A1B7E60"/>
    <w:rsid w:val="7A1E525A"/>
    <w:rsid w:val="7A4E3666"/>
    <w:rsid w:val="7A5275FA"/>
    <w:rsid w:val="7A5C3FD5"/>
    <w:rsid w:val="7A7632E8"/>
    <w:rsid w:val="7A886B78"/>
    <w:rsid w:val="7A8D418E"/>
    <w:rsid w:val="7AF04D90"/>
    <w:rsid w:val="7B187EFC"/>
    <w:rsid w:val="7B1A0118"/>
    <w:rsid w:val="7B242D44"/>
    <w:rsid w:val="7B5B0730"/>
    <w:rsid w:val="7B803CF3"/>
    <w:rsid w:val="7B95779E"/>
    <w:rsid w:val="7BA7127F"/>
    <w:rsid w:val="7BAC4AE8"/>
    <w:rsid w:val="7BD227A0"/>
    <w:rsid w:val="7BDC114E"/>
    <w:rsid w:val="7BEC1388"/>
    <w:rsid w:val="7C1F52BA"/>
    <w:rsid w:val="7C305719"/>
    <w:rsid w:val="7C3E7E36"/>
    <w:rsid w:val="7C701FB9"/>
    <w:rsid w:val="7C773348"/>
    <w:rsid w:val="7CC3658D"/>
    <w:rsid w:val="7CEA3B1A"/>
    <w:rsid w:val="7D032E2D"/>
    <w:rsid w:val="7D095FD3"/>
    <w:rsid w:val="7D4A0A5C"/>
    <w:rsid w:val="7D4F7E21"/>
    <w:rsid w:val="7D625DA6"/>
    <w:rsid w:val="7D8E26F7"/>
    <w:rsid w:val="7DEB5D9B"/>
    <w:rsid w:val="7DEB7B49"/>
    <w:rsid w:val="7E0D5D12"/>
    <w:rsid w:val="7E186464"/>
    <w:rsid w:val="7E292420"/>
    <w:rsid w:val="7E5F4093"/>
    <w:rsid w:val="7E6D4A02"/>
    <w:rsid w:val="7EB02B41"/>
    <w:rsid w:val="7EDE76AE"/>
    <w:rsid w:val="7EE12CFA"/>
    <w:rsid w:val="7EFE565A"/>
    <w:rsid w:val="7F08297D"/>
    <w:rsid w:val="7F1430D0"/>
    <w:rsid w:val="7F4F5EB6"/>
    <w:rsid w:val="7F6A7194"/>
    <w:rsid w:val="7F963AE5"/>
    <w:rsid w:val="7FAC155A"/>
    <w:rsid w:val="7FB15F3A"/>
    <w:rsid w:val="7FDA7E75"/>
    <w:rsid w:val="7FE72592"/>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88705"/>
  <w15:docId w15:val="{577310E0-2007-400E-8D92-0745B06E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16">
    <w:name w:val="16"/>
    <w:basedOn w:val="a0"/>
    <w:qFormat/>
  </w:style>
  <w:style w:type="paragraph" w:customStyle="1" w:styleId="EndNoteBibliography">
    <w:name w:val="EndNote Bibliography"/>
    <w:basedOn w:val="a"/>
    <w:qFormat/>
    <w:pPr>
      <w:widowControl w:val="0"/>
      <w:jc w:val="both"/>
    </w:pPr>
    <w:rPr>
      <w:rFonts w:ascii="Calibri" w:eastAsia="宋体" w:hAnsi="Calibri"/>
      <w:kern w:val="2"/>
      <w:sz w:val="20"/>
      <w:szCs w:val="21"/>
      <w:lang w:eastAsia="zh-CN"/>
    </w:r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styleId="a8">
    <w:name w:val="Revision"/>
    <w:hidden/>
    <w:uiPriority w:val="99"/>
    <w:unhideWhenUsed/>
    <w:rsid w:val="00D30547"/>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microsoft.com/office/2011/relationships/people" Target="people.xml"/><Relationship Id="rId7" Type="http://schemas.openxmlformats.org/officeDocument/2006/relationships/image" Target="media/image1.wmf"/><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9823</Words>
  <Characters>55997</Characters>
  <Application>Microsoft Office Word</Application>
  <DocSecurity>0</DocSecurity>
  <Lines>466</Lines>
  <Paragraphs>131</Paragraphs>
  <ScaleCrop>false</ScaleCrop>
  <Company>BPG</Company>
  <LinksUpToDate>false</LinksUpToDate>
  <CharactersWithSpaces>65689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78228</dc:creator>
  <cp:lastModifiedBy>Wang Jin-Lei</cp:lastModifiedBy>
  <cp:revision>5</cp:revision>
  <dcterms:created xsi:type="dcterms:W3CDTF">2023-09-10T07:15:00Z</dcterms:created>
  <dcterms:modified xsi:type="dcterms:W3CDTF">2023-09-18T08:46:00Z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A3A21B3FA97E474881364EF83179DB07_12</vt:lpwstr>
  </property>
</Properties>
</file>