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A127A" w14:textId="77777777" w:rsidR="00600DE7" w:rsidRPr="00BE12AC" w:rsidRDefault="00FC314E" w:rsidP="00DE4CC2">
      <w:pPr>
        <w:spacing w:line="360" w:lineRule="auto"/>
        <w:jc w:val="both"/>
        <w:rPr>
          <w:rFonts w:ascii="Book Antiqua" w:hAnsi="Book Antiqua"/>
        </w:rPr>
      </w:pPr>
      <w:r w:rsidRPr="00BE12AC">
        <w:rPr>
          <w:rFonts w:ascii="Book Antiqua" w:eastAsia="Book Antiqua" w:hAnsi="Book Antiqua" w:cs="Book Antiqua"/>
          <w:b/>
        </w:rPr>
        <w:t xml:space="preserve">Name of Journal: </w:t>
      </w:r>
      <w:r w:rsidRPr="00BE12AC">
        <w:rPr>
          <w:rFonts w:ascii="Book Antiqua" w:eastAsia="Book Antiqua" w:hAnsi="Book Antiqua" w:cs="Book Antiqua"/>
          <w:i/>
        </w:rPr>
        <w:t>World Journal of Clinical Oncology</w:t>
      </w:r>
    </w:p>
    <w:p w14:paraId="2C039ADA"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rPr>
        <w:t xml:space="preserve">Manuscript NO: </w:t>
      </w:r>
      <w:r w:rsidRPr="00BE12AC">
        <w:rPr>
          <w:rFonts w:ascii="Book Antiqua" w:eastAsia="Book Antiqua" w:hAnsi="Book Antiqua" w:cs="Book Antiqua"/>
        </w:rPr>
        <w:t>88057</w:t>
      </w:r>
    </w:p>
    <w:p w14:paraId="21587071"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rPr>
        <w:t xml:space="preserve">Manuscript Type: </w:t>
      </w:r>
      <w:r w:rsidRPr="00BE12AC">
        <w:rPr>
          <w:rFonts w:ascii="Book Antiqua" w:eastAsia="Book Antiqua" w:hAnsi="Book Antiqua" w:cs="Book Antiqua"/>
        </w:rPr>
        <w:t>ORIGINAL ARTICLE</w:t>
      </w:r>
    </w:p>
    <w:p w14:paraId="58DE7152" w14:textId="77777777" w:rsidR="00600DE7" w:rsidRPr="00BE12AC" w:rsidRDefault="00600DE7" w:rsidP="00873A9B">
      <w:pPr>
        <w:spacing w:line="360" w:lineRule="auto"/>
        <w:jc w:val="both"/>
        <w:rPr>
          <w:rFonts w:ascii="Book Antiqua" w:hAnsi="Book Antiqua"/>
        </w:rPr>
      </w:pPr>
    </w:p>
    <w:p w14:paraId="68AE418F"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i/>
        </w:rPr>
        <w:t>Clinical and Translational Research</w:t>
      </w:r>
    </w:p>
    <w:p w14:paraId="001604F0" w14:textId="7FA3B910"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Elucidating the molecular basis of ATP-induced cell death in breast cancer: Construction </w:t>
      </w:r>
      <w:r w:rsidR="00DE1AE0">
        <w:rPr>
          <w:rFonts w:ascii="Book Antiqua" w:eastAsia="Book Antiqua" w:hAnsi="Book Antiqua" w:cs="Book Antiqua"/>
          <w:b/>
          <w:bCs/>
        </w:rPr>
        <w:t xml:space="preserve">of </w:t>
      </w:r>
      <w:r w:rsidRPr="00BE12AC">
        <w:rPr>
          <w:rFonts w:ascii="Book Antiqua" w:eastAsia="Book Antiqua" w:hAnsi="Book Antiqua" w:cs="Book Antiqua"/>
          <w:b/>
          <w:bCs/>
        </w:rPr>
        <w:t>a robust prognostic model</w:t>
      </w:r>
    </w:p>
    <w:p w14:paraId="67C81392" w14:textId="77777777" w:rsidR="00600DE7" w:rsidRPr="00BE12AC" w:rsidRDefault="00600DE7" w:rsidP="00873A9B">
      <w:pPr>
        <w:spacing w:line="360" w:lineRule="auto"/>
        <w:jc w:val="both"/>
        <w:rPr>
          <w:rFonts w:ascii="Book Antiqua" w:hAnsi="Book Antiqua"/>
        </w:rPr>
      </w:pPr>
    </w:p>
    <w:p w14:paraId="01A3C493" w14:textId="77777777" w:rsidR="00600DE7" w:rsidRPr="00BE12AC" w:rsidRDefault="00FC314E" w:rsidP="00873A9B">
      <w:pPr>
        <w:spacing w:line="360" w:lineRule="auto"/>
        <w:jc w:val="both"/>
        <w:rPr>
          <w:rFonts w:ascii="Book Antiqua" w:hAnsi="Book Antiqua"/>
        </w:rPr>
      </w:pPr>
      <w:r w:rsidRPr="00BE12AC">
        <w:rPr>
          <w:rFonts w:ascii="Book Antiqua" w:hAnsi="Book Antiqua"/>
        </w:rPr>
        <w:t xml:space="preserve">Zhang HL </w:t>
      </w:r>
      <w:r w:rsidRPr="00BE12AC">
        <w:rPr>
          <w:rFonts w:ascii="Book Antiqua" w:hAnsi="Book Antiqua"/>
          <w:i/>
          <w:iCs/>
        </w:rPr>
        <w:t xml:space="preserve">et al. </w:t>
      </w:r>
      <w:r w:rsidRPr="00BE12AC">
        <w:rPr>
          <w:rFonts w:ascii="Book Antiqua" w:hAnsi="Book Antiqua"/>
        </w:rPr>
        <w:t>AICD in breast cancer</w:t>
      </w:r>
    </w:p>
    <w:p w14:paraId="02B8F82C" w14:textId="77777777" w:rsidR="00600DE7" w:rsidRPr="00BE12AC" w:rsidRDefault="00600DE7" w:rsidP="00873A9B">
      <w:pPr>
        <w:spacing w:line="360" w:lineRule="auto"/>
        <w:jc w:val="both"/>
        <w:rPr>
          <w:rFonts w:ascii="Book Antiqua" w:hAnsi="Book Antiqua"/>
        </w:rPr>
      </w:pPr>
    </w:p>
    <w:p w14:paraId="0D156F61"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Hao-Ling Zhang, Sandai Doblin, Zhong-Wen Zhang, Zhi-Jing Song, Babu Dinesh, Yasser Tabana, Dahham Sabbar Saad, Mowaffaq Adam Ahmed Adam, Yong Wang, Wei Wang, Hao-Long Zhang, Sen Wu, Rui Zhao, Barakat Khaled</w:t>
      </w:r>
    </w:p>
    <w:p w14:paraId="0A5E8E7B" w14:textId="77777777" w:rsidR="00600DE7" w:rsidRPr="00BE12AC" w:rsidRDefault="00600DE7" w:rsidP="00873A9B">
      <w:pPr>
        <w:spacing w:line="360" w:lineRule="auto"/>
        <w:jc w:val="both"/>
        <w:rPr>
          <w:rFonts w:ascii="Book Antiqua" w:hAnsi="Book Antiqua"/>
        </w:rPr>
      </w:pPr>
    </w:p>
    <w:p w14:paraId="688CAC4A"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Hao-Ling Zhang, Sandai Doblin, </w:t>
      </w:r>
      <w:r w:rsidRPr="00BE12AC">
        <w:rPr>
          <w:rFonts w:ascii="Book Antiqua" w:eastAsia="Book Antiqua" w:hAnsi="Book Antiqua" w:cs="Book Antiqua"/>
        </w:rPr>
        <w:t>Department of Biomedical Sciences, Advanced Medical and Dental Institute, Universiti Sains Malaysia, Penang 13200, Malaysia</w:t>
      </w:r>
    </w:p>
    <w:p w14:paraId="77BA8F0C" w14:textId="77777777" w:rsidR="00600DE7" w:rsidRPr="00BE12AC" w:rsidRDefault="00600DE7" w:rsidP="00873A9B">
      <w:pPr>
        <w:spacing w:line="360" w:lineRule="auto"/>
        <w:jc w:val="both"/>
        <w:rPr>
          <w:rFonts w:ascii="Book Antiqua" w:hAnsi="Book Antiqua"/>
        </w:rPr>
      </w:pPr>
    </w:p>
    <w:p w14:paraId="4B0EA7A9"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Zhong-Wen Zhang, </w:t>
      </w:r>
      <w:r w:rsidRPr="00BE12AC">
        <w:rPr>
          <w:rFonts w:ascii="Book Antiqua" w:eastAsia="Book Antiqua" w:hAnsi="Book Antiqua" w:cs="Book Antiqua"/>
        </w:rPr>
        <w:t>School of Public Health, Gansu University of Chinese Medicine, Lanzhou 730000, Gansu Province, China</w:t>
      </w:r>
    </w:p>
    <w:p w14:paraId="0C42D23E" w14:textId="77777777" w:rsidR="00600DE7" w:rsidRPr="00BE12AC" w:rsidRDefault="00600DE7" w:rsidP="00873A9B">
      <w:pPr>
        <w:spacing w:line="360" w:lineRule="auto"/>
        <w:jc w:val="both"/>
        <w:rPr>
          <w:rFonts w:ascii="Book Antiqua" w:hAnsi="Book Antiqua"/>
        </w:rPr>
      </w:pPr>
    </w:p>
    <w:p w14:paraId="7A8851D0" w14:textId="3247AB88"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Zhi-Jing Song, </w:t>
      </w:r>
      <w:r w:rsidR="00493DD4" w:rsidRPr="00BE12AC">
        <w:rPr>
          <w:rFonts w:ascii="Book Antiqua" w:eastAsia="Book Antiqua" w:hAnsi="Book Antiqua" w:cs="Book Antiqua"/>
          <w:b/>
          <w:bCs/>
        </w:rPr>
        <w:t xml:space="preserve">Rui Zhao, </w:t>
      </w:r>
      <w:r w:rsidRPr="00BE12AC">
        <w:rPr>
          <w:rFonts w:ascii="Book Antiqua" w:eastAsia="Book Antiqua" w:hAnsi="Book Antiqua" w:cs="Book Antiqua"/>
        </w:rPr>
        <w:t>Clinical College of Chinese Medicine, Gansu University of Chinese Medicine, Lanzhou 730000, Gansu Province, China</w:t>
      </w:r>
    </w:p>
    <w:p w14:paraId="5AB788BB" w14:textId="77777777" w:rsidR="00600DE7" w:rsidRPr="00BE12AC" w:rsidRDefault="00600DE7" w:rsidP="00873A9B">
      <w:pPr>
        <w:spacing w:line="360" w:lineRule="auto"/>
        <w:jc w:val="both"/>
        <w:rPr>
          <w:rFonts w:ascii="Book Antiqua" w:hAnsi="Book Antiqua"/>
        </w:rPr>
      </w:pPr>
    </w:p>
    <w:p w14:paraId="4E0544A0"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Babu Dinesh, Yasser Tabana, Barakat Khaled, </w:t>
      </w:r>
      <w:r w:rsidRPr="00BE12AC">
        <w:rPr>
          <w:rFonts w:ascii="Book Antiqua" w:eastAsia="Book Antiqua" w:hAnsi="Book Antiqua" w:cs="Book Antiqua"/>
        </w:rPr>
        <w:t>Faculty of Pharmacy and Pharmaceutical Sciences, University of Alberta, Edmonton AB T6G 2E1, Canada</w:t>
      </w:r>
    </w:p>
    <w:p w14:paraId="3B268E09" w14:textId="77777777" w:rsidR="00600DE7" w:rsidRPr="00BE12AC" w:rsidRDefault="00600DE7" w:rsidP="00873A9B">
      <w:pPr>
        <w:spacing w:line="360" w:lineRule="auto"/>
        <w:jc w:val="both"/>
        <w:rPr>
          <w:rFonts w:ascii="Book Antiqua" w:hAnsi="Book Antiqua"/>
        </w:rPr>
      </w:pPr>
    </w:p>
    <w:p w14:paraId="5123B5ED"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Dahham Sabbar Saad, </w:t>
      </w:r>
      <w:r w:rsidRPr="00BE12AC">
        <w:rPr>
          <w:rFonts w:ascii="Book Antiqua" w:eastAsia="Book Antiqua" w:hAnsi="Book Antiqua" w:cs="Book Antiqua"/>
        </w:rPr>
        <w:t>Department of Science, University of Technology and Applied Sciences Rustaq, Rustaq 10 P.C. 329, Oman</w:t>
      </w:r>
    </w:p>
    <w:p w14:paraId="620729F3" w14:textId="77777777" w:rsidR="00600DE7" w:rsidRPr="00BE12AC" w:rsidRDefault="00600DE7" w:rsidP="00873A9B">
      <w:pPr>
        <w:spacing w:line="360" w:lineRule="auto"/>
        <w:jc w:val="both"/>
        <w:rPr>
          <w:rFonts w:ascii="Book Antiqua" w:hAnsi="Book Antiqua"/>
        </w:rPr>
      </w:pPr>
    </w:p>
    <w:p w14:paraId="47E13BD9"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lastRenderedPageBreak/>
        <w:t xml:space="preserve">Mowaffaq Adam Ahmed Adam, </w:t>
      </w:r>
      <w:r w:rsidRPr="00BE12AC">
        <w:rPr>
          <w:rFonts w:ascii="Book Antiqua" w:eastAsia="Book Antiqua" w:hAnsi="Book Antiqua" w:cs="Book Antiqua"/>
        </w:rPr>
        <w:t>Department of Chemistry and Biochemistry, San Diego State University, San Diego, CA 92182, United States</w:t>
      </w:r>
    </w:p>
    <w:p w14:paraId="26C1D53E" w14:textId="77777777" w:rsidR="00600DE7" w:rsidRPr="00BE12AC" w:rsidRDefault="00600DE7" w:rsidP="00873A9B">
      <w:pPr>
        <w:spacing w:line="360" w:lineRule="auto"/>
        <w:jc w:val="both"/>
        <w:rPr>
          <w:rFonts w:ascii="Book Antiqua" w:hAnsi="Book Antiqua"/>
        </w:rPr>
      </w:pPr>
    </w:p>
    <w:p w14:paraId="751E6417"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Yong Wang, </w:t>
      </w:r>
      <w:r w:rsidRPr="00BE12AC">
        <w:rPr>
          <w:rFonts w:ascii="Book Antiqua" w:eastAsia="Book Antiqua" w:hAnsi="Book Antiqua" w:cs="Book Antiqua"/>
        </w:rPr>
        <w:t>Department of Pathology Center, Gansu University of Chinese Medicine, Lanzhou 730000, Gansu Province, China</w:t>
      </w:r>
    </w:p>
    <w:p w14:paraId="29F2CBE1" w14:textId="77777777" w:rsidR="00600DE7" w:rsidRPr="00BE12AC" w:rsidRDefault="00600DE7" w:rsidP="00873A9B">
      <w:pPr>
        <w:spacing w:line="360" w:lineRule="auto"/>
        <w:jc w:val="both"/>
        <w:rPr>
          <w:rFonts w:ascii="Book Antiqua" w:hAnsi="Book Antiqua"/>
        </w:rPr>
      </w:pPr>
    </w:p>
    <w:p w14:paraId="62844496"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Wei Wang, </w:t>
      </w:r>
      <w:r w:rsidRPr="00BE12AC">
        <w:rPr>
          <w:rFonts w:ascii="Book Antiqua" w:eastAsia="Book Antiqua" w:hAnsi="Book Antiqua" w:cs="Book Antiqua"/>
        </w:rPr>
        <w:t>College of Acupuncture-moxibustion and Tuina, Gansu University of Chinese Medicine, Lanzhou 730000, Gansu Province, China</w:t>
      </w:r>
    </w:p>
    <w:p w14:paraId="07482422" w14:textId="77777777" w:rsidR="00600DE7" w:rsidRPr="00BE12AC" w:rsidRDefault="00600DE7" w:rsidP="00873A9B">
      <w:pPr>
        <w:spacing w:line="360" w:lineRule="auto"/>
        <w:jc w:val="both"/>
        <w:rPr>
          <w:rFonts w:ascii="Book Antiqua" w:hAnsi="Book Antiqua"/>
        </w:rPr>
      </w:pPr>
    </w:p>
    <w:p w14:paraId="759EE691"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Hao-Long Zhang, </w:t>
      </w:r>
      <w:r w:rsidRPr="00BE12AC">
        <w:rPr>
          <w:rFonts w:ascii="Book Antiqua" w:eastAsia="Book Antiqua" w:hAnsi="Book Antiqua" w:cs="Book Antiqua"/>
        </w:rPr>
        <w:t>Universiti Sains Malaysia, Advanced Medical and Dental Institute, Penang 13200, Malaysia</w:t>
      </w:r>
    </w:p>
    <w:p w14:paraId="6C004E0C" w14:textId="77777777" w:rsidR="00600DE7" w:rsidRPr="00BE12AC" w:rsidRDefault="00600DE7" w:rsidP="00873A9B">
      <w:pPr>
        <w:spacing w:line="360" w:lineRule="auto"/>
        <w:jc w:val="both"/>
        <w:rPr>
          <w:rFonts w:ascii="Book Antiqua" w:hAnsi="Book Antiqua"/>
        </w:rPr>
      </w:pPr>
    </w:p>
    <w:p w14:paraId="62BF087C"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Sen Wu, </w:t>
      </w:r>
      <w:r w:rsidRPr="00BE12AC">
        <w:rPr>
          <w:rFonts w:ascii="Book Antiqua" w:eastAsia="Book Antiqua" w:hAnsi="Book Antiqua" w:cs="Book Antiqua"/>
        </w:rPr>
        <w:t>Department of Biomedical Science, Universiti Sains Malaysia, Penang 13200, Malaysia</w:t>
      </w:r>
    </w:p>
    <w:p w14:paraId="55B56D10" w14:textId="77777777" w:rsidR="00600DE7" w:rsidRPr="00BE12AC" w:rsidRDefault="00600DE7" w:rsidP="00873A9B">
      <w:pPr>
        <w:spacing w:line="360" w:lineRule="auto"/>
        <w:jc w:val="both"/>
        <w:rPr>
          <w:rFonts w:ascii="Book Antiqua" w:hAnsi="Book Antiqua"/>
        </w:rPr>
      </w:pPr>
    </w:p>
    <w:p w14:paraId="3FEF020E" w14:textId="3FAB229F"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Co-corresponding authors: </w:t>
      </w:r>
      <w:r w:rsidRPr="00BE12AC">
        <w:rPr>
          <w:rFonts w:ascii="Book Antiqua" w:eastAsia="Book Antiqua" w:hAnsi="Book Antiqua" w:cs="Book Antiqua"/>
        </w:rPr>
        <w:t>Sandai Doblin and Song Z</w:t>
      </w:r>
      <w:r w:rsidRPr="00BE12AC">
        <w:rPr>
          <w:rFonts w:ascii="Book Antiqua" w:eastAsia="Book Antiqua" w:hAnsi="Book Antiqua" w:cs="Book Antiqua"/>
          <w:lang w:eastAsia="zh-CN"/>
        </w:rPr>
        <w:t>hi-</w:t>
      </w:r>
      <w:r w:rsidRPr="00BE12AC">
        <w:rPr>
          <w:rFonts w:ascii="Book Antiqua" w:eastAsia="Book Antiqua" w:hAnsi="Book Antiqua" w:cs="Book Antiqua"/>
        </w:rPr>
        <w:t>Jing.</w:t>
      </w:r>
    </w:p>
    <w:p w14:paraId="4F2E983F" w14:textId="77777777" w:rsidR="00600DE7" w:rsidRPr="00BE12AC" w:rsidRDefault="00600DE7" w:rsidP="00873A9B">
      <w:pPr>
        <w:spacing w:line="360" w:lineRule="auto"/>
        <w:jc w:val="both"/>
        <w:rPr>
          <w:rFonts w:ascii="Book Antiqua" w:hAnsi="Book Antiqua"/>
        </w:rPr>
      </w:pPr>
    </w:p>
    <w:p w14:paraId="49937577" w14:textId="558A6BC2"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Author contributions: </w:t>
      </w:r>
      <w:r w:rsidRPr="00BE12AC">
        <w:rPr>
          <w:rFonts w:ascii="Book Antiqua" w:eastAsia="Book Antiqua" w:hAnsi="Book Antiqua" w:cs="Book Antiqua"/>
        </w:rPr>
        <w:t xml:space="preserve">Zhang HL was responsible for </w:t>
      </w:r>
      <w:r w:rsidR="00DE1AE0">
        <w:rPr>
          <w:rFonts w:ascii="Book Antiqua" w:eastAsia="Book Antiqua" w:hAnsi="Book Antiqua" w:cs="Book Antiqua"/>
        </w:rPr>
        <w:t>d</w:t>
      </w:r>
      <w:r w:rsidR="00DE1AE0" w:rsidRPr="00BE12AC">
        <w:rPr>
          <w:rFonts w:ascii="Book Antiqua" w:eastAsia="Book Antiqua" w:hAnsi="Book Antiqua" w:cs="Book Antiqua"/>
        </w:rPr>
        <w:t xml:space="preserve">rafting </w:t>
      </w:r>
      <w:r w:rsidRPr="00BE12AC">
        <w:rPr>
          <w:rFonts w:ascii="Book Antiqua" w:eastAsia="Book Antiqua" w:hAnsi="Book Antiqua" w:cs="Book Antiqua"/>
        </w:rPr>
        <w:t xml:space="preserve">the primary manuscript and conducting </w:t>
      </w:r>
      <w:r w:rsidR="00DE1AE0">
        <w:rPr>
          <w:rFonts w:ascii="Book Antiqua" w:eastAsia="Book Antiqua" w:hAnsi="Book Antiqua" w:cs="Book Antiqua"/>
        </w:rPr>
        <w:t xml:space="preserve">the </w:t>
      </w:r>
      <w:r w:rsidRPr="00BE12AC">
        <w:rPr>
          <w:rFonts w:ascii="Book Antiqua" w:eastAsia="Book Antiqua" w:hAnsi="Book Antiqua" w:cs="Book Antiqua"/>
        </w:rPr>
        <w:t>data analys</w:t>
      </w:r>
      <w:r w:rsidR="00DE1AE0">
        <w:rPr>
          <w:rFonts w:ascii="Book Antiqua" w:eastAsia="Book Antiqua" w:hAnsi="Book Antiqua" w:cs="Book Antiqua"/>
        </w:rPr>
        <w:t>e</w:t>
      </w:r>
      <w:r w:rsidRPr="00BE12AC">
        <w:rPr>
          <w:rFonts w:ascii="Book Antiqua" w:eastAsia="Book Antiqua" w:hAnsi="Book Antiqua" w:cs="Book Antiqua"/>
        </w:rPr>
        <w:t xml:space="preserve">s; Dinesh B, Tabana Y, Saad DS, Adam Ahmed Adam M, Zhang HL, Zhao R, Barakat K, Wang Y, and Wang W were </w:t>
      </w:r>
      <w:r w:rsidR="00DE1AE0">
        <w:rPr>
          <w:rFonts w:ascii="Book Antiqua" w:eastAsia="Book Antiqua" w:hAnsi="Book Antiqua" w:cs="Book Antiqua"/>
        </w:rPr>
        <w:t>involved</w:t>
      </w:r>
      <w:r w:rsidR="00DE1AE0" w:rsidRPr="00BE12AC">
        <w:rPr>
          <w:rFonts w:ascii="Book Antiqua" w:eastAsia="Book Antiqua" w:hAnsi="Book Antiqua" w:cs="Book Antiqua"/>
        </w:rPr>
        <w:t xml:space="preserve"> </w:t>
      </w:r>
      <w:r w:rsidRPr="00BE12AC">
        <w:rPr>
          <w:rFonts w:ascii="Book Antiqua" w:eastAsia="Book Antiqua" w:hAnsi="Book Antiqua" w:cs="Book Antiqua"/>
        </w:rPr>
        <w:t>in</w:t>
      </w:r>
      <w:r w:rsidR="00DE1AE0">
        <w:rPr>
          <w:rFonts w:ascii="Book Antiqua" w:eastAsia="Book Antiqua" w:hAnsi="Book Antiqua" w:cs="Book Antiqua"/>
        </w:rPr>
        <w:t xml:space="preserve"> the</w:t>
      </w:r>
      <w:r w:rsidRPr="00BE12AC">
        <w:rPr>
          <w:rFonts w:ascii="Book Antiqua" w:eastAsia="Book Antiqua" w:hAnsi="Book Antiqua" w:cs="Book Antiqua"/>
        </w:rPr>
        <w:t xml:space="preserve"> data collection, </w:t>
      </w:r>
      <w:r w:rsidR="00DE1AE0">
        <w:rPr>
          <w:rFonts w:ascii="Book Antiqua" w:eastAsia="Book Antiqua" w:hAnsi="Book Antiqua" w:cs="Book Antiqua"/>
        </w:rPr>
        <w:t xml:space="preserve">and preparation of </w:t>
      </w:r>
      <w:r w:rsidRPr="00BE12AC">
        <w:rPr>
          <w:rFonts w:ascii="Book Antiqua" w:eastAsia="Book Antiqua" w:hAnsi="Book Antiqua" w:cs="Book Antiqua"/>
        </w:rPr>
        <w:t>tables and chart</w:t>
      </w:r>
      <w:r w:rsidR="00DE1AE0">
        <w:rPr>
          <w:rFonts w:ascii="Book Antiqua" w:eastAsia="Book Antiqua" w:hAnsi="Book Antiqua" w:cs="Book Antiqua"/>
        </w:rPr>
        <w:t>s</w:t>
      </w:r>
      <w:r w:rsidRPr="00BE12AC">
        <w:rPr>
          <w:rFonts w:ascii="Book Antiqua" w:eastAsia="Book Antiqua" w:hAnsi="Book Antiqua" w:cs="Book Antiqua"/>
        </w:rPr>
        <w:t xml:space="preserve">; Sandai D, Zhang ZW, and Song ZJ </w:t>
      </w:r>
      <w:r w:rsidR="00DE1AE0">
        <w:rPr>
          <w:rFonts w:ascii="Book Antiqua" w:eastAsia="Book Antiqua" w:hAnsi="Book Antiqua" w:cs="Book Antiqua"/>
        </w:rPr>
        <w:t>had</w:t>
      </w:r>
      <w:r w:rsidR="00DE1AE0" w:rsidRPr="00BE12AC">
        <w:rPr>
          <w:rFonts w:ascii="Book Antiqua" w:eastAsia="Book Antiqua" w:hAnsi="Book Antiqua" w:cs="Book Antiqua"/>
        </w:rPr>
        <w:t xml:space="preserve"> </w:t>
      </w:r>
      <w:r w:rsidRPr="00BE12AC">
        <w:rPr>
          <w:rFonts w:ascii="Book Antiqua" w:eastAsia="Book Antiqua" w:hAnsi="Book Antiqua" w:cs="Book Antiqua"/>
        </w:rPr>
        <w:t xml:space="preserve">pivotal roles in </w:t>
      </w:r>
      <w:r w:rsidR="00DE1AE0">
        <w:rPr>
          <w:rFonts w:ascii="Book Antiqua" w:eastAsia="Book Antiqua" w:hAnsi="Book Antiqua" w:cs="Book Antiqua"/>
        </w:rPr>
        <w:t xml:space="preserve">the </w:t>
      </w:r>
      <w:r w:rsidRPr="00BE12AC">
        <w:rPr>
          <w:rFonts w:ascii="Book Antiqua" w:eastAsia="Book Antiqua" w:hAnsi="Book Antiqua" w:cs="Book Antiqua"/>
        </w:rPr>
        <w:t>research design, guiding the research group</w:t>
      </w:r>
      <w:r w:rsidR="00822211">
        <w:rPr>
          <w:rFonts w:ascii="Book Antiqua" w:eastAsia="Book Antiqua" w:hAnsi="Book Antiqua" w:cs="Book Antiqua"/>
        </w:rPr>
        <w:t>,</w:t>
      </w:r>
      <w:r w:rsidRPr="00BE12AC">
        <w:rPr>
          <w:rFonts w:ascii="Book Antiqua" w:eastAsia="Book Antiqua" w:hAnsi="Book Antiqua" w:cs="Book Antiqua"/>
        </w:rPr>
        <w:t xml:space="preserve"> and orchestrating the collaborative efforts of all authors; </w:t>
      </w:r>
      <w:r w:rsidR="00822211" w:rsidRPr="00BE12AC">
        <w:rPr>
          <w:rFonts w:ascii="Book Antiqua" w:eastAsia="Book Antiqua" w:hAnsi="Book Antiqua" w:cs="Book Antiqua"/>
        </w:rPr>
        <w:t xml:space="preserve">Sandai D and Song ZJ </w:t>
      </w:r>
      <w:r w:rsidR="00822211">
        <w:rPr>
          <w:rFonts w:ascii="Book Antiqua" w:eastAsia="Book Antiqua" w:hAnsi="Book Antiqua" w:cs="Book Antiqua"/>
        </w:rPr>
        <w:t>gave</w:t>
      </w:r>
      <w:r w:rsidR="00822211" w:rsidRPr="00BE12AC">
        <w:rPr>
          <w:rFonts w:ascii="Book Antiqua" w:eastAsia="Book Antiqua" w:hAnsi="Book Antiqua" w:cs="Book Antiqua"/>
        </w:rPr>
        <w:t xml:space="preserve"> detailed guidance </w:t>
      </w:r>
      <w:r w:rsidR="00822211">
        <w:rPr>
          <w:rFonts w:ascii="Book Antiqua" w:eastAsia="Book Antiqua" w:hAnsi="Book Antiqua" w:cs="Book Antiqua"/>
        </w:rPr>
        <w:t>on</w:t>
      </w:r>
      <w:r w:rsidR="00822211" w:rsidRPr="00BE12AC">
        <w:rPr>
          <w:rFonts w:ascii="Book Antiqua" w:eastAsia="Book Antiqua" w:hAnsi="Book Antiqua" w:cs="Book Antiqua"/>
        </w:rPr>
        <w:t xml:space="preserve"> th</w:t>
      </w:r>
      <w:r w:rsidR="00822211">
        <w:rPr>
          <w:rFonts w:ascii="Book Antiqua" w:eastAsia="Book Antiqua" w:hAnsi="Book Antiqua" w:cs="Book Antiqua"/>
        </w:rPr>
        <w:t>e</w:t>
      </w:r>
      <w:r w:rsidR="00822211" w:rsidRPr="00BE12AC">
        <w:rPr>
          <w:rFonts w:ascii="Book Antiqua" w:eastAsia="Book Antiqua" w:hAnsi="Book Antiqua" w:cs="Book Antiqua"/>
        </w:rPr>
        <w:t xml:space="preserve"> paper</w:t>
      </w:r>
      <w:r w:rsidR="00822211">
        <w:rPr>
          <w:rFonts w:ascii="Book Antiqua" w:eastAsia="Book Antiqua" w:hAnsi="Book Antiqua" w:cs="Book Antiqua"/>
        </w:rPr>
        <w:t xml:space="preserve">; </w:t>
      </w:r>
      <w:r w:rsidR="00DE1AE0">
        <w:rPr>
          <w:rFonts w:ascii="Book Antiqua" w:eastAsia="Book Antiqua" w:hAnsi="Book Antiqua" w:cs="Book Antiqua"/>
        </w:rPr>
        <w:t>A</w:t>
      </w:r>
      <w:r w:rsidRPr="00BE12AC">
        <w:rPr>
          <w:rFonts w:ascii="Book Antiqua" w:eastAsia="Book Antiqua" w:hAnsi="Book Antiqua" w:cs="Book Antiqua"/>
        </w:rPr>
        <w:t>ll authors have read and approve</w:t>
      </w:r>
      <w:r w:rsidR="00DE1AE0">
        <w:rPr>
          <w:rFonts w:ascii="Book Antiqua" w:eastAsia="Book Antiqua" w:hAnsi="Book Antiqua" w:cs="Book Antiqua"/>
        </w:rPr>
        <w:t>d</w:t>
      </w:r>
      <w:r w:rsidRPr="00BE12AC">
        <w:rPr>
          <w:rFonts w:ascii="Book Antiqua" w:eastAsia="Book Antiqua" w:hAnsi="Book Antiqua" w:cs="Book Antiqua"/>
        </w:rPr>
        <w:t xml:space="preserve"> the final manuscript</w:t>
      </w:r>
      <w:r w:rsidR="00822211">
        <w:rPr>
          <w:rFonts w:ascii="Book Antiqua" w:eastAsia="Book Antiqua" w:hAnsi="Book Antiqua" w:cs="Book Antiqua"/>
        </w:rPr>
        <w:t>.</w:t>
      </w:r>
      <w:r w:rsidRPr="00BE12AC">
        <w:rPr>
          <w:rFonts w:ascii="Book Antiqua" w:eastAsia="Book Antiqua" w:hAnsi="Book Antiqua" w:cs="Book Antiqua"/>
        </w:rPr>
        <w:t xml:space="preserve"> </w:t>
      </w:r>
    </w:p>
    <w:p w14:paraId="390E2222" w14:textId="77777777" w:rsidR="00600DE7" w:rsidRPr="00BE12AC" w:rsidRDefault="00600DE7" w:rsidP="00873A9B">
      <w:pPr>
        <w:spacing w:line="360" w:lineRule="auto"/>
        <w:jc w:val="both"/>
        <w:rPr>
          <w:rFonts w:ascii="Book Antiqua" w:hAnsi="Book Antiqua"/>
        </w:rPr>
      </w:pPr>
    </w:p>
    <w:p w14:paraId="6E404C43" w14:textId="75F20B18"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Supported by </w:t>
      </w:r>
      <w:r w:rsidRPr="00BE12AC">
        <w:rPr>
          <w:rFonts w:ascii="Book Antiqua" w:eastAsia="Book Antiqua" w:hAnsi="Book Antiqua" w:cs="Book Antiqua"/>
        </w:rPr>
        <w:t xml:space="preserve">National Natural Science Foundation of China, </w:t>
      </w:r>
      <w:r w:rsidRPr="00BE12AC">
        <w:rPr>
          <w:rStyle w:val="15"/>
          <w:rFonts w:ascii="Book Antiqua" w:eastAsia="Book Antiqua" w:hAnsi="Book Antiqua" w:cs="Book Antiqua"/>
          <w:shd w:val="clear" w:color="auto" w:fill="FFFFFF"/>
        </w:rPr>
        <w:t xml:space="preserve">No. </w:t>
      </w:r>
      <w:r w:rsidRPr="00BE12AC">
        <w:rPr>
          <w:rFonts w:ascii="Book Antiqua" w:eastAsia="Book Antiqua" w:hAnsi="Book Antiqua" w:cs="Book Antiqua"/>
        </w:rPr>
        <w:t xml:space="preserve">81960877; University Innovation Fund of Gansu Province, </w:t>
      </w:r>
      <w:r w:rsidRPr="00BE12AC">
        <w:rPr>
          <w:rStyle w:val="15"/>
          <w:rFonts w:ascii="Book Antiqua" w:eastAsia="Book Antiqua" w:hAnsi="Book Antiqua" w:cs="Book Antiqua"/>
          <w:shd w:val="clear" w:color="auto" w:fill="FFFFFF"/>
        </w:rPr>
        <w:t xml:space="preserve">No. </w:t>
      </w:r>
      <w:r w:rsidRPr="00BE12AC">
        <w:rPr>
          <w:rFonts w:ascii="Book Antiqua" w:eastAsia="Book Antiqua" w:hAnsi="Book Antiqua" w:cs="Book Antiqua"/>
        </w:rPr>
        <w:t xml:space="preserve">2021A-076; Gansu Province Science and Technology Plan (Innovation Base and Talent Plan), </w:t>
      </w:r>
      <w:r w:rsidRPr="00BE12AC">
        <w:rPr>
          <w:rStyle w:val="15"/>
          <w:rFonts w:ascii="Book Antiqua" w:eastAsia="Book Antiqua" w:hAnsi="Book Antiqua" w:cs="Book Antiqua"/>
          <w:shd w:val="clear" w:color="auto" w:fill="FFFFFF"/>
        </w:rPr>
        <w:t xml:space="preserve">No. </w:t>
      </w:r>
      <w:r w:rsidRPr="00BE12AC">
        <w:rPr>
          <w:rFonts w:ascii="Book Antiqua" w:eastAsia="Book Antiqua" w:hAnsi="Book Antiqua" w:cs="Book Antiqua"/>
        </w:rPr>
        <w:t xml:space="preserve">21JR7RA561; Natural Science Foundation of Gansu Province, </w:t>
      </w:r>
      <w:r w:rsidRPr="00BE12AC">
        <w:rPr>
          <w:rStyle w:val="15"/>
          <w:rFonts w:ascii="Book Antiqua" w:eastAsia="Book Antiqua" w:hAnsi="Book Antiqua" w:cs="Book Antiqua"/>
          <w:shd w:val="clear" w:color="auto" w:fill="FFFFFF"/>
        </w:rPr>
        <w:t xml:space="preserve">No. </w:t>
      </w:r>
      <w:r w:rsidRPr="00BE12AC">
        <w:rPr>
          <w:rFonts w:ascii="Book Antiqua" w:eastAsia="Book Antiqua" w:hAnsi="Book Antiqua" w:cs="Book Antiqua"/>
        </w:rPr>
        <w:t xml:space="preserve">21JR1RA267 and No. 22JR5RA582; Education Technology Innovation Project of Gansu Province, </w:t>
      </w:r>
      <w:r w:rsidRPr="00BE12AC">
        <w:rPr>
          <w:rStyle w:val="15"/>
          <w:rFonts w:ascii="Book Antiqua" w:eastAsia="Book Antiqua" w:hAnsi="Book Antiqua" w:cs="Book Antiqua"/>
          <w:shd w:val="clear" w:color="auto" w:fill="FFFFFF"/>
        </w:rPr>
        <w:t xml:space="preserve">No. </w:t>
      </w:r>
      <w:r w:rsidRPr="00BE12AC">
        <w:rPr>
          <w:rFonts w:ascii="Book Antiqua" w:eastAsia="Book Antiqua" w:hAnsi="Book Antiqua" w:cs="Book Antiqua"/>
        </w:rPr>
        <w:t xml:space="preserve">2022A-067; Innovation Fund of </w:t>
      </w:r>
      <w:r w:rsidRPr="00BE12AC">
        <w:rPr>
          <w:rFonts w:ascii="Book Antiqua" w:eastAsia="Book Antiqua" w:hAnsi="Book Antiqua" w:cs="Book Antiqua"/>
        </w:rPr>
        <w:lastRenderedPageBreak/>
        <w:t xml:space="preserve">Higher Education of Gansu Province, </w:t>
      </w:r>
      <w:r w:rsidRPr="00BE12AC">
        <w:rPr>
          <w:rStyle w:val="15"/>
          <w:rFonts w:ascii="Book Antiqua" w:eastAsia="Book Antiqua" w:hAnsi="Book Antiqua" w:cs="Book Antiqua"/>
          <w:shd w:val="clear" w:color="auto" w:fill="FFFFFF"/>
        </w:rPr>
        <w:t xml:space="preserve">No. </w:t>
      </w:r>
      <w:r w:rsidRPr="00BE12AC">
        <w:rPr>
          <w:rFonts w:ascii="Book Antiqua" w:eastAsia="Book Antiqua" w:hAnsi="Book Antiqua" w:cs="Book Antiqua"/>
        </w:rPr>
        <w:t xml:space="preserve">2023A-088; Gansu Province </w:t>
      </w:r>
      <w:r w:rsidR="00DE1AE0">
        <w:rPr>
          <w:rFonts w:ascii="Book Antiqua" w:eastAsia="Book Antiqua" w:hAnsi="Book Antiqua" w:cs="Book Antiqua"/>
        </w:rPr>
        <w:t>S</w:t>
      </w:r>
      <w:r w:rsidRPr="00BE12AC">
        <w:rPr>
          <w:rFonts w:ascii="Book Antiqua" w:eastAsia="Book Antiqua" w:hAnsi="Book Antiqua" w:cs="Book Antiqua"/>
        </w:rPr>
        <w:t xml:space="preserve">cience and </w:t>
      </w:r>
      <w:r w:rsidR="00DE1AE0">
        <w:rPr>
          <w:rFonts w:ascii="Book Antiqua" w:eastAsia="Book Antiqua" w:hAnsi="Book Antiqua" w:cs="Book Antiqua"/>
        </w:rPr>
        <w:t>T</w:t>
      </w:r>
      <w:r w:rsidRPr="00BE12AC">
        <w:rPr>
          <w:rFonts w:ascii="Book Antiqua" w:eastAsia="Book Antiqua" w:hAnsi="Book Antiqua" w:cs="Book Antiqua"/>
        </w:rPr>
        <w:t xml:space="preserve">echnology </w:t>
      </w:r>
      <w:r w:rsidR="00DE1AE0">
        <w:rPr>
          <w:rFonts w:ascii="Book Antiqua" w:eastAsia="Book Antiqua" w:hAnsi="Book Antiqua" w:cs="Book Antiqua"/>
        </w:rPr>
        <w:t>P</w:t>
      </w:r>
      <w:r w:rsidRPr="00BE12AC">
        <w:rPr>
          <w:rFonts w:ascii="Book Antiqua" w:eastAsia="Book Antiqua" w:hAnsi="Book Antiqua" w:cs="Book Antiqua"/>
        </w:rPr>
        <w:t xml:space="preserve">lan </w:t>
      </w:r>
      <w:r w:rsidR="00DE1AE0">
        <w:rPr>
          <w:rFonts w:ascii="Book Antiqua" w:eastAsia="Book Antiqua" w:hAnsi="Book Antiqua" w:cs="Book Antiqua"/>
        </w:rPr>
        <w:t>I</w:t>
      </w:r>
      <w:r w:rsidRPr="00BE12AC">
        <w:rPr>
          <w:rFonts w:ascii="Book Antiqua" w:eastAsia="Book Antiqua" w:hAnsi="Book Antiqua" w:cs="Book Antiqua"/>
        </w:rPr>
        <w:t xml:space="preserve">nternational </w:t>
      </w:r>
      <w:r w:rsidR="00DE1AE0">
        <w:rPr>
          <w:rFonts w:ascii="Book Antiqua" w:eastAsia="Book Antiqua" w:hAnsi="Book Antiqua" w:cs="Book Antiqua"/>
        </w:rPr>
        <w:t>C</w:t>
      </w:r>
      <w:r w:rsidRPr="00BE12AC">
        <w:rPr>
          <w:rFonts w:ascii="Book Antiqua" w:eastAsia="Book Antiqua" w:hAnsi="Book Antiqua" w:cs="Book Antiqua"/>
        </w:rPr>
        <w:t xml:space="preserve">ooperation </w:t>
      </w:r>
      <w:r w:rsidR="00DE1AE0">
        <w:rPr>
          <w:rFonts w:ascii="Book Antiqua" w:eastAsia="Book Antiqua" w:hAnsi="Book Antiqua" w:cs="Book Antiqua"/>
        </w:rPr>
        <w:t>F</w:t>
      </w:r>
      <w:r w:rsidRPr="00BE12AC">
        <w:rPr>
          <w:rFonts w:ascii="Book Antiqua" w:eastAsia="Book Antiqua" w:hAnsi="Book Antiqua" w:cs="Book Antiqua"/>
        </w:rPr>
        <w:t xml:space="preserve">ield </w:t>
      </w:r>
      <w:r w:rsidR="00DE1AE0">
        <w:rPr>
          <w:rFonts w:ascii="Book Antiqua" w:eastAsia="Book Antiqua" w:hAnsi="Book Antiqua" w:cs="Book Antiqua"/>
        </w:rPr>
        <w:t>P</w:t>
      </w:r>
      <w:r w:rsidRPr="00BE12AC">
        <w:rPr>
          <w:rFonts w:ascii="Book Antiqua" w:eastAsia="Book Antiqua" w:hAnsi="Book Antiqua" w:cs="Book Antiqua"/>
        </w:rPr>
        <w:t xml:space="preserve">roject, </w:t>
      </w:r>
      <w:r w:rsidRPr="00BE12AC">
        <w:rPr>
          <w:rStyle w:val="15"/>
          <w:rFonts w:ascii="Book Antiqua" w:eastAsia="Book Antiqua" w:hAnsi="Book Antiqua" w:cs="Book Antiqua"/>
          <w:shd w:val="clear" w:color="auto" w:fill="FFFFFF"/>
        </w:rPr>
        <w:t xml:space="preserve">No. </w:t>
      </w:r>
      <w:r w:rsidRPr="00BE12AC">
        <w:rPr>
          <w:rFonts w:ascii="Book Antiqua" w:eastAsia="Book Antiqua" w:hAnsi="Book Antiqua" w:cs="Book Antiqua"/>
        </w:rPr>
        <w:t xml:space="preserve">23YFWA0005; and Open Project of Key Laboratory of Dunhuang Medicine and Transformation of Ministry of Education, </w:t>
      </w:r>
      <w:r w:rsidRPr="00BE12AC">
        <w:rPr>
          <w:rStyle w:val="15"/>
          <w:rFonts w:ascii="Book Antiqua" w:eastAsia="Book Antiqua" w:hAnsi="Book Antiqua" w:cs="Book Antiqua"/>
          <w:shd w:val="clear" w:color="auto" w:fill="FFFFFF"/>
        </w:rPr>
        <w:t xml:space="preserve">No. </w:t>
      </w:r>
      <w:r w:rsidRPr="00BE12AC">
        <w:rPr>
          <w:rFonts w:ascii="Book Antiqua" w:eastAsia="Book Antiqua" w:hAnsi="Book Antiqua" w:cs="Book Antiqua"/>
        </w:rPr>
        <w:t>DHYX21-07, No. DHYX22-05</w:t>
      </w:r>
      <w:r w:rsidR="00DE1AE0">
        <w:rPr>
          <w:rFonts w:ascii="Book Antiqua" w:eastAsia="Book Antiqua" w:hAnsi="Book Antiqua" w:cs="Book Antiqua"/>
        </w:rPr>
        <w:t>,</w:t>
      </w:r>
      <w:r w:rsidRPr="00BE12AC">
        <w:rPr>
          <w:rFonts w:ascii="Book Antiqua" w:eastAsia="Book Antiqua" w:hAnsi="Book Antiqua" w:cs="Book Antiqua"/>
        </w:rPr>
        <w:t xml:space="preserve"> and No. DHYX21-01.</w:t>
      </w:r>
    </w:p>
    <w:p w14:paraId="33BAA558" w14:textId="77777777" w:rsidR="00600DE7" w:rsidRPr="00BE12AC" w:rsidRDefault="00600DE7" w:rsidP="00873A9B">
      <w:pPr>
        <w:spacing w:line="360" w:lineRule="auto"/>
        <w:jc w:val="both"/>
        <w:rPr>
          <w:rFonts w:ascii="Book Antiqua" w:hAnsi="Book Antiqua"/>
        </w:rPr>
      </w:pPr>
    </w:p>
    <w:p w14:paraId="1A65F651"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Corresponding author: </w:t>
      </w:r>
      <w:bookmarkStart w:id="0" w:name="OLE_LINK7609"/>
      <w:bookmarkStart w:id="1" w:name="OLE_LINK7608"/>
      <w:r w:rsidRPr="00BE12AC">
        <w:rPr>
          <w:rFonts w:ascii="Book Antiqua" w:eastAsia="Book Antiqua" w:hAnsi="Book Antiqua" w:cs="Book Antiqua"/>
          <w:b/>
          <w:bCs/>
        </w:rPr>
        <w:t>Sandai Doblin</w:t>
      </w:r>
      <w:bookmarkEnd w:id="0"/>
      <w:bookmarkEnd w:id="1"/>
      <w:r w:rsidRPr="00BE12AC">
        <w:rPr>
          <w:rFonts w:ascii="Book Antiqua" w:eastAsia="Book Antiqua" w:hAnsi="Book Antiqua" w:cs="Book Antiqua"/>
          <w:b/>
          <w:bCs/>
        </w:rPr>
        <w:t xml:space="preserve">, PhD, Professor, </w:t>
      </w:r>
      <w:r w:rsidRPr="00BE12AC">
        <w:rPr>
          <w:rFonts w:ascii="Book Antiqua" w:eastAsia="Book Antiqua" w:hAnsi="Book Antiqua" w:cs="Book Antiqua"/>
        </w:rPr>
        <w:t xml:space="preserve">Department of Biomedical Sciences, Advanced Medical and Dental Institute, Universiti Sains Malaysia, Kepala Batas, Penang 13200, </w:t>
      </w:r>
      <w:bookmarkStart w:id="2" w:name="OLE_LINK7854"/>
      <w:bookmarkStart w:id="3" w:name="OLE_LINK7855"/>
      <w:r w:rsidRPr="00BE12AC">
        <w:rPr>
          <w:rFonts w:ascii="Book Antiqua" w:eastAsia="Book Antiqua" w:hAnsi="Book Antiqua" w:cs="Book Antiqua"/>
        </w:rPr>
        <w:t>Malaysia</w:t>
      </w:r>
      <w:bookmarkEnd w:id="2"/>
      <w:bookmarkEnd w:id="3"/>
      <w:r w:rsidRPr="00BE12AC">
        <w:rPr>
          <w:rFonts w:ascii="Book Antiqua" w:eastAsia="Book Antiqua" w:hAnsi="Book Antiqua" w:cs="Book Antiqua"/>
        </w:rPr>
        <w:t>. doblin@usm.my</w:t>
      </w:r>
    </w:p>
    <w:p w14:paraId="54A730A1" w14:textId="77777777" w:rsidR="00600DE7" w:rsidRPr="00BE12AC" w:rsidRDefault="00600DE7" w:rsidP="00873A9B">
      <w:pPr>
        <w:spacing w:line="360" w:lineRule="auto"/>
        <w:jc w:val="both"/>
        <w:rPr>
          <w:rFonts w:ascii="Book Antiqua" w:hAnsi="Book Antiqua"/>
        </w:rPr>
      </w:pPr>
    </w:p>
    <w:p w14:paraId="2D017AF6"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Received: </w:t>
      </w:r>
      <w:r w:rsidRPr="00BE12AC">
        <w:rPr>
          <w:rFonts w:ascii="Book Antiqua" w:eastAsia="Book Antiqua" w:hAnsi="Book Antiqua" w:cs="Book Antiqua"/>
        </w:rPr>
        <w:t>September 8, 2023</w:t>
      </w:r>
    </w:p>
    <w:p w14:paraId="2CD70D7B"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Revised: </w:t>
      </w:r>
      <w:r w:rsidRPr="00BE12AC">
        <w:rPr>
          <w:rFonts w:ascii="Book Antiqua" w:eastAsia="Book Antiqua" w:hAnsi="Book Antiqua" w:cs="Book Antiqua"/>
        </w:rPr>
        <w:t>December 10, 2023</w:t>
      </w:r>
    </w:p>
    <w:p w14:paraId="512CE08E" w14:textId="270CFF2F" w:rsidR="00600DE7" w:rsidRPr="00BE12AC" w:rsidRDefault="00FC314E" w:rsidP="006F7838">
      <w:pPr>
        <w:spacing w:line="360" w:lineRule="auto"/>
        <w:rPr>
          <w:rFonts w:ascii="Book Antiqua" w:hAnsi="Book Antiqua"/>
        </w:rPr>
      </w:pPr>
      <w:r w:rsidRPr="00BE12AC">
        <w:rPr>
          <w:rFonts w:ascii="Book Antiqua" w:eastAsia="Book Antiqua" w:hAnsi="Book Antiqua" w:cs="Book Antiqua"/>
          <w:b/>
          <w:bCs/>
        </w:rPr>
        <w:t xml:space="preserve">Accepted: </w:t>
      </w:r>
      <w:bookmarkStart w:id="4" w:name="OLE_LINK1198"/>
      <w:bookmarkStart w:id="5" w:name="OLE_LINK1199"/>
      <w:bookmarkStart w:id="6" w:name="OLE_LINK1218"/>
      <w:bookmarkStart w:id="7" w:name="OLE_LINK1222"/>
      <w:bookmarkStart w:id="8" w:name="OLE_LINK1223"/>
      <w:bookmarkStart w:id="9" w:name="OLE_LINK1224"/>
      <w:bookmarkStart w:id="10" w:name="OLE_LINK1227"/>
      <w:bookmarkStart w:id="11" w:name="OLE_LINK1231"/>
      <w:bookmarkStart w:id="12" w:name="OLE_LINK1242"/>
      <w:bookmarkStart w:id="13" w:name="OLE_LINK1246"/>
      <w:bookmarkStart w:id="14" w:name="OLE_LINK6798"/>
      <w:bookmarkStart w:id="15" w:name="OLE_LINK6803"/>
      <w:bookmarkStart w:id="16" w:name="OLE_LINK6812"/>
      <w:bookmarkStart w:id="17" w:name="OLE_LINK6816"/>
      <w:bookmarkStart w:id="18" w:name="OLE_LINK6827"/>
      <w:bookmarkStart w:id="19" w:name="OLE_LINK6830"/>
      <w:bookmarkStart w:id="20" w:name="OLE_LINK6834"/>
      <w:bookmarkStart w:id="21" w:name="OLE_LINK7116"/>
      <w:bookmarkStart w:id="22" w:name="OLE_LINK7119"/>
      <w:bookmarkStart w:id="23" w:name="OLE_LINK7122"/>
      <w:bookmarkStart w:id="24" w:name="OLE_LINK7125"/>
      <w:bookmarkStart w:id="25" w:name="OLE_LINK7126"/>
      <w:bookmarkStart w:id="26" w:name="OLE_LINK7127"/>
      <w:bookmarkStart w:id="27" w:name="OLE_LINK7130"/>
      <w:bookmarkStart w:id="28" w:name="OLE_LINK7133"/>
      <w:bookmarkStart w:id="29" w:name="OLE_LINK7140"/>
      <w:bookmarkStart w:id="30" w:name="OLE_LINK7141"/>
      <w:bookmarkStart w:id="31" w:name="OLE_LINK7145"/>
      <w:bookmarkStart w:id="32" w:name="OLE_LINK7150"/>
      <w:bookmarkStart w:id="33" w:name="OLE_LINK7153"/>
      <w:bookmarkStart w:id="34" w:name="OLE_LINK7158"/>
      <w:bookmarkStart w:id="35" w:name="OLE_LINK7167"/>
      <w:bookmarkStart w:id="36" w:name="OLE_LINK7173"/>
      <w:bookmarkStart w:id="37" w:name="OLE_LINK7212"/>
      <w:bookmarkStart w:id="38" w:name="OLE_LINK7213"/>
      <w:bookmarkStart w:id="39" w:name="OLE_LINK7214"/>
      <w:bookmarkStart w:id="40" w:name="OLE_LINK7215"/>
      <w:bookmarkStart w:id="41" w:name="OLE_LINK7223"/>
      <w:bookmarkStart w:id="42" w:name="OLE_LINK7228"/>
      <w:bookmarkStart w:id="43" w:name="OLE_LINK7235"/>
      <w:bookmarkStart w:id="44" w:name="OLE_LINK7236"/>
      <w:bookmarkStart w:id="45" w:name="OLE_LINK7237"/>
      <w:bookmarkStart w:id="46" w:name="OLE_LINK7240"/>
      <w:bookmarkStart w:id="47" w:name="OLE_LINK7243"/>
      <w:bookmarkStart w:id="48" w:name="OLE_LINK7250"/>
      <w:bookmarkStart w:id="49" w:name="OLE_LINK7253"/>
      <w:bookmarkStart w:id="50" w:name="OLE_LINK7513"/>
      <w:bookmarkStart w:id="51" w:name="OLE_LINK7515"/>
      <w:bookmarkStart w:id="52" w:name="OLE_LINK7522"/>
      <w:bookmarkStart w:id="53" w:name="OLE_LINK7527"/>
      <w:bookmarkStart w:id="54" w:name="OLE_LINK7530"/>
      <w:bookmarkStart w:id="55" w:name="OLE_LINK7547"/>
      <w:bookmarkStart w:id="56" w:name="OLE_LINK7550"/>
      <w:bookmarkStart w:id="57" w:name="OLE_LINK7555"/>
      <w:bookmarkStart w:id="58" w:name="OLE_LINK7559"/>
      <w:bookmarkStart w:id="59" w:name="OLE_LINK7561"/>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bookmarkStart w:id="308" w:name="OLE_LINK7272"/>
      <w:bookmarkStart w:id="309" w:name="OLE_LINK7282"/>
      <w:bookmarkStart w:id="310" w:name="OLE_LINK7287"/>
      <w:bookmarkStart w:id="311" w:name="OLE_LINK7292"/>
      <w:bookmarkStart w:id="312" w:name="OLE_LINK7296"/>
      <w:bookmarkStart w:id="313" w:name="OLE_LINK7303"/>
      <w:bookmarkStart w:id="314" w:name="OLE_LINK7307"/>
      <w:bookmarkStart w:id="315" w:name="OLE_LINK7313"/>
      <w:bookmarkStart w:id="316" w:name="OLE_LINK7317"/>
      <w:bookmarkStart w:id="317" w:name="OLE_LINK7322"/>
      <w:bookmarkStart w:id="318" w:name="OLE_LINK7326"/>
      <w:bookmarkStart w:id="319" w:name="OLE_LINK7376"/>
      <w:bookmarkStart w:id="320" w:name="OLE_LINK7379"/>
      <w:bookmarkStart w:id="321" w:name="OLE_LINK7383"/>
      <w:bookmarkStart w:id="322" w:name="OLE_LINK7386"/>
      <w:bookmarkStart w:id="323" w:name="OLE_LINK7389"/>
      <w:bookmarkStart w:id="324" w:name="OLE_LINK7394"/>
      <w:bookmarkStart w:id="325" w:name="OLE_LINK7403"/>
      <w:bookmarkStart w:id="326" w:name="OLE_LINK7422"/>
      <w:bookmarkStart w:id="327" w:name="OLE_LINK7426"/>
      <w:bookmarkStart w:id="328" w:name="OLE_LINK7432"/>
      <w:bookmarkStart w:id="329" w:name="OLE_LINK7440"/>
      <w:bookmarkStart w:id="330" w:name="OLE_LINK7523"/>
      <w:bookmarkStart w:id="331" w:name="OLE_LINK7526"/>
      <w:bookmarkStart w:id="332" w:name="OLE_LINK7533"/>
      <w:bookmarkStart w:id="333" w:name="OLE_LINK7534"/>
      <w:bookmarkStart w:id="334" w:name="OLE_LINK7538"/>
      <w:bookmarkStart w:id="335" w:name="OLE_LINK7548"/>
      <w:bookmarkStart w:id="336" w:name="OLE_LINK7552"/>
      <w:bookmarkStart w:id="337" w:name="OLE_LINK7562"/>
      <w:bookmarkStart w:id="338" w:name="OLE_LINK7572"/>
      <w:bookmarkStart w:id="339" w:name="OLE_LINK7573"/>
      <w:bookmarkStart w:id="340" w:name="OLE_LINK7579"/>
      <w:bookmarkStart w:id="341" w:name="OLE_LINK7588"/>
      <w:bookmarkStart w:id="342" w:name="OLE_LINK7593"/>
      <w:bookmarkStart w:id="343" w:name="OLE_LINK7619"/>
      <w:bookmarkStart w:id="344" w:name="OLE_LINK7631"/>
      <w:bookmarkStart w:id="345" w:name="OLE_LINK7642"/>
      <w:bookmarkStart w:id="346" w:name="OLE_LINK7646"/>
      <w:bookmarkStart w:id="347" w:name="OLE_LINK7648"/>
      <w:bookmarkStart w:id="348" w:name="OLE_LINK7658"/>
      <w:bookmarkStart w:id="349" w:name="OLE_LINK7739"/>
      <w:bookmarkStart w:id="350" w:name="OLE_LINK7743"/>
      <w:bookmarkStart w:id="351" w:name="OLE_LINK7749"/>
      <w:bookmarkStart w:id="352" w:name="OLE_LINK7756"/>
      <w:bookmarkStart w:id="353" w:name="OLE_LINK7786"/>
      <w:bookmarkStart w:id="354" w:name="OLE_LINK7793"/>
      <w:bookmarkStart w:id="355" w:name="OLE_LINK7801"/>
      <w:bookmarkStart w:id="356" w:name="OLE_LINK7805"/>
      <w:bookmarkStart w:id="357" w:name="OLE_LINK7814"/>
      <w:bookmarkStart w:id="358" w:name="OLE_LINK7818"/>
      <w:bookmarkStart w:id="359" w:name="OLE_LINK7822"/>
      <w:bookmarkStart w:id="360" w:name="OLE_LINK7825"/>
      <w:bookmarkStart w:id="361" w:name="OLE_LINK7834"/>
      <w:bookmarkStart w:id="362" w:name="OLE_LINK7840"/>
      <w:bookmarkStart w:id="363" w:name="OLE_LINK7844"/>
      <w:bookmarkStart w:id="364" w:name="OLE_LINK7850"/>
      <w:bookmarkStart w:id="365" w:name="OLE_LINK7853"/>
      <w:r w:rsidR="0020504B">
        <w:rPr>
          <w:rFonts w:ascii="Book Antiqua" w:hAnsi="Book Antiqua"/>
        </w:rPr>
        <w:t>January 12, 2024</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41AF7C41" w14:textId="7EF7CE50"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Published online: </w:t>
      </w:r>
      <w:r w:rsidR="00B1265C">
        <w:rPr>
          <w:rFonts w:ascii="Book Antiqua" w:hAnsi="Book Antiqua"/>
          <w:color w:val="000000"/>
          <w:shd w:val="clear" w:color="auto" w:fill="FFFFFF"/>
        </w:rPr>
        <w:t>February 24</w:t>
      </w:r>
      <w:r w:rsidR="00B1265C" w:rsidRPr="00B1265C">
        <w:rPr>
          <w:rFonts w:ascii="Book Antiqua" w:eastAsia="Book Antiqua" w:hAnsi="Book Antiqua" w:cs="Book Antiqua"/>
        </w:rPr>
        <w:t>,</w:t>
      </w:r>
      <w:r w:rsidR="00B1265C">
        <w:rPr>
          <w:rFonts w:ascii="Book Antiqua" w:eastAsia="Book Antiqua" w:hAnsi="Book Antiqua" w:cs="Book Antiqua"/>
        </w:rPr>
        <w:t xml:space="preserve"> </w:t>
      </w:r>
      <w:r w:rsidR="00B1265C" w:rsidRPr="00B1265C">
        <w:rPr>
          <w:rFonts w:ascii="Book Antiqua" w:eastAsia="Book Antiqua" w:hAnsi="Book Antiqua" w:cs="Book Antiqua"/>
        </w:rPr>
        <w:t>2024</w:t>
      </w:r>
    </w:p>
    <w:p w14:paraId="043EAD32" w14:textId="77777777" w:rsidR="00600DE7" w:rsidRPr="00BE12AC" w:rsidRDefault="00600DE7" w:rsidP="00873A9B">
      <w:pPr>
        <w:spacing w:line="360" w:lineRule="auto"/>
        <w:jc w:val="both"/>
        <w:rPr>
          <w:rFonts w:ascii="Book Antiqua" w:hAnsi="Book Antiqua"/>
        </w:rPr>
        <w:sectPr w:rsidR="00600DE7" w:rsidRPr="00BE12AC" w:rsidSect="00633490">
          <w:footerReference w:type="default" r:id="rId6"/>
          <w:pgSz w:w="12240" w:h="15840"/>
          <w:pgMar w:top="1440" w:right="1440" w:bottom="1440" w:left="1440" w:header="720" w:footer="720" w:gutter="0"/>
          <w:cols w:space="720"/>
          <w:docGrid w:linePitch="360"/>
        </w:sectPr>
      </w:pPr>
    </w:p>
    <w:p w14:paraId="738719FF"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rPr>
        <w:lastRenderedPageBreak/>
        <w:t>Abstract</w:t>
      </w:r>
    </w:p>
    <w:p w14:paraId="20FD4CBE"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BACKGROUND</w:t>
      </w:r>
    </w:p>
    <w:p w14:paraId="3075C74D"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Breast cancer is a multifaceted and formidable disease with profound public health implications. Cell demise mechanisms play a pivotal role in breast cancer pathogenesis, with ATP-triggered cell death attracting mounting interest for its unique specificity and potential therapeutic pertinence.</w:t>
      </w:r>
    </w:p>
    <w:p w14:paraId="316BAA3E" w14:textId="77777777" w:rsidR="00600DE7" w:rsidRPr="00BE12AC" w:rsidRDefault="00600DE7" w:rsidP="00873A9B">
      <w:pPr>
        <w:spacing w:line="360" w:lineRule="auto"/>
        <w:jc w:val="both"/>
        <w:rPr>
          <w:rFonts w:ascii="Book Antiqua" w:hAnsi="Book Antiqua"/>
        </w:rPr>
      </w:pPr>
    </w:p>
    <w:p w14:paraId="0A6EDB20"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AIM</w:t>
      </w:r>
    </w:p>
    <w:p w14:paraId="59D922DB"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To investigate the impact of ATP-induced cell death (AICD) on breast cancer, enhancing our understanding of its mechanism.</w:t>
      </w:r>
    </w:p>
    <w:p w14:paraId="7A1B094A" w14:textId="77777777" w:rsidR="00600DE7" w:rsidRPr="00BE12AC" w:rsidRDefault="00600DE7" w:rsidP="00873A9B">
      <w:pPr>
        <w:spacing w:line="360" w:lineRule="auto"/>
        <w:jc w:val="both"/>
        <w:rPr>
          <w:rFonts w:ascii="Book Antiqua" w:hAnsi="Book Antiqua"/>
        </w:rPr>
      </w:pPr>
    </w:p>
    <w:p w14:paraId="7A406500"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METHODS</w:t>
      </w:r>
    </w:p>
    <w:p w14:paraId="136F9A6D" w14:textId="67531D1A"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The foundational genes orchestrating AICD mechanisms were extracted from the literature, underpinning the establishment of a prognostic model. Simultaneously, a microRNA (miRNA) prognostic model was constructed that mirrored the gene-based prognostic model. Distinctions between high</w:t>
      </w:r>
      <w:r w:rsidR="00DE1AE0">
        <w:rPr>
          <w:rFonts w:ascii="Book Antiqua" w:eastAsia="Book Antiqua" w:hAnsi="Book Antiqua" w:cs="Book Antiqua"/>
        </w:rPr>
        <w:t>-</w:t>
      </w:r>
      <w:r w:rsidRPr="00BE12AC">
        <w:rPr>
          <w:rFonts w:ascii="Book Antiqua" w:eastAsia="Book Antiqua" w:hAnsi="Book Antiqua" w:cs="Book Antiqua"/>
        </w:rPr>
        <w:t xml:space="preserve"> and low-risk cohorts within mRNA and miRNA characteristic models were scrutinized, with the aim of delineating common influence mechanisms, substantiated through enrichment analysis and immune infiltration assessment.</w:t>
      </w:r>
    </w:p>
    <w:p w14:paraId="3B8410F4" w14:textId="77777777" w:rsidR="00600DE7" w:rsidRPr="00BE12AC" w:rsidRDefault="00600DE7" w:rsidP="00873A9B">
      <w:pPr>
        <w:spacing w:line="360" w:lineRule="auto"/>
        <w:jc w:val="both"/>
        <w:rPr>
          <w:rFonts w:ascii="Book Antiqua" w:hAnsi="Book Antiqua"/>
        </w:rPr>
      </w:pPr>
    </w:p>
    <w:p w14:paraId="548B33CF"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RESULTS</w:t>
      </w:r>
    </w:p>
    <w:p w14:paraId="7B4F7DDD" w14:textId="56B4B140"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The mRNA prognostic model in this study encompassed four specific mRNAs</w:t>
      </w:r>
      <w:r w:rsidR="00C01507">
        <w:rPr>
          <w:rFonts w:ascii="Book Antiqua" w:eastAsia="Book Antiqua" w:hAnsi="Book Antiqua" w:cs="Book Antiqua"/>
        </w:rPr>
        <w:t xml:space="preserve">: </w:t>
      </w:r>
      <w:r w:rsidR="00DE1AE0" w:rsidRPr="00DE1AE0">
        <w:rPr>
          <w:rFonts w:ascii="Book Antiqua" w:eastAsia="Book Antiqua" w:hAnsi="Book Antiqua" w:cs="Book Antiqua"/>
        </w:rPr>
        <w:t>P2X purinoceptor 4</w:t>
      </w:r>
      <w:r w:rsidRPr="00BE12AC">
        <w:rPr>
          <w:rFonts w:ascii="Book Antiqua" w:eastAsia="Book Antiqua" w:hAnsi="Book Antiqua" w:cs="Book Antiqua"/>
        </w:rPr>
        <w:t xml:space="preserve">, </w:t>
      </w:r>
      <w:r w:rsidR="00DE1AE0">
        <w:rPr>
          <w:rFonts w:ascii="Book Antiqua" w:eastAsia="Book Antiqua" w:hAnsi="Book Antiqua" w:cs="Book Antiqua"/>
        </w:rPr>
        <w:t>p</w:t>
      </w:r>
      <w:r w:rsidR="00DE1AE0" w:rsidRPr="00DE1AE0">
        <w:rPr>
          <w:rFonts w:ascii="Book Antiqua" w:eastAsia="Book Antiqua" w:hAnsi="Book Antiqua" w:cs="Book Antiqua"/>
        </w:rPr>
        <w:t>annexin 1</w:t>
      </w:r>
      <w:r w:rsidRPr="00BE12AC">
        <w:rPr>
          <w:rFonts w:ascii="Book Antiqua" w:eastAsia="Book Antiqua" w:hAnsi="Book Antiqua" w:cs="Book Antiqua"/>
        </w:rPr>
        <w:t xml:space="preserve">, </w:t>
      </w:r>
      <w:r w:rsidR="00DE1AE0">
        <w:rPr>
          <w:rFonts w:ascii="Book Antiqua" w:eastAsia="Book Antiqua" w:hAnsi="Book Antiqua" w:cs="Book Antiqua"/>
        </w:rPr>
        <w:t>caspase 7</w:t>
      </w:r>
      <w:r w:rsidRPr="00BE12AC">
        <w:rPr>
          <w:rFonts w:ascii="Book Antiqua" w:eastAsia="Book Antiqua" w:hAnsi="Book Antiqua" w:cs="Book Antiqua"/>
        </w:rPr>
        <w:t xml:space="preserve">, and </w:t>
      </w:r>
      <w:r w:rsidR="00DE1AE0">
        <w:rPr>
          <w:rFonts w:ascii="Book Antiqua" w:eastAsia="Book Antiqua" w:hAnsi="Book Antiqua" w:cs="Book Antiqua"/>
        </w:rPr>
        <w:t>cyclin 2</w:t>
      </w:r>
      <w:r w:rsidRPr="00BE12AC">
        <w:rPr>
          <w:rFonts w:ascii="Book Antiqua" w:eastAsia="Book Antiqua" w:hAnsi="Book Antiqua" w:cs="Book Antiqua"/>
        </w:rPr>
        <w:t>. The miRNA prognostic model integrated four pivotal miRNAs</w:t>
      </w:r>
      <w:r w:rsidR="00B166B7">
        <w:rPr>
          <w:rFonts w:ascii="Book Antiqua" w:eastAsia="Book Antiqua" w:hAnsi="Book Antiqua" w:cs="Book Antiqua"/>
        </w:rPr>
        <w:t xml:space="preserve">: </w:t>
      </w:r>
      <w:r w:rsidRPr="00BE12AC">
        <w:rPr>
          <w:rFonts w:ascii="Book Antiqua" w:eastAsia="Book Antiqua" w:hAnsi="Book Antiqua" w:cs="Book Antiqua"/>
        </w:rPr>
        <w:t xml:space="preserve">hsa-miR-615-3p, hsa-miR-519b-3p, hsa-miR-342-3p, and hsa-miR-324-3p. B cells, CD4+ T cells, CD8+ T cells, endothelial cells, and macrophages exhibited inverse correlations with risk scores across all breast cancer subtypes. Furthermore, </w:t>
      </w:r>
      <w:r w:rsidR="00C01507" w:rsidRPr="006F7838">
        <w:rPr>
          <w:rFonts w:ascii="Book Antiqua" w:eastAsia="Book Antiqua" w:hAnsi="Book Antiqua" w:cs="Book Antiqua"/>
        </w:rPr>
        <w:t>Kyoto Encyclopedia of Genes and Genomes</w:t>
      </w:r>
      <w:r w:rsidR="00C01507">
        <w:rPr>
          <w:rFonts w:ascii="Book Antiqua" w:eastAsia="Book Antiqua" w:hAnsi="Book Antiqua" w:cs="Book Antiqua"/>
        </w:rPr>
        <w:t xml:space="preserve"> </w:t>
      </w:r>
      <w:r w:rsidRPr="00BE12AC">
        <w:rPr>
          <w:rFonts w:ascii="Book Antiqua" w:eastAsia="Book Antiqua" w:hAnsi="Book Antiqua" w:cs="Book Antiqua"/>
        </w:rPr>
        <w:t>analysis revealed that genes differentially expressed in response to mRNA risk scores significantly enriched 25 signaling pathways, while miRNA risk scores significantly enriched 29 signaling pathways, with 16 pathways being jointly enriched.</w:t>
      </w:r>
    </w:p>
    <w:p w14:paraId="146E95F6"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lastRenderedPageBreak/>
        <w:t>CONCLUSION</w:t>
      </w:r>
    </w:p>
    <w:p w14:paraId="717BAA46" w14:textId="6D00C73A"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Of paramount significance, distinct mRNA and miRNA signature models were devised tailored to AICD, both potentially autonomous prognostic factors. This study's elucidation of the molecular underpinnings of AICD in breast cancer enhances the arsenal of potential therapeutic tools, offering an unparalleled window for innovative interventions. Essentially, this paper </w:t>
      </w:r>
      <w:r w:rsidR="008E44DB">
        <w:rPr>
          <w:rFonts w:ascii="Book Antiqua" w:eastAsia="Book Antiqua" w:hAnsi="Book Antiqua" w:cs="Book Antiqua"/>
        </w:rPr>
        <w:t>reveals</w:t>
      </w:r>
      <w:r w:rsidR="008E44DB" w:rsidRPr="00BE12AC">
        <w:rPr>
          <w:rFonts w:ascii="Book Antiqua" w:eastAsia="Book Antiqua" w:hAnsi="Book Antiqua" w:cs="Book Antiqua"/>
        </w:rPr>
        <w:t xml:space="preserve"> </w:t>
      </w:r>
      <w:r w:rsidRPr="00BE12AC">
        <w:rPr>
          <w:rFonts w:ascii="Book Antiqua" w:eastAsia="Book Antiqua" w:hAnsi="Book Antiqua" w:cs="Book Antiqua"/>
        </w:rPr>
        <w:t>the hitherto enigmatic link between AICD and breast cancer, potentially leading to revolutionary progress in personalized oncology.</w:t>
      </w:r>
    </w:p>
    <w:p w14:paraId="30402A34" w14:textId="77777777" w:rsidR="00600DE7" w:rsidRPr="00BE12AC" w:rsidRDefault="00600DE7" w:rsidP="00873A9B">
      <w:pPr>
        <w:spacing w:line="360" w:lineRule="auto"/>
        <w:jc w:val="both"/>
        <w:rPr>
          <w:rFonts w:ascii="Book Antiqua" w:hAnsi="Book Antiqua"/>
        </w:rPr>
      </w:pPr>
    </w:p>
    <w:p w14:paraId="289FE096" w14:textId="5F0622C9"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Key Words: </w:t>
      </w:r>
      <w:r w:rsidRPr="00BE12AC">
        <w:rPr>
          <w:rFonts w:ascii="Book Antiqua" w:eastAsia="Book Antiqua" w:hAnsi="Book Antiqua" w:cs="Book Antiqua"/>
        </w:rPr>
        <w:t>ATP-</w:t>
      </w:r>
      <w:r w:rsidR="008E44DB">
        <w:rPr>
          <w:rFonts w:ascii="Book Antiqua" w:eastAsia="Book Antiqua" w:hAnsi="Book Antiqua" w:cs="Book Antiqua"/>
        </w:rPr>
        <w:t>i</w:t>
      </w:r>
      <w:r w:rsidRPr="00BE12AC">
        <w:rPr>
          <w:rFonts w:ascii="Book Antiqua" w:eastAsia="Book Antiqua" w:hAnsi="Book Antiqua" w:cs="Book Antiqua"/>
        </w:rPr>
        <w:t xml:space="preserve">nduced </w:t>
      </w:r>
      <w:r w:rsidR="008E44DB">
        <w:rPr>
          <w:rFonts w:ascii="Book Antiqua" w:eastAsia="Book Antiqua" w:hAnsi="Book Antiqua" w:cs="Book Antiqua"/>
        </w:rPr>
        <w:t>c</w:t>
      </w:r>
      <w:r w:rsidRPr="00BE12AC">
        <w:rPr>
          <w:rFonts w:ascii="Book Antiqua" w:eastAsia="Book Antiqua" w:hAnsi="Book Antiqua" w:cs="Book Antiqua"/>
        </w:rPr>
        <w:t xml:space="preserve">ell </w:t>
      </w:r>
      <w:r w:rsidR="008E44DB">
        <w:rPr>
          <w:rFonts w:ascii="Book Antiqua" w:eastAsia="Book Antiqua" w:hAnsi="Book Antiqua" w:cs="Book Antiqua"/>
        </w:rPr>
        <w:t>d</w:t>
      </w:r>
      <w:r w:rsidRPr="00BE12AC">
        <w:rPr>
          <w:rFonts w:ascii="Book Antiqua" w:eastAsia="Book Antiqua" w:hAnsi="Book Antiqua" w:cs="Book Antiqua"/>
        </w:rPr>
        <w:t>eath; mRNA; miRNA; Prognostic model; Breast cancer</w:t>
      </w:r>
    </w:p>
    <w:p w14:paraId="1877B037" w14:textId="77777777" w:rsidR="00600DE7" w:rsidRDefault="00600DE7" w:rsidP="00873A9B">
      <w:pPr>
        <w:spacing w:line="360" w:lineRule="auto"/>
        <w:jc w:val="both"/>
        <w:rPr>
          <w:rFonts w:ascii="Book Antiqua" w:hAnsi="Book Antiqua"/>
        </w:rPr>
      </w:pPr>
    </w:p>
    <w:p w14:paraId="156642BB" w14:textId="77777777" w:rsidR="00C67325" w:rsidRDefault="00C67325" w:rsidP="00C67325">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652346F6" w14:textId="77777777" w:rsidR="00C67325" w:rsidRPr="00BE12AC" w:rsidRDefault="00C67325" w:rsidP="00873A9B">
      <w:pPr>
        <w:spacing w:line="360" w:lineRule="auto"/>
        <w:jc w:val="both"/>
        <w:rPr>
          <w:rFonts w:ascii="Book Antiqua" w:hAnsi="Book Antiqua"/>
        </w:rPr>
      </w:pPr>
    </w:p>
    <w:p w14:paraId="53CBC9F9" w14:textId="2DA328A6" w:rsidR="00B1265C" w:rsidRPr="00B1265C" w:rsidRDefault="00C67325" w:rsidP="00B1265C">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FC314E" w:rsidRPr="00BE12AC">
        <w:rPr>
          <w:rFonts w:ascii="Book Antiqua" w:eastAsia="Book Antiqua" w:hAnsi="Book Antiqua" w:cs="Book Antiqua"/>
        </w:rPr>
        <w:t xml:space="preserve">Zhang HL, Doblin S, Zhang ZW, Song ZJ, Dinesh B, Tabana Y, Saad DS, Adam Ahmed Adam M, Wang Y, Wang W, Zhang HL, Wu S, Zhao R, Khaled B. Elucidating the molecular basis of ATP-induced cell death in breast cancer: Construction </w:t>
      </w:r>
      <w:r w:rsidR="00B93D87">
        <w:rPr>
          <w:rFonts w:ascii="Book Antiqua" w:eastAsia="Book Antiqua" w:hAnsi="Book Antiqua" w:cs="Book Antiqua"/>
        </w:rPr>
        <w:t xml:space="preserve">of </w:t>
      </w:r>
      <w:r w:rsidR="00FC314E" w:rsidRPr="00BE12AC">
        <w:rPr>
          <w:rFonts w:ascii="Book Antiqua" w:eastAsia="Book Antiqua" w:hAnsi="Book Antiqua" w:cs="Book Antiqua"/>
        </w:rPr>
        <w:t xml:space="preserve">a robust prognostic model. </w:t>
      </w:r>
      <w:r w:rsidR="00FC314E" w:rsidRPr="00BE12AC">
        <w:rPr>
          <w:rFonts w:ascii="Book Antiqua" w:eastAsia="Book Antiqua" w:hAnsi="Book Antiqua" w:cs="Book Antiqua"/>
          <w:i/>
          <w:iCs/>
        </w:rPr>
        <w:t>World J Clin Oncol</w:t>
      </w:r>
      <w:r w:rsidR="00FC314E" w:rsidRPr="00BE12AC">
        <w:rPr>
          <w:rFonts w:ascii="Book Antiqua" w:eastAsia="Book Antiqua" w:hAnsi="Book Antiqua" w:cs="Book Antiqua"/>
        </w:rPr>
        <w:t xml:space="preserve"> 2024; </w:t>
      </w:r>
      <w:r w:rsidR="00B1265C" w:rsidRPr="00B1265C">
        <w:rPr>
          <w:rFonts w:ascii="Book Antiqua" w:eastAsia="Book Antiqua" w:hAnsi="Book Antiqua" w:cs="Book Antiqua"/>
        </w:rPr>
        <w:t xml:space="preserve">15(2): </w:t>
      </w:r>
      <w:r w:rsidRPr="00DA0A03">
        <w:rPr>
          <w:rFonts w:ascii="Book Antiqua" w:eastAsia="Book Antiqua" w:hAnsi="Book Antiqua" w:cs="Book Antiqua"/>
        </w:rPr>
        <w:t>208-242</w:t>
      </w:r>
    </w:p>
    <w:p w14:paraId="4C103750" w14:textId="22C17BDC" w:rsidR="00B1265C" w:rsidRPr="00B1265C" w:rsidRDefault="00B1265C" w:rsidP="00B1265C">
      <w:pPr>
        <w:spacing w:line="360" w:lineRule="auto"/>
        <w:jc w:val="both"/>
        <w:rPr>
          <w:rFonts w:ascii="Book Antiqua" w:eastAsia="Book Antiqua" w:hAnsi="Book Antiqua" w:cs="Book Antiqua"/>
        </w:rPr>
      </w:pPr>
      <w:r w:rsidRPr="00B1265C">
        <w:rPr>
          <w:rFonts w:ascii="Book Antiqua" w:eastAsia="Book Antiqua" w:hAnsi="Book Antiqua" w:cs="Book Antiqua"/>
          <w:b/>
          <w:bCs/>
        </w:rPr>
        <w:t>URL</w:t>
      </w:r>
      <w:r w:rsidRPr="00B1265C">
        <w:rPr>
          <w:rFonts w:ascii="Book Antiqua" w:eastAsia="Book Antiqua" w:hAnsi="Book Antiqua" w:cs="Book Antiqua"/>
        </w:rPr>
        <w:t>: https://www.wjgnet.com/2218-4333/full/v15/i2/</w:t>
      </w:r>
      <w:r w:rsidR="00C67325" w:rsidRPr="00DA0A03">
        <w:rPr>
          <w:rFonts w:ascii="Book Antiqua" w:eastAsia="Book Antiqua" w:hAnsi="Book Antiqua" w:cs="Book Antiqua"/>
        </w:rPr>
        <w:t>208</w:t>
      </w:r>
      <w:r w:rsidRPr="00B1265C">
        <w:rPr>
          <w:rFonts w:ascii="Book Antiqua" w:eastAsia="Book Antiqua" w:hAnsi="Book Antiqua" w:cs="Book Antiqua"/>
        </w:rPr>
        <w:t>.htm</w:t>
      </w:r>
    </w:p>
    <w:p w14:paraId="42AFD9AA" w14:textId="3D180F43" w:rsidR="00600DE7" w:rsidRPr="00BE12AC" w:rsidRDefault="00B1265C" w:rsidP="00B1265C">
      <w:pPr>
        <w:spacing w:line="360" w:lineRule="auto"/>
        <w:jc w:val="both"/>
        <w:rPr>
          <w:rFonts w:ascii="Book Antiqua" w:hAnsi="Book Antiqua"/>
        </w:rPr>
      </w:pPr>
      <w:r w:rsidRPr="00B1265C">
        <w:rPr>
          <w:rFonts w:ascii="Book Antiqua" w:eastAsia="Book Antiqua" w:hAnsi="Book Antiqua" w:cs="Book Antiqua"/>
          <w:b/>
          <w:bCs/>
        </w:rPr>
        <w:t>DOI</w:t>
      </w:r>
      <w:r w:rsidRPr="00B1265C">
        <w:rPr>
          <w:rFonts w:ascii="Book Antiqua" w:eastAsia="Book Antiqua" w:hAnsi="Book Antiqua" w:cs="Book Antiqua"/>
        </w:rPr>
        <w:t>: https://dx.doi.org/10.5306/wjco.v15.i2.</w:t>
      </w:r>
      <w:r w:rsidR="00C67325" w:rsidRPr="00DA0A03">
        <w:rPr>
          <w:rFonts w:ascii="Book Antiqua" w:eastAsia="Book Antiqua" w:hAnsi="Book Antiqua" w:cs="Book Antiqua"/>
        </w:rPr>
        <w:t>208</w:t>
      </w:r>
    </w:p>
    <w:p w14:paraId="6F3E24A0" w14:textId="77777777" w:rsidR="00600DE7" w:rsidRPr="00BE12AC" w:rsidRDefault="00600DE7" w:rsidP="00873A9B">
      <w:pPr>
        <w:spacing w:line="360" w:lineRule="auto"/>
        <w:jc w:val="both"/>
        <w:rPr>
          <w:rFonts w:ascii="Book Antiqua" w:hAnsi="Book Antiqua"/>
        </w:rPr>
      </w:pPr>
    </w:p>
    <w:p w14:paraId="3E0FEE1C" w14:textId="05A146EA"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Core Tip: </w:t>
      </w:r>
      <w:r w:rsidRPr="00BE12AC">
        <w:rPr>
          <w:rFonts w:ascii="Book Antiqua" w:eastAsia="Book Antiqua" w:hAnsi="Book Antiqua" w:cs="Book Antiqua"/>
        </w:rPr>
        <w:t>This study developed and validated a prognostic model based on the intricately underlying genes associated with ATP-induced cell death. At the same time, we shaped a microRNA prognostic model that harmonizes with a gene-centric approach. This study comprehensively elucidate</w:t>
      </w:r>
      <w:r w:rsidR="008176EE">
        <w:rPr>
          <w:rFonts w:ascii="Book Antiqua" w:eastAsia="Book Antiqua" w:hAnsi="Book Antiqua" w:cs="Book Antiqua"/>
        </w:rPr>
        <w:t>d</w:t>
      </w:r>
      <w:r w:rsidRPr="00BE12AC">
        <w:rPr>
          <w:rFonts w:ascii="Book Antiqua" w:eastAsia="Book Antiqua" w:hAnsi="Book Antiqua" w:cs="Book Antiqua"/>
        </w:rPr>
        <w:t xml:space="preserve"> the complex molecular basis of ATP-induced breast cancer cell death, which not only opens up new avenues for potential therapeutic interventions</w:t>
      </w:r>
      <w:r w:rsidR="008176EE">
        <w:rPr>
          <w:rFonts w:ascii="Book Antiqua" w:eastAsia="Book Antiqua" w:hAnsi="Book Antiqua" w:cs="Book Antiqua"/>
        </w:rPr>
        <w:t xml:space="preserve"> </w:t>
      </w:r>
      <w:r w:rsidRPr="00BE12AC">
        <w:rPr>
          <w:rFonts w:ascii="Book Antiqua" w:eastAsia="Book Antiqua" w:hAnsi="Book Antiqua" w:cs="Book Antiqua"/>
        </w:rPr>
        <w:t>but also promotes an innovative paradigm in the field of personalized oncology. By enhancing our understanding of this complex cellular process, we anticipate that our research will facilitate the emergence of groundbreaking strategies that are transformative.</w:t>
      </w:r>
    </w:p>
    <w:p w14:paraId="042E75E0" w14:textId="77777777" w:rsidR="00600DE7" w:rsidRPr="00BE12AC" w:rsidRDefault="00600DE7" w:rsidP="00873A9B">
      <w:pPr>
        <w:spacing w:line="360" w:lineRule="auto"/>
        <w:jc w:val="both"/>
        <w:rPr>
          <w:rFonts w:ascii="Book Antiqua" w:hAnsi="Book Antiqua"/>
        </w:rPr>
      </w:pPr>
    </w:p>
    <w:p w14:paraId="056CD3B7"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caps/>
          <w:u w:val="single"/>
        </w:rPr>
        <w:lastRenderedPageBreak/>
        <w:t>INTRODUCTION</w:t>
      </w:r>
    </w:p>
    <w:p w14:paraId="3B02D5F1" w14:textId="7DF06594"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ATP-</w:t>
      </w:r>
      <w:r w:rsidR="008176EE">
        <w:rPr>
          <w:rFonts w:ascii="Book Antiqua" w:eastAsia="Book Antiqua" w:hAnsi="Book Antiqua" w:cs="Book Antiqua"/>
        </w:rPr>
        <w:t>i</w:t>
      </w:r>
      <w:r w:rsidRPr="00BE12AC">
        <w:rPr>
          <w:rFonts w:ascii="Book Antiqua" w:eastAsia="Book Antiqua" w:hAnsi="Book Antiqua" w:cs="Book Antiqua"/>
        </w:rPr>
        <w:t xml:space="preserve">nduced </w:t>
      </w:r>
      <w:r w:rsidR="008176EE">
        <w:rPr>
          <w:rFonts w:ascii="Book Antiqua" w:eastAsia="Book Antiqua" w:hAnsi="Book Antiqua" w:cs="Book Antiqua"/>
        </w:rPr>
        <w:t>c</w:t>
      </w:r>
      <w:r w:rsidRPr="00BE12AC">
        <w:rPr>
          <w:rFonts w:ascii="Book Antiqua" w:eastAsia="Book Antiqua" w:hAnsi="Book Antiqua" w:cs="Book Antiqua"/>
        </w:rPr>
        <w:t xml:space="preserve">ell </w:t>
      </w:r>
      <w:r w:rsidR="008176EE">
        <w:rPr>
          <w:rFonts w:ascii="Book Antiqua" w:eastAsia="Book Antiqua" w:hAnsi="Book Antiqua" w:cs="Book Antiqua"/>
        </w:rPr>
        <w:t>d</w:t>
      </w:r>
      <w:r w:rsidRPr="00BE12AC">
        <w:rPr>
          <w:rFonts w:ascii="Book Antiqua" w:eastAsia="Book Antiqua" w:hAnsi="Book Antiqua" w:cs="Book Antiqua"/>
        </w:rPr>
        <w:t>eath (AICD) has emerged as a distinctive mode of cell death triggered by elevated extracellular ATP levels and is closely associated with the progression of various cancer types</w:t>
      </w:r>
      <w:r w:rsidRPr="00BE12AC">
        <w:rPr>
          <w:rFonts w:ascii="Book Antiqua" w:eastAsia="Book Antiqua" w:hAnsi="Book Antiqua" w:cs="Book Antiqua"/>
          <w:vertAlign w:val="superscript"/>
        </w:rPr>
        <w:t>[1-4]</w:t>
      </w:r>
      <w:r w:rsidRPr="00BE12AC">
        <w:rPr>
          <w:rFonts w:ascii="Book Antiqua" w:eastAsia="Book Antiqua" w:hAnsi="Book Antiqua" w:cs="Book Antiqua"/>
        </w:rPr>
        <w:t>. Cell death serves as a critical process in maintaining the normal functionality of tissues and organs, primarily presenting in two distinct forms</w:t>
      </w:r>
      <w:r w:rsidR="008176EE">
        <w:rPr>
          <w:rFonts w:ascii="Book Antiqua" w:eastAsia="Book Antiqua" w:hAnsi="Book Antiqua" w:cs="Book Antiqua"/>
        </w:rPr>
        <w:t>:</w:t>
      </w:r>
      <w:r w:rsidRPr="00BE12AC">
        <w:rPr>
          <w:rFonts w:ascii="Book Antiqua" w:eastAsia="Book Antiqua" w:hAnsi="Book Antiqua" w:cs="Book Antiqua"/>
        </w:rPr>
        <w:t xml:space="preserve"> apoptosis, and necrosis</w:t>
      </w:r>
      <w:r w:rsidRPr="00BE12AC">
        <w:rPr>
          <w:rFonts w:ascii="Book Antiqua" w:eastAsia="Book Antiqua" w:hAnsi="Book Antiqua" w:cs="Book Antiqua"/>
          <w:vertAlign w:val="superscript"/>
        </w:rPr>
        <w:t>[5,6]</w:t>
      </w:r>
      <w:r w:rsidRPr="00BE12AC">
        <w:rPr>
          <w:rFonts w:ascii="Book Antiqua" w:eastAsia="Book Antiqua" w:hAnsi="Book Antiqua" w:cs="Book Antiqua"/>
        </w:rPr>
        <w:t>. AICD exerts a dual impact on breast cancer: first, ATP acts as a pro-death signal, participating in the regulation of the activation of death pathways; second, cell death itself leads to an escalation in extracellular ATP levels, forming an interconnected regulatory loop</w:t>
      </w:r>
      <w:r w:rsidRPr="00BE12AC">
        <w:rPr>
          <w:rFonts w:ascii="Book Antiqua" w:eastAsia="Book Antiqua" w:hAnsi="Book Antiqua" w:cs="Book Antiqua"/>
          <w:vertAlign w:val="superscript"/>
        </w:rPr>
        <w:t>[7-11]</w:t>
      </w:r>
      <w:r w:rsidRPr="00BE12AC">
        <w:rPr>
          <w:rFonts w:ascii="Book Antiqua" w:eastAsia="Book Antiqua" w:hAnsi="Book Antiqua" w:cs="Book Antiqua"/>
        </w:rPr>
        <w:t>. Manipulation of ATP levels and ATP receptors in the context of breast cancer can alter biological activities such as breast cancer cell proliferation, invasion, and metastasis</w:t>
      </w:r>
      <w:r w:rsidRPr="00BE12AC">
        <w:rPr>
          <w:rFonts w:ascii="Book Antiqua" w:eastAsia="Book Antiqua" w:hAnsi="Book Antiqua" w:cs="Book Antiqua"/>
          <w:vertAlign w:val="superscript"/>
        </w:rPr>
        <w:t>[12-15]</w:t>
      </w:r>
      <w:r w:rsidRPr="00BE12AC">
        <w:rPr>
          <w:rFonts w:ascii="Book Antiqua" w:eastAsia="Book Antiqua" w:hAnsi="Book Antiqua" w:cs="Book Antiqua"/>
        </w:rPr>
        <w:t xml:space="preserve">. </w:t>
      </w:r>
      <w:r w:rsidR="00822211">
        <w:rPr>
          <w:rFonts w:ascii="Book Antiqua" w:eastAsia="Book Antiqua" w:hAnsi="Book Antiqua" w:cs="Book Antiqua"/>
        </w:rPr>
        <w:t>Studies</w:t>
      </w:r>
      <w:r w:rsidR="00822211" w:rsidRPr="00BE12AC">
        <w:rPr>
          <w:rFonts w:ascii="Book Antiqua" w:eastAsia="Book Antiqua" w:hAnsi="Book Antiqua" w:cs="Book Antiqua"/>
        </w:rPr>
        <w:t xml:space="preserve"> </w:t>
      </w:r>
      <w:r w:rsidRPr="00BE12AC">
        <w:rPr>
          <w:rFonts w:ascii="Book Antiqua" w:eastAsia="Book Antiqua" w:hAnsi="Book Antiqua" w:cs="Book Antiqua"/>
        </w:rPr>
        <w:t>have suggested that AICD is a pivotal mechanism regulated by both genes and microRNAs (miRNAs), contributing to the modulation of breast cancer</w:t>
      </w:r>
      <w:r w:rsidRPr="00BE12AC">
        <w:rPr>
          <w:rFonts w:ascii="Book Antiqua" w:eastAsia="Book Antiqua" w:hAnsi="Book Antiqua" w:cs="Book Antiqua"/>
          <w:vertAlign w:val="superscript"/>
        </w:rPr>
        <w:t>[16-19]</w:t>
      </w:r>
      <w:r w:rsidRPr="00BE12AC">
        <w:rPr>
          <w:rFonts w:ascii="Book Antiqua" w:eastAsia="Book Antiqua" w:hAnsi="Book Antiqua" w:cs="Book Antiqua"/>
        </w:rPr>
        <w:t>. However, the precise nature of interactions requires further research. Hence, in-depth exploration of the mechanisms underlying AICD holds promising potential for its application in breast cancer treatment. Unraveling the implications of AICD in breast cancer therapy could pave the way for novel therapeutic strategies and targeted interventions.</w:t>
      </w:r>
    </w:p>
    <w:p w14:paraId="0D1ACE0E" w14:textId="276E29E8" w:rsidR="008B2EEC" w:rsidRPr="00BE12AC" w:rsidRDefault="00FC314E" w:rsidP="006F7838">
      <w:pPr>
        <w:spacing w:line="360" w:lineRule="auto"/>
        <w:ind w:firstLineChars="112" w:firstLine="269"/>
        <w:jc w:val="both"/>
        <w:rPr>
          <w:rFonts w:ascii="Book Antiqua" w:hAnsi="Book Antiqua"/>
        </w:rPr>
      </w:pPr>
      <w:r w:rsidRPr="00BE12AC">
        <w:rPr>
          <w:rFonts w:ascii="Book Antiqua" w:eastAsia="Book Antiqua" w:hAnsi="Book Antiqua" w:cs="Book Antiqua"/>
        </w:rPr>
        <w:t>AICD is a multifaceted process, its intricacy being contingent upon the specific cell type and the surrounding microenvironment</w:t>
      </w:r>
      <w:r w:rsidRPr="00BE12AC">
        <w:rPr>
          <w:rFonts w:ascii="Book Antiqua" w:eastAsia="Book Antiqua" w:hAnsi="Book Antiqua" w:cs="Book Antiqua"/>
          <w:vertAlign w:val="superscript"/>
        </w:rPr>
        <w:t>[20-23]</w:t>
      </w:r>
      <w:r w:rsidRPr="00BE12AC">
        <w:rPr>
          <w:rFonts w:ascii="Book Antiqua" w:eastAsia="Book Antiqua" w:hAnsi="Book Antiqua" w:cs="Book Antiqua"/>
        </w:rPr>
        <w:t xml:space="preserve">. Nonetheless, several overarching mechanisms have been revealed. First, the activation of purinergic receptors, particularly the </w:t>
      </w:r>
      <w:r w:rsidR="00E60901" w:rsidRPr="00DE1AE0">
        <w:rPr>
          <w:rFonts w:ascii="Book Antiqua" w:eastAsia="Book Antiqua" w:hAnsi="Book Antiqua" w:cs="Book Antiqua"/>
        </w:rPr>
        <w:t xml:space="preserve">P2X purinoceptor </w:t>
      </w:r>
      <w:r w:rsidR="00E60901">
        <w:rPr>
          <w:rFonts w:ascii="Book Antiqua" w:eastAsia="Book Antiqua" w:hAnsi="Book Antiqua" w:cs="Book Antiqua"/>
        </w:rPr>
        <w:t xml:space="preserve">7 receptor </w:t>
      </w:r>
      <w:r w:rsidRPr="00BE12AC">
        <w:rPr>
          <w:rFonts w:ascii="Book Antiqua" w:eastAsia="Book Antiqua" w:hAnsi="Book Antiqua" w:cs="Book Antiqua"/>
        </w:rPr>
        <w:t xml:space="preserve">(P2X7R), </w:t>
      </w:r>
      <w:r w:rsidR="00822211">
        <w:rPr>
          <w:rFonts w:ascii="Book Antiqua" w:eastAsia="Book Antiqua" w:hAnsi="Book Antiqua" w:cs="Book Antiqua"/>
        </w:rPr>
        <w:t xml:space="preserve">has </w:t>
      </w:r>
      <w:r w:rsidRPr="00BE12AC">
        <w:rPr>
          <w:rFonts w:ascii="Book Antiqua" w:eastAsia="Book Antiqua" w:hAnsi="Book Antiqua" w:cs="Book Antiqua"/>
        </w:rPr>
        <w:t>emerge</w:t>
      </w:r>
      <w:r w:rsidR="00822211">
        <w:rPr>
          <w:rFonts w:ascii="Book Antiqua" w:eastAsia="Book Antiqua" w:hAnsi="Book Antiqua" w:cs="Book Antiqua"/>
        </w:rPr>
        <w:t>d</w:t>
      </w:r>
      <w:r w:rsidRPr="00BE12AC">
        <w:rPr>
          <w:rFonts w:ascii="Book Antiqua" w:eastAsia="Book Antiqua" w:hAnsi="Book Antiqua" w:cs="Book Antiqua"/>
        </w:rPr>
        <w:t xml:space="preserve"> as a pivotal mechanism, triggering a cascade of events culminating in cell death</w:t>
      </w:r>
      <w:r w:rsidRPr="00BE12AC">
        <w:rPr>
          <w:rFonts w:ascii="Book Antiqua" w:eastAsia="Book Antiqua" w:hAnsi="Book Antiqua" w:cs="Book Antiqua"/>
          <w:vertAlign w:val="superscript"/>
        </w:rPr>
        <w:t>[8,24]</w:t>
      </w:r>
      <w:r w:rsidRPr="00BE12AC">
        <w:rPr>
          <w:rFonts w:ascii="Book Antiqua" w:eastAsia="Book Antiqua" w:hAnsi="Book Antiqua" w:cs="Book Antiqua"/>
        </w:rPr>
        <w:t>. Second, a significant mechanism of AICD involves the elevation of intracellular calcium ion concentration</w:t>
      </w:r>
      <w:r w:rsidRPr="00BE12AC">
        <w:rPr>
          <w:rFonts w:ascii="Book Antiqua" w:eastAsia="Book Antiqua" w:hAnsi="Book Antiqua" w:cs="Book Antiqua"/>
          <w:vertAlign w:val="superscript"/>
        </w:rPr>
        <w:t>[25,26]</w:t>
      </w:r>
      <w:r w:rsidRPr="00BE12AC">
        <w:rPr>
          <w:rFonts w:ascii="Book Antiqua" w:eastAsia="Book Antiqua" w:hAnsi="Book Antiqua" w:cs="Book Antiqua"/>
        </w:rPr>
        <w:t>. Moreover, AICD may also be linked to the activation of inflammatory responses</w:t>
      </w:r>
      <w:r w:rsidRPr="00BE12AC">
        <w:rPr>
          <w:rFonts w:ascii="Book Antiqua" w:eastAsia="Book Antiqua" w:hAnsi="Book Antiqua" w:cs="Book Antiqua"/>
          <w:vertAlign w:val="superscript"/>
        </w:rPr>
        <w:t>[8]</w:t>
      </w:r>
      <w:r w:rsidRPr="00BE12AC">
        <w:rPr>
          <w:rFonts w:ascii="Book Antiqua" w:eastAsia="Book Antiqua" w:hAnsi="Book Antiqua" w:cs="Book Antiqua"/>
        </w:rPr>
        <w:t>. Finally, the disruption of mitochondrial function is crucial in AICD, with cytochrome c release intimately connected with the activation of apoptosis signaling pathways</w:t>
      </w:r>
      <w:r w:rsidRPr="00BE12AC">
        <w:rPr>
          <w:rFonts w:ascii="Book Antiqua" w:eastAsia="Book Antiqua" w:hAnsi="Book Antiqua" w:cs="Book Antiqua"/>
          <w:vertAlign w:val="superscript"/>
        </w:rPr>
        <w:t>[27-29]</w:t>
      </w:r>
      <w:r w:rsidRPr="00BE12AC">
        <w:rPr>
          <w:rFonts w:ascii="Book Antiqua" w:eastAsia="Book Antiqua" w:hAnsi="Book Antiqua" w:cs="Book Antiqua"/>
        </w:rPr>
        <w:t>.</w:t>
      </w:r>
    </w:p>
    <w:p w14:paraId="2E585CFD" w14:textId="5BC7BFD7" w:rsidR="008B2EEC" w:rsidRPr="00BE12AC" w:rsidRDefault="00FC314E" w:rsidP="006F7838">
      <w:pPr>
        <w:spacing w:line="360" w:lineRule="auto"/>
        <w:ind w:firstLineChars="112" w:firstLine="269"/>
        <w:jc w:val="both"/>
        <w:rPr>
          <w:rFonts w:ascii="Book Antiqua" w:hAnsi="Book Antiqua"/>
        </w:rPr>
      </w:pPr>
      <w:r w:rsidRPr="00BE12AC">
        <w:rPr>
          <w:rFonts w:ascii="Book Antiqua" w:eastAsia="Book Antiqua" w:hAnsi="Book Antiqua" w:cs="Book Antiqua"/>
        </w:rPr>
        <w:t xml:space="preserve">Genes and genetic factors encompass nucleotide sequences that encode either a polypeptide chain or functional RNA, thereby supporting fundamental life processes. They serve as repositories of an organism's genetic information, encompassing data pertaining to its race, blood type, reproduction, growth, apoptosis, and other critical </w:t>
      </w:r>
      <w:r w:rsidRPr="00BE12AC">
        <w:rPr>
          <w:rFonts w:ascii="Book Antiqua" w:eastAsia="Book Antiqua" w:hAnsi="Book Antiqua" w:cs="Book Antiqua"/>
        </w:rPr>
        <w:lastRenderedPageBreak/>
        <w:t>processes. On the other hand, miRNA</w:t>
      </w:r>
      <w:r w:rsidR="00822211">
        <w:rPr>
          <w:rFonts w:ascii="Book Antiqua" w:eastAsia="Book Antiqua" w:hAnsi="Book Antiqua" w:cs="Book Antiqua"/>
        </w:rPr>
        <w:t>s</w:t>
      </w:r>
      <w:r w:rsidRPr="00BE12AC">
        <w:rPr>
          <w:rFonts w:ascii="Book Antiqua" w:eastAsia="Book Antiqua" w:hAnsi="Book Antiqua" w:cs="Book Antiqua"/>
        </w:rPr>
        <w:t>, which are RNA molecules approximately 21 to 23 nucleotides in length, are widely prevalent in eukaryotic organisms</w:t>
      </w:r>
      <w:r w:rsidRPr="00BE12AC">
        <w:rPr>
          <w:rFonts w:ascii="Book Antiqua" w:eastAsia="Book Antiqua" w:hAnsi="Book Antiqua" w:cs="Book Antiqua"/>
          <w:vertAlign w:val="superscript"/>
        </w:rPr>
        <w:t>[30]</w:t>
      </w:r>
      <w:r w:rsidRPr="00BE12AC">
        <w:rPr>
          <w:rFonts w:ascii="Book Antiqua" w:eastAsia="Book Antiqua" w:hAnsi="Book Antiqua" w:cs="Book Antiqua"/>
        </w:rPr>
        <w:t>. MiRNAs function as key regulators of gene expression, deriv</w:t>
      </w:r>
      <w:r w:rsidR="00822211">
        <w:rPr>
          <w:rFonts w:ascii="Book Antiqua" w:eastAsia="Book Antiqua" w:hAnsi="Book Antiqua" w:cs="Book Antiqua"/>
        </w:rPr>
        <w:t>ed</w:t>
      </w:r>
      <w:r w:rsidRPr="00BE12AC">
        <w:rPr>
          <w:rFonts w:ascii="Book Antiqua" w:eastAsia="Book Antiqua" w:hAnsi="Book Antiqua" w:cs="Book Antiqua"/>
        </w:rPr>
        <w:t xml:space="preserve"> from RNA transcribed by DNA but incapable of being translated into proteins (non-coding RNAs). Through specific binding to target mRNA, miRNAs can exert posttranscriptional control over gene expression, playing pivotal roles in the regulation of gene expression, cell cycle, and developmental sequencing in organisms. Notably, in animals, a single miRNA often possesses the capacity to regulate numerous genes simultaneously.</w:t>
      </w:r>
    </w:p>
    <w:p w14:paraId="04363964" w14:textId="6CAC4B28" w:rsidR="008B2EEC" w:rsidRPr="00BE12AC" w:rsidRDefault="00FC314E" w:rsidP="006F7838">
      <w:pPr>
        <w:spacing w:line="360" w:lineRule="auto"/>
        <w:ind w:firstLineChars="112" w:firstLine="269"/>
        <w:jc w:val="both"/>
        <w:rPr>
          <w:rFonts w:ascii="Book Antiqua" w:hAnsi="Book Antiqua"/>
        </w:rPr>
      </w:pPr>
      <w:r w:rsidRPr="00BE12AC">
        <w:rPr>
          <w:rFonts w:ascii="Book Antiqua" w:eastAsia="Book Antiqua" w:hAnsi="Book Antiqua" w:cs="Book Antiqua"/>
        </w:rPr>
        <w:t>The association between miRNAs and cancer has garnered significant recent interest</w:t>
      </w:r>
      <w:r w:rsidRPr="00BE12AC">
        <w:rPr>
          <w:rFonts w:ascii="Book Antiqua" w:eastAsia="Book Antiqua" w:hAnsi="Book Antiqua" w:cs="Book Antiqua"/>
          <w:vertAlign w:val="superscript"/>
        </w:rPr>
        <w:t>[31]</w:t>
      </w:r>
      <w:r w:rsidRPr="00BE12AC">
        <w:rPr>
          <w:rFonts w:ascii="Book Antiqua" w:eastAsia="Book Antiqua" w:hAnsi="Book Antiqua" w:cs="Book Antiqua"/>
        </w:rPr>
        <w:t xml:space="preserve">. miRNAs exert a crucial impact on cancer initiation, progression, and therapeutic responses, exhibiting dichotomous effects that either facilitate tumorigenesis, growth, and metastasis, or </w:t>
      </w:r>
      <w:r w:rsidR="00822211">
        <w:rPr>
          <w:rFonts w:ascii="Book Antiqua" w:eastAsia="Book Antiqua" w:hAnsi="Book Antiqua" w:cs="Book Antiqua"/>
        </w:rPr>
        <w:t>that</w:t>
      </w:r>
      <w:r w:rsidR="00822211" w:rsidRPr="00BE12AC">
        <w:rPr>
          <w:rFonts w:ascii="Book Antiqua" w:eastAsia="Book Antiqua" w:hAnsi="Book Antiqua" w:cs="Book Antiqua"/>
        </w:rPr>
        <w:t xml:space="preserve"> </w:t>
      </w:r>
      <w:r w:rsidRPr="00BE12AC">
        <w:rPr>
          <w:rFonts w:ascii="Book Antiqua" w:eastAsia="Book Antiqua" w:hAnsi="Book Antiqua" w:cs="Book Antiqua"/>
        </w:rPr>
        <w:t>impede tumor formation and development</w:t>
      </w:r>
      <w:r w:rsidRPr="00BE12AC">
        <w:rPr>
          <w:rFonts w:ascii="Book Antiqua" w:eastAsia="Book Antiqua" w:hAnsi="Book Antiqua" w:cs="Book Antiqua"/>
          <w:vertAlign w:val="superscript"/>
        </w:rPr>
        <w:t>[32-35]</w:t>
      </w:r>
      <w:r w:rsidRPr="00BE12AC">
        <w:rPr>
          <w:rFonts w:ascii="Book Antiqua" w:eastAsia="Book Antiqua" w:hAnsi="Book Antiqua" w:cs="Book Antiqua"/>
        </w:rPr>
        <w:t>. The functional roles of miRNAs may vary across different cancer types, with certain miRNAs functioning as tumor suppressors to inhibit cancer growth in specific contexts, while others may function as tumor promoters, promoting cancer cell proliferation and metastasis.</w:t>
      </w:r>
    </w:p>
    <w:p w14:paraId="02722468" w14:textId="55C0218D" w:rsidR="008B2EEC" w:rsidRPr="00BE12AC" w:rsidRDefault="00FC314E" w:rsidP="006F7838">
      <w:pPr>
        <w:spacing w:line="360" w:lineRule="auto"/>
        <w:ind w:firstLineChars="112" w:firstLine="269"/>
        <w:jc w:val="both"/>
        <w:rPr>
          <w:rFonts w:ascii="Book Antiqua" w:hAnsi="Book Antiqua"/>
        </w:rPr>
      </w:pPr>
      <w:r w:rsidRPr="00BE12AC">
        <w:rPr>
          <w:rFonts w:ascii="Book Antiqua" w:eastAsia="Book Antiqua" w:hAnsi="Book Antiqua" w:cs="Book Antiqua"/>
        </w:rPr>
        <w:t xml:space="preserve">The relationship between AICD and miRNA is governed by two distinct mechanisms. First, certain miRNAs have the capacity to modulate </w:t>
      </w:r>
      <w:r w:rsidR="00822211">
        <w:rPr>
          <w:rFonts w:ascii="Book Antiqua" w:eastAsia="Book Antiqua" w:hAnsi="Book Antiqua" w:cs="Book Antiqua"/>
        </w:rPr>
        <w:t xml:space="preserve">the </w:t>
      </w:r>
      <w:r w:rsidRPr="00BE12AC">
        <w:rPr>
          <w:rFonts w:ascii="Book Antiqua" w:eastAsia="Book Antiqua" w:hAnsi="Book Antiqua" w:cs="Book Antiqua"/>
        </w:rPr>
        <w:t>cell response to ATP by targeting essential genes involved in ATP-related signaling pathways or cell death pathways. Conversely, alterations in ATP levels can prompt cells to adjust the expression patterns of miRNAs, thereby influencing cell survival and death. This reciprocal regulatory mechanism may hold particular significance in tumor cells, as it can influence tumor cell proliferation or apoptosis, consequently impacting tumor development and prognosis. Nevertheless, the current body of research concerning AICD-related miRNAs and their corresponding gene regulation in breast cancer remains limited. Although increasing evidence highlights the considerable diagnostic and prognostic value of AICD and miRNA in breast cancer</w:t>
      </w:r>
      <w:r w:rsidRPr="00BE12AC">
        <w:rPr>
          <w:rFonts w:ascii="Book Antiqua" w:eastAsia="Book Antiqua" w:hAnsi="Book Antiqua" w:cs="Book Antiqua"/>
          <w:vertAlign w:val="superscript"/>
        </w:rPr>
        <w:t>[18,20]</w:t>
      </w:r>
      <w:r w:rsidRPr="00BE12AC">
        <w:rPr>
          <w:rFonts w:ascii="Book Antiqua" w:eastAsia="Book Antiqua" w:hAnsi="Book Antiqua" w:cs="Book Antiqua"/>
        </w:rPr>
        <w:t>, the precise regulatory mechanisms and associated biological processes require further exploration and elucidation.</w:t>
      </w:r>
    </w:p>
    <w:p w14:paraId="084C8FA6" w14:textId="4D02CDEF" w:rsidR="008B2EEC" w:rsidRPr="00BE12AC" w:rsidRDefault="00FC314E" w:rsidP="006F7838">
      <w:pPr>
        <w:spacing w:line="360" w:lineRule="auto"/>
        <w:ind w:firstLineChars="112" w:firstLine="269"/>
        <w:jc w:val="both"/>
        <w:rPr>
          <w:rFonts w:ascii="Book Antiqua" w:hAnsi="Book Antiqua"/>
        </w:rPr>
      </w:pPr>
      <w:r w:rsidRPr="00BE12AC">
        <w:rPr>
          <w:rFonts w:ascii="Book Antiqua" w:eastAsia="Book Antiqua" w:hAnsi="Book Antiqua" w:cs="Book Antiqua"/>
        </w:rPr>
        <w:t xml:space="preserve">A prognostic model (signature) is a predictive model designed to estimate potential treatment outcomes based on a patient's current health status. Genetic prognostic models </w:t>
      </w:r>
      <w:r w:rsidRPr="00BE12AC">
        <w:rPr>
          <w:rFonts w:ascii="Book Antiqua" w:eastAsia="Book Antiqua" w:hAnsi="Book Antiqua" w:cs="Book Antiqua"/>
        </w:rPr>
        <w:lastRenderedPageBreak/>
        <w:t>aim to forecast disease progression and survival by utilizing a patient's gene expression data, thereby offering more precise and personalized information to guide clinical decision-making. The miRNA prognostic model facilitates more accurate prognosis evaluation by healthcare professionals and aids in making informed treatment choices. Gene prognostic models have certain limitations including high-dimensional data, overfitting issues, data consistency concerns, and challenges in biological interpretation. However, the miRNA prognostic model is characterized by the inherent instability of miRNA expression data, data quality problems, miRNA-gene interactions, and limitations in study samples. These factors collectively pose challenges for miRNA prognostic models to thoroughly elucidate disease mechanisms. Considering the strengths and weaknesses outlined above, the simultaneous utilization of both gene prognostic models and miRNA prognostic models represents a promising research direction. By harnessing the advantages of both approaches, the prognostic features of cancer can be more effectively explored, providing a more robust tool for personalized treatment and prognosis assessment.</w:t>
      </w:r>
    </w:p>
    <w:p w14:paraId="758AF543" w14:textId="7FA3181F" w:rsidR="00600DE7" w:rsidRPr="00BE12AC" w:rsidRDefault="00FC314E" w:rsidP="006F7838">
      <w:pPr>
        <w:spacing w:line="360" w:lineRule="auto"/>
        <w:ind w:firstLineChars="112" w:firstLine="269"/>
        <w:jc w:val="both"/>
        <w:rPr>
          <w:rFonts w:ascii="Book Antiqua" w:hAnsi="Book Antiqua"/>
        </w:rPr>
      </w:pPr>
      <w:r w:rsidRPr="00BE12AC">
        <w:rPr>
          <w:rFonts w:ascii="Book Antiqua" w:eastAsia="Book Antiqua" w:hAnsi="Book Antiqua" w:cs="Book Antiqua"/>
        </w:rPr>
        <w:t>However, no studies to date have investigated the impact of AICD regulatory mechanisms in breast cancer. Therefore, the primary goal of this paper is to look into the potential prognostic importance of AICD genes in breast cancer, as well as the interaction among AICD genes and prognostic gene-associated miRNAs in breast cancer. Initially, a comprehensive literature search was conducted to identify genes associated with AICD, and subsequently, a novel AICD signature with prognostic value was constructed independently of classical clinicopathological parameters. Subsequent functional enrichment and immun</w:t>
      </w:r>
      <w:r w:rsidR="008B2EEC">
        <w:rPr>
          <w:rFonts w:ascii="Book Antiqua" w:eastAsia="Book Antiqua" w:hAnsi="Book Antiqua" w:cs="Book Antiqua"/>
        </w:rPr>
        <w:t xml:space="preserve">e </w:t>
      </w:r>
      <w:r w:rsidRPr="00BE12AC">
        <w:rPr>
          <w:rFonts w:ascii="Book Antiqua" w:eastAsia="Book Antiqua" w:hAnsi="Book Antiqua" w:cs="Book Antiqua"/>
        </w:rPr>
        <w:t>infiltration analysis were conducted to further elucidate the role of AICD in regulating fundamental biological processes in breast cancer. The findings of this study show that AICD could be a potential candidate for breast cancer detection and therapeutic intervention, opening up a new research channel and perspective for breast cancer diagnostics and treatment. This discovery holds promise in providing valuable insights for precision treatment and accurate prognosis assessment of breast cancer.</w:t>
      </w:r>
    </w:p>
    <w:p w14:paraId="6EF00AA4" w14:textId="77777777" w:rsidR="00600DE7" w:rsidRPr="00BE12AC" w:rsidRDefault="00600DE7" w:rsidP="00873A9B">
      <w:pPr>
        <w:spacing w:line="360" w:lineRule="auto"/>
        <w:jc w:val="both"/>
        <w:rPr>
          <w:rFonts w:ascii="Book Antiqua" w:hAnsi="Book Antiqua"/>
        </w:rPr>
      </w:pPr>
    </w:p>
    <w:p w14:paraId="09D526CC"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caps/>
          <w:u w:val="single"/>
        </w:rPr>
        <w:t>MATERIALS AND METHODS</w:t>
      </w:r>
    </w:p>
    <w:p w14:paraId="513E2544" w14:textId="77777777" w:rsidR="00600DE7" w:rsidRPr="00BE12AC" w:rsidRDefault="00FC314E" w:rsidP="00873A9B">
      <w:pPr>
        <w:spacing w:line="360" w:lineRule="auto"/>
        <w:jc w:val="both"/>
        <w:rPr>
          <w:rFonts w:ascii="Book Antiqua" w:hAnsi="Book Antiqua"/>
          <w:b/>
          <w:bCs/>
          <w:i/>
          <w:iCs/>
        </w:rPr>
      </w:pPr>
      <w:r w:rsidRPr="00BE12AC">
        <w:rPr>
          <w:rFonts w:ascii="Book Antiqua" w:eastAsia="Book Antiqua" w:hAnsi="Book Antiqua" w:cs="Book Antiqua"/>
          <w:b/>
          <w:bCs/>
          <w:i/>
          <w:iCs/>
        </w:rPr>
        <w:lastRenderedPageBreak/>
        <w:t>Literature search of AICD core genes</w:t>
      </w:r>
    </w:p>
    <w:p w14:paraId="582894A4" w14:textId="016CA56F"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The literature search aimed to identify core genes associated with AICD using the following keywords: </w:t>
      </w:r>
      <w:r w:rsidR="00822211">
        <w:rPr>
          <w:rFonts w:ascii="Book Antiqua" w:eastAsia="Book Antiqua" w:hAnsi="Book Antiqua" w:cs="Book Antiqua"/>
        </w:rPr>
        <w:t>“</w:t>
      </w:r>
      <w:r w:rsidRPr="00BE12AC">
        <w:rPr>
          <w:rFonts w:ascii="Book Antiqua" w:eastAsia="Book Antiqua" w:hAnsi="Book Antiqua" w:cs="Book Antiqua"/>
        </w:rPr>
        <w:t>AICD</w:t>
      </w:r>
      <w:r w:rsidR="00822211">
        <w:rPr>
          <w:rFonts w:ascii="Book Antiqua" w:eastAsia="Book Antiqua" w:hAnsi="Book Antiqua" w:cs="Book Antiqua"/>
        </w:rPr>
        <w:t>,”</w:t>
      </w:r>
      <w:r w:rsidRPr="00BE12AC">
        <w:rPr>
          <w:rFonts w:ascii="Book Antiqua" w:eastAsia="Book Antiqua" w:hAnsi="Book Antiqua" w:cs="Book Antiqua"/>
        </w:rPr>
        <w:t xml:space="preserve"> </w:t>
      </w:r>
      <w:r w:rsidR="00822211">
        <w:rPr>
          <w:rFonts w:ascii="Book Antiqua" w:eastAsia="Book Antiqua" w:hAnsi="Book Antiqua" w:cs="Book Antiqua"/>
        </w:rPr>
        <w:t>“</w:t>
      </w:r>
      <w:r w:rsidRPr="00BE12AC">
        <w:rPr>
          <w:rFonts w:ascii="Book Antiqua" w:eastAsia="Book Antiqua" w:hAnsi="Book Antiqua" w:cs="Book Antiqua"/>
        </w:rPr>
        <w:t>cell death</w:t>
      </w:r>
      <w:r w:rsidR="00822211">
        <w:rPr>
          <w:rFonts w:ascii="Book Antiqua" w:eastAsia="Book Antiqua" w:hAnsi="Book Antiqua" w:cs="Book Antiqua"/>
        </w:rPr>
        <w:t>,”</w:t>
      </w:r>
      <w:r w:rsidRPr="00BE12AC">
        <w:rPr>
          <w:rFonts w:ascii="Book Antiqua" w:eastAsia="Book Antiqua" w:hAnsi="Book Antiqua" w:cs="Book Antiqua"/>
        </w:rPr>
        <w:t xml:space="preserve"> </w:t>
      </w:r>
      <w:r w:rsidR="00822211">
        <w:rPr>
          <w:rFonts w:ascii="Book Antiqua" w:eastAsia="Book Antiqua" w:hAnsi="Book Antiqua" w:cs="Book Antiqua"/>
        </w:rPr>
        <w:t>“</w:t>
      </w:r>
      <w:r w:rsidRPr="00BE12AC">
        <w:rPr>
          <w:rFonts w:ascii="Book Antiqua" w:eastAsia="Book Antiqua" w:hAnsi="Book Antiqua" w:cs="Book Antiqua"/>
        </w:rPr>
        <w:t>apoptosis,</w:t>
      </w:r>
      <w:r w:rsidR="00822211">
        <w:rPr>
          <w:rFonts w:ascii="Book Antiqua" w:eastAsia="Book Antiqua" w:hAnsi="Book Antiqua" w:cs="Book Antiqua"/>
        </w:rPr>
        <w:t>”</w:t>
      </w:r>
      <w:r w:rsidRPr="00BE12AC">
        <w:rPr>
          <w:rFonts w:ascii="Book Antiqua" w:eastAsia="Book Antiqua" w:hAnsi="Book Antiqua" w:cs="Book Antiqua"/>
        </w:rPr>
        <w:t xml:space="preserve"> </w:t>
      </w:r>
      <w:r w:rsidR="00822211">
        <w:rPr>
          <w:rFonts w:ascii="Book Antiqua" w:eastAsia="Book Antiqua" w:hAnsi="Book Antiqua" w:cs="Book Antiqua"/>
        </w:rPr>
        <w:t>“</w:t>
      </w:r>
      <w:r w:rsidRPr="00BE12AC">
        <w:rPr>
          <w:rFonts w:ascii="Book Antiqua" w:eastAsia="Book Antiqua" w:hAnsi="Book Antiqua" w:cs="Book Antiqua"/>
        </w:rPr>
        <w:t>autophagy,</w:t>
      </w:r>
      <w:r w:rsidR="00822211">
        <w:rPr>
          <w:rFonts w:ascii="Book Antiqua" w:eastAsia="Book Antiqua" w:hAnsi="Book Antiqua" w:cs="Book Antiqua"/>
        </w:rPr>
        <w:t>” “</w:t>
      </w:r>
      <w:r w:rsidRPr="00BE12AC">
        <w:rPr>
          <w:rFonts w:ascii="Book Antiqua" w:eastAsia="Book Antiqua" w:hAnsi="Book Antiqua" w:cs="Book Antiqua"/>
        </w:rPr>
        <w:t>necrosis</w:t>
      </w:r>
      <w:r w:rsidR="00822211">
        <w:rPr>
          <w:rFonts w:ascii="Book Antiqua" w:eastAsia="Book Antiqua" w:hAnsi="Book Antiqua" w:cs="Book Antiqua"/>
        </w:rPr>
        <w:t>,”</w:t>
      </w:r>
      <w:r w:rsidRPr="00BE12AC">
        <w:rPr>
          <w:rFonts w:ascii="Book Antiqua" w:eastAsia="Book Antiqua" w:hAnsi="Book Antiqua" w:cs="Book Antiqua"/>
        </w:rPr>
        <w:t xml:space="preserve"> </w:t>
      </w:r>
      <w:r w:rsidR="00822211">
        <w:rPr>
          <w:rFonts w:ascii="Book Antiqua" w:eastAsia="Book Antiqua" w:hAnsi="Book Antiqua" w:cs="Book Antiqua"/>
        </w:rPr>
        <w:t>“</w:t>
      </w:r>
      <w:r w:rsidRPr="00BE12AC">
        <w:rPr>
          <w:rFonts w:ascii="Book Antiqua" w:eastAsia="Book Antiqua" w:hAnsi="Book Antiqua" w:cs="Book Antiqua"/>
        </w:rPr>
        <w:t>death</w:t>
      </w:r>
      <w:r w:rsidR="00822211">
        <w:rPr>
          <w:rFonts w:ascii="Book Antiqua" w:eastAsia="Book Antiqua" w:hAnsi="Book Antiqua" w:cs="Book Antiqua"/>
        </w:rPr>
        <w:t>,”</w:t>
      </w:r>
      <w:r w:rsidRPr="00BE12AC">
        <w:rPr>
          <w:rFonts w:ascii="Book Antiqua" w:eastAsia="Book Antiqua" w:hAnsi="Book Antiqua" w:cs="Book Antiqua"/>
        </w:rPr>
        <w:t xml:space="preserve"> and </w:t>
      </w:r>
      <w:r w:rsidR="00822211">
        <w:rPr>
          <w:rFonts w:ascii="Book Antiqua" w:eastAsia="Book Antiqua" w:hAnsi="Book Antiqua" w:cs="Book Antiqua"/>
        </w:rPr>
        <w:t>“</w:t>
      </w:r>
      <w:r w:rsidRPr="00BE12AC">
        <w:rPr>
          <w:rFonts w:ascii="Book Antiqua" w:eastAsia="Book Antiqua" w:hAnsi="Book Antiqua" w:cs="Book Antiqua"/>
        </w:rPr>
        <w:t>extracellular ATP.</w:t>
      </w:r>
      <w:r w:rsidR="00822211">
        <w:rPr>
          <w:rFonts w:ascii="Book Antiqua" w:eastAsia="Book Antiqua" w:hAnsi="Book Antiqua" w:cs="Book Antiqua"/>
        </w:rPr>
        <w:t>”</w:t>
      </w:r>
      <w:r w:rsidRPr="00BE12AC">
        <w:rPr>
          <w:rFonts w:ascii="Book Antiqua" w:eastAsia="Book Antiqua" w:hAnsi="Book Antiqua" w:cs="Book Antiqua"/>
        </w:rPr>
        <w:t xml:space="preserve"> The search was conducted between March 10, 2023 and June 20, 2023. Databases including PubMed, Embase, Web of Science, MESH, and Scopus were employed to identify genes related to AICD. The scope of the search was expanded to encompass genes associated with AICD across all diseases, given the limited availability of literature reporting AICD specifically in breast cancer. Publications that did not mention AICD were excluded from the analysis.</w:t>
      </w:r>
    </w:p>
    <w:p w14:paraId="27DB49D8" w14:textId="77777777" w:rsidR="00600DE7" w:rsidRPr="00BE12AC" w:rsidRDefault="00600DE7" w:rsidP="00873A9B">
      <w:pPr>
        <w:spacing w:line="360" w:lineRule="auto"/>
        <w:jc w:val="both"/>
        <w:rPr>
          <w:rFonts w:ascii="Book Antiqua" w:hAnsi="Book Antiqua"/>
        </w:rPr>
      </w:pPr>
    </w:p>
    <w:p w14:paraId="22ACBD63" w14:textId="77777777" w:rsidR="00600DE7" w:rsidRPr="00BE12AC" w:rsidRDefault="00FC314E" w:rsidP="00873A9B">
      <w:pPr>
        <w:spacing w:line="360" w:lineRule="auto"/>
        <w:jc w:val="both"/>
        <w:rPr>
          <w:rFonts w:ascii="Book Antiqua" w:hAnsi="Book Antiqua"/>
          <w:b/>
          <w:bCs/>
          <w:i/>
          <w:iCs/>
        </w:rPr>
      </w:pPr>
      <w:r w:rsidRPr="00BE12AC">
        <w:rPr>
          <w:rFonts w:ascii="Book Antiqua" w:eastAsia="Book Antiqua" w:hAnsi="Book Antiqua" w:cs="Book Antiqua"/>
          <w:b/>
          <w:bCs/>
          <w:i/>
          <w:iCs/>
        </w:rPr>
        <w:t>Source of datasets</w:t>
      </w:r>
    </w:p>
    <w:p w14:paraId="57EA313E" w14:textId="6F4F310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The miRNA and mRNA expression profiles, along with clinical information, were obtained from the UCSC Xena platform, sourced from </w:t>
      </w:r>
      <w:r w:rsidR="0073391A">
        <w:rPr>
          <w:rFonts w:ascii="Book Antiqua" w:eastAsia="Book Antiqua" w:hAnsi="Book Antiqua" w:cs="Book Antiqua"/>
        </w:rPr>
        <w:t>T</w:t>
      </w:r>
      <w:r w:rsidRPr="00BE12AC">
        <w:rPr>
          <w:rFonts w:ascii="Book Antiqua" w:eastAsia="Book Antiqua" w:hAnsi="Book Antiqua" w:cs="Book Antiqua"/>
        </w:rPr>
        <w:t>he Cancer Genome Atlas Breast Cancer (TCGA-BRCA)</w:t>
      </w:r>
      <w:r w:rsidR="0073391A">
        <w:rPr>
          <w:rFonts w:ascii="Book Antiqua" w:eastAsia="Book Antiqua" w:hAnsi="Book Antiqua" w:cs="Book Antiqua"/>
        </w:rPr>
        <w:t xml:space="preserve"> dataset</w:t>
      </w:r>
      <w:r w:rsidRPr="00BE12AC">
        <w:rPr>
          <w:rFonts w:ascii="Book Antiqua" w:eastAsia="Book Antiqua" w:hAnsi="Book Antiqua" w:cs="Book Antiqua"/>
        </w:rPr>
        <w:t xml:space="preserve">. To establish and validate the models, the dataset was randomly partitioned into a training set (70%) and an internal validation set (30%). Furthermore, additional miRNA and mRNA expression profile data </w:t>
      </w:r>
      <w:r w:rsidR="0073391A">
        <w:rPr>
          <w:rFonts w:ascii="Book Antiqua" w:eastAsia="Book Antiqua" w:hAnsi="Book Antiqua" w:cs="Book Antiqua"/>
        </w:rPr>
        <w:t>were</w:t>
      </w:r>
      <w:r w:rsidR="0073391A" w:rsidRPr="00BE12AC">
        <w:rPr>
          <w:rFonts w:ascii="Book Antiqua" w:eastAsia="Book Antiqua" w:hAnsi="Book Antiqua" w:cs="Book Antiqua"/>
        </w:rPr>
        <w:t xml:space="preserve"> </w:t>
      </w:r>
      <w:r w:rsidRPr="00BE12AC">
        <w:rPr>
          <w:rFonts w:ascii="Book Antiqua" w:eastAsia="Book Antiqua" w:hAnsi="Book Antiqua" w:cs="Book Antiqua"/>
        </w:rPr>
        <w:t>obtained, as well as clinical information, from the meatbric database for external validation. During the analysis, samples with missing clinical information were carefully excluded, and samples with a survival period of less than 10 d were also excluded to ensure the reliability and accuracy of the study.</w:t>
      </w:r>
    </w:p>
    <w:p w14:paraId="4E6FECCB" w14:textId="77777777" w:rsidR="00600DE7" w:rsidRPr="00BE12AC" w:rsidRDefault="00600DE7" w:rsidP="00873A9B">
      <w:pPr>
        <w:spacing w:line="360" w:lineRule="auto"/>
        <w:jc w:val="both"/>
        <w:rPr>
          <w:rFonts w:ascii="Book Antiqua" w:hAnsi="Book Antiqua"/>
        </w:rPr>
      </w:pPr>
    </w:p>
    <w:p w14:paraId="36DBF659" w14:textId="77777777" w:rsidR="00600DE7" w:rsidRPr="00BE12AC" w:rsidRDefault="00FC314E" w:rsidP="00873A9B">
      <w:pPr>
        <w:spacing w:line="360" w:lineRule="auto"/>
        <w:jc w:val="both"/>
        <w:rPr>
          <w:rFonts w:ascii="Book Antiqua" w:hAnsi="Book Antiqua"/>
          <w:b/>
          <w:bCs/>
          <w:i/>
          <w:iCs/>
        </w:rPr>
      </w:pPr>
      <w:r w:rsidRPr="00BE12AC">
        <w:rPr>
          <w:rFonts w:ascii="Book Antiqua" w:eastAsia="Book Antiqua" w:hAnsi="Book Antiqua" w:cs="Book Antiqua"/>
          <w:b/>
          <w:bCs/>
          <w:i/>
          <w:iCs/>
        </w:rPr>
        <w:t>Construction and validation of mRNA- and miRNA-related prognostic models</w:t>
      </w:r>
    </w:p>
    <w:p w14:paraId="2F867C90" w14:textId="15A0A088"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In this study, R software version 4.1.0 was used for comprehensive data analysis. Initially, the univariate Cox </w:t>
      </w:r>
      <w:r w:rsidR="0073391A">
        <w:rPr>
          <w:rFonts w:ascii="Book Antiqua" w:eastAsia="Book Antiqua" w:hAnsi="Book Antiqua" w:cs="Book Antiqua"/>
        </w:rPr>
        <w:t>p</w:t>
      </w:r>
      <w:r w:rsidRPr="00BE12AC">
        <w:rPr>
          <w:rFonts w:ascii="Book Antiqua" w:eastAsia="Book Antiqua" w:hAnsi="Book Antiqua" w:cs="Book Antiqua"/>
        </w:rPr>
        <w:t xml:space="preserve">roportional </w:t>
      </w:r>
      <w:r w:rsidR="0073391A">
        <w:rPr>
          <w:rFonts w:ascii="Book Antiqua" w:eastAsia="Book Antiqua" w:hAnsi="Book Antiqua" w:cs="Book Antiqua"/>
        </w:rPr>
        <w:t>h</w:t>
      </w:r>
      <w:r w:rsidRPr="00BE12AC">
        <w:rPr>
          <w:rFonts w:ascii="Book Antiqua" w:eastAsia="Book Antiqua" w:hAnsi="Book Antiqua" w:cs="Book Antiqua"/>
        </w:rPr>
        <w:t xml:space="preserve">azards </w:t>
      </w:r>
      <w:r w:rsidR="0073391A">
        <w:rPr>
          <w:rFonts w:ascii="Book Antiqua" w:eastAsia="Book Antiqua" w:hAnsi="Book Antiqua" w:cs="Book Antiqua"/>
        </w:rPr>
        <w:t>m</w:t>
      </w:r>
      <w:r w:rsidRPr="00BE12AC">
        <w:rPr>
          <w:rFonts w:ascii="Book Antiqua" w:eastAsia="Book Antiqua" w:hAnsi="Book Antiqua" w:cs="Book Antiqua"/>
        </w:rPr>
        <w:t xml:space="preserve">odel regression, Least Absolute Shrinkage and Selection Operator (LASSO) regression, and multifactor Cox regression analyses were conducted using the glmnet (version 2.0.18) and survival (version 2.44.1.1) R packages. Univariate Cox regression enabled the assessment of the association between mRNA and miRNA expression levels with overall survival (OS), where </w:t>
      </w:r>
      <w:r w:rsidRPr="00BE12AC">
        <w:rPr>
          <w:rFonts w:ascii="Book Antiqua" w:eastAsia="Book Antiqua" w:hAnsi="Book Antiqua" w:cs="Book Antiqua"/>
          <w:i/>
          <w:iCs/>
        </w:rPr>
        <w:t>P</w:t>
      </w:r>
      <w:r w:rsidRPr="00BE12AC">
        <w:rPr>
          <w:rFonts w:ascii="Book Antiqua" w:eastAsia="Book Antiqua" w:hAnsi="Book Antiqua" w:cs="Book Antiqua"/>
        </w:rPr>
        <w:t xml:space="preserve"> </w:t>
      </w:r>
      <w:r w:rsidR="0073391A">
        <w:rPr>
          <w:rFonts w:ascii="Book Antiqua" w:eastAsia="Book Antiqua" w:hAnsi="Book Antiqua" w:cs="Book Antiqua"/>
        </w:rPr>
        <w:t>&lt;</w:t>
      </w:r>
      <w:r w:rsidRPr="00BE12AC">
        <w:rPr>
          <w:rFonts w:ascii="Book Antiqua" w:eastAsia="Book Antiqua" w:hAnsi="Book Antiqua" w:cs="Book Antiqua"/>
        </w:rPr>
        <w:t xml:space="preserve"> 0.05 </w:t>
      </w:r>
      <w:r w:rsidR="0073391A">
        <w:rPr>
          <w:rFonts w:ascii="Book Antiqua" w:eastAsia="Book Antiqua" w:hAnsi="Book Antiqua" w:cs="Book Antiqua"/>
        </w:rPr>
        <w:t xml:space="preserve">was </w:t>
      </w:r>
      <w:r w:rsidRPr="00BE12AC">
        <w:rPr>
          <w:rFonts w:ascii="Book Antiqua" w:eastAsia="Book Antiqua" w:hAnsi="Book Antiqua" w:cs="Book Antiqua"/>
        </w:rPr>
        <w:t xml:space="preserve">considered statistically significant. As miRNAs were inferred from mRNAs, the </w:t>
      </w:r>
      <w:r w:rsidRPr="00BE12AC">
        <w:rPr>
          <w:rFonts w:ascii="Book Antiqua" w:eastAsia="Book Antiqua" w:hAnsi="Book Antiqua" w:cs="Book Antiqua"/>
          <w:i/>
          <w:iCs/>
        </w:rPr>
        <w:t>P</w:t>
      </w:r>
      <w:r w:rsidRPr="00BE12AC">
        <w:rPr>
          <w:rFonts w:ascii="Book Antiqua" w:eastAsia="Book Antiqua" w:hAnsi="Book Antiqua" w:cs="Book Antiqua"/>
        </w:rPr>
        <w:t xml:space="preserve"> value threshold for miRNAs was adjusted to &lt; 0.15 to indicate statistical significance.</w:t>
      </w:r>
    </w:p>
    <w:p w14:paraId="4BA6A2F0" w14:textId="4E3B4092" w:rsidR="008B2EEC" w:rsidRPr="00BE12AC" w:rsidRDefault="00FC314E" w:rsidP="006F7838">
      <w:pPr>
        <w:spacing w:line="360" w:lineRule="auto"/>
        <w:ind w:firstLineChars="112" w:firstLine="269"/>
        <w:jc w:val="both"/>
        <w:rPr>
          <w:rFonts w:ascii="Book Antiqua" w:hAnsi="Book Antiqua"/>
        </w:rPr>
      </w:pPr>
      <w:r w:rsidRPr="00BE12AC">
        <w:rPr>
          <w:rFonts w:ascii="Book Antiqua" w:eastAsia="Book Antiqua" w:hAnsi="Book Antiqua" w:cs="Book Antiqua"/>
        </w:rPr>
        <w:lastRenderedPageBreak/>
        <w:t>Following this, LASSO regression analyses were performed on mRNAs and miRNAs that met the specified criteria, further refining the features. Subsequently, the prognostic effect and hazard ratio of the prediction model were evaluated using multivariate Cox regression analysis, and the 95% confidence intervals were calculated.</w:t>
      </w:r>
    </w:p>
    <w:p w14:paraId="46702031" w14:textId="1834A6C6" w:rsidR="008B2EEC" w:rsidRPr="00BE12AC" w:rsidRDefault="00FC314E" w:rsidP="006F7838">
      <w:pPr>
        <w:spacing w:line="360" w:lineRule="auto"/>
        <w:ind w:firstLineChars="112" w:firstLine="269"/>
        <w:jc w:val="both"/>
        <w:rPr>
          <w:rFonts w:ascii="Book Antiqua" w:hAnsi="Book Antiqua"/>
        </w:rPr>
      </w:pPr>
      <w:r w:rsidRPr="00BE12AC">
        <w:rPr>
          <w:rFonts w:ascii="Book Antiqua" w:eastAsia="Book Antiqua" w:hAnsi="Book Antiqua" w:cs="Book Antiqua"/>
        </w:rPr>
        <w:t xml:space="preserve">Using the formula Σ (expmiRNAn × β mirnan), the prognostic risk score was computed by summing the miRNA expression values and their respective coefficients. This risk score facilitated the stratification of samples into high- and low-risk groups. Kaplan-Meier </w:t>
      </w:r>
      <w:r w:rsidR="00E60901">
        <w:rPr>
          <w:rFonts w:ascii="Book Antiqua" w:eastAsia="Book Antiqua" w:hAnsi="Book Antiqua" w:cs="Book Antiqua"/>
        </w:rPr>
        <w:t xml:space="preserve">(KM) </w:t>
      </w:r>
      <w:r w:rsidRPr="00BE12AC">
        <w:rPr>
          <w:rFonts w:ascii="Book Antiqua" w:eastAsia="Book Antiqua" w:hAnsi="Book Antiqua" w:cs="Book Antiqua"/>
        </w:rPr>
        <w:t xml:space="preserve">analysis and bilateral log-rank testing were used with the </w:t>
      </w:r>
      <w:r w:rsidR="0073391A">
        <w:rPr>
          <w:rFonts w:ascii="Book Antiqua" w:eastAsia="Book Antiqua" w:hAnsi="Book Antiqua" w:cs="Book Antiqua"/>
        </w:rPr>
        <w:t>“</w:t>
      </w:r>
      <w:r w:rsidRPr="00BE12AC">
        <w:rPr>
          <w:rFonts w:ascii="Book Antiqua" w:eastAsia="Book Antiqua" w:hAnsi="Book Antiqua" w:cs="Book Antiqua"/>
        </w:rPr>
        <w:t>survminer</w:t>
      </w:r>
      <w:r w:rsidR="0073391A">
        <w:rPr>
          <w:rFonts w:ascii="Book Antiqua" w:eastAsia="Book Antiqua" w:hAnsi="Book Antiqua" w:cs="Book Antiqua"/>
        </w:rPr>
        <w:t>”</w:t>
      </w:r>
      <w:r w:rsidRPr="00BE12AC">
        <w:rPr>
          <w:rFonts w:ascii="Book Antiqua" w:eastAsia="Book Antiqua" w:hAnsi="Book Antiqua" w:cs="Book Antiqua"/>
        </w:rPr>
        <w:t xml:space="preserve"> software package to determine the prognostic significance of the risk scores in training, internal validation, whole cohorts, and external validation, with a significance level set at </w:t>
      </w:r>
      <w:r w:rsidRPr="00BE12AC">
        <w:rPr>
          <w:rFonts w:ascii="Book Antiqua" w:eastAsia="Book Antiqua" w:hAnsi="Book Antiqua" w:cs="Book Antiqua"/>
          <w:i/>
          <w:iCs/>
        </w:rPr>
        <w:t>P</w:t>
      </w:r>
      <w:r w:rsidRPr="00BE12AC">
        <w:rPr>
          <w:rFonts w:ascii="Book Antiqua" w:eastAsia="Book Antiqua" w:hAnsi="Book Antiqua" w:cs="Book Antiqua"/>
        </w:rPr>
        <w:t xml:space="preserve"> &lt; 0.05.</w:t>
      </w:r>
    </w:p>
    <w:p w14:paraId="1A16C2D0" w14:textId="6AAAA1F2" w:rsidR="00600DE7" w:rsidRPr="00BE12AC" w:rsidRDefault="00FC314E" w:rsidP="006F7838">
      <w:pPr>
        <w:spacing w:line="360" w:lineRule="auto"/>
        <w:ind w:firstLineChars="112" w:firstLine="269"/>
        <w:jc w:val="both"/>
        <w:rPr>
          <w:rFonts w:ascii="Book Antiqua" w:hAnsi="Book Antiqua"/>
        </w:rPr>
      </w:pPr>
      <w:r w:rsidRPr="00BE12AC">
        <w:rPr>
          <w:rFonts w:ascii="Book Antiqua" w:eastAsia="Book Antiqua" w:hAnsi="Book Antiqua" w:cs="Book Antiqua"/>
        </w:rPr>
        <w:t xml:space="preserve">Additionally, the </w:t>
      </w:r>
      <w:r w:rsidR="004C70A5">
        <w:rPr>
          <w:rFonts w:ascii="Book Antiqua" w:eastAsia="Book Antiqua" w:hAnsi="Book Antiqua" w:cs="Book Antiqua"/>
        </w:rPr>
        <w:t>“</w:t>
      </w:r>
      <w:r w:rsidRPr="00BE12AC">
        <w:rPr>
          <w:rFonts w:ascii="Book Antiqua" w:eastAsia="Book Antiqua" w:hAnsi="Book Antiqua" w:cs="Book Antiqua"/>
        </w:rPr>
        <w:t>timeROC</w:t>
      </w:r>
      <w:r w:rsidR="004C70A5">
        <w:rPr>
          <w:rFonts w:ascii="Book Antiqua" w:eastAsia="Book Antiqua" w:hAnsi="Book Antiqua" w:cs="Book Antiqua"/>
        </w:rPr>
        <w:t>”</w:t>
      </w:r>
      <w:r w:rsidRPr="00BE12AC">
        <w:rPr>
          <w:rFonts w:ascii="Book Antiqua" w:eastAsia="Book Antiqua" w:hAnsi="Book Antiqua" w:cs="Book Antiqua"/>
        </w:rPr>
        <w:t xml:space="preserve"> package was used to produce time-dependent receiver operating characteristic (ROC) curves to evaluate the prediction model's performance, with the area under the curve (AUC) providing an estimate of the model's accuracy. Overall, all above-mentioned indexes achieved </w:t>
      </w:r>
      <w:r w:rsidRPr="00BE12AC">
        <w:rPr>
          <w:rFonts w:ascii="Book Antiqua" w:eastAsia="Book Antiqua" w:hAnsi="Book Antiqua" w:cs="Book Antiqua"/>
          <w:i/>
          <w:iCs/>
        </w:rPr>
        <w:t>P</w:t>
      </w:r>
      <w:r w:rsidRPr="00BE12AC">
        <w:rPr>
          <w:rFonts w:ascii="Book Antiqua" w:eastAsia="Book Antiqua" w:hAnsi="Book Antiqua" w:cs="Book Antiqua"/>
        </w:rPr>
        <w:t xml:space="preserve"> </w:t>
      </w:r>
      <w:r w:rsidR="003818B7">
        <w:rPr>
          <w:rFonts w:ascii="Book Antiqua" w:eastAsia="Book Antiqua" w:hAnsi="Book Antiqua" w:cs="Book Antiqua"/>
        </w:rPr>
        <w:t>&lt;</w:t>
      </w:r>
      <w:r w:rsidRPr="00BE12AC">
        <w:rPr>
          <w:rFonts w:ascii="Book Antiqua" w:eastAsia="Book Antiqua" w:hAnsi="Book Antiqua" w:cs="Book Antiqua"/>
        </w:rPr>
        <w:t xml:space="preserve"> 0.05, indicating significant differences. These comprehensive analyses will help validate and assess the efficacy of the constructed mRNA and miRNA prognostic models in predicting survival and risk for patients with breast cancer.</w:t>
      </w:r>
    </w:p>
    <w:p w14:paraId="763C60E7" w14:textId="77777777" w:rsidR="00600DE7" w:rsidRPr="00BE12AC" w:rsidRDefault="00600DE7" w:rsidP="00873A9B">
      <w:pPr>
        <w:spacing w:line="360" w:lineRule="auto"/>
        <w:jc w:val="both"/>
        <w:rPr>
          <w:rFonts w:ascii="Book Antiqua" w:hAnsi="Book Antiqua"/>
        </w:rPr>
      </w:pPr>
    </w:p>
    <w:p w14:paraId="055E78BB" w14:textId="2F13BF05" w:rsidR="00600DE7" w:rsidRPr="00BE12AC" w:rsidRDefault="00FC314E" w:rsidP="00873A9B">
      <w:pPr>
        <w:spacing w:line="360" w:lineRule="auto"/>
        <w:jc w:val="both"/>
        <w:rPr>
          <w:rFonts w:ascii="Book Antiqua" w:hAnsi="Book Antiqua"/>
          <w:b/>
          <w:bCs/>
          <w:i/>
          <w:iCs/>
        </w:rPr>
      </w:pPr>
      <w:r w:rsidRPr="00BE12AC">
        <w:rPr>
          <w:rFonts w:ascii="Book Antiqua" w:eastAsia="Book Antiqua" w:hAnsi="Book Antiqua" w:cs="Book Antiqua"/>
          <w:b/>
          <w:bCs/>
          <w:i/>
          <w:iCs/>
        </w:rPr>
        <w:t xml:space="preserve">mRNAs corresponded to </w:t>
      </w:r>
      <w:r w:rsidR="003818B7">
        <w:rPr>
          <w:rFonts w:ascii="Book Antiqua" w:eastAsia="Book Antiqua" w:hAnsi="Book Antiqua" w:cs="Book Antiqua"/>
          <w:b/>
          <w:bCs/>
          <w:i/>
          <w:iCs/>
        </w:rPr>
        <w:t xml:space="preserve">the </w:t>
      </w:r>
      <w:r w:rsidRPr="00BE12AC">
        <w:rPr>
          <w:rFonts w:ascii="Book Antiqua" w:eastAsia="Book Antiqua" w:hAnsi="Book Antiqua" w:cs="Book Antiqua"/>
          <w:b/>
          <w:bCs/>
          <w:i/>
          <w:iCs/>
        </w:rPr>
        <w:t>prediction of miRNAs and prediction of target mRNAs at miRNA</w:t>
      </w:r>
      <w:r w:rsidR="003818B7">
        <w:rPr>
          <w:rFonts w:ascii="Book Antiqua" w:eastAsia="Book Antiqua" w:hAnsi="Book Antiqua" w:cs="Book Antiqua"/>
          <w:b/>
          <w:bCs/>
          <w:i/>
          <w:iCs/>
        </w:rPr>
        <w:t>-</w:t>
      </w:r>
      <w:r w:rsidRPr="00BE12AC">
        <w:rPr>
          <w:rFonts w:ascii="Book Antiqua" w:eastAsia="Book Antiqua" w:hAnsi="Book Antiqua" w:cs="Book Antiqua"/>
          <w:b/>
          <w:bCs/>
          <w:i/>
          <w:iCs/>
        </w:rPr>
        <w:t>binding sites</w:t>
      </w:r>
    </w:p>
    <w:p w14:paraId="00788DF6" w14:textId="3E421DD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In this study, miRNA-mRNA target prediction was conducted using the miRTarBase database (https://mirtarbase.cuhk.edu.cn/~miRTarBase/miRTarBase_2022/php/index.php) on July 21, 2023. Simultaneously, prognostic features of miRNA-targeted mRNA in humans were downloaded from the TargetScan databases (http://www.targetscan.org/vert_80/, accessed on July 23, 2023). Subsequently, differential gene expression analysis was performed between the high- and low-risk groups using the </w:t>
      </w:r>
      <w:r w:rsidR="003818B7">
        <w:rPr>
          <w:rFonts w:ascii="Book Antiqua" w:eastAsia="Book Antiqua" w:hAnsi="Book Antiqua" w:cs="Book Antiqua"/>
        </w:rPr>
        <w:t>“l</w:t>
      </w:r>
      <w:r w:rsidRPr="00BE12AC">
        <w:rPr>
          <w:rFonts w:ascii="Book Antiqua" w:eastAsia="Book Antiqua" w:hAnsi="Book Antiqua" w:cs="Book Antiqua"/>
        </w:rPr>
        <w:t>imma</w:t>
      </w:r>
      <w:r w:rsidR="003818B7">
        <w:rPr>
          <w:rFonts w:ascii="Book Antiqua" w:eastAsia="Book Antiqua" w:hAnsi="Book Antiqua" w:cs="Book Antiqua"/>
        </w:rPr>
        <w:t>”</w:t>
      </w:r>
      <w:r w:rsidRPr="00BE12AC">
        <w:rPr>
          <w:rFonts w:ascii="Book Antiqua" w:eastAsia="Book Antiqua" w:hAnsi="Book Antiqua" w:cs="Book Antiqua"/>
        </w:rPr>
        <w:t xml:space="preserve"> package in R.</w:t>
      </w:r>
      <w:r w:rsidR="003818B7">
        <w:rPr>
          <w:rFonts w:ascii="Book Antiqua" w:eastAsia="Book Antiqua" w:hAnsi="Book Antiqua" w:cs="Book Antiqua"/>
        </w:rPr>
        <w:t xml:space="preserve"> </w:t>
      </w:r>
      <w:r w:rsidRPr="00BE12AC">
        <w:rPr>
          <w:rFonts w:ascii="Book Antiqua" w:eastAsia="Book Antiqua" w:hAnsi="Book Antiqua" w:cs="Book Antiqua"/>
        </w:rPr>
        <w:t xml:space="preserve">For the mRNA prognostic model, differential genes were identified based on the criteria of adjusted </w:t>
      </w:r>
      <w:r w:rsidRPr="00BE12AC">
        <w:rPr>
          <w:rFonts w:ascii="Book Antiqua" w:eastAsia="Book Antiqua" w:hAnsi="Book Antiqua" w:cs="Book Antiqua"/>
          <w:i/>
          <w:iCs/>
        </w:rPr>
        <w:t>P</w:t>
      </w:r>
      <w:r w:rsidRPr="00BE12AC">
        <w:rPr>
          <w:rFonts w:ascii="Book Antiqua" w:eastAsia="Book Antiqua" w:hAnsi="Book Antiqua" w:cs="Book Antiqua"/>
        </w:rPr>
        <w:t xml:space="preserve"> &lt; 0.05 and |</w:t>
      </w:r>
      <w:r w:rsidR="003818B7">
        <w:rPr>
          <w:rFonts w:ascii="Book Antiqua" w:eastAsia="Book Antiqua" w:hAnsi="Book Antiqua" w:cs="Book Antiqua"/>
        </w:rPr>
        <w:t>l</w:t>
      </w:r>
      <w:r w:rsidRPr="00BE12AC">
        <w:rPr>
          <w:rFonts w:ascii="Book Antiqua" w:eastAsia="Book Antiqua" w:hAnsi="Book Antiqua" w:cs="Book Antiqua"/>
        </w:rPr>
        <w:t xml:space="preserve">og2(fold change)| &gt; 1. Conversely, in the miRNA prognostic </w:t>
      </w:r>
      <w:r w:rsidRPr="00BE12AC">
        <w:rPr>
          <w:rFonts w:ascii="Book Antiqua" w:eastAsia="Book Antiqua" w:hAnsi="Book Antiqua" w:cs="Book Antiqua"/>
        </w:rPr>
        <w:lastRenderedPageBreak/>
        <w:t xml:space="preserve">model, due to the limited number of differential genes, they were defined as genes with an adjusted </w:t>
      </w:r>
      <w:r w:rsidRPr="00BE12AC">
        <w:rPr>
          <w:rFonts w:ascii="Book Antiqua" w:eastAsia="Book Antiqua" w:hAnsi="Book Antiqua" w:cs="Book Antiqua"/>
          <w:i/>
          <w:iCs/>
        </w:rPr>
        <w:t>P</w:t>
      </w:r>
      <w:r w:rsidRPr="00BE12AC">
        <w:rPr>
          <w:rFonts w:ascii="Book Antiqua" w:eastAsia="Book Antiqua" w:hAnsi="Book Antiqua" w:cs="Book Antiqua"/>
        </w:rPr>
        <w:t xml:space="preserve"> &lt; 0.05 and |</w:t>
      </w:r>
      <w:r w:rsidR="003818B7">
        <w:rPr>
          <w:rFonts w:ascii="Book Antiqua" w:eastAsia="Book Antiqua" w:hAnsi="Book Antiqua" w:cs="Book Antiqua"/>
        </w:rPr>
        <w:t>l</w:t>
      </w:r>
      <w:r w:rsidRPr="00BE12AC">
        <w:rPr>
          <w:rFonts w:ascii="Book Antiqua" w:eastAsia="Book Antiqua" w:hAnsi="Book Antiqua" w:cs="Book Antiqua"/>
        </w:rPr>
        <w:t>og2(fold change)| &gt; 0.5. These differential genes will undergo further analysis to evaluate their functional significance and relevance in the prognostic models.</w:t>
      </w:r>
    </w:p>
    <w:p w14:paraId="68A77CA4" w14:textId="77777777" w:rsidR="00600DE7" w:rsidRPr="00BE12AC" w:rsidRDefault="00FC314E" w:rsidP="00873A9B">
      <w:pPr>
        <w:spacing w:line="360" w:lineRule="auto"/>
        <w:jc w:val="both"/>
        <w:rPr>
          <w:rFonts w:ascii="Book Antiqua" w:hAnsi="Book Antiqua"/>
          <w:b/>
          <w:bCs/>
          <w:i/>
          <w:iCs/>
        </w:rPr>
      </w:pPr>
      <w:r w:rsidRPr="00BE12AC">
        <w:rPr>
          <w:rFonts w:ascii="Book Antiqua" w:eastAsia="Book Antiqua" w:hAnsi="Book Antiqua" w:cs="Book Antiqua"/>
          <w:b/>
          <w:bCs/>
          <w:i/>
          <w:iCs/>
        </w:rPr>
        <w:t>Functional enrichment analysis</w:t>
      </w:r>
    </w:p>
    <w:p w14:paraId="7C658D4F" w14:textId="097F9BB3"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In this study, microbial informatics analysis tools (https://www.bioinformatics.com.cn/, accessed on July 24, 2023) were employed for conducting gene enrichment analysis, encompassing both </w:t>
      </w:r>
      <w:r w:rsidR="003818B7">
        <w:rPr>
          <w:rFonts w:ascii="Book Antiqua" w:eastAsia="Book Antiqua" w:hAnsi="Book Antiqua" w:cs="Book Antiqua"/>
        </w:rPr>
        <w:t>Gene Ontology (</w:t>
      </w:r>
      <w:r w:rsidRPr="00BE12AC">
        <w:rPr>
          <w:rFonts w:ascii="Book Antiqua" w:eastAsia="Book Antiqua" w:hAnsi="Book Antiqua" w:cs="Book Antiqua"/>
        </w:rPr>
        <w:t>GO</w:t>
      </w:r>
      <w:r w:rsidR="003818B7">
        <w:rPr>
          <w:rFonts w:ascii="Book Antiqua" w:eastAsia="Book Antiqua" w:hAnsi="Book Antiqua" w:cs="Book Antiqua"/>
        </w:rPr>
        <w:t>)</w:t>
      </w:r>
      <w:r w:rsidRPr="00BE12AC">
        <w:rPr>
          <w:rFonts w:ascii="Book Antiqua" w:eastAsia="Book Antiqua" w:hAnsi="Book Antiqua" w:cs="Book Antiqua"/>
        </w:rPr>
        <w:t xml:space="preserve"> and the </w:t>
      </w:r>
      <w:r w:rsidR="003818B7" w:rsidRPr="003818B7">
        <w:rPr>
          <w:rFonts w:ascii="Book Antiqua" w:eastAsia="Book Antiqua" w:hAnsi="Book Antiqua" w:cs="Book Antiqua"/>
        </w:rPr>
        <w:t xml:space="preserve">Kyoto Encyclopedia of Genes and Genomes </w:t>
      </w:r>
      <w:r w:rsidR="003818B7">
        <w:rPr>
          <w:rFonts w:ascii="Book Antiqua" w:eastAsia="Book Antiqua" w:hAnsi="Book Antiqua" w:cs="Book Antiqua"/>
        </w:rPr>
        <w:t>(</w:t>
      </w:r>
      <w:r w:rsidRPr="00BE12AC">
        <w:rPr>
          <w:rFonts w:ascii="Book Antiqua" w:eastAsia="Book Antiqua" w:hAnsi="Book Antiqua" w:cs="Book Antiqua"/>
        </w:rPr>
        <w:t>KEGG</w:t>
      </w:r>
      <w:r w:rsidR="003818B7">
        <w:rPr>
          <w:rFonts w:ascii="Book Antiqua" w:eastAsia="Book Antiqua" w:hAnsi="Book Antiqua" w:cs="Book Antiqua"/>
        </w:rPr>
        <w:t>)</w:t>
      </w:r>
      <w:r w:rsidRPr="00BE12AC">
        <w:rPr>
          <w:rFonts w:ascii="Book Antiqua" w:eastAsia="Book Antiqua" w:hAnsi="Book Antiqua" w:cs="Book Antiqua"/>
        </w:rPr>
        <w:t xml:space="preserve"> pathway enrichment analyses. The criterion for determining statistically significant differences was set at </w:t>
      </w:r>
      <w:r w:rsidRPr="00BE12AC">
        <w:rPr>
          <w:rFonts w:ascii="Book Antiqua" w:eastAsia="Book Antiqua" w:hAnsi="Book Antiqua" w:cs="Book Antiqua"/>
          <w:i/>
          <w:iCs/>
        </w:rPr>
        <w:t>P</w:t>
      </w:r>
      <w:r w:rsidRPr="00BE12AC">
        <w:rPr>
          <w:rFonts w:ascii="Book Antiqua" w:eastAsia="Book Antiqua" w:hAnsi="Book Antiqua" w:cs="Book Antiqua"/>
        </w:rPr>
        <w:t xml:space="preserve"> &lt; 0.05, which made it possible identify functional items and pathways that exhibited significant enrichment in the GO and KEGG analyses.</w:t>
      </w:r>
    </w:p>
    <w:p w14:paraId="5EEAFD3E" w14:textId="77777777" w:rsidR="00600DE7" w:rsidRPr="00BE12AC" w:rsidRDefault="00600DE7" w:rsidP="00873A9B">
      <w:pPr>
        <w:spacing w:line="360" w:lineRule="auto"/>
        <w:jc w:val="both"/>
        <w:rPr>
          <w:rFonts w:ascii="Book Antiqua" w:hAnsi="Book Antiqua"/>
        </w:rPr>
      </w:pPr>
    </w:p>
    <w:p w14:paraId="780222F0" w14:textId="7F84C64A" w:rsidR="00600DE7" w:rsidRPr="00BE12AC" w:rsidRDefault="00FC314E" w:rsidP="00873A9B">
      <w:pPr>
        <w:spacing w:line="360" w:lineRule="auto"/>
        <w:jc w:val="both"/>
        <w:rPr>
          <w:rFonts w:ascii="Book Antiqua" w:hAnsi="Book Antiqua"/>
          <w:b/>
          <w:bCs/>
          <w:i/>
          <w:iCs/>
        </w:rPr>
      </w:pPr>
      <w:r w:rsidRPr="00BE12AC">
        <w:rPr>
          <w:rFonts w:ascii="Book Antiqua" w:eastAsia="Book Antiqua" w:hAnsi="Book Antiqua" w:cs="Book Antiqua"/>
          <w:b/>
          <w:bCs/>
          <w:i/>
          <w:iCs/>
        </w:rPr>
        <w:t>Correlation analysis of immun</w:t>
      </w:r>
      <w:r w:rsidR="003818B7">
        <w:rPr>
          <w:rFonts w:ascii="Book Antiqua" w:eastAsia="Book Antiqua" w:hAnsi="Book Antiqua" w:cs="Book Antiqua"/>
          <w:b/>
          <w:bCs/>
          <w:i/>
          <w:iCs/>
        </w:rPr>
        <w:t xml:space="preserve">e </w:t>
      </w:r>
      <w:r w:rsidRPr="00BE12AC">
        <w:rPr>
          <w:rFonts w:ascii="Book Antiqua" w:eastAsia="Book Antiqua" w:hAnsi="Book Antiqua" w:cs="Book Antiqua"/>
          <w:b/>
          <w:bCs/>
          <w:i/>
          <w:iCs/>
        </w:rPr>
        <w:t>infiltration in the mRNA prognostic model</w:t>
      </w:r>
    </w:p>
    <w:p w14:paraId="05035537"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This study utilized the Tumor Immune Estimation Resource (http://timer.cistrome.org/, accessed on July 24, 2023) to investigate the association between gene expression in the prognostic model and the infiltration of various immune cells in breast cancer. Concurrently, the Clinical Letter Home (https://www.aclbi.com/static/index.html#/, accessed on July 24, 2023) website was used to analyze the relationship between the gene expression and breast cancer prognosis models in the context of immune cell infiltration in different classifications. This analysis enables the exploration of the correlation between differential genes in the prognostic model and the tumor immune microenvironment, thereby providing insights into the potential interplay between the prognostic model and immune cell infiltration.</w:t>
      </w:r>
    </w:p>
    <w:p w14:paraId="6BE8D48D" w14:textId="77777777" w:rsidR="00600DE7" w:rsidRPr="00BE12AC" w:rsidRDefault="00600DE7" w:rsidP="00873A9B">
      <w:pPr>
        <w:spacing w:line="360" w:lineRule="auto"/>
        <w:jc w:val="both"/>
        <w:rPr>
          <w:rFonts w:ascii="Book Antiqua" w:hAnsi="Book Antiqua"/>
        </w:rPr>
      </w:pPr>
    </w:p>
    <w:p w14:paraId="5E2F208E"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caps/>
          <w:u w:val="single"/>
        </w:rPr>
        <w:t>RESULTS</w:t>
      </w:r>
    </w:p>
    <w:p w14:paraId="5100C0D3" w14:textId="77777777" w:rsidR="00600DE7" w:rsidRPr="00BE12AC" w:rsidRDefault="00FC314E" w:rsidP="00873A9B">
      <w:pPr>
        <w:spacing w:line="360" w:lineRule="auto"/>
        <w:jc w:val="both"/>
        <w:rPr>
          <w:rFonts w:ascii="Book Antiqua" w:hAnsi="Book Antiqua"/>
          <w:b/>
          <w:bCs/>
          <w:i/>
          <w:iCs/>
        </w:rPr>
      </w:pPr>
      <w:r w:rsidRPr="00BE12AC">
        <w:rPr>
          <w:rFonts w:ascii="Book Antiqua" w:eastAsia="Book Antiqua" w:hAnsi="Book Antiqua" w:cs="Book Antiqua"/>
          <w:b/>
          <w:bCs/>
          <w:i/>
          <w:iCs/>
        </w:rPr>
        <w:t>Construct the core mRNA characteristics of AICD</w:t>
      </w:r>
    </w:p>
    <w:p w14:paraId="24F2454E" w14:textId="21017C5C"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A comprehensive literature search was conducted using databases including PubMed(</w:t>
      </w:r>
      <w:hyperlink r:id="rId7" w:history="1">
        <w:r w:rsidRPr="00BE12AC">
          <w:rPr>
            <w:rStyle w:val="15"/>
            <w:rFonts w:ascii="Book Antiqua" w:eastAsia="Book Antiqua" w:hAnsi="Book Antiqua" w:cs="Book Antiqua"/>
          </w:rPr>
          <w:t>https://pubmed</w:t>
        </w:r>
      </w:hyperlink>
      <w:r w:rsidRPr="00BE12AC">
        <w:rPr>
          <w:rFonts w:ascii="Book Antiqua" w:eastAsia="Book Antiqua" w:hAnsi="Book Antiqua" w:cs="Book Antiqua"/>
        </w:rPr>
        <w:t xml:space="preserve">.ncbi.nlm.nih.gov/), Embase (Excerpta Medica Database, </w:t>
      </w:r>
      <w:hyperlink r:id="rId8" w:history="1">
        <w:r w:rsidRPr="00BE12AC">
          <w:rPr>
            <w:rStyle w:val="15"/>
            <w:rFonts w:ascii="Book Antiqua" w:eastAsia="Book Antiqua" w:hAnsi="Book Antiqua" w:cs="Book Antiqua"/>
          </w:rPr>
          <w:t>https://www.embase.com/</w:t>
        </w:r>
      </w:hyperlink>
      <w:r w:rsidRPr="00BE12AC">
        <w:rPr>
          <w:rFonts w:ascii="Book Antiqua" w:eastAsia="Book Antiqua" w:hAnsi="Book Antiqua" w:cs="Book Antiqua"/>
        </w:rPr>
        <w:t xml:space="preserve">), Web of Science (https://www.webofscience.com/), </w:t>
      </w:r>
      <w:r w:rsidRPr="00BE12AC">
        <w:rPr>
          <w:rFonts w:ascii="Book Antiqua" w:eastAsia="Book Antiqua" w:hAnsi="Book Antiqua" w:cs="Book Antiqua"/>
        </w:rPr>
        <w:lastRenderedPageBreak/>
        <w:t>MESH (Medical Subject Headings, https://www.nlm.nih.gov/mesh/meshhome.html), and Scopus (https://www.scopus.com/), to identify a total of 35 mRNAs that are strongly associated with AICD (Table 1)</w:t>
      </w:r>
      <w:r w:rsidRPr="00BE12AC">
        <w:rPr>
          <w:rFonts w:ascii="Book Antiqua" w:eastAsia="宋体" w:hAnsi="Book Antiqua" w:cs="Book Antiqua"/>
          <w:vertAlign w:val="superscript"/>
          <w:lang w:eastAsia="zh-CN"/>
        </w:rPr>
        <w:t>[1,2,22,26,39-49]</w:t>
      </w:r>
      <w:r w:rsidRPr="00BE12AC">
        <w:rPr>
          <w:rFonts w:ascii="Book Antiqua" w:eastAsia="Book Antiqua" w:hAnsi="Book Antiqua" w:cs="Book Antiqua"/>
        </w:rPr>
        <w:t>.</w:t>
      </w:r>
    </w:p>
    <w:p w14:paraId="7D599554" w14:textId="630925FF" w:rsidR="00600DE7" w:rsidRPr="00BE12AC" w:rsidRDefault="00FC314E" w:rsidP="006F7838">
      <w:pPr>
        <w:spacing w:line="360" w:lineRule="auto"/>
        <w:ind w:firstLineChars="112" w:firstLine="269"/>
        <w:jc w:val="both"/>
        <w:rPr>
          <w:rFonts w:ascii="Book Antiqua" w:hAnsi="Book Antiqua"/>
        </w:rPr>
      </w:pPr>
      <w:r w:rsidRPr="00BE12AC">
        <w:rPr>
          <w:rFonts w:ascii="Book Antiqua" w:eastAsia="Book Antiqua" w:hAnsi="Book Antiqua" w:cs="Book Antiqua"/>
        </w:rPr>
        <w:t xml:space="preserve">According to the univariate Cox proportional hazard regression analysis, 4 of the 35 mRNAs in the training cohort exhibited significant </w:t>
      </w:r>
      <w:r w:rsidRPr="00BE12AC">
        <w:rPr>
          <w:rFonts w:ascii="Book Antiqua" w:eastAsia="Book Antiqua" w:hAnsi="Book Antiqua" w:cs="Book Antiqua"/>
          <w:i/>
          <w:iCs/>
        </w:rPr>
        <w:t>P</w:t>
      </w:r>
      <w:r w:rsidRPr="00BE12AC">
        <w:rPr>
          <w:rFonts w:ascii="Book Antiqua" w:eastAsia="Book Antiqua" w:hAnsi="Book Antiqua" w:cs="Book Antiqua"/>
        </w:rPr>
        <w:t xml:space="preserve"> &lt; 0.05 (Figure 1A). Utilizing the LASSO-Cox regression analysis, the selection was further narrowed down to </w:t>
      </w:r>
      <w:r w:rsidR="00C307A3">
        <w:rPr>
          <w:rFonts w:ascii="Book Antiqua" w:eastAsia="Book Antiqua" w:hAnsi="Book Antiqua" w:cs="Book Antiqua"/>
        </w:rPr>
        <w:t>four</w:t>
      </w:r>
      <w:r w:rsidR="00C307A3" w:rsidRPr="00BE12AC">
        <w:rPr>
          <w:rFonts w:ascii="Book Antiqua" w:eastAsia="Book Antiqua" w:hAnsi="Book Antiqua" w:cs="Book Antiqua"/>
        </w:rPr>
        <w:t xml:space="preserve"> </w:t>
      </w:r>
      <w:r w:rsidRPr="00BE12AC">
        <w:rPr>
          <w:rFonts w:ascii="Book Antiqua" w:eastAsia="Book Antiqua" w:hAnsi="Book Antiqua" w:cs="Book Antiqua"/>
        </w:rPr>
        <w:t xml:space="preserve">mRNAs, which were incorporated into the prognostic model for the training cohort (Figure 1B and C). The construction of the new risk scoring formula based on these selected mRNA features </w:t>
      </w:r>
      <w:r w:rsidR="00C307A3">
        <w:rPr>
          <w:rFonts w:ascii="Book Antiqua" w:eastAsia="Book Antiqua" w:hAnsi="Book Antiqua" w:cs="Book Antiqua"/>
        </w:rPr>
        <w:t>was</w:t>
      </w:r>
      <w:r w:rsidR="00C307A3" w:rsidRPr="00BE12AC">
        <w:rPr>
          <w:rFonts w:ascii="Book Antiqua" w:eastAsia="Book Antiqua" w:hAnsi="Book Antiqua" w:cs="Book Antiqua"/>
        </w:rPr>
        <w:t xml:space="preserve"> </w:t>
      </w:r>
      <w:r w:rsidRPr="00BE12AC">
        <w:rPr>
          <w:rFonts w:ascii="Book Antiqua" w:eastAsia="Book Antiqua" w:hAnsi="Book Antiqua" w:cs="Book Antiqua"/>
        </w:rPr>
        <w:t xml:space="preserve">as follows: </w:t>
      </w:r>
      <w:r w:rsidR="00C307A3">
        <w:rPr>
          <w:rFonts w:ascii="Book Antiqua" w:eastAsia="Book Antiqua" w:hAnsi="Book Antiqua" w:cs="Book Antiqua"/>
        </w:rPr>
        <w:t>r</w:t>
      </w:r>
      <w:r w:rsidRPr="00BE12AC">
        <w:rPr>
          <w:rFonts w:ascii="Book Antiqua" w:eastAsia="Book Antiqua" w:hAnsi="Book Antiqua" w:cs="Book Antiqua"/>
        </w:rPr>
        <w:t xml:space="preserve">isk score = 0.344 × </w:t>
      </w:r>
      <w:r w:rsidR="00C307A3">
        <w:rPr>
          <w:rFonts w:ascii="Book Antiqua" w:eastAsia="Book Antiqua" w:hAnsi="Book Antiqua" w:cs="Book Antiqua"/>
        </w:rPr>
        <w:t>p</w:t>
      </w:r>
      <w:r w:rsidR="00C307A3" w:rsidRPr="00C307A3">
        <w:rPr>
          <w:rFonts w:ascii="Book Antiqua" w:eastAsia="Book Antiqua" w:hAnsi="Book Antiqua" w:cs="Book Antiqua"/>
        </w:rPr>
        <w:t>annexin 1</w:t>
      </w:r>
      <w:r w:rsidR="00C307A3">
        <w:rPr>
          <w:rFonts w:ascii="Book Antiqua" w:eastAsia="Book Antiqua" w:hAnsi="Book Antiqua" w:cs="Book Antiqua"/>
        </w:rPr>
        <w:t xml:space="preserve"> (</w:t>
      </w:r>
      <w:r w:rsidRPr="00BE12AC">
        <w:rPr>
          <w:rFonts w:ascii="Book Antiqua" w:eastAsia="Book Antiqua" w:hAnsi="Book Antiqua" w:cs="Book Antiqua"/>
        </w:rPr>
        <w:t>PNAX1</w:t>
      </w:r>
      <w:r w:rsidR="00C307A3">
        <w:rPr>
          <w:rFonts w:ascii="Book Antiqua" w:eastAsia="Book Antiqua" w:hAnsi="Book Antiqua" w:cs="Book Antiqua"/>
        </w:rPr>
        <w:t>)</w:t>
      </w:r>
      <w:r w:rsidRPr="00BE12AC">
        <w:rPr>
          <w:rFonts w:ascii="Book Antiqua" w:eastAsia="Book Antiqua" w:hAnsi="Book Antiqua" w:cs="Book Antiqua"/>
        </w:rPr>
        <w:t xml:space="preserve"> - 0.223 × P2RX4 - 0.274 × </w:t>
      </w:r>
      <w:r w:rsidR="00C307A3">
        <w:rPr>
          <w:rFonts w:ascii="Book Antiqua" w:eastAsia="Book Antiqua" w:hAnsi="Book Antiqua" w:cs="Book Antiqua"/>
        </w:rPr>
        <w:t>ca</w:t>
      </w:r>
      <w:r w:rsidR="00E60901">
        <w:rPr>
          <w:rFonts w:ascii="Book Antiqua" w:eastAsia="Book Antiqua" w:hAnsi="Book Antiqua" w:cs="Book Antiqua"/>
        </w:rPr>
        <w:t>s</w:t>
      </w:r>
      <w:r w:rsidR="00C307A3">
        <w:rPr>
          <w:rFonts w:ascii="Book Antiqua" w:eastAsia="Book Antiqua" w:hAnsi="Book Antiqua" w:cs="Book Antiqua"/>
        </w:rPr>
        <w:t>pase 7 (</w:t>
      </w:r>
      <w:r w:rsidRPr="00BE12AC">
        <w:rPr>
          <w:rFonts w:ascii="Book Antiqua" w:eastAsia="Book Antiqua" w:hAnsi="Book Antiqua" w:cs="Book Antiqua"/>
        </w:rPr>
        <w:t>CASP7</w:t>
      </w:r>
      <w:r w:rsidR="00C307A3">
        <w:rPr>
          <w:rFonts w:ascii="Book Antiqua" w:eastAsia="Book Antiqua" w:hAnsi="Book Antiqua" w:cs="Book Antiqua"/>
        </w:rPr>
        <w:t>)</w:t>
      </w:r>
      <w:r w:rsidRPr="00BE12AC">
        <w:rPr>
          <w:rFonts w:ascii="Book Antiqua" w:eastAsia="Book Antiqua" w:hAnsi="Book Antiqua" w:cs="Book Antiqua"/>
        </w:rPr>
        <w:t xml:space="preserve"> - 0.198 × </w:t>
      </w:r>
      <w:r w:rsidR="00C307A3">
        <w:rPr>
          <w:rFonts w:ascii="Book Antiqua" w:eastAsia="Book Antiqua" w:hAnsi="Book Antiqua" w:cs="Book Antiqua"/>
        </w:rPr>
        <w:t>cyclin D2 (</w:t>
      </w:r>
      <w:r w:rsidRPr="00BE12AC">
        <w:rPr>
          <w:rFonts w:ascii="Book Antiqua" w:eastAsia="Book Antiqua" w:hAnsi="Book Antiqua" w:cs="Book Antiqua"/>
        </w:rPr>
        <w:t>CCND2</w:t>
      </w:r>
      <w:r w:rsidR="00C307A3">
        <w:rPr>
          <w:rFonts w:ascii="Book Antiqua" w:eastAsia="Book Antiqua" w:hAnsi="Book Antiqua" w:cs="Book Antiqua"/>
        </w:rPr>
        <w:t>)</w:t>
      </w:r>
      <w:r w:rsidRPr="00BE12AC">
        <w:rPr>
          <w:rFonts w:ascii="Book Antiqua" w:eastAsia="Book Antiqua" w:hAnsi="Book Antiqua" w:cs="Book Antiqua"/>
        </w:rPr>
        <w:t>.</w:t>
      </w:r>
    </w:p>
    <w:p w14:paraId="70C2A91B" w14:textId="77777777" w:rsidR="00600DE7" w:rsidRPr="00BE12AC" w:rsidRDefault="00600DE7" w:rsidP="00873A9B">
      <w:pPr>
        <w:spacing w:line="360" w:lineRule="auto"/>
        <w:jc w:val="both"/>
        <w:rPr>
          <w:rFonts w:ascii="Book Antiqua" w:hAnsi="Book Antiqua"/>
        </w:rPr>
      </w:pPr>
    </w:p>
    <w:p w14:paraId="76DE58BB" w14:textId="71039BA0" w:rsidR="00600DE7" w:rsidRPr="00BE12AC" w:rsidRDefault="00FC314E" w:rsidP="00873A9B">
      <w:pPr>
        <w:spacing w:line="360" w:lineRule="auto"/>
        <w:jc w:val="both"/>
        <w:rPr>
          <w:rFonts w:ascii="Book Antiqua" w:hAnsi="Book Antiqua"/>
          <w:b/>
          <w:bCs/>
          <w:i/>
          <w:iCs/>
        </w:rPr>
      </w:pPr>
      <w:r w:rsidRPr="00BE12AC">
        <w:rPr>
          <w:rFonts w:ascii="Book Antiqua" w:eastAsia="Book Antiqua" w:hAnsi="Book Antiqua" w:cs="Book Antiqua"/>
          <w:b/>
          <w:bCs/>
          <w:i/>
          <w:iCs/>
        </w:rPr>
        <w:t>mRNA characteristics significantly distinguished between high- and low-risk groups</w:t>
      </w:r>
    </w:p>
    <w:p w14:paraId="4AFEFBBD" w14:textId="03DFB743"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Each patient</w:t>
      </w:r>
      <w:r w:rsidR="00DA4DFB">
        <w:rPr>
          <w:rFonts w:ascii="Book Antiqua" w:eastAsia="Book Antiqua" w:hAnsi="Book Antiqua" w:cs="Book Antiqua"/>
        </w:rPr>
        <w:t>’</w:t>
      </w:r>
      <w:r w:rsidRPr="00BE12AC">
        <w:rPr>
          <w:rFonts w:ascii="Book Antiqua" w:eastAsia="Book Antiqua" w:hAnsi="Book Antiqua" w:cs="Book Antiqua"/>
        </w:rPr>
        <w:t>s risk score was calculated using the accepted formula (Figure 2</w:t>
      </w:r>
      <w:r w:rsidRPr="00BE12AC">
        <w:rPr>
          <w:rFonts w:ascii="Book Antiqua" w:eastAsia="宋体" w:hAnsi="Book Antiqua" w:cs="Book Antiqua"/>
          <w:lang w:eastAsia="zh-CN"/>
        </w:rPr>
        <w:t>A</w:t>
      </w:r>
      <w:r w:rsidRPr="00BE12AC">
        <w:rPr>
          <w:rFonts w:ascii="Book Antiqua" w:eastAsia="Book Antiqua" w:hAnsi="Book Antiqua" w:cs="Book Antiqua"/>
        </w:rPr>
        <w:t xml:space="preserve">). Subsequently, </w:t>
      </w:r>
      <w:r w:rsidR="00E60901">
        <w:rPr>
          <w:rFonts w:ascii="Book Antiqua" w:eastAsia="Book Antiqua" w:hAnsi="Book Antiqua" w:cs="Book Antiqua"/>
        </w:rPr>
        <w:t xml:space="preserve">the robustness of </w:t>
      </w:r>
      <w:r w:rsidRPr="00BE12AC">
        <w:rPr>
          <w:rFonts w:ascii="Book Antiqua" w:eastAsia="Book Antiqua" w:hAnsi="Book Antiqua" w:cs="Book Antiqua"/>
        </w:rPr>
        <w:t>these features was evaluated using training and internal validation cohorts (Figure 2</w:t>
      </w:r>
      <w:r w:rsidRPr="00BE12AC">
        <w:rPr>
          <w:rFonts w:ascii="Book Antiqua" w:eastAsia="宋体" w:hAnsi="Book Antiqua" w:cs="Book Antiqua"/>
          <w:lang w:eastAsia="zh-CN"/>
        </w:rPr>
        <w:t>B</w:t>
      </w:r>
      <w:r w:rsidRPr="00BE12AC">
        <w:rPr>
          <w:rFonts w:ascii="Book Antiqua" w:eastAsia="Book Antiqua" w:hAnsi="Book Antiqua" w:cs="Book Antiqua"/>
        </w:rPr>
        <w:t xml:space="preserve"> and </w:t>
      </w:r>
      <w:r w:rsidRPr="00BE12AC">
        <w:rPr>
          <w:rFonts w:ascii="Book Antiqua" w:eastAsia="宋体" w:hAnsi="Book Antiqua" w:cs="Book Antiqua"/>
          <w:lang w:eastAsia="zh-CN"/>
        </w:rPr>
        <w:t>C</w:t>
      </w:r>
      <w:r w:rsidRPr="00BE12AC">
        <w:rPr>
          <w:rFonts w:ascii="Book Antiqua" w:eastAsia="Book Antiqua" w:hAnsi="Book Antiqua" w:cs="Book Antiqua"/>
        </w:rPr>
        <w:t>). Patients in the high-risk group had shorter OS than those in the low-risk group, according to KM survival analysis and bilateral log-rank tests performed on the complete dataset (</w:t>
      </w:r>
      <w:r w:rsidRPr="00BE12AC">
        <w:rPr>
          <w:rFonts w:ascii="Book Antiqua" w:eastAsia="Book Antiqua" w:hAnsi="Book Antiqua" w:cs="Book Antiqua"/>
          <w:i/>
          <w:iCs/>
        </w:rPr>
        <w:t>P</w:t>
      </w:r>
      <w:r w:rsidRPr="00BE12AC">
        <w:rPr>
          <w:rFonts w:ascii="Book Antiqua" w:eastAsia="Book Antiqua" w:hAnsi="Book Antiqua" w:cs="Book Antiqua"/>
        </w:rPr>
        <w:t xml:space="preserve"> &lt; 0.001; </w:t>
      </w:r>
      <w:r w:rsidRPr="00BE12AC">
        <w:rPr>
          <w:rFonts w:ascii="Book Antiqua" w:eastAsia="宋体" w:hAnsi="Book Antiqua" w:cs="Book Antiqua"/>
          <w:lang w:eastAsia="zh-CN"/>
        </w:rPr>
        <w:t>Figure 3</w:t>
      </w:r>
      <w:r w:rsidRPr="00BE12AC">
        <w:rPr>
          <w:rFonts w:ascii="Book Antiqua" w:eastAsia="Book Antiqua" w:hAnsi="Book Antiqua" w:cs="Book Antiqua"/>
        </w:rPr>
        <w:t>A).</w:t>
      </w:r>
    </w:p>
    <w:p w14:paraId="330C5A9A" w14:textId="127D61BC" w:rsidR="00600DE7" w:rsidRPr="00BE12AC" w:rsidRDefault="00FC314E" w:rsidP="006F7838">
      <w:pPr>
        <w:spacing w:line="360" w:lineRule="auto"/>
        <w:ind w:firstLineChars="112" w:firstLine="269"/>
        <w:jc w:val="both"/>
        <w:rPr>
          <w:rFonts w:ascii="Book Antiqua" w:hAnsi="Book Antiqua"/>
        </w:rPr>
      </w:pPr>
      <w:r w:rsidRPr="00BE12AC">
        <w:rPr>
          <w:rFonts w:ascii="Book Antiqua" w:eastAsia="Book Antiqua" w:hAnsi="Book Antiqua" w:cs="Book Antiqua"/>
        </w:rPr>
        <w:t>The prognostic efficacy of this risk score was further validated in the test set and training set cohorts, wherein similar and significant OS differences were observed between the high- and low-risk groups (</w:t>
      </w:r>
      <w:r w:rsidRPr="00BE12AC">
        <w:rPr>
          <w:rFonts w:ascii="Book Antiqua" w:eastAsia="Book Antiqua" w:hAnsi="Book Antiqua" w:cs="Book Antiqua"/>
          <w:i/>
          <w:iCs/>
        </w:rPr>
        <w:t>P</w:t>
      </w:r>
      <w:r w:rsidRPr="00BE12AC">
        <w:rPr>
          <w:rFonts w:ascii="Book Antiqua" w:eastAsia="Book Antiqua" w:hAnsi="Book Antiqua" w:cs="Book Antiqua"/>
        </w:rPr>
        <w:t xml:space="preserve"> &lt; 0.05; </w:t>
      </w:r>
      <w:r w:rsidRPr="00BE12AC">
        <w:rPr>
          <w:rFonts w:ascii="Book Antiqua" w:eastAsia="宋体" w:hAnsi="Book Antiqua" w:cs="Book Antiqua"/>
          <w:lang w:eastAsia="zh-CN"/>
        </w:rPr>
        <w:t>Figure 3</w:t>
      </w:r>
      <w:r w:rsidRPr="00BE12AC">
        <w:rPr>
          <w:rFonts w:ascii="Book Antiqua" w:eastAsia="Book Antiqua" w:hAnsi="Book Antiqua" w:cs="Book Antiqua"/>
        </w:rPr>
        <w:t>B and C). Additionally, for the 5-year OS prediction in the training and internal validation populations, the time-varying ROC curve analysis produced AUC values of 0.67, 0.64</w:t>
      </w:r>
      <w:r w:rsidR="00237A54">
        <w:rPr>
          <w:rFonts w:ascii="Book Antiqua" w:eastAsia="Book Antiqua" w:hAnsi="Book Antiqua" w:cs="Book Antiqua"/>
        </w:rPr>
        <w:t>,</w:t>
      </w:r>
      <w:r w:rsidRPr="00BE12AC">
        <w:rPr>
          <w:rFonts w:ascii="Book Antiqua" w:eastAsia="Book Antiqua" w:hAnsi="Book Antiqua" w:cs="Book Antiqua"/>
        </w:rPr>
        <w:t xml:space="preserve"> and 0.72, respectively (</w:t>
      </w:r>
      <w:r w:rsidRPr="00BE12AC">
        <w:rPr>
          <w:rFonts w:ascii="Book Antiqua" w:eastAsia="宋体" w:hAnsi="Book Antiqua" w:cs="Book Antiqua"/>
          <w:lang w:eastAsia="zh-CN"/>
        </w:rPr>
        <w:t>Figure 3</w:t>
      </w:r>
      <w:r w:rsidRPr="00BE12AC">
        <w:rPr>
          <w:rFonts w:ascii="Book Antiqua" w:eastAsia="Book Antiqua" w:hAnsi="Book Antiqua" w:cs="Book Antiqua"/>
        </w:rPr>
        <w:t>D-F).</w:t>
      </w:r>
    </w:p>
    <w:p w14:paraId="7BFC90B8" w14:textId="77777777" w:rsidR="00600DE7" w:rsidRPr="00BE12AC" w:rsidRDefault="00600DE7" w:rsidP="00873A9B">
      <w:pPr>
        <w:spacing w:line="360" w:lineRule="auto"/>
        <w:jc w:val="both"/>
        <w:rPr>
          <w:rFonts w:ascii="Book Antiqua" w:hAnsi="Book Antiqua"/>
        </w:rPr>
      </w:pPr>
    </w:p>
    <w:p w14:paraId="4F347ADE" w14:textId="0111483D" w:rsidR="001F3E28" w:rsidRPr="00BE12AC" w:rsidRDefault="00FC314E" w:rsidP="00873A9B">
      <w:pPr>
        <w:spacing w:line="360" w:lineRule="auto"/>
        <w:jc w:val="both"/>
        <w:rPr>
          <w:rFonts w:ascii="Book Antiqua" w:hAnsi="Book Antiqua"/>
          <w:b/>
          <w:bCs/>
          <w:i/>
          <w:iCs/>
        </w:rPr>
      </w:pPr>
      <w:r w:rsidRPr="00BE12AC">
        <w:rPr>
          <w:rFonts w:ascii="Book Antiqua" w:eastAsia="Book Antiqua" w:hAnsi="Book Antiqua" w:cs="Book Antiqua"/>
          <w:b/>
          <w:bCs/>
          <w:i/>
          <w:iCs/>
        </w:rPr>
        <w:t xml:space="preserve">The prognostic significance of </w:t>
      </w:r>
      <w:r w:rsidR="00894299">
        <w:rPr>
          <w:rFonts w:ascii="Book Antiqua" w:eastAsia="Book Antiqua" w:hAnsi="Book Antiqua" w:cs="Book Antiqua"/>
          <w:b/>
          <w:bCs/>
          <w:i/>
          <w:iCs/>
        </w:rPr>
        <w:t>four</w:t>
      </w:r>
      <w:r w:rsidR="00894299" w:rsidRPr="00BE12AC">
        <w:rPr>
          <w:rFonts w:ascii="Book Antiqua" w:eastAsia="Book Antiqua" w:hAnsi="Book Antiqua" w:cs="Book Antiqua"/>
          <w:b/>
          <w:bCs/>
          <w:i/>
          <w:iCs/>
        </w:rPr>
        <w:t xml:space="preserve"> </w:t>
      </w:r>
      <w:r w:rsidRPr="00BE12AC">
        <w:rPr>
          <w:rFonts w:ascii="Book Antiqua" w:eastAsia="Book Antiqua" w:hAnsi="Book Antiqua" w:cs="Book Antiqua"/>
          <w:b/>
          <w:bCs/>
          <w:i/>
          <w:iCs/>
        </w:rPr>
        <w:t>mRNA features was verified in the METABRIC dataset</w:t>
      </w:r>
    </w:p>
    <w:p w14:paraId="0EDD3994" w14:textId="024A4FC9" w:rsidR="008B2EEC" w:rsidRPr="00BE12AC" w:rsidRDefault="00FC314E" w:rsidP="001F3E28">
      <w:pPr>
        <w:spacing w:line="360" w:lineRule="auto"/>
        <w:jc w:val="both"/>
        <w:rPr>
          <w:rFonts w:ascii="Book Antiqua" w:hAnsi="Book Antiqua"/>
        </w:rPr>
      </w:pPr>
      <w:r w:rsidRPr="00BE12AC">
        <w:rPr>
          <w:rFonts w:ascii="Book Antiqua" w:eastAsia="Book Antiqua" w:hAnsi="Book Antiqua" w:cs="Book Antiqua"/>
        </w:rPr>
        <w:t>Further validation was conducted in the METABRIC dataset, comprising 1978 primary breast cancer</w:t>
      </w:r>
      <w:r w:rsidR="00894299">
        <w:rPr>
          <w:rFonts w:ascii="Book Antiqua" w:eastAsia="Book Antiqua" w:hAnsi="Book Antiqua" w:cs="Book Antiqua"/>
        </w:rPr>
        <w:t xml:space="preserve"> cases</w:t>
      </w:r>
      <w:r w:rsidRPr="00BE12AC">
        <w:rPr>
          <w:rFonts w:ascii="Book Antiqua" w:eastAsia="Book Antiqua" w:hAnsi="Book Antiqua" w:cs="Book Antiqua"/>
        </w:rPr>
        <w:t>. The established algorithm was used to compute the risk score for each patient. Subsequently, the robustness of the features was assessed in the validation queue of the METABRIC dataset (Figure 2</w:t>
      </w:r>
      <w:r w:rsidRPr="00BE12AC">
        <w:rPr>
          <w:rFonts w:ascii="Book Antiqua" w:eastAsia="宋体" w:hAnsi="Book Antiqua" w:cs="Book Antiqua"/>
          <w:lang w:eastAsia="zh-CN"/>
        </w:rPr>
        <w:t>D</w:t>
      </w:r>
      <w:r w:rsidRPr="00BE12AC">
        <w:rPr>
          <w:rFonts w:ascii="Book Antiqua" w:eastAsia="Book Antiqua" w:hAnsi="Book Antiqua" w:cs="Book Antiqua"/>
        </w:rPr>
        <w:t>).</w:t>
      </w:r>
    </w:p>
    <w:p w14:paraId="26B449A4" w14:textId="71D9F4C3" w:rsidR="00600DE7"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lastRenderedPageBreak/>
        <w:t>In the METABRIC dataset, significant differences were found in OS between the high</w:t>
      </w:r>
      <w:r w:rsidR="00492876">
        <w:rPr>
          <w:rFonts w:ascii="Book Antiqua" w:eastAsia="Book Antiqua" w:hAnsi="Book Antiqua" w:cs="Book Antiqua"/>
        </w:rPr>
        <w:t>-</w:t>
      </w:r>
      <w:r w:rsidRPr="00BE12AC">
        <w:rPr>
          <w:rFonts w:ascii="Book Antiqua" w:eastAsia="Book Antiqua" w:hAnsi="Book Antiqua" w:cs="Book Antiqua"/>
        </w:rPr>
        <w:t xml:space="preserve"> and low-risk groups, as had been seen in </w:t>
      </w:r>
      <w:r w:rsidR="00894299">
        <w:rPr>
          <w:rFonts w:ascii="Book Antiqua" w:eastAsia="Book Antiqua" w:hAnsi="Book Antiqua" w:cs="Book Antiqua"/>
        </w:rPr>
        <w:t>previous</w:t>
      </w:r>
      <w:r w:rsidR="00894299" w:rsidRPr="00BE12AC">
        <w:rPr>
          <w:rFonts w:ascii="Book Antiqua" w:eastAsia="Book Antiqua" w:hAnsi="Book Antiqua" w:cs="Book Antiqua"/>
        </w:rPr>
        <w:t xml:space="preserve"> </w:t>
      </w:r>
      <w:r w:rsidRPr="00BE12AC">
        <w:rPr>
          <w:rFonts w:ascii="Book Antiqua" w:eastAsia="Book Antiqua" w:hAnsi="Book Antiqua" w:cs="Book Antiqua"/>
        </w:rPr>
        <w:t>cohorts (</w:t>
      </w:r>
      <w:r w:rsidRPr="00BE12AC">
        <w:rPr>
          <w:rFonts w:ascii="Book Antiqua" w:eastAsia="Book Antiqua" w:hAnsi="Book Antiqua" w:cs="Book Antiqua"/>
          <w:i/>
          <w:iCs/>
        </w:rPr>
        <w:t>P</w:t>
      </w:r>
      <w:r w:rsidRPr="00BE12AC">
        <w:rPr>
          <w:rFonts w:ascii="Book Antiqua" w:eastAsia="Book Antiqua" w:hAnsi="Book Antiqua" w:cs="Book Antiqua"/>
        </w:rPr>
        <w:t xml:space="preserve"> &lt; 0.001; </w:t>
      </w:r>
      <w:r w:rsidRPr="00BE12AC">
        <w:rPr>
          <w:rFonts w:ascii="Book Antiqua" w:eastAsia="宋体" w:hAnsi="Book Antiqua" w:cs="Book Antiqua"/>
          <w:lang w:eastAsia="zh-CN"/>
        </w:rPr>
        <w:t xml:space="preserve">Figure </w:t>
      </w:r>
      <w:r w:rsidR="002C4155">
        <w:rPr>
          <w:rFonts w:ascii="Book Antiqua" w:eastAsia="宋体" w:hAnsi="Book Antiqua" w:cs="Book Antiqua"/>
          <w:lang w:eastAsia="zh-CN"/>
        </w:rPr>
        <w:t>3</w:t>
      </w:r>
      <w:r w:rsidR="002C4155">
        <w:rPr>
          <w:rFonts w:ascii="Book Antiqua" w:eastAsia="Book Antiqua" w:hAnsi="Book Antiqua" w:cs="Book Antiqua"/>
        </w:rPr>
        <w:t>G</w:t>
      </w:r>
      <w:r w:rsidRPr="00BE12AC">
        <w:rPr>
          <w:rFonts w:ascii="Book Antiqua" w:eastAsia="Book Antiqua" w:hAnsi="Book Antiqua" w:cs="Book Antiqua"/>
        </w:rPr>
        <w:t>). Additionally, at 1, 3, and 5 years, the time-varying ROC curve AUC values were 0.68, 0.66, and 0.61, respectively (</w:t>
      </w:r>
      <w:r w:rsidRPr="00BE12AC">
        <w:rPr>
          <w:rFonts w:ascii="Book Antiqua" w:eastAsia="宋体" w:hAnsi="Book Antiqua" w:cs="Book Antiqua"/>
          <w:lang w:eastAsia="zh-CN"/>
        </w:rPr>
        <w:t xml:space="preserve">Figure </w:t>
      </w:r>
      <w:r w:rsidR="002C4155">
        <w:rPr>
          <w:rFonts w:ascii="Book Antiqua" w:eastAsia="宋体" w:hAnsi="Book Antiqua" w:cs="Book Antiqua"/>
          <w:lang w:eastAsia="zh-CN"/>
        </w:rPr>
        <w:t>3</w:t>
      </w:r>
      <w:r w:rsidR="002C4155">
        <w:rPr>
          <w:rFonts w:ascii="Book Antiqua" w:eastAsia="Book Antiqua" w:hAnsi="Book Antiqua" w:cs="Book Antiqua"/>
        </w:rPr>
        <w:t>H</w:t>
      </w:r>
      <w:r w:rsidRPr="00BE12AC">
        <w:rPr>
          <w:rFonts w:ascii="Book Antiqua" w:eastAsia="Book Antiqua" w:hAnsi="Book Antiqua" w:cs="Book Antiqua"/>
        </w:rPr>
        <w:t>).</w:t>
      </w:r>
    </w:p>
    <w:p w14:paraId="6D79F184" w14:textId="77777777" w:rsidR="00600DE7" w:rsidRPr="00BE12AC" w:rsidRDefault="00600DE7" w:rsidP="00873A9B">
      <w:pPr>
        <w:spacing w:line="360" w:lineRule="auto"/>
        <w:jc w:val="both"/>
        <w:rPr>
          <w:rFonts w:ascii="Book Antiqua" w:hAnsi="Book Antiqua"/>
        </w:rPr>
      </w:pPr>
    </w:p>
    <w:p w14:paraId="7A334617" w14:textId="77777777" w:rsidR="00600DE7" w:rsidRPr="00BE12AC" w:rsidRDefault="00FC314E" w:rsidP="00873A9B">
      <w:pPr>
        <w:spacing w:line="360" w:lineRule="auto"/>
        <w:jc w:val="both"/>
        <w:rPr>
          <w:rFonts w:ascii="Book Antiqua" w:hAnsi="Book Antiqua"/>
          <w:b/>
          <w:bCs/>
          <w:i/>
          <w:iCs/>
        </w:rPr>
      </w:pPr>
      <w:r w:rsidRPr="00BE12AC">
        <w:rPr>
          <w:rFonts w:ascii="Book Antiqua" w:eastAsia="Book Antiqua" w:hAnsi="Book Antiqua" w:cs="Book Antiqua"/>
          <w:b/>
          <w:bCs/>
          <w:i/>
          <w:iCs/>
        </w:rPr>
        <w:t>Construction of miRNA corresponding to the mRNA characteristics of the AICD core prognosis model</w:t>
      </w:r>
    </w:p>
    <w:p w14:paraId="1C14EB5A" w14:textId="14232326"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In this investigation, miRNA-mRNA target prediction was conducted utilizing the miRTarBase database as of July 21, 2023. A comprehensive collection of 213 miRNAs was retrieved, after eliminating duplicate entries. Subsequently, through intersection analysis with the TCGA-BRCA and METABRIC databases, a refined set of 21 miRNAs was obtained (Table 2).</w:t>
      </w:r>
    </w:p>
    <w:p w14:paraId="69958D12" w14:textId="77777777" w:rsidR="00600DE7" w:rsidRPr="00BE12AC" w:rsidRDefault="00600DE7" w:rsidP="00873A9B">
      <w:pPr>
        <w:spacing w:line="360" w:lineRule="auto"/>
        <w:jc w:val="both"/>
        <w:rPr>
          <w:rFonts w:ascii="Book Antiqua" w:hAnsi="Book Antiqua"/>
        </w:rPr>
      </w:pPr>
    </w:p>
    <w:p w14:paraId="2951E047" w14:textId="77777777" w:rsidR="00600DE7" w:rsidRPr="00BE12AC" w:rsidRDefault="00FC314E" w:rsidP="00873A9B">
      <w:pPr>
        <w:spacing w:line="360" w:lineRule="auto"/>
        <w:jc w:val="both"/>
        <w:rPr>
          <w:rFonts w:ascii="Book Antiqua" w:hAnsi="Book Antiqua"/>
          <w:b/>
          <w:bCs/>
          <w:i/>
          <w:iCs/>
        </w:rPr>
      </w:pPr>
      <w:r w:rsidRPr="00BE12AC">
        <w:rPr>
          <w:rFonts w:ascii="Book Antiqua" w:eastAsia="Book Antiqua" w:hAnsi="Book Antiqua" w:cs="Book Antiqua"/>
          <w:b/>
          <w:bCs/>
          <w:i/>
          <w:iCs/>
        </w:rPr>
        <w:t>Construction of mRNA corresponding to the miRNA prognostic model of AICD</w:t>
      </w:r>
    </w:p>
    <w:p w14:paraId="4515DD7B" w14:textId="23081278"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A total of 1019 primary breast cancer</w:t>
      </w:r>
      <w:r w:rsidR="00894299">
        <w:rPr>
          <w:rFonts w:ascii="Book Antiqua" w:eastAsia="Book Antiqua" w:hAnsi="Book Antiqua" w:cs="Book Antiqua"/>
        </w:rPr>
        <w:t xml:space="preserve"> cases</w:t>
      </w:r>
      <w:r w:rsidRPr="00BE12AC">
        <w:rPr>
          <w:rFonts w:ascii="Book Antiqua" w:eastAsia="Book Antiqua" w:hAnsi="Book Antiqua" w:cs="Book Antiqua"/>
        </w:rPr>
        <w:t xml:space="preserve"> were extracted from the TCGA-BRCA dataset </w:t>
      </w:r>
      <w:r w:rsidRPr="00BE12AC">
        <w:rPr>
          <w:rFonts w:ascii="Book Antiqua" w:eastAsia="Book Antiqua" w:hAnsi="Book Antiqua" w:cs="Book Antiqua"/>
          <w:i/>
          <w:iCs/>
        </w:rPr>
        <w:t>via</w:t>
      </w:r>
      <w:r w:rsidRPr="00BE12AC">
        <w:rPr>
          <w:rFonts w:ascii="Book Antiqua" w:eastAsia="Book Antiqua" w:hAnsi="Book Antiqua" w:cs="Book Antiqua"/>
        </w:rPr>
        <w:t xml:space="preserve"> the UCSC Xena website, after excluding duplicate cases and those with incomplete OS data. Subsequently, these cases were randomly divided into a training set comprising 70% of the samples (</w:t>
      </w:r>
      <w:r w:rsidRPr="00BE12AC">
        <w:rPr>
          <w:rFonts w:ascii="Book Antiqua" w:eastAsia="Book Antiqua" w:hAnsi="Book Antiqua" w:cs="Book Antiqua"/>
          <w:i/>
          <w:iCs/>
        </w:rPr>
        <w:t>n</w:t>
      </w:r>
      <w:r w:rsidRPr="00BE12AC">
        <w:rPr>
          <w:rFonts w:ascii="Book Antiqua" w:eastAsia="Book Antiqua" w:hAnsi="Book Antiqua" w:cs="Book Antiqua"/>
        </w:rPr>
        <w:t xml:space="preserve"> = 714) and an internal validation set comprising 30% of the samples (</w:t>
      </w:r>
      <w:r w:rsidRPr="00BE12AC">
        <w:rPr>
          <w:rFonts w:ascii="Book Antiqua" w:eastAsia="Book Antiqua" w:hAnsi="Book Antiqua" w:cs="Book Antiqua"/>
          <w:i/>
          <w:iCs/>
        </w:rPr>
        <w:t>n</w:t>
      </w:r>
      <w:r w:rsidRPr="00BE12AC">
        <w:rPr>
          <w:rFonts w:ascii="Book Antiqua" w:eastAsia="Book Antiqua" w:hAnsi="Book Antiqua" w:cs="Book Antiqua"/>
        </w:rPr>
        <w:t xml:space="preserve"> = 305).</w:t>
      </w:r>
    </w:p>
    <w:p w14:paraId="72DEA1C7" w14:textId="06062825" w:rsidR="00600DE7" w:rsidRPr="00BE12AC" w:rsidRDefault="00FC314E" w:rsidP="006F7838">
      <w:pPr>
        <w:spacing w:line="360" w:lineRule="auto"/>
        <w:ind w:firstLineChars="112" w:firstLine="269"/>
        <w:jc w:val="both"/>
        <w:rPr>
          <w:rFonts w:ascii="Book Antiqua" w:hAnsi="Book Antiqua"/>
        </w:rPr>
      </w:pPr>
      <w:r w:rsidRPr="00BE12AC">
        <w:rPr>
          <w:rFonts w:ascii="Book Antiqua" w:eastAsia="Book Antiqua" w:hAnsi="Book Antiqua" w:cs="Book Antiqua"/>
        </w:rPr>
        <w:t xml:space="preserve">Six of the </w:t>
      </w:r>
      <w:r w:rsidR="00894299">
        <w:rPr>
          <w:rFonts w:ascii="Book Antiqua" w:eastAsia="Book Antiqua" w:hAnsi="Book Antiqua" w:cs="Book Antiqua"/>
        </w:rPr>
        <w:t>twenty-one</w:t>
      </w:r>
      <w:r w:rsidR="00894299" w:rsidRPr="00BE12AC">
        <w:rPr>
          <w:rFonts w:ascii="Book Antiqua" w:eastAsia="Book Antiqua" w:hAnsi="Book Antiqua" w:cs="Book Antiqua"/>
        </w:rPr>
        <w:t xml:space="preserve"> </w:t>
      </w:r>
      <w:r w:rsidRPr="00BE12AC">
        <w:rPr>
          <w:rFonts w:ascii="Book Antiqua" w:eastAsia="Book Antiqua" w:hAnsi="Book Antiqua" w:cs="Book Antiqua"/>
        </w:rPr>
        <w:t xml:space="preserve">miRNAs in the training group had univariate Cox proportional hazard regression analysis results with </w:t>
      </w:r>
      <w:r w:rsidRPr="00BE12AC">
        <w:rPr>
          <w:rFonts w:ascii="Book Antiqua" w:eastAsia="Book Antiqua" w:hAnsi="Book Antiqua" w:cs="Book Antiqua"/>
          <w:i/>
          <w:iCs/>
        </w:rPr>
        <w:t>P</w:t>
      </w:r>
      <w:r w:rsidRPr="00BE12AC">
        <w:rPr>
          <w:rFonts w:ascii="Book Antiqua" w:eastAsia="Book Antiqua" w:hAnsi="Book Antiqua" w:cs="Book Antiqua"/>
        </w:rPr>
        <w:t xml:space="preserve"> &lt; 0.15 (</w:t>
      </w:r>
      <w:r w:rsidRPr="00BE12AC">
        <w:rPr>
          <w:rFonts w:ascii="Book Antiqua" w:eastAsia="宋体" w:hAnsi="Book Antiqua" w:cs="Book Antiqua"/>
          <w:lang w:eastAsia="zh-CN"/>
        </w:rPr>
        <w:t xml:space="preserve">Figure </w:t>
      </w:r>
      <w:r w:rsidR="00B05E30">
        <w:rPr>
          <w:rFonts w:ascii="Book Antiqua" w:eastAsia="宋体" w:hAnsi="Book Antiqua" w:cs="Book Antiqua"/>
          <w:lang w:eastAsia="zh-CN"/>
        </w:rPr>
        <w:t>4</w:t>
      </w:r>
      <w:r w:rsidRPr="00BE12AC">
        <w:rPr>
          <w:rFonts w:ascii="Book Antiqua" w:eastAsia="Book Antiqua" w:hAnsi="Book Antiqua" w:cs="Book Antiqua"/>
        </w:rPr>
        <w:t>A). Four of the miRNAs were subsequently chosen for inclusion in the training cohort's prognostic model using LASSO-Cox regression analysis (</w:t>
      </w:r>
      <w:r w:rsidRPr="00BE12AC">
        <w:rPr>
          <w:rFonts w:ascii="Book Antiqua" w:eastAsia="宋体" w:hAnsi="Book Antiqua" w:cs="Book Antiqua"/>
          <w:lang w:eastAsia="zh-CN"/>
        </w:rPr>
        <w:t xml:space="preserve">Figure </w:t>
      </w:r>
      <w:r w:rsidR="00B05E30">
        <w:rPr>
          <w:rFonts w:ascii="Book Antiqua" w:eastAsia="宋体" w:hAnsi="Book Antiqua" w:cs="Book Antiqua"/>
          <w:lang w:eastAsia="zh-CN"/>
        </w:rPr>
        <w:t>4</w:t>
      </w:r>
      <w:r w:rsidRPr="00BE12AC">
        <w:rPr>
          <w:rFonts w:ascii="Book Antiqua" w:eastAsia="Book Antiqua" w:hAnsi="Book Antiqua" w:cs="Book Antiqua"/>
        </w:rPr>
        <w:t xml:space="preserve">B and C). The resulting risk scoring formula based on these features </w:t>
      </w:r>
      <w:r w:rsidR="00894299">
        <w:rPr>
          <w:rFonts w:ascii="Book Antiqua" w:eastAsia="Book Antiqua" w:hAnsi="Book Antiqua" w:cs="Book Antiqua"/>
        </w:rPr>
        <w:t>was</w:t>
      </w:r>
      <w:r w:rsidR="00894299" w:rsidRPr="00BE12AC">
        <w:rPr>
          <w:rFonts w:ascii="Book Antiqua" w:eastAsia="Book Antiqua" w:hAnsi="Book Antiqua" w:cs="Book Antiqua"/>
        </w:rPr>
        <w:t xml:space="preserve"> </w:t>
      </w:r>
      <w:r w:rsidRPr="00BE12AC">
        <w:rPr>
          <w:rFonts w:ascii="Book Antiqua" w:eastAsia="Book Antiqua" w:hAnsi="Book Antiqua" w:cs="Book Antiqua"/>
        </w:rPr>
        <w:t xml:space="preserve">as follows: </w:t>
      </w:r>
      <w:r w:rsidR="00894299">
        <w:rPr>
          <w:rFonts w:ascii="Book Antiqua" w:eastAsia="Book Antiqua" w:hAnsi="Book Antiqua" w:cs="Book Antiqua"/>
        </w:rPr>
        <w:t>r</w:t>
      </w:r>
      <w:r w:rsidRPr="00BE12AC">
        <w:rPr>
          <w:rFonts w:ascii="Book Antiqua" w:eastAsia="Book Antiqua" w:hAnsi="Book Antiqua" w:cs="Book Antiqua"/>
        </w:rPr>
        <w:t>isk score = 0.181 × (hsa-miR-615-3p) + 0.195 × (hsa-miR-324-3p) - 0.333 × (hsa-miR-342-3p) - 1.496 × (hsa-miR-519b-3p).</w:t>
      </w:r>
    </w:p>
    <w:p w14:paraId="61F15749" w14:textId="77777777" w:rsidR="00600DE7" w:rsidRPr="00BE12AC" w:rsidRDefault="00600DE7" w:rsidP="00873A9B">
      <w:pPr>
        <w:spacing w:line="360" w:lineRule="auto"/>
        <w:jc w:val="both"/>
        <w:rPr>
          <w:rFonts w:ascii="Book Antiqua" w:hAnsi="Book Antiqua"/>
        </w:rPr>
      </w:pPr>
    </w:p>
    <w:p w14:paraId="02AE7F70" w14:textId="353EC6EB" w:rsidR="00600DE7" w:rsidRPr="00BE12AC" w:rsidRDefault="00FC314E" w:rsidP="00873A9B">
      <w:pPr>
        <w:spacing w:line="360" w:lineRule="auto"/>
        <w:jc w:val="both"/>
        <w:rPr>
          <w:rFonts w:ascii="Book Antiqua" w:hAnsi="Book Antiqua"/>
          <w:b/>
          <w:bCs/>
          <w:i/>
          <w:iCs/>
        </w:rPr>
      </w:pPr>
      <w:r w:rsidRPr="00BE12AC">
        <w:rPr>
          <w:rFonts w:ascii="Book Antiqua" w:eastAsia="Book Antiqua" w:hAnsi="Book Antiqua" w:cs="Book Antiqua"/>
          <w:b/>
          <w:bCs/>
          <w:i/>
          <w:iCs/>
        </w:rPr>
        <w:t>miRNA profiles significantly distinguished between high- and low-risk groups</w:t>
      </w:r>
    </w:p>
    <w:p w14:paraId="7B5B9F16" w14:textId="4582E80F"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A risk score was calculated for each patient using the established formula (Figure </w:t>
      </w:r>
      <w:r w:rsidR="00B05E30">
        <w:rPr>
          <w:rFonts w:ascii="Book Antiqua" w:eastAsia="宋体" w:hAnsi="Book Antiqua" w:cs="Book Antiqua"/>
          <w:lang w:eastAsia="zh-CN"/>
        </w:rPr>
        <w:t>5</w:t>
      </w:r>
      <w:r w:rsidRPr="00BE12AC">
        <w:rPr>
          <w:rFonts w:ascii="Book Antiqua" w:eastAsia="宋体" w:hAnsi="Book Antiqua" w:cs="Book Antiqua"/>
          <w:lang w:eastAsia="zh-CN"/>
        </w:rPr>
        <w:t>A</w:t>
      </w:r>
      <w:r w:rsidRPr="00BE12AC">
        <w:rPr>
          <w:rFonts w:ascii="Book Antiqua" w:eastAsia="Book Antiqua" w:hAnsi="Book Antiqua" w:cs="Book Antiqua"/>
        </w:rPr>
        <w:t xml:space="preserve">). To evaluate the dependability of these features, KM survival analysis and bilateral log-rank tests were performed on the training and internal validation cohorts (Figure </w:t>
      </w:r>
      <w:r w:rsidR="00004CBE">
        <w:rPr>
          <w:rFonts w:ascii="Book Antiqua" w:eastAsia="Book Antiqua" w:hAnsi="Book Antiqua" w:cs="Book Antiqua"/>
        </w:rPr>
        <w:t>5</w:t>
      </w:r>
      <w:r w:rsidRPr="00BE12AC">
        <w:rPr>
          <w:rFonts w:ascii="Book Antiqua" w:eastAsia="宋体" w:hAnsi="Book Antiqua" w:cs="Book Antiqua"/>
          <w:lang w:eastAsia="zh-CN"/>
        </w:rPr>
        <w:t>B</w:t>
      </w:r>
      <w:r w:rsidRPr="00BE12AC">
        <w:rPr>
          <w:rFonts w:ascii="Book Antiqua" w:eastAsia="Book Antiqua" w:hAnsi="Book Antiqua" w:cs="Book Antiqua"/>
        </w:rPr>
        <w:t xml:space="preserve"> and </w:t>
      </w:r>
      <w:r w:rsidRPr="00BE12AC">
        <w:rPr>
          <w:rFonts w:ascii="Book Antiqua" w:eastAsia="宋体" w:hAnsi="Book Antiqua" w:cs="Book Antiqua"/>
          <w:lang w:eastAsia="zh-CN"/>
        </w:rPr>
        <w:t>C</w:t>
      </w:r>
      <w:r w:rsidRPr="00BE12AC">
        <w:rPr>
          <w:rFonts w:ascii="Book Antiqua" w:eastAsia="Book Antiqua" w:hAnsi="Book Antiqua" w:cs="Book Antiqua"/>
        </w:rPr>
        <w:t xml:space="preserve">). </w:t>
      </w:r>
      <w:r w:rsidRPr="00BE12AC">
        <w:rPr>
          <w:rFonts w:ascii="Book Antiqua" w:eastAsia="Book Antiqua" w:hAnsi="Book Antiqua" w:cs="Book Antiqua"/>
        </w:rPr>
        <w:lastRenderedPageBreak/>
        <w:t>The examination of the entire dataset cohort indicated an important distinction in OS among the high-risk and low-risk groups, with the high-risk group having a shorter OS (</w:t>
      </w:r>
      <w:r w:rsidRPr="00BE12AC">
        <w:rPr>
          <w:rFonts w:ascii="Book Antiqua" w:eastAsia="Book Antiqua" w:hAnsi="Book Antiqua" w:cs="Book Antiqua"/>
          <w:i/>
          <w:iCs/>
        </w:rPr>
        <w:t>P</w:t>
      </w:r>
      <w:r w:rsidRPr="00BE12AC">
        <w:rPr>
          <w:rFonts w:ascii="Book Antiqua" w:eastAsia="Book Antiqua" w:hAnsi="Book Antiqua" w:cs="Book Antiqua"/>
        </w:rPr>
        <w:t xml:space="preserve"> &lt;</w:t>
      </w:r>
      <w:r w:rsidR="00894299">
        <w:rPr>
          <w:rFonts w:ascii="Book Antiqua" w:eastAsia="Book Antiqua" w:hAnsi="Book Antiqua" w:cs="Book Antiqua"/>
        </w:rPr>
        <w:t xml:space="preserve"> </w:t>
      </w:r>
      <w:r w:rsidRPr="00BE12AC">
        <w:rPr>
          <w:rFonts w:ascii="Book Antiqua" w:eastAsia="Book Antiqua" w:hAnsi="Book Antiqua" w:cs="Book Antiqua"/>
        </w:rPr>
        <w:t xml:space="preserve">0.001; </w:t>
      </w:r>
      <w:r w:rsidRPr="00BE12AC">
        <w:rPr>
          <w:rFonts w:ascii="Book Antiqua" w:eastAsia="宋体" w:hAnsi="Book Antiqua" w:cs="Book Antiqua"/>
          <w:lang w:eastAsia="zh-CN"/>
        </w:rPr>
        <w:t xml:space="preserve">Figure </w:t>
      </w:r>
      <w:r w:rsidR="00B05E30">
        <w:rPr>
          <w:rFonts w:ascii="Book Antiqua" w:eastAsia="宋体" w:hAnsi="Book Antiqua" w:cs="Book Antiqua"/>
          <w:lang w:eastAsia="zh-CN"/>
        </w:rPr>
        <w:t>6</w:t>
      </w:r>
      <w:r w:rsidRPr="00BE12AC">
        <w:rPr>
          <w:rFonts w:ascii="Book Antiqua" w:eastAsia="Book Antiqua" w:hAnsi="Book Antiqua" w:cs="Book Antiqua"/>
        </w:rPr>
        <w:t>A). Furthermore, the predictive significance of this risk score was subsequently evaluated in both the test set and training set cohorts, revealing similarly substantial OS variations among the high-risk and low-risk groups (</w:t>
      </w:r>
      <w:r w:rsidRPr="00BE12AC">
        <w:rPr>
          <w:rFonts w:ascii="Book Antiqua" w:eastAsia="Book Antiqua" w:hAnsi="Book Antiqua" w:cs="Book Antiqua"/>
          <w:i/>
          <w:iCs/>
        </w:rPr>
        <w:t>P</w:t>
      </w:r>
      <w:r w:rsidRPr="00BE12AC">
        <w:rPr>
          <w:rFonts w:ascii="Book Antiqua" w:eastAsia="Book Antiqua" w:hAnsi="Book Antiqua" w:cs="Book Antiqua"/>
        </w:rPr>
        <w:t xml:space="preserve"> &lt; 0.05; </w:t>
      </w:r>
      <w:r w:rsidRPr="00BE12AC">
        <w:rPr>
          <w:rFonts w:ascii="Book Antiqua" w:eastAsia="宋体" w:hAnsi="Book Antiqua" w:cs="Book Antiqua"/>
          <w:lang w:eastAsia="zh-CN"/>
        </w:rPr>
        <w:t xml:space="preserve">Figure </w:t>
      </w:r>
      <w:r w:rsidR="00F260CD">
        <w:rPr>
          <w:rFonts w:ascii="Book Antiqua" w:eastAsia="宋体" w:hAnsi="Book Antiqua" w:cs="Book Antiqua"/>
          <w:lang w:eastAsia="zh-CN"/>
        </w:rPr>
        <w:t>6</w:t>
      </w:r>
      <w:r w:rsidRPr="00BE12AC">
        <w:rPr>
          <w:rFonts w:ascii="Book Antiqua" w:eastAsia="Book Antiqua" w:hAnsi="Book Antiqua" w:cs="Book Antiqua"/>
        </w:rPr>
        <w:t>B and C).</w:t>
      </w:r>
    </w:p>
    <w:p w14:paraId="04F30011" w14:textId="714AD3AE" w:rsidR="00600DE7" w:rsidRPr="00BE12AC" w:rsidRDefault="00FC314E" w:rsidP="006F7838">
      <w:pPr>
        <w:spacing w:line="360" w:lineRule="auto"/>
        <w:ind w:firstLineChars="112" w:firstLine="269"/>
        <w:jc w:val="both"/>
        <w:rPr>
          <w:rFonts w:ascii="Book Antiqua" w:hAnsi="Book Antiqua"/>
        </w:rPr>
      </w:pPr>
      <w:r w:rsidRPr="00BE12AC">
        <w:rPr>
          <w:rFonts w:ascii="Book Antiqua" w:eastAsia="Book Antiqua" w:hAnsi="Book Antiqua" w:cs="Book Antiqua"/>
        </w:rPr>
        <w:t>The AUC for the time-varying ROC curve for the 5-year OS in the training and internal validation groups was 0.70, 0.69</w:t>
      </w:r>
      <w:r w:rsidR="00894299">
        <w:rPr>
          <w:rFonts w:ascii="Book Antiqua" w:eastAsia="Book Antiqua" w:hAnsi="Book Antiqua" w:cs="Book Antiqua"/>
        </w:rPr>
        <w:t>,</w:t>
      </w:r>
      <w:r w:rsidRPr="00BE12AC">
        <w:rPr>
          <w:rFonts w:ascii="Book Antiqua" w:eastAsia="Book Antiqua" w:hAnsi="Book Antiqua" w:cs="Book Antiqua"/>
        </w:rPr>
        <w:t xml:space="preserve"> and 0.75, respectively (</w:t>
      </w:r>
      <w:r w:rsidRPr="00BE12AC">
        <w:rPr>
          <w:rFonts w:ascii="Book Antiqua" w:eastAsia="宋体" w:hAnsi="Book Antiqua" w:cs="Book Antiqua"/>
          <w:lang w:eastAsia="zh-CN"/>
        </w:rPr>
        <w:t xml:space="preserve">Figure </w:t>
      </w:r>
      <w:r w:rsidR="00F260CD">
        <w:rPr>
          <w:rFonts w:ascii="Book Antiqua" w:eastAsia="宋体" w:hAnsi="Book Antiqua" w:cs="Book Antiqua"/>
          <w:lang w:eastAsia="zh-CN"/>
        </w:rPr>
        <w:t>6</w:t>
      </w:r>
      <w:r w:rsidRPr="00BE12AC">
        <w:rPr>
          <w:rFonts w:ascii="Book Antiqua" w:eastAsia="Book Antiqua" w:hAnsi="Book Antiqua" w:cs="Book Antiqua"/>
        </w:rPr>
        <w:t>D-F).</w:t>
      </w:r>
    </w:p>
    <w:p w14:paraId="795633F6" w14:textId="77777777" w:rsidR="00600DE7" w:rsidRPr="00BE12AC" w:rsidRDefault="00600DE7" w:rsidP="00873A9B">
      <w:pPr>
        <w:spacing w:line="360" w:lineRule="auto"/>
        <w:jc w:val="both"/>
        <w:rPr>
          <w:rFonts w:ascii="Book Antiqua" w:hAnsi="Book Antiqua"/>
        </w:rPr>
      </w:pPr>
    </w:p>
    <w:p w14:paraId="7B144F83" w14:textId="4461F70B" w:rsidR="00600DE7" w:rsidRPr="00BE12AC" w:rsidRDefault="00FC314E" w:rsidP="00873A9B">
      <w:pPr>
        <w:spacing w:line="360" w:lineRule="auto"/>
        <w:jc w:val="both"/>
        <w:rPr>
          <w:rFonts w:ascii="Book Antiqua" w:hAnsi="Book Antiqua"/>
          <w:b/>
          <w:bCs/>
          <w:i/>
          <w:iCs/>
        </w:rPr>
      </w:pPr>
      <w:r w:rsidRPr="00BE12AC">
        <w:rPr>
          <w:rFonts w:ascii="Book Antiqua" w:eastAsia="Book Antiqua" w:hAnsi="Book Antiqua" w:cs="Book Antiqua"/>
          <w:b/>
          <w:bCs/>
          <w:i/>
          <w:iCs/>
        </w:rPr>
        <w:t xml:space="preserve">The prognostic significance of </w:t>
      </w:r>
      <w:r w:rsidR="00894299">
        <w:rPr>
          <w:rFonts w:ascii="Book Antiqua" w:eastAsia="Book Antiqua" w:hAnsi="Book Antiqua" w:cs="Book Antiqua"/>
          <w:b/>
          <w:bCs/>
          <w:i/>
          <w:iCs/>
        </w:rPr>
        <w:t>four</w:t>
      </w:r>
      <w:r w:rsidR="00894299" w:rsidRPr="00BE12AC">
        <w:rPr>
          <w:rFonts w:ascii="Book Antiqua" w:eastAsia="Book Antiqua" w:hAnsi="Book Antiqua" w:cs="Book Antiqua"/>
          <w:b/>
          <w:bCs/>
          <w:i/>
          <w:iCs/>
        </w:rPr>
        <w:t xml:space="preserve"> </w:t>
      </w:r>
      <w:r w:rsidRPr="00BE12AC">
        <w:rPr>
          <w:rFonts w:ascii="Book Antiqua" w:eastAsia="Book Antiqua" w:hAnsi="Book Antiqua" w:cs="Book Antiqua"/>
          <w:b/>
          <w:bCs/>
          <w:i/>
          <w:iCs/>
        </w:rPr>
        <w:t>miRNA features was verified in the METABRIC dataset</w:t>
      </w:r>
    </w:p>
    <w:p w14:paraId="553B4B33" w14:textId="2FF903AF" w:rsidR="00600DE7" w:rsidRPr="00BE12AC" w:rsidRDefault="00C351E4" w:rsidP="00873A9B">
      <w:pPr>
        <w:spacing w:line="360" w:lineRule="auto"/>
        <w:jc w:val="both"/>
        <w:rPr>
          <w:rFonts w:ascii="Book Antiqua" w:hAnsi="Book Antiqua"/>
        </w:rPr>
      </w:pPr>
      <w:r>
        <w:rPr>
          <w:rFonts w:ascii="Book Antiqua" w:eastAsia="Book Antiqua" w:hAnsi="Book Antiqua" w:cs="Book Antiqua"/>
        </w:rPr>
        <w:t>To</w:t>
      </w:r>
      <w:r w:rsidR="00FC314E" w:rsidRPr="00BE12AC">
        <w:rPr>
          <w:rFonts w:ascii="Book Antiqua" w:eastAsia="Book Antiqua" w:hAnsi="Book Antiqua" w:cs="Book Antiqua"/>
        </w:rPr>
        <w:t xml:space="preserve"> further validate the prognostic model, validation was conducted using the METABRIC dataset, which comprised 1282 primary breast cancer</w:t>
      </w:r>
      <w:r>
        <w:rPr>
          <w:rFonts w:ascii="Book Antiqua" w:eastAsia="Book Antiqua" w:hAnsi="Book Antiqua" w:cs="Book Antiqua"/>
        </w:rPr>
        <w:t xml:space="preserve"> cases</w:t>
      </w:r>
      <w:r w:rsidR="00FC314E" w:rsidRPr="00BE12AC">
        <w:rPr>
          <w:rFonts w:ascii="Book Antiqua" w:eastAsia="Book Antiqua" w:hAnsi="Book Antiqua" w:cs="Book Antiqua"/>
        </w:rPr>
        <w:t>. A risk score was calculated for each subject using the standard formula. The</w:t>
      </w:r>
      <w:r>
        <w:rPr>
          <w:rFonts w:ascii="Book Antiqua" w:eastAsia="Book Antiqua" w:hAnsi="Book Antiqua" w:cs="Book Antiqua"/>
        </w:rPr>
        <w:t>n the</w:t>
      </w:r>
      <w:r w:rsidR="00FC314E" w:rsidRPr="00BE12AC">
        <w:rPr>
          <w:rFonts w:ascii="Book Antiqua" w:eastAsia="Book Antiqua" w:hAnsi="Book Antiqua" w:cs="Book Antiqua"/>
        </w:rPr>
        <w:t xml:space="preserve"> reliability and performance of the model were assessed in the METABRIC dataset validation cohort (Figure </w:t>
      </w:r>
      <w:r w:rsidR="00F260CD">
        <w:rPr>
          <w:rFonts w:ascii="Book Antiqua" w:eastAsia="Book Antiqua" w:hAnsi="Book Antiqua" w:cs="Book Antiqua"/>
        </w:rPr>
        <w:t>5</w:t>
      </w:r>
      <w:r w:rsidR="00FC314E" w:rsidRPr="00BE12AC">
        <w:rPr>
          <w:rFonts w:ascii="Book Antiqua" w:eastAsia="宋体" w:hAnsi="Book Antiqua" w:cs="Book Antiqua"/>
          <w:lang w:eastAsia="zh-CN"/>
        </w:rPr>
        <w:t>D</w:t>
      </w:r>
      <w:r w:rsidR="00FC314E" w:rsidRPr="00BE12AC">
        <w:rPr>
          <w:rFonts w:ascii="Book Antiqua" w:eastAsia="Book Antiqua" w:hAnsi="Book Antiqua" w:cs="Book Antiqua"/>
        </w:rPr>
        <w:t>). Consistent with prior findings, there were substantial differences in OS among high- and low-risk groups (</w:t>
      </w:r>
      <w:r w:rsidR="00FC314E" w:rsidRPr="00BE12AC">
        <w:rPr>
          <w:rFonts w:ascii="Book Antiqua" w:eastAsia="Book Antiqua" w:hAnsi="Book Antiqua" w:cs="Book Antiqua"/>
          <w:i/>
          <w:iCs/>
        </w:rPr>
        <w:t>P</w:t>
      </w:r>
      <w:r w:rsidR="00FC314E" w:rsidRPr="00BE12AC">
        <w:rPr>
          <w:rFonts w:ascii="Book Antiqua" w:eastAsia="Book Antiqua" w:hAnsi="Book Antiqua" w:cs="Book Antiqua"/>
        </w:rPr>
        <w:t xml:space="preserve"> &lt; 0.001; </w:t>
      </w:r>
      <w:r w:rsidR="00FC314E" w:rsidRPr="00BE12AC">
        <w:rPr>
          <w:rFonts w:ascii="Book Antiqua" w:eastAsia="宋体" w:hAnsi="Book Antiqua" w:cs="Book Antiqua"/>
          <w:lang w:eastAsia="zh-CN"/>
        </w:rPr>
        <w:t xml:space="preserve">Figure </w:t>
      </w:r>
      <w:r w:rsidR="00004CBE">
        <w:rPr>
          <w:rFonts w:ascii="Book Antiqua" w:eastAsia="宋体" w:hAnsi="Book Antiqua" w:cs="Book Antiqua"/>
          <w:lang w:eastAsia="zh-CN"/>
        </w:rPr>
        <w:t>7</w:t>
      </w:r>
      <w:r w:rsidR="00FC314E" w:rsidRPr="00BE12AC">
        <w:rPr>
          <w:rFonts w:ascii="Book Antiqua" w:eastAsia="Book Antiqua" w:hAnsi="Book Antiqua" w:cs="Book Antiqua"/>
        </w:rPr>
        <w:t>A). For 1, 3, and 5 years of OS, the time-varying ROC curve AUC values were 0.59, 0.57, and 0.521, respectively (</w:t>
      </w:r>
      <w:r w:rsidR="00FC314E" w:rsidRPr="00BE12AC">
        <w:rPr>
          <w:rFonts w:ascii="Book Antiqua" w:eastAsia="宋体" w:hAnsi="Book Antiqua" w:cs="Book Antiqua"/>
          <w:lang w:eastAsia="zh-CN"/>
        </w:rPr>
        <w:t xml:space="preserve">Figure </w:t>
      </w:r>
      <w:r w:rsidR="00004CBE">
        <w:rPr>
          <w:rFonts w:ascii="Book Antiqua" w:eastAsia="宋体" w:hAnsi="Book Antiqua" w:cs="Book Antiqua"/>
          <w:lang w:eastAsia="zh-CN"/>
        </w:rPr>
        <w:t>7</w:t>
      </w:r>
      <w:r w:rsidR="00FC314E" w:rsidRPr="00BE12AC">
        <w:rPr>
          <w:rFonts w:ascii="Book Antiqua" w:eastAsia="Book Antiqua" w:hAnsi="Book Antiqua" w:cs="Book Antiqua"/>
        </w:rPr>
        <w:t>B). These results affirm the robustness and prognostic value of the model in predicting patient outcomes in an independent dataset.</w:t>
      </w:r>
    </w:p>
    <w:p w14:paraId="5EC0D20C" w14:textId="77777777" w:rsidR="00600DE7" w:rsidRPr="00BE12AC" w:rsidRDefault="00600DE7" w:rsidP="00873A9B">
      <w:pPr>
        <w:spacing w:line="360" w:lineRule="auto"/>
        <w:jc w:val="both"/>
        <w:rPr>
          <w:rFonts w:ascii="Book Antiqua" w:hAnsi="Book Antiqua"/>
        </w:rPr>
      </w:pPr>
    </w:p>
    <w:p w14:paraId="2646ED21" w14:textId="7F0F2637" w:rsidR="00600DE7" w:rsidRPr="00BE12AC" w:rsidRDefault="00FC314E" w:rsidP="00873A9B">
      <w:pPr>
        <w:spacing w:line="360" w:lineRule="auto"/>
        <w:jc w:val="both"/>
        <w:rPr>
          <w:rFonts w:ascii="Book Antiqua" w:hAnsi="Book Antiqua"/>
          <w:b/>
          <w:bCs/>
          <w:i/>
          <w:iCs/>
        </w:rPr>
      </w:pPr>
      <w:r w:rsidRPr="00BE12AC">
        <w:rPr>
          <w:rFonts w:ascii="Book Antiqua" w:eastAsia="Book Antiqua" w:hAnsi="Book Antiqua" w:cs="Book Antiqua"/>
          <w:b/>
          <w:bCs/>
          <w:i/>
          <w:iCs/>
        </w:rPr>
        <w:t>Immun</w:t>
      </w:r>
      <w:r w:rsidR="008B2EEC">
        <w:rPr>
          <w:rFonts w:ascii="Book Antiqua" w:eastAsia="Book Antiqua" w:hAnsi="Book Antiqua" w:cs="Book Antiqua"/>
          <w:b/>
          <w:bCs/>
          <w:i/>
          <w:iCs/>
        </w:rPr>
        <w:t xml:space="preserve">e </w:t>
      </w:r>
      <w:r w:rsidRPr="00BE12AC">
        <w:rPr>
          <w:rFonts w:ascii="Book Antiqua" w:eastAsia="Book Antiqua" w:hAnsi="Book Antiqua" w:cs="Book Antiqua"/>
          <w:b/>
          <w:bCs/>
          <w:i/>
          <w:iCs/>
        </w:rPr>
        <w:t>infiltration analysis of prognostic model genes</w:t>
      </w:r>
    </w:p>
    <w:p w14:paraId="0A03CB81" w14:textId="0339FD6D"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The validation of risk scores derived from the tissue-resident macrophage characteristics was confirmed by their strong correlation with the abundance of tumor-associated macrophage (TAM) subtypes within the dataset. Utilizing the CIBERSORT algorithm to estimate the immun</w:t>
      </w:r>
      <w:r w:rsidR="008B2EEC">
        <w:rPr>
          <w:rFonts w:ascii="Book Antiqua" w:eastAsia="Book Antiqua" w:hAnsi="Book Antiqua" w:cs="Book Antiqua"/>
        </w:rPr>
        <w:t>e-</w:t>
      </w:r>
      <w:r w:rsidRPr="00BE12AC">
        <w:rPr>
          <w:rFonts w:ascii="Book Antiqua" w:eastAsia="Book Antiqua" w:hAnsi="Book Antiqua" w:cs="Book Antiqua"/>
        </w:rPr>
        <w:t>infiltrating population, it was observed that macrophages exhibited a positive correlation with all four selected mRNAs. Conversely, purity cells displayed the highest negative correlation with CASP7, CCND2, and PNAX1, with consistent correlations observed between these genes and immune infiltration (</w:t>
      </w:r>
      <w:r w:rsidRPr="00BE12AC">
        <w:rPr>
          <w:rFonts w:ascii="Book Antiqua" w:eastAsia="宋体" w:hAnsi="Book Antiqua" w:cs="Book Antiqua"/>
          <w:lang w:eastAsia="zh-CN"/>
        </w:rPr>
        <w:t xml:space="preserve">Figure </w:t>
      </w:r>
      <w:r w:rsidR="00004CBE">
        <w:rPr>
          <w:rFonts w:ascii="Book Antiqua" w:eastAsia="宋体" w:hAnsi="Book Antiqua" w:cs="Book Antiqua"/>
          <w:lang w:eastAsia="zh-CN"/>
        </w:rPr>
        <w:t>8</w:t>
      </w:r>
      <w:r w:rsidRPr="00BE12AC">
        <w:rPr>
          <w:rFonts w:ascii="Book Antiqua" w:eastAsia="Book Antiqua" w:hAnsi="Book Antiqua" w:cs="Book Antiqua"/>
        </w:rPr>
        <w:t>).</w:t>
      </w:r>
    </w:p>
    <w:p w14:paraId="4EA2D666" w14:textId="77777777" w:rsidR="00600DE7" w:rsidRPr="00BE12AC" w:rsidRDefault="00600DE7" w:rsidP="00873A9B">
      <w:pPr>
        <w:spacing w:line="360" w:lineRule="auto"/>
        <w:jc w:val="both"/>
        <w:rPr>
          <w:rFonts w:ascii="Book Antiqua" w:hAnsi="Book Antiqua"/>
        </w:rPr>
      </w:pPr>
    </w:p>
    <w:p w14:paraId="5807EC48" w14:textId="62BBF25F" w:rsidR="00600DE7" w:rsidRPr="00BE12AC" w:rsidRDefault="00FC314E" w:rsidP="00873A9B">
      <w:pPr>
        <w:spacing w:line="360" w:lineRule="auto"/>
        <w:jc w:val="both"/>
        <w:rPr>
          <w:rFonts w:ascii="Book Antiqua" w:hAnsi="Book Antiqua"/>
          <w:b/>
          <w:bCs/>
          <w:i/>
          <w:iCs/>
        </w:rPr>
      </w:pPr>
      <w:r w:rsidRPr="00BE12AC">
        <w:rPr>
          <w:rFonts w:ascii="Book Antiqua" w:eastAsia="Book Antiqua" w:hAnsi="Book Antiqua" w:cs="Book Antiqua"/>
          <w:b/>
          <w:bCs/>
          <w:i/>
          <w:iCs/>
        </w:rPr>
        <w:lastRenderedPageBreak/>
        <w:t>mRNA differentiation between high</w:t>
      </w:r>
      <w:r w:rsidR="00C351E4">
        <w:rPr>
          <w:rFonts w:ascii="Book Antiqua" w:eastAsia="Book Antiqua" w:hAnsi="Book Antiqua" w:cs="Book Antiqua"/>
          <w:b/>
          <w:bCs/>
          <w:i/>
          <w:iCs/>
        </w:rPr>
        <w:t>-</w:t>
      </w:r>
      <w:r w:rsidRPr="00BE12AC">
        <w:rPr>
          <w:rFonts w:ascii="Book Antiqua" w:eastAsia="Book Antiqua" w:hAnsi="Book Antiqua" w:cs="Book Antiqua"/>
          <w:b/>
          <w:bCs/>
          <w:i/>
          <w:iCs/>
        </w:rPr>
        <w:t xml:space="preserve"> and low</w:t>
      </w:r>
      <w:r w:rsidR="00C351E4">
        <w:rPr>
          <w:rFonts w:ascii="Book Antiqua" w:eastAsia="Book Antiqua" w:hAnsi="Book Antiqua" w:cs="Book Antiqua"/>
          <w:b/>
          <w:bCs/>
          <w:i/>
          <w:iCs/>
        </w:rPr>
        <w:t>-</w:t>
      </w:r>
      <w:r w:rsidRPr="00BE12AC">
        <w:rPr>
          <w:rFonts w:ascii="Book Antiqua" w:eastAsia="Book Antiqua" w:hAnsi="Book Antiqua" w:cs="Book Antiqua"/>
          <w:b/>
          <w:bCs/>
          <w:i/>
          <w:iCs/>
        </w:rPr>
        <w:t>risk differential gene expression and gene set enrichment analysis</w:t>
      </w:r>
    </w:p>
    <w:p w14:paraId="43006F35" w14:textId="66FE9596"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As indicated in </w:t>
      </w:r>
      <w:r w:rsidRPr="00BE12AC">
        <w:rPr>
          <w:rFonts w:ascii="Book Antiqua" w:eastAsia="宋体" w:hAnsi="Book Antiqua" w:cs="Book Antiqua"/>
          <w:lang w:eastAsia="zh-CN"/>
        </w:rPr>
        <w:t xml:space="preserve">Figure </w:t>
      </w:r>
      <w:r w:rsidR="00004CBE">
        <w:rPr>
          <w:rFonts w:ascii="Book Antiqua" w:eastAsia="宋体" w:hAnsi="Book Antiqua" w:cs="Book Antiqua"/>
          <w:lang w:eastAsia="zh-CN"/>
        </w:rPr>
        <w:t>9</w:t>
      </w:r>
      <w:r w:rsidRPr="00BE12AC">
        <w:rPr>
          <w:rFonts w:ascii="Book Antiqua" w:eastAsia="Book Antiqua" w:hAnsi="Book Antiqua" w:cs="Book Antiqua"/>
        </w:rPr>
        <w:t xml:space="preserve">A below, 169 genes were upregulated and 200 genes were downregulated in the high-low-risk group compared to the low-risk group (adjusted </w:t>
      </w:r>
      <w:r w:rsidRPr="00BE12AC">
        <w:rPr>
          <w:rFonts w:ascii="Book Antiqua" w:eastAsia="Book Antiqua" w:hAnsi="Book Antiqua" w:cs="Book Antiqua"/>
          <w:i/>
          <w:iCs/>
        </w:rPr>
        <w:t>P</w:t>
      </w:r>
      <w:r w:rsidRPr="00BE12AC">
        <w:rPr>
          <w:rFonts w:ascii="Book Antiqua" w:eastAsia="Book Antiqua" w:hAnsi="Book Antiqua" w:cs="Book Antiqua"/>
        </w:rPr>
        <w:t xml:space="preserve"> </w:t>
      </w:r>
      <w:r w:rsidR="00C351E4">
        <w:rPr>
          <w:rFonts w:ascii="Book Antiqua" w:eastAsia="Book Antiqua" w:hAnsi="Book Antiqua" w:cs="Book Antiqua"/>
        </w:rPr>
        <w:t>=</w:t>
      </w:r>
      <w:r w:rsidR="00C351E4" w:rsidRPr="00BE12AC">
        <w:rPr>
          <w:rFonts w:ascii="Book Antiqua" w:eastAsia="Book Antiqua" w:hAnsi="Book Antiqua" w:cs="Book Antiqua"/>
        </w:rPr>
        <w:t xml:space="preserve"> </w:t>
      </w:r>
      <w:r w:rsidRPr="00BE12AC">
        <w:rPr>
          <w:rFonts w:ascii="Book Antiqua" w:eastAsia="Book Antiqua" w:hAnsi="Book Antiqua" w:cs="Book Antiqua"/>
        </w:rPr>
        <w:t>0.05 and |</w:t>
      </w:r>
      <w:r w:rsidR="00C351E4">
        <w:rPr>
          <w:rFonts w:ascii="Book Antiqua" w:eastAsia="Book Antiqua" w:hAnsi="Book Antiqua" w:cs="Book Antiqua"/>
        </w:rPr>
        <w:t>l</w:t>
      </w:r>
      <w:r w:rsidRPr="00BE12AC">
        <w:rPr>
          <w:rFonts w:ascii="Book Antiqua" w:eastAsia="Book Antiqua" w:hAnsi="Book Antiqua" w:cs="Book Antiqua"/>
        </w:rPr>
        <w:t xml:space="preserve">og2(fold change)| &gt; 0.5). GO was used to conduct a representative analysis of differentially expressed genes, and the </w:t>
      </w:r>
      <w:r w:rsidR="00C351E4">
        <w:rPr>
          <w:rFonts w:ascii="Book Antiqua" w:eastAsia="Book Antiqua" w:hAnsi="Book Antiqua" w:cs="Book Antiqua"/>
        </w:rPr>
        <w:t>biological process (</w:t>
      </w:r>
      <w:r w:rsidRPr="00BE12AC">
        <w:rPr>
          <w:rFonts w:ascii="Book Antiqua" w:eastAsia="Book Antiqua" w:hAnsi="Book Antiqua" w:cs="Book Antiqua"/>
        </w:rPr>
        <w:t>BP</w:t>
      </w:r>
      <w:r w:rsidR="00C351E4">
        <w:rPr>
          <w:rFonts w:ascii="Book Antiqua" w:eastAsia="Book Antiqua" w:hAnsi="Book Antiqua" w:cs="Book Antiqua"/>
        </w:rPr>
        <w:t>)</w:t>
      </w:r>
      <w:r w:rsidRPr="00BE12AC">
        <w:rPr>
          <w:rFonts w:ascii="Book Antiqua" w:eastAsia="Book Antiqua" w:hAnsi="Book Antiqua" w:cs="Book Antiqua"/>
        </w:rPr>
        <w:t xml:space="preserve"> enrichment results revealed that they were primarily involved in the control of systemic arterial blood pressure, amine transport, and neuropeptide signaling pathways (</w:t>
      </w:r>
      <w:r w:rsidRPr="00BE12AC">
        <w:rPr>
          <w:rFonts w:ascii="Book Antiqua" w:eastAsia="宋体" w:hAnsi="Book Antiqua" w:cs="Book Antiqua"/>
          <w:lang w:eastAsia="zh-CN"/>
        </w:rPr>
        <w:t>Figure 1</w:t>
      </w:r>
      <w:r w:rsidR="00004CBE">
        <w:rPr>
          <w:rFonts w:ascii="Book Antiqua" w:eastAsia="宋体" w:hAnsi="Book Antiqua" w:cs="Book Antiqua"/>
          <w:lang w:eastAsia="zh-CN"/>
        </w:rPr>
        <w:t>0</w:t>
      </w:r>
      <w:r w:rsidRPr="00BE12AC">
        <w:rPr>
          <w:rFonts w:ascii="Book Antiqua" w:eastAsia="Book Antiqua" w:hAnsi="Book Antiqua" w:cs="Book Antiqua"/>
        </w:rPr>
        <w:t xml:space="preserve">). The results of </w:t>
      </w:r>
      <w:r w:rsidR="00C351E4">
        <w:rPr>
          <w:rFonts w:ascii="Book Antiqua" w:eastAsia="Book Antiqua" w:hAnsi="Book Antiqua" w:cs="Book Antiqua"/>
        </w:rPr>
        <w:t>cellular component (</w:t>
      </w:r>
      <w:r w:rsidRPr="00BE12AC">
        <w:rPr>
          <w:rFonts w:ascii="Book Antiqua" w:eastAsia="Book Antiqua" w:hAnsi="Book Antiqua" w:cs="Book Antiqua"/>
        </w:rPr>
        <w:t>CC</w:t>
      </w:r>
      <w:r w:rsidR="00C351E4">
        <w:rPr>
          <w:rFonts w:ascii="Book Antiqua" w:eastAsia="Book Antiqua" w:hAnsi="Book Antiqua" w:cs="Book Antiqua"/>
        </w:rPr>
        <w:t>)</w:t>
      </w:r>
      <w:r w:rsidRPr="00BE12AC">
        <w:rPr>
          <w:rFonts w:ascii="Book Antiqua" w:eastAsia="Book Antiqua" w:hAnsi="Book Antiqua" w:cs="Book Antiqua"/>
        </w:rPr>
        <w:t xml:space="preserve"> enrichment showed that it was involved in terminal bouton, gamma-</w:t>
      </w:r>
      <w:r w:rsidR="00C351E4">
        <w:rPr>
          <w:rFonts w:ascii="Book Antiqua" w:eastAsia="Book Antiqua" w:hAnsi="Book Antiqua" w:cs="Book Antiqua"/>
        </w:rPr>
        <w:t>a</w:t>
      </w:r>
      <w:r w:rsidRPr="00BE12AC">
        <w:rPr>
          <w:rFonts w:ascii="Book Antiqua" w:eastAsia="Book Antiqua" w:hAnsi="Book Antiqua" w:cs="Book Antiqua"/>
        </w:rPr>
        <w:t xml:space="preserve">minobutyric </w:t>
      </w:r>
      <w:r w:rsidR="00C351E4">
        <w:rPr>
          <w:rFonts w:ascii="Book Antiqua" w:eastAsia="Book Antiqua" w:hAnsi="Book Antiqua" w:cs="Book Antiqua"/>
        </w:rPr>
        <w:t>a</w:t>
      </w:r>
      <w:r w:rsidRPr="00BE12AC">
        <w:rPr>
          <w:rFonts w:ascii="Book Antiqua" w:eastAsia="Book Antiqua" w:hAnsi="Book Antiqua" w:cs="Book Antiqua"/>
        </w:rPr>
        <w:t>cid (GABA) receptor complex</w:t>
      </w:r>
      <w:r w:rsidR="00C351E4">
        <w:rPr>
          <w:rFonts w:ascii="Book Antiqua" w:eastAsia="Book Antiqua" w:hAnsi="Book Antiqua" w:cs="Book Antiqua"/>
        </w:rPr>
        <w:t>,</w:t>
      </w:r>
      <w:r w:rsidRPr="00BE12AC">
        <w:rPr>
          <w:rFonts w:ascii="Book Antiqua" w:eastAsia="Book Antiqua" w:hAnsi="Book Antiqua" w:cs="Book Antiqua"/>
        </w:rPr>
        <w:t xml:space="preserve"> and ion channel complex. The results of </w:t>
      </w:r>
      <w:r w:rsidR="00C351E4">
        <w:rPr>
          <w:rFonts w:ascii="Book Antiqua" w:eastAsia="Book Antiqua" w:hAnsi="Book Antiqua" w:cs="Book Antiqua"/>
        </w:rPr>
        <w:t>molecular function (</w:t>
      </w:r>
      <w:r w:rsidRPr="00BE12AC">
        <w:rPr>
          <w:rFonts w:ascii="Book Antiqua" w:eastAsia="Book Antiqua" w:hAnsi="Book Antiqua" w:cs="Book Antiqua"/>
        </w:rPr>
        <w:t>MF</w:t>
      </w:r>
      <w:r w:rsidR="00C351E4">
        <w:rPr>
          <w:rFonts w:ascii="Book Antiqua" w:eastAsia="Book Antiqua" w:hAnsi="Book Antiqua" w:cs="Book Antiqua"/>
        </w:rPr>
        <w:t>)</w:t>
      </w:r>
      <w:r w:rsidRPr="00BE12AC">
        <w:rPr>
          <w:rFonts w:ascii="Book Antiqua" w:eastAsia="Book Antiqua" w:hAnsi="Book Antiqua" w:cs="Book Antiqua"/>
        </w:rPr>
        <w:t xml:space="preserve"> enrichment showed that it was involved in neuropeptide hormone activity and neuropeptide receptor binding. The KEGG pathway gene set enrichment analysis revealed that it was mostly engaged in </w:t>
      </w:r>
      <w:r w:rsidR="00C351E4">
        <w:rPr>
          <w:rFonts w:ascii="Book Antiqua" w:eastAsia="Book Antiqua" w:hAnsi="Book Antiqua" w:cs="Book Antiqua"/>
        </w:rPr>
        <w:t>n</w:t>
      </w:r>
      <w:r w:rsidRPr="00BE12AC">
        <w:rPr>
          <w:rFonts w:ascii="Book Antiqua" w:eastAsia="Book Antiqua" w:hAnsi="Book Antiqua" w:cs="Book Antiqua"/>
        </w:rPr>
        <w:t xml:space="preserve">euroactive ligand receptor interaction, </w:t>
      </w:r>
      <w:r w:rsidR="00C351E4">
        <w:rPr>
          <w:rFonts w:ascii="Book Antiqua" w:eastAsia="Book Antiqua" w:hAnsi="Book Antiqua" w:cs="Book Antiqua"/>
        </w:rPr>
        <w:t>r</w:t>
      </w:r>
      <w:r w:rsidRPr="00BE12AC">
        <w:rPr>
          <w:rFonts w:ascii="Book Antiqua" w:eastAsia="Book Antiqua" w:hAnsi="Book Antiqua" w:cs="Book Antiqua"/>
        </w:rPr>
        <w:t xml:space="preserve">etinol metabolism, </w:t>
      </w:r>
      <w:r w:rsidR="00C351E4">
        <w:rPr>
          <w:rFonts w:ascii="Book Antiqua" w:eastAsia="Book Antiqua" w:hAnsi="Book Antiqua" w:cs="Book Antiqua"/>
        </w:rPr>
        <w:t>d</w:t>
      </w:r>
      <w:r w:rsidRPr="00BE12AC">
        <w:rPr>
          <w:rFonts w:ascii="Book Antiqua" w:eastAsia="Book Antiqua" w:hAnsi="Book Antiqua" w:cs="Book Antiqua"/>
        </w:rPr>
        <w:t xml:space="preserve">rug metabolism cytochrome P450, and xenobiotic metabolism </w:t>
      </w:r>
      <w:r w:rsidRPr="00BE12AC">
        <w:rPr>
          <w:rFonts w:ascii="Book Antiqua" w:eastAsia="Book Antiqua" w:hAnsi="Book Antiqua" w:cs="Book Antiqua"/>
          <w:i/>
          <w:iCs/>
        </w:rPr>
        <w:t>via</w:t>
      </w:r>
      <w:r w:rsidRPr="00BE12AC">
        <w:rPr>
          <w:rFonts w:ascii="Book Antiqua" w:eastAsia="Book Antiqua" w:hAnsi="Book Antiqua" w:cs="Book Antiqua"/>
        </w:rPr>
        <w:t xml:space="preserve"> cytochrome P450.</w:t>
      </w:r>
    </w:p>
    <w:p w14:paraId="02B7110F" w14:textId="77777777" w:rsidR="00600DE7" w:rsidRPr="00BE12AC" w:rsidRDefault="00600DE7" w:rsidP="00873A9B">
      <w:pPr>
        <w:spacing w:line="360" w:lineRule="auto"/>
        <w:jc w:val="both"/>
        <w:rPr>
          <w:rFonts w:ascii="Book Antiqua" w:hAnsi="Book Antiqua"/>
        </w:rPr>
      </w:pPr>
    </w:p>
    <w:p w14:paraId="441626E5"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i/>
          <w:iCs/>
        </w:rPr>
        <w:t>miRNA differentiating high-low risk differential gene expression and gene set enrichment analysis</w:t>
      </w:r>
    </w:p>
    <w:p w14:paraId="20DEECBF" w14:textId="4774E0BE"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In contrast with the low-risk group, as shown in </w:t>
      </w:r>
      <w:r w:rsidRPr="00BE12AC">
        <w:rPr>
          <w:rFonts w:ascii="Book Antiqua" w:eastAsia="宋体" w:hAnsi="Book Antiqua" w:cs="Book Antiqua"/>
          <w:lang w:eastAsia="zh-CN"/>
        </w:rPr>
        <w:t xml:space="preserve">Figure </w:t>
      </w:r>
      <w:r w:rsidR="00004CBE">
        <w:rPr>
          <w:rFonts w:ascii="Book Antiqua" w:eastAsia="宋体" w:hAnsi="Book Antiqua" w:cs="Book Antiqua"/>
          <w:lang w:eastAsia="zh-CN"/>
        </w:rPr>
        <w:t>9</w:t>
      </w:r>
      <w:r w:rsidRPr="00BE12AC">
        <w:rPr>
          <w:rFonts w:ascii="Book Antiqua" w:eastAsia="Book Antiqua" w:hAnsi="Book Antiqua" w:cs="Book Antiqua"/>
        </w:rPr>
        <w:t xml:space="preserve">B below, differential gene expression revealed that 113 genes were upregulated, and 74 genes were downregulated (adjusted </w:t>
      </w:r>
      <w:r w:rsidRPr="00BE12AC">
        <w:rPr>
          <w:rFonts w:ascii="Book Antiqua" w:eastAsia="Book Antiqua" w:hAnsi="Book Antiqua" w:cs="Book Antiqua"/>
          <w:i/>
          <w:iCs/>
        </w:rPr>
        <w:t>P</w:t>
      </w:r>
      <w:r w:rsidRPr="00BE12AC">
        <w:rPr>
          <w:rFonts w:ascii="Book Antiqua" w:eastAsia="Book Antiqua" w:hAnsi="Book Antiqua" w:cs="Book Antiqua"/>
        </w:rPr>
        <w:t xml:space="preserve"> </w:t>
      </w:r>
      <w:r w:rsidR="00C351E4">
        <w:rPr>
          <w:rFonts w:ascii="Book Antiqua" w:eastAsia="Book Antiqua" w:hAnsi="Book Antiqua" w:cs="Book Antiqua"/>
        </w:rPr>
        <w:t xml:space="preserve">= </w:t>
      </w:r>
      <w:r w:rsidRPr="00BE12AC">
        <w:rPr>
          <w:rFonts w:ascii="Book Antiqua" w:eastAsia="Book Antiqua" w:hAnsi="Book Antiqua" w:cs="Book Antiqua"/>
        </w:rPr>
        <w:t>0.05 and |</w:t>
      </w:r>
      <w:r w:rsidR="00C351E4">
        <w:rPr>
          <w:rFonts w:ascii="Book Antiqua" w:eastAsia="Book Antiqua" w:hAnsi="Book Antiqua" w:cs="Book Antiqua"/>
        </w:rPr>
        <w:t>l</w:t>
      </w:r>
      <w:r w:rsidRPr="00BE12AC">
        <w:rPr>
          <w:rFonts w:ascii="Book Antiqua" w:eastAsia="Book Antiqua" w:hAnsi="Book Antiqua" w:cs="Book Antiqua"/>
        </w:rPr>
        <w:t xml:space="preserve">og2(fold change)| &gt; 0.5). GO was used to conduct a representative analysis of differentially expressed genes. The BP enrichment results showed that they were involved in antimicrobial humoral response, regulation of membrane potential, and neuron fate commitment. Meanwhile, CC enrichment results showed that it was mainly involved in GABA receptor complex, synaptic membrane, and postsynaptic membrane, while MF enrichment was shown to be the main participant in extracellular ligand-gated ion channel activity, neurotransmitter receptor activity, and transmitter-gated ion channel activity. Lastly, the KEGG pathway gene set enrichment study revealed that it was mostly involved in </w:t>
      </w:r>
      <w:r w:rsidR="00C351E4">
        <w:rPr>
          <w:rFonts w:ascii="Book Antiqua" w:eastAsia="Book Antiqua" w:hAnsi="Book Antiqua" w:cs="Book Antiqua"/>
        </w:rPr>
        <w:t>n</w:t>
      </w:r>
      <w:r w:rsidRPr="00BE12AC">
        <w:rPr>
          <w:rFonts w:ascii="Book Antiqua" w:eastAsia="Book Antiqua" w:hAnsi="Book Antiqua" w:cs="Book Antiqua"/>
        </w:rPr>
        <w:t xml:space="preserve">euroactive ligand receptor interaction, </w:t>
      </w:r>
      <w:r w:rsidR="00C351E4">
        <w:rPr>
          <w:rFonts w:ascii="Book Antiqua" w:eastAsia="Book Antiqua" w:hAnsi="Book Antiqua" w:cs="Book Antiqua"/>
        </w:rPr>
        <w:t>ni</w:t>
      </w:r>
      <w:r w:rsidRPr="00BE12AC">
        <w:rPr>
          <w:rFonts w:ascii="Book Antiqua" w:eastAsia="Book Antiqua" w:hAnsi="Book Antiqua" w:cs="Book Antiqua"/>
        </w:rPr>
        <w:t xml:space="preserve">cotine addiction, and </w:t>
      </w:r>
      <w:r w:rsidR="00C351E4">
        <w:rPr>
          <w:rFonts w:ascii="Book Antiqua" w:eastAsia="Book Antiqua" w:hAnsi="Book Antiqua" w:cs="Book Antiqua"/>
        </w:rPr>
        <w:t>m</w:t>
      </w:r>
      <w:r w:rsidRPr="00BE12AC">
        <w:rPr>
          <w:rFonts w:ascii="Book Antiqua" w:eastAsia="Book Antiqua" w:hAnsi="Book Antiqua" w:cs="Book Antiqua"/>
        </w:rPr>
        <w:t>orphine addiction (</w:t>
      </w:r>
      <w:r w:rsidRPr="00BE12AC">
        <w:rPr>
          <w:rFonts w:ascii="Book Antiqua" w:eastAsia="宋体" w:hAnsi="Book Antiqua" w:cs="Book Antiqua"/>
          <w:lang w:eastAsia="zh-CN"/>
        </w:rPr>
        <w:t>Figure 1</w:t>
      </w:r>
      <w:r w:rsidR="00004CBE">
        <w:rPr>
          <w:rFonts w:ascii="Book Antiqua" w:eastAsia="宋体" w:hAnsi="Book Antiqua" w:cs="Book Antiqua"/>
          <w:lang w:eastAsia="zh-CN"/>
        </w:rPr>
        <w:t>1</w:t>
      </w:r>
      <w:r w:rsidRPr="00BE12AC">
        <w:rPr>
          <w:rFonts w:ascii="Book Antiqua" w:eastAsia="Book Antiqua" w:hAnsi="Book Antiqua" w:cs="Book Antiqua"/>
        </w:rPr>
        <w:t>).</w:t>
      </w:r>
    </w:p>
    <w:p w14:paraId="232D25CB" w14:textId="77777777" w:rsidR="00600DE7" w:rsidRPr="00BE12AC" w:rsidRDefault="00600DE7" w:rsidP="00873A9B">
      <w:pPr>
        <w:spacing w:line="360" w:lineRule="auto"/>
        <w:jc w:val="both"/>
        <w:rPr>
          <w:rFonts w:ascii="Book Antiqua" w:hAnsi="Book Antiqua"/>
        </w:rPr>
      </w:pPr>
    </w:p>
    <w:p w14:paraId="160F9E63" w14:textId="69DEA23A"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i/>
          <w:iCs/>
        </w:rPr>
        <w:t>Immun</w:t>
      </w:r>
      <w:r w:rsidR="00C351E4">
        <w:rPr>
          <w:rFonts w:ascii="Book Antiqua" w:eastAsia="Book Antiqua" w:hAnsi="Book Antiqua" w:cs="Book Antiqua"/>
          <w:b/>
          <w:bCs/>
          <w:i/>
          <w:iCs/>
        </w:rPr>
        <w:t xml:space="preserve">e </w:t>
      </w:r>
      <w:r w:rsidRPr="00BE12AC">
        <w:rPr>
          <w:rFonts w:ascii="Book Antiqua" w:eastAsia="Book Antiqua" w:hAnsi="Book Antiqua" w:cs="Book Antiqua"/>
          <w:b/>
          <w:bCs/>
          <w:i/>
          <w:iCs/>
        </w:rPr>
        <w:t>infiltration analysis of risk scores in different breast cancer subtypes</w:t>
      </w:r>
    </w:p>
    <w:p w14:paraId="703BF3EF" w14:textId="2E91F230"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Within the immun</w:t>
      </w:r>
      <w:r w:rsidR="00C351E4">
        <w:rPr>
          <w:rFonts w:ascii="Book Antiqua" w:eastAsia="Book Antiqua" w:hAnsi="Book Antiqua" w:cs="Book Antiqua"/>
        </w:rPr>
        <w:t>e-</w:t>
      </w:r>
      <w:r w:rsidRPr="00BE12AC">
        <w:rPr>
          <w:rFonts w:ascii="Book Antiqua" w:eastAsia="Book Antiqua" w:hAnsi="Book Antiqua" w:cs="Book Antiqua"/>
        </w:rPr>
        <w:t>infiltrating population estimated by the CIBERSORT algorithm, B cells, CD4+ T cells, CD8+ T cells, endothelial cells, and macrophages exhibited a consistent negative correlation with the risk score across all breast cancer types (</w:t>
      </w:r>
      <w:r w:rsidRPr="00BE12AC">
        <w:rPr>
          <w:rFonts w:ascii="Book Antiqua" w:eastAsia="宋体" w:hAnsi="Book Antiqua" w:cs="Book Antiqua"/>
          <w:lang w:eastAsia="zh-CN"/>
        </w:rPr>
        <w:t>Figure 1</w:t>
      </w:r>
      <w:r w:rsidR="00004CBE">
        <w:rPr>
          <w:rFonts w:ascii="Book Antiqua" w:eastAsia="宋体" w:hAnsi="Book Antiqua" w:cs="Book Antiqua"/>
          <w:lang w:eastAsia="zh-CN"/>
        </w:rPr>
        <w:t>2</w:t>
      </w:r>
      <w:r w:rsidRPr="00BE12AC">
        <w:rPr>
          <w:rFonts w:ascii="Book Antiqua" w:eastAsia="Book Antiqua" w:hAnsi="Book Antiqua" w:cs="Book Antiqua"/>
        </w:rPr>
        <w:t xml:space="preserve">). Furthermore, the </w:t>
      </w:r>
      <w:r w:rsidR="00C351E4" w:rsidRPr="006F7838">
        <w:rPr>
          <w:rFonts w:ascii="Book Antiqua" w:eastAsia="Book Antiqua" w:hAnsi="Book Antiqua" w:cs="Book Antiqua"/>
          <w:lang w:val="en"/>
        </w:rPr>
        <w:t>human epidermal growth factor receptor 2</w:t>
      </w:r>
      <w:r w:rsidR="00C351E4" w:rsidRPr="00C351E4">
        <w:rPr>
          <w:rFonts w:ascii="Book Antiqua" w:eastAsia="Book Antiqua" w:hAnsi="Book Antiqua" w:cs="Book Antiqua"/>
          <w:lang w:val="en"/>
        </w:rPr>
        <w:t xml:space="preserve"> </w:t>
      </w:r>
      <w:r w:rsidR="00C351E4">
        <w:rPr>
          <w:rFonts w:ascii="Book Antiqua" w:eastAsia="Book Antiqua" w:hAnsi="Book Antiqua" w:cs="Book Antiqua"/>
        </w:rPr>
        <w:t>(</w:t>
      </w:r>
      <w:r w:rsidRPr="00BE12AC">
        <w:rPr>
          <w:rFonts w:ascii="Book Antiqua" w:eastAsia="Book Antiqua" w:hAnsi="Book Antiqua" w:cs="Book Antiqua"/>
        </w:rPr>
        <w:t>HER2</w:t>
      </w:r>
      <w:r w:rsidR="00C351E4">
        <w:rPr>
          <w:rFonts w:ascii="Book Antiqua" w:eastAsia="Book Antiqua" w:hAnsi="Book Antiqua" w:cs="Book Antiqua"/>
        </w:rPr>
        <w:t>)</w:t>
      </w:r>
      <w:r w:rsidRPr="00BE12AC">
        <w:rPr>
          <w:rFonts w:ascii="Book Antiqua" w:eastAsia="Book Antiqua" w:hAnsi="Book Antiqua" w:cs="Book Antiqua"/>
        </w:rPr>
        <w:t xml:space="preserve">-enriched subtype showed a negative correlation with risk scores. Conversely, a positive connection was found between the risk score and </w:t>
      </w:r>
      <w:r w:rsidR="00C351E4">
        <w:rPr>
          <w:rFonts w:ascii="Book Antiqua" w:eastAsia="Book Antiqua" w:hAnsi="Book Antiqua" w:cs="Book Antiqua"/>
        </w:rPr>
        <w:t>n</w:t>
      </w:r>
      <w:r w:rsidRPr="00BE12AC">
        <w:rPr>
          <w:rFonts w:ascii="Book Antiqua" w:eastAsia="Book Antiqua" w:hAnsi="Book Antiqua" w:cs="Book Antiqua"/>
        </w:rPr>
        <w:t xml:space="preserve">atural </w:t>
      </w:r>
      <w:r w:rsidR="00C351E4">
        <w:rPr>
          <w:rFonts w:ascii="Book Antiqua" w:eastAsia="Book Antiqua" w:hAnsi="Book Antiqua" w:cs="Book Antiqua"/>
        </w:rPr>
        <w:t>k</w:t>
      </w:r>
      <w:r w:rsidRPr="00BE12AC">
        <w:rPr>
          <w:rFonts w:ascii="Book Antiqua" w:eastAsia="Book Antiqua" w:hAnsi="Book Antiqua" w:cs="Book Antiqua"/>
        </w:rPr>
        <w:t xml:space="preserve">iller (NK) cell </w:t>
      </w:r>
      <w:r w:rsidR="00492876" w:rsidRPr="00BE12AC">
        <w:rPr>
          <w:rFonts w:ascii="Book Antiqua" w:eastAsia="Book Antiqua" w:hAnsi="Book Antiqua" w:cs="Book Antiqua"/>
        </w:rPr>
        <w:t>infiltration</w:t>
      </w:r>
      <w:r w:rsidRPr="00BE12AC">
        <w:rPr>
          <w:rFonts w:ascii="Book Antiqua" w:eastAsia="Book Antiqua" w:hAnsi="Book Antiqua" w:cs="Book Antiqua"/>
        </w:rPr>
        <w:t xml:space="preserve"> in the H</w:t>
      </w:r>
      <w:r w:rsidR="00C351E4">
        <w:rPr>
          <w:rFonts w:ascii="Book Antiqua" w:eastAsia="Book Antiqua" w:hAnsi="Book Antiqua" w:cs="Book Antiqua"/>
        </w:rPr>
        <w:t>ER</w:t>
      </w:r>
      <w:r w:rsidRPr="00BE12AC">
        <w:rPr>
          <w:rFonts w:ascii="Book Antiqua" w:eastAsia="Book Antiqua" w:hAnsi="Book Antiqua" w:cs="Book Antiqua"/>
        </w:rPr>
        <w:t>2</w:t>
      </w:r>
      <w:r w:rsidR="00C351E4">
        <w:rPr>
          <w:rFonts w:ascii="Book Antiqua" w:eastAsia="Book Antiqua" w:hAnsi="Book Antiqua" w:cs="Book Antiqua"/>
        </w:rPr>
        <w:t>-positive</w:t>
      </w:r>
      <w:r w:rsidRPr="00BE12AC">
        <w:rPr>
          <w:rFonts w:ascii="Book Antiqua" w:eastAsia="Book Antiqua" w:hAnsi="Book Antiqua" w:cs="Book Antiqua"/>
        </w:rPr>
        <w:t xml:space="preserve">, </w:t>
      </w:r>
      <w:r w:rsidR="00C351E4">
        <w:rPr>
          <w:rFonts w:ascii="Book Antiqua" w:eastAsia="Book Antiqua" w:hAnsi="Book Antiqua" w:cs="Book Antiqua"/>
        </w:rPr>
        <w:t>progesterone receptor</w:t>
      </w:r>
      <w:r w:rsidR="006F41A9">
        <w:rPr>
          <w:rFonts w:ascii="Book Antiqua" w:eastAsia="Book Antiqua" w:hAnsi="Book Antiqua" w:cs="Book Antiqua"/>
        </w:rPr>
        <w:t xml:space="preserve"> (PR)</w:t>
      </w:r>
      <w:r w:rsidR="00C351E4">
        <w:rPr>
          <w:rFonts w:ascii="Book Antiqua" w:eastAsia="Book Antiqua" w:hAnsi="Book Antiqua" w:cs="Book Antiqua"/>
        </w:rPr>
        <w:t>-positive</w:t>
      </w:r>
      <w:r w:rsidRPr="00BE12AC">
        <w:rPr>
          <w:rFonts w:ascii="Book Antiqua" w:eastAsia="Book Antiqua" w:hAnsi="Book Antiqua" w:cs="Book Antiqua"/>
        </w:rPr>
        <w:t xml:space="preserve">, </w:t>
      </w:r>
      <w:r w:rsidR="00C351E4">
        <w:rPr>
          <w:rFonts w:ascii="Book Antiqua" w:eastAsia="Book Antiqua" w:hAnsi="Book Antiqua" w:cs="Book Antiqua"/>
        </w:rPr>
        <w:t>l</w:t>
      </w:r>
      <w:r w:rsidRPr="00BE12AC">
        <w:rPr>
          <w:rFonts w:ascii="Book Antiqua" w:eastAsia="Book Antiqua" w:hAnsi="Book Antiqua" w:cs="Book Antiqua"/>
        </w:rPr>
        <w:t xml:space="preserve">uminal A, and </w:t>
      </w:r>
      <w:r w:rsidR="00C351E4">
        <w:rPr>
          <w:rFonts w:ascii="Book Antiqua" w:eastAsia="Book Antiqua" w:hAnsi="Book Antiqua" w:cs="Book Antiqua"/>
        </w:rPr>
        <w:t>n</w:t>
      </w:r>
      <w:r w:rsidRPr="00BE12AC">
        <w:rPr>
          <w:rFonts w:ascii="Book Antiqua" w:eastAsia="Book Antiqua" w:hAnsi="Book Antiqua" w:cs="Book Antiqua"/>
        </w:rPr>
        <w:t>ormal-like subtypes. These results suggest that the risk score derived from the prognostic model is associated with distinct immune cell populations, indicating potential immunological implications for breast cancer progression and prognosis.</w:t>
      </w:r>
    </w:p>
    <w:p w14:paraId="470A0BF7" w14:textId="77777777" w:rsidR="00600DE7" w:rsidRPr="00BE12AC" w:rsidRDefault="00600DE7" w:rsidP="00873A9B">
      <w:pPr>
        <w:spacing w:line="360" w:lineRule="auto"/>
        <w:jc w:val="both"/>
        <w:rPr>
          <w:rFonts w:ascii="Book Antiqua" w:hAnsi="Book Antiqua"/>
        </w:rPr>
      </w:pPr>
    </w:p>
    <w:p w14:paraId="6779CB2F"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caps/>
          <w:u w:val="single"/>
        </w:rPr>
        <w:t>DISCUSSION</w:t>
      </w:r>
    </w:p>
    <w:p w14:paraId="4674BCB7" w14:textId="62405285"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The subsets of cells that exhibited higher sensitivity to ATP expressed a greater number of P2X7Rs compared to the subsets of cells that were less sensitive. Consequently, interfering with the P2X7R reduced AICD, showing that it performs a significant role in this process. The primary mechanism of AICD appears to be necrosis, as evidenced by cellular atrophy with membrane permeabilization. However, there was no evidence of apoptosis, as defined by phosphatidylserine externalization and </w:t>
      </w:r>
      <w:r w:rsidR="00273B37">
        <w:rPr>
          <w:rFonts w:ascii="Book Antiqua" w:eastAsia="Book Antiqua" w:hAnsi="Book Antiqua" w:cs="Book Antiqua"/>
        </w:rPr>
        <w:t>CASP</w:t>
      </w:r>
      <w:r w:rsidR="00273B37" w:rsidRPr="00BE12AC">
        <w:rPr>
          <w:rFonts w:ascii="Book Antiqua" w:eastAsia="Book Antiqua" w:hAnsi="Book Antiqua" w:cs="Book Antiqua"/>
        </w:rPr>
        <w:t xml:space="preserve"> </w:t>
      </w:r>
      <w:r w:rsidRPr="00BE12AC">
        <w:rPr>
          <w:rFonts w:ascii="Book Antiqua" w:eastAsia="Book Antiqua" w:hAnsi="Book Antiqua" w:cs="Book Antiqua"/>
        </w:rPr>
        <w:t>activity</w:t>
      </w:r>
      <w:r w:rsidRPr="00BE12AC">
        <w:rPr>
          <w:rFonts w:ascii="Book Antiqua" w:eastAsia="Book Antiqua" w:hAnsi="Book Antiqua" w:cs="Book Antiqua"/>
          <w:vertAlign w:val="superscript"/>
        </w:rPr>
        <w:t>[22]</w:t>
      </w:r>
      <w:r w:rsidRPr="00BE12AC">
        <w:rPr>
          <w:rFonts w:ascii="Book Antiqua" w:eastAsia="Book Antiqua" w:hAnsi="Book Antiqua" w:cs="Book Antiqua"/>
        </w:rPr>
        <w:t>. These findings highlight the importance of P2X7 in AICD and cast light on its role in tumor growth. In many inflammatory conditions, elevated levels of extracellular ATP function as mediators to activate the P2X7R. However, a distinct study demonstrated that ATP treatment induced apoptosis and autophagy-mediated cell death in the HCT8 cell line, rather than necrosis</w:t>
      </w:r>
      <w:r w:rsidRPr="00BE12AC">
        <w:rPr>
          <w:rFonts w:ascii="Book Antiqua" w:eastAsia="Book Antiqua" w:hAnsi="Book Antiqua" w:cs="Book Antiqua"/>
          <w:vertAlign w:val="superscript"/>
        </w:rPr>
        <w:t>[1]</w:t>
      </w:r>
      <w:r w:rsidRPr="00BE12AC">
        <w:rPr>
          <w:rFonts w:ascii="Book Antiqua" w:eastAsia="Book Antiqua" w:hAnsi="Book Antiqua" w:cs="Book Antiqua"/>
        </w:rPr>
        <w:t xml:space="preserve">. In healthy human intestinal epithelial tissue explants, extracellular ATP may be the cause of </w:t>
      </w:r>
      <w:r w:rsidR="00C351E4">
        <w:rPr>
          <w:rFonts w:ascii="Book Antiqua" w:eastAsia="Book Antiqua" w:hAnsi="Book Antiqua" w:cs="Book Antiqua"/>
        </w:rPr>
        <w:t>CASP3</w:t>
      </w:r>
      <w:r w:rsidRPr="00BE12AC">
        <w:rPr>
          <w:rFonts w:ascii="Book Antiqua" w:eastAsia="Book Antiqua" w:hAnsi="Book Antiqua" w:cs="Book Antiqua"/>
        </w:rPr>
        <w:t xml:space="preserve"> activation and apoptosis, which would explain the underlying process. This further stresses that AICD is a multifaceted process influenced by cell type and the specific microenvironment.</w:t>
      </w:r>
    </w:p>
    <w:p w14:paraId="462AAF07" w14:textId="58AA9DD8"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In modern society, breast cancer has become a major public health concern. Under the impact of different carcinogenic causes, the pathophysiology of this illness involves the </w:t>
      </w:r>
      <w:r w:rsidRPr="00BE12AC">
        <w:rPr>
          <w:rFonts w:ascii="Book Antiqua" w:eastAsia="Book Antiqua" w:hAnsi="Book Antiqua" w:cs="Book Antiqua"/>
        </w:rPr>
        <w:lastRenderedPageBreak/>
        <w:t>unchecked proliferation of mammary epithelial cells, which is linked to cell death processes. Several classical modes of cell death, such as autophagy, apoptosis, and necrosis, as well as iron and copper death, have been extensively studied. AICD exhibits a degree of specificity while also displaying interplay with other cell death pathways. This phenomenon may result in the release and disturbance of iron and copper ions, consequently activating core pathways of autophagy, apoptosis, and necrosis, thereby augmenting the activation and execution of other cell death pathways. In turn, activation of cell death pathways such autophagy, apoptosis, and necrosis may alter ATP release and metabolic processes, influencing the outcome of AICD. However, the precise processes behind the key role of AICD are still unknown.</w:t>
      </w:r>
    </w:p>
    <w:p w14:paraId="331B3ED8" w14:textId="2D2A3604"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Hence, this paper proposes a hypothesis positing that AICD serves as a fundamental logic of cell demise, contributing to a deeper comprehension of disease treatment and progression. To support this hypothesis, a comprehensive review of relevant literature was carried out, focusing on the basic mechanisms and core genes involved in AICD. Additionally, functional mechanisms are explored within the context of breast cancer. This research endeavor shed</w:t>
      </w:r>
      <w:r w:rsidR="00D02407">
        <w:rPr>
          <w:rFonts w:ascii="Book Antiqua" w:eastAsia="Book Antiqua" w:hAnsi="Book Antiqua" w:cs="Book Antiqua"/>
        </w:rPr>
        <w:t>s</w:t>
      </w:r>
      <w:r w:rsidRPr="00BE12AC">
        <w:rPr>
          <w:rFonts w:ascii="Book Antiqua" w:eastAsia="Book Antiqua" w:hAnsi="Book Antiqua" w:cs="Book Antiqua"/>
        </w:rPr>
        <w:t xml:space="preserve"> light on the intricacies of AICD and its potential implications in breast cancer management.</w:t>
      </w:r>
    </w:p>
    <w:p w14:paraId="2C0CF24A" w14:textId="36C55053" w:rsidR="00600DE7"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There is limited literature on the association between AICD and breast cancer, but research on the pivotal signaling receptor P2X7 in this context is more extensive. P2X7 is a purinergic ligand-gated ion channel receptor that functions as a non-selective cationic channel that is activated by ATP. This receptor is essential for signaling, growth regulation, cytokine release, and tumor cell formation</w:t>
      </w:r>
      <w:r w:rsidRPr="00BE12AC">
        <w:rPr>
          <w:rFonts w:ascii="Book Antiqua" w:eastAsia="Book Antiqua" w:hAnsi="Book Antiqua" w:cs="Book Antiqua"/>
          <w:vertAlign w:val="superscript"/>
        </w:rPr>
        <w:t>[9]</w:t>
      </w:r>
      <w:r w:rsidRPr="00BE12AC">
        <w:rPr>
          <w:rFonts w:ascii="Book Antiqua" w:eastAsia="Book Antiqua" w:hAnsi="Book Antiqua" w:cs="Book Antiqua"/>
        </w:rPr>
        <w:t xml:space="preserve">. Recent research has demonstrated that overexpression of the P2X7R in breast cancer controls the </w:t>
      </w:r>
      <w:r w:rsidR="008E34AF">
        <w:rPr>
          <w:rFonts w:ascii="Book Antiqua" w:eastAsia="Book Antiqua" w:hAnsi="Book Antiqua" w:cs="Book Antiqua"/>
        </w:rPr>
        <w:t>v</w:t>
      </w:r>
      <w:r w:rsidRPr="00BE12AC">
        <w:rPr>
          <w:rFonts w:ascii="Book Antiqua" w:eastAsia="Book Antiqua" w:hAnsi="Book Antiqua" w:cs="Book Antiqua"/>
        </w:rPr>
        <w:t>-</w:t>
      </w:r>
      <w:r w:rsidR="008E34AF">
        <w:rPr>
          <w:rFonts w:ascii="Book Antiqua" w:eastAsia="Book Antiqua" w:hAnsi="Book Antiqua" w:cs="Book Antiqua"/>
        </w:rPr>
        <w:t>a</w:t>
      </w:r>
      <w:r w:rsidRPr="00BE12AC">
        <w:rPr>
          <w:rFonts w:ascii="Book Antiqua" w:eastAsia="Book Antiqua" w:hAnsi="Book Antiqua" w:cs="Book Antiqua"/>
        </w:rPr>
        <w:t xml:space="preserve">kt </w:t>
      </w:r>
      <w:r w:rsidR="008E34AF">
        <w:rPr>
          <w:rFonts w:ascii="Book Antiqua" w:eastAsia="Book Antiqua" w:hAnsi="Book Antiqua" w:cs="Book Antiqua"/>
        </w:rPr>
        <w:t>m</w:t>
      </w:r>
      <w:r w:rsidRPr="00BE12AC">
        <w:rPr>
          <w:rFonts w:ascii="Book Antiqua" w:eastAsia="Book Antiqua" w:hAnsi="Book Antiqua" w:cs="Book Antiqua"/>
        </w:rPr>
        <w:t xml:space="preserve">urine </w:t>
      </w:r>
      <w:r w:rsidR="008E34AF">
        <w:rPr>
          <w:rFonts w:ascii="Book Antiqua" w:eastAsia="Book Antiqua" w:hAnsi="Book Antiqua" w:cs="Book Antiqua"/>
        </w:rPr>
        <w:t>t</w:t>
      </w:r>
      <w:r w:rsidRPr="00BE12AC">
        <w:rPr>
          <w:rFonts w:ascii="Book Antiqua" w:eastAsia="Book Antiqua" w:hAnsi="Book Antiqua" w:cs="Book Antiqua"/>
        </w:rPr>
        <w:t xml:space="preserve">hymoma </w:t>
      </w:r>
      <w:r w:rsidR="008E34AF">
        <w:rPr>
          <w:rFonts w:ascii="Book Antiqua" w:eastAsia="Book Antiqua" w:hAnsi="Book Antiqua" w:cs="Book Antiqua"/>
        </w:rPr>
        <w:t>v</w:t>
      </w:r>
      <w:r w:rsidRPr="00BE12AC">
        <w:rPr>
          <w:rFonts w:ascii="Book Antiqua" w:eastAsia="Book Antiqua" w:hAnsi="Book Antiqua" w:cs="Book Antiqua"/>
        </w:rPr>
        <w:t xml:space="preserve">iral </w:t>
      </w:r>
      <w:r w:rsidR="008E34AF">
        <w:rPr>
          <w:rFonts w:ascii="Book Antiqua" w:eastAsia="Book Antiqua" w:hAnsi="Book Antiqua" w:cs="Book Antiqua"/>
        </w:rPr>
        <w:t>o</w:t>
      </w:r>
      <w:r w:rsidRPr="00BE12AC">
        <w:rPr>
          <w:rFonts w:ascii="Book Antiqua" w:eastAsia="Book Antiqua" w:hAnsi="Book Antiqua" w:cs="Book Antiqua"/>
        </w:rPr>
        <w:t xml:space="preserve">ncogene </w:t>
      </w:r>
      <w:r w:rsidR="008E34AF">
        <w:rPr>
          <w:rFonts w:ascii="Book Antiqua" w:eastAsia="Book Antiqua" w:hAnsi="Book Antiqua" w:cs="Book Antiqua"/>
        </w:rPr>
        <w:t>h</w:t>
      </w:r>
      <w:r w:rsidRPr="00BE12AC">
        <w:rPr>
          <w:rFonts w:ascii="Book Antiqua" w:eastAsia="Book Antiqua" w:hAnsi="Book Antiqua" w:cs="Book Antiqua"/>
        </w:rPr>
        <w:t xml:space="preserve">omolog (AKT) signaling pathway, the </w:t>
      </w:r>
      <w:r w:rsidR="00E40CB2">
        <w:rPr>
          <w:rFonts w:ascii="Book Antiqua" w:eastAsia="Book Antiqua" w:hAnsi="Book Antiqua" w:cs="Book Antiqua"/>
        </w:rPr>
        <w:t>calcium (</w:t>
      </w:r>
      <w:r w:rsidRPr="00BE12AC">
        <w:rPr>
          <w:rFonts w:ascii="Book Antiqua" w:eastAsia="Book Antiqua" w:hAnsi="Book Antiqua" w:cs="Book Antiqua"/>
        </w:rPr>
        <w:t>Ca</w:t>
      </w:r>
      <w:r w:rsidRPr="00BE12AC">
        <w:rPr>
          <w:rFonts w:ascii="Book Antiqua" w:eastAsia="Book Antiqua" w:hAnsi="Book Antiqua" w:cs="Book Antiqua"/>
          <w:vertAlign w:val="superscript"/>
        </w:rPr>
        <w:t>2+</w:t>
      </w:r>
      <w:r w:rsidR="00E40CB2">
        <w:rPr>
          <w:rFonts w:ascii="Book Antiqua" w:eastAsia="Book Antiqua" w:hAnsi="Book Antiqua" w:cs="Book Antiqua"/>
        </w:rPr>
        <w:t>)</w:t>
      </w:r>
      <w:r w:rsidRPr="00BE12AC">
        <w:rPr>
          <w:rFonts w:ascii="Book Antiqua" w:eastAsia="Book Antiqua" w:hAnsi="Book Antiqua" w:cs="Book Antiqua"/>
        </w:rPr>
        <w:t xml:space="preserve">-activated </w:t>
      </w:r>
      <w:r w:rsidR="008E34AF">
        <w:rPr>
          <w:rFonts w:ascii="Book Antiqua" w:eastAsia="Book Antiqua" w:hAnsi="Book Antiqua" w:cs="Book Antiqua"/>
        </w:rPr>
        <w:t>p</w:t>
      </w:r>
      <w:r w:rsidRPr="00BE12AC">
        <w:rPr>
          <w:rFonts w:ascii="Book Antiqua" w:eastAsia="Book Antiqua" w:hAnsi="Book Antiqua" w:cs="Book Antiqua"/>
        </w:rPr>
        <w:t xml:space="preserve">otassium </w:t>
      </w:r>
      <w:r w:rsidR="008E34AF">
        <w:rPr>
          <w:rFonts w:ascii="Book Antiqua" w:eastAsia="Book Antiqua" w:hAnsi="Book Antiqua" w:cs="Book Antiqua"/>
        </w:rPr>
        <w:t>c</w:t>
      </w:r>
      <w:r w:rsidRPr="00BE12AC">
        <w:rPr>
          <w:rFonts w:ascii="Book Antiqua" w:eastAsia="Book Antiqua" w:hAnsi="Book Antiqua" w:cs="Book Antiqua"/>
        </w:rPr>
        <w:t xml:space="preserve">hannel </w:t>
      </w:r>
      <w:r w:rsidR="008E34AF">
        <w:rPr>
          <w:rFonts w:ascii="Book Antiqua" w:eastAsia="Book Antiqua" w:hAnsi="Book Antiqua" w:cs="Book Antiqua"/>
        </w:rPr>
        <w:t>s</w:t>
      </w:r>
      <w:r w:rsidRPr="00BE12AC">
        <w:rPr>
          <w:rFonts w:ascii="Book Antiqua" w:eastAsia="Book Antiqua" w:hAnsi="Book Antiqua" w:cs="Book Antiqua"/>
        </w:rPr>
        <w:t xml:space="preserve">ubfamily K </w:t>
      </w:r>
      <w:r w:rsidR="008E34AF">
        <w:rPr>
          <w:rFonts w:ascii="Book Antiqua" w:eastAsia="Book Antiqua" w:hAnsi="Book Antiqua" w:cs="Book Antiqua"/>
        </w:rPr>
        <w:t>m</w:t>
      </w:r>
      <w:r w:rsidRPr="00BE12AC">
        <w:rPr>
          <w:rFonts w:ascii="Book Antiqua" w:eastAsia="Book Antiqua" w:hAnsi="Book Antiqua" w:cs="Book Antiqua"/>
        </w:rPr>
        <w:t>ember 3 potassium channel, and the epithelial-mesenchymal transition (EMT), as well as controlling extracellular vesicle release. Consequently, these pathways drive breast cancer cell invasion and migration, and their modulation is influenced by variables such as hypoxia and ATP. Furthermore, miRNAs have been found to bind to the 3' untranslated region</w:t>
      </w:r>
      <w:r w:rsidR="00E40CB2">
        <w:rPr>
          <w:rFonts w:ascii="Book Antiqua" w:eastAsia="Book Antiqua" w:hAnsi="Book Antiqua" w:cs="Book Antiqua"/>
        </w:rPr>
        <w:t xml:space="preserve"> of the P2X7R</w:t>
      </w:r>
      <w:r w:rsidRPr="00BE12AC">
        <w:rPr>
          <w:rFonts w:ascii="Book Antiqua" w:eastAsia="Book Antiqua" w:hAnsi="Book Antiqua" w:cs="Book Antiqua"/>
        </w:rPr>
        <w:t xml:space="preserve">, influencing the occurrence and progression of breast cancer by either upregulating or </w:t>
      </w:r>
      <w:r w:rsidRPr="00BE12AC">
        <w:rPr>
          <w:rFonts w:ascii="Book Antiqua" w:eastAsia="Book Antiqua" w:hAnsi="Book Antiqua" w:cs="Book Antiqua"/>
        </w:rPr>
        <w:lastRenderedPageBreak/>
        <w:t>downregulating the receptor</w:t>
      </w:r>
      <w:r w:rsidR="008E34AF">
        <w:rPr>
          <w:rFonts w:ascii="Book Antiqua" w:eastAsia="Book Antiqua" w:hAnsi="Book Antiqua" w:cs="Book Antiqua"/>
        </w:rPr>
        <w:t>’</w:t>
      </w:r>
      <w:r w:rsidRPr="00BE12AC">
        <w:rPr>
          <w:rFonts w:ascii="Book Antiqua" w:eastAsia="Book Antiqua" w:hAnsi="Book Antiqua" w:cs="Book Antiqua"/>
        </w:rPr>
        <w:t xml:space="preserve">s expression. In response to these discoveries, novel P2X7R inhibitors </w:t>
      </w:r>
      <w:r w:rsidR="008E34AF">
        <w:rPr>
          <w:rFonts w:ascii="Book Antiqua" w:eastAsia="Book Antiqua" w:hAnsi="Book Antiqua" w:cs="Book Antiqua"/>
        </w:rPr>
        <w:t xml:space="preserve">such as </w:t>
      </w:r>
      <w:r w:rsidRPr="00BE12AC">
        <w:rPr>
          <w:rFonts w:ascii="Book Antiqua" w:eastAsia="Book Antiqua" w:hAnsi="Book Antiqua" w:cs="Book Antiqua"/>
        </w:rPr>
        <w:t xml:space="preserve">emodin and </w:t>
      </w:r>
      <w:r w:rsidR="008E34AF">
        <w:rPr>
          <w:rFonts w:ascii="Book Antiqua" w:eastAsia="Book Antiqua" w:hAnsi="Book Antiqua" w:cs="Book Antiqua"/>
        </w:rPr>
        <w:t>u</w:t>
      </w:r>
      <w:r w:rsidRPr="00BE12AC">
        <w:rPr>
          <w:rFonts w:ascii="Book Antiqua" w:eastAsia="Book Antiqua" w:hAnsi="Book Antiqua" w:cs="Book Antiqua"/>
        </w:rPr>
        <w:t>nicell have demonstrated the ability to hinder P2X7</w:t>
      </w:r>
      <w:r w:rsidR="00BC2203">
        <w:rPr>
          <w:rFonts w:ascii="Book Antiqua" w:eastAsia="Book Antiqua" w:hAnsi="Book Antiqua" w:cs="Book Antiqua"/>
        </w:rPr>
        <w:t>R</w:t>
      </w:r>
      <w:r w:rsidRPr="00BE12AC">
        <w:rPr>
          <w:rFonts w:ascii="Book Antiqua" w:eastAsia="Book Antiqua" w:hAnsi="Book Antiqua" w:cs="Book Antiqua"/>
        </w:rPr>
        <w:t>-mediated breast cancer invasion, thus holding promise for potential clinical applications</w:t>
      </w:r>
      <w:r w:rsidRPr="00BE12AC">
        <w:rPr>
          <w:rFonts w:ascii="Book Antiqua" w:eastAsia="Book Antiqua" w:hAnsi="Book Antiqua" w:cs="Book Antiqua"/>
          <w:vertAlign w:val="superscript"/>
        </w:rPr>
        <w:t>[3]</w:t>
      </w:r>
      <w:r w:rsidRPr="00BE12AC">
        <w:rPr>
          <w:rFonts w:ascii="Book Antiqua" w:eastAsia="Book Antiqua" w:hAnsi="Book Antiqua" w:cs="Book Antiqua"/>
        </w:rPr>
        <w:t>. Additionally, P2X7 has been found to be overexpressed in tamoxifen-resistant breast cancer cells, and functional investigations have been undertaken using selective P2X7 antagonists to study its effects</w:t>
      </w:r>
      <w:r w:rsidRPr="00BE12AC">
        <w:rPr>
          <w:rFonts w:ascii="Book Antiqua" w:eastAsia="Book Antiqua" w:hAnsi="Book Antiqua" w:cs="Book Antiqua"/>
          <w:vertAlign w:val="superscript"/>
        </w:rPr>
        <w:t>[50]</w:t>
      </w:r>
      <w:r w:rsidRPr="00BE12AC">
        <w:rPr>
          <w:rFonts w:ascii="Book Antiqua" w:eastAsia="Book Antiqua" w:hAnsi="Book Antiqua" w:cs="Book Antiqua"/>
        </w:rPr>
        <w:t>.</w:t>
      </w:r>
    </w:p>
    <w:p w14:paraId="7EBD9D34" w14:textId="5DBB0AA6"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miRNAs are important regulators of posttranscriptional gene expression, and they play a significant part in cellular processes including differentiation, proliferation, and metastasis. Notably, miR-150 </w:t>
      </w:r>
      <w:r w:rsidR="00A92DC3">
        <w:rPr>
          <w:rFonts w:ascii="Book Antiqua" w:eastAsia="Book Antiqua" w:hAnsi="Book Antiqua" w:cs="Book Antiqua"/>
        </w:rPr>
        <w:t>is</w:t>
      </w:r>
      <w:r w:rsidRPr="00BE12AC">
        <w:rPr>
          <w:rFonts w:ascii="Book Antiqua" w:eastAsia="Book Antiqua" w:hAnsi="Book Antiqua" w:cs="Book Antiqua"/>
        </w:rPr>
        <w:t xml:space="preserve"> upregulated in both breast cancer cell lines and tissues. Inhibiting miR-150 function resulted in cell death in several breast cancer cell lines, whereas ectopic expression resulted in increased cell proliferation</w:t>
      </w:r>
      <w:r w:rsidRPr="00BE12AC">
        <w:rPr>
          <w:rFonts w:ascii="Book Antiqua" w:eastAsia="Book Antiqua" w:hAnsi="Book Antiqua" w:cs="Book Antiqua"/>
          <w:vertAlign w:val="superscript"/>
        </w:rPr>
        <w:t>[18]</w:t>
      </w:r>
      <w:r w:rsidRPr="00BE12AC">
        <w:rPr>
          <w:rFonts w:ascii="Book Antiqua" w:eastAsia="Book Antiqua" w:hAnsi="Book Antiqua" w:cs="Book Antiqua"/>
        </w:rPr>
        <w:t>. These findings highlight the potential of miRNAs and mRNAs as novel therapeutic targets for breast cancer.</w:t>
      </w:r>
    </w:p>
    <w:p w14:paraId="78F6F942" w14:textId="4C0C5303"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However, it is noteworthy that the current study did not include P2X7 in the predictive model, suggesting that P2X7 may not be a significant predictor of patient outcomes in breast cancer. Interestingly, the predictive model incorporated the P2X4</w:t>
      </w:r>
      <w:r w:rsidR="00E40CB2">
        <w:rPr>
          <w:rFonts w:ascii="Book Antiqua" w:eastAsia="Book Antiqua" w:hAnsi="Book Antiqua" w:cs="Book Antiqua"/>
        </w:rPr>
        <w:t>R</w:t>
      </w:r>
      <w:r w:rsidRPr="00BE12AC">
        <w:rPr>
          <w:rFonts w:ascii="Book Antiqua" w:eastAsia="Book Antiqua" w:hAnsi="Book Antiqua" w:cs="Book Antiqua"/>
        </w:rPr>
        <w:t xml:space="preserve"> instead, which </w:t>
      </w:r>
      <w:r w:rsidR="00E40CB2">
        <w:rPr>
          <w:rFonts w:ascii="Book Antiqua" w:eastAsia="Book Antiqua" w:hAnsi="Book Antiqua" w:cs="Book Antiqua"/>
        </w:rPr>
        <w:t>reveals</w:t>
      </w:r>
      <w:r w:rsidR="00E40CB2" w:rsidRPr="00BE12AC">
        <w:rPr>
          <w:rFonts w:ascii="Book Antiqua" w:eastAsia="Book Antiqua" w:hAnsi="Book Antiqua" w:cs="Book Antiqua"/>
        </w:rPr>
        <w:t xml:space="preserve"> </w:t>
      </w:r>
      <w:r w:rsidRPr="00BE12AC">
        <w:rPr>
          <w:rFonts w:ascii="Book Antiqua" w:eastAsia="Book Antiqua" w:hAnsi="Book Antiqua" w:cs="Book Antiqua"/>
        </w:rPr>
        <w:t>new avenues for the treatment of breast cancer.</w:t>
      </w:r>
    </w:p>
    <w:p w14:paraId="12B1880F" w14:textId="0FD968C5"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The mRNA prognostic model utilized in this study encompassed four specific mRNAs, namely P2X4, PNAX1, CASP7, and CCND2. P2X4 is a P2 receptor located on the cell membrane, which becomes activated when there is an excess of extracellular ATP. This activation then activates other P2 receptors, such as P2X7, as well as the PNAX1 channel, resulting in the extrusion of intracellular ATP from the cell </w:t>
      </w:r>
      <w:r w:rsidRPr="00BE12AC">
        <w:rPr>
          <w:rFonts w:ascii="Book Antiqua" w:eastAsia="Book Antiqua" w:hAnsi="Book Antiqua" w:cs="Book Antiqua"/>
          <w:i/>
          <w:iCs/>
        </w:rPr>
        <w:t>via</w:t>
      </w:r>
      <w:r w:rsidRPr="00BE12AC">
        <w:rPr>
          <w:rFonts w:ascii="Book Antiqua" w:eastAsia="Book Antiqua" w:hAnsi="Book Antiqua" w:cs="Book Antiqua"/>
        </w:rPr>
        <w:t xml:space="preserve"> the PNAX1 channel. Consequently, this process promotes AICD. Additionally, the activation of P2 receptors on the cell membrane can also stimulate immune-inflammatory factors, CASP7 apoptosis factors, CCND2, and other factors that influence the apoptosis and autophagy processes in cells. This perspective reinforces the concept of AICD as the fundamental basis of cellular demise, thereby distinguishing it from other modes of cell death. Nevertheless, it is worth noting that existing studies have yet to establish a direct relationship between AICD and cancer, especially in the context of breast cancer prognostic models.</w:t>
      </w:r>
    </w:p>
    <w:p w14:paraId="42D31E6E" w14:textId="510E1F48"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lastRenderedPageBreak/>
        <w:t>The P2X4</w:t>
      </w:r>
      <w:r w:rsidR="00E40CB2">
        <w:rPr>
          <w:rFonts w:ascii="Book Antiqua" w:eastAsia="Book Antiqua" w:hAnsi="Book Antiqua" w:cs="Book Antiqua"/>
        </w:rPr>
        <w:t>R</w:t>
      </w:r>
      <w:r w:rsidRPr="00BE12AC">
        <w:rPr>
          <w:rFonts w:ascii="Book Antiqua" w:eastAsia="Book Antiqua" w:hAnsi="Book Antiqua" w:cs="Book Antiqua"/>
        </w:rPr>
        <w:t xml:space="preserve"> is a member of the P2X receptor family that generates a highly Ca</w:t>
      </w:r>
      <w:r w:rsidRPr="00BE12AC">
        <w:rPr>
          <w:rFonts w:ascii="Book Antiqua" w:eastAsia="Book Antiqua" w:hAnsi="Book Antiqua" w:cs="Book Antiqua"/>
          <w:vertAlign w:val="superscript"/>
        </w:rPr>
        <w:t>2+</w:t>
      </w:r>
      <w:r w:rsidRPr="00BE12AC">
        <w:rPr>
          <w:rFonts w:ascii="Book Antiqua" w:eastAsia="Book Antiqua" w:hAnsi="Book Antiqua" w:cs="Book Antiqua"/>
        </w:rPr>
        <w:t xml:space="preserve"> permeable non-selective cation channel on the plasma membrane in response to exogenous ATP. However, the P2X4</w:t>
      </w:r>
      <w:r w:rsidR="00E40CB2">
        <w:rPr>
          <w:rFonts w:ascii="Book Antiqua" w:eastAsia="Book Antiqua" w:hAnsi="Book Antiqua" w:cs="Book Antiqua"/>
        </w:rPr>
        <w:t>R</w:t>
      </w:r>
      <w:r w:rsidRPr="00BE12AC">
        <w:rPr>
          <w:rFonts w:ascii="Book Antiqua" w:eastAsia="Book Antiqua" w:hAnsi="Book Antiqua" w:cs="Book Antiqua"/>
        </w:rPr>
        <w:t xml:space="preserve"> is distinguished from other subtypes by its preference for late endosomal, lysosomal, and/or lysosomal related organelles. The inclusion of tyrosine and dileucine transport motifs in the C-terminal and N-terminal </w:t>
      </w:r>
      <w:r w:rsidR="00E40CB2">
        <w:rPr>
          <w:rFonts w:ascii="Book Antiqua" w:eastAsia="Book Antiqua" w:hAnsi="Book Antiqua" w:cs="Book Antiqua"/>
        </w:rPr>
        <w:t>domains</w:t>
      </w:r>
      <w:r w:rsidRPr="00BE12AC">
        <w:rPr>
          <w:rFonts w:ascii="Book Antiqua" w:eastAsia="Book Antiqua" w:hAnsi="Book Antiqua" w:cs="Book Antiqua"/>
        </w:rPr>
        <w:t>, respectively, aids in this particular localization. Recent studies have shown that the P2X4</w:t>
      </w:r>
      <w:r w:rsidR="00E40CB2">
        <w:rPr>
          <w:rFonts w:ascii="Book Antiqua" w:eastAsia="Book Antiqua" w:hAnsi="Book Antiqua" w:cs="Book Antiqua"/>
        </w:rPr>
        <w:t>R</w:t>
      </w:r>
      <w:r w:rsidRPr="00BE12AC">
        <w:rPr>
          <w:rFonts w:ascii="Book Antiqua" w:eastAsia="Book Antiqua" w:hAnsi="Book Antiqua" w:cs="Book Antiqua"/>
        </w:rPr>
        <w:t xml:space="preserve"> regulates ion flux on lysosomal membranes, modulating lysosomal membrane fusion and desensitization of receptors exposed to external ATP</w:t>
      </w:r>
      <w:r w:rsidRPr="00BE12AC">
        <w:rPr>
          <w:rFonts w:ascii="Book Antiqua" w:eastAsia="Book Antiqua" w:hAnsi="Book Antiqua" w:cs="Book Antiqua"/>
          <w:vertAlign w:val="superscript"/>
        </w:rPr>
        <w:t>[51]</w:t>
      </w:r>
      <w:r w:rsidRPr="00BE12AC">
        <w:rPr>
          <w:rFonts w:ascii="Book Antiqua" w:eastAsia="Book Antiqua" w:hAnsi="Book Antiqua" w:cs="Book Antiqua"/>
        </w:rPr>
        <w:t>.</w:t>
      </w:r>
    </w:p>
    <w:p w14:paraId="0365D95C" w14:textId="01310D63"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Recent investigations have highlighted the upregulation of P2X4 purinergic receptors in breast cancer patient biopsies, with a predominant localization in endolysosomes. Moreover, these investigations have shed light on the involvement of the P2X4</w:t>
      </w:r>
      <w:r w:rsidR="00E40CB2">
        <w:rPr>
          <w:rFonts w:ascii="Book Antiqua" w:eastAsia="Book Antiqua" w:hAnsi="Book Antiqua" w:cs="Book Antiqua"/>
        </w:rPr>
        <w:t>R</w:t>
      </w:r>
      <w:r w:rsidRPr="00BE12AC">
        <w:rPr>
          <w:rFonts w:ascii="Book Antiqua" w:eastAsia="Book Antiqua" w:hAnsi="Book Antiqua" w:cs="Book Antiqua"/>
        </w:rPr>
        <w:t xml:space="preserve"> in boosting tumor development and metastasis </w:t>
      </w:r>
      <w:r w:rsidRPr="00BE12AC">
        <w:rPr>
          <w:rFonts w:ascii="Book Antiqua" w:eastAsia="Book Antiqua" w:hAnsi="Book Antiqua" w:cs="Book Antiqua"/>
          <w:i/>
          <w:iCs/>
        </w:rPr>
        <w:t>in vivo</w:t>
      </w:r>
      <w:r w:rsidRPr="00BE12AC">
        <w:rPr>
          <w:rFonts w:ascii="Book Antiqua" w:eastAsia="Book Antiqua" w:hAnsi="Book Antiqua" w:cs="Book Antiqua"/>
        </w:rPr>
        <w:t xml:space="preserve"> and enhancing breast cancer cell invasion in vitro. The P2X4</w:t>
      </w:r>
      <w:r w:rsidR="00E40CB2">
        <w:rPr>
          <w:rFonts w:ascii="Book Antiqua" w:eastAsia="Book Antiqua" w:hAnsi="Book Antiqua" w:cs="Book Antiqua"/>
        </w:rPr>
        <w:t>R’s</w:t>
      </w:r>
      <w:r w:rsidRPr="00BE12AC">
        <w:rPr>
          <w:rFonts w:ascii="Book Antiqua" w:eastAsia="Book Antiqua" w:hAnsi="Book Antiqua" w:cs="Book Antiqua"/>
        </w:rPr>
        <w:t xml:space="preserve"> pro-malignant impact is linked to its control of lysosomal acidity, promotion of autophagy, and facilitation of cell survival. Additionally, a correlation was observed between autophagy activity and EMT, with the influence of P2X4 being particularly pronounced under conditions of metabolic challenges. P2X4 gene silencing and pharmacological intervention inhibited autophagy and EMT, whereas restoring P2X4 expression in knockout cells restored the aggressive phenotype</w:t>
      </w:r>
      <w:r w:rsidRPr="00BE12AC">
        <w:rPr>
          <w:rFonts w:ascii="Book Antiqua" w:eastAsia="Book Antiqua" w:hAnsi="Book Antiqua" w:cs="Book Antiqua"/>
          <w:vertAlign w:val="superscript"/>
        </w:rPr>
        <w:t>[52]</w:t>
      </w:r>
      <w:r w:rsidRPr="00BE12AC">
        <w:rPr>
          <w:rFonts w:ascii="Book Antiqua" w:eastAsia="Book Antiqua" w:hAnsi="Book Antiqua" w:cs="Book Antiqua"/>
        </w:rPr>
        <w:t>. These recent discoveries contribute valuable insights to our understanding of the underlying mechanisms involving the P2X4</w:t>
      </w:r>
      <w:r w:rsidR="00E40CB2">
        <w:rPr>
          <w:rFonts w:ascii="Book Antiqua" w:eastAsia="Book Antiqua" w:hAnsi="Book Antiqua" w:cs="Book Antiqua"/>
        </w:rPr>
        <w:t>R</w:t>
      </w:r>
      <w:r w:rsidRPr="00BE12AC">
        <w:rPr>
          <w:rFonts w:ascii="Book Antiqua" w:eastAsia="Book Antiqua" w:hAnsi="Book Antiqua" w:cs="Book Antiqua"/>
        </w:rPr>
        <w:t xml:space="preserve"> in breast cancer and its regulatory role in autophagy and EMT processes.</w:t>
      </w:r>
    </w:p>
    <w:p w14:paraId="56717275" w14:textId="5EAB617D"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The </w:t>
      </w:r>
      <w:r w:rsidR="00E40CB2">
        <w:rPr>
          <w:rFonts w:ascii="Book Antiqua" w:eastAsia="Book Antiqua" w:hAnsi="Book Antiqua" w:cs="Book Antiqua"/>
        </w:rPr>
        <w:t>PANX</w:t>
      </w:r>
      <w:r w:rsidRPr="00BE12AC">
        <w:rPr>
          <w:rFonts w:ascii="Book Antiqua" w:eastAsia="Book Antiqua" w:hAnsi="Book Antiqua" w:cs="Book Antiqua"/>
        </w:rPr>
        <w:t xml:space="preserve"> protein channel family represents a class of channels characterized by </w:t>
      </w:r>
      <w:r w:rsidR="00E40CB2">
        <w:rPr>
          <w:rFonts w:ascii="Book Antiqua" w:eastAsia="Book Antiqua" w:hAnsi="Book Antiqua" w:cs="Book Antiqua"/>
        </w:rPr>
        <w:t xml:space="preserve">a </w:t>
      </w:r>
      <w:r w:rsidRPr="00BE12AC">
        <w:rPr>
          <w:rFonts w:ascii="Book Antiqua" w:eastAsia="Book Antiqua" w:hAnsi="Book Antiqua" w:cs="Book Antiqua"/>
        </w:rPr>
        <w:t xml:space="preserve">large pore size, serving as crucial mediators of intercellular communication with fundamental implications for cell development and maintenance of cellular homeostasis. Among these, </w:t>
      </w:r>
      <w:r w:rsidR="00E40CB2">
        <w:rPr>
          <w:rFonts w:ascii="Book Antiqua" w:eastAsia="Book Antiqua" w:hAnsi="Book Antiqua" w:cs="Book Antiqua"/>
        </w:rPr>
        <w:t>PANX</w:t>
      </w:r>
      <w:r w:rsidRPr="00BE12AC">
        <w:rPr>
          <w:rFonts w:ascii="Book Antiqua" w:eastAsia="Book Antiqua" w:hAnsi="Book Antiqua" w:cs="Book Antiqua"/>
        </w:rPr>
        <w:t xml:space="preserve">1 has been extensively studied and participates in regulating the permeability of ATP and ions within and outside cells, playing a pivotal role in various physiological processes and pathological mechanisms. Mutations in the </w:t>
      </w:r>
      <w:r w:rsidR="00E40CB2">
        <w:rPr>
          <w:rFonts w:ascii="Book Antiqua" w:eastAsia="Book Antiqua" w:hAnsi="Book Antiqua" w:cs="Book Antiqua"/>
        </w:rPr>
        <w:t>PANX</w:t>
      </w:r>
      <w:r w:rsidRPr="00BE12AC">
        <w:rPr>
          <w:rFonts w:ascii="Book Antiqua" w:eastAsia="Book Antiqua" w:hAnsi="Book Antiqua" w:cs="Book Antiqua"/>
        </w:rPr>
        <w:t>1 gene can impact protein glycosylation and accelerate ATP release, leading to cell death.</w:t>
      </w:r>
    </w:p>
    <w:p w14:paraId="051583DE" w14:textId="38F1A948"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In breast cancer cells, the </w:t>
      </w:r>
      <w:r w:rsidR="00E40CB2">
        <w:rPr>
          <w:rFonts w:ascii="Book Antiqua" w:eastAsia="Book Antiqua" w:hAnsi="Book Antiqua" w:cs="Book Antiqua"/>
        </w:rPr>
        <w:t>PANX</w:t>
      </w:r>
      <w:r w:rsidRPr="00BE12AC">
        <w:rPr>
          <w:rFonts w:ascii="Book Antiqua" w:eastAsia="Book Antiqua" w:hAnsi="Book Antiqua" w:cs="Book Antiqua"/>
        </w:rPr>
        <w:t xml:space="preserve">1 channel exhibits a dual role in purinergic signaling, contributing to both cell survival and the induction of cytotoxic effects. This function is </w:t>
      </w:r>
      <w:r w:rsidRPr="00BE12AC">
        <w:rPr>
          <w:rFonts w:ascii="Book Antiqua" w:eastAsia="Book Antiqua" w:hAnsi="Book Antiqua" w:cs="Book Antiqua"/>
        </w:rPr>
        <w:lastRenderedPageBreak/>
        <w:t xml:space="preserve">mediated by the amplified opening of the P2X4/P2X7-gated </w:t>
      </w:r>
      <w:r w:rsidR="00E40CB2">
        <w:rPr>
          <w:rFonts w:ascii="Book Antiqua" w:eastAsia="Book Antiqua" w:hAnsi="Book Antiqua" w:cs="Book Antiqua"/>
        </w:rPr>
        <w:t>PANX1</w:t>
      </w:r>
      <w:r w:rsidRPr="00BE12AC">
        <w:rPr>
          <w:rFonts w:ascii="Book Antiqua" w:eastAsia="Book Antiqua" w:hAnsi="Book Antiqua" w:cs="Book Antiqua"/>
        </w:rPr>
        <w:t xml:space="preserve"> channel, triggering cell death characterized by </w:t>
      </w:r>
      <w:r w:rsidR="00E40CB2">
        <w:rPr>
          <w:rFonts w:ascii="Book Antiqua" w:eastAsia="Book Antiqua" w:hAnsi="Book Antiqua" w:cs="Book Antiqua"/>
        </w:rPr>
        <w:t>CASP1</w:t>
      </w:r>
      <w:r w:rsidRPr="00BE12AC">
        <w:rPr>
          <w:rFonts w:ascii="Book Antiqua" w:eastAsia="Book Antiqua" w:hAnsi="Book Antiqua" w:cs="Book Antiqua"/>
        </w:rPr>
        <w:t xml:space="preserve"> activation and exhibiting a mixed pattern of apoptosis and necrosis, consistent with pyroptosis. Studies have revealed that cancer cell death is reliant on ATP release and downstream death signaling mediated by the P2X7R, which can be reversed by inhibiting NADPH oxidase-produced </w:t>
      </w:r>
      <w:r w:rsidR="00E40CB2">
        <w:rPr>
          <w:rFonts w:ascii="Book Antiqua" w:eastAsia="Book Antiqua" w:hAnsi="Book Antiqua" w:cs="Book Antiqua"/>
        </w:rPr>
        <w:t>r</w:t>
      </w:r>
      <w:r w:rsidRPr="00BE12AC">
        <w:rPr>
          <w:rFonts w:ascii="Book Antiqua" w:eastAsia="Book Antiqua" w:hAnsi="Book Antiqua" w:cs="Book Antiqua"/>
        </w:rPr>
        <w:t xml:space="preserve">eactive </w:t>
      </w:r>
      <w:r w:rsidR="00E40CB2">
        <w:rPr>
          <w:rFonts w:ascii="Book Antiqua" w:eastAsia="Book Antiqua" w:hAnsi="Book Antiqua" w:cs="Book Antiqua"/>
        </w:rPr>
        <w:t>o</w:t>
      </w:r>
      <w:r w:rsidRPr="00BE12AC">
        <w:rPr>
          <w:rFonts w:ascii="Book Antiqua" w:eastAsia="Book Antiqua" w:hAnsi="Book Antiqua" w:cs="Book Antiqua"/>
        </w:rPr>
        <w:t xml:space="preserve">xygen </w:t>
      </w:r>
      <w:r w:rsidR="00E40CB2">
        <w:rPr>
          <w:rFonts w:ascii="Book Antiqua" w:eastAsia="Book Antiqua" w:hAnsi="Book Antiqua" w:cs="Book Antiqua"/>
        </w:rPr>
        <w:t>s</w:t>
      </w:r>
      <w:r w:rsidRPr="00BE12AC">
        <w:rPr>
          <w:rFonts w:ascii="Book Antiqua" w:eastAsia="Book Antiqua" w:hAnsi="Book Antiqua" w:cs="Book Antiqua"/>
        </w:rPr>
        <w:t>pecies, Ca</w:t>
      </w:r>
      <w:r w:rsidRPr="00BE12AC">
        <w:rPr>
          <w:rFonts w:ascii="Book Antiqua" w:eastAsia="Book Antiqua" w:hAnsi="Book Antiqua" w:cs="Book Antiqua"/>
          <w:vertAlign w:val="superscript"/>
        </w:rPr>
        <w:t>2+</w:t>
      </w:r>
      <w:r w:rsidRPr="00BE12AC">
        <w:rPr>
          <w:rFonts w:ascii="Book Antiqua" w:eastAsia="Book Antiqua" w:hAnsi="Book Antiqua" w:cs="Book Antiqua"/>
        </w:rPr>
        <w:t>/calmodulin-dependent protein kinase II, or the mitochondrial permeability transition pore. Enhanced P2X4/P2X7 signaling may also be related with the ATP-rich tumor microenvironment, providing a molecular basis for purinergic receptor-mediated selective control of breast cancer and serving as a possible platform for comprehensive breast cancer immunotherapy</w:t>
      </w:r>
      <w:r w:rsidRPr="00BE12AC">
        <w:rPr>
          <w:rFonts w:ascii="Book Antiqua" w:eastAsia="Book Antiqua" w:hAnsi="Book Antiqua" w:cs="Book Antiqua"/>
          <w:vertAlign w:val="superscript"/>
        </w:rPr>
        <w:t>[7]</w:t>
      </w:r>
      <w:r w:rsidRPr="00BE12AC">
        <w:rPr>
          <w:rFonts w:ascii="Book Antiqua" w:eastAsia="Book Antiqua" w:hAnsi="Book Antiqua" w:cs="Book Antiqua"/>
        </w:rPr>
        <w:t>.</w:t>
      </w:r>
    </w:p>
    <w:p w14:paraId="496100C3" w14:textId="6FCBB1F5"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CASP7, a member of the </w:t>
      </w:r>
      <w:r w:rsidR="00273B37">
        <w:rPr>
          <w:rFonts w:ascii="Book Antiqua" w:eastAsia="Book Antiqua" w:hAnsi="Book Antiqua" w:cs="Book Antiqua"/>
        </w:rPr>
        <w:t>CASP</w:t>
      </w:r>
      <w:r w:rsidRPr="00BE12AC">
        <w:rPr>
          <w:rFonts w:ascii="Book Antiqua" w:eastAsia="Book Antiqua" w:hAnsi="Book Antiqua" w:cs="Book Antiqua"/>
        </w:rPr>
        <w:t xml:space="preserve"> family, plays a crucial role in the execution stage of apoptosis, wherein sequential </w:t>
      </w:r>
      <w:r w:rsidR="00273B37">
        <w:rPr>
          <w:rFonts w:ascii="Book Antiqua" w:eastAsia="Book Antiqua" w:hAnsi="Book Antiqua" w:cs="Book Antiqua"/>
        </w:rPr>
        <w:t>CASP</w:t>
      </w:r>
      <w:r w:rsidRPr="00BE12AC">
        <w:rPr>
          <w:rFonts w:ascii="Book Antiqua" w:eastAsia="Book Antiqua" w:hAnsi="Book Antiqua" w:cs="Book Antiqua"/>
        </w:rPr>
        <w:t xml:space="preserve"> activation is vital. </w:t>
      </w:r>
      <w:r w:rsidR="00273B37">
        <w:rPr>
          <w:rFonts w:ascii="Book Antiqua" w:eastAsia="Book Antiqua" w:hAnsi="Book Antiqua" w:cs="Book Antiqua"/>
        </w:rPr>
        <w:t>CASP</w:t>
      </w:r>
      <w:r w:rsidR="00273B37" w:rsidRPr="00BE12AC">
        <w:rPr>
          <w:rFonts w:ascii="Book Antiqua" w:eastAsia="Book Antiqua" w:hAnsi="Book Antiqua" w:cs="Book Antiqua"/>
        </w:rPr>
        <w:t xml:space="preserve"> </w:t>
      </w:r>
      <w:r w:rsidRPr="00BE12AC">
        <w:rPr>
          <w:rFonts w:ascii="Book Antiqua" w:eastAsia="Book Antiqua" w:hAnsi="Book Antiqua" w:cs="Book Antiqua"/>
        </w:rPr>
        <w:t xml:space="preserve">exists as an inactive proenzyme, and proteolytic cleavage of conserved aspartic acid residues generates two large and small subunits, which then dimerize to form active enzymes. The precursors encoding for CASP7 protein are cleaved by </w:t>
      </w:r>
      <w:r w:rsidR="00273B37">
        <w:rPr>
          <w:rFonts w:ascii="Book Antiqua" w:eastAsia="Book Antiqua" w:hAnsi="Book Antiqua" w:cs="Book Antiqua"/>
        </w:rPr>
        <w:t>CASP</w:t>
      </w:r>
      <w:r w:rsidRPr="00BE12AC">
        <w:rPr>
          <w:rFonts w:ascii="Book Antiqua" w:eastAsia="Book Antiqua" w:hAnsi="Book Antiqua" w:cs="Book Antiqua"/>
        </w:rPr>
        <w:t xml:space="preserve">3 and </w:t>
      </w:r>
      <w:r w:rsidR="00273B37">
        <w:rPr>
          <w:rFonts w:ascii="Book Antiqua" w:eastAsia="Book Antiqua" w:hAnsi="Book Antiqua" w:cs="Book Antiqua"/>
        </w:rPr>
        <w:t>CASP</w:t>
      </w:r>
      <w:r w:rsidRPr="00BE12AC">
        <w:rPr>
          <w:rFonts w:ascii="Book Antiqua" w:eastAsia="Book Antiqua" w:hAnsi="Book Antiqua" w:cs="Book Antiqua"/>
        </w:rPr>
        <w:t>10, and they become activated upon stimulation by cell death signals, subsequently inducing apoptosis.</w:t>
      </w:r>
    </w:p>
    <w:p w14:paraId="6B96ED9C" w14:textId="78819294"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Recent research has investigated the expression of CASP7 in breast cancer patients, confirming its involvement with regulating tumorigenicity in breast cancer cells. Moreover, CASP7 expression was discovered to be higher in breast cancer tissues than in normal tissues. Ectopic expression of CASP7 has a significant connection with estrogen receptor </w:t>
      </w:r>
      <w:r w:rsidR="00E40CB2">
        <w:rPr>
          <w:rFonts w:ascii="Book Antiqua" w:eastAsia="Book Antiqua" w:hAnsi="Book Antiqua" w:cs="Book Antiqua"/>
        </w:rPr>
        <w:t>alpha</w:t>
      </w:r>
      <w:r w:rsidR="00E40CB2" w:rsidRPr="00BE12AC">
        <w:rPr>
          <w:rFonts w:ascii="Book Antiqua" w:eastAsia="Book Antiqua" w:hAnsi="Book Antiqua" w:cs="Book Antiqua"/>
        </w:rPr>
        <w:t xml:space="preserve"> </w:t>
      </w:r>
      <w:r w:rsidRPr="00BE12AC">
        <w:rPr>
          <w:rFonts w:ascii="Book Antiqua" w:eastAsia="Book Antiqua" w:hAnsi="Book Antiqua" w:cs="Book Antiqua"/>
        </w:rPr>
        <w:t xml:space="preserve">expression and demonstrated </w:t>
      </w:r>
      <w:r w:rsidR="00273B37">
        <w:rPr>
          <w:rFonts w:ascii="Book Antiqua" w:eastAsia="Book Antiqua" w:hAnsi="Book Antiqua" w:cs="Book Antiqua"/>
        </w:rPr>
        <w:t xml:space="preserve">a </w:t>
      </w:r>
      <w:r w:rsidRPr="00BE12AC">
        <w:rPr>
          <w:rFonts w:ascii="Book Antiqua" w:eastAsia="Book Antiqua" w:hAnsi="Book Antiqua" w:cs="Book Antiqua"/>
        </w:rPr>
        <w:t xml:space="preserve">progressive rise across various stages of breast tumor grading. According to </w:t>
      </w:r>
      <w:r w:rsidR="00E60901">
        <w:rPr>
          <w:rFonts w:ascii="Book Antiqua" w:eastAsia="Book Antiqua" w:hAnsi="Book Antiqua" w:cs="Book Antiqua"/>
        </w:rPr>
        <w:t>KM</w:t>
      </w:r>
      <w:r w:rsidRPr="00BE12AC">
        <w:rPr>
          <w:rFonts w:ascii="Book Antiqua" w:eastAsia="Book Antiqua" w:hAnsi="Book Antiqua" w:cs="Book Antiqua"/>
        </w:rPr>
        <w:t xml:space="preserve"> analysis, increased levels of CASP7 expression were related with a better outcome in breast cancer patients following systemic endocrine therapy</w:t>
      </w:r>
      <w:r w:rsidRPr="00BE12AC">
        <w:rPr>
          <w:rFonts w:ascii="Book Antiqua" w:eastAsia="Book Antiqua" w:hAnsi="Book Antiqua" w:cs="Book Antiqua"/>
          <w:vertAlign w:val="superscript"/>
        </w:rPr>
        <w:t>[53]</w:t>
      </w:r>
      <w:r w:rsidRPr="00BE12AC">
        <w:rPr>
          <w:rFonts w:ascii="Book Antiqua" w:eastAsia="Book Antiqua" w:hAnsi="Book Antiqua" w:cs="Book Antiqua"/>
        </w:rPr>
        <w:t>. Furthermore, according to the findings, both the precursor and active forms of CASP7 are mostly found outside of the cytoplasmic region of breast cancer cells, primarily within the nucleus.</w:t>
      </w:r>
    </w:p>
    <w:p w14:paraId="432609E3" w14:textId="7E2A942A" w:rsidR="008B2EEC" w:rsidRPr="00BE12AC" w:rsidRDefault="0017117E" w:rsidP="006F7838">
      <w:pPr>
        <w:spacing w:line="360" w:lineRule="auto"/>
        <w:ind w:firstLine="270"/>
        <w:jc w:val="both"/>
        <w:rPr>
          <w:rFonts w:ascii="Book Antiqua" w:hAnsi="Book Antiqua"/>
        </w:rPr>
      </w:pPr>
      <w:r>
        <w:rPr>
          <w:rFonts w:ascii="Book Antiqua" w:eastAsia="Book Antiqua" w:hAnsi="Book Antiqua" w:cs="Book Antiqua"/>
        </w:rPr>
        <w:t>C</w:t>
      </w:r>
      <w:r w:rsidR="00FC314E" w:rsidRPr="00BE12AC">
        <w:rPr>
          <w:rFonts w:ascii="Book Antiqua" w:eastAsia="Book Antiqua" w:hAnsi="Book Antiqua" w:cs="Book Antiqua"/>
        </w:rPr>
        <w:t xml:space="preserve">ompared to comparable normal tissues and samples from healthy people, hypermethylation of the CCND2 promoter was seen in 40.9% of breast tumor patients and 44.4% of circulating cell-free DNA in plasma. Furthermore, the study </w:t>
      </w:r>
      <w:r>
        <w:rPr>
          <w:rFonts w:ascii="Book Antiqua" w:eastAsia="Book Antiqua" w:hAnsi="Book Antiqua" w:cs="Book Antiqua"/>
        </w:rPr>
        <w:t>showed</w:t>
      </w:r>
      <w:r w:rsidR="00FC314E" w:rsidRPr="00BE12AC">
        <w:rPr>
          <w:rFonts w:ascii="Book Antiqua" w:eastAsia="Book Antiqua" w:hAnsi="Book Antiqua" w:cs="Book Antiqua"/>
        </w:rPr>
        <w:t xml:space="preserve"> that in female breast cancer patients, CCND2 promoter hypermethylation acts as a distinctly </w:t>
      </w:r>
      <w:r w:rsidR="00FC314E" w:rsidRPr="00BE12AC">
        <w:rPr>
          <w:rFonts w:ascii="Book Antiqua" w:eastAsia="Book Antiqua" w:hAnsi="Book Antiqua" w:cs="Book Antiqua"/>
        </w:rPr>
        <w:lastRenderedPageBreak/>
        <w:t xml:space="preserve">poor prognostic factor. Experiments using cell models clarified the functional involvement of CCND2 in breast cancer. Specifically, cancer cell proliferation and migration </w:t>
      </w:r>
      <w:r w:rsidR="00A3333F">
        <w:rPr>
          <w:rFonts w:ascii="Book Antiqua" w:eastAsia="Book Antiqua" w:hAnsi="Book Antiqua" w:cs="Book Antiqua"/>
        </w:rPr>
        <w:t xml:space="preserve">are </w:t>
      </w:r>
      <w:r w:rsidR="00FC314E" w:rsidRPr="00BE12AC">
        <w:rPr>
          <w:rFonts w:ascii="Book Antiqua" w:eastAsia="Book Antiqua" w:hAnsi="Book Antiqua" w:cs="Book Antiqua"/>
        </w:rPr>
        <w:t>reported</w:t>
      </w:r>
      <w:r w:rsidR="00A3333F">
        <w:rPr>
          <w:rFonts w:ascii="Book Antiqua" w:eastAsia="Book Antiqua" w:hAnsi="Book Antiqua" w:cs="Book Antiqua"/>
        </w:rPr>
        <w:t xml:space="preserve">ly </w:t>
      </w:r>
      <w:r w:rsidR="00FC314E" w:rsidRPr="00BE12AC">
        <w:rPr>
          <w:rFonts w:ascii="Book Antiqua" w:eastAsia="Book Antiqua" w:hAnsi="Book Antiqua" w:cs="Book Antiqua"/>
        </w:rPr>
        <w:t>inhibited by the expression of CCND2. Moreover, the demethylating drug antroquinonol D cause</w:t>
      </w:r>
      <w:r w:rsidR="00A3333F">
        <w:rPr>
          <w:rFonts w:ascii="Book Antiqua" w:eastAsia="Book Antiqua" w:hAnsi="Book Antiqua" w:cs="Book Antiqua"/>
        </w:rPr>
        <w:t>s</w:t>
      </w:r>
      <w:r w:rsidR="00FC314E" w:rsidRPr="00BE12AC">
        <w:rPr>
          <w:rFonts w:ascii="Book Antiqua" w:eastAsia="Book Antiqua" w:hAnsi="Book Antiqua" w:cs="Book Antiqua"/>
        </w:rPr>
        <w:t xml:space="preserve"> an increase in CCND2 expression, leading to cell cycle arrest and suppression of cancer cell growth and migration</w:t>
      </w:r>
      <w:r w:rsidR="00FC314E" w:rsidRPr="00BE12AC">
        <w:rPr>
          <w:rFonts w:ascii="Book Antiqua" w:eastAsia="Book Antiqua" w:hAnsi="Book Antiqua" w:cs="Book Antiqua"/>
          <w:vertAlign w:val="superscript"/>
        </w:rPr>
        <w:t>[54]</w:t>
      </w:r>
      <w:r w:rsidR="00FC314E" w:rsidRPr="00BE12AC">
        <w:rPr>
          <w:rFonts w:ascii="Book Antiqua" w:eastAsia="Book Antiqua" w:hAnsi="Book Antiqua" w:cs="Book Antiqua"/>
        </w:rPr>
        <w:t>.</w:t>
      </w:r>
    </w:p>
    <w:p w14:paraId="3EBB4625" w14:textId="0196CB03"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Furthermore, </w:t>
      </w:r>
      <w:r w:rsidR="00376C89">
        <w:rPr>
          <w:rFonts w:ascii="Book Antiqua" w:eastAsia="Book Antiqua" w:hAnsi="Book Antiqua" w:cs="Book Antiqua"/>
        </w:rPr>
        <w:t>to</w:t>
      </w:r>
      <w:r w:rsidRPr="00BE12AC">
        <w:rPr>
          <w:rFonts w:ascii="Book Antiqua" w:eastAsia="Book Antiqua" w:hAnsi="Book Antiqua" w:cs="Book Antiqua"/>
        </w:rPr>
        <w:t xml:space="preserve"> enhanc</w:t>
      </w:r>
      <w:r w:rsidR="00376C89">
        <w:rPr>
          <w:rFonts w:ascii="Book Antiqua" w:eastAsia="Book Antiqua" w:hAnsi="Book Antiqua" w:cs="Book Antiqua"/>
        </w:rPr>
        <w:t>e</w:t>
      </w:r>
      <w:r w:rsidRPr="00BE12AC">
        <w:rPr>
          <w:rFonts w:ascii="Book Antiqua" w:eastAsia="Book Antiqua" w:hAnsi="Book Antiqua" w:cs="Book Antiqua"/>
        </w:rPr>
        <w:t xml:space="preserve"> the prognostic model's precision to accurately predict patients' survival times and identify potential therapeutic targets, this study extended its investigation to model the miRNAs that correspond to the predictive genes identified after establishing the mRNA prognostic model. This iterative approach enabled the narrowing down of potential targets for future anticancer interventions, consequently augmenting the model's predictive accuracy. The miRNA prognostic model integrated four key miRNAs, namely hsa-miR-615-3p, hsa-miR-519b-3p, hsa-miR-342-3p, and hsa-miR-324-3p. These miRNAs were found to exert considerable influence on the prognosis of breast cancer, offering promising avenues for novel therapeutic targets and approaches in future breast cancer treatments.</w:t>
      </w:r>
    </w:p>
    <w:p w14:paraId="2299CE20" w14:textId="25595344"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Recent investigations have demonstrated </w:t>
      </w:r>
      <w:r w:rsidR="00376C89">
        <w:rPr>
          <w:rFonts w:ascii="Book Antiqua" w:eastAsia="Book Antiqua" w:hAnsi="Book Antiqua" w:cs="Book Antiqua"/>
        </w:rPr>
        <w:t>the</w:t>
      </w:r>
      <w:r w:rsidR="00376C89" w:rsidRPr="00BE12AC">
        <w:rPr>
          <w:rFonts w:ascii="Book Antiqua" w:eastAsia="Book Antiqua" w:hAnsi="Book Antiqua" w:cs="Book Antiqua"/>
        </w:rPr>
        <w:t xml:space="preserve"> </w:t>
      </w:r>
      <w:r w:rsidRPr="00BE12AC">
        <w:rPr>
          <w:rFonts w:ascii="Book Antiqua" w:eastAsia="Book Antiqua" w:hAnsi="Book Antiqua" w:cs="Book Antiqua"/>
        </w:rPr>
        <w:t xml:space="preserve">significant upregulation of miR-615-3p expression in both breast cancer cells and tissues, particularly in those with metastatic properties. Notably, stable overexpression of miR-615-3p in breast cancer cell lines resulted in notable enhancements in cellular motility </w:t>
      </w:r>
      <w:r w:rsidRPr="006F7838">
        <w:rPr>
          <w:rFonts w:ascii="Book Antiqua" w:eastAsia="Book Antiqua" w:hAnsi="Book Antiqua" w:cs="Book Antiqua"/>
          <w:i/>
          <w:iCs/>
        </w:rPr>
        <w:t>in vitro</w:t>
      </w:r>
      <w:r w:rsidRPr="00BE12AC">
        <w:rPr>
          <w:rFonts w:ascii="Book Antiqua" w:eastAsia="Book Antiqua" w:hAnsi="Book Antiqua" w:cs="Book Antiqua"/>
        </w:rPr>
        <w:t xml:space="preserve">, along with a consequential increase in lung metastasis </w:t>
      </w:r>
      <w:r w:rsidRPr="00BE12AC">
        <w:rPr>
          <w:rFonts w:ascii="Book Antiqua" w:eastAsia="Book Antiqua" w:hAnsi="Book Antiqua" w:cs="Book Antiqua"/>
          <w:i/>
          <w:iCs/>
        </w:rPr>
        <w:t>in vivo</w:t>
      </w:r>
      <w:r w:rsidRPr="00BE12AC">
        <w:rPr>
          <w:rFonts w:ascii="Book Antiqua" w:eastAsia="Book Antiqua" w:hAnsi="Book Antiqua" w:cs="Book Antiqua"/>
        </w:rPr>
        <w:t xml:space="preserve">. The expression of mesenchymal markers increased along with these effects, and epithelial markers decreased. Further investigation found that reintroducing miR-615-3p resulted in increased downstream signaling of the </w:t>
      </w:r>
      <w:r w:rsidR="00376C89">
        <w:rPr>
          <w:rFonts w:ascii="Book Antiqua" w:eastAsia="Book Antiqua" w:hAnsi="Book Antiqua" w:cs="Book Antiqua"/>
        </w:rPr>
        <w:t>t</w:t>
      </w:r>
      <w:r w:rsidRPr="00BE12AC">
        <w:rPr>
          <w:rFonts w:ascii="Book Antiqua" w:eastAsia="Book Antiqua" w:hAnsi="Book Antiqua" w:cs="Book Antiqua"/>
        </w:rPr>
        <w:t>ransforming</w:t>
      </w:r>
      <w:r w:rsidR="00376C89">
        <w:rPr>
          <w:rFonts w:ascii="Book Antiqua" w:eastAsia="Book Antiqua" w:hAnsi="Book Antiqua" w:cs="Book Antiqua"/>
        </w:rPr>
        <w:t xml:space="preserve"> g</w:t>
      </w:r>
      <w:r w:rsidRPr="00BE12AC">
        <w:rPr>
          <w:rFonts w:ascii="Book Antiqua" w:eastAsia="Book Antiqua" w:hAnsi="Book Antiqua" w:cs="Book Antiqua"/>
        </w:rPr>
        <w:t xml:space="preserve">rowth </w:t>
      </w:r>
      <w:r w:rsidR="00376C89">
        <w:rPr>
          <w:rFonts w:ascii="Book Antiqua" w:eastAsia="Book Antiqua" w:hAnsi="Book Antiqua" w:cs="Book Antiqua"/>
        </w:rPr>
        <w:t>f</w:t>
      </w:r>
      <w:r w:rsidRPr="00BE12AC">
        <w:rPr>
          <w:rFonts w:ascii="Book Antiqua" w:eastAsia="Book Antiqua" w:hAnsi="Book Antiqua" w:cs="Book Antiqua"/>
        </w:rPr>
        <w:t>actor pathway</w:t>
      </w:r>
      <w:r w:rsidR="00376C89">
        <w:rPr>
          <w:rFonts w:ascii="Book Antiqua" w:eastAsia="Book Antiqua" w:hAnsi="Book Antiqua" w:cs="Book Antiqua"/>
        </w:rPr>
        <w:t xml:space="preserve"> </w:t>
      </w:r>
      <w:r w:rsidRPr="00BE12AC">
        <w:rPr>
          <w:rFonts w:ascii="Book Antiqua" w:eastAsia="Book Antiqua" w:hAnsi="Book Antiqua" w:cs="Book Antiqua"/>
          <w:i/>
          <w:iCs/>
        </w:rPr>
        <w:t>via</w:t>
      </w:r>
      <w:r w:rsidRPr="00BE12AC">
        <w:rPr>
          <w:rFonts w:ascii="Book Antiqua" w:eastAsia="Book Antiqua" w:hAnsi="Book Antiqua" w:cs="Book Antiqua"/>
        </w:rPr>
        <w:t xml:space="preserve"> targeting the 3'-untranslated region (3'-UTR) of </w:t>
      </w:r>
      <w:r w:rsidR="00376C89">
        <w:rPr>
          <w:rFonts w:ascii="Book Antiqua" w:eastAsia="Book Antiqua" w:hAnsi="Book Antiqua" w:cs="Book Antiqua"/>
        </w:rPr>
        <w:t>p</w:t>
      </w:r>
      <w:r w:rsidRPr="00BE12AC">
        <w:rPr>
          <w:rFonts w:ascii="Book Antiqua" w:eastAsia="Book Antiqua" w:hAnsi="Book Antiqua" w:cs="Book Antiqua"/>
        </w:rPr>
        <w:t xml:space="preserve">rotein </w:t>
      </w:r>
      <w:r w:rsidR="00376C89">
        <w:rPr>
          <w:rFonts w:ascii="Book Antiqua" w:eastAsia="Book Antiqua" w:hAnsi="Book Antiqua" w:cs="Book Antiqua"/>
        </w:rPr>
        <w:t>i</w:t>
      </w:r>
      <w:r w:rsidRPr="00BE12AC">
        <w:rPr>
          <w:rFonts w:ascii="Book Antiqua" w:eastAsia="Book Antiqua" w:hAnsi="Book Antiqua" w:cs="Book Antiqua"/>
        </w:rPr>
        <w:t xml:space="preserve">nteracting with C Kinase 1 (PICK1). PICK1 inhibits the interaction of </w:t>
      </w:r>
      <w:r w:rsidR="00376C89">
        <w:rPr>
          <w:rFonts w:ascii="Book Antiqua" w:eastAsia="Book Antiqua" w:hAnsi="Book Antiqua" w:cs="Book Antiqua"/>
        </w:rPr>
        <w:t>d</w:t>
      </w:r>
      <w:r w:rsidRPr="00BE12AC">
        <w:rPr>
          <w:rFonts w:ascii="Book Antiqua" w:eastAsia="Book Antiqua" w:hAnsi="Book Antiqua" w:cs="Book Antiqua"/>
        </w:rPr>
        <w:t xml:space="preserve">icer 1, </w:t>
      </w:r>
      <w:r w:rsidR="00376C89">
        <w:rPr>
          <w:rFonts w:ascii="Book Antiqua" w:eastAsia="Book Antiqua" w:hAnsi="Book Antiqua" w:cs="Book Antiqua"/>
        </w:rPr>
        <w:t>r</w:t>
      </w:r>
      <w:r w:rsidRPr="00BE12AC">
        <w:rPr>
          <w:rFonts w:ascii="Book Antiqua" w:eastAsia="Book Antiqua" w:hAnsi="Book Antiqua" w:cs="Book Antiqua"/>
        </w:rPr>
        <w:t xml:space="preserve">ibonuclease III and </w:t>
      </w:r>
      <w:r w:rsidR="00376C89">
        <w:rPr>
          <w:rFonts w:ascii="Book Antiqua" w:eastAsia="Book Antiqua" w:hAnsi="Book Antiqua" w:cs="Book Antiqua"/>
        </w:rPr>
        <w:t>m</w:t>
      </w:r>
      <w:r w:rsidRPr="00BE12AC">
        <w:rPr>
          <w:rFonts w:ascii="Book Antiqua" w:eastAsia="Book Antiqua" w:hAnsi="Book Antiqua" w:cs="Book Antiqua"/>
        </w:rPr>
        <w:t>others against decapentaplegic homolog 2/3, as well as the processing of pre-miR-615-3p to its mature miRNA form, within breast cancer cells. This regulatory mechanism establishes a negative feedback loop</w:t>
      </w:r>
      <w:r w:rsidRPr="00BE12AC">
        <w:rPr>
          <w:rFonts w:ascii="Book Antiqua" w:eastAsia="Book Antiqua" w:hAnsi="Book Antiqua" w:cs="Book Antiqua"/>
          <w:vertAlign w:val="superscript"/>
        </w:rPr>
        <w:t>[55]</w:t>
      </w:r>
      <w:r w:rsidRPr="00BE12AC">
        <w:rPr>
          <w:rFonts w:ascii="Book Antiqua" w:eastAsia="Book Antiqua" w:hAnsi="Book Antiqua" w:cs="Book Antiqua"/>
        </w:rPr>
        <w:t>.</w:t>
      </w:r>
    </w:p>
    <w:p w14:paraId="28348FE4" w14:textId="6D7680B1"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Furthermore, the investigation revealed </w:t>
      </w:r>
      <w:r w:rsidR="00B5177C">
        <w:rPr>
          <w:rFonts w:ascii="Book Antiqua" w:eastAsia="Book Antiqua" w:hAnsi="Book Antiqua" w:cs="Book Antiqua"/>
        </w:rPr>
        <w:t>the</w:t>
      </w:r>
      <w:r w:rsidR="00B5177C" w:rsidRPr="00BE12AC">
        <w:rPr>
          <w:rFonts w:ascii="Book Antiqua" w:eastAsia="Book Antiqua" w:hAnsi="Book Antiqua" w:cs="Book Antiqua"/>
        </w:rPr>
        <w:t xml:space="preserve"> </w:t>
      </w:r>
      <w:r w:rsidRPr="00BE12AC">
        <w:rPr>
          <w:rFonts w:ascii="Book Antiqua" w:eastAsia="Book Antiqua" w:hAnsi="Book Antiqua" w:cs="Book Antiqua"/>
        </w:rPr>
        <w:t xml:space="preserve">noteworthy upregulation of HOXA transcript at the distal tip (HOTTIP) expression and </w:t>
      </w:r>
      <w:r w:rsidR="00B5177C">
        <w:rPr>
          <w:rFonts w:ascii="Book Antiqua" w:eastAsia="Book Antiqua" w:hAnsi="Book Antiqua" w:cs="Book Antiqua"/>
        </w:rPr>
        <w:t>the</w:t>
      </w:r>
      <w:r w:rsidR="00B5177C" w:rsidRPr="00BE12AC">
        <w:rPr>
          <w:rFonts w:ascii="Book Antiqua" w:eastAsia="Book Antiqua" w:hAnsi="Book Antiqua" w:cs="Book Antiqua"/>
        </w:rPr>
        <w:t xml:space="preserve"> </w:t>
      </w:r>
      <w:r w:rsidRPr="00BE12AC">
        <w:rPr>
          <w:rFonts w:ascii="Book Antiqua" w:eastAsia="Book Antiqua" w:hAnsi="Book Antiqua" w:cs="Book Antiqua"/>
        </w:rPr>
        <w:t xml:space="preserve">significant downregulation of miR-615-3p expression in breast cancer patients compared to healthy individuals, as well </w:t>
      </w:r>
      <w:r w:rsidRPr="00BE12AC">
        <w:rPr>
          <w:rFonts w:ascii="Book Antiqua" w:eastAsia="Book Antiqua" w:hAnsi="Book Antiqua" w:cs="Book Antiqua"/>
        </w:rPr>
        <w:lastRenderedPageBreak/>
        <w:t>as patients from non</w:t>
      </w:r>
      <w:r w:rsidR="00B5177C">
        <w:rPr>
          <w:rFonts w:ascii="Book Antiqua" w:eastAsia="Book Antiqua" w:hAnsi="Book Antiqua" w:cs="Book Antiqua"/>
        </w:rPr>
        <w:t>-</w:t>
      </w:r>
      <w:r w:rsidRPr="00BE12AC">
        <w:rPr>
          <w:rFonts w:ascii="Book Antiqua" w:eastAsia="Book Antiqua" w:hAnsi="Book Antiqua" w:cs="Book Antiqua"/>
        </w:rPr>
        <w:t>breast cancer groups (</w:t>
      </w:r>
      <w:r w:rsidRPr="00BE12AC">
        <w:rPr>
          <w:rFonts w:ascii="Book Antiqua" w:eastAsia="Book Antiqua" w:hAnsi="Book Antiqua" w:cs="Book Antiqua"/>
          <w:i/>
          <w:iCs/>
        </w:rPr>
        <w:t>P</w:t>
      </w:r>
      <w:r w:rsidRPr="00BE12AC">
        <w:rPr>
          <w:rFonts w:ascii="Book Antiqua" w:eastAsia="Book Antiqua" w:hAnsi="Book Antiqua" w:cs="Book Antiqua"/>
        </w:rPr>
        <w:t xml:space="preserve"> &lt; 0.001 for all comparisons). Importantly, in the serum of breast cancer patients, there was a substantial negative connection between the expression levels of HOTTIP and miR-615-3p</w:t>
      </w:r>
      <w:r w:rsidRPr="00BE12AC">
        <w:rPr>
          <w:rFonts w:ascii="Book Antiqua" w:eastAsia="Book Antiqua" w:hAnsi="Book Antiqua" w:cs="Book Antiqua"/>
          <w:vertAlign w:val="superscript"/>
        </w:rPr>
        <w:t>[56]</w:t>
      </w:r>
      <w:r w:rsidRPr="00BE12AC">
        <w:rPr>
          <w:rFonts w:ascii="Book Antiqua" w:eastAsia="Book Antiqua" w:hAnsi="Book Antiqua" w:cs="Book Antiqua"/>
        </w:rPr>
        <w:t>. Additionally, by inhibiting CUGBP Elav-like family member 2 expression, miR-615-3p was discovered to increase cancer cell motility and proliferation</w:t>
      </w:r>
      <w:r w:rsidRPr="00BE12AC">
        <w:rPr>
          <w:rFonts w:ascii="Book Antiqua" w:eastAsia="Book Antiqua" w:hAnsi="Book Antiqua" w:cs="Book Antiqua"/>
          <w:vertAlign w:val="superscript"/>
        </w:rPr>
        <w:t>[57]</w:t>
      </w:r>
      <w:r w:rsidRPr="00BE12AC">
        <w:rPr>
          <w:rFonts w:ascii="Book Antiqua" w:eastAsia="Book Antiqua" w:hAnsi="Book Antiqua" w:cs="Book Antiqua"/>
        </w:rPr>
        <w:t>.</w:t>
      </w:r>
    </w:p>
    <w:p w14:paraId="6816EB54" w14:textId="27C31CF7"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Although research on the effect of miR-519b-3p </w:t>
      </w:r>
      <w:r w:rsidR="00B5177C">
        <w:rPr>
          <w:rFonts w:ascii="Book Antiqua" w:eastAsia="Book Antiqua" w:hAnsi="Book Antiqua" w:cs="Book Antiqua"/>
        </w:rPr>
        <w:t>o</w:t>
      </w:r>
      <w:r w:rsidRPr="00BE12AC">
        <w:rPr>
          <w:rFonts w:ascii="Book Antiqua" w:eastAsia="Book Antiqua" w:hAnsi="Book Antiqua" w:cs="Book Antiqua"/>
        </w:rPr>
        <w:t>n breast cancer is limited, it appears to have a major impact on cancer cell proliferation and invasion. Previous research has found that miR-519b-3p expression is significantly downregulated in colorectal cancer tissues and cell lines. Overexpression of miR-519b-3p inhibit</w:t>
      </w:r>
      <w:r w:rsidR="00B5177C">
        <w:rPr>
          <w:rFonts w:ascii="Book Antiqua" w:eastAsia="Book Antiqua" w:hAnsi="Book Antiqua" w:cs="Book Antiqua"/>
        </w:rPr>
        <w:t>s the</w:t>
      </w:r>
      <w:r w:rsidRPr="00BE12AC">
        <w:rPr>
          <w:rFonts w:ascii="Book Antiqua" w:eastAsia="Book Antiqua" w:hAnsi="Book Antiqua" w:cs="Book Antiqua"/>
        </w:rPr>
        <w:t xml:space="preserve"> proliferation and invasion </w:t>
      </w:r>
      <w:r w:rsidR="00B5177C">
        <w:rPr>
          <w:rFonts w:ascii="Book Antiqua" w:eastAsia="Book Antiqua" w:hAnsi="Book Antiqua" w:cs="Book Antiqua"/>
        </w:rPr>
        <w:t>of</w:t>
      </w:r>
      <w:r w:rsidRPr="00BE12AC">
        <w:rPr>
          <w:rFonts w:ascii="Book Antiqua" w:eastAsia="Book Antiqua" w:hAnsi="Book Antiqua" w:cs="Book Antiqua"/>
        </w:rPr>
        <w:t xml:space="preserve"> colorectal cancer cell lines, the Rous sarcoma oncogene-transformed rat kidney cell line</w:t>
      </w:r>
      <w:r w:rsidR="00B5177C">
        <w:rPr>
          <w:rFonts w:ascii="Book Antiqua" w:eastAsia="Book Antiqua" w:hAnsi="Book Antiqua" w:cs="Book Antiqua"/>
        </w:rPr>
        <w:t>,</w:t>
      </w:r>
      <w:r w:rsidRPr="00BE12AC">
        <w:rPr>
          <w:rFonts w:ascii="Book Antiqua" w:eastAsia="Book Antiqua" w:hAnsi="Book Antiqua" w:cs="Book Antiqua"/>
        </w:rPr>
        <w:t xml:space="preserve"> and Duke's </w:t>
      </w:r>
      <w:r w:rsidR="00B5177C">
        <w:rPr>
          <w:rFonts w:ascii="Book Antiqua" w:eastAsia="Book Antiqua" w:hAnsi="Book Antiqua" w:cs="Book Antiqua"/>
        </w:rPr>
        <w:t>t</w:t>
      </w:r>
      <w:r w:rsidRPr="00BE12AC">
        <w:rPr>
          <w:rFonts w:ascii="Book Antiqua" w:eastAsia="Book Antiqua" w:hAnsi="Book Antiqua" w:cs="Book Antiqua"/>
        </w:rPr>
        <w:t xml:space="preserve">ype B colorectal </w:t>
      </w:r>
      <w:r w:rsidR="00B5177C">
        <w:rPr>
          <w:rFonts w:ascii="Book Antiqua" w:eastAsia="Book Antiqua" w:hAnsi="Book Antiqua" w:cs="Book Antiqua"/>
        </w:rPr>
        <w:t>a</w:t>
      </w:r>
      <w:r w:rsidRPr="00BE12AC">
        <w:rPr>
          <w:rFonts w:ascii="Book Antiqua" w:eastAsia="Book Antiqua" w:hAnsi="Book Antiqua" w:cs="Book Antiqua"/>
        </w:rPr>
        <w:t xml:space="preserve">denocarcinoma cell </w:t>
      </w:r>
      <w:r w:rsidR="00B5177C">
        <w:rPr>
          <w:rFonts w:ascii="Book Antiqua" w:eastAsia="Book Antiqua" w:hAnsi="Book Antiqua" w:cs="Book Antiqua"/>
        </w:rPr>
        <w:t>l</w:t>
      </w:r>
      <w:r w:rsidRPr="00BE12AC">
        <w:rPr>
          <w:rFonts w:ascii="Book Antiqua" w:eastAsia="Book Antiqua" w:hAnsi="Book Antiqua" w:cs="Book Antiqua"/>
        </w:rPr>
        <w:t>ine 1. On the other hand, low expression ha</w:t>
      </w:r>
      <w:r w:rsidR="00B5177C">
        <w:rPr>
          <w:rFonts w:ascii="Book Antiqua" w:eastAsia="Book Antiqua" w:hAnsi="Book Antiqua" w:cs="Book Antiqua"/>
        </w:rPr>
        <w:t>s</w:t>
      </w:r>
      <w:r w:rsidRPr="00BE12AC">
        <w:rPr>
          <w:rFonts w:ascii="Book Antiqua" w:eastAsia="Book Antiqua" w:hAnsi="Book Antiqua" w:cs="Book Antiqua"/>
        </w:rPr>
        <w:t xml:space="preserve"> the reverse effect.</w:t>
      </w:r>
    </w:p>
    <w:p w14:paraId="2B8C2382" w14:textId="10A2DCD5"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Notably, miR-519b-3p suppress</w:t>
      </w:r>
      <w:r w:rsidR="00B5177C">
        <w:rPr>
          <w:rFonts w:ascii="Book Antiqua" w:eastAsia="Book Antiqua" w:hAnsi="Book Antiqua" w:cs="Book Antiqua"/>
        </w:rPr>
        <w:t>es</w:t>
      </w:r>
      <w:r w:rsidRPr="00BE12AC">
        <w:rPr>
          <w:rFonts w:ascii="Book Antiqua" w:eastAsia="Book Antiqua" w:hAnsi="Book Antiqua" w:cs="Book Antiqua"/>
        </w:rPr>
        <w:t xml:space="preserve"> colorectal cancer cell proliferation and invasion by targeting the uMtCK/Wnt signaling pathway</w:t>
      </w:r>
      <w:r w:rsidRPr="00BE12AC">
        <w:rPr>
          <w:rFonts w:ascii="Book Antiqua" w:eastAsia="Book Antiqua" w:hAnsi="Book Antiqua" w:cs="Book Antiqua"/>
          <w:vertAlign w:val="superscript"/>
        </w:rPr>
        <w:t>[58]</w:t>
      </w:r>
      <w:r w:rsidRPr="00BE12AC">
        <w:rPr>
          <w:rFonts w:ascii="Book Antiqua" w:eastAsia="Book Antiqua" w:hAnsi="Book Antiqua" w:cs="Book Antiqua"/>
        </w:rPr>
        <w:t>. Furthermore, LINC01419 negatively regulate</w:t>
      </w:r>
      <w:r w:rsidR="006F41A9">
        <w:rPr>
          <w:rFonts w:ascii="Book Antiqua" w:eastAsia="Book Antiqua" w:hAnsi="Book Antiqua" w:cs="Book Antiqua"/>
        </w:rPr>
        <w:t>s</w:t>
      </w:r>
      <w:r w:rsidRPr="00BE12AC">
        <w:rPr>
          <w:rFonts w:ascii="Book Antiqua" w:eastAsia="Book Antiqua" w:hAnsi="Book Antiqua" w:cs="Book Antiqua"/>
        </w:rPr>
        <w:t xml:space="preserve"> miR-519b-3p, with </w:t>
      </w:r>
      <w:r w:rsidR="00B5177C">
        <w:rPr>
          <w:rFonts w:ascii="Book Antiqua" w:eastAsia="Book Antiqua" w:hAnsi="Book Antiqua" w:cs="Book Antiqua"/>
        </w:rPr>
        <w:t>r</w:t>
      </w:r>
      <w:r w:rsidRPr="00BE12AC">
        <w:rPr>
          <w:rFonts w:ascii="Book Antiqua" w:eastAsia="Book Antiqua" w:hAnsi="Book Antiqua" w:cs="Book Antiqua"/>
        </w:rPr>
        <w:t xml:space="preserve">enal </w:t>
      </w:r>
      <w:r w:rsidR="00B5177C">
        <w:rPr>
          <w:rFonts w:ascii="Book Antiqua" w:eastAsia="Book Antiqua" w:hAnsi="Book Antiqua" w:cs="Book Antiqua"/>
        </w:rPr>
        <w:t>c</w:t>
      </w:r>
      <w:r w:rsidRPr="00BE12AC">
        <w:rPr>
          <w:rFonts w:ascii="Book Antiqua" w:eastAsia="Book Antiqua" w:hAnsi="Book Antiqua" w:cs="Book Antiqua"/>
        </w:rPr>
        <w:t xml:space="preserve">ell </w:t>
      </w:r>
      <w:r w:rsidR="00B5177C">
        <w:rPr>
          <w:rFonts w:ascii="Book Antiqua" w:eastAsia="Book Antiqua" w:hAnsi="Book Antiqua" w:cs="Book Antiqua"/>
        </w:rPr>
        <w:t>c</w:t>
      </w:r>
      <w:r w:rsidRPr="00BE12AC">
        <w:rPr>
          <w:rFonts w:ascii="Book Antiqua" w:eastAsia="Book Antiqua" w:hAnsi="Book Antiqua" w:cs="Book Antiqua"/>
        </w:rPr>
        <w:t xml:space="preserve">arcinoma </w:t>
      </w:r>
      <w:r w:rsidR="00B5177C">
        <w:rPr>
          <w:rFonts w:ascii="Book Antiqua" w:eastAsia="Book Antiqua" w:hAnsi="Book Antiqua" w:cs="Book Antiqua"/>
        </w:rPr>
        <w:t>d</w:t>
      </w:r>
      <w:r w:rsidRPr="00BE12AC">
        <w:rPr>
          <w:rFonts w:ascii="Book Antiqua" w:eastAsia="Book Antiqua" w:hAnsi="Book Antiqua" w:cs="Book Antiqua"/>
        </w:rPr>
        <w:t xml:space="preserve">ifferentiation 1 (RCCD1) identified as a downstream target of miR-519b-3p and its expression being negatively associated with that of miR-519b-3p. Conversely, the expression of LINC01419 </w:t>
      </w:r>
      <w:r w:rsidR="006F41A9">
        <w:rPr>
          <w:rFonts w:ascii="Book Antiqua" w:eastAsia="Book Antiqua" w:hAnsi="Book Antiqua" w:cs="Book Antiqua"/>
        </w:rPr>
        <w:t>is</w:t>
      </w:r>
      <w:r w:rsidRPr="00BE12AC">
        <w:rPr>
          <w:rFonts w:ascii="Book Antiqua" w:eastAsia="Book Antiqua" w:hAnsi="Book Antiqua" w:cs="Book Antiqua"/>
        </w:rPr>
        <w:t xml:space="preserve"> positive</w:t>
      </w:r>
      <w:r w:rsidR="006F41A9">
        <w:rPr>
          <w:rFonts w:ascii="Book Antiqua" w:eastAsia="Book Antiqua" w:hAnsi="Book Antiqua" w:cs="Book Antiqua"/>
        </w:rPr>
        <w:t>ly</w:t>
      </w:r>
      <w:r w:rsidRPr="00BE12AC">
        <w:rPr>
          <w:rFonts w:ascii="Book Antiqua" w:eastAsia="Book Antiqua" w:hAnsi="Book Antiqua" w:cs="Book Antiqua"/>
        </w:rPr>
        <w:t xml:space="preserve"> </w:t>
      </w:r>
      <w:r w:rsidR="006F41A9" w:rsidRPr="00BE12AC">
        <w:rPr>
          <w:rFonts w:ascii="Book Antiqua" w:eastAsia="Book Antiqua" w:hAnsi="Book Antiqua" w:cs="Book Antiqua"/>
        </w:rPr>
        <w:t>correlat</w:t>
      </w:r>
      <w:r w:rsidR="006F41A9">
        <w:rPr>
          <w:rFonts w:ascii="Book Antiqua" w:eastAsia="Book Antiqua" w:hAnsi="Book Antiqua" w:cs="Book Antiqua"/>
        </w:rPr>
        <w:t>ed</w:t>
      </w:r>
      <w:r w:rsidR="006F41A9" w:rsidRPr="00BE12AC">
        <w:rPr>
          <w:rFonts w:ascii="Book Antiqua" w:eastAsia="Book Antiqua" w:hAnsi="Book Antiqua" w:cs="Book Antiqua"/>
        </w:rPr>
        <w:t xml:space="preserve"> </w:t>
      </w:r>
      <w:r w:rsidRPr="00BE12AC">
        <w:rPr>
          <w:rFonts w:ascii="Book Antiqua" w:eastAsia="Book Antiqua" w:hAnsi="Book Antiqua" w:cs="Book Antiqua"/>
        </w:rPr>
        <w:t>with RCCD1 expression. Later studies showed that the effects of LINC01419 silencing on cell proliferation, migration, and invasion could be mitigated by overexpressing miR-519b-3p inhibitors or RCCD1. These findings suggest that LINC01419 enhances RCCD1 expression through sequestering miR-519b-3p, thereby promoting carcinogenesis in lung adenocarcinoma. As a result, LINC01419 holds potential therapeutic value in the management of lung adenocarcinoma</w:t>
      </w:r>
      <w:r w:rsidRPr="00BE12AC">
        <w:rPr>
          <w:rFonts w:ascii="Book Antiqua" w:eastAsia="Book Antiqua" w:hAnsi="Book Antiqua" w:cs="Book Antiqua"/>
          <w:vertAlign w:val="superscript"/>
        </w:rPr>
        <w:t>[59]</w:t>
      </w:r>
      <w:r w:rsidRPr="00BE12AC">
        <w:rPr>
          <w:rFonts w:ascii="Book Antiqua" w:eastAsia="Book Antiqua" w:hAnsi="Book Antiqua" w:cs="Book Antiqua"/>
        </w:rPr>
        <w:t>.</w:t>
      </w:r>
    </w:p>
    <w:p w14:paraId="5F76E9D5" w14:textId="687B512B"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MiR-342-3p has been linked to a poor prognosis and decreased expression in triple-negative cancers. Experimental findings </w:t>
      </w:r>
      <w:r w:rsidR="006F41A9">
        <w:rPr>
          <w:rFonts w:ascii="Book Antiqua" w:eastAsia="Book Antiqua" w:hAnsi="Book Antiqua" w:cs="Book Antiqua"/>
        </w:rPr>
        <w:t xml:space="preserve">have </w:t>
      </w:r>
      <w:r w:rsidRPr="00BE12AC">
        <w:rPr>
          <w:rFonts w:ascii="Book Antiqua" w:eastAsia="Book Antiqua" w:hAnsi="Book Antiqua" w:cs="Book Antiqua"/>
        </w:rPr>
        <w:t>show</w:t>
      </w:r>
      <w:r w:rsidR="006F41A9">
        <w:rPr>
          <w:rFonts w:ascii="Book Antiqua" w:eastAsia="Book Antiqua" w:hAnsi="Book Antiqua" w:cs="Book Antiqua"/>
        </w:rPr>
        <w:t>n</w:t>
      </w:r>
      <w:r w:rsidRPr="00BE12AC">
        <w:rPr>
          <w:rFonts w:ascii="Book Antiqua" w:eastAsia="Book Antiqua" w:hAnsi="Book Antiqua" w:cs="Book Antiqua"/>
        </w:rPr>
        <w:t xml:space="preserve"> that the proliferation, viability, and motility of several triple-negative tumor cells </w:t>
      </w:r>
      <w:r w:rsidRPr="00BE12AC">
        <w:rPr>
          <w:rFonts w:ascii="Book Antiqua" w:eastAsia="Book Antiqua" w:hAnsi="Book Antiqua" w:cs="Book Antiqua"/>
          <w:i/>
          <w:iCs/>
        </w:rPr>
        <w:t>in vitro</w:t>
      </w:r>
      <w:r w:rsidRPr="00BE12AC">
        <w:rPr>
          <w:rFonts w:ascii="Book Antiqua" w:eastAsia="Book Antiqua" w:hAnsi="Book Antiqua" w:cs="Book Antiqua"/>
        </w:rPr>
        <w:t xml:space="preserve"> are greatly decreased when miR-342-3p is overexpressed. MiR-342-3p regulates lactic acid and glucose fluxes by directly targeting monocarboxylate transporter 1, causing </w:t>
      </w:r>
      <w:r w:rsidR="006F41A9">
        <w:rPr>
          <w:rFonts w:ascii="Book Antiqua" w:eastAsia="Book Antiqua" w:hAnsi="Book Antiqua" w:cs="Book Antiqua"/>
        </w:rPr>
        <w:t xml:space="preserve">the </w:t>
      </w:r>
      <w:r w:rsidRPr="00BE12AC">
        <w:rPr>
          <w:rFonts w:ascii="Book Antiqua" w:eastAsia="Book Antiqua" w:hAnsi="Book Antiqua" w:cs="Book Antiqua"/>
        </w:rPr>
        <w:t>metabolic equilibrium</w:t>
      </w:r>
      <w:r w:rsidR="006F41A9">
        <w:rPr>
          <w:rFonts w:ascii="Book Antiqua" w:eastAsia="Book Antiqua" w:hAnsi="Book Antiqua" w:cs="Book Antiqua"/>
        </w:rPr>
        <w:t xml:space="preserve"> of tumor cells</w:t>
      </w:r>
      <w:r w:rsidRPr="00BE12AC">
        <w:rPr>
          <w:rFonts w:ascii="Book Antiqua" w:eastAsia="Book Antiqua" w:hAnsi="Book Antiqua" w:cs="Book Antiqua"/>
        </w:rPr>
        <w:t xml:space="preserve"> to be disrupted. Additionally, cells with elevated miR-342-3p levels demonstrate higher optical </w:t>
      </w:r>
      <w:r w:rsidR="006F41A9">
        <w:rPr>
          <w:rFonts w:ascii="Book Antiqua" w:eastAsia="Book Antiqua" w:hAnsi="Book Antiqua" w:cs="Book Antiqua"/>
        </w:rPr>
        <w:t>r</w:t>
      </w:r>
      <w:r w:rsidRPr="00BE12AC">
        <w:rPr>
          <w:rFonts w:ascii="Book Antiqua" w:eastAsia="Book Antiqua" w:hAnsi="Book Antiqua" w:cs="Book Antiqua"/>
        </w:rPr>
        <w:t>eduction-</w:t>
      </w:r>
      <w:r w:rsidR="006F41A9">
        <w:rPr>
          <w:rFonts w:ascii="Book Antiqua" w:eastAsia="Book Antiqua" w:hAnsi="Book Antiqua" w:cs="Book Antiqua"/>
        </w:rPr>
        <w:t>o</w:t>
      </w:r>
      <w:r w:rsidRPr="00BE12AC">
        <w:rPr>
          <w:rFonts w:ascii="Book Antiqua" w:eastAsia="Book Antiqua" w:hAnsi="Book Antiqua" w:cs="Book Antiqua"/>
        </w:rPr>
        <w:t>xidation rates</w:t>
      </w:r>
      <w:r w:rsidRPr="00BE12AC">
        <w:rPr>
          <w:rFonts w:ascii="Book Antiqua" w:eastAsia="Book Antiqua" w:hAnsi="Book Antiqua" w:cs="Book Antiqua"/>
          <w:vertAlign w:val="superscript"/>
        </w:rPr>
        <w:t>[60]</w:t>
      </w:r>
      <w:r w:rsidRPr="00BE12AC">
        <w:rPr>
          <w:rFonts w:ascii="Book Antiqua" w:eastAsia="Book Antiqua" w:hAnsi="Book Antiqua" w:cs="Book Antiqua"/>
        </w:rPr>
        <w:t xml:space="preserve">. The expression of miR-342-3p in breast cancer </w:t>
      </w:r>
      <w:r w:rsidRPr="00BE12AC">
        <w:rPr>
          <w:rFonts w:ascii="Book Antiqua" w:eastAsia="Book Antiqua" w:hAnsi="Book Antiqua" w:cs="Book Antiqua"/>
        </w:rPr>
        <w:lastRenderedPageBreak/>
        <w:t xml:space="preserve">cells is significantly reduced in patients with metastatic disease. Inhibiting miR-342-3p inhibits aggressive and drug-resistant activity in breast cancer tumor cells. Further investigations have confirmed the presence of binding sites between miR-342-3p and </w:t>
      </w:r>
      <w:r w:rsidR="006F41A9">
        <w:rPr>
          <w:rFonts w:ascii="Book Antiqua" w:eastAsia="Book Antiqua" w:hAnsi="Book Antiqua" w:cs="Book Antiqua"/>
        </w:rPr>
        <w:t>i</w:t>
      </w:r>
      <w:r w:rsidRPr="00BE12AC">
        <w:rPr>
          <w:rFonts w:ascii="Book Antiqua" w:eastAsia="Book Antiqua" w:hAnsi="Book Antiqua" w:cs="Book Antiqua"/>
        </w:rPr>
        <w:t>nhibitor of DNA binding 4 (ID4). Notably, ID4 reduces the effects of miR-342-3p on chemotherapy resistance. ID4 s</w:t>
      </w:r>
      <w:r w:rsidR="006F41A9">
        <w:rPr>
          <w:rFonts w:ascii="Book Antiqua" w:eastAsia="Book Antiqua" w:hAnsi="Book Antiqua" w:cs="Book Antiqua"/>
        </w:rPr>
        <w:t xml:space="preserve">mall interfering </w:t>
      </w:r>
      <w:r w:rsidRPr="00BE12AC">
        <w:rPr>
          <w:rFonts w:ascii="Book Antiqua" w:eastAsia="Book Antiqua" w:hAnsi="Book Antiqua" w:cs="Book Antiqua"/>
        </w:rPr>
        <w:t xml:space="preserve">RNA has also been shown </w:t>
      </w:r>
      <w:r w:rsidRPr="00BE12AC">
        <w:rPr>
          <w:rFonts w:ascii="Book Antiqua" w:eastAsia="Book Antiqua" w:hAnsi="Book Antiqua" w:cs="Book Antiqua"/>
          <w:i/>
          <w:iCs/>
        </w:rPr>
        <w:t>in vivo</w:t>
      </w:r>
      <w:r w:rsidRPr="00BE12AC">
        <w:rPr>
          <w:rFonts w:ascii="Book Antiqua" w:eastAsia="Book Antiqua" w:hAnsi="Book Antiqua" w:cs="Book Antiqua"/>
        </w:rPr>
        <w:t xml:space="preserve"> to have tumor-suppressive properties. MiR-342-3p suppresses metastasis and chemotherapy resistance in breast cancer cells by targeting ID4, </w:t>
      </w:r>
      <w:r w:rsidR="006F41A9">
        <w:rPr>
          <w:rFonts w:ascii="Book Antiqua" w:eastAsia="Book Antiqua" w:hAnsi="Book Antiqua" w:cs="Book Antiqua"/>
        </w:rPr>
        <w:t>indicating</w:t>
      </w:r>
      <w:r w:rsidR="006F41A9" w:rsidRPr="00BE12AC">
        <w:rPr>
          <w:rFonts w:ascii="Book Antiqua" w:eastAsia="Book Antiqua" w:hAnsi="Book Antiqua" w:cs="Book Antiqua"/>
        </w:rPr>
        <w:t xml:space="preserve"> </w:t>
      </w:r>
      <w:r w:rsidRPr="00BE12AC">
        <w:rPr>
          <w:rFonts w:ascii="Book Antiqua" w:eastAsia="Book Antiqua" w:hAnsi="Book Antiqua" w:cs="Book Antiqua"/>
        </w:rPr>
        <w:t>its potential as a tumor suppressor</w:t>
      </w:r>
      <w:r w:rsidRPr="00BE12AC">
        <w:rPr>
          <w:rFonts w:ascii="Book Antiqua" w:eastAsia="Book Antiqua" w:hAnsi="Book Antiqua" w:cs="Book Antiqua"/>
          <w:vertAlign w:val="superscript"/>
        </w:rPr>
        <w:t>[61]</w:t>
      </w:r>
      <w:r w:rsidRPr="00BE12AC">
        <w:rPr>
          <w:rFonts w:ascii="Book Antiqua" w:eastAsia="Book Antiqua" w:hAnsi="Book Antiqua" w:cs="Book Antiqua"/>
        </w:rPr>
        <w:t>. This discovery identifie</w:t>
      </w:r>
      <w:r w:rsidR="006F41A9">
        <w:rPr>
          <w:rFonts w:ascii="Book Antiqua" w:eastAsia="Book Antiqua" w:hAnsi="Book Antiqua" w:cs="Book Antiqua"/>
        </w:rPr>
        <w:t>d</w:t>
      </w:r>
      <w:r w:rsidRPr="00BE12AC">
        <w:rPr>
          <w:rFonts w:ascii="Book Antiqua" w:eastAsia="Book Antiqua" w:hAnsi="Book Antiqua" w:cs="Book Antiqua"/>
        </w:rPr>
        <w:t xml:space="preserve"> miR-342-3p as a possible therapeutic target for breast cancer treatment.</w:t>
      </w:r>
    </w:p>
    <w:p w14:paraId="6ADA58E0" w14:textId="7888805B"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Metformin causes iron mortality in MDA-MB-231 cells </w:t>
      </w:r>
      <w:r w:rsidRPr="00BE12AC">
        <w:rPr>
          <w:rFonts w:ascii="Book Antiqua" w:eastAsia="Book Antiqua" w:hAnsi="Book Antiqua" w:cs="Book Antiqua"/>
          <w:i/>
          <w:iCs/>
        </w:rPr>
        <w:t>via</w:t>
      </w:r>
      <w:r w:rsidRPr="00BE12AC">
        <w:rPr>
          <w:rFonts w:ascii="Book Antiqua" w:eastAsia="Book Antiqua" w:hAnsi="Book Antiqua" w:cs="Book Antiqua"/>
        </w:rPr>
        <w:t xml:space="preserve"> increasing the expression of miR-324-3p. Overexpression of miR-324-3p leads to the inhibition of cancer cell growth activity, while its inhibition promotes cell growth activity. The regulatory action of </w:t>
      </w:r>
      <w:r w:rsidR="006F41A9">
        <w:rPr>
          <w:rFonts w:ascii="Book Antiqua" w:eastAsia="Book Antiqua" w:hAnsi="Book Antiqua" w:cs="Book Antiqua"/>
        </w:rPr>
        <w:t>m</w:t>
      </w:r>
      <w:r w:rsidRPr="00BE12AC">
        <w:rPr>
          <w:rFonts w:ascii="Book Antiqua" w:eastAsia="Book Antiqua" w:hAnsi="Book Antiqua" w:cs="Book Antiqua"/>
        </w:rPr>
        <w:t>iR-324-3p involves direct target</w:t>
      </w:r>
      <w:r w:rsidR="006F41A9">
        <w:rPr>
          <w:rFonts w:ascii="Book Antiqua" w:eastAsia="Book Antiqua" w:hAnsi="Book Antiqua" w:cs="Book Antiqua"/>
        </w:rPr>
        <w:t>i</w:t>
      </w:r>
      <w:r w:rsidRPr="00BE12AC">
        <w:rPr>
          <w:rFonts w:ascii="Book Antiqua" w:eastAsia="Book Antiqua" w:hAnsi="Book Antiqua" w:cs="Book Antiqua"/>
        </w:rPr>
        <w:t xml:space="preserve">ng of glutathione peroxidase 4 (GPX4) </w:t>
      </w:r>
      <w:r w:rsidRPr="00BE12AC">
        <w:rPr>
          <w:rFonts w:ascii="Book Antiqua" w:eastAsia="Book Antiqua" w:hAnsi="Book Antiqua" w:cs="Book Antiqua"/>
          <w:i/>
          <w:iCs/>
        </w:rPr>
        <w:t>via</w:t>
      </w:r>
      <w:r w:rsidRPr="00BE12AC">
        <w:rPr>
          <w:rFonts w:ascii="Book Antiqua" w:eastAsia="Book Antiqua" w:hAnsi="Book Antiqua" w:cs="Book Antiqua"/>
        </w:rPr>
        <w:t xml:space="preserve"> binding to the 3'-UTR region of GPX4, resulting in the downregulation of GPX4 expression</w:t>
      </w:r>
      <w:r w:rsidRPr="00BE12AC">
        <w:rPr>
          <w:rFonts w:ascii="Book Antiqua" w:eastAsia="Book Antiqua" w:hAnsi="Book Antiqua" w:cs="Book Antiqua"/>
          <w:vertAlign w:val="superscript"/>
        </w:rPr>
        <w:t>[62]</w:t>
      </w:r>
      <w:r w:rsidRPr="00BE12AC">
        <w:rPr>
          <w:rFonts w:ascii="Book Antiqua" w:eastAsia="Book Antiqua" w:hAnsi="Book Antiqua" w:cs="Book Antiqua"/>
        </w:rPr>
        <w:t xml:space="preserve">. MiR-324-3p may exert its regulatory role through multiple pathways, including iron death and AICD. LINC00963 works by blocking the inhibitory activity of miR-324-3p on activated Cdc42-associated kinase 1 (ACK1) expression. Clinically, miR-324-3p has a negative </w:t>
      </w:r>
      <w:r w:rsidR="006F41A9">
        <w:rPr>
          <w:rFonts w:ascii="Book Antiqua" w:eastAsia="Book Antiqua" w:hAnsi="Book Antiqua" w:cs="Book Antiqua"/>
        </w:rPr>
        <w:t>correlation</w:t>
      </w:r>
      <w:r w:rsidR="006F41A9" w:rsidRPr="00BE12AC">
        <w:rPr>
          <w:rFonts w:ascii="Book Antiqua" w:eastAsia="Book Antiqua" w:hAnsi="Book Antiqua" w:cs="Book Antiqua"/>
        </w:rPr>
        <w:t xml:space="preserve"> </w:t>
      </w:r>
      <w:r w:rsidRPr="00BE12AC">
        <w:rPr>
          <w:rFonts w:ascii="Book Antiqua" w:eastAsia="Book Antiqua" w:hAnsi="Book Antiqua" w:cs="Book Antiqua"/>
        </w:rPr>
        <w:t>with LINC00963 expression in breast cancer tissues. The inhibitory effect of miR-324-3p on the growth and radiosensitivity of breast cancer cells can be reduced by overexpressing LINC00963 or ACK1</w:t>
      </w:r>
      <w:r w:rsidRPr="00BE12AC">
        <w:rPr>
          <w:rFonts w:ascii="Book Antiqua" w:eastAsia="Book Antiqua" w:hAnsi="Book Antiqua" w:cs="Book Antiqua"/>
          <w:vertAlign w:val="superscript"/>
        </w:rPr>
        <w:t>[63]</w:t>
      </w:r>
      <w:r w:rsidRPr="00BE12AC">
        <w:rPr>
          <w:rFonts w:ascii="Book Antiqua" w:eastAsia="Book Antiqua" w:hAnsi="Book Antiqua" w:cs="Book Antiqua"/>
        </w:rPr>
        <w:t>.</w:t>
      </w:r>
    </w:p>
    <w:p w14:paraId="2C32000E" w14:textId="27C8ED06"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Additionally, in the tissues and cells of triple-negative breast cancer, </w:t>
      </w:r>
      <w:r w:rsidR="006F41A9">
        <w:rPr>
          <w:rFonts w:ascii="Book Antiqua" w:eastAsia="Book Antiqua" w:hAnsi="Book Antiqua" w:cs="Book Antiqua"/>
        </w:rPr>
        <w:t>s</w:t>
      </w:r>
      <w:r w:rsidRPr="00BE12AC">
        <w:rPr>
          <w:rFonts w:ascii="Book Antiqua" w:eastAsia="Book Antiqua" w:hAnsi="Book Antiqua" w:cs="Book Antiqua"/>
        </w:rPr>
        <w:t xml:space="preserve">mall </w:t>
      </w:r>
      <w:r w:rsidR="006F41A9">
        <w:rPr>
          <w:rFonts w:ascii="Book Antiqua" w:eastAsia="Book Antiqua" w:hAnsi="Book Antiqua" w:cs="Book Antiqua"/>
        </w:rPr>
        <w:t>n</w:t>
      </w:r>
      <w:r w:rsidRPr="00BE12AC">
        <w:rPr>
          <w:rFonts w:ascii="Book Antiqua" w:eastAsia="Book Antiqua" w:hAnsi="Book Antiqua" w:cs="Book Antiqua"/>
        </w:rPr>
        <w:t xml:space="preserve">ucleolar RNA </w:t>
      </w:r>
      <w:r w:rsidR="006F41A9">
        <w:rPr>
          <w:rFonts w:ascii="Book Antiqua" w:eastAsia="Book Antiqua" w:hAnsi="Book Antiqua" w:cs="Book Antiqua"/>
        </w:rPr>
        <w:t>h</w:t>
      </w:r>
      <w:r w:rsidRPr="00BE12AC">
        <w:rPr>
          <w:rFonts w:ascii="Book Antiqua" w:eastAsia="Book Antiqua" w:hAnsi="Book Antiqua" w:cs="Book Antiqua"/>
        </w:rPr>
        <w:t xml:space="preserve">ost </w:t>
      </w:r>
      <w:r w:rsidR="006F41A9">
        <w:rPr>
          <w:rFonts w:ascii="Book Antiqua" w:eastAsia="Book Antiqua" w:hAnsi="Book Antiqua" w:cs="Book Antiqua"/>
        </w:rPr>
        <w:t>g</w:t>
      </w:r>
      <w:r w:rsidRPr="00BE12AC">
        <w:rPr>
          <w:rFonts w:ascii="Book Antiqua" w:eastAsia="Book Antiqua" w:hAnsi="Book Antiqua" w:cs="Book Antiqua"/>
        </w:rPr>
        <w:t>ene 22 (SNHG22) is abundantly expressed. Triple-negative breast cancer cells are prevented from proliferating, migrating, and invading when SNHG22 is silenced. Furthermore, SNHG22 acts as a sponge for miR-324-3p, lowering its expression in triple-negative breast cancer cells. However, miR-324-3p upregulation suppresses the proliferation and migration of triple-negative breast cancer cells</w:t>
      </w:r>
      <w:r w:rsidRPr="00BE12AC">
        <w:rPr>
          <w:rFonts w:ascii="Book Antiqua" w:eastAsia="Book Antiqua" w:hAnsi="Book Antiqua" w:cs="Book Antiqua"/>
          <w:vertAlign w:val="superscript"/>
        </w:rPr>
        <w:t>[64]</w:t>
      </w:r>
      <w:r w:rsidRPr="00BE12AC">
        <w:rPr>
          <w:rFonts w:ascii="Book Antiqua" w:eastAsia="Book Antiqua" w:hAnsi="Book Antiqua" w:cs="Book Antiqua"/>
        </w:rPr>
        <w:t xml:space="preserve">. Notably, miR-324-3p inhibition, or </w:t>
      </w:r>
      <w:r w:rsidR="006F41A9">
        <w:rPr>
          <w:rFonts w:ascii="Book Antiqua" w:eastAsia="Book Antiqua" w:hAnsi="Book Antiqua" w:cs="Book Antiqua"/>
        </w:rPr>
        <w:t>s</w:t>
      </w:r>
      <w:r w:rsidRPr="00BE12AC">
        <w:rPr>
          <w:rFonts w:ascii="Book Antiqua" w:eastAsia="Book Antiqua" w:hAnsi="Book Antiqua" w:cs="Book Antiqua"/>
        </w:rPr>
        <w:t xml:space="preserve">uppressor of </w:t>
      </w:r>
      <w:r w:rsidR="006F41A9">
        <w:rPr>
          <w:rFonts w:ascii="Book Antiqua" w:eastAsia="Book Antiqua" w:hAnsi="Book Antiqua" w:cs="Book Antiqua"/>
        </w:rPr>
        <w:t>d</w:t>
      </w:r>
      <w:r w:rsidRPr="00BE12AC">
        <w:rPr>
          <w:rFonts w:ascii="Book Antiqua" w:eastAsia="Book Antiqua" w:hAnsi="Book Antiqua" w:cs="Book Antiqua"/>
        </w:rPr>
        <w:t xml:space="preserve">efective </w:t>
      </w:r>
      <w:r w:rsidR="006F41A9">
        <w:rPr>
          <w:rFonts w:ascii="Book Antiqua" w:eastAsia="Book Antiqua" w:hAnsi="Book Antiqua" w:cs="Book Antiqua"/>
        </w:rPr>
        <w:t>s</w:t>
      </w:r>
      <w:r w:rsidRPr="00BE12AC">
        <w:rPr>
          <w:rFonts w:ascii="Book Antiqua" w:eastAsia="Book Antiqua" w:hAnsi="Book Antiqua" w:cs="Book Antiqua"/>
        </w:rPr>
        <w:t>ilencing 3 overexpression can reverse the anticancer effect of SNHG22 silencing on the malignant phenotype of triple-negative breast cancer cells.</w:t>
      </w:r>
    </w:p>
    <w:p w14:paraId="474DDFFE" w14:textId="118996BD"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lastRenderedPageBreak/>
        <w:t>The CIBERSORT algorithm was used to quantify immune infiltration, and there was a substantial association between immune</w:t>
      </w:r>
      <w:r w:rsidR="006F41A9">
        <w:rPr>
          <w:rFonts w:ascii="Book Antiqua" w:eastAsia="Book Antiqua" w:hAnsi="Book Antiqua" w:cs="Book Antiqua"/>
        </w:rPr>
        <w:t>-</w:t>
      </w:r>
      <w:r w:rsidRPr="00BE12AC">
        <w:rPr>
          <w:rFonts w:ascii="Book Antiqua" w:eastAsia="Book Antiqua" w:hAnsi="Book Antiqua" w:cs="Book Antiqua"/>
        </w:rPr>
        <w:t xml:space="preserve">infiltrating populations and risk scores in distinct breast cancer subtypes. B cells, CD4+ T cells, CD8+ T cells, endothelial cells, and macrophages exhibited an inverse association with risk scores across all breast cancer subtypes. Moreover, the HER2-enriched subtype showed a negative correlation with risk scores. These findings suggest a potential protective effect or involvement of these immune cell populations in </w:t>
      </w:r>
      <w:r w:rsidR="006F41A9">
        <w:rPr>
          <w:rFonts w:ascii="Book Antiqua" w:eastAsia="Book Antiqua" w:hAnsi="Book Antiqua" w:cs="Book Antiqua"/>
        </w:rPr>
        <w:t>the</w:t>
      </w:r>
      <w:r w:rsidR="006F41A9" w:rsidRPr="00BE12AC">
        <w:rPr>
          <w:rFonts w:ascii="Book Antiqua" w:eastAsia="Book Antiqua" w:hAnsi="Book Antiqua" w:cs="Book Antiqua"/>
        </w:rPr>
        <w:t xml:space="preserve"> </w:t>
      </w:r>
      <w:r w:rsidRPr="00BE12AC">
        <w:rPr>
          <w:rFonts w:ascii="Book Antiqua" w:eastAsia="Book Antiqua" w:hAnsi="Book Antiqua" w:cs="Book Antiqua"/>
        </w:rPr>
        <w:t>immune response, leading to a reduced risk and improved prognosis in breast cancer patients. Conversely, in the H</w:t>
      </w:r>
      <w:r w:rsidR="006F41A9">
        <w:rPr>
          <w:rFonts w:ascii="Book Antiqua" w:eastAsia="Book Antiqua" w:hAnsi="Book Antiqua" w:cs="Book Antiqua"/>
        </w:rPr>
        <w:t>ER</w:t>
      </w:r>
      <w:r w:rsidRPr="00BE12AC">
        <w:rPr>
          <w:rFonts w:ascii="Book Antiqua" w:eastAsia="Book Antiqua" w:hAnsi="Book Antiqua" w:cs="Book Antiqua"/>
        </w:rPr>
        <w:t>2</w:t>
      </w:r>
      <w:r w:rsidR="006F41A9">
        <w:rPr>
          <w:rFonts w:ascii="Book Antiqua" w:eastAsia="Book Antiqua" w:hAnsi="Book Antiqua" w:cs="Book Antiqua"/>
        </w:rPr>
        <w:t>-positive</w:t>
      </w:r>
      <w:r w:rsidRPr="00BE12AC">
        <w:rPr>
          <w:rFonts w:ascii="Book Antiqua" w:eastAsia="Book Antiqua" w:hAnsi="Book Antiqua" w:cs="Book Antiqua"/>
        </w:rPr>
        <w:t>, PR</w:t>
      </w:r>
      <w:r w:rsidR="006F41A9">
        <w:rPr>
          <w:rFonts w:ascii="Book Antiqua" w:eastAsia="Book Antiqua" w:hAnsi="Book Antiqua" w:cs="Book Antiqua"/>
        </w:rPr>
        <w:t>-positive</w:t>
      </w:r>
      <w:r w:rsidRPr="00BE12AC">
        <w:rPr>
          <w:rFonts w:ascii="Book Antiqua" w:eastAsia="Book Antiqua" w:hAnsi="Book Antiqua" w:cs="Book Antiqua"/>
        </w:rPr>
        <w:t xml:space="preserve">, </w:t>
      </w:r>
      <w:r w:rsidR="006F41A9">
        <w:rPr>
          <w:rFonts w:ascii="Book Antiqua" w:eastAsia="Book Antiqua" w:hAnsi="Book Antiqua" w:cs="Book Antiqua"/>
        </w:rPr>
        <w:t>l</w:t>
      </w:r>
      <w:r w:rsidRPr="00BE12AC">
        <w:rPr>
          <w:rFonts w:ascii="Book Antiqua" w:eastAsia="Book Antiqua" w:hAnsi="Book Antiqua" w:cs="Book Antiqua"/>
        </w:rPr>
        <w:t xml:space="preserve">uminal A, and </w:t>
      </w:r>
      <w:r w:rsidR="006F41A9">
        <w:rPr>
          <w:rFonts w:ascii="Book Antiqua" w:eastAsia="Book Antiqua" w:hAnsi="Book Antiqua" w:cs="Book Antiqua"/>
        </w:rPr>
        <w:t>n</w:t>
      </w:r>
      <w:r w:rsidRPr="00BE12AC">
        <w:rPr>
          <w:rFonts w:ascii="Book Antiqua" w:eastAsia="Book Antiqua" w:hAnsi="Book Antiqua" w:cs="Book Antiqua"/>
        </w:rPr>
        <w:t>ormal-like classifications, there was a positive correlation with the infiltration of NK cells. This shows that NK cells may have a role in or contribute to the disease genesis and progression, significantly impacting patient outcomes. Furthermore, macrophages showed a positive correlation with the expression of P2X4, PNAX1, CASP7, and CCND2. This association may indicate a potential link between macrophage infiltration and the activation of specific genes associated with breast cancer.</w:t>
      </w:r>
    </w:p>
    <w:p w14:paraId="12979451" w14:textId="5FE6EF4A"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NK cells are critical components of the anti-tumor surveillance system, and in animal models, they serve a significant part in suppressing tumor growth and metastasis. The reduction in natural killing activity has been positively associated with the extent of tumor dissemination</w:t>
      </w:r>
      <w:r w:rsidRPr="00BE12AC">
        <w:rPr>
          <w:rFonts w:ascii="Book Antiqua" w:eastAsia="Book Antiqua" w:hAnsi="Book Antiqua" w:cs="Book Antiqua"/>
          <w:vertAlign w:val="superscript"/>
        </w:rPr>
        <w:t>[65]</w:t>
      </w:r>
      <w:r w:rsidRPr="00BE12AC">
        <w:rPr>
          <w:rFonts w:ascii="Book Antiqua" w:eastAsia="Book Antiqua" w:hAnsi="Book Antiqua" w:cs="Book Antiqua"/>
        </w:rPr>
        <w:t>. This bears substantial relevance in the context of tumors, as transformation events may lead to the downregulation of auto ligands and stress-induced ligands that are recognized by NK cells. Additionally, NK cell activation results in the secretion of stimulatory cytokines, which participate in cancer elimination through various direct mechanisms and by stimulating the adaptive immune system</w:t>
      </w:r>
      <w:r w:rsidRPr="00BE12AC">
        <w:rPr>
          <w:rFonts w:ascii="Book Antiqua" w:eastAsia="Book Antiqua" w:hAnsi="Book Antiqua" w:cs="Book Antiqua"/>
          <w:vertAlign w:val="superscript"/>
        </w:rPr>
        <w:t>[65]</w:t>
      </w:r>
      <w:r w:rsidRPr="00BE12AC">
        <w:rPr>
          <w:rFonts w:ascii="Book Antiqua" w:eastAsia="Book Antiqua" w:hAnsi="Book Antiqua" w:cs="Book Antiqua"/>
        </w:rPr>
        <w:t>. The Janus kinase</w:t>
      </w:r>
      <w:r w:rsidR="00AF10A6">
        <w:rPr>
          <w:rFonts w:ascii="Book Antiqua" w:eastAsia="Book Antiqua" w:hAnsi="Book Antiqua" w:cs="Book Antiqua"/>
        </w:rPr>
        <w:t xml:space="preserve"> (JAK)</w:t>
      </w:r>
      <w:r w:rsidRPr="00BE12AC">
        <w:rPr>
          <w:rFonts w:ascii="Book Antiqua" w:eastAsia="Book Antiqua" w:hAnsi="Book Antiqua" w:cs="Book Antiqua"/>
        </w:rPr>
        <w:t>/signal transducer and activator of transcription pathway remains active during metastasis; therefore, the impact of JAK inhibitors on NK cells and the potential value of immunostimulants to enhance weakened tumor immune surveillance merit consideration in the clinical management of breast cancer</w:t>
      </w:r>
      <w:r w:rsidRPr="00BE12AC">
        <w:rPr>
          <w:rFonts w:ascii="Book Antiqua" w:eastAsia="Book Antiqua" w:hAnsi="Book Antiqua" w:cs="Book Antiqua"/>
          <w:vertAlign w:val="superscript"/>
        </w:rPr>
        <w:t>[66]</w:t>
      </w:r>
      <w:r w:rsidRPr="00BE12AC">
        <w:rPr>
          <w:rFonts w:ascii="Book Antiqua" w:eastAsia="Book Antiqua" w:hAnsi="Book Antiqua" w:cs="Book Antiqua"/>
        </w:rPr>
        <w:t>.</w:t>
      </w:r>
    </w:p>
    <w:p w14:paraId="042643FA" w14:textId="38B796FA"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Macrophages exhibit distinct activation states and functions, and can be categorized into M1 type (classically activated macrophages) and M2 type (alternatively activated macrophages). TAMs bear similarities to M2 macrophages. Clinicopathological studies have demonstrated that TAMs are associated with </w:t>
      </w:r>
      <w:r w:rsidR="00AF10A6">
        <w:rPr>
          <w:rFonts w:ascii="Book Antiqua" w:eastAsia="Book Antiqua" w:hAnsi="Book Antiqua" w:cs="Book Antiqua"/>
        </w:rPr>
        <w:t xml:space="preserve">a </w:t>
      </w:r>
      <w:r w:rsidRPr="00BE12AC">
        <w:rPr>
          <w:rFonts w:ascii="Book Antiqua" w:eastAsia="Book Antiqua" w:hAnsi="Book Antiqua" w:cs="Book Antiqua"/>
        </w:rPr>
        <w:t xml:space="preserve">poor clinical prognosis in tumors. In </w:t>
      </w:r>
      <w:r w:rsidRPr="00BE12AC">
        <w:rPr>
          <w:rFonts w:ascii="Book Antiqua" w:eastAsia="Book Antiqua" w:hAnsi="Book Antiqua" w:cs="Book Antiqua"/>
        </w:rPr>
        <w:lastRenderedPageBreak/>
        <w:t xml:space="preserve">the context of human breast cancer, a high density of TAMs is linked to </w:t>
      </w:r>
      <w:r w:rsidR="00AF10A6">
        <w:rPr>
          <w:rFonts w:ascii="Book Antiqua" w:eastAsia="Book Antiqua" w:hAnsi="Book Antiqua" w:cs="Book Antiqua"/>
        </w:rPr>
        <w:t xml:space="preserve">an </w:t>
      </w:r>
      <w:r w:rsidRPr="00BE12AC">
        <w:rPr>
          <w:rFonts w:ascii="Book Antiqua" w:eastAsia="Book Antiqua" w:hAnsi="Book Antiqua" w:cs="Book Antiqua"/>
        </w:rPr>
        <w:t xml:space="preserve">unfavorable prognosis. Extensive research has </w:t>
      </w:r>
      <w:r w:rsidR="00AF10A6">
        <w:rPr>
          <w:rFonts w:ascii="Book Antiqua" w:eastAsia="Book Antiqua" w:hAnsi="Book Antiqua" w:cs="Book Antiqua"/>
        </w:rPr>
        <w:t>revealed</w:t>
      </w:r>
      <w:r w:rsidR="00AF10A6" w:rsidRPr="00BE12AC">
        <w:rPr>
          <w:rFonts w:ascii="Book Antiqua" w:eastAsia="Book Antiqua" w:hAnsi="Book Antiqua" w:cs="Book Antiqua"/>
        </w:rPr>
        <w:t xml:space="preserve"> </w:t>
      </w:r>
      <w:r w:rsidRPr="00BE12AC">
        <w:rPr>
          <w:rFonts w:ascii="Book Antiqua" w:eastAsia="Book Antiqua" w:hAnsi="Book Antiqua" w:cs="Book Antiqua"/>
        </w:rPr>
        <w:t>the role of TAMs in breast cancer progression. This encompasses the capacity of TAMs to induce angiogenesis, promote invasion through remodeling the tumor extracellular matrix, mimic breast cancer cells to evade the host immune system, and recruit immunosuppressive white blood cells to the tumor microenvironment. In breast cancer, TAMs can also enhance cancer cell invasion and suppress the anti-tumor function of tumor-suppressing T cells. This leads to a compromised anti-tumor immune response and subsequently impacts patient prognosis</w:t>
      </w:r>
      <w:r w:rsidRPr="00BE12AC">
        <w:rPr>
          <w:rFonts w:ascii="Book Antiqua" w:eastAsia="Book Antiqua" w:hAnsi="Book Antiqua" w:cs="Book Antiqua"/>
          <w:vertAlign w:val="superscript"/>
        </w:rPr>
        <w:t>[67]</w:t>
      </w:r>
      <w:r w:rsidRPr="00BE12AC">
        <w:rPr>
          <w:rFonts w:ascii="Book Antiqua" w:eastAsia="Book Antiqua" w:hAnsi="Book Antiqua" w:cs="Book Antiqua"/>
        </w:rPr>
        <w:t>.</w:t>
      </w:r>
    </w:p>
    <w:p w14:paraId="7C5D1BA2" w14:textId="11195F4C"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KEGG analysis showed that the genes differentiated by mRNA risk score significantly enriched 25 signaling pathways. Also, those genes differentiated by miRNA risk score significantly enriched 29 signaling pathways, and the two genes jointly enriched 16 signaling pathways. These include neuroactive ligand-receptor interaction, retinol metabolism, drug metabolism-</w:t>
      </w:r>
      <w:r w:rsidR="004C2A27">
        <w:rPr>
          <w:rFonts w:ascii="Book Antiqua" w:eastAsia="Book Antiqua" w:hAnsi="Book Antiqua" w:cs="Book Antiqua"/>
        </w:rPr>
        <w:t xml:space="preserve"> </w:t>
      </w:r>
      <w:r w:rsidRPr="00BE12AC">
        <w:rPr>
          <w:rFonts w:ascii="Book Antiqua" w:eastAsia="Book Antiqua" w:hAnsi="Book Antiqua" w:cs="Book Antiqua"/>
        </w:rPr>
        <w:t>c</w:t>
      </w:r>
      <w:r w:rsidR="004C2A27">
        <w:rPr>
          <w:rFonts w:ascii="Book Antiqua" w:eastAsia="Book Antiqua" w:hAnsi="Book Antiqua" w:cs="Book Antiqua"/>
        </w:rPr>
        <w:t xml:space="preserve"> </w:t>
      </w:r>
      <w:r w:rsidR="00492876" w:rsidRPr="00BE12AC">
        <w:rPr>
          <w:rFonts w:ascii="Book Antiqua" w:eastAsia="Book Antiqua" w:hAnsi="Book Antiqua" w:cs="Book Antiqua"/>
        </w:rPr>
        <w:t>cytochrome</w:t>
      </w:r>
      <w:r w:rsidRPr="00BE12AC">
        <w:rPr>
          <w:rFonts w:ascii="Book Antiqua" w:eastAsia="Book Antiqua" w:hAnsi="Book Antiqua" w:cs="Book Antiqua"/>
        </w:rPr>
        <w:t xml:space="preserve"> P450, pancreatic secretion, metabolism of xenobiotics by cytochrome P450, nicotine addiction, porphyrin metabolism, chemical carcinogenesis-DNA adducts, the cAMP signaling pathway, ascorbate and aldarate metabolism, GABAergic synapse, steroid hormone biosynthesis, </w:t>
      </w:r>
      <w:r w:rsidR="004C2A27">
        <w:rPr>
          <w:rFonts w:ascii="Book Antiqua" w:eastAsia="Book Antiqua" w:hAnsi="Book Antiqua" w:cs="Book Antiqua"/>
        </w:rPr>
        <w:t>p</w:t>
      </w:r>
      <w:r w:rsidRPr="00BE12AC">
        <w:rPr>
          <w:rFonts w:ascii="Book Antiqua" w:eastAsia="Book Antiqua" w:hAnsi="Book Antiqua" w:cs="Book Antiqua"/>
        </w:rPr>
        <w:t>entose and glucuronate interconversions, protein digestion and absorption, nitrogen metabolism and drug metabolism - other enzymes. The enrichment analysis results show that the model has satisfactory performance.</w:t>
      </w:r>
    </w:p>
    <w:p w14:paraId="0B771F2E" w14:textId="12A48900"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The </w:t>
      </w:r>
      <w:r w:rsidR="004C2A27">
        <w:rPr>
          <w:rFonts w:ascii="Book Antiqua" w:eastAsia="Book Antiqua" w:hAnsi="Book Antiqua" w:cs="Book Antiqua"/>
        </w:rPr>
        <w:t>n</w:t>
      </w:r>
      <w:r w:rsidRPr="00BE12AC">
        <w:rPr>
          <w:rFonts w:ascii="Book Antiqua" w:eastAsia="Book Antiqua" w:hAnsi="Book Antiqua" w:cs="Book Antiqua"/>
        </w:rPr>
        <w:t>euroactive ligand-receptor interaction signaling pathway represents the highest enrichment in both models. This pathway encompasses the intricate interactions between neuroactive substances within the nervous system, such as dopamine, acetylcholine, glutamate, serine, GABA, and their corresponding receptors. These interactions elicit a range of regulatory mechanisms, including protein kinase cascades, G-protein-coupled receptor signaling, and modulation of intracellular calcium concentration.</w:t>
      </w:r>
    </w:p>
    <w:p w14:paraId="048657A5" w14:textId="4D287374"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Based on the findings, increased usage of dopamine antagonists for the treatment of mental disorders may be linked to the development and promotion of breast cancer. The use of antipsychotic dopamine antagonists demonstrated a dose-response relationship with cumulative dose, resulting in a 16% increased risk of breast cancer</w:t>
      </w:r>
      <w:r w:rsidRPr="00BE12AC">
        <w:rPr>
          <w:rFonts w:ascii="Book Antiqua" w:eastAsia="Book Antiqua" w:hAnsi="Book Antiqua" w:cs="Book Antiqua"/>
          <w:vertAlign w:val="superscript"/>
        </w:rPr>
        <w:t>[68]</w:t>
      </w:r>
      <w:r w:rsidRPr="00BE12AC">
        <w:rPr>
          <w:rFonts w:ascii="Book Antiqua" w:eastAsia="Book Antiqua" w:hAnsi="Book Antiqua" w:cs="Book Antiqua"/>
        </w:rPr>
        <w:t xml:space="preserve">. Extracellular </w:t>
      </w:r>
      <w:r w:rsidRPr="00BE12AC">
        <w:rPr>
          <w:rFonts w:ascii="Book Antiqua" w:eastAsia="Book Antiqua" w:hAnsi="Book Antiqua" w:cs="Book Antiqua"/>
        </w:rPr>
        <w:lastRenderedPageBreak/>
        <w:t>ATP has recently emerged as a crucial factor in regulating pathological cell death. Exposure to ATP induces cell death characterized by cell swelling, disruption of endoplasmic reticulum integrity, formation of large cytoplasmic vacuoles, and ultimately cell lysis and DNA release.</w:t>
      </w:r>
    </w:p>
    <w:p w14:paraId="205CE9C6" w14:textId="34257FFD" w:rsidR="004C2A27"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Additionally, ATP processing triggers the cleavage of </w:t>
      </w:r>
      <w:r w:rsidR="00273B37">
        <w:rPr>
          <w:rFonts w:ascii="Book Antiqua" w:eastAsia="Book Antiqua" w:hAnsi="Book Antiqua" w:cs="Book Antiqua"/>
        </w:rPr>
        <w:t>CASP</w:t>
      </w:r>
      <w:r w:rsidRPr="00BE12AC">
        <w:rPr>
          <w:rFonts w:ascii="Book Antiqua" w:eastAsia="Book Antiqua" w:hAnsi="Book Antiqua" w:cs="Book Antiqua"/>
        </w:rPr>
        <w:t>3, a hallmark of apoptosis. This suggests that the release of extracellular ATP from damaged tissues may induce dopaminergic cell death by accelerating necrosis of P2X7Rs</w:t>
      </w:r>
      <w:r w:rsidRPr="00BE12AC">
        <w:rPr>
          <w:rFonts w:ascii="Book Antiqua" w:eastAsia="Book Antiqua" w:hAnsi="Book Antiqua" w:cs="Book Antiqua"/>
          <w:vertAlign w:val="superscript"/>
        </w:rPr>
        <w:t>[69]</w:t>
      </w:r>
      <w:r w:rsidRPr="00BE12AC">
        <w:rPr>
          <w:rFonts w:ascii="Book Antiqua" w:eastAsia="Book Antiqua" w:hAnsi="Book Antiqua" w:cs="Book Antiqua"/>
        </w:rPr>
        <w:t xml:space="preserve">. PNAX1 participates in the release of ATP and glutamate in neurons and astrocytes. Extracellular ATP activates PNAX1 at the resting membrane potential through the P2X7R. Studies have indicated that the P2X7R-PNAX1 complex may function as a negative regulator mediated by acetylcholine receptors </w:t>
      </w:r>
      <w:r w:rsidRPr="00BE12AC">
        <w:rPr>
          <w:rFonts w:ascii="Book Antiqua" w:eastAsia="Book Antiqua" w:hAnsi="Book Antiqua" w:cs="Book Antiqua"/>
          <w:i/>
          <w:iCs/>
        </w:rPr>
        <w:t>in vivo</w:t>
      </w:r>
      <w:r w:rsidRPr="00BE12AC">
        <w:rPr>
          <w:rFonts w:ascii="Book Antiqua" w:eastAsia="Book Antiqua" w:hAnsi="Book Antiqua" w:cs="Book Antiqua"/>
          <w:vertAlign w:val="superscript"/>
        </w:rPr>
        <w:t>[70]</w:t>
      </w:r>
      <w:r w:rsidRPr="00BE12AC">
        <w:rPr>
          <w:rFonts w:ascii="Book Antiqua" w:eastAsia="Book Antiqua" w:hAnsi="Book Antiqua" w:cs="Book Antiqua"/>
        </w:rPr>
        <w:t>. A recent study demonstrated the promising potential of using low-concentration muscarinic receptor agonists in combination with conventional chemotherapy agents for breast cancer treatment</w:t>
      </w:r>
      <w:r w:rsidRPr="00BE12AC">
        <w:rPr>
          <w:rFonts w:ascii="Book Antiqua" w:eastAsia="Book Antiqua" w:hAnsi="Book Antiqua" w:cs="Book Antiqua"/>
          <w:vertAlign w:val="superscript"/>
        </w:rPr>
        <w:t>[71]</w:t>
      </w:r>
      <w:r w:rsidRPr="00BE12AC">
        <w:rPr>
          <w:rFonts w:ascii="Book Antiqua" w:eastAsia="Book Antiqua" w:hAnsi="Book Antiqua" w:cs="Book Antiqua"/>
        </w:rPr>
        <w:t>. In summary, extracellular ATP plays a role in the neuroactive ligand-receptor interaction signaling pathway, influencing the invasion, survival, and migration of breast cancer cells.</w:t>
      </w:r>
    </w:p>
    <w:p w14:paraId="5BC88134" w14:textId="77777777" w:rsidR="00600DE7"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In general, the interpretation of the data in this study may be subject to certain limitations, warranting the need for prospective experimental validation to enhance the reliability of the research findings. Initially, an extensive literature search was conducted to identify the key mechanisms of AICD that have been experimentally verified. Building upon this foundation, the correlation between AICD and breast cancer prognosis has been elucidated for the first time. Consequently, a prognostic model has been developed that integrates mRNA and miRNA, effectively narrowing down potential therapeutic targets for future anticancer interventions and augmenting the precision of the predictive model.</w:t>
      </w:r>
    </w:p>
    <w:p w14:paraId="36118AA6" w14:textId="77777777" w:rsidR="00600DE7" w:rsidRPr="00BE12AC" w:rsidRDefault="00600DE7" w:rsidP="00873A9B">
      <w:pPr>
        <w:spacing w:line="360" w:lineRule="auto"/>
        <w:jc w:val="both"/>
        <w:rPr>
          <w:rFonts w:ascii="Book Antiqua" w:hAnsi="Book Antiqua"/>
        </w:rPr>
      </w:pPr>
    </w:p>
    <w:p w14:paraId="5A00C537"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caps/>
          <w:u w:val="single"/>
        </w:rPr>
        <w:t>CONCLUSION</w:t>
      </w:r>
    </w:p>
    <w:p w14:paraId="6A9AB0AF" w14:textId="1DABE866"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This study conducted a comprehensive investigation into the primary mechanism underlying AICD and performed an in-depth analysis of the associated mRNA expression patterns. Notably, mRNA and miRNA characteristic models were successfully established and specifically tailored to AICD, both of which exhibit potential </w:t>
      </w:r>
      <w:r w:rsidRPr="00BE12AC">
        <w:rPr>
          <w:rFonts w:ascii="Book Antiqua" w:eastAsia="Book Antiqua" w:hAnsi="Book Antiqua" w:cs="Book Antiqua"/>
        </w:rPr>
        <w:lastRenderedPageBreak/>
        <w:t>as independent prognostic factors. Leveraging these two models achieved heightened precision in estimating patient survival status and simplified the decision-making process regarding relevant therapeutic interventions. Consequently, the findings offer a robust scientific foundation for comprehending the fundamental logic governing cell death. Moreover, the clinical implications of this research are highly significant, as they shed light on the regulatory mechanisms of cell death and provide valuable guidance for the treatment and prognosis evaluation of breast cancer. Future investigations need to allocate greater focus on the examination, analysis, and discourse of discrete cancer cells, in order to reach more exacting insights. Recognizing the fact that the domain of cancer research is inherently rooted in single-cell substrates, it is imperative to note that a dearth of single-cell analyses for individual patients could potentially undermine the comprehensive nature of these studies. Subsequent to this, the primary objectives include giving precedence to functional insights at the single-cell level, thereby ensuring that later research provides actionable and targeted insights.</w:t>
      </w:r>
    </w:p>
    <w:p w14:paraId="4B792462" w14:textId="77777777" w:rsidR="00600DE7" w:rsidRPr="00BE12AC" w:rsidRDefault="00600DE7" w:rsidP="00873A9B">
      <w:pPr>
        <w:spacing w:line="360" w:lineRule="auto"/>
        <w:jc w:val="both"/>
        <w:rPr>
          <w:rFonts w:ascii="Book Antiqua" w:hAnsi="Book Antiqua"/>
        </w:rPr>
      </w:pPr>
    </w:p>
    <w:p w14:paraId="01759248"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caps/>
          <w:u w:val="single"/>
        </w:rPr>
        <w:t>ARTICLE HIGHLIGHTS</w:t>
      </w:r>
    </w:p>
    <w:p w14:paraId="16797CFF"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i/>
        </w:rPr>
        <w:t>Research background</w:t>
      </w:r>
    </w:p>
    <w:p w14:paraId="4DBCF5E3" w14:textId="4986E5F8" w:rsidR="00600DE7" w:rsidRPr="00BE12AC" w:rsidRDefault="00F3761B" w:rsidP="00873A9B">
      <w:pPr>
        <w:spacing w:line="360" w:lineRule="auto"/>
        <w:jc w:val="both"/>
        <w:rPr>
          <w:rFonts w:ascii="Book Antiqua" w:eastAsia="Book Antiqua" w:hAnsi="Book Antiqua" w:cs="Book Antiqua"/>
        </w:rPr>
      </w:pPr>
      <w:r>
        <w:rPr>
          <w:rFonts w:ascii="Book Antiqua" w:eastAsia="Book Antiqua" w:hAnsi="Book Antiqua" w:cs="Book Antiqua"/>
        </w:rPr>
        <w:t>ATP-induced cell death (</w:t>
      </w:r>
      <w:r w:rsidR="00FC314E" w:rsidRPr="00BE12AC">
        <w:rPr>
          <w:rFonts w:ascii="Book Antiqua" w:eastAsia="Book Antiqua" w:hAnsi="Book Antiqua" w:cs="Book Antiqua"/>
        </w:rPr>
        <w:t>AICD</w:t>
      </w:r>
      <w:r>
        <w:rPr>
          <w:rFonts w:ascii="Book Antiqua" w:eastAsia="Book Antiqua" w:hAnsi="Book Antiqua" w:cs="Book Antiqua"/>
        </w:rPr>
        <w:t>)</w:t>
      </w:r>
      <w:r w:rsidR="00FC314E" w:rsidRPr="00BE12AC">
        <w:rPr>
          <w:rFonts w:ascii="Book Antiqua" w:eastAsia="Book Antiqua" w:hAnsi="Book Antiqua" w:cs="Book Antiqua"/>
        </w:rPr>
        <w:t xml:space="preserve"> is a unique mode of cell death caused by high levels of extracellular ATP and is closely linked to various cancer advancements. It has a dual impact on breast cancer by participating in the regulation of death pathways and leading to increased extracellular ATP levels, creating an interconnected regulatory loop. AICD is a pivotal mechanism regulated by genes and </w:t>
      </w:r>
      <w:r>
        <w:rPr>
          <w:rFonts w:ascii="Book Antiqua" w:eastAsia="Book Antiqua" w:hAnsi="Book Antiqua" w:cs="Book Antiqua"/>
        </w:rPr>
        <w:t>microRNAs (</w:t>
      </w:r>
      <w:r w:rsidR="00FC314E" w:rsidRPr="00BE12AC">
        <w:rPr>
          <w:rFonts w:ascii="Book Antiqua" w:eastAsia="Book Antiqua" w:hAnsi="Book Antiqua" w:cs="Book Antiqua"/>
        </w:rPr>
        <w:t>miRNAs</w:t>
      </w:r>
      <w:r>
        <w:rPr>
          <w:rFonts w:ascii="Book Antiqua" w:eastAsia="Book Antiqua" w:hAnsi="Book Antiqua" w:cs="Book Antiqua"/>
        </w:rPr>
        <w:t>)</w:t>
      </w:r>
      <w:r w:rsidR="00FC314E" w:rsidRPr="00BE12AC">
        <w:rPr>
          <w:rFonts w:ascii="Book Antiqua" w:eastAsia="Book Antiqua" w:hAnsi="Book Antiqua" w:cs="Book Antiqua"/>
        </w:rPr>
        <w:t xml:space="preserve">, contributing to breast cancer progression. However, the precise nature of their interactions requires further research. Manipulating ATP levels and receptors can alter breast cancer cell proliferation, invasion, and metastasis, highlighting the potential for AICD in breast cancer treatment. AICD is a multifaceted process, with overarching mechanisms including purinergic receptor activation, particularly </w:t>
      </w:r>
      <w:r w:rsidRPr="00DE1AE0">
        <w:rPr>
          <w:rFonts w:ascii="Book Antiqua" w:eastAsia="Book Antiqua" w:hAnsi="Book Antiqua" w:cs="Book Antiqua"/>
        </w:rPr>
        <w:t xml:space="preserve">P2X purinoceptor </w:t>
      </w:r>
      <w:r>
        <w:rPr>
          <w:rFonts w:ascii="Book Antiqua" w:eastAsia="Book Antiqua" w:hAnsi="Book Antiqua" w:cs="Book Antiqua"/>
        </w:rPr>
        <w:t>7 receptor (</w:t>
      </w:r>
      <w:r w:rsidR="00FC314E" w:rsidRPr="00BE12AC">
        <w:rPr>
          <w:rFonts w:ascii="Book Antiqua" w:eastAsia="Book Antiqua" w:hAnsi="Book Antiqua" w:cs="Book Antiqua"/>
        </w:rPr>
        <w:t>P2X7R</w:t>
      </w:r>
      <w:r>
        <w:rPr>
          <w:rFonts w:ascii="Book Antiqua" w:eastAsia="Book Antiqua" w:hAnsi="Book Antiqua" w:cs="Book Antiqua"/>
        </w:rPr>
        <w:t>)</w:t>
      </w:r>
      <w:r w:rsidR="00FC314E" w:rsidRPr="00BE12AC">
        <w:rPr>
          <w:rFonts w:ascii="Book Antiqua" w:eastAsia="Book Antiqua" w:hAnsi="Book Antiqua" w:cs="Book Antiqua"/>
        </w:rPr>
        <w:t xml:space="preserve">, elevation of intracellular calcium ion concentration, inflammatory responses, and mitochondrial function disruption. miRNAs are key regulators of gene expression, functioning as either tumor suppressors or promoters, and their expression can be </w:t>
      </w:r>
      <w:r w:rsidR="00FC314E" w:rsidRPr="00BE12AC">
        <w:rPr>
          <w:rFonts w:ascii="Book Antiqua" w:eastAsia="Book Antiqua" w:hAnsi="Book Antiqua" w:cs="Book Antiqua"/>
        </w:rPr>
        <w:lastRenderedPageBreak/>
        <w:t>influenced by ATP levels. The relationship between AICD and miRNA involves two distinct mechanisms: miRNA targeting of essential genes in ATP-related signaling pathways and alterations in ATP levels influencing miRNA expression. Prognostic models, both gene and miRNA-based, are valuable for personalized treatment and prognosis assessment despite their limitations. The concurrent use of both models may provide a more comprehensive understanding of cancer prognosis.</w:t>
      </w:r>
    </w:p>
    <w:p w14:paraId="6531F418" w14:textId="77777777" w:rsidR="00600DE7" w:rsidRPr="00BE12AC" w:rsidRDefault="00600DE7" w:rsidP="00873A9B">
      <w:pPr>
        <w:spacing w:line="360" w:lineRule="auto"/>
        <w:jc w:val="both"/>
        <w:rPr>
          <w:rFonts w:ascii="Book Antiqua" w:eastAsia="Book Antiqua" w:hAnsi="Book Antiqua" w:cs="Book Antiqua"/>
        </w:rPr>
      </w:pPr>
    </w:p>
    <w:p w14:paraId="486E3128"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i/>
        </w:rPr>
        <w:t>Research motivation</w:t>
      </w:r>
    </w:p>
    <w:p w14:paraId="4660AFB6" w14:textId="66FF6293"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No studies to date have investigated the impact of AICD regulatory mechanisms in breast cancer. Therefore, the primary goal of this paper </w:t>
      </w:r>
      <w:r w:rsidR="00F3761B">
        <w:rPr>
          <w:rFonts w:ascii="Book Antiqua" w:eastAsia="Book Antiqua" w:hAnsi="Book Antiqua" w:cs="Book Antiqua"/>
        </w:rPr>
        <w:t xml:space="preserve">was </w:t>
      </w:r>
      <w:r w:rsidRPr="00BE12AC">
        <w:rPr>
          <w:rFonts w:ascii="Book Antiqua" w:eastAsia="Book Antiqua" w:hAnsi="Book Antiqua" w:cs="Book Antiqua"/>
        </w:rPr>
        <w:t>to look into the potential prognostic importance of AICD genes in breast cancer, as well as the interaction among AICD genes and prognostic gene-associated miRNAs in breast cancer.</w:t>
      </w:r>
    </w:p>
    <w:p w14:paraId="0641AD57" w14:textId="77777777" w:rsidR="00600DE7" w:rsidRPr="00BE12AC" w:rsidRDefault="00600DE7" w:rsidP="00873A9B">
      <w:pPr>
        <w:spacing w:line="360" w:lineRule="auto"/>
        <w:jc w:val="both"/>
        <w:rPr>
          <w:rFonts w:ascii="Book Antiqua" w:hAnsi="Book Antiqua"/>
        </w:rPr>
      </w:pPr>
    </w:p>
    <w:p w14:paraId="20A39C61"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i/>
        </w:rPr>
        <w:t>Research objectives</w:t>
      </w:r>
    </w:p>
    <w:p w14:paraId="3FB2EA70"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This study conducted a comprehensive investigation into the primary mechanism underlying AICD and performed an in-depth analysis of the associated mRNA expression patterns. Notably, mRNA and miRNA characteristic models were successfully established and specifically tailored to AICD, both of which exhibit potential as independent prognostic factors. Leveraging these two models achieved heightened precision in estimating patient survival status and simplified the decision-making process regarding relevant therapeutic interventions. Consequently, the findings offer a robust scientific foundation for comprehending the fundamental logic governing cell death. Moreover, the clinical implications of this research are highly significant, as they shed light on the regulatory mechanisms of cell death and provide valuable guidance for the treatment and prognosis evaluation of breast cancer.</w:t>
      </w:r>
    </w:p>
    <w:p w14:paraId="4DD8A32D" w14:textId="77777777" w:rsidR="00600DE7" w:rsidRPr="00BE12AC" w:rsidRDefault="00600DE7" w:rsidP="00873A9B">
      <w:pPr>
        <w:spacing w:line="360" w:lineRule="auto"/>
        <w:jc w:val="both"/>
        <w:rPr>
          <w:rFonts w:ascii="Book Antiqua" w:hAnsi="Book Antiqua"/>
        </w:rPr>
      </w:pPr>
    </w:p>
    <w:p w14:paraId="0AF8E30C"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i/>
        </w:rPr>
        <w:t>Research methods</w:t>
      </w:r>
    </w:p>
    <w:p w14:paraId="092AF3D7" w14:textId="6E75933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The foundational genes orchestrating AICD mechanisms were extracted from the scholarly literature, underpinning the establishment of a prognostic model. Simultaneously, a miRNA prognostic model was constructed that mirrored the gene-</w:t>
      </w:r>
      <w:r w:rsidRPr="00BE12AC">
        <w:rPr>
          <w:rFonts w:ascii="Book Antiqua" w:eastAsia="Book Antiqua" w:hAnsi="Book Antiqua" w:cs="Book Antiqua"/>
        </w:rPr>
        <w:lastRenderedPageBreak/>
        <w:t>based prognostic model. Distinctions between high and low-risk cohorts within mRNA and miRNA characteristic models were scrutinized, with the aim of delineating common influence mechanisms, substantiated through enrichment analysis and immune infiltration assessment.</w:t>
      </w:r>
    </w:p>
    <w:p w14:paraId="5D75CD45"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i/>
        </w:rPr>
        <w:t>Research results</w:t>
      </w:r>
    </w:p>
    <w:p w14:paraId="0B50B5AC" w14:textId="6F30D7DE"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The mRNA prognostic model in this study encompassed four specific mRNAs—P2X4, </w:t>
      </w:r>
      <w:r w:rsidR="00F3761B" w:rsidRPr="00F3761B">
        <w:rPr>
          <w:rFonts w:ascii="Book Antiqua" w:eastAsia="Book Antiqua" w:hAnsi="Book Antiqua" w:cs="Book Antiqua"/>
        </w:rPr>
        <w:t xml:space="preserve">pannexin </w:t>
      </w:r>
      <w:r w:rsidR="00F3761B">
        <w:rPr>
          <w:rFonts w:ascii="Book Antiqua" w:eastAsia="Book Antiqua" w:hAnsi="Book Antiqua" w:cs="Book Antiqua"/>
        </w:rPr>
        <w:t>1</w:t>
      </w:r>
      <w:r w:rsidRPr="00BE12AC">
        <w:rPr>
          <w:rFonts w:ascii="Book Antiqua" w:eastAsia="Book Antiqua" w:hAnsi="Book Antiqua" w:cs="Book Antiqua"/>
        </w:rPr>
        <w:t xml:space="preserve">, </w:t>
      </w:r>
      <w:r w:rsidR="00F3761B">
        <w:rPr>
          <w:rFonts w:ascii="Book Antiqua" w:eastAsia="Book Antiqua" w:hAnsi="Book Antiqua" w:cs="Book Antiqua"/>
        </w:rPr>
        <w:t>caspase 7</w:t>
      </w:r>
      <w:r w:rsidRPr="00BE12AC">
        <w:rPr>
          <w:rFonts w:ascii="Book Antiqua" w:eastAsia="Book Antiqua" w:hAnsi="Book Antiqua" w:cs="Book Antiqua"/>
        </w:rPr>
        <w:t xml:space="preserve">, and </w:t>
      </w:r>
      <w:r w:rsidR="00F3761B">
        <w:rPr>
          <w:rFonts w:ascii="Book Antiqua" w:eastAsia="Book Antiqua" w:hAnsi="Book Antiqua" w:cs="Book Antiqua"/>
        </w:rPr>
        <w:t>cyclin D2</w:t>
      </w:r>
      <w:r w:rsidRPr="00BE12AC">
        <w:rPr>
          <w:rFonts w:ascii="Book Antiqua" w:eastAsia="Book Antiqua" w:hAnsi="Book Antiqua" w:cs="Book Antiqua"/>
        </w:rPr>
        <w:t>. The miRNA prognostic model integrated four pivotal miRNA</w:t>
      </w:r>
      <w:r w:rsidR="00F3761B">
        <w:rPr>
          <w:rFonts w:ascii="Book Antiqua" w:eastAsia="Book Antiqua" w:hAnsi="Book Antiqua" w:cs="Book Antiqua"/>
        </w:rPr>
        <w:t xml:space="preserve">s: </w:t>
      </w:r>
      <w:r w:rsidRPr="00BE12AC">
        <w:rPr>
          <w:rFonts w:ascii="Book Antiqua" w:eastAsia="Book Antiqua" w:hAnsi="Book Antiqua" w:cs="Book Antiqua"/>
        </w:rPr>
        <w:t xml:space="preserve">hsa-miR-615-3p, hsa-miR-519b-3p, hsa-miR-342-3p, and hsa-miR-324-3p. B cells, CD4+ T cells, CD8+ T cells, endothelial cells, and macrophages exhibited inverse correlations with risk scores across all breast cancer subtypes. Furthermore, </w:t>
      </w:r>
      <w:r w:rsidR="00F3761B" w:rsidRPr="00F3761B">
        <w:rPr>
          <w:rFonts w:ascii="Book Antiqua" w:eastAsia="Book Antiqua" w:hAnsi="Book Antiqua" w:cs="Book Antiqua"/>
        </w:rPr>
        <w:t>Kyoto Encyclopedia of Genes and Genomes</w:t>
      </w:r>
      <w:r w:rsidRPr="00BE12AC">
        <w:rPr>
          <w:rFonts w:ascii="Book Antiqua" w:eastAsia="Book Antiqua" w:hAnsi="Book Antiqua" w:cs="Book Antiqua"/>
        </w:rPr>
        <w:t xml:space="preserve"> analysis revealed that genes differentially expressed in response to mRNA risk scores significantly enriched 25 signaling pathways, while miRNA risk scores significantly enriched 29 signaling pathways, with 16 pathways being jointly enriched.</w:t>
      </w:r>
    </w:p>
    <w:p w14:paraId="325646A6" w14:textId="77777777" w:rsidR="00600DE7" w:rsidRPr="00BE12AC" w:rsidRDefault="00600DE7" w:rsidP="00873A9B">
      <w:pPr>
        <w:spacing w:line="360" w:lineRule="auto"/>
        <w:jc w:val="both"/>
        <w:rPr>
          <w:rFonts w:ascii="Book Antiqua" w:hAnsi="Book Antiqua"/>
        </w:rPr>
      </w:pPr>
    </w:p>
    <w:p w14:paraId="32E12CDE"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i/>
        </w:rPr>
        <w:t>Research conclusions</w:t>
      </w:r>
    </w:p>
    <w:p w14:paraId="0382FCF8"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This study conducted a comprehensive investigation into the primary mechanism underlying AICD and performed an in-depth analysis of the associated mRNA expression patterns. Notably, mRNA and miRNA characteristic models were successfully established and specifically tailored to AICD, both of which exhibit potential as independent prognostic factors. Leveraging these two models achieved heightened precision in estimating patient survival status and simplified the decision-making process regarding relevant therapeutic interventions. Consequently, the findings offer a robust scientific foundation for comprehending the fundamental logic governing cell death. Moreover, the clinical implications of this research are highly significant, as they shed light on the regulatory mechanisms of cell death and provide valuable guidance for the treatment and prognosis evaluation of breast cancer.</w:t>
      </w:r>
    </w:p>
    <w:p w14:paraId="532F7209" w14:textId="77777777" w:rsidR="00600DE7" w:rsidRPr="00BE12AC" w:rsidRDefault="00600DE7" w:rsidP="00873A9B">
      <w:pPr>
        <w:spacing w:line="360" w:lineRule="auto"/>
        <w:jc w:val="both"/>
        <w:rPr>
          <w:rFonts w:ascii="Book Antiqua" w:hAnsi="Book Antiqua"/>
        </w:rPr>
      </w:pPr>
    </w:p>
    <w:p w14:paraId="5E36A918"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i/>
        </w:rPr>
        <w:t>Research perspectives</w:t>
      </w:r>
    </w:p>
    <w:p w14:paraId="7201F826" w14:textId="3FD651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lastRenderedPageBreak/>
        <w:t>Future investigations need to allocate greater focus on the examination, analysis, and discourse of discrete cancer cells, in order to reach more exacting insights. Recognizing the fact that the domain of cancer research is inherently rooted in single-cell substrates, it is imperative to note that a dearth of single-cell analyses for individual patients could potentially undermine the comprehensive nature of these studies. Subsequent to this, the primary objectives include giving precedence to functional insights at the single-cell level, thereby ensuring that later research provides actionable and targeted insights.</w:t>
      </w:r>
    </w:p>
    <w:p w14:paraId="5099C25D" w14:textId="77777777" w:rsidR="00600DE7" w:rsidRPr="00BE12AC" w:rsidRDefault="00600DE7" w:rsidP="00873A9B">
      <w:pPr>
        <w:spacing w:line="360" w:lineRule="auto"/>
        <w:jc w:val="both"/>
        <w:rPr>
          <w:rFonts w:ascii="Book Antiqua" w:hAnsi="Book Antiqua"/>
        </w:rPr>
      </w:pPr>
    </w:p>
    <w:p w14:paraId="35C24DAA"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rPr>
        <w:t>REFERENCES</w:t>
      </w:r>
    </w:p>
    <w:p w14:paraId="7A2A5177" w14:textId="77777777" w:rsidR="00600DE7" w:rsidRPr="00BE12AC" w:rsidRDefault="00FC314E" w:rsidP="00873A9B">
      <w:pPr>
        <w:spacing w:line="360" w:lineRule="auto"/>
        <w:jc w:val="both"/>
        <w:rPr>
          <w:rFonts w:ascii="Book Antiqua" w:hAnsi="Book Antiqua"/>
        </w:rPr>
      </w:pPr>
      <w:bookmarkStart w:id="366" w:name="OLE_LINK7622"/>
      <w:bookmarkStart w:id="367" w:name="OLE_LINK7621"/>
      <w:r w:rsidRPr="00BE12AC">
        <w:rPr>
          <w:rFonts w:ascii="Book Antiqua" w:eastAsia="Book Antiqua" w:hAnsi="Book Antiqua" w:cs="Book Antiqua"/>
        </w:rPr>
        <w:t xml:space="preserve">1 </w:t>
      </w:r>
      <w:r w:rsidRPr="00BE12AC">
        <w:rPr>
          <w:rFonts w:ascii="Book Antiqua" w:eastAsia="Book Antiqua" w:hAnsi="Book Antiqua" w:cs="Book Antiqua"/>
          <w:b/>
          <w:bCs/>
        </w:rPr>
        <w:t>Souza CO</w:t>
      </w:r>
      <w:r w:rsidRPr="00BE12AC">
        <w:rPr>
          <w:rFonts w:ascii="Book Antiqua" w:eastAsia="Book Antiqua" w:hAnsi="Book Antiqua" w:cs="Book Antiqua"/>
        </w:rPr>
        <w:t xml:space="preserve">, Santoro GF, Figliuolo VR, Nanini HF, de Souza HS, Castelo-Branco MT, Abalo AA, Paiva MM, Coutinho CM, Coutinho-Silva R. Extracellular ATP induces cell death in human intestinal epithelial cells. </w:t>
      </w:r>
      <w:r w:rsidRPr="00BE12AC">
        <w:rPr>
          <w:rFonts w:ascii="Book Antiqua" w:eastAsia="Book Antiqua" w:hAnsi="Book Antiqua" w:cs="Book Antiqua"/>
          <w:i/>
          <w:iCs/>
        </w:rPr>
        <w:t>Biochim Biophys Acta</w:t>
      </w:r>
      <w:r w:rsidRPr="00BE12AC">
        <w:rPr>
          <w:rFonts w:ascii="Book Antiqua" w:eastAsia="Book Antiqua" w:hAnsi="Book Antiqua" w:cs="Book Antiqua"/>
        </w:rPr>
        <w:t xml:space="preserve"> 2012; </w:t>
      </w:r>
      <w:r w:rsidRPr="00BE12AC">
        <w:rPr>
          <w:rFonts w:ascii="Book Antiqua" w:eastAsia="Book Antiqua" w:hAnsi="Book Antiqua" w:cs="Book Antiqua"/>
          <w:b/>
          <w:bCs/>
        </w:rPr>
        <w:t>1820</w:t>
      </w:r>
      <w:r w:rsidRPr="00BE12AC">
        <w:rPr>
          <w:rFonts w:ascii="Book Antiqua" w:eastAsia="Book Antiqua" w:hAnsi="Book Antiqua" w:cs="Book Antiqua"/>
        </w:rPr>
        <w:t>: 1867-1878 [PMID: 22951220 DOI: 10.1016/j.bbagen.2012.08.013]</w:t>
      </w:r>
    </w:p>
    <w:p w14:paraId="448432D9"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2 </w:t>
      </w:r>
      <w:r w:rsidRPr="00BE12AC">
        <w:rPr>
          <w:rFonts w:ascii="Book Antiqua" w:eastAsia="Book Antiqua" w:hAnsi="Book Antiqua" w:cs="Book Antiqua"/>
          <w:b/>
          <w:bCs/>
        </w:rPr>
        <w:t>Noguchi T</w:t>
      </w:r>
      <w:r w:rsidRPr="00BE12AC">
        <w:rPr>
          <w:rFonts w:ascii="Book Antiqua" w:eastAsia="Book Antiqua" w:hAnsi="Book Antiqua" w:cs="Book Antiqua"/>
        </w:rPr>
        <w:t xml:space="preserve">, Ishii K, Fukutomi H, Naguro I, Matsuzawa A, Takeda K, Ichijo H. Requirement of reactive oxygen species-dependent activation of ASK1-p38 MAPK pathway for extracellular ATP-induced apoptosis in macrophage. </w:t>
      </w:r>
      <w:r w:rsidRPr="00BE12AC">
        <w:rPr>
          <w:rFonts w:ascii="Book Antiqua" w:eastAsia="Book Antiqua" w:hAnsi="Book Antiqua" w:cs="Book Antiqua"/>
          <w:i/>
          <w:iCs/>
        </w:rPr>
        <w:t>J Biol Chem</w:t>
      </w:r>
      <w:r w:rsidRPr="00BE12AC">
        <w:rPr>
          <w:rFonts w:ascii="Book Antiqua" w:eastAsia="Book Antiqua" w:hAnsi="Book Antiqua" w:cs="Book Antiqua"/>
        </w:rPr>
        <w:t xml:space="preserve"> 2008; </w:t>
      </w:r>
      <w:r w:rsidRPr="00BE12AC">
        <w:rPr>
          <w:rFonts w:ascii="Book Antiqua" w:eastAsia="Book Antiqua" w:hAnsi="Book Antiqua" w:cs="Book Antiqua"/>
          <w:b/>
          <w:bCs/>
        </w:rPr>
        <w:t>283</w:t>
      </w:r>
      <w:r w:rsidRPr="00BE12AC">
        <w:rPr>
          <w:rFonts w:ascii="Book Antiqua" w:eastAsia="Book Antiqua" w:hAnsi="Book Antiqua" w:cs="Book Antiqua"/>
        </w:rPr>
        <w:t>: 7657-7665 [PMID: 18211888 DOI: 10.1074/jbc.M708402200]</w:t>
      </w:r>
    </w:p>
    <w:p w14:paraId="1E9F88F9"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3 </w:t>
      </w:r>
      <w:r w:rsidRPr="00BE12AC">
        <w:rPr>
          <w:rFonts w:ascii="Book Antiqua" w:eastAsia="Book Antiqua" w:hAnsi="Book Antiqua" w:cs="Book Antiqua"/>
          <w:b/>
          <w:bCs/>
        </w:rPr>
        <w:t>Gong D</w:t>
      </w:r>
      <w:r w:rsidRPr="00BE12AC">
        <w:rPr>
          <w:rFonts w:ascii="Book Antiqua" w:eastAsia="Book Antiqua" w:hAnsi="Book Antiqua" w:cs="Book Antiqua"/>
        </w:rPr>
        <w:t xml:space="preserve">, Zhang J, Chen Y, Xu Y, Ma J, Hu G, Huang Y, Zheng J, Zhai W, Xue W. The m(6)A-suppressed P2RX6 activation promotes renal cancer cells migration and invasion through ATP-induced Ca(2+) influx modulating ERK1/2 phosphorylation and MMP9 signaling pathway. </w:t>
      </w:r>
      <w:r w:rsidRPr="00BE12AC">
        <w:rPr>
          <w:rFonts w:ascii="Book Antiqua" w:eastAsia="Book Antiqua" w:hAnsi="Book Antiqua" w:cs="Book Antiqua"/>
          <w:i/>
          <w:iCs/>
        </w:rPr>
        <w:t>J Exp Clin Cancer Res</w:t>
      </w:r>
      <w:r w:rsidRPr="00BE12AC">
        <w:rPr>
          <w:rFonts w:ascii="Book Antiqua" w:eastAsia="Book Antiqua" w:hAnsi="Book Antiqua" w:cs="Book Antiqua"/>
        </w:rPr>
        <w:t xml:space="preserve"> 2019; </w:t>
      </w:r>
      <w:r w:rsidRPr="00BE12AC">
        <w:rPr>
          <w:rFonts w:ascii="Book Antiqua" w:eastAsia="Book Antiqua" w:hAnsi="Book Antiqua" w:cs="Book Antiqua"/>
          <w:b/>
          <w:bCs/>
        </w:rPr>
        <w:t>38</w:t>
      </w:r>
      <w:r w:rsidRPr="00BE12AC">
        <w:rPr>
          <w:rFonts w:ascii="Book Antiqua" w:eastAsia="Book Antiqua" w:hAnsi="Book Antiqua" w:cs="Book Antiqua"/>
        </w:rPr>
        <w:t>: 233 [PMID: 31159832 DOI: 10.1186/s13046-019-1223-y]</w:t>
      </w:r>
    </w:p>
    <w:p w14:paraId="69567FA3"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4 </w:t>
      </w:r>
      <w:r w:rsidRPr="00BE12AC">
        <w:rPr>
          <w:rFonts w:ascii="Book Antiqua" w:eastAsia="Book Antiqua" w:hAnsi="Book Antiqua" w:cs="Book Antiqua"/>
          <w:b/>
          <w:bCs/>
        </w:rPr>
        <w:t>Mello Pde A</w:t>
      </w:r>
      <w:r w:rsidRPr="00BE12AC">
        <w:rPr>
          <w:rFonts w:ascii="Book Antiqua" w:eastAsia="Book Antiqua" w:hAnsi="Book Antiqua" w:cs="Book Antiqua"/>
        </w:rPr>
        <w:t xml:space="preserve">, Filippi-Chiela EC, Nascimento J, Beckenkamp A, Santana DB, Kipper F, Casali EA, Nejar Bruno A, Paccez JD, Zerbini LF, Wink MR, Lenz G, Buffon A. Adenosine uptake is the major effector of extracellular ATP toxicity in human cervical cancer cells. </w:t>
      </w:r>
      <w:r w:rsidRPr="00BE12AC">
        <w:rPr>
          <w:rFonts w:ascii="Book Antiqua" w:eastAsia="Book Antiqua" w:hAnsi="Book Antiqua" w:cs="Book Antiqua"/>
          <w:i/>
          <w:iCs/>
        </w:rPr>
        <w:t>Mol Biol Cell</w:t>
      </w:r>
      <w:r w:rsidRPr="00BE12AC">
        <w:rPr>
          <w:rFonts w:ascii="Book Antiqua" w:eastAsia="Book Antiqua" w:hAnsi="Book Antiqua" w:cs="Book Antiqua"/>
        </w:rPr>
        <w:t xml:space="preserve"> 2014; </w:t>
      </w:r>
      <w:r w:rsidRPr="00BE12AC">
        <w:rPr>
          <w:rFonts w:ascii="Book Antiqua" w:eastAsia="Book Antiqua" w:hAnsi="Book Antiqua" w:cs="Book Antiqua"/>
          <w:b/>
          <w:bCs/>
        </w:rPr>
        <w:t>25</w:t>
      </w:r>
      <w:r w:rsidRPr="00BE12AC">
        <w:rPr>
          <w:rFonts w:ascii="Book Antiqua" w:eastAsia="Book Antiqua" w:hAnsi="Book Antiqua" w:cs="Book Antiqua"/>
        </w:rPr>
        <w:t>: 2905-2918 [PMID: 25103241 DOI: 10.1091/mbc.E14-01-0042]</w:t>
      </w:r>
    </w:p>
    <w:p w14:paraId="366B7F7C"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5 </w:t>
      </w:r>
      <w:r w:rsidRPr="00BE12AC">
        <w:rPr>
          <w:rFonts w:ascii="Book Antiqua" w:eastAsia="Book Antiqua" w:hAnsi="Book Antiqua" w:cs="Book Antiqua"/>
          <w:b/>
          <w:bCs/>
        </w:rPr>
        <w:t>Kanduc D</w:t>
      </w:r>
      <w:r w:rsidRPr="00BE12AC">
        <w:rPr>
          <w:rFonts w:ascii="Book Antiqua" w:eastAsia="Book Antiqua" w:hAnsi="Book Antiqua" w:cs="Book Antiqua"/>
        </w:rPr>
        <w:t xml:space="preserve">, Mittelman A, Serpico R, Sinigaglia E, Sinha AA, Natale C, Santacroce R, Di Corcia MG, Lucchese A, Dini L, Pani P, Santacroce S, Simone S, Bucci R, Farber E. Cell death: apoptosis versus necrosis (review). </w:t>
      </w:r>
      <w:r w:rsidRPr="00BE12AC">
        <w:rPr>
          <w:rFonts w:ascii="Book Antiqua" w:eastAsia="Book Antiqua" w:hAnsi="Book Antiqua" w:cs="Book Antiqua"/>
          <w:i/>
          <w:iCs/>
        </w:rPr>
        <w:t>Int J Oncol</w:t>
      </w:r>
      <w:r w:rsidRPr="00BE12AC">
        <w:rPr>
          <w:rFonts w:ascii="Book Antiqua" w:eastAsia="Book Antiqua" w:hAnsi="Book Antiqua" w:cs="Book Antiqua"/>
        </w:rPr>
        <w:t xml:space="preserve"> 2002; </w:t>
      </w:r>
      <w:r w:rsidRPr="00BE12AC">
        <w:rPr>
          <w:rFonts w:ascii="Book Antiqua" w:eastAsia="Book Antiqua" w:hAnsi="Book Antiqua" w:cs="Book Antiqua"/>
          <w:b/>
          <w:bCs/>
        </w:rPr>
        <w:t>21</w:t>
      </w:r>
      <w:r w:rsidRPr="00BE12AC">
        <w:rPr>
          <w:rFonts w:ascii="Book Antiqua" w:eastAsia="Book Antiqua" w:hAnsi="Book Antiqua" w:cs="Book Antiqua"/>
        </w:rPr>
        <w:t>: 165-170 [PMID: 12063564]</w:t>
      </w:r>
    </w:p>
    <w:p w14:paraId="550687C5"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lastRenderedPageBreak/>
        <w:t xml:space="preserve">6 </w:t>
      </w:r>
      <w:r w:rsidRPr="00BE12AC">
        <w:rPr>
          <w:rFonts w:ascii="Book Antiqua" w:eastAsia="Book Antiqua" w:hAnsi="Book Antiqua" w:cs="Book Antiqua"/>
          <w:b/>
          <w:bCs/>
        </w:rPr>
        <w:t>Shalini S</w:t>
      </w:r>
      <w:r w:rsidRPr="00BE12AC">
        <w:rPr>
          <w:rFonts w:ascii="Book Antiqua" w:eastAsia="Book Antiqua" w:hAnsi="Book Antiqua" w:cs="Book Antiqua"/>
        </w:rPr>
        <w:t xml:space="preserve">, Dorstyn L, Dawar S, Kumar S. Old, new and emerging functions of caspases. </w:t>
      </w:r>
      <w:r w:rsidRPr="00BE12AC">
        <w:rPr>
          <w:rFonts w:ascii="Book Antiqua" w:eastAsia="Book Antiqua" w:hAnsi="Book Antiqua" w:cs="Book Antiqua"/>
          <w:i/>
          <w:iCs/>
        </w:rPr>
        <w:t>Cell Death Differ</w:t>
      </w:r>
      <w:r w:rsidRPr="00BE12AC">
        <w:rPr>
          <w:rFonts w:ascii="Book Antiqua" w:eastAsia="Book Antiqua" w:hAnsi="Book Antiqua" w:cs="Book Antiqua"/>
        </w:rPr>
        <w:t xml:space="preserve"> 2015; </w:t>
      </w:r>
      <w:r w:rsidRPr="00BE12AC">
        <w:rPr>
          <w:rFonts w:ascii="Book Antiqua" w:eastAsia="Book Antiqua" w:hAnsi="Book Antiqua" w:cs="Book Antiqua"/>
          <w:b/>
          <w:bCs/>
        </w:rPr>
        <w:t>22</w:t>
      </w:r>
      <w:r w:rsidRPr="00BE12AC">
        <w:rPr>
          <w:rFonts w:ascii="Book Antiqua" w:eastAsia="Book Antiqua" w:hAnsi="Book Antiqua" w:cs="Book Antiqua"/>
        </w:rPr>
        <w:t>: 526-539 [PMID: 25526085 DOI: 10.1038/cdd.2014.216]</w:t>
      </w:r>
    </w:p>
    <w:p w14:paraId="76937498"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7 </w:t>
      </w:r>
      <w:r w:rsidRPr="00BE12AC">
        <w:rPr>
          <w:rFonts w:ascii="Book Antiqua" w:eastAsia="Book Antiqua" w:hAnsi="Book Antiqua" w:cs="Book Antiqua"/>
          <w:b/>
          <w:bCs/>
        </w:rPr>
        <w:t>Draganov D</w:t>
      </w:r>
      <w:r w:rsidRPr="00BE12AC">
        <w:rPr>
          <w:rFonts w:ascii="Book Antiqua" w:eastAsia="Book Antiqua" w:hAnsi="Book Antiqua" w:cs="Book Antiqua"/>
        </w:rPr>
        <w:t xml:space="preserve">, Gopalakrishna-Pillai S, Chen YR, Zuckerman N, Moeller S, Wang C, Ann D, Lee PP. Modulation of P2X4/P2X7/Pannexin-1 sensitivity to extracellular ATP </w:t>
      </w:r>
      <w:r w:rsidRPr="00BE12AC">
        <w:rPr>
          <w:rFonts w:ascii="Book Antiqua" w:eastAsia="Book Antiqua" w:hAnsi="Book Antiqua" w:cs="Book Antiqua"/>
          <w:i/>
          <w:iCs/>
        </w:rPr>
        <w:t>via</w:t>
      </w:r>
      <w:r w:rsidRPr="00BE12AC">
        <w:rPr>
          <w:rFonts w:ascii="Book Antiqua" w:eastAsia="Book Antiqua" w:hAnsi="Book Antiqua" w:cs="Book Antiqua"/>
        </w:rPr>
        <w:t xml:space="preserve"> Ivermectin induces a non-apoptotic and inflammatory form of cancer cell death. </w:t>
      </w:r>
      <w:r w:rsidRPr="00BE12AC">
        <w:rPr>
          <w:rFonts w:ascii="Book Antiqua" w:eastAsia="Book Antiqua" w:hAnsi="Book Antiqua" w:cs="Book Antiqua"/>
          <w:i/>
          <w:iCs/>
        </w:rPr>
        <w:t>Sci Rep</w:t>
      </w:r>
      <w:r w:rsidRPr="00BE12AC">
        <w:rPr>
          <w:rFonts w:ascii="Book Antiqua" w:eastAsia="Book Antiqua" w:hAnsi="Book Antiqua" w:cs="Book Antiqua"/>
        </w:rPr>
        <w:t xml:space="preserve"> 2015; </w:t>
      </w:r>
      <w:r w:rsidRPr="00BE12AC">
        <w:rPr>
          <w:rFonts w:ascii="Book Antiqua" w:eastAsia="Book Antiqua" w:hAnsi="Book Antiqua" w:cs="Book Antiqua"/>
          <w:b/>
          <w:bCs/>
        </w:rPr>
        <w:t>5</w:t>
      </w:r>
      <w:r w:rsidRPr="00BE12AC">
        <w:rPr>
          <w:rFonts w:ascii="Book Antiqua" w:eastAsia="Book Antiqua" w:hAnsi="Book Antiqua" w:cs="Book Antiqua"/>
        </w:rPr>
        <w:t>: 16222 [PMID: 26552848 DOI: 10.1038/srep16222]</w:t>
      </w:r>
    </w:p>
    <w:p w14:paraId="11ECD7DE"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8 </w:t>
      </w:r>
      <w:r w:rsidRPr="00BE12AC">
        <w:rPr>
          <w:rFonts w:ascii="Book Antiqua" w:eastAsia="Book Antiqua" w:hAnsi="Book Antiqua" w:cs="Book Antiqua"/>
          <w:b/>
          <w:bCs/>
        </w:rPr>
        <w:t>Winzer R</w:t>
      </w:r>
      <w:r w:rsidRPr="00BE12AC">
        <w:rPr>
          <w:rFonts w:ascii="Book Antiqua" w:eastAsia="Book Antiqua" w:hAnsi="Book Antiqua" w:cs="Book Antiqua"/>
        </w:rPr>
        <w:t xml:space="preserve">, Serracant-Prat A, Brock VJ, Pinto-Espinoza C, Rissiek B, Amadi M, Eich N, Rissiek A, Schneider E, Magnus T, Guse AH, Diercks BP, Koch-Nolte F, Tolosa E. P2X7 is expressed on human innate-like T lymphocytes and mediates susceptibility to ATP-induced cell death. </w:t>
      </w:r>
      <w:r w:rsidRPr="00BE12AC">
        <w:rPr>
          <w:rFonts w:ascii="Book Antiqua" w:eastAsia="Book Antiqua" w:hAnsi="Book Antiqua" w:cs="Book Antiqua"/>
          <w:i/>
          <w:iCs/>
        </w:rPr>
        <w:t>Eur J Immunol</w:t>
      </w:r>
      <w:r w:rsidRPr="00BE12AC">
        <w:rPr>
          <w:rFonts w:ascii="Book Antiqua" w:eastAsia="Book Antiqua" w:hAnsi="Book Antiqua" w:cs="Book Antiqua"/>
        </w:rPr>
        <w:t xml:space="preserve"> 2022; </w:t>
      </w:r>
      <w:r w:rsidRPr="00BE12AC">
        <w:rPr>
          <w:rFonts w:ascii="Book Antiqua" w:eastAsia="Book Antiqua" w:hAnsi="Book Antiqua" w:cs="Book Antiqua"/>
          <w:b/>
          <w:bCs/>
        </w:rPr>
        <w:t>52</w:t>
      </w:r>
      <w:r w:rsidRPr="00BE12AC">
        <w:rPr>
          <w:rFonts w:ascii="Book Antiqua" w:eastAsia="Book Antiqua" w:hAnsi="Book Antiqua" w:cs="Book Antiqua"/>
        </w:rPr>
        <w:t>: 1805-1818 [PMID: 36178227 DOI: 10.1002/eji.202249932]</w:t>
      </w:r>
    </w:p>
    <w:p w14:paraId="462221CF"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9 </w:t>
      </w:r>
      <w:r w:rsidRPr="00BE12AC">
        <w:rPr>
          <w:rFonts w:ascii="Book Antiqua" w:eastAsia="Book Antiqua" w:hAnsi="Book Antiqua" w:cs="Book Antiqua"/>
          <w:b/>
          <w:bCs/>
        </w:rPr>
        <w:t>Zhu X</w:t>
      </w:r>
      <w:r w:rsidRPr="00BE12AC">
        <w:rPr>
          <w:rFonts w:ascii="Book Antiqua" w:eastAsia="Book Antiqua" w:hAnsi="Book Antiqua" w:cs="Book Antiqua"/>
        </w:rPr>
        <w:t xml:space="preserve">, Li Q, Song W, Peng X, Zhao R. P2X7 receptor: a critical regulator and potential target for breast cancer. </w:t>
      </w:r>
      <w:r w:rsidRPr="00BE12AC">
        <w:rPr>
          <w:rFonts w:ascii="Book Antiqua" w:eastAsia="Book Antiqua" w:hAnsi="Book Antiqua" w:cs="Book Antiqua"/>
          <w:i/>
          <w:iCs/>
        </w:rPr>
        <w:t>J Mol Med (Berl)</w:t>
      </w:r>
      <w:r w:rsidRPr="00BE12AC">
        <w:rPr>
          <w:rFonts w:ascii="Book Antiqua" w:eastAsia="Book Antiqua" w:hAnsi="Book Antiqua" w:cs="Book Antiqua"/>
        </w:rPr>
        <w:t xml:space="preserve"> 2021; </w:t>
      </w:r>
      <w:r w:rsidRPr="00BE12AC">
        <w:rPr>
          <w:rFonts w:ascii="Book Antiqua" w:eastAsia="Book Antiqua" w:hAnsi="Book Antiqua" w:cs="Book Antiqua"/>
          <w:b/>
          <w:bCs/>
        </w:rPr>
        <w:t>99</w:t>
      </w:r>
      <w:r w:rsidRPr="00BE12AC">
        <w:rPr>
          <w:rFonts w:ascii="Book Antiqua" w:eastAsia="Book Antiqua" w:hAnsi="Book Antiqua" w:cs="Book Antiqua"/>
        </w:rPr>
        <w:t>: 349-358 [PMID: 33486566 DOI: 10.1007/s00109-021-02041-x]</w:t>
      </w:r>
    </w:p>
    <w:p w14:paraId="2677EAF3"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10 </w:t>
      </w:r>
      <w:r w:rsidRPr="00BE12AC">
        <w:rPr>
          <w:rFonts w:ascii="Book Antiqua" w:eastAsia="Book Antiqua" w:hAnsi="Book Antiqua" w:cs="Book Antiqua"/>
          <w:b/>
          <w:bCs/>
        </w:rPr>
        <w:t>Martins I</w:t>
      </w:r>
      <w:r w:rsidRPr="00BE12AC">
        <w:rPr>
          <w:rFonts w:ascii="Book Antiqua" w:eastAsia="Book Antiqua" w:hAnsi="Book Antiqua" w:cs="Book Antiqua"/>
        </w:rPr>
        <w:t xml:space="preserve">, Wang Y, Michaud M, Ma Y, Sukkurwala AQ, Shen S, Kepp O, Métivier D, Galluzzi L, Perfettini JL, Zitvogel L, Kroemer G. Molecular mechanisms of ATP secretion during immunogenic cell death. </w:t>
      </w:r>
      <w:r w:rsidRPr="00BE12AC">
        <w:rPr>
          <w:rFonts w:ascii="Book Antiqua" w:eastAsia="Book Antiqua" w:hAnsi="Book Antiqua" w:cs="Book Antiqua"/>
          <w:i/>
          <w:iCs/>
        </w:rPr>
        <w:t>Cell Death Differ</w:t>
      </w:r>
      <w:r w:rsidRPr="00BE12AC">
        <w:rPr>
          <w:rFonts w:ascii="Book Antiqua" w:eastAsia="Book Antiqua" w:hAnsi="Book Antiqua" w:cs="Book Antiqua"/>
        </w:rPr>
        <w:t xml:space="preserve"> 2014; </w:t>
      </w:r>
      <w:r w:rsidRPr="00BE12AC">
        <w:rPr>
          <w:rFonts w:ascii="Book Antiqua" w:eastAsia="Book Antiqua" w:hAnsi="Book Antiqua" w:cs="Book Antiqua"/>
          <w:b/>
          <w:bCs/>
        </w:rPr>
        <w:t>21</w:t>
      </w:r>
      <w:r w:rsidRPr="00BE12AC">
        <w:rPr>
          <w:rFonts w:ascii="Book Antiqua" w:eastAsia="Book Antiqua" w:hAnsi="Book Antiqua" w:cs="Book Antiqua"/>
        </w:rPr>
        <w:t>: 79-91 [PMID: 23852373 DOI: 10.1038/cdd.2013.75]</w:t>
      </w:r>
    </w:p>
    <w:p w14:paraId="617D4391"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11 </w:t>
      </w:r>
      <w:r w:rsidRPr="00BE12AC">
        <w:rPr>
          <w:rFonts w:ascii="Book Antiqua" w:eastAsia="Book Antiqua" w:hAnsi="Book Antiqua" w:cs="Book Antiqua"/>
          <w:b/>
          <w:bCs/>
        </w:rPr>
        <w:t>Stoetzer OJ</w:t>
      </w:r>
      <w:r w:rsidRPr="00BE12AC">
        <w:rPr>
          <w:rFonts w:ascii="Book Antiqua" w:eastAsia="Book Antiqua" w:hAnsi="Book Antiqua" w:cs="Book Antiqua"/>
        </w:rPr>
        <w:t xml:space="preserve">, Fersching DM, Salat C, Steinkohl O, Gabka CJ, Hamann U, Braun M, Feller AM, Heinemann V, Siegele B, Nagel D, Holdenrieder S. Circulating immunogenic cell death biomarkers HMGB1 and RAGE in breast cancer patients during neoadjuvant chemotherapy. </w:t>
      </w:r>
      <w:r w:rsidRPr="00BE12AC">
        <w:rPr>
          <w:rFonts w:ascii="Book Antiqua" w:eastAsia="Book Antiqua" w:hAnsi="Book Antiqua" w:cs="Book Antiqua"/>
          <w:i/>
          <w:iCs/>
        </w:rPr>
        <w:t>Tumour Biol</w:t>
      </w:r>
      <w:r w:rsidRPr="00BE12AC">
        <w:rPr>
          <w:rFonts w:ascii="Book Antiqua" w:eastAsia="Book Antiqua" w:hAnsi="Book Antiqua" w:cs="Book Antiqua"/>
        </w:rPr>
        <w:t xml:space="preserve"> 2013; </w:t>
      </w:r>
      <w:r w:rsidRPr="00BE12AC">
        <w:rPr>
          <w:rFonts w:ascii="Book Antiqua" w:eastAsia="Book Antiqua" w:hAnsi="Book Antiqua" w:cs="Book Antiqua"/>
          <w:b/>
          <w:bCs/>
        </w:rPr>
        <w:t>34</w:t>
      </w:r>
      <w:r w:rsidRPr="00BE12AC">
        <w:rPr>
          <w:rFonts w:ascii="Book Antiqua" w:eastAsia="Book Antiqua" w:hAnsi="Book Antiqua" w:cs="Book Antiqua"/>
        </w:rPr>
        <w:t>: 81-90 [PMID: 22983919 DOI: 10.1007/s13277-012-0513-1]</w:t>
      </w:r>
    </w:p>
    <w:p w14:paraId="1D9602F8"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12 </w:t>
      </w:r>
      <w:r w:rsidRPr="00BE12AC">
        <w:rPr>
          <w:rFonts w:ascii="Book Antiqua" w:eastAsia="Book Antiqua" w:hAnsi="Book Antiqua" w:cs="Book Antiqua"/>
          <w:b/>
          <w:bCs/>
        </w:rPr>
        <w:t>Zhang JL</w:t>
      </w:r>
      <w:r w:rsidRPr="00BE12AC">
        <w:rPr>
          <w:rFonts w:ascii="Book Antiqua" w:eastAsia="Book Antiqua" w:hAnsi="Book Antiqua" w:cs="Book Antiqua"/>
        </w:rPr>
        <w:t xml:space="preserve">, Liu Y, Yang H, Zhang HQ, Tian XX, Fang WG. ATP-P2Y2-β-catenin axis promotes cell invasion in breast cancer cells. </w:t>
      </w:r>
      <w:r w:rsidRPr="00BE12AC">
        <w:rPr>
          <w:rFonts w:ascii="Book Antiqua" w:eastAsia="Book Antiqua" w:hAnsi="Book Antiqua" w:cs="Book Antiqua"/>
          <w:i/>
          <w:iCs/>
        </w:rPr>
        <w:t>Cancer Sci</w:t>
      </w:r>
      <w:r w:rsidRPr="00BE12AC">
        <w:rPr>
          <w:rFonts w:ascii="Book Antiqua" w:eastAsia="Book Antiqua" w:hAnsi="Book Antiqua" w:cs="Book Antiqua"/>
        </w:rPr>
        <w:t xml:space="preserve"> 2017; </w:t>
      </w:r>
      <w:r w:rsidRPr="00BE12AC">
        <w:rPr>
          <w:rFonts w:ascii="Book Antiqua" w:eastAsia="Book Antiqua" w:hAnsi="Book Antiqua" w:cs="Book Antiqua"/>
          <w:b/>
          <w:bCs/>
        </w:rPr>
        <w:t>108</w:t>
      </w:r>
      <w:r w:rsidRPr="00BE12AC">
        <w:rPr>
          <w:rFonts w:ascii="Book Antiqua" w:eastAsia="Book Antiqua" w:hAnsi="Book Antiqua" w:cs="Book Antiqua"/>
        </w:rPr>
        <w:t>: 1318-1327 [PMID: 28474758 DOI: 10.1111/cas.13273]</w:t>
      </w:r>
    </w:p>
    <w:p w14:paraId="1EFCB026"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13 </w:t>
      </w:r>
      <w:r w:rsidRPr="00BE12AC">
        <w:rPr>
          <w:rFonts w:ascii="Book Antiqua" w:eastAsia="Book Antiqua" w:hAnsi="Book Antiqua" w:cs="Book Antiqua"/>
          <w:b/>
          <w:bCs/>
        </w:rPr>
        <w:t>Li WH</w:t>
      </w:r>
      <w:r w:rsidRPr="00BE12AC">
        <w:rPr>
          <w:rFonts w:ascii="Book Antiqua" w:eastAsia="Book Antiqua" w:hAnsi="Book Antiqua" w:cs="Book Antiqua"/>
        </w:rPr>
        <w:t xml:space="preserve">, Qiu Y, Zhang HQ, Liu Y, You JF, Tian XX, Fang WG. P2Y2 receptor promotes cell invasion and metastasis in prostate cancer cells. </w:t>
      </w:r>
      <w:r w:rsidRPr="00BE12AC">
        <w:rPr>
          <w:rFonts w:ascii="Book Antiqua" w:eastAsia="Book Antiqua" w:hAnsi="Book Antiqua" w:cs="Book Antiqua"/>
          <w:i/>
          <w:iCs/>
        </w:rPr>
        <w:t>Br J Cancer</w:t>
      </w:r>
      <w:r w:rsidRPr="00BE12AC">
        <w:rPr>
          <w:rFonts w:ascii="Book Antiqua" w:eastAsia="Book Antiqua" w:hAnsi="Book Antiqua" w:cs="Book Antiqua"/>
        </w:rPr>
        <w:t xml:space="preserve"> 2013; </w:t>
      </w:r>
      <w:r w:rsidRPr="00BE12AC">
        <w:rPr>
          <w:rFonts w:ascii="Book Antiqua" w:eastAsia="Book Antiqua" w:hAnsi="Book Antiqua" w:cs="Book Antiqua"/>
          <w:b/>
          <w:bCs/>
        </w:rPr>
        <w:t>109</w:t>
      </w:r>
      <w:r w:rsidRPr="00BE12AC">
        <w:rPr>
          <w:rFonts w:ascii="Book Antiqua" w:eastAsia="Book Antiqua" w:hAnsi="Book Antiqua" w:cs="Book Antiqua"/>
        </w:rPr>
        <w:t>: 1666-1675 [PMID: 23969730 DOI: 10.1038/bjc.2013.484]</w:t>
      </w:r>
    </w:p>
    <w:p w14:paraId="5EFE634A"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lastRenderedPageBreak/>
        <w:t xml:space="preserve">14 </w:t>
      </w:r>
      <w:r w:rsidRPr="00BE12AC">
        <w:rPr>
          <w:rFonts w:ascii="Book Antiqua" w:eastAsia="Book Antiqua" w:hAnsi="Book Antiqua" w:cs="Book Antiqua"/>
          <w:b/>
          <w:bCs/>
        </w:rPr>
        <w:t>Liu Y</w:t>
      </w:r>
      <w:r w:rsidRPr="00BE12AC">
        <w:rPr>
          <w:rFonts w:ascii="Book Antiqua" w:eastAsia="Book Antiqua" w:hAnsi="Book Antiqua" w:cs="Book Antiqua"/>
        </w:rPr>
        <w:t xml:space="preserve">, Geng YH, Yang H, Yang H, Zhou YT, Zhang HQ, Tian XX, Fang WG. Extracellular ATP drives breast cancer cell migration and metastasis </w:t>
      </w:r>
      <w:r w:rsidRPr="00BE12AC">
        <w:rPr>
          <w:rFonts w:ascii="Book Antiqua" w:eastAsia="Book Antiqua" w:hAnsi="Book Antiqua" w:cs="Book Antiqua"/>
          <w:i/>
          <w:iCs/>
        </w:rPr>
        <w:t>via</w:t>
      </w:r>
      <w:r w:rsidRPr="00BE12AC">
        <w:rPr>
          <w:rFonts w:ascii="Book Antiqua" w:eastAsia="Book Antiqua" w:hAnsi="Book Antiqua" w:cs="Book Antiqua"/>
        </w:rPr>
        <w:t xml:space="preserve"> S100A4 production by cancer cells and fibroblasts. </w:t>
      </w:r>
      <w:r w:rsidRPr="00BE12AC">
        <w:rPr>
          <w:rFonts w:ascii="Book Antiqua" w:eastAsia="Book Antiqua" w:hAnsi="Book Antiqua" w:cs="Book Antiqua"/>
          <w:i/>
          <w:iCs/>
        </w:rPr>
        <w:t>Cancer Lett</w:t>
      </w:r>
      <w:r w:rsidRPr="00BE12AC">
        <w:rPr>
          <w:rFonts w:ascii="Book Antiqua" w:eastAsia="Book Antiqua" w:hAnsi="Book Antiqua" w:cs="Book Antiqua"/>
        </w:rPr>
        <w:t xml:space="preserve"> 2018; </w:t>
      </w:r>
      <w:r w:rsidRPr="00BE12AC">
        <w:rPr>
          <w:rFonts w:ascii="Book Antiqua" w:eastAsia="Book Antiqua" w:hAnsi="Book Antiqua" w:cs="Book Antiqua"/>
          <w:b/>
          <w:bCs/>
        </w:rPr>
        <w:t>430</w:t>
      </w:r>
      <w:r w:rsidRPr="00BE12AC">
        <w:rPr>
          <w:rFonts w:ascii="Book Antiqua" w:eastAsia="Book Antiqua" w:hAnsi="Book Antiqua" w:cs="Book Antiqua"/>
        </w:rPr>
        <w:t>: 1-10 [PMID: 29733962 DOI: 10.1016/j.canlet.2018.04.043]</w:t>
      </w:r>
    </w:p>
    <w:p w14:paraId="603404A4"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15 </w:t>
      </w:r>
      <w:r w:rsidRPr="00BE12AC">
        <w:rPr>
          <w:rFonts w:ascii="Book Antiqua" w:eastAsia="Book Antiqua" w:hAnsi="Book Antiqua" w:cs="Book Antiqua"/>
          <w:b/>
          <w:bCs/>
        </w:rPr>
        <w:t>Yang H</w:t>
      </w:r>
      <w:r w:rsidRPr="00BE12AC">
        <w:rPr>
          <w:rFonts w:ascii="Book Antiqua" w:eastAsia="Book Antiqua" w:hAnsi="Book Antiqua" w:cs="Book Antiqua"/>
        </w:rPr>
        <w:t xml:space="preserve">, Geng YH, Wang P, Yang H, Zhou YT, Zhang HQ, He HY, Fang WG, Tian XX. Extracellular ATP promotes breast cancer invasion and chemoresistance </w:t>
      </w:r>
      <w:r w:rsidRPr="00BE12AC">
        <w:rPr>
          <w:rFonts w:ascii="Book Antiqua" w:eastAsia="Book Antiqua" w:hAnsi="Book Antiqua" w:cs="Book Antiqua"/>
          <w:i/>
          <w:iCs/>
        </w:rPr>
        <w:t>via</w:t>
      </w:r>
      <w:r w:rsidRPr="00BE12AC">
        <w:rPr>
          <w:rFonts w:ascii="Book Antiqua" w:eastAsia="Book Antiqua" w:hAnsi="Book Antiqua" w:cs="Book Antiqua"/>
        </w:rPr>
        <w:t xml:space="preserve"> SOX9 signaling. </w:t>
      </w:r>
      <w:r w:rsidRPr="00BE12AC">
        <w:rPr>
          <w:rFonts w:ascii="Book Antiqua" w:eastAsia="Book Antiqua" w:hAnsi="Book Antiqua" w:cs="Book Antiqua"/>
          <w:i/>
          <w:iCs/>
        </w:rPr>
        <w:t>Oncogene</w:t>
      </w:r>
      <w:r w:rsidRPr="00BE12AC">
        <w:rPr>
          <w:rFonts w:ascii="Book Antiqua" w:eastAsia="Book Antiqua" w:hAnsi="Book Antiqua" w:cs="Book Antiqua"/>
        </w:rPr>
        <w:t xml:space="preserve"> 2020; </w:t>
      </w:r>
      <w:r w:rsidRPr="00BE12AC">
        <w:rPr>
          <w:rFonts w:ascii="Book Antiqua" w:eastAsia="Book Antiqua" w:hAnsi="Book Antiqua" w:cs="Book Antiqua"/>
          <w:b/>
          <w:bCs/>
        </w:rPr>
        <w:t>39</w:t>
      </w:r>
      <w:r w:rsidRPr="00BE12AC">
        <w:rPr>
          <w:rFonts w:ascii="Book Antiqua" w:eastAsia="Book Antiqua" w:hAnsi="Book Antiqua" w:cs="Book Antiqua"/>
        </w:rPr>
        <w:t>: 5795-5810 [PMID: 32724162 DOI: 10.1038/s41388-020-01402-z]</w:t>
      </w:r>
    </w:p>
    <w:p w14:paraId="46A303F6"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16 </w:t>
      </w:r>
      <w:r w:rsidRPr="00BE12AC">
        <w:rPr>
          <w:rFonts w:ascii="Book Antiqua" w:eastAsia="Book Antiqua" w:hAnsi="Book Antiqua" w:cs="Book Antiqua"/>
          <w:b/>
          <w:bCs/>
        </w:rPr>
        <w:t>Yang H</w:t>
      </w:r>
      <w:r w:rsidRPr="00BE12AC">
        <w:rPr>
          <w:rFonts w:ascii="Book Antiqua" w:eastAsia="Book Antiqua" w:hAnsi="Book Antiqua" w:cs="Book Antiqua"/>
        </w:rPr>
        <w:t xml:space="preserve">, Geng YH, Wang P, Zhang HQ, Fang WG, Tian XX. Extracellular ATP promotes breast cancer chemoresistance </w:t>
      </w:r>
      <w:r w:rsidRPr="00BE12AC">
        <w:rPr>
          <w:rFonts w:ascii="Book Antiqua" w:eastAsia="Book Antiqua" w:hAnsi="Book Antiqua" w:cs="Book Antiqua"/>
          <w:i/>
          <w:iCs/>
        </w:rPr>
        <w:t>via</w:t>
      </w:r>
      <w:r w:rsidRPr="00BE12AC">
        <w:rPr>
          <w:rFonts w:ascii="Book Antiqua" w:eastAsia="Book Antiqua" w:hAnsi="Book Antiqua" w:cs="Book Antiqua"/>
        </w:rPr>
        <w:t xml:space="preserve"> HIF-1α signaling. </w:t>
      </w:r>
      <w:r w:rsidRPr="00BE12AC">
        <w:rPr>
          <w:rFonts w:ascii="Book Antiqua" w:eastAsia="Book Antiqua" w:hAnsi="Book Antiqua" w:cs="Book Antiqua"/>
          <w:i/>
          <w:iCs/>
        </w:rPr>
        <w:t>Cell Death Dis</w:t>
      </w:r>
      <w:r w:rsidRPr="00BE12AC">
        <w:rPr>
          <w:rFonts w:ascii="Book Antiqua" w:eastAsia="Book Antiqua" w:hAnsi="Book Antiqua" w:cs="Book Antiqua"/>
        </w:rPr>
        <w:t xml:space="preserve"> 2022; </w:t>
      </w:r>
      <w:r w:rsidRPr="00BE12AC">
        <w:rPr>
          <w:rFonts w:ascii="Book Antiqua" w:eastAsia="Book Antiqua" w:hAnsi="Book Antiqua" w:cs="Book Antiqua"/>
          <w:b/>
          <w:bCs/>
        </w:rPr>
        <w:t>13</w:t>
      </w:r>
      <w:r w:rsidRPr="00BE12AC">
        <w:rPr>
          <w:rFonts w:ascii="Book Antiqua" w:eastAsia="Book Antiqua" w:hAnsi="Book Antiqua" w:cs="Book Antiqua"/>
        </w:rPr>
        <w:t>: 199 [PMID: 35236823 DOI: 10.1038/s41419-022-04647-6]</w:t>
      </w:r>
    </w:p>
    <w:p w14:paraId="76DBBBEC"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17 </w:t>
      </w:r>
      <w:r w:rsidRPr="00BE12AC">
        <w:rPr>
          <w:rFonts w:ascii="Book Antiqua" w:eastAsia="Book Antiqua" w:hAnsi="Book Antiqua" w:cs="Book Antiqua"/>
          <w:b/>
          <w:bCs/>
        </w:rPr>
        <w:t>So CL</w:t>
      </w:r>
      <w:r w:rsidRPr="00BE12AC">
        <w:rPr>
          <w:rFonts w:ascii="Book Antiqua" w:eastAsia="Book Antiqua" w:hAnsi="Book Antiqua" w:cs="Book Antiqua"/>
        </w:rPr>
        <w:t xml:space="preserve">, Meinert C, Xia Q, Robitaille M, Roberts-Thomson SJ, Monteith GR. Increased matrix stiffness suppresses ATP-induced sustained Ca(2+) influx in MDA-MB-231 breast cancer cells. </w:t>
      </w:r>
      <w:r w:rsidRPr="00BE12AC">
        <w:rPr>
          <w:rFonts w:ascii="Book Antiqua" w:eastAsia="Book Antiqua" w:hAnsi="Book Antiqua" w:cs="Book Antiqua"/>
          <w:i/>
          <w:iCs/>
        </w:rPr>
        <w:t>Cell Calcium</w:t>
      </w:r>
      <w:r w:rsidRPr="00BE12AC">
        <w:rPr>
          <w:rFonts w:ascii="Book Antiqua" w:eastAsia="Book Antiqua" w:hAnsi="Book Antiqua" w:cs="Book Antiqua"/>
        </w:rPr>
        <w:t xml:space="preserve"> 2022; </w:t>
      </w:r>
      <w:r w:rsidRPr="00BE12AC">
        <w:rPr>
          <w:rFonts w:ascii="Book Antiqua" w:eastAsia="Book Antiqua" w:hAnsi="Book Antiqua" w:cs="Book Antiqua"/>
          <w:b/>
          <w:bCs/>
        </w:rPr>
        <w:t>104</w:t>
      </w:r>
      <w:r w:rsidRPr="00BE12AC">
        <w:rPr>
          <w:rFonts w:ascii="Book Antiqua" w:eastAsia="Book Antiqua" w:hAnsi="Book Antiqua" w:cs="Book Antiqua"/>
        </w:rPr>
        <w:t>: 102569 [PMID: 35248793 DOI: 10.1016/j.ceca.2022.102569]</w:t>
      </w:r>
    </w:p>
    <w:p w14:paraId="66C5387B"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18 </w:t>
      </w:r>
      <w:r w:rsidRPr="00BE12AC">
        <w:rPr>
          <w:rFonts w:ascii="Book Antiqua" w:eastAsia="Book Antiqua" w:hAnsi="Book Antiqua" w:cs="Book Antiqua"/>
          <w:b/>
          <w:bCs/>
        </w:rPr>
        <w:t>Huang S</w:t>
      </w:r>
      <w:r w:rsidRPr="00BE12AC">
        <w:rPr>
          <w:rFonts w:ascii="Book Antiqua" w:eastAsia="Book Antiqua" w:hAnsi="Book Antiqua" w:cs="Book Antiqua"/>
        </w:rPr>
        <w:t xml:space="preserve">, Chen Y, Wu W, Ouyang N, Chen J, Li H, Liu X, Su F, Lin L, Yao Y. miR-150 promotes human breast cancer growth and malignant behavior by targeting the pro-apoptotic purinergic P2X7 receptor. </w:t>
      </w:r>
      <w:r w:rsidRPr="00BE12AC">
        <w:rPr>
          <w:rFonts w:ascii="Book Antiqua" w:eastAsia="Book Antiqua" w:hAnsi="Book Antiqua" w:cs="Book Antiqua"/>
          <w:i/>
          <w:iCs/>
        </w:rPr>
        <w:t>PLoS One</w:t>
      </w:r>
      <w:r w:rsidRPr="00BE12AC">
        <w:rPr>
          <w:rFonts w:ascii="Book Antiqua" w:eastAsia="Book Antiqua" w:hAnsi="Book Antiqua" w:cs="Book Antiqua"/>
        </w:rPr>
        <w:t xml:space="preserve"> 2013; </w:t>
      </w:r>
      <w:r w:rsidRPr="00BE12AC">
        <w:rPr>
          <w:rFonts w:ascii="Book Antiqua" w:eastAsia="Book Antiqua" w:hAnsi="Book Antiqua" w:cs="Book Antiqua"/>
          <w:b/>
          <w:bCs/>
        </w:rPr>
        <w:t>8</w:t>
      </w:r>
      <w:r w:rsidRPr="00BE12AC">
        <w:rPr>
          <w:rFonts w:ascii="Book Antiqua" w:eastAsia="Book Antiqua" w:hAnsi="Book Antiqua" w:cs="Book Antiqua"/>
        </w:rPr>
        <w:t>: e80707 [PMID: 24312495 DOI: 10.1371/journal.pone.0080707]</w:t>
      </w:r>
    </w:p>
    <w:p w14:paraId="3714A851"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19 </w:t>
      </w:r>
      <w:r w:rsidRPr="00BE12AC">
        <w:rPr>
          <w:rFonts w:ascii="Book Antiqua" w:eastAsia="Book Antiqua" w:hAnsi="Book Antiqua" w:cs="Book Antiqua"/>
          <w:b/>
          <w:bCs/>
        </w:rPr>
        <w:t>Zheng L</w:t>
      </w:r>
      <w:r w:rsidRPr="00BE12AC">
        <w:rPr>
          <w:rFonts w:ascii="Book Antiqua" w:eastAsia="Book Antiqua" w:hAnsi="Book Antiqua" w:cs="Book Antiqua"/>
        </w:rPr>
        <w:t xml:space="preserve">, Zhang X, Yang F, Zhu J, Zhou P, Yu F, Hou L, Xiao L, He Q, Wang B. Regulation of the P2X7R by microRNA-216b in human breast cancer. </w:t>
      </w:r>
      <w:r w:rsidRPr="00BE12AC">
        <w:rPr>
          <w:rFonts w:ascii="Book Antiqua" w:eastAsia="Book Antiqua" w:hAnsi="Book Antiqua" w:cs="Book Antiqua"/>
          <w:i/>
          <w:iCs/>
        </w:rPr>
        <w:t>Biochem Biophys Res Commun</w:t>
      </w:r>
      <w:r w:rsidRPr="00BE12AC">
        <w:rPr>
          <w:rFonts w:ascii="Book Antiqua" w:eastAsia="Book Antiqua" w:hAnsi="Book Antiqua" w:cs="Book Antiqua"/>
        </w:rPr>
        <w:t xml:space="preserve"> 2014; </w:t>
      </w:r>
      <w:r w:rsidRPr="00BE12AC">
        <w:rPr>
          <w:rFonts w:ascii="Book Antiqua" w:eastAsia="Book Antiqua" w:hAnsi="Book Antiqua" w:cs="Book Antiqua"/>
          <w:b/>
          <w:bCs/>
        </w:rPr>
        <w:t>452</w:t>
      </w:r>
      <w:r w:rsidRPr="00BE12AC">
        <w:rPr>
          <w:rFonts w:ascii="Book Antiqua" w:eastAsia="Book Antiqua" w:hAnsi="Book Antiqua" w:cs="Book Antiqua"/>
        </w:rPr>
        <w:t>: 197-204 [PMID: 25078617 DOI: 10.1016/j.bbrc.2014.07.101]</w:t>
      </w:r>
    </w:p>
    <w:p w14:paraId="2E89F8E7"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20 </w:t>
      </w:r>
      <w:r w:rsidRPr="00BE12AC">
        <w:rPr>
          <w:rFonts w:ascii="Book Antiqua" w:eastAsia="Book Antiqua" w:hAnsi="Book Antiqua" w:cs="Book Antiqua"/>
          <w:b/>
          <w:bCs/>
        </w:rPr>
        <w:t>Zheng LM</w:t>
      </w:r>
      <w:r w:rsidRPr="00BE12AC">
        <w:rPr>
          <w:rFonts w:ascii="Book Antiqua" w:eastAsia="Book Antiqua" w:hAnsi="Book Antiqua" w:cs="Book Antiqua"/>
        </w:rPr>
        <w:t xml:space="preserve">, Zychlinsky A, Liu CC, Ojcius DM, Young JD. Extracellular ATP as a trigger for apoptosis or programmed cell death. </w:t>
      </w:r>
      <w:r w:rsidRPr="00BE12AC">
        <w:rPr>
          <w:rFonts w:ascii="Book Antiqua" w:eastAsia="Book Antiqua" w:hAnsi="Book Antiqua" w:cs="Book Antiqua"/>
          <w:i/>
          <w:iCs/>
        </w:rPr>
        <w:t>J Cell Biol</w:t>
      </w:r>
      <w:r w:rsidRPr="00BE12AC">
        <w:rPr>
          <w:rFonts w:ascii="Book Antiqua" w:eastAsia="Book Antiqua" w:hAnsi="Book Antiqua" w:cs="Book Antiqua"/>
        </w:rPr>
        <w:t xml:space="preserve"> 1991; </w:t>
      </w:r>
      <w:r w:rsidRPr="00BE12AC">
        <w:rPr>
          <w:rFonts w:ascii="Book Antiqua" w:eastAsia="Book Antiqua" w:hAnsi="Book Antiqua" w:cs="Book Antiqua"/>
          <w:b/>
          <w:bCs/>
        </w:rPr>
        <w:t>112</w:t>
      </w:r>
      <w:r w:rsidRPr="00BE12AC">
        <w:rPr>
          <w:rFonts w:ascii="Book Antiqua" w:eastAsia="Book Antiqua" w:hAnsi="Book Antiqua" w:cs="Book Antiqua"/>
        </w:rPr>
        <w:t>: 279-288 [PMID: 1988462 DOI: 10.1083/jcb.112.2.279]</w:t>
      </w:r>
    </w:p>
    <w:p w14:paraId="7E1E88B6"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21 </w:t>
      </w:r>
      <w:r w:rsidRPr="00BE12AC">
        <w:rPr>
          <w:rFonts w:ascii="Book Antiqua" w:eastAsia="Book Antiqua" w:hAnsi="Book Antiqua" w:cs="Book Antiqua"/>
          <w:b/>
          <w:bCs/>
        </w:rPr>
        <w:t>un AY,</w:t>
      </w:r>
      <w:r w:rsidRPr="00BE12AC">
        <w:rPr>
          <w:rFonts w:ascii="Book Antiqua" w:eastAsia="Book Antiqua" w:hAnsi="Book Antiqua" w:cs="Book Antiqua"/>
        </w:rPr>
        <w:t xml:space="preserve"> Chen YM. Extracellular ATP-induced apoptosis in PC12 cells[M]//Molecular and Cellular Mechanisms of Neuronal Plasticity: Basic and Clinical Implications. Boston, MA: Springer US, 1998: 73-83.</w:t>
      </w:r>
    </w:p>
    <w:p w14:paraId="746FA34D"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lastRenderedPageBreak/>
        <w:t xml:space="preserve">22 </w:t>
      </w:r>
      <w:r w:rsidRPr="00BE12AC">
        <w:rPr>
          <w:rFonts w:ascii="Book Antiqua" w:eastAsia="Book Antiqua" w:hAnsi="Book Antiqua" w:cs="Book Antiqua"/>
          <w:b/>
          <w:bCs/>
        </w:rPr>
        <w:t>Tamajusuku AS</w:t>
      </w:r>
      <w:r w:rsidRPr="00BE12AC">
        <w:rPr>
          <w:rFonts w:ascii="Book Antiqua" w:eastAsia="Book Antiqua" w:hAnsi="Book Antiqua" w:cs="Book Antiqua"/>
        </w:rPr>
        <w:t xml:space="preserve">, Villodre ES, Paulus R, Coutinho-Silva R, Battasstini AM, Wink MR, Lenz G. Characterization of ATP-induced cell death in the GL261 mouse glioma. </w:t>
      </w:r>
      <w:r w:rsidRPr="00BE12AC">
        <w:rPr>
          <w:rFonts w:ascii="Book Antiqua" w:eastAsia="Book Antiqua" w:hAnsi="Book Antiqua" w:cs="Book Antiqua"/>
          <w:i/>
          <w:iCs/>
        </w:rPr>
        <w:t>J Cell Biochem</w:t>
      </w:r>
      <w:r w:rsidRPr="00BE12AC">
        <w:rPr>
          <w:rFonts w:ascii="Book Antiqua" w:eastAsia="Book Antiqua" w:hAnsi="Book Antiqua" w:cs="Book Antiqua"/>
        </w:rPr>
        <w:t xml:space="preserve"> 2010; </w:t>
      </w:r>
      <w:r w:rsidRPr="00BE12AC">
        <w:rPr>
          <w:rFonts w:ascii="Book Antiqua" w:eastAsia="Book Antiqua" w:hAnsi="Book Antiqua" w:cs="Book Antiqua"/>
          <w:b/>
          <w:bCs/>
        </w:rPr>
        <w:t>109</w:t>
      </w:r>
      <w:r w:rsidRPr="00BE12AC">
        <w:rPr>
          <w:rFonts w:ascii="Book Antiqua" w:eastAsia="Book Antiqua" w:hAnsi="Book Antiqua" w:cs="Book Antiqua"/>
        </w:rPr>
        <w:t>: 983-991 [PMID: 20069573 DOI: 10.1002/jcb.22478]</w:t>
      </w:r>
    </w:p>
    <w:p w14:paraId="79D8C478"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23 </w:t>
      </w:r>
      <w:r w:rsidRPr="00BE12AC">
        <w:rPr>
          <w:rFonts w:ascii="Book Antiqua" w:eastAsia="Book Antiqua" w:hAnsi="Book Antiqua" w:cs="Book Antiqua"/>
          <w:b/>
          <w:bCs/>
        </w:rPr>
        <w:t>Ferrari D</w:t>
      </w:r>
      <w:r w:rsidRPr="00BE12AC">
        <w:rPr>
          <w:rFonts w:ascii="Book Antiqua" w:eastAsia="Book Antiqua" w:hAnsi="Book Antiqua" w:cs="Book Antiqua"/>
        </w:rPr>
        <w:t xml:space="preserve">, Los M, Bauer MK, Vandenabeele P, Wesselborg S, Schulze-Osthoff K. P2Z purinoreceptor ligation induces activation of caspases with distinct roles in apoptotic and necrotic alterations of cell death. </w:t>
      </w:r>
      <w:r w:rsidRPr="00BE12AC">
        <w:rPr>
          <w:rFonts w:ascii="Book Antiqua" w:eastAsia="Book Antiqua" w:hAnsi="Book Antiqua" w:cs="Book Antiqua"/>
          <w:i/>
          <w:iCs/>
        </w:rPr>
        <w:t>FEBS Lett</w:t>
      </w:r>
      <w:r w:rsidRPr="00BE12AC">
        <w:rPr>
          <w:rFonts w:ascii="Book Antiqua" w:eastAsia="Book Antiqua" w:hAnsi="Book Antiqua" w:cs="Book Antiqua"/>
        </w:rPr>
        <w:t xml:space="preserve"> 1999; </w:t>
      </w:r>
      <w:r w:rsidRPr="00BE12AC">
        <w:rPr>
          <w:rFonts w:ascii="Book Antiqua" w:eastAsia="Book Antiqua" w:hAnsi="Book Antiqua" w:cs="Book Antiqua"/>
          <w:b/>
          <w:bCs/>
        </w:rPr>
        <w:t>447</w:t>
      </w:r>
      <w:r w:rsidRPr="00BE12AC">
        <w:rPr>
          <w:rFonts w:ascii="Book Antiqua" w:eastAsia="Book Antiqua" w:hAnsi="Book Antiqua" w:cs="Book Antiqua"/>
        </w:rPr>
        <w:t>: 71-75 [PMID: 10218585 DOI: 10.1016/s0014-5793(99)00270-7]</w:t>
      </w:r>
    </w:p>
    <w:p w14:paraId="0BF62768"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24 </w:t>
      </w:r>
      <w:r w:rsidRPr="00BE12AC">
        <w:rPr>
          <w:rFonts w:ascii="Book Antiqua" w:eastAsia="Book Antiqua" w:hAnsi="Book Antiqua" w:cs="Book Antiqua"/>
          <w:b/>
          <w:bCs/>
        </w:rPr>
        <w:t>Lammas DA</w:t>
      </w:r>
      <w:r w:rsidRPr="00BE12AC">
        <w:rPr>
          <w:rFonts w:ascii="Book Antiqua" w:eastAsia="Book Antiqua" w:hAnsi="Book Antiqua" w:cs="Book Antiqua"/>
        </w:rPr>
        <w:t xml:space="preserve">, Stober C, Harvey CJ, Kendrick N, Panchalingam S, Kumararatne DS. ATP-induced killing of mycobacteria by human macrophages is mediated by purinergic P2Z(P2X7) receptors. </w:t>
      </w:r>
      <w:r w:rsidRPr="00BE12AC">
        <w:rPr>
          <w:rFonts w:ascii="Book Antiqua" w:eastAsia="Book Antiqua" w:hAnsi="Book Antiqua" w:cs="Book Antiqua"/>
          <w:i/>
          <w:iCs/>
        </w:rPr>
        <w:t>Immunity</w:t>
      </w:r>
      <w:r w:rsidRPr="00BE12AC">
        <w:rPr>
          <w:rFonts w:ascii="Book Antiqua" w:eastAsia="Book Antiqua" w:hAnsi="Book Antiqua" w:cs="Book Antiqua"/>
        </w:rPr>
        <w:t xml:space="preserve"> 1997; </w:t>
      </w:r>
      <w:r w:rsidRPr="00BE12AC">
        <w:rPr>
          <w:rFonts w:ascii="Book Antiqua" w:eastAsia="Book Antiqua" w:hAnsi="Book Antiqua" w:cs="Book Antiqua"/>
          <w:b/>
          <w:bCs/>
        </w:rPr>
        <w:t>7</w:t>
      </w:r>
      <w:r w:rsidRPr="00BE12AC">
        <w:rPr>
          <w:rFonts w:ascii="Book Antiqua" w:eastAsia="Book Antiqua" w:hAnsi="Book Antiqua" w:cs="Book Antiqua"/>
        </w:rPr>
        <w:t>: 433-444 [PMID: 9324363 DOI: 10.1016/s1074-7613(00)80364-7]</w:t>
      </w:r>
    </w:p>
    <w:p w14:paraId="7D528556"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25 </w:t>
      </w:r>
      <w:r w:rsidRPr="00BE12AC">
        <w:rPr>
          <w:rFonts w:ascii="Book Antiqua" w:eastAsia="Book Antiqua" w:hAnsi="Book Antiqua" w:cs="Book Antiqua"/>
          <w:b/>
          <w:bCs/>
        </w:rPr>
        <w:t>Costa-Junior HM</w:t>
      </w:r>
      <w:r w:rsidRPr="00BE12AC">
        <w:rPr>
          <w:rFonts w:ascii="Book Antiqua" w:eastAsia="Book Antiqua" w:hAnsi="Book Antiqua" w:cs="Book Antiqua"/>
        </w:rPr>
        <w:t xml:space="preserve">, Mendes AN, Davis GH, da Cruz CM, Ventura AL, Serezani CH, Faccioli LH, Nomizo A, Freire-de-Lima CG, Bisaggio Rda C, Persechini PM. ATP-induced apoptosis involves a Ca2+-independent phospholipase A2 and 5-lipoxygenase in macrophages. </w:t>
      </w:r>
      <w:r w:rsidRPr="00BE12AC">
        <w:rPr>
          <w:rFonts w:ascii="Book Antiqua" w:eastAsia="Book Antiqua" w:hAnsi="Book Antiqua" w:cs="Book Antiqua"/>
          <w:i/>
          <w:iCs/>
        </w:rPr>
        <w:t>Prostaglandins Other Lipid Mediat</w:t>
      </w:r>
      <w:r w:rsidRPr="00BE12AC">
        <w:rPr>
          <w:rFonts w:ascii="Book Antiqua" w:eastAsia="Book Antiqua" w:hAnsi="Book Antiqua" w:cs="Book Antiqua"/>
        </w:rPr>
        <w:t xml:space="preserve"> 2009; </w:t>
      </w:r>
      <w:r w:rsidRPr="00BE12AC">
        <w:rPr>
          <w:rFonts w:ascii="Book Antiqua" w:eastAsia="Book Antiqua" w:hAnsi="Book Antiqua" w:cs="Book Antiqua"/>
          <w:b/>
          <w:bCs/>
        </w:rPr>
        <w:t>88</w:t>
      </w:r>
      <w:r w:rsidRPr="00BE12AC">
        <w:rPr>
          <w:rFonts w:ascii="Book Antiqua" w:eastAsia="Book Antiqua" w:hAnsi="Book Antiqua" w:cs="Book Antiqua"/>
        </w:rPr>
        <w:t>: 51-61 [PMID: 18984060 DOI: 10.1016/j.prostaglandins.2008.09.004]</w:t>
      </w:r>
    </w:p>
    <w:p w14:paraId="61D23C29"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26 </w:t>
      </w:r>
      <w:r w:rsidRPr="00BE12AC">
        <w:rPr>
          <w:rFonts w:ascii="Book Antiqua" w:eastAsia="Book Antiqua" w:hAnsi="Book Antiqua" w:cs="Book Antiqua"/>
          <w:b/>
          <w:bCs/>
        </w:rPr>
        <w:t>Peng H</w:t>
      </w:r>
      <w:r w:rsidRPr="00BE12AC">
        <w:rPr>
          <w:rFonts w:ascii="Book Antiqua" w:eastAsia="Book Antiqua" w:hAnsi="Book Antiqua" w:cs="Book Antiqua"/>
        </w:rPr>
        <w:t xml:space="preserve">, Hao Y, Mousawi F, Roger S, Li J, Sim JA, Ponnambalam S, Yang X, Jiang LH. Purinergic and Store-Operated Ca(2+) Signaling Mechanisms in Mesenchymal Stem Cells and Their Roles in ATP-Induced Stimulation of Cell Migration. </w:t>
      </w:r>
      <w:r w:rsidRPr="00BE12AC">
        <w:rPr>
          <w:rFonts w:ascii="Book Antiqua" w:eastAsia="Book Antiqua" w:hAnsi="Book Antiqua" w:cs="Book Antiqua"/>
          <w:i/>
          <w:iCs/>
        </w:rPr>
        <w:t>Stem Cells</w:t>
      </w:r>
      <w:r w:rsidRPr="00BE12AC">
        <w:rPr>
          <w:rFonts w:ascii="Book Antiqua" w:eastAsia="Book Antiqua" w:hAnsi="Book Antiqua" w:cs="Book Antiqua"/>
        </w:rPr>
        <w:t xml:space="preserve"> 2016; </w:t>
      </w:r>
      <w:r w:rsidRPr="00BE12AC">
        <w:rPr>
          <w:rFonts w:ascii="Book Antiqua" w:eastAsia="Book Antiqua" w:hAnsi="Book Antiqua" w:cs="Book Antiqua"/>
          <w:b/>
          <w:bCs/>
        </w:rPr>
        <w:t>34</w:t>
      </w:r>
      <w:r w:rsidRPr="00BE12AC">
        <w:rPr>
          <w:rFonts w:ascii="Book Antiqua" w:eastAsia="Book Antiqua" w:hAnsi="Book Antiqua" w:cs="Book Antiqua"/>
        </w:rPr>
        <w:t>: 2102-2114 [PMID: 27038239 DOI: 10.1002/stem.2370]</w:t>
      </w:r>
    </w:p>
    <w:p w14:paraId="595ADDEA"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27 </w:t>
      </w:r>
      <w:r w:rsidRPr="00BE12AC">
        <w:rPr>
          <w:rFonts w:ascii="Book Antiqua" w:eastAsia="Book Antiqua" w:hAnsi="Book Antiqua" w:cs="Book Antiqua"/>
          <w:b/>
          <w:bCs/>
        </w:rPr>
        <w:t>Seeland S</w:t>
      </w:r>
      <w:r w:rsidRPr="00BE12AC">
        <w:rPr>
          <w:rFonts w:ascii="Book Antiqua" w:eastAsia="Book Antiqua" w:hAnsi="Book Antiqua" w:cs="Book Antiqua"/>
        </w:rPr>
        <w:t xml:space="preserve">, Kettiger H, Murphy M, Treiber A, Giller J, Kiss A, Sube R, Krähenbühl S, Hafner M, Huwyler J. ATP-induced cellular stress and mitochondrial toxicity in cells expressing purinergic P2X7 receptor. </w:t>
      </w:r>
      <w:r w:rsidRPr="00BE12AC">
        <w:rPr>
          <w:rFonts w:ascii="Book Antiqua" w:eastAsia="Book Antiqua" w:hAnsi="Book Antiqua" w:cs="Book Antiqua"/>
          <w:i/>
          <w:iCs/>
        </w:rPr>
        <w:t>Pharmacol Res Perspect</w:t>
      </w:r>
      <w:r w:rsidRPr="00BE12AC">
        <w:rPr>
          <w:rFonts w:ascii="Book Antiqua" w:eastAsia="Book Antiqua" w:hAnsi="Book Antiqua" w:cs="Book Antiqua"/>
        </w:rPr>
        <w:t xml:space="preserve"> 2015; </w:t>
      </w:r>
      <w:r w:rsidRPr="00BE12AC">
        <w:rPr>
          <w:rFonts w:ascii="Book Antiqua" w:eastAsia="Book Antiqua" w:hAnsi="Book Antiqua" w:cs="Book Antiqua"/>
          <w:b/>
          <w:bCs/>
        </w:rPr>
        <w:t>3</w:t>
      </w:r>
      <w:r w:rsidRPr="00BE12AC">
        <w:rPr>
          <w:rFonts w:ascii="Book Antiqua" w:eastAsia="Book Antiqua" w:hAnsi="Book Antiqua" w:cs="Book Antiqua"/>
        </w:rPr>
        <w:t>: e00123 [PMID: 26038699 DOI: 10.1002/prp2.123]</w:t>
      </w:r>
    </w:p>
    <w:p w14:paraId="0E003EDD"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28 </w:t>
      </w:r>
      <w:r w:rsidRPr="00BE12AC">
        <w:rPr>
          <w:rFonts w:ascii="Book Antiqua" w:eastAsia="Book Antiqua" w:hAnsi="Book Antiqua" w:cs="Book Antiqua"/>
          <w:b/>
          <w:bCs/>
        </w:rPr>
        <w:t>Cai J</w:t>
      </w:r>
      <w:r w:rsidRPr="00BE12AC">
        <w:rPr>
          <w:rFonts w:ascii="Book Antiqua" w:eastAsia="Book Antiqua" w:hAnsi="Book Antiqua" w:cs="Book Antiqua"/>
        </w:rPr>
        <w:t xml:space="preserve">, Yang J, Jones DP. Mitochondrial control of apoptosis: the role of cytochrome c. </w:t>
      </w:r>
      <w:r w:rsidRPr="00BE12AC">
        <w:rPr>
          <w:rFonts w:ascii="Book Antiqua" w:eastAsia="Book Antiqua" w:hAnsi="Book Antiqua" w:cs="Book Antiqua"/>
          <w:i/>
          <w:iCs/>
        </w:rPr>
        <w:t>Biochim Biophys Acta</w:t>
      </w:r>
      <w:r w:rsidRPr="00BE12AC">
        <w:rPr>
          <w:rFonts w:ascii="Book Antiqua" w:eastAsia="Book Antiqua" w:hAnsi="Book Antiqua" w:cs="Book Antiqua"/>
        </w:rPr>
        <w:t xml:space="preserve"> 1998; </w:t>
      </w:r>
      <w:r w:rsidRPr="00BE12AC">
        <w:rPr>
          <w:rFonts w:ascii="Book Antiqua" w:eastAsia="Book Antiqua" w:hAnsi="Book Antiqua" w:cs="Book Antiqua"/>
          <w:b/>
          <w:bCs/>
        </w:rPr>
        <w:t>1366</w:t>
      </w:r>
      <w:r w:rsidRPr="00BE12AC">
        <w:rPr>
          <w:rFonts w:ascii="Book Antiqua" w:eastAsia="Book Antiqua" w:hAnsi="Book Antiqua" w:cs="Book Antiqua"/>
        </w:rPr>
        <w:t>: 139-149 [PMID: 9714780 DOI: 10.1016/s0005-2728(98)00109-1]</w:t>
      </w:r>
    </w:p>
    <w:p w14:paraId="3A786A7E"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29 </w:t>
      </w:r>
      <w:r w:rsidRPr="00BE12AC">
        <w:rPr>
          <w:rFonts w:ascii="Book Antiqua" w:eastAsia="Book Antiqua" w:hAnsi="Book Antiqua" w:cs="Book Antiqua"/>
          <w:b/>
          <w:bCs/>
        </w:rPr>
        <w:t>Vázquez-Cuevas FG</w:t>
      </w:r>
      <w:r w:rsidRPr="00BE12AC">
        <w:rPr>
          <w:rFonts w:ascii="Book Antiqua" w:eastAsia="Book Antiqua" w:hAnsi="Book Antiqua" w:cs="Book Antiqua"/>
        </w:rPr>
        <w:t xml:space="preserve">, Juárez B, Garay E, Arellano RO. ATP-induced apoptotic cell death in porcine ovarian theca cells through P2X7 receptor activation. </w:t>
      </w:r>
      <w:r w:rsidRPr="00BE12AC">
        <w:rPr>
          <w:rFonts w:ascii="Book Antiqua" w:eastAsia="Book Antiqua" w:hAnsi="Book Antiqua" w:cs="Book Antiqua"/>
          <w:i/>
          <w:iCs/>
        </w:rPr>
        <w:t>Mol Reprod Dev</w:t>
      </w:r>
      <w:r w:rsidRPr="00BE12AC">
        <w:rPr>
          <w:rFonts w:ascii="Book Antiqua" w:eastAsia="Book Antiqua" w:hAnsi="Book Antiqua" w:cs="Book Antiqua"/>
        </w:rPr>
        <w:t xml:space="preserve"> 2006; </w:t>
      </w:r>
      <w:r w:rsidRPr="00BE12AC">
        <w:rPr>
          <w:rFonts w:ascii="Book Antiqua" w:eastAsia="Book Antiqua" w:hAnsi="Book Antiqua" w:cs="Book Antiqua"/>
          <w:b/>
          <w:bCs/>
        </w:rPr>
        <w:t>73</w:t>
      </w:r>
      <w:r w:rsidRPr="00BE12AC">
        <w:rPr>
          <w:rFonts w:ascii="Book Antiqua" w:eastAsia="Book Antiqua" w:hAnsi="Book Antiqua" w:cs="Book Antiqua"/>
        </w:rPr>
        <w:t>: 745-755 [PMID: 16541451 DOI: 10.1002/mrd.20447]</w:t>
      </w:r>
    </w:p>
    <w:p w14:paraId="389A452E"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lastRenderedPageBreak/>
        <w:t xml:space="preserve">30 </w:t>
      </w:r>
      <w:r w:rsidRPr="00BE12AC">
        <w:rPr>
          <w:rFonts w:ascii="Book Antiqua" w:eastAsia="Book Antiqua" w:hAnsi="Book Antiqua" w:cs="Book Antiqua"/>
          <w:b/>
          <w:bCs/>
        </w:rPr>
        <w:t>Madhavan D</w:t>
      </w:r>
      <w:r w:rsidRPr="00BE12AC">
        <w:rPr>
          <w:rFonts w:ascii="Book Antiqua" w:eastAsia="Book Antiqua" w:hAnsi="Book Antiqua" w:cs="Book Antiqua"/>
        </w:rPr>
        <w:t xml:space="preserve">, Cuk K, Burwinkel B, Yang R. Cancer diagnosis and prognosis decoded by blood-based circulating microRNA signatures. </w:t>
      </w:r>
      <w:r w:rsidRPr="00BE12AC">
        <w:rPr>
          <w:rFonts w:ascii="Book Antiqua" w:eastAsia="Book Antiqua" w:hAnsi="Book Antiqua" w:cs="Book Antiqua"/>
          <w:i/>
          <w:iCs/>
        </w:rPr>
        <w:t>Front Genet</w:t>
      </w:r>
      <w:r w:rsidRPr="00BE12AC">
        <w:rPr>
          <w:rFonts w:ascii="Book Antiqua" w:eastAsia="Book Antiqua" w:hAnsi="Book Antiqua" w:cs="Book Antiqua"/>
        </w:rPr>
        <w:t xml:space="preserve"> 2013; </w:t>
      </w:r>
      <w:r w:rsidRPr="00BE12AC">
        <w:rPr>
          <w:rFonts w:ascii="Book Antiqua" w:eastAsia="Book Antiqua" w:hAnsi="Book Antiqua" w:cs="Book Antiqua"/>
          <w:b/>
          <w:bCs/>
        </w:rPr>
        <w:t>4</w:t>
      </w:r>
      <w:r w:rsidRPr="00BE12AC">
        <w:rPr>
          <w:rFonts w:ascii="Book Antiqua" w:eastAsia="Book Antiqua" w:hAnsi="Book Antiqua" w:cs="Book Antiqua"/>
        </w:rPr>
        <w:t>: 116 [PMID: 23802013 DOI: 10.3389/fgene.2013.00116]</w:t>
      </w:r>
    </w:p>
    <w:p w14:paraId="115CD4A6"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31 </w:t>
      </w:r>
      <w:r w:rsidRPr="00BE12AC">
        <w:rPr>
          <w:rFonts w:ascii="Book Antiqua" w:eastAsia="Book Antiqua" w:hAnsi="Book Antiqua" w:cs="Book Antiqua"/>
          <w:b/>
          <w:bCs/>
        </w:rPr>
        <w:t>Reda El Sayed S</w:t>
      </w:r>
      <w:r w:rsidRPr="00BE12AC">
        <w:rPr>
          <w:rFonts w:ascii="Book Antiqua" w:eastAsia="Book Antiqua" w:hAnsi="Book Antiqua" w:cs="Book Antiqua"/>
        </w:rPr>
        <w:t xml:space="preserve">, Cristante J, Guyon L, Denis J, Chabre O, Cherradi N. MicroRNA Therapeutics in Cancer: Current Advances and Challenges. </w:t>
      </w:r>
      <w:r w:rsidRPr="00BE12AC">
        <w:rPr>
          <w:rFonts w:ascii="Book Antiqua" w:eastAsia="Book Antiqua" w:hAnsi="Book Antiqua" w:cs="Book Antiqua"/>
          <w:i/>
          <w:iCs/>
        </w:rPr>
        <w:t>Cancers (Basel)</w:t>
      </w:r>
      <w:r w:rsidRPr="00BE12AC">
        <w:rPr>
          <w:rFonts w:ascii="Book Antiqua" w:eastAsia="Book Antiqua" w:hAnsi="Book Antiqua" w:cs="Book Antiqua"/>
        </w:rPr>
        <w:t xml:space="preserve"> 2021; </w:t>
      </w:r>
      <w:r w:rsidRPr="00BE12AC">
        <w:rPr>
          <w:rFonts w:ascii="Book Antiqua" w:eastAsia="Book Antiqua" w:hAnsi="Book Antiqua" w:cs="Book Antiqua"/>
          <w:b/>
          <w:bCs/>
        </w:rPr>
        <w:t>13</w:t>
      </w:r>
      <w:r w:rsidRPr="00BE12AC">
        <w:rPr>
          <w:rFonts w:ascii="Book Antiqua" w:eastAsia="Book Antiqua" w:hAnsi="Book Antiqua" w:cs="Book Antiqua"/>
        </w:rPr>
        <w:t xml:space="preserve"> [PMID: 34072348 DOI: 10.3390/cancers13112680]</w:t>
      </w:r>
    </w:p>
    <w:p w14:paraId="31569D1A"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32 </w:t>
      </w:r>
      <w:r w:rsidRPr="00BE12AC">
        <w:rPr>
          <w:rFonts w:ascii="Book Antiqua" w:eastAsia="Book Antiqua" w:hAnsi="Book Antiqua" w:cs="Book Antiqua"/>
          <w:b/>
          <w:bCs/>
        </w:rPr>
        <w:t>Amirkhah R</w:t>
      </w:r>
      <w:r w:rsidRPr="00BE12AC">
        <w:rPr>
          <w:rFonts w:ascii="Book Antiqua" w:eastAsia="Book Antiqua" w:hAnsi="Book Antiqua" w:cs="Book Antiqua"/>
        </w:rPr>
        <w:t xml:space="preserve">, Schmitz U, Linnebacher M, Wolkenhauer O, Farazmand A. MicroRNA-mRNA interactions in colorectal cancer and their role in tumor progression. </w:t>
      </w:r>
      <w:r w:rsidRPr="00BE12AC">
        <w:rPr>
          <w:rFonts w:ascii="Book Antiqua" w:eastAsia="Book Antiqua" w:hAnsi="Book Antiqua" w:cs="Book Antiqua"/>
          <w:i/>
          <w:iCs/>
        </w:rPr>
        <w:t>Genes Chromosomes Cancer</w:t>
      </w:r>
      <w:r w:rsidRPr="00BE12AC">
        <w:rPr>
          <w:rFonts w:ascii="Book Antiqua" w:eastAsia="Book Antiqua" w:hAnsi="Book Antiqua" w:cs="Book Antiqua"/>
        </w:rPr>
        <w:t xml:space="preserve"> 2015; </w:t>
      </w:r>
      <w:r w:rsidRPr="00BE12AC">
        <w:rPr>
          <w:rFonts w:ascii="Book Antiqua" w:eastAsia="Book Antiqua" w:hAnsi="Book Antiqua" w:cs="Book Antiqua"/>
          <w:b/>
          <w:bCs/>
        </w:rPr>
        <w:t>54</w:t>
      </w:r>
      <w:r w:rsidRPr="00BE12AC">
        <w:rPr>
          <w:rFonts w:ascii="Book Antiqua" w:eastAsia="Book Antiqua" w:hAnsi="Book Antiqua" w:cs="Book Antiqua"/>
        </w:rPr>
        <w:t>: 129-141 [PMID: 25620079 DOI: 10.1002/gcc.22231]</w:t>
      </w:r>
    </w:p>
    <w:p w14:paraId="62D5BC25"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33 </w:t>
      </w:r>
      <w:r w:rsidRPr="00BE12AC">
        <w:rPr>
          <w:rFonts w:ascii="Book Antiqua" w:eastAsia="Book Antiqua" w:hAnsi="Book Antiqua" w:cs="Book Antiqua"/>
          <w:b/>
          <w:bCs/>
        </w:rPr>
        <w:t>Iorio MV</w:t>
      </w:r>
      <w:r w:rsidRPr="00BE12AC">
        <w:rPr>
          <w:rFonts w:ascii="Book Antiqua" w:eastAsia="Book Antiqua" w:hAnsi="Book Antiqua" w:cs="Book Antiqua"/>
        </w:rPr>
        <w:t xml:space="preserve">, Casalini P, Tagliabue E, Ménard S, Croce CM. MicroRNA profiling as a tool to understand prognosis, therapy response and resistance in breast cancer. </w:t>
      </w:r>
      <w:r w:rsidRPr="00BE12AC">
        <w:rPr>
          <w:rFonts w:ascii="Book Antiqua" w:eastAsia="Book Antiqua" w:hAnsi="Book Antiqua" w:cs="Book Antiqua"/>
          <w:i/>
          <w:iCs/>
        </w:rPr>
        <w:t>Eur J Cancer</w:t>
      </w:r>
      <w:r w:rsidRPr="00BE12AC">
        <w:rPr>
          <w:rFonts w:ascii="Book Antiqua" w:eastAsia="Book Antiqua" w:hAnsi="Book Antiqua" w:cs="Book Antiqua"/>
        </w:rPr>
        <w:t xml:space="preserve"> 2008; </w:t>
      </w:r>
      <w:r w:rsidRPr="00BE12AC">
        <w:rPr>
          <w:rFonts w:ascii="Book Antiqua" w:eastAsia="Book Antiqua" w:hAnsi="Book Antiqua" w:cs="Book Antiqua"/>
          <w:b/>
          <w:bCs/>
        </w:rPr>
        <w:t>44</w:t>
      </w:r>
      <w:r w:rsidRPr="00BE12AC">
        <w:rPr>
          <w:rFonts w:ascii="Book Antiqua" w:eastAsia="Book Antiqua" w:hAnsi="Book Antiqua" w:cs="Book Antiqua"/>
        </w:rPr>
        <w:t>: 2753-2759 [PMID: 19022662 DOI: 10.1016/j.ejca.2008.09.037]</w:t>
      </w:r>
    </w:p>
    <w:p w14:paraId="3C9FBF25"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34 </w:t>
      </w:r>
      <w:r w:rsidRPr="00BE12AC">
        <w:rPr>
          <w:rFonts w:ascii="Book Antiqua" w:eastAsia="Book Antiqua" w:hAnsi="Book Antiqua" w:cs="Book Antiqua"/>
          <w:b/>
          <w:bCs/>
        </w:rPr>
        <w:t>Sun CC</w:t>
      </w:r>
      <w:r w:rsidRPr="00BE12AC">
        <w:rPr>
          <w:rFonts w:ascii="Book Antiqua" w:eastAsia="Book Antiqua" w:hAnsi="Book Antiqua" w:cs="Book Antiqua"/>
        </w:rPr>
        <w:t xml:space="preserve">, Li SJ, Yuan ZP, Li DJ. MicroRNA-346 facilitates cell growth and metastasis, and suppresses cell apoptosis in human non-small cell lung cancer by regulation of XPC/ERK/Snail/E-cadherin pathway. </w:t>
      </w:r>
      <w:r w:rsidRPr="00BE12AC">
        <w:rPr>
          <w:rFonts w:ascii="Book Antiqua" w:eastAsia="Book Antiqua" w:hAnsi="Book Antiqua" w:cs="Book Antiqua"/>
          <w:i/>
          <w:iCs/>
        </w:rPr>
        <w:t>Aging (Albany NY)</w:t>
      </w:r>
      <w:r w:rsidRPr="00BE12AC">
        <w:rPr>
          <w:rFonts w:ascii="Book Antiqua" w:eastAsia="Book Antiqua" w:hAnsi="Book Antiqua" w:cs="Book Antiqua"/>
        </w:rPr>
        <w:t xml:space="preserve"> 2016; </w:t>
      </w:r>
      <w:r w:rsidRPr="00BE12AC">
        <w:rPr>
          <w:rFonts w:ascii="Book Antiqua" w:eastAsia="Book Antiqua" w:hAnsi="Book Antiqua" w:cs="Book Antiqua"/>
          <w:b/>
          <w:bCs/>
        </w:rPr>
        <w:t>8</w:t>
      </w:r>
      <w:r w:rsidRPr="00BE12AC">
        <w:rPr>
          <w:rFonts w:ascii="Book Antiqua" w:eastAsia="Book Antiqua" w:hAnsi="Book Antiqua" w:cs="Book Antiqua"/>
        </w:rPr>
        <w:t>: 2509-2524 [PMID: 27777383 DOI: 10.18632/aging.101080]</w:t>
      </w:r>
    </w:p>
    <w:p w14:paraId="5774B0E7"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35 </w:t>
      </w:r>
      <w:r w:rsidRPr="00BE12AC">
        <w:rPr>
          <w:rFonts w:ascii="Book Antiqua" w:eastAsia="Book Antiqua" w:hAnsi="Book Antiqua" w:cs="Book Antiqua"/>
          <w:b/>
          <w:bCs/>
        </w:rPr>
        <w:t>Markopoulos GS</w:t>
      </w:r>
      <w:r w:rsidRPr="00BE12AC">
        <w:rPr>
          <w:rFonts w:ascii="Book Antiqua" w:eastAsia="Book Antiqua" w:hAnsi="Book Antiqua" w:cs="Book Antiqua"/>
        </w:rPr>
        <w:t xml:space="preserve">, Roupakia E, Tokamani M, Chavdoula E, Hatziapostolou M, Polytarchou C, Marcu KB, Papavassiliou AG, Sandaltzopoulos R, Kolettas E. A step-by-step microRNA guide to cancer development and metastasis. </w:t>
      </w:r>
      <w:r w:rsidRPr="00BE12AC">
        <w:rPr>
          <w:rFonts w:ascii="Book Antiqua" w:eastAsia="Book Antiqua" w:hAnsi="Book Antiqua" w:cs="Book Antiqua"/>
          <w:i/>
          <w:iCs/>
        </w:rPr>
        <w:t>Cell Oncol (Dordr)</w:t>
      </w:r>
      <w:r w:rsidRPr="00BE12AC">
        <w:rPr>
          <w:rFonts w:ascii="Book Antiqua" w:eastAsia="Book Antiqua" w:hAnsi="Book Antiqua" w:cs="Book Antiqua"/>
        </w:rPr>
        <w:t xml:space="preserve"> 2017; </w:t>
      </w:r>
      <w:r w:rsidRPr="00BE12AC">
        <w:rPr>
          <w:rFonts w:ascii="Book Antiqua" w:eastAsia="Book Antiqua" w:hAnsi="Book Antiqua" w:cs="Book Antiqua"/>
          <w:b/>
          <w:bCs/>
        </w:rPr>
        <w:t>40</w:t>
      </w:r>
      <w:r w:rsidRPr="00BE12AC">
        <w:rPr>
          <w:rFonts w:ascii="Book Antiqua" w:eastAsia="Book Antiqua" w:hAnsi="Book Antiqua" w:cs="Book Antiqua"/>
        </w:rPr>
        <w:t>: 303-339 [PMID: 28748501 DOI: 10.1007/s13402-017-0341-9]</w:t>
      </w:r>
    </w:p>
    <w:p w14:paraId="32B36C2E"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36 </w:t>
      </w:r>
      <w:r w:rsidRPr="00BE12AC">
        <w:rPr>
          <w:rFonts w:ascii="Book Antiqua" w:eastAsia="Book Antiqua" w:hAnsi="Book Antiqua" w:cs="Book Antiqua"/>
          <w:b/>
          <w:bCs/>
        </w:rPr>
        <w:t>Shoji KF</w:t>
      </w:r>
      <w:r w:rsidRPr="00BE12AC">
        <w:rPr>
          <w:rFonts w:ascii="Book Antiqua" w:eastAsia="Book Antiqua" w:hAnsi="Book Antiqua" w:cs="Book Antiqua"/>
        </w:rPr>
        <w:t xml:space="preserve">, Sáez PJ, Harcha PA, Aguila HL, Sáez JC. Pannexin1 channels act downstream of P2X 7 receptors in ATP-induced murine T-cell death. </w:t>
      </w:r>
      <w:r w:rsidRPr="00BE12AC">
        <w:rPr>
          <w:rFonts w:ascii="Book Antiqua" w:eastAsia="Book Antiqua" w:hAnsi="Book Antiqua" w:cs="Book Antiqua"/>
          <w:i/>
          <w:iCs/>
        </w:rPr>
        <w:t>Channels (Austin)</w:t>
      </w:r>
      <w:r w:rsidRPr="00BE12AC">
        <w:rPr>
          <w:rFonts w:ascii="Book Antiqua" w:eastAsia="Book Antiqua" w:hAnsi="Book Antiqua" w:cs="Book Antiqua"/>
        </w:rPr>
        <w:t xml:space="preserve"> 2014; </w:t>
      </w:r>
      <w:r w:rsidRPr="00BE12AC">
        <w:rPr>
          <w:rFonts w:ascii="Book Antiqua" w:eastAsia="Book Antiqua" w:hAnsi="Book Antiqua" w:cs="Book Antiqua"/>
          <w:b/>
          <w:bCs/>
        </w:rPr>
        <w:t>8</w:t>
      </w:r>
      <w:r w:rsidRPr="00BE12AC">
        <w:rPr>
          <w:rFonts w:ascii="Book Antiqua" w:eastAsia="Book Antiqua" w:hAnsi="Book Antiqua" w:cs="Book Antiqua"/>
        </w:rPr>
        <w:t>: 142-156 [PMID: 24590064 DOI: 10.4161/chan.28122]</w:t>
      </w:r>
    </w:p>
    <w:p w14:paraId="2849E785"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37 </w:t>
      </w:r>
      <w:r w:rsidRPr="00BE12AC">
        <w:rPr>
          <w:rFonts w:ascii="Book Antiqua" w:eastAsia="Book Antiqua" w:hAnsi="Book Antiqua" w:cs="Book Antiqua"/>
          <w:b/>
          <w:bCs/>
        </w:rPr>
        <w:t>Sadatomi D</w:t>
      </w:r>
      <w:r w:rsidRPr="00BE12AC">
        <w:rPr>
          <w:rFonts w:ascii="Book Antiqua" w:eastAsia="Book Antiqua" w:hAnsi="Book Antiqua" w:cs="Book Antiqua"/>
        </w:rPr>
        <w:t xml:space="preserve">, Nakashioya K, Mamiya S, Honda S, Kameyama Y, Yamamura Y, Tanimura S, Takeda K. Mitochondrial function is required for extracellular ATP-induced NLRP3 inflammasome activation. </w:t>
      </w:r>
      <w:r w:rsidRPr="00BE12AC">
        <w:rPr>
          <w:rFonts w:ascii="Book Antiqua" w:eastAsia="Book Antiqua" w:hAnsi="Book Antiqua" w:cs="Book Antiqua"/>
          <w:i/>
          <w:iCs/>
        </w:rPr>
        <w:t>J Biochem</w:t>
      </w:r>
      <w:r w:rsidRPr="00BE12AC">
        <w:rPr>
          <w:rFonts w:ascii="Book Antiqua" w:eastAsia="Book Antiqua" w:hAnsi="Book Antiqua" w:cs="Book Antiqua"/>
        </w:rPr>
        <w:t xml:space="preserve"> 2017; </w:t>
      </w:r>
      <w:r w:rsidRPr="00BE12AC">
        <w:rPr>
          <w:rFonts w:ascii="Book Antiqua" w:eastAsia="Book Antiqua" w:hAnsi="Book Antiqua" w:cs="Book Antiqua"/>
          <w:b/>
          <w:bCs/>
        </w:rPr>
        <w:t>161</w:t>
      </w:r>
      <w:r w:rsidRPr="00BE12AC">
        <w:rPr>
          <w:rFonts w:ascii="Book Antiqua" w:eastAsia="Book Antiqua" w:hAnsi="Book Antiqua" w:cs="Book Antiqua"/>
        </w:rPr>
        <w:t>: 503-512 [PMID: 28096454 DOI: 10.1093/jb/mvw098]</w:t>
      </w:r>
    </w:p>
    <w:p w14:paraId="3643A5BF"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38 </w:t>
      </w:r>
      <w:r w:rsidRPr="00BE12AC">
        <w:rPr>
          <w:rFonts w:ascii="Book Antiqua" w:eastAsia="Book Antiqua" w:hAnsi="Book Antiqua" w:cs="Book Antiqua"/>
          <w:b/>
          <w:bCs/>
        </w:rPr>
        <w:t>Ohishi A</w:t>
      </w:r>
      <w:r w:rsidRPr="00BE12AC">
        <w:rPr>
          <w:rFonts w:ascii="Book Antiqua" w:eastAsia="Book Antiqua" w:hAnsi="Book Antiqua" w:cs="Book Antiqua"/>
        </w:rPr>
        <w:t>, Keno Y, Marumiya A, Sudo Y, Uda Y, Matsuda K, Morita Y, Furuta T, Nishida K, Nagasawa K. Expression level of P2X7 receptor is a determinant of ATP-</w:t>
      </w:r>
      <w:r w:rsidRPr="00BE12AC">
        <w:rPr>
          <w:rFonts w:ascii="Book Antiqua" w:eastAsia="Book Antiqua" w:hAnsi="Book Antiqua" w:cs="Book Antiqua"/>
        </w:rPr>
        <w:lastRenderedPageBreak/>
        <w:t xml:space="preserve">induced death of mouse cultured neurons. </w:t>
      </w:r>
      <w:r w:rsidRPr="00BE12AC">
        <w:rPr>
          <w:rFonts w:ascii="Book Antiqua" w:eastAsia="Book Antiqua" w:hAnsi="Book Antiqua" w:cs="Book Antiqua"/>
          <w:i/>
          <w:iCs/>
        </w:rPr>
        <w:t>Neuroscience</w:t>
      </w:r>
      <w:r w:rsidRPr="00BE12AC">
        <w:rPr>
          <w:rFonts w:ascii="Book Antiqua" w:eastAsia="Book Antiqua" w:hAnsi="Book Antiqua" w:cs="Book Antiqua"/>
        </w:rPr>
        <w:t xml:space="preserve"> 2016; </w:t>
      </w:r>
      <w:r w:rsidRPr="00BE12AC">
        <w:rPr>
          <w:rFonts w:ascii="Book Antiqua" w:eastAsia="Book Antiqua" w:hAnsi="Book Antiqua" w:cs="Book Antiqua"/>
          <w:b/>
          <w:bCs/>
        </w:rPr>
        <w:t>319</w:t>
      </w:r>
      <w:r w:rsidRPr="00BE12AC">
        <w:rPr>
          <w:rFonts w:ascii="Book Antiqua" w:eastAsia="Book Antiqua" w:hAnsi="Book Antiqua" w:cs="Book Antiqua"/>
        </w:rPr>
        <w:t>: 35-45 [PMID: 26812038 DOI: 10.1016/j.neuroscience.2016.01.048]</w:t>
      </w:r>
    </w:p>
    <w:p w14:paraId="5C3A4E5A"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39 </w:t>
      </w:r>
      <w:r w:rsidRPr="00BE12AC">
        <w:rPr>
          <w:rFonts w:ascii="Book Antiqua" w:eastAsia="Book Antiqua" w:hAnsi="Book Antiqua" w:cs="Book Antiqua"/>
          <w:b/>
          <w:bCs/>
        </w:rPr>
        <w:t>Yoon MJ</w:t>
      </w:r>
      <w:r w:rsidRPr="00BE12AC">
        <w:rPr>
          <w:rFonts w:ascii="Book Antiqua" w:eastAsia="Book Antiqua" w:hAnsi="Book Antiqua" w:cs="Book Antiqua"/>
        </w:rPr>
        <w:t xml:space="preserve">, Lee HJ, Kim JH, Kim DK. Extracellular ATP induces apoptotic signaling in human monocyte leukemic cells, HL-60 and F-36P. </w:t>
      </w:r>
      <w:r w:rsidRPr="00BE12AC">
        <w:rPr>
          <w:rFonts w:ascii="Book Antiqua" w:eastAsia="Book Antiqua" w:hAnsi="Book Antiqua" w:cs="Book Antiqua"/>
          <w:i/>
          <w:iCs/>
        </w:rPr>
        <w:t>Arch Pharm Res</w:t>
      </w:r>
      <w:r w:rsidRPr="00BE12AC">
        <w:rPr>
          <w:rFonts w:ascii="Book Antiqua" w:eastAsia="Book Antiqua" w:hAnsi="Book Antiqua" w:cs="Book Antiqua"/>
        </w:rPr>
        <w:t xml:space="preserve"> 2006; </w:t>
      </w:r>
      <w:r w:rsidRPr="00BE12AC">
        <w:rPr>
          <w:rFonts w:ascii="Book Antiqua" w:eastAsia="Book Antiqua" w:hAnsi="Book Antiqua" w:cs="Book Antiqua"/>
          <w:b/>
          <w:bCs/>
        </w:rPr>
        <w:t>29</w:t>
      </w:r>
      <w:r w:rsidRPr="00BE12AC">
        <w:rPr>
          <w:rFonts w:ascii="Book Antiqua" w:eastAsia="Book Antiqua" w:hAnsi="Book Antiqua" w:cs="Book Antiqua"/>
        </w:rPr>
        <w:t>: 1032-1041 [PMID: 17146973 DOI: 10.1007/BF02969288]</w:t>
      </w:r>
    </w:p>
    <w:p w14:paraId="43DCB4DA"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40 </w:t>
      </w:r>
      <w:r w:rsidRPr="00BE12AC">
        <w:rPr>
          <w:rFonts w:ascii="Book Antiqua" w:eastAsia="Book Antiqua" w:hAnsi="Book Antiqua" w:cs="Book Antiqua"/>
          <w:b/>
          <w:bCs/>
        </w:rPr>
        <w:t>Zeng CY</w:t>
      </w:r>
      <w:r w:rsidRPr="00BE12AC">
        <w:rPr>
          <w:rFonts w:ascii="Book Antiqua" w:eastAsia="Book Antiqua" w:hAnsi="Book Antiqua" w:cs="Book Antiqua"/>
        </w:rPr>
        <w:t xml:space="preserve">, Li CG, Shu JX, Xu LH, Ouyang DY, Mai FY, Zeng QZ, Zhang CC, Li RM, He XH. ATP induces caspase-3/gasdermin E-mediated pyroptosis in NLRP3 pathway-blocked murine macrophages. </w:t>
      </w:r>
      <w:r w:rsidRPr="00BE12AC">
        <w:rPr>
          <w:rFonts w:ascii="Book Antiqua" w:eastAsia="Book Antiqua" w:hAnsi="Book Antiqua" w:cs="Book Antiqua"/>
          <w:i/>
          <w:iCs/>
        </w:rPr>
        <w:t>Apoptosis</w:t>
      </w:r>
      <w:r w:rsidRPr="00BE12AC">
        <w:rPr>
          <w:rFonts w:ascii="Book Antiqua" w:eastAsia="Book Antiqua" w:hAnsi="Book Antiqua" w:cs="Book Antiqua"/>
        </w:rPr>
        <w:t xml:space="preserve"> 2019; </w:t>
      </w:r>
      <w:r w:rsidRPr="00BE12AC">
        <w:rPr>
          <w:rFonts w:ascii="Book Antiqua" w:eastAsia="Book Antiqua" w:hAnsi="Book Antiqua" w:cs="Book Antiqua"/>
          <w:b/>
          <w:bCs/>
        </w:rPr>
        <w:t>24</w:t>
      </w:r>
      <w:r w:rsidRPr="00BE12AC">
        <w:rPr>
          <w:rFonts w:ascii="Book Antiqua" w:eastAsia="Book Antiqua" w:hAnsi="Book Antiqua" w:cs="Book Antiqua"/>
        </w:rPr>
        <w:t>: 703-717 [PMID: 31175486 DOI: 10.1007/s10495-019-01551-x]</w:t>
      </w:r>
    </w:p>
    <w:p w14:paraId="0512E717"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41 </w:t>
      </w:r>
      <w:r w:rsidRPr="00BE12AC">
        <w:rPr>
          <w:rFonts w:ascii="Book Antiqua" w:eastAsia="Book Antiqua" w:hAnsi="Book Antiqua" w:cs="Book Antiqua"/>
          <w:b/>
          <w:bCs/>
        </w:rPr>
        <w:t>Zhao LR</w:t>
      </w:r>
      <w:r w:rsidRPr="00BE12AC">
        <w:rPr>
          <w:rFonts w:ascii="Book Antiqua" w:eastAsia="Book Antiqua" w:hAnsi="Book Antiqua" w:cs="Book Antiqua"/>
        </w:rPr>
        <w:t xml:space="preserve">, Xing RL, Wang PM, Zhang NS, Yin SJ, Li XC, Zhang L. NLRP1 and NLRP3 inflammasomes mediate LPS/ATP-induced pyroptosis in knee osteoarthritis. </w:t>
      </w:r>
      <w:r w:rsidRPr="00BE12AC">
        <w:rPr>
          <w:rFonts w:ascii="Book Antiqua" w:eastAsia="Book Antiqua" w:hAnsi="Book Antiqua" w:cs="Book Antiqua"/>
          <w:i/>
          <w:iCs/>
        </w:rPr>
        <w:t>Mol Med Rep</w:t>
      </w:r>
      <w:r w:rsidRPr="00BE12AC">
        <w:rPr>
          <w:rFonts w:ascii="Book Antiqua" w:eastAsia="Book Antiqua" w:hAnsi="Book Antiqua" w:cs="Book Antiqua"/>
        </w:rPr>
        <w:t xml:space="preserve"> 2018; </w:t>
      </w:r>
      <w:r w:rsidRPr="00BE12AC">
        <w:rPr>
          <w:rFonts w:ascii="Book Antiqua" w:eastAsia="Book Antiqua" w:hAnsi="Book Antiqua" w:cs="Book Antiqua"/>
          <w:b/>
          <w:bCs/>
        </w:rPr>
        <w:t>17</w:t>
      </w:r>
      <w:r w:rsidRPr="00BE12AC">
        <w:rPr>
          <w:rFonts w:ascii="Book Antiqua" w:eastAsia="Book Antiqua" w:hAnsi="Book Antiqua" w:cs="Book Antiqua"/>
        </w:rPr>
        <w:t>: 5463-5469 [PMID: 29393464 DOI: 10.3892/mmr.2018.8520]</w:t>
      </w:r>
    </w:p>
    <w:p w14:paraId="4138134E"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42 </w:t>
      </w:r>
      <w:r w:rsidRPr="00BE12AC">
        <w:rPr>
          <w:rFonts w:ascii="Book Antiqua" w:eastAsia="Book Antiqua" w:hAnsi="Book Antiqua" w:cs="Book Antiqua"/>
          <w:b/>
          <w:bCs/>
        </w:rPr>
        <w:t>Humphreys BD</w:t>
      </w:r>
      <w:r w:rsidRPr="00BE12AC">
        <w:rPr>
          <w:rFonts w:ascii="Book Antiqua" w:eastAsia="Book Antiqua" w:hAnsi="Book Antiqua" w:cs="Book Antiqua"/>
        </w:rPr>
        <w:t xml:space="preserve">, Rice J, Kertesy SB, Dubyak GR. Stress-activated protein kinase/JNK activation and apoptotic induction by the macrophage P2X7 nucleotide receptor. </w:t>
      </w:r>
      <w:r w:rsidRPr="00BE12AC">
        <w:rPr>
          <w:rFonts w:ascii="Book Antiqua" w:eastAsia="Book Antiqua" w:hAnsi="Book Antiqua" w:cs="Book Antiqua"/>
          <w:i/>
          <w:iCs/>
        </w:rPr>
        <w:t>J Biol Chem</w:t>
      </w:r>
      <w:r w:rsidRPr="00BE12AC">
        <w:rPr>
          <w:rFonts w:ascii="Book Antiqua" w:eastAsia="Book Antiqua" w:hAnsi="Book Antiqua" w:cs="Book Antiqua"/>
        </w:rPr>
        <w:t xml:space="preserve"> 2000; </w:t>
      </w:r>
      <w:r w:rsidRPr="00BE12AC">
        <w:rPr>
          <w:rFonts w:ascii="Book Antiqua" w:eastAsia="Book Antiqua" w:hAnsi="Book Antiqua" w:cs="Book Antiqua"/>
          <w:b/>
          <w:bCs/>
        </w:rPr>
        <w:t>275</w:t>
      </w:r>
      <w:r w:rsidRPr="00BE12AC">
        <w:rPr>
          <w:rFonts w:ascii="Book Antiqua" w:eastAsia="Book Antiqua" w:hAnsi="Book Antiqua" w:cs="Book Antiqua"/>
        </w:rPr>
        <w:t>: 26792-26798 [PMID: 10854431 DOI: 10.1074/jbc.M002770200]</w:t>
      </w:r>
    </w:p>
    <w:p w14:paraId="1F4968C9"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43 </w:t>
      </w:r>
      <w:r w:rsidRPr="00BE12AC">
        <w:rPr>
          <w:rFonts w:ascii="Book Antiqua" w:eastAsia="Book Antiqua" w:hAnsi="Book Antiqua" w:cs="Book Antiqua"/>
          <w:b/>
          <w:bCs/>
        </w:rPr>
        <w:t>Wen LT</w:t>
      </w:r>
      <w:r w:rsidRPr="00BE12AC">
        <w:rPr>
          <w:rFonts w:ascii="Book Antiqua" w:eastAsia="Book Antiqua" w:hAnsi="Book Antiqua" w:cs="Book Antiqua"/>
        </w:rPr>
        <w:t xml:space="preserve">, Caldwell CC, Knowles AF. Poly(ADP-ribose) polymerase activation and changes in Bax protein expression associated with extracellular ATP-mediated apoptosis in human embryonic kidney 293-P2X7 cells. </w:t>
      </w:r>
      <w:r w:rsidRPr="00BE12AC">
        <w:rPr>
          <w:rFonts w:ascii="Book Antiqua" w:eastAsia="Book Antiqua" w:hAnsi="Book Antiqua" w:cs="Book Antiqua"/>
          <w:i/>
          <w:iCs/>
        </w:rPr>
        <w:t>Mol Pharmacol</w:t>
      </w:r>
      <w:r w:rsidRPr="00BE12AC">
        <w:rPr>
          <w:rFonts w:ascii="Book Antiqua" w:eastAsia="Book Antiqua" w:hAnsi="Book Antiqua" w:cs="Book Antiqua"/>
        </w:rPr>
        <w:t xml:space="preserve"> 2003; </w:t>
      </w:r>
      <w:r w:rsidRPr="00BE12AC">
        <w:rPr>
          <w:rFonts w:ascii="Book Antiqua" w:eastAsia="Book Antiqua" w:hAnsi="Book Antiqua" w:cs="Book Antiqua"/>
          <w:b/>
          <w:bCs/>
        </w:rPr>
        <w:t>63</w:t>
      </w:r>
      <w:r w:rsidRPr="00BE12AC">
        <w:rPr>
          <w:rFonts w:ascii="Book Antiqua" w:eastAsia="Book Antiqua" w:hAnsi="Book Antiqua" w:cs="Book Antiqua"/>
        </w:rPr>
        <w:t>: 706-713 [PMID: 12606781 DOI: 10.1124/mol.63.3.706]</w:t>
      </w:r>
    </w:p>
    <w:p w14:paraId="5E45AB81"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44 </w:t>
      </w:r>
      <w:r w:rsidRPr="00BE12AC">
        <w:rPr>
          <w:rFonts w:ascii="Book Antiqua" w:eastAsia="Book Antiqua" w:hAnsi="Book Antiqua" w:cs="Book Antiqua"/>
          <w:b/>
          <w:bCs/>
        </w:rPr>
        <w:t>Hwang SM</w:t>
      </w:r>
      <w:r w:rsidRPr="00BE12AC">
        <w:rPr>
          <w:rFonts w:ascii="Book Antiqua" w:eastAsia="Book Antiqua" w:hAnsi="Book Antiqua" w:cs="Book Antiqua"/>
        </w:rPr>
        <w:t xml:space="preserve">, Koo NY, Choi SY, Chun GS, Kim JS, Park K. P2X7 Receptor-mediated Membrane Blebbing in Salivary Epithelial Cells. </w:t>
      </w:r>
      <w:r w:rsidRPr="00BE12AC">
        <w:rPr>
          <w:rFonts w:ascii="Book Antiqua" w:eastAsia="Book Antiqua" w:hAnsi="Book Antiqua" w:cs="Book Antiqua"/>
          <w:i/>
          <w:iCs/>
        </w:rPr>
        <w:t>Korean J Physiol Pharmacol</w:t>
      </w:r>
      <w:r w:rsidRPr="00BE12AC">
        <w:rPr>
          <w:rFonts w:ascii="Book Antiqua" w:eastAsia="Book Antiqua" w:hAnsi="Book Antiqua" w:cs="Book Antiqua"/>
        </w:rPr>
        <w:t xml:space="preserve"> 2009; </w:t>
      </w:r>
      <w:r w:rsidRPr="00BE12AC">
        <w:rPr>
          <w:rFonts w:ascii="Book Antiqua" w:eastAsia="Book Antiqua" w:hAnsi="Book Antiqua" w:cs="Book Antiqua"/>
          <w:b/>
          <w:bCs/>
        </w:rPr>
        <w:t>13</w:t>
      </w:r>
      <w:r w:rsidRPr="00BE12AC">
        <w:rPr>
          <w:rFonts w:ascii="Book Antiqua" w:eastAsia="Book Antiqua" w:hAnsi="Book Antiqua" w:cs="Book Antiqua"/>
        </w:rPr>
        <w:t>: 175-179 [PMID: 19885034 DOI: 10.4196/kjpp.2009.13.3.175]</w:t>
      </w:r>
    </w:p>
    <w:p w14:paraId="31D14E74"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45 </w:t>
      </w:r>
      <w:r w:rsidRPr="00BE12AC">
        <w:rPr>
          <w:rFonts w:ascii="Book Antiqua" w:eastAsia="Book Antiqua" w:hAnsi="Book Antiqua" w:cs="Book Antiqua"/>
          <w:b/>
          <w:bCs/>
        </w:rPr>
        <w:t>Tsukimoto M</w:t>
      </w:r>
      <w:r w:rsidRPr="00BE12AC">
        <w:rPr>
          <w:rFonts w:ascii="Book Antiqua" w:eastAsia="Book Antiqua" w:hAnsi="Book Antiqua" w:cs="Book Antiqua"/>
        </w:rPr>
        <w:t xml:space="preserve">, Maehata M, Harada H, Ikari A, Takagi K, Degawa M. P2X7 receptor-dependent cell death is modulated during murine T cell maturation and mediated by dual signaling pathways. </w:t>
      </w:r>
      <w:r w:rsidRPr="00BE12AC">
        <w:rPr>
          <w:rFonts w:ascii="Book Antiqua" w:eastAsia="Book Antiqua" w:hAnsi="Book Antiqua" w:cs="Book Antiqua"/>
          <w:i/>
          <w:iCs/>
        </w:rPr>
        <w:t>J Immunol</w:t>
      </w:r>
      <w:r w:rsidRPr="00BE12AC">
        <w:rPr>
          <w:rFonts w:ascii="Book Antiqua" w:eastAsia="Book Antiqua" w:hAnsi="Book Antiqua" w:cs="Book Antiqua"/>
        </w:rPr>
        <w:t xml:space="preserve"> 2006; </w:t>
      </w:r>
      <w:r w:rsidRPr="00BE12AC">
        <w:rPr>
          <w:rFonts w:ascii="Book Antiqua" w:eastAsia="Book Antiqua" w:hAnsi="Book Antiqua" w:cs="Book Antiqua"/>
          <w:b/>
          <w:bCs/>
        </w:rPr>
        <w:t>177</w:t>
      </w:r>
      <w:r w:rsidRPr="00BE12AC">
        <w:rPr>
          <w:rFonts w:ascii="Book Antiqua" w:eastAsia="Book Antiqua" w:hAnsi="Book Antiqua" w:cs="Book Antiqua"/>
        </w:rPr>
        <w:t>: 2842-2850 [PMID: 16920919 DOI: 10.4049/jimmunol.177.5.2842]</w:t>
      </w:r>
    </w:p>
    <w:p w14:paraId="45BB82C5"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46 </w:t>
      </w:r>
      <w:r w:rsidRPr="00BE12AC">
        <w:rPr>
          <w:rFonts w:ascii="Book Antiqua" w:eastAsia="Book Antiqua" w:hAnsi="Book Antiqua" w:cs="Book Antiqua"/>
          <w:b/>
          <w:bCs/>
        </w:rPr>
        <w:t>Banfi C</w:t>
      </w:r>
      <w:r w:rsidRPr="00BE12AC">
        <w:rPr>
          <w:rFonts w:ascii="Book Antiqua" w:eastAsia="Book Antiqua" w:hAnsi="Book Antiqua" w:cs="Book Antiqua"/>
        </w:rPr>
        <w:t xml:space="preserve">, Ferrario S, De Vincenti O, Ceruti S, Fumagalli M, Mazzola A, D' Ambrosi N, Volontè C, Fratto P, Vitali E, Burnstock G, Beltrami E, Parolari A, Polvani G, Biglioli P, Tremoli E, Abbracchio MP. P2 receptors in human heart: upregulation of P2X6 in patients undergoing heart transplantation, interaction with TNFalpha and potential role in </w:t>
      </w:r>
      <w:r w:rsidRPr="00BE12AC">
        <w:rPr>
          <w:rFonts w:ascii="Book Antiqua" w:eastAsia="Book Antiqua" w:hAnsi="Book Antiqua" w:cs="Book Antiqua"/>
        </w:rPr>
        <w:lastRenderedPageBreak/>
        <w:t xml:space="preserve">myocardial cell death. </w:t>
      </w:r>
      <w:r w:rsidRPr="00BE12AC">
        <w:rPr>
          <w:rFonts w:ascii="Book Antiqua" w:eastAsia="Book Antiqua" w:hAnsi="Book Antiqua" w:cs="Book Antiqua"/>
          <w:i/>
          <w:iCs/>
        </w:rPr>
        <w:t>J Mol Cell Cardiol</w:t>
      </w:r>
      <w:r w:rsidRPr="00BE12AC">
        <w:rPr>
          <w:rFonts w:ascii="Book Antiqua" w:eastAsia="Book Antiqua" w:hAnsi="Book Antiqua" w:cs="Book Antiqua"/>
        </w:rPr>
        <w:t xml:space="preserve"> 2005; </w:t>
      </w:r>
      <w:r w:rsidRPr="00BE12AC">
        <w:rPr>
          <w:rFonts w:ascii="Book Antiqua" w:eastAsia="Book Antiqua" w:hAnsi="Book Antiqua" w:cs="Book Antiqua"/>
          <w:b/>
          <w:bCs/>
        </w:rPr>
        <w:t>39</w:t>
      </w:r>
      <w:r w:rsidRPr="00BE12AC">
        <w:rPr>
          <w:rFonts w:ascii="Book Antiqua" w:eastAsia="Book Antiqua" w:hAnsi="Book Antiqua" w:cs="Book Antiqua"/>
        </w:rPr>
        <w:t>: 929-939 [PMID: 16242142 DOI: 10.1016/j.yjmcc.2005.09.002]</w:t>
      </w:r>
    </w:p>
    <w:p w14:paraId="4594961C"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47 </w:t>
      </w:r>
      <w:r w:rsidRPr="00BE12AC">
        <w:rPr>
          <w:rFonts w:ascii="Book Antiqua" w:eastAsia="Book Antiqua" w:hAnsi="Book Antiqua" w:cs="Book Antiqua"/>
          <w:b/>
          <w:bCs/>
        </w:rPr>
        <w:t>Hide I</w:t>
      </w:r>
      <w:r w:rsidRPr="00BE12AC">
        <w:rPr>
          <w:rFonts w:ascii="Book Antiqua" w:eastAsia="Book Antiqua" w:hAnsi="Book Antiqua" w:cs="Book Antiqua"/>
        </w:rPr>
        <w:t xml:space="preserve">, Tanaka M, Inoue A, Nakajima K, Kohsaka S, Inoue K, Nakata Y. Extracellular ATP triggers tumor necrosis factor-alpha release from rat microglia. </w:t>
      </w:r>
      <w:r w:rsidRPr="00BE12AC">
        <w:rPr>
          <w:rFonts w:ascii="Book Antiqua" w:eastAsia="Book Antiqua" w:hAnsi="Book Antiqua" w:cs="Book Antiqua"/>
          <w:i/>
          <w:iCs/>
        </w:rPr>
        <w:t>J Neurochem</w:t>
      </w:r>
      <w:r w:rsidRPr="00BE12AC">
        <w:rPr>
          <w:rFonts w:ascii="Book Antiqua" w:eastAsia="Book Antiqua" w:hAnsi="Book Antiqua" w:cs="Book Antiqua"/>
        </w:rPr>
        <w:t xml:space="preserve"> 2000; </w:t>
      </w:r>
      <w:r w:rsidRPr="00BE12AC">
        <w:rPr>
          <w:rFonts w:ascii="Book Antiqua" w:eastAsia="Book Antiqua" w:hAnsi="Book Antiqua" w:cs="Book Antiqua"/>
          <w:b/>
          <w:bCs/>
        </w:rPr>
        <w:t>75</w:t>
      </w:r>
      <w:r w:rsidRPr="00BE12AC">
        <w:rPr>
          <w:rFonts w:ascii="Book Antiqua" w:eastAsia="Book Antiqua" w:hAnsi="Book Antiqua" w:cs="Book Antiqua"/>
        </w:rPr>
        <w:t>: 965-972 [PMID: 10936177 DOI: 10.1046/j.1471-4159.2000.0750965.x]</w:t>
      </w:r>
    </w:p>
    <w:p w14:paraId="704F8224"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48 </w:t>
      </w:r>
      <w:r w:rsidRPr="00BE12AC">
        <w:rPr>
          <w:rFonts w:ascii="Book Antiqua" w:eastAsia="Book Antiqua" w:hAnsi="Book Antiqua" w:cs="Book Antiqua"/>
          <w:b/>
          <w:bCs/>
        </w:rPr>
        <w:t>Ousingsawat J</w:t>
      </w:r>
      <w:r w:rsidRPr="00BE12AC">
        <w:rPr>
          <w:rFonts w:ascii="Book Antiqua" w:eastAsia="Book Antiqua" w:hAnsi="Book Antiqua" w:cs="Book Antiqua"/>
        </w:rPr>
        <w:t xml:space="preserve">, Wanitchakool P, Kmit A, Romao AM, Jantarajit W, Schreiber R, Kunzelmann K. Anoctamin 6 mediates effects essential for innate immunity downstream of P2X7 receptors in macrophages. </w:t>
      </w:r>
      <w:r w:rsidRPr="00BE12AC">
        <w:rPr>
          <w:rFonts w:ascii="Book Antiqua" w:eastAsia="Book Antiqua" w:hAnsi="Book Antiqua" w:cs="Book Antiqua"/>
          <w:i/>
          <w:iCs/>
        </w:rPr>
        <w:t>Nat Commun</w:t>
      </w:r>
      <w:r w:rsidRPr="00BE12AC">
        <w:rPr>
          <w:rFonts w:ascii="Book Antiqua" w:eastAsia="Book Antiqua" w:hAnsi="Book Antiqua" w:cs="Book Antiqua"/>
        </w:rPr>
        <w:t xml:space="preserve"> 2015; </w:t>
      </w:r>
      <w:r w:rsidRPr="00BE12AC">
        <w:rPr>
          <w:rFonts w:ascii="Book Antiqua" w:eastAsia="Book Antiqua" w:hAnsi="Book Antiqua" w:cs="Book Antiqua"/>
          <w:b/>
          <w:bCs/>
        </w:rPr>
        <w:t>6</w:t>
      </w:r>
      <w:r w:rsidRPr="00BE12AC">
        <w:rPr>
          <w:rFonts w:ascii="Book Antiqua" w:eastAsia="Book Antiqua" w:hAnsi="Book Antiqua" w:cs="Book Antiqua"/>
        </w:rPr>
        <w:t>: 6245 [PMID: 25651887 DOI: 10.1038/ncomms7245]</w:t>
      </w:r>
    </w:p>
    <w:p w14:paraId="35409458"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49 </w:t>
      </w:r>
      <w:r w:rsidRPr="00BE12AC">
        <w:rPr>
          <w:rFonts w:ascii="Book Antiqua" w:eastAsia="Book Antiqua" w:hAnsi="Book Antiqua" w:cs="Book Antiqua"/>
          <w:b/>
          <w:bCs/>
        </w:rPr>
        <w:t>Wang J</w:t>
      </w:r>
      <w:r w:rsidRPr="00BE12AC">
        <w:rPr>
          <w:rFonts w:ascii="Book Antiqua" w:eastAsia="Book Antiqua" w:hAnsi="Book Antiqua" w:cs="Book Antiqua"/>
        </w:rPr>
        <w:t xml:space="preserve">, Liu S, Nie Y, Wu B, Wu Q, Song M, Tang M, Xiao L, Xu P, Tan X, Zhang L, Li G, Liang S, Zhang C. Activation of P2X7 receptors decreases the proliferation of murine luteal cells. </w:t>
      </w:r>
      <w:r w:rsidRPr="00BE12AC">
        <w:rPr>
          <w:rFonts w:ascii="Book Antiqua" w:eastAsia="Book Antiqua" w:hAnsi="Book Antiqua" w:cs="Book Antiqua"/>
          <w:i/>
          <w:iCs/>
        </w:rPr>
        <w:t>Reprod Fertil Dev</w:t>
      </w:r>
      <w:r w:rsidRPr="00BE12AC">
        <w:rPr>
          <w:rFonts w:ascii="Book Antiqua" w:eastAsia="Book Antiqua" w:hAnsi="Book Antiqua" w:cs="Book Antiqua"/>
        </w:rPr>
        <w:t xml:space="preserve"> 2015; </w:t>
      </w:r>
      <w:r w:rsidRPr="00BE12AC">
        <w:rPr>
          <w:rFonts w:ascii="Book Antiqua" w:eastAsia="Book Antiqua" w:hAnsi="Book Antiqua" w:cs="Book Antiqua"/>
          <w:b/>
          <w:bCs/>
        </w:rPr>
        <w:t>27</w:t>
      </w:r>
      <w:r w:rsidRPr="00BE12AC">
        <w:rPr>
          <w:rFonts w:ascii="Book Antiqua" w:eastAsia="Book Antiqua" w:hAnsi="Book Antiqua" w:cs="Book Antiqua"/>
        </w:rPr>
        <w:t>: 1262-1271 [PMID: 25782073 DOI: 10.1071/RD14381]</w:t>
      </w:r>
    </w:p>
    <w:p w14:paraId="0987B1CA"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50 </w:t>
      </w:r>
      <w:r w:rsidRPr="00BE12AC">
        <w:rPr>
          <w:rFonts w:ascii="Book Antiqua" w:eastAsia="Book Antiqua" w:hAnsi="Book Antiqua" w:cs="Book Antiqua"/>
          <w:b/>
          <w:bCs/>
        </w:rPr>
        <w:t>Park M</w:t>
      </w:r>
      <w:r w:rsidRPr="00BE12AC">
        <w:rPr>
          <w:rFonts w:ascii="Book Antiqua" w:eastAsia="Book Antiqua" w:hAnsi="Book Antiqua" w:cs="Book Antiqua"/>
        </w:rPr>
        <w:t xml:space="preserve">, Kim J, Phuong NTT, Park JG, Park JH, Kim YC, Baek MC, Lim SC, Kang KW. Involvement of the P2X7 receptor in the migration and metastasis of tamoxifen-resistant breast cancer: effects on small extracellular vesicles production. </w:t>
      </w:r>
      <w:r w:rsidRPr="00BE12AC">
        <w:rPr>
          <w:rFonts w:ascii="Book Antiqua" w:eastAsia="Book Antiqua" w:hAnsi="Book Antiqua" w:cs="Book Antiqua"/>
          <w:i/>
          <w:iCs/>
        </w:rPr>
        <w:t>Sci Rep</w:t>
      </w:r>
      <w:r w:rsidRPr="00BE12AC">
        <w:rPr>
          <w:rFonts w:ascii="Book Antiqua" w:eastAsia="Book Antiqua" w:hAnsi="Book Antiqua" w:cs="Book Antiqua"/>
        </w:rPr>
        <w:t xml:space="preserve"> 2019; </w:t>
      </w:r>
      <w:r w:rsidRPr="00BE12AC">
        <w:rPr>
          <w:rFonts w:ascii="Book Antiqua" w:eastAsia="Book Antiqua" w:hAnsi="Book Antiqua" w:cs="Book Antiqua"/>
          <w:b/>
          <w:bCs/>
        </w:rPr>
        <w:t>9</w:t>
      </w:r>
      <w:r w:rsidRPr="00BE12AC">
        <w:rPr>
          <w:rFonts w:ascii="Book Antiqua" w:eastAsia="Book Antiqua" w:hAnsi="Book Antiqua" w:cs="Book Antiqua"/>
        </w:rPr>
        <w:t>: 11587 [PMID: 31406126 DOI: 10.1038/s41598-019-47734-z]</w:t>
      </w:r>
    </w:p>
    <w:p w14:paraId="35BC403D"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51 </w:t>
      </w:r>
      <w:r w:rsidRPr="00BE12AC">
        <w:rPr>
          <w:rFonts w:ascii="Book Antiqua" w:eastAsia="Book Antiqua" w:hAnsi="Book Antiqua" w:cs="Book Antiqua"/>
          <w:b/>
          <w:bCs/>
        </w:rPr>
        <w:t>Murrell-Lagnado RD</w:t>
      </w:r>
      <w:r w:rsidRPr="00BE12AC">
        <w:rPr>
          <w:rFonts w:ascii="Book Antiqua" w:eastAsia="Book Antiqua" w:hAnsi="Book Antiqua" w:cs="Book Antiqua"/>
        </w:rPr>
        <w:t xml:space="preserve">, Frick M. P2X4 and lysosome fusion. </w:t>
      </w:r>
      <w:r w:rsidRPr="00BE12AC">
        <w:rPr>
          <w:rFonts w:ascii="Book Antiqua" w:eastAsia="Book Antiqua" w:hAnsi="Book Antiqua" w:cs="Book Antiqua"/>
          <w:i/>
          <w:iCs/>
        </w:rPr>
        <w:t>Curr Opin Pharmacol</w:t>
      </w:r>
      <w:r w:rsidRPr="00BE12AC">
        <w:rPr>
          <w:rFonts w:ascii="Book Antiqua" w:eastAsia="Book Antiqua" w:hAnsi="Book Antiqua" w:cs="Book Antiqua"/>
        </w:rPr>
        <w:t xml:space="preserve"> 2019; </w:t>
      </w:r>
      <w:r w:rsidRPr="00BE12AC">
        <w:rPr>
          <w:rFonts w:ascii="Book Antiqua" w:eastAsia="Book Antiqua" w:hAnsi="Book Antiqua" w:cs="Book Antiqua"/>
          <w:b/>
          <w:bCs/>
        </w:rPr>
        <w:t>47</w:t>
      </w:r>
      <w:r w:rsidRPr="00BE12AC">
        <w:rPr>
          <w:rFonts w:ascii="Book Antiqua" w:eastAsia="Book Antiqua" w:hAnsi="Book Antiqua" w:cs="Book Antiqua"/>
        </w:rPr>
        <w:t>: 126-132 [PMID: 31039505 DOI: 10.1016/j.coph.2019.03.002]</w:t>
      </w:r>
    </w:p>
    <w:p w14:paraId="11F9444C"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52 </w:t>
      </w:r>
      <w:r w:rsidRPr="00BE12AC">
        <w:rPr>
          <w:rFonts w:ascii="Book Antiqua" w:eastAsia="Book Antiqua" w:hAnsi="Book Antiqua" w:cs="Book Antiqua"/>
          <w:b/>
          <w:bCs/>
        </w:rPr>
        <w:t>Chadet S</w:t>
      </w:r>
      <w:r w:rsidRPr="00BE12AC">
        <w:rPr>
          <w:rFonts w:ascii="Book Antiqua" w:eastAsia="Book Antiqua" w:hAnsi="Book Antiqua" w:cs="Book Antiqua"/>
        </w:rPr>
        <w:t xml:space="preserve">, Allard J, Brisson L, Lopez-Charcas O, Lemoine R, Heraud A, Lerondel S, Guibon R, Fromont G, Le Pape A, Angoulvant D, Jiang LH, Murrell-Lagnado R, Roger S. P2x4 receptor promotes mammary cancer progression by sustaining autophagy and associated mesenchymal transition. </w:t>
      </w:r>
      <w:r w:rsidRPr="00BE12AC">
        <w:rPr>
          <w:rFonts w:ascii="Book Antiqua" w:eastAsia="Book Antiqua" w:hAnsi="Book Antiqua" w:cs="Book Antiqua"/>
          <w:i/>
          <w:iCs/>
        </w:rPr>
        <w:t>Oncogene</w:t>
      </w:r>
      <w:r w:rsidRPr="00BE12AC">
        <w:rPr>
          <w:rFonts w:ascii="Book Antiqua" w:eastAsia="Book Antiqua" w:hAnsi="Book Antiqua" w:cs="Book Antiqua"/>
        </w:rPr>
        <w:t xml:space="preserve"> 2022; </w:t>
      </w:r>
      <w:r w:rsidRPr="00BE12AC">
        <w:rPr>
          <w:rFonts w:ascii="Book Antiqua" w:eastAsia="Book Antiqua" w:hAnsi="Book Antiqua" w:cs="Book Antiqua"/>
          <w:b/>
          <w:bCs/>
        </w:rPr>
        <w:t>41</w:t>
      </w:r>
      <w:r w:rsidRPr="00BE12AC">
        <w:rPr>
          <w:rFonts w:ascii="Book Antiqua" w:eastAsia="Book Antiqua" w:hAnsi="Book Antiqua" w:cs="Book Antiqua"/>
        </w:rPr>
        <w:t>: 2920-2931 [PMID: 35411034 DOI: 10.1038/s41388-022-02297-8]</w:t>
      </w:r>
    </w:p>
    <w:p w14:paraId="22BDCCD0"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53 </w:t>
      </w:r>
      <w:r w:rsidRPr="00BE12AC">
        <w:rPr>
          <w:rFonts w:ascii="Book Antiqua" w:eastAsia="Book Antiqua" w:hAnsi="Book Antiqua" w:cs="Book Antiqua"/>
          <w:b/>
          <w:bCs/>
        </w:rPr>
        <w:t>Chaudhary S</w:t>
      </w:r>
      <w:r w:rsidRPr="00BE12AC">
        <w:rPr>
          <w:rFonts w:ascii="Book Antiqua" w:eastAsia="Book Antiqua" w:hAnsi="Book Antiqua" w:cs="Book Antiqua"/>
        </w:rPr>
        <w:t xml:space="preserve">, Madhukrishna B, Adhya AK, Keshari S, Mishra SK. Overexpression of caspase 7 is ERα dependent to affect proliferation and cell growth in breast cancer cells by targeting p21(Cip). </w:t>
      </w:r>
      <w:r w:rsidRPr="00BE12AC">
        <w:rPr>
          <w:rFonts w:ascii="Book Antiqua" w:eastAsia="Book Antiqua" w:hAnsi="Book Antiqua" w:cs="Book Antiqua"/>
          <w:i/>
          <w:iCs/>
        </w:rPr>
        <w:t>Oncogenesis</w:t>
      </w:r>
      <w:r w:rsidRPr="00BE12AC">
        <w:rPr>
          <w:rFonts w:ascii="Book Antiqua" w:eastAsia="Book Antiqua" w:hAnsi="Book Antiqua" w:cs="Book Antiqua"/>
        </w:rPr>
        <w:t xml:space="preserve"> 2016; </w:t>
      </w:r>
      <w:r w:rsidRPr="00BE12AC">
        <w:rPr>
          <w:rFonts w:ascii="Book Antiqua" w:eastAsia="Book Antiqua" w:hAnsi="Book Antiqua" w:cs="Book Antiqua"/>
          <w:b/>
          <w:bCs/>
        </w:rPr>
        <w:t>5</w:t>
      </w:r>
      <w:r w:rsidRPr="00BE12AC">
        <w:rPr>
          <w:rFonts w:ascii="Book Antiqua" w:eastAsia="Book Antiqua" w:hAnsi="Book Antiqua" w:cs="Book Antiqua"/>
        </w:rPr>
        <w:t>: e219 [PMID: 27089142 DOI: 10.1038/oncsis.2016.12]</w:t>
      </w:r>
    </w:p>
    <w:p w14:paraId="6666F9B0"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54 </w:t>
      </w:r>
      <w:r w:rsidRPr="00BE12AC">
        <w:rPr>
          <w:rFonts w:ascii="Book Antiqua" w:eastAsia="Book Antiqua" w:hAnsi="Book Antiqua" w:cs="Book Antiqua"/>
          <w:b/>
          <w:bCs/>
        </w:rPr>
        <w:t>Hung CS</w:t>
      </w:r>
      <w:r w:rsidRPr="00BE12AC">
        <w:rPr>
          <w:rFonts w:ascii="Book Antiqua" w:eastAsia="Book Antiqua" w:hAnsi="Book Antiqua" w:cs="Book Antiqua"/>
        </w:rPr>
        <w:t xml:space="preserve">, Wang SC, Yen YT, Lee TH, Wen WC, Lin RK. Hypermethylation of CCND2 in Lung and Breast Cancer Is a Potential Biomarker and Drug Target. </w:t>
      </w:r>
      <w:r w:rsidRPr="00BE12AC">
        <w:rPr>
          <w:rFonts w:ascii="Book Antiqua" w:eastAsia="Book Antiqua" w:hAnsi="Book Antiqua" w:cs="Book Antiqua"/>
          <w:i/>
          <w:iCs/>
        </w:rPr>
        <w:t>Int J Mol Sci</w:t>
      </w:r>
      <w:r w:rsidRPr="00BE12AC">
        <w:rPr>
          <w:rFonts w:ascii="Book Antiqua" w:eastAsia="Book Antiqua" w:hAnsi="Book Antiqua" w:cs="Book Antiqua"/>
        </w:rPr>
        <w:t xml:space="preserve"> 2018; </w:t>
      </w:r>
      <w:r w:rsidRPr="00BE12AC">
        <w:rPr>
          <w:rFonts w:ascii="Book Antiqua" w:eastAsia="Book Antiqua" w:hAnsi="Book Antiqua" w:cs="Book Antiqua"/>
          <w:b/>
          <w:bCs/>
        </w:rPr>
        <w:t>19</w:t>
      </w:r>
      <w:r w:rsidRPr="00BE12AC">
        <w:rPr>
          <w:rFonts w:ascii="Book Antiqua" w:eastAsia="Book Antiqua" w:hAnsi="Book Antiqua" w:cs="Book Antiqua"/>
        </w:rPr>
        <w:t xml:space="preserve"> [PMID: 30308939 DOI: 10.3390/ijms19103096]</w:t>
      </w:r>
    </w:p>
    <w:p w14:paraId="1785C2A3"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lastRenderedPageBreak/>
        <w:t xml:space="preserve">55 </w:t>
      </w:r>
      <w:r w:rsidRPr="00BE12AC">
        <w:rPr>
          <w:rFonts w:ascii="Book Antiqua" w:eastAsia="Book Antiqua" w:hAnsi="Book Antiqua" w:cs="Book Antiqua"/>
          <w:b/>
          <w:bCs/>
        </w:rPr>
        <w:t>Lei B</w:t>
      </w:r>
      <w:r w:rsidRPr="00BE12AC">
        <w:rPr>
          <w:rFonts w:ascii="Book Antiqua" w:eastAsia="Book Antiqua" w:hAnsi="Book Antiqua" w:cs="Book Antiqua"/>
        </w:rPr>
        <w:t xml:space="preserve">, Wang D, Zhang M, Deng Y, Jiang H, Li Y. miR-615-3p promotes the epithelial-mesenchymal transition and metastasis of breast cancer by targeting PICK1/TGFBRI axis. </w:t>
      </w:r>
      <w:r w:rsidRPr="00BE12AC">
        <w:rPr>
          <w:rFonts w:ascii="Book Antiqua" w:eastAsia="Book Antiqua" w:hAnsi="Book Antiqua" w:cs="Book Antiqua"/>
          <w:i/>
          <w:iCs/>
        </w:rPr>
        <w:t>J Exp Clin Cancer Res</w:t>
      </w:r>
      <w:r w:rsidRPr="00BE12AC">
        <w:rPr>
          <w:rFonts w:ascii="Book Antiqua" w:eastAsia="Book Antiqua" w:hAnsi="Book Antiqua" w:cs="Book Antiqua"/>
        </w:rPr>
        <w:t xml:space="preserve"> 2020; </w:t>
      </w:r>
      <w:r w:rsidRPr="00BE12AC">
        <w:rPr>
          <w:rFonts w:ascii="Book Antiqua" w:eastAsia="Book Antiqua" w:hAnsi="Book Antiqua" w:cs="Book Antiqua"/>
          <w:b/>
          <w:bCs/>
        </w:rPr>
        <w:t>39</w:t>
      </w:r>
      <w:r w:rsidRPr="00BE12AC">
        <w:rPr>
          <w:rFonts w:ascii="Book Antiqua" w:eastAsia="Book Antiqua" w:hAnsi="Book Antiqua" w:cs="Book Antiqua"/>
        </w:rPr>
        <w:t>: 71 [PMID: 32336285 DOI: 10.1186/s13046-020-01571-5]</w:t>
      </w:r>
    </w:p>
    <w:p w14:paraId="018897B3"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56 </w:t>
      </w:r>
      <w:r w:rsidRPr="00BE12AC">
        <w:rPr>
          <w:rFonts w:ascii="Book Antiqua" w:eastAsia="Book Antiqua" w:hAnsi="Book Antiqua" w:cs="Book Antiqua"/>
          <w:b/>
          <w:bCs/>
        </w:rPr>
        <w:t>Abdelaleem OO</w:t>
      </w:r>
      <w:r w:rsidRPr="00BE12AC">
        <w:rPr>
          <w:rFonts w:ascii="Book Antiqua" w:eastAsia="Book Antiqua" w:hAnsi="Book Antiqua" w:cs="Book Antiqua"/>
        </w:rPr>
        <w:t xml:space="preserve">, Shaker OG, AbdelHafez MN, Abdelghaffar NK, Eid HM, Zaidan M, Khalefa AA, Ahmed NA, Hemeda NF, Zaki OM, Awaji AAA, Mohammed SR. The Influence of rs1859168 Polymorphism on Serum Expression of HOTTIP and Its Target miR-615-3p in Egyptian Patients with Breast Cancer. </w:t>
      </w:r>
      <w:r w:rsidRPr="00BE12AC">
        <w:rPr>
          <w:rFonts w:ascii="Book Antiqua" w:eastAsia="Book Antiqua" w:hAnsi="Book Antiqua" w:cs="Book Antiqua"/>
          <w:i/>
          <w:iCs/>
        </w:rPr>
        <w:t>Biomolecules</w:t>
      </w:r>
      <w:r w:rsidRPr="00BE12AC">
        <w:rPr>
          <w:rFonts w:ascii="Book Antiqua" w:eastAsia="Book Antiqua" w:hAnsi="Book Antiqua" w:cs="Book Antiqua"/>
        </w:rPr>
        <w:t xml:space="preserve"> 2021; </w:t>
      </w:r>
      <w:r w:rsidRPr="00BE12AC">
        <w:rPr>
          <w:rFonts w:ascii="Book Antiqua" w:eastAsia="Book Antiqua" w:hAnsi="Book Antiqua" w:cs="Book Antiqua"/>
          <w:b/>
          <w:bCs/>
        </w:rPr>
        <w:t>11</w:t>
      </w:r>
      <w:r w:rsidRPr="00BE12AC">
        <w:rPr>
          <w:rFonts w:ascii="Book Antiqua" w:eastAsia="Book Antiqua" w:hAnsi="Book Antiqua" w:cs="Book Antiqua"/>
        </w:rPr>
        <w:t xml:space="preserve"> [PMID: 34069089 DOI: 10.3390/biom11050733]</w:t>
      </w:r>
    </w:p>
    <w:p w14:paraId="70304F25"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57 </w:t>
      </w:r>
      <w:r w:rsidRPr="00BE12AC">
        <w:rPr>
          <w:rFonts w:ascii="Book Antiqua" w:eastAsia="Book Antiqua" w:hAnsi="Book Antiqua" w:cs="Book Antiqua"/>
          <w:b/>
          <w:bCs/>
        </w:rPr>
        <w:t>Wang J</w:t>
      </w:r>
      <w:r w:rsidRPr="00BE12AC">
        <w:rPr>
          <w:rFonts w:ascii="Book Antiqua" w:eastAsia="Book Antiqua" w:hAnsi="Book Antiqua" w:cs="Book Antiqua"/>
        </w:rPr>
        <w:t xml:space="preserve">, Liu L, Sun Y, Xue Y, Qu J, Pan S, Li H, Qu H, Wang J, Zhang J. miR-615-3p promotes proliferation and migration and inhibits apoptosis through its potential target CELF2 in gastric cancer. </w:t>
      </w:r>
      <w:r w:rsidRPr="00BE12AC">
        <w:rPr>
          <w:rFonts w:ascii="Book Antiqua" w:eastAsia="Book Antiqua" w:hAnsi="Book Antiqua" w:cs="Book Antiqua"/>
          <w:i/>
          <w:iCs/>
        </w:rPr>
        <w:t>Biomed Pharmacother</w:t>
      </w:r>
      <w:r w:rsidRPr="00BE12AC">
        <w:rPr>
          <w:rFonts w:ascii="Book Antiqua" w:eastAsia="Book Antiqua" w:hAnsi="Book Antiqua" w:cs="Book Antiqua"/>
        </w:rPr>
        <w:t xml:space="preserve"> 2018; </w:t>
      </w:r>
      <w:r w:rsidRPr="00BE12AC">
        <w:rPr>
          <w:rFonts w:ascii="Book Antiqua" w:eastAsia="Book Antiqua" w:hAnsi="Book Antiqua" w:cs="Book Antiqua"/>
          <w:b/>
          <w:bCs/>
        </w:rPr>
        <w:t>101</w:t>
      </w:r>
      <w:r w:rsidRPr="00BE12AC">
        <w:rPr>
          <w:rFonts w:ascii="Book Antiqua" w:eastAsia="Book Antiqua" w:hAnsi="Book Antiqua" w:cs="Book Antiqua"/>
        </w:rPr>
        <w:t>: 406-413 [PMID: 29501762 DOI: 10.1016/j.biopha.2018.02.104]</w:t>
      </w:r>
    </w:p>
    <w:p w14:paraId="0859233A"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58 </w:t>
      </w:r>
      <w:r w:rsidRPr="00BE12AC">
        <w:rPr>
          <w:rFonts w:ascii="Book Antiqua" w:eastAsia="Book Antiqua" w:hAnsi="Book Antiqua" w:cs="Book Antiqua"/>
          <w:b/>
          <w:bCs/>
        </w:rPr>
        <w:t>Zhang Y</w:t>
      </w:r>
      <w:r w:rsidRPr="00BE12AC">
        <w:rPr>
          <w:rFonts w:ascii="Book Antiqua" w:eastAsia="Book Antiqua" w:hAnsi="Book Antiqua" w:cs="Book Antiqua"/>
        </w:rPr>
        <w:t xml:space="preserve">, Sun M, Chen Y, Li B. MiR-519b-3p Inhibits the Proliferation and Invasion in Colorectal Cancer </w:t>
      </w:r>
      <w:r w:rsidRPr="00BE12AC">
        <w:rPr>
          <w:rFonts w:ascii="Book Antiqua" w:eastAsia="Book Antiqua" w:hAnsi="Book Antiqua" w:cs="Book Antiqua"/>
          <w:i/>
          <w:iCs/>
        </w:rPr>
        <w:t>via</w:t>
      </w:r>
      <w:r w:rsidRPr="00BE12AC">
        <w:rPr>
          <w:rFonts w:ascii="Book Antiqua" w:eastAsia="Book Antiqua" w:hAnsi="Book Antiqua" w:cs="Book Antiqua"/>
        </w:rPr>
        <w:t xml:space="preserve"> Modulating the uMtCK/Wnt Signaling Pathway. </w:t>
      </w:r>
      <w:r w:rsidRPr="00BE12AC">
        <w:rPr>
          <w:rFonts w:ascii="Book Antiqua" w:eastAsia="Book Antiqua" w:hAnsi="Book Antiqua" w:cs="Book Antiqua"/>
          <w:i/>
          <w:iCs/>
        </w:rPr>
        <w:t>Front Pharmacol</w:t>
      </w:r>
      <w:r w:rsidRPr="00BE12AC">
        <w:rPr>
          <w:rFonts w:ascii="Book Antiqua" w:eastAsia="Book Antiqua" w:hAnsi="Book Antiqua" w:cs="Book Antiqua"/>
        </w:rPr>
        <w:t xml:space="preserve"> 2019; </w:t>
      </w:r>
      <w:r w:rsidRPr="00BE12AC">
        <w:rPr>
          <w:rFonts w:ascii="Book Antiqua" w:eastAsia="Book Antiqua" w:hAnsi="Book Antiqua" w:cs="Book Antiqua"/>
          <w:b/>
          <w:bCs/>
        </w:rPr>
        <w:t>10</w:t>
      </w:r>
      <w:r w:rsidRPr="00BE12AC">
        <w:rPr>
          <w:rFonts w:ascii="Book Antiqua" w:eastAsia="Book Antiqua" w:hAnsi="Book Antiqua" w:cs="Book Antiqua"/>
        </w:rPr>
        <w:t>: 741 [PMID: 31312141 DOI: 10.3389/fphar.2019.00741]</w:t>
      </w:r>
    </w:p>
    <w:p w14:paraId="5EA90C8F"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59 </w:t>
      </w:r>
      <w:r w:rsidRPr="00BE12AC">
        <w:rPr>
          <w:rFonts w:ascii="Book Antiqua" w:eastAsia="Book Antiqua" w:hAnsi="Book Antiqua" w:cs="Book Antiqua"/>
          <w:b/>
          <w:bCs/>
        </w:rPr>
        <w:t>Cheng Z</w:t>
      </w:r>
      <w:r w:rsidRPr="00BE12AC">
        <w:rPr>
          <w:rFonts w:ascii="Book Antiqua" w:eastAsia="Book Antiqua" w:hAnsi="Book Antiqua" w:cs="Book Antiqua"/>
        </w:rPr>
        <w:t xml:space="preserve">, Hou S, Wu Y, Wang X, Sun Y, Liu B, Yuan M. LINC01419 promotes cell proliferation and metastasis in lung adenocarcinoma </w:t>
      </w:r>
      <w:r w:rsidRPr="00BE12AC">
        <w:rPr>
          <w:rFonts w:ascii="Book Antiqua" w:eastAsia="Book Antiqua" w:hAnsi="Book Antiqua" w:cs="Book Antiqua"/>
          <w:i/>
          <w:iCs/>
        </w:rPr>
        <w:t>via</w:t>
      </w:r>
      <w:r w:rsidRPr="00BE12AC">
        <w:rPr>
          <w:rFonts w:ascii="Book Antiqua" w:eastAsia="Book Antiqua" w:hAnsi="Book Antiqua" w:cs="Book Antiqua"/>
        </w:rPr>
        <w:t xml:space="preserve"> sponging miR-519b-3p to up-regulate RCCD1. </w:t>
      </w:r>
      <w:r w:rsidRPr="00BE12AC">
        <w:rPr>
          <w:rFonts w:ascii="Book Antiqua" w:eastAsia="Book Antiqua" w:hAnsi="Book Antiqua" w:cs="Book Antiqua"/>
          <w:i/>
          <w:iCs/>
        </w:rPr>
        <w:t>Biochem Biophys Res Commun</w:t>
      </w:r>
      <w:r w:rsidRPr="00BE12AC">
        <w:rPr>
          <w:rFonts w:ascii="Book Antiqua" w:eastAsia="Book Antiqua" w:hAnsi="Book Antiqua" w:cs="Book Antiqua"/>
        </w:rPr>
        <w:t xml:space="preserve"> 2019; </w:t>
      </w:r>
      <w:r w:rsidRPr="00BE12AC">
        <w:rPr>
          <w:rFonts w:ascii="Book Antiqua" w:eastAsia="Book Antiqua" w:hAnsi="Book Antiqua" w:cs="Book Antiqua"/>
          <w:b/>
          <w:bCs/>
        </w:rPr>
        <w:t>520</w:t>
      </w:r>
      <w:r w:rsidRPr="00BE12AC">
        <w:rPr>
          <w:rFonts w:ascii="Book Antiqua" w:eastAsia="Book Antiqua" w:hAnsi="Book Antiqua" w:cs="Book Antiqua"/>
        </w:rPr>
        <w:t>: 107-114 [PMID: 31582214 DOI: 10.1016/j.bbrc.2019.09.090]</w:t>
      </w:r>
    </w:p>
    <w:p w14:paraId="1653B566"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60 </w:t>
      </w:r>
      <w:r w:rsidRPr="00BE12AC">
        <w:rPr>
          <w:rFonts w:ascii="Book Antiqua" w:eastAsia="Book Antiqua" w:hAnsi="Book Antiqua" w:cs="Book Antiqua"/>
          <w:b/>
          <w:bCs/>
        </w:rPr>
        <w:t>Romero-Cordoba SL</w:t>
      </w:r>
      <w:r w:rsidRPr="00BE12AC">
        <w:rPr>
          <w:rFonts w:ascii="Book Antiqua" w:eastAsia="Book Antiqua" w:hAnsi="Book Antiqua" w:cs="Book Antiqua"/>
        </w:rPr>
        <w:t xml:space="preserve">, Rodriguez-Cuevas S, Bautista-Pina V, Maffuz-Aziz A, D'Ippolito E, Cosentino G, Baroni S, Iorio MV, Hidalgo-Miranda A. Loss of function of miR-342-3p results in MCT1 over-expression and contributes to oncogenic metabolic reprogramming in triple negative breast cancer. </w:t>
      </w:r>
      <w:r w:rsidRPr="00BE12AC">
        <w:rPr>
          <w:rFonts w:ascii="Book Antiqua" w:eastAsia="Book Antiqua" w:hAnsi="Book Antiqua" w:cs="Book Antiqua"/>
          <w:i/>
          <w:iCs/>
        </w:rPr>
        <w:t>Sci Rep</w:t>
      </w:r>
      <w:r w:rsidRPr="00BE12AC">
        <w:rPr>
          <w:rFonts w:ascii="Book Antiqua" w:eastAsia="Book Antiqua" w:hAnsi="Book Antiqua" w:cs="Book Antiqua"/>
        </w:rPr>
        <w:t xml:space="preserve"> 2018; </w:t>
      </w:r>
      <w:r w:rsidRPr="00BE12AC">
        <w:rPr>
          <w:rFonts w:ascii="Book Antiqua" w:eastAsia="Book Antiqua" w:hAnsi="Book Antiqua" w:cs="Book Antiqua"/>
          <w:b/>
          <w:bCs/>
        </w:rPr>
        <w:t>8</w:t>
      </w:r>
      <w:r w:rsidRPr="00BE12AC">
        <w:rPr>
          <w:rFonts w:ascii="Book Antiqua" w:eastAsia="Book Antiqua" w:hAnsi="Book Antiqua" w:cs="Book Antiqua"/>
        </w:rPr>
        <w:t>: 12252 [PMID: 30115973 DOI: 10.1038/s41598-018-29708-9]</w:t>
      </w:r>
    </w:p>
    <w:p w14:paraId="2462CFAA"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61 </w:t>
      </w:r>
      <w:r w:rsidRPr="00BE12AC">
        <w:rPr>
          <w:rFonts w:ascii="Book Antiqua" w:eastAsia="Book Antiqua" w:hAnsi="Book Antiqua" w:cs="Book Antiqua"/>
          <w:b/>
          <w:bCs/>
        </w:rPr>
        <w:t>Yu S</w:t>
      </w:r>
      <w:r w:rsidRPr="00BE12AC">
        <w:rPr>
          <w:rFonts w:ascii="Book Antiqua" w:eastAsia="Book Antiqua" w:hAnsi="Book Antiqua" w:cs="Book Antiqua"/>
        </w:rPr>
        <w:t xml:space="preserve">, Zhou Y, Niu L, Qiao Y, Yan Y. Mesenchymal stem cell-derived exosome mir-342-3p inhibits metastasis and chemo-resistance of breast cancer through regulating ID4. </w:t>
      </w:r>
      <w:r w:rsidRPr="00BE12AC">
        <w:rPr>
          <w:rFonts w:ascii="Book Antiqua" w:eastAsia="Book Antiqua" w:hAnsi="Book Antiqua" w:cs="Book Antiqua"/>
          <w:i/>
          <w:iCs/>
        </w:rPr>
        <w:t>Genes Genomics</w:t>
      </w:r>
      <w:r w:rsidRPr="00BE12AC">
        <w:rPr>
          <w:rFonts w:ascii="Book Antiqua" w:eastAsia="Book Antiqua" w:hAnsi="Book Antiqua" w:cs="Book Antiqua"/>
        </w:rPr>
        <w:t xml:space="preserve"> 2022; </w:t>
      </w:r>
      <w:r w:rsidRPr="00BE12AC">
        <w:rPr>
          <w:rFonts w:ascii="Book Antiqua" w:eastAsia="Book Antiqua" w:hAnsi="Book Antiqua" w:cs="Book Antiqua"/>
          <w:b/>
          <w:bCs/>
        </w:rPr>
        <w:t>44</w:t>
      </w:r>
      <w:r w:rsidRPr="00BE12AC">
        <w:rPr>
          <w:rFonts w:ascii="Book Antiqua" w:eastAsia="Book Antiqua" w:hAnsi="Book Antiqua" w:cs="Book Antiqua"/>
        </w:rPr>
        <w:t>: 539-550 [PMID: 35023068 DOI: 10.1007/s13258-021-01200-1]</w:t>
      </w:r>
    </w:p>
    <w:p w14:paraId="7DC57CC7"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62 </w:t>
      </w:r>
      <w:r w:rsidRPr="00BE12AC">
        <w:rPr>
          <w:rFonts w:ascii="Book Antiqua" w:eastAsia="Book Antiqua" w:hAnsi="Book Antiqua" w:cs="Book Antiqua"/>
          <w:b/>
          <w:bCs/>
        </w:rPr>
        <w:t>Hou Y</w:t>
      </w:r>
      <w:r w:rsidRPr="00BE12AC">
        <w:rPr>
          <w:rFonts w:ascii="Book Antiqua" w:eastAsia="Book Antiqua" w:hAnsi="Book Antiqua" w:cs="Book Antiqua"/>
        </w:rPr>
        <w:t xml:space="preserve">, Cai S, Yu S, Lin H. Metformin induces ferroptosis by targeting miR-324-3p/GPX4 axis in breast cancer. </w:t>
      </w:r>
      <w:r w:rsidRPr="00BE12AC">
        <w:rPr>
          <w:rFonts w:ascii="Book Antiqua" w:eastAsia="Book Antiqua" w:hAnsi="Book Antiqua" w:cs="Book Antiqua"/>
          <w:i/>
          <w:iCs/>
        </w:rPr>
        <w:t>Acta Biochim Biophys Sin (Shanghai)</w:t>
      </w:r>
      <w:r w:rsidRPr="00BE12AC">
        <w:rPr>
          <w:rFonts w:ascii="Book Antiqua" w:eastAsia="Book Antiqua" w:hAnsi="Book Antiqua" w:cs="Book Antiqua"/>
        </w:rPr>
        <w:t xml:space="preserve"> 2021; </w:t>
      </w:r>
      <w:r w:rsidRPr="00BE12AC">
        <w:rPr>
          <w:rFonts w:ascii="Book Antiqua" w:eastAsia="Book Antiqua" w:hAnsi="Book Antiqua" w:cs="Book Antiqua"/>
          <w:b/>
          <w:bCs/>
        </w:rPr>
        <w:t>53</w:t>
      </w:r>
      <w:r w:rsidRPr="00BE12AC">
        <w:rPr>
          <w:rFonts w:ascii="Book Antiqua" w:eastAsia="Book Antiqua" w:hAnsi="Book Antiqua" w:cs="Book Antiqua"/>
        </w:rPr>
        <w:t>: 333-341 [PMID: 33522578 DOI: 10.1093/abbs/gmaa180]</w:t>
      </w:r>
    </w:p>
    <w:p w14:paraId="1C50DE33"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lastRenderedPageBreak/>
        <w:t xml:space="preserve">63 </w:t>
      </w:r>
      <w:r w:rsidRPr="00BE12AC">
        <w:rPr>
          <w:rFonts w:ascii="Book Antiqua" w:eastAsia="Book Antiqua" w:hAnsi="Book Antiqua" w:cs="Book Antiqua"/>
          <w:b/>
          <w:bCs/>
        </w:rPr>
        <w:t>Zhang N</w:t>
      </w:r>
      <w:r w:rsidRPr="00BE12AC">
        <w:rPr>
          <w:rFonts w:ascii="Book Antiqua" w:eastAsia="Book Antiqua" w:hAnsi="Book Antiqua" w:cs="Book Antiqua"/>
        </w:rPr>
        <w:t xml:space="preserve">, Zeng X, Sun C, Guo H, Wang T, Wei L, Zhang Y, Zhao J, Ma X. LncRNA LINC00963 Promotes Tumorigenesis and Radioresistance in Breast Cancer by Sponging miR-324-3p and Inducing ACK1 Expression. </w:t>
      </w:r>
      <w:r w:rsidRPr="00BE12AC">
        <w:rPr>
          <w:rFonts w:ascii="Book Antiqua" w:eastAsia="Book Antiqua" w:hAnsi="Book Antiqua" w:cs="Book Antiqua"/>
          <w:i/>
          <w:iCs/>
        </w:rPr>
        <w:t>Mol Ther Nucleic Acids</w:t>
      </w:r>
      <w:r w:rsidRPr="00BE12AC">
        <w:rPr>
          <w:rFonts w:ascii="Book Antiqua" w:eastAsia="Book Antiqua" w:hAnsi="Book Antiqua" w:cs="Book Antiqua"/>
        </w:rPr>
        <w:t xml:space="preserve"> 2019; </w:t>
      </w:r>
      <w:r w:rsidRPr="00BE12AC">
        <w:rPr>
          <w:rFonts w:ascii="Book Antiqua" w:eastAsia="Book Antiqua" w:hAnsi="Book Antiqua" w:cs="Book Antiqua"/>
          <w:b/>
          <w:bCs/>
        </w:rPr>
        <w:t>18</w:t>
      </w:r>
      <w:r w:rsidRPr="00BE12AC">
        <w:rPr>
          <w:rFonts w:ascii="Book Antiqua" w:eastAsia="Book Antiqua" w:hAnsi="Book Antiqua" w:cs="Book Antiqua"/>
        </w:rPr>
        <w:t>: 871-881 [PMID: 31751910 DOI: 10.1016/j.omtn.2019.09.033]</w:t>
      </w:r>
    </w:p>
    <w:p w14:paraId="65690066"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64 </w:t>
      </w:r>
      <w:r w:rsidRPr="00BE12AC">
        <w:rPr>
          <w:rFonts w:ascii="Book Antiqua" w:eastAsia="Book Antiqua" w:hAnsi="Book Antiqua" w:cs="Book Antiqua"/>
          <w:b/>
          <w:bCs/>
        </w:rPr>
        <w:t>Fang X</w:t>
      </w:r>
      <w:r w:rsidRPr="00BE12AC">
        <w:rPr>
          <w:rFonts w:ascii="Book Antiqua" w:eastAsia="Book Antiqua" w:hAnsi="Book Antiqua" w:cs="Book Antiqua"/>
        </w:rPr>
        <w:t xml:space="preserve">, Zhang J, Li C, Liu J, Shi Z, Zhou P. Long non-coding RNA SNHG22 facilitates the malignant phenotypes in triple-negative breast cancer </w:t>
      </w:r>
      <w:r w:rsidRPr="00BE12AC">
        <w:rPr>
          <w:rFonts w:ascii="Book Antiqua" w:eastAsia="Book Antiqua" w:hAnsi="Book Antiqua" w:cs="Book Antiqua"/>
          <w:i/>
          <w:iCs/>
        </w:rPr>
        <w:t>via</w:t>
      </w:r>
      <w:r w:rsidRPr="00BE12AC">
        <w:rPr>
          <w:rFonts w:ascii="Book Antiqua" w:eastAsia="Book Antiqua" w:hAnsi="Book Antiqua" w:cs="Book Antiqua"/>
        </w:rPr>
        <w:t xml:space="preserve"> sponging miR-324-3p and upregulating SUDS3. </w:t>
      </w:r>
      <w:r w:rsidRPr="00BE12AC">
        <w:rPr>
          <w:rFonts w:ascii="Book Antiqua" w:eastAsia="Book Antiqua" w:hAnsi="Book Antiqua" w:cs="Book Antiqua"/>
          <w:i/>
          <w:iCs/>
        </w:rPr>
        <w:t>Cancer Cell Int</w:t>
      </w:r>
      <w:r w:rsidRPr="00BE12AC">
        <w:rPr>
          <w:rFonts w:ascii="Book Antiqua" w:eastAsia="Book Antiqua" w:hAnsi="Book Antiqua" w:cs="Book Antiqua"/>
        </w:rPr>
        <w:t xml:space="preserve"> 2020; </w:t>
      </w:r>
      <w:r w:rsidRPr="00BE12AC">
        <w:rPr>
          <w:rFonts w:ascii="Book Antiqua" w:eastAsia="Book Antiqua" w:hAnsi="Book Antiqua" w:cs="Book Antiqua"/>
          <w:b/>
          <w:bCs/>
        </w:rPr>
        <w:t>20</w:t>
      </w:r>
      <w:r w:rsidRPr="00BE12AC">
        <w:rPr>
          <w:rFonts w:ascii="Book Antiqua" w:eastAsia="Book Antiqua" w:hAnsi="Book Antiqua" w:cs="Book Antiqua"/>
        </w:rPr>
        <w:t>: 252 [PMID: 32565736 DOI: 10.1186/s12935-020-01321-9]</w:t>
      </w:r>
    </w:p>
    <w:p w14:paraId="084139E7"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65 </w:t>
      </w:r>
      <w:r w:rsidRPr="00BE12AC">
        <w:rPr>
          <w:rFonts w:ascii="Book Antiqua" w:eastAsia="Book Antiqua" w:hAnsi="Book Antiqua" w:cs="Book Antiqua"/>
          <w:b/>
          <w:bCs/>
        </w:rPr>
        <w:t>Garner WL</w:t>
      </w:r>
      <w:r w:rsidRPr="00BE12AC">
        <w:rPr>
          <w:rFonts w:ascii="Book Antiqua" w:eastAsia="Book Antiqua" w:hAnsi="Book Antiqua" w:cs="Book Antiqua"/>
        </w:rPr>
        <w:t xml:space="preserve">, Minton JP, James AG, Hoffmann CC. Human breast cancer and impaired NK cell function. </w:t>
      </w:r>
      <w:r w:rsidRPr="00BE12AC">
        <w:rPr>
          <w:rFonts w:ascii="Book Antiqua" w:eastAsia="Book Antiqua" w:hAnsi="Book Antiqua" w:cs="Book Antiqua"/>
          <w:i/>
          <w:iCs/>
        </w:rPr>
        <w:t>J Surg Oncol</w:t>
      </w:r>
      <w:r w:rsidRPr="00BE12AC">
        <w:rPr>
          <w:rFonts w:ascii="Book Antiqua" w:eastAsia="Book Antiqua" w:hAnsi="Book Antiqua" w:cs="Book Antiqua"/>
        </w:rPr>
        <w:t xml:space="preserve"> 1983; </w:t>
      </w:r>
      <w:r w:rsidRPr="00BE12AC">
        <w:rPr>
          <w:rFonts w:ascii="Book Antiqua" w:eastAsia="Book Antiqua" w:hAnsi="Book Antiqua" w:cs="Book Antiqua"/>
          <w:b/>
          <w:bCs/>
        </w:rPr>
        <w:t>24</w:t>
      </w:r>
      <w:r w:rsidRPr="00BE12AC">
        <w:rPr>
          <w:rFonts w:ascii="Book Antiqua" w:eastAsia="Book Antiqua" w:hAnsi="Book Antiqua" w:cs="Book Antiqua"/>
        </w:rPr>
        <w:t>: 64-66 [PMID: 6887939 DOI: 10.1002/jso.2930240115]</w:t>
      </w:r>
    </w:p>
    <w:p w14:paraId="4956F529"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66 </w:t>
      </w:r>
      <w:r w:rsidRPr="00BE12AC">
        <w:rPr>
          <w:rFonts w:ascii="Book Antiqua" w:eastAsia="Book Antiqua" w:hAnsi="Book Antiqua" w:cs="Book Antiqua"/>
          <w:b/>
          <w:bCs/>
        </w:rPr>
        <w:t>Bottos A</w:t>
      </w:r>
      <w:r w:rsidRPr="00BE12AC">
        <w:rPr>
          <w:rFonts w:ascii="Book Antiqua" w:eastAsia="Book Antiqua" w:hAnsi="Book Antiqua" w:cs="Book Antiqua"/>
        </w:rPr>
        <w:t xml:space="preserve">, Gotthardt D, Gill JW, Gattelli A, Frei A, Tzankov A, Sexl V, Wodnar-Filipowicz A, Hynes NE. Decreased NK-cell tumour immunosurveillance consequent to JAK inhibition enhances metastasis in breast cancer models. </w:t>
      </w:r>
      <w:r w:rsidRPr="00BE12AC">
        <w:rPr>
          <w:rFonts w:ascii="Book Antiqua" w:eastAsia="Book Antiqua" w:hAnsi="Book Antiqua" w:cs="Book Antiqua"/>
          <w:i/>
          <w:iCs/>
        </w:rPr>
        <w:t>Nat Commun</w:t>
      </w:r>
      <w:r w:rsidRPr="00BE12AC">
        <w:rPr>
          <w:rFonts w:ascii="Book Antiqua" w:eastAsia="Book Antiqua" w:hAnsi="Book Antiqua" w:cs="Book Antiqua"/>
        </w:rPr>
        <w:t xml:space="preserve"> 2016; </w:t>
      </w:r>
      <w:r w:rsidRPr="00BE12AC">
        <w:rPr>
          <w:rFonts w:ascii="Book Antiqua" w:eastAsia="Book Antiqua" w:hAnsi="Book Antiqua" w:cs="Book Antiqua"/>
          <w:b/>
          <w:bCs/>
        </w:rPr>
        <w:t>7</w:t>
      </w:r>
      <w:r w:rsidRPr="00BE12AC">
        <w:rPr>
          <w:rFonts w:ascii="Book Antiqua" w:eastAsia="Book Antiqua" w:hAnsi="Book Antiqua" w:cs="Book Antiqua"/>
        </w:rPr>
        <w:t>: 12258 [PMID: 27406745 DOI: 10.1038/ncomms12258]</w:t>
      </w:r>
    </w:p>
    <w:p w14:paraId="2808001C"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67 </w:t>
      </w:r>
      <w:r w:rsidRPr="00BE12AC">
        <w:rPr>
          <w:rFonts w:ascii="Book Antiqua" w:eastAsia="Book Antiqua" w:hAnsi="Book Antiqua" w:cs="Book Antiqua"/>
          <w:b/>
          <w:bCs/>
        </w:rPr>
        <w:t>Choi J</w:t>
      </w:r>
      <w:r w:rsidRPr="00BE12AC">
        <w:rPr>
          <w:rFonts w:ascii="Book Antiqua" w:eastAsia="Book Antiqua" w:hAnsi="Book Antiqua" w:cs="Book Antiqua"/>
        </w:rPr>
        <w:t xml:space="preserve">, Gyamfi J, Jang H, Koo JS. The role of tumor-associated macrophage in breast cancer biology. </w:t>
      </w:r>
      <w:r w:rsidRPr="00BE12AC">
        <w:rPr>
          <w:rFonts w:ascii="Book Antiqua" w:eastAsia="Book Antiqua" w:hAnsi="Book Antiqua" w:cs="Book Antiqua"/>
          <w:i/>
          <w:iCs/>
        </w:rPr>
        <w:t>Histol Histopathol</w:t>
      </w:r>
      <w:r w:rsidRPr="00BE12AC">
        <w:rPr>
          <w:rFonts w:ascii="Book Antiqua" w:eastAsia="Book Antiqua" w:hAnsi="Book Antiqua" w:cs="Book Antiqua"/>
        </w:rPr>
        <w:t xml:space="preserve"> 2018; </w:t>
      </w:r>
      <w:r w:rsidRPr="00BE12AC">
        <w:rPr>
          <w:rFonts w:ascii="Book Antiqua" w:eastAsia="Book Antiqua" w:hAnsi="Book Antiqua" w:cs="Book Antiqua"/>
          <w:b/>
          <w:bCs/>
        </w:rPr>
        <w:t>33</w:t>
      </w:r>
      <w:r w:rsidRPr="00BE12AC">
        <w:rPr>
          <w:rFonts w:ascii="Book Antiqua" w:eastAsia="Book Antiqua" w:hAnsi="Book Antiqua" w:cs="Book Antiqua"/>
        </w:rPr>
        <w:t>: 133-145 [PMID: 28681373 DOI: 10.14670/HH-11-916]</w:t>
      </w:r>
    </w:p>
    <w:p w14:paraId="55F90052"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68 </w:t>
      </w:r>
      <w:r w:rsidRPr="00BE12AC">
        <w:rPr>
          <w:rFonts w:ascii="Book Antiqua" w:eastAsia="Book Antiqua" w:hAnsi="Book Antiqua" w:cs="Book Antiqua"/>
          <w:b/>
          <w:bCs/>
        </w:rPr>
        <w:t>Wang PS</w:t>
      </w:r>
      <w:r w:rsidRPr="00BE12AC">
        <w:rPr>
          <w:rFonts w:ascii="Book Antiqua" w:eastAsia="Book Antiqua" w:hAnsi="Book Antiqua" w:cs="Book Antiqua"/>
        </w:rPr>
        <w:t xml:space="preserve">, Walker AM, Tsuang MT, Orav EJ, Glynn RJ, Levin R, Avorn J. Dopamine antagonists and the development of breast cancer. </w:t>
      </w:r>
      <w:r w:rsidRPr="00BE12AC">
        <w:rPr>
          <w:rFonts w:ascii="Book Antiqua" w:eastAsia="Book Antiqua" w:hAnsi="Book Antiqua" w:cs="Book Antiqua"/>
          <w:i/>
          <w:iCs/>
        </w:rPr>
        <w:t>Arch Gen Psychiatry</w:t>
      </w:r>
      <w:r w:rsidRPr="00BE12AC">
        <w:rPr>
          <w:rFonts w:ascii="Book Antiqua" w:eastAsia="Book Antiqua" w:hAnsi="Book Antiqua" w:cs="Book Antiqua"/>
        </w:rPr>
        <w:t xml:space="preserve"> 2002; </w:t>
      </w:r>
      <w:r w:rsidRPr="00BE12AC">
        <w:rPr>
          <w:rFonts w:ascii="Book Antiqua" w:eastAsia="Book Antiqua" w:hAnsi="Book Antiqua" w:cs="Book Antiqua"/>
          <w:b/>
          <w:bCs/>
        </w:rPr>
        <w:t>59</w:t>
      </w:r>
      <w:r w:rsidRPr="00BE12AC">
        <w:rPr>
          <w:rFonts w:ascii="Book Antiqua" w:eastAsia="Book Antiqua" w:hAnsi="Book Antiqua" w:cs="Book Antiqua"/>
        </w:rPr>
        <w:t>: 1147-1154 [PMID: 12470131 DOI: 10.1001/archpsyc.59.12.1147]</w:t>
      </w:r>
    </w:p>
    <w:p w14:paraId="4C8E34F0"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69 </w:t>
      </w:r>
      <w:r w:rsidRPr="00BE12AC">
        <w:rPr>
          <w:rFonts w:ascii="Book Antiqua" w:eastAsia="Book Antiqua" w:hAnsi="Book Antiqua" w:cs="Book Antiqua"/>
          <w:b/>
          <w:bCs/>
        </w:rPr>
        <w:t>Jun DJ</w:t>
      </w:r>
      <w:r w:rsidRPr="00BE12AC">
        <w:rPr>
          <w:rFonts w:ascii="Book Antiqua" w:eastAsia="Book Antiqua" w:hAnsi="Book Antiqua" w:cs="Book Antiqua"/>
        </w:rPr>
        <w:t xml:space="preserve">, Kim J, Jung SY, Song R, Noh JH, Park YS, Ryu SH, Kim JH, Kong YY, Chung JM, Kim KT. Extracellular ATP mediates necrotic cell swelling in SN4741 dopaminergic neurons through P2X7 receptors. </w:t>
      </w:r>
      <w:r w:rsidRPr="00BE12AC">
        <w:rPr>
          <w:rFonts w:ascii="Book Antiqua" w:eastAsia="Book Antiqua" w:hAnsi="Book Antiqua" w:cs="Book Antiqua"/>
          <w:i/>
          <w:iCs/>
        </w:rPr>
        <w:t>J Biol Chem</w:t>
      </w:r>
      <w:r w:rsidRPr="00BE12AC">
        <w:rPr>
          <w:rFonts w:ascii="Book Antiqua" w:eastAsia="Book Antiqua" w:hAnsi="Book Antiqua" w:cs="Book Antiqua"/>
        </w:rPr>
        <w:t xml:space="preserve"> 2007; </w:t>
      </w:r>
      <w:r w:rsidRPr="00BE12AC">
        <w:rPr>
          <w:rFonts w:ascii="Book Antiqua" w:eastAsia="Book Antiqua" w:hAnsi="Book Antiqua" w:cs="Book Antiqua"/>
          <w:b/>
          <w:bCs/>
        </w:rPr>
        <w:t>282</w:t>
      </w:r>
      <w:r w:rsidRPr="00BE12AC">
        <w:rPr>
          <w:rFonts w:ascii="Book Antiqua" w:eastAsia="Book Antiqua" w:hAnsi="Book Antiqua" w:cs="Book Antiqua"/>
        </w:rPr>
        <w:t>: 37350-37358 [PMID: 17962183 DOI: 10.1074/jbc.M707915200]</w:t>
      </w:r>
    </w:p>
    <w:p w14:paraId="0691AB4A"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70 </w:t>
      </w:r>
      <w:r w:rsidRPr="00BE12AC">
        <w:rPr>
          <w:rFonts w:ascii="Book Antiqua" w:eastAsia="Book Antiqua" w:hAnsi="Book Antiqua" w:cs="Book Antiqua"/>
          <w:b/>
          <w:bCs/>
        </w:rPr>
        <w:t>Kim JE</w:t>
      </w:r>
      <w:r w:rsidRPr="00BE12AC">
        <w:rPr>
          <w:rFonts w:ascii="Book Antiqua" w:eastAsia="Book Antiqua" w:hAnsi="Book Antiqua" w:cs="Book Antiqua"/>
        </w:rPr>
        <w:t xml:space="preserve">, Kang TC. The P2X7 receptor-pannexin-1 complex decreases muscarinic acetylcholine receptor-mediated seizure susceptibility in mice. </w:t>
      </w:r>
      <w:r w:rsidRPr="00BE12AC">
        <w:rPr>
          <w:rFonts w:ascii="Book Antiqua" w:eastAsia="Book Antiqua" w:hAnsi="Book Antiqua" w:cs="Book Antiqua"/>
          <w:i/>
          <w:iCs/>
        </w:rPr>
        <w:t>J Clin Invest</w:t>
      </w:r>
      <w:r w:rsidRPr="00BE12AC">
        <w:rPr>
          <w:rFonts w:ascii="Book Antiqua" w:eastAsia="Book Antiqua" w:hAnsi="Book Antiqua" w:cs="Book Antiqua"/>
        </w:rPr>
        <w:t xml:space="preserve"> 2011; </w:t>
      </w:r>
      <w:r w:rsidRPr="00BE12AC">
        <w:rPr>
          <w:rFonts w:ascii="Book Antiqua" w:eastAsia="Book Antiqua" w:hAnsi="Book Antiqua" w:cs="Book Antiqua"/>
          <w:b/>
          <w:bCs/>
        </w:rPr>
        <w:t>121</w:t>
      </w:r>
      <w:r w:rsidRPr="00BE12AC">
        <w:rPr>
          <w:rFonts w:ascii="Book Antiqua" w:eastAsia="Book Antiqua" w:hAnsi="Book Antiqua" w:cs="Book Antiqua"/>
        </w:rPr>
        <w:t>: 2037-2047 [PMID: 21505260 DOI: 10.1172/JCI44818]</w:t>
      </w:r>
    </w:p>
    <w:p w14:paraId="1D64F008"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71 </w:t>
      </w:r>
      <w:r w:rsidRPr="00BE12AC">
        <w:rPr>
          <w:rFonts w:ascii="Book Antiqua" w:eastAsia="Book Antiqua" w:hAnsi="Book Antiqua" w:cs="Book Antiqua"/>
          <w:b/>
          <w:bCs/>
        </w:rPr>
        <w:t>Sales ME</w:t>
      </w:r>
      <w:r w:rsidRPr="00BE12AC">
        <w:rPr>
          <w:rFonts w:ascii="Book Antiqua" w:eastAsia="Book Antiqua" w:hAnsi="Book Antiqua" w:cs="Book Antiqua"/>
        </w:rPr>
        <w:t xml:space="preserve">, Español AJ, Salem AR, Pulido PM, Sanchez Y, Sanchez F. Role of Muscarinic Acetylcholine Receptors in Breast Cancer: Design of Metronomic Chemotherapy. </w:t>
      </w:r>
      <w:r w:rsidRPr="00BE12AC">
        <w:rPr>
          <w:rFonts w:ascii="Book Antiqua" w:eastAsia="Book Antiqua" w:hAnsi="Book Antiqua" w:cs="Book Antiqua"/>
          <w:i/>
          <w:iCs/>
        </w:rPr>
        <w:t xml:space="preserve">Curr </w:t>
      </w:r>
      <w:r w:rsidRPr="00BE12AC">
        <w:rPr>
          <w:rFonts w:ascii="Book Antiqua" w:eastAsia="Book Antiqua" w:hAnsi="Book Antiqua" w:cs="Book Antiqua"/>
          <w:i/>
          <w:iCs/>
        </w:rPr>
        <w:lastRenderedPageBreak/>
        <w:t>Clin Pharmacol</w:t>
      </w:r>
      <w:r w:rsidRPr="00BE12AC">
        <w:rPr>
          <w:rFonts w:ascii="Book Antiqua" w:eastAsia="Book Antiqua" w:hAnsi="Book Antiqua" w:cs="Book Antiqua"/>
        </w:rPr>
        <w:t xml:space="preserve"> 2019; </w:t>
      </w:r>
      <w:r w:rsidRPr="00BE12AC">
        <w:rPr>
          <w:rFonts w:ascii="Book Antiqua" w:eastAsia="Book Antiqua" w:hAnsi="Book Antiqua" w:cs="Book Antiqua"/>
          <w:b/>
          <w:bCs/>
        </w:rPr>
        <w:t>14</w:t>
      </w:r>
      <w:r w:rsidRPr="00BE12AC">
        <w:rPr>
          <w:rFonts w:ascii="Book Antiqua" w:eastAsia="Book Antiqua" w:hAnsi="Book Antiqua" w:cs="Book Antiqua"/>
        </w:rPr>
        <w:t>: 91-100 [PMID: 30501602 DOI: 10.2174/1574884714666181203095437]</w:t>
      </w:r>
    </w:p>
    <w:bookmarkEnd w:id="366"/>
    <w:bookmarkEnd w:id="367"/>
    <w:p w14:paraId="44591495" w14:textId="77777777" w:rsidR="00600DE7" w:rsidRPr="00BE12AC" w:rsidRDefault="00600DE7" w:rsidP="00873A9B">
      <w:pPr>
        <w:spacing w:line="360" w:lineRule="auto"/>
        <w:jc w:val="both"/>
        <w:rPr>
          <w:rFonts w:ascii="Book Antiqua" w:hAnsi="Book Antiqua"/>
        </w:rPr>
        <w:sectPr w:rsidR="00600DE7" w:rsidRPr="00BE12AC" w:rsidSect="00633490">
          <w:pgSz w:w="12240" w:h="15840"/>
          <w:pgMar w:top="1440" w:right="1440" w:bottom="1440" w:left="1440" w:header="720" w:footer="720" w:gutter="0"/>
          <w:cols w:space="720"/>
          <w:docGrid w:linePitch="360"/>
        </w:sectPr>
      </w:pPr>
    </w:p>
    <w:p w14:paraId="28778261"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rPr>
        <w:lastRenderedPageBreak/>
        <w:t>Footnotes</w:t>
      </w:r>
    </w:p>
    <w:p w14:paraId="0BD18C72" w14:textId="19173C6F"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Institutional review board statement: </w:t>
      </w:r>
      <w:r w:rsidRPr="00BE12AC">
        <w:rPr>
          <w:rFonts w:ascii="Book Antiqua" w:eastAsia="Book Antiqua" w:hAnsi="Book Antiqua" w:cs="Book Antiqua"/>
        </w:rPr>
        <w:t>No experimental studies on human and animal ethics were designed in this study</w:t>
      </w:r>
      <w:r w:rsidR="0020504B">
        <w:rPr>
          <w:rFonts w:ascii="Book Antiqua" w:eastAsia="Book Antiqua" w:hAnsi="Book Antiqua" w:cs="Book Antiqua"/>
        </w:rPr>
        <w:t>.</w:t>
      </w:r>
    </w:p>
    <w:p w14:paraId="0105B6A7" w14:textId="77777777" w:rsidR="00600DE7" w:rsidRPr="00BE12AC" w:rsidRDefault="00600DE7" w:rsidP="00873A9B">
      <w:pPr>
        <w:spacing w:line="360" w:lineRule="auto"/>
        <w:jc w:val="both"/>
        <w:rPr>
          <w:rFonts w:ascii="Book Antiqua" w:hAnsi="Book Antiqua"/>
        </w:rPr>
      </w:pPr>
    </w:p>
    <w:p w14:paraId="533CD1D9"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Informed consent statement: </w:t>
      </w:r>
      <w:r w:rsidRPr="00BE12AC">
        <w:rPr>
          <w:rFonts w:ascii="Book Antiqua" w:eastAsia="Book Antiqua" w:hAnsi="Book Antiqua" w:cs="Book Antiqua"/>
        </w:rPr>
        <w:t>This study did not conduct clinical trials and did not involve informed consent signed by subjects and investigators.</w:t>
      </w:r>
    </w:p>
    <w:p w14:paraId="5F4B5FFA" w14:textId="77777777" w:rsidR="00600DE7" w:rsidRPr="00BE12AC" w:rsidRDefault="00600DE7" w:rsidP="00873A9B">
      <w:pPr>
        <w:spacing w:line="360" w:lineRule="auto"/>
        <w:jc w:val="both"/>
        <w:rPr>
          <w:rFonts w:ascii="Book Antiqua" w:hAnsi="Book Antiqua"/>
        </w:rPr>
      </w:pPr>
    </w:p>
    <w:p w14:paraId="69ADDF92" w14:textId="4AC335E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Conflict-of-interest statement: </w:t>
      </w:r>
      <w:r w:rsidR="00894299">
        <w:rPr>
          <w:rFonts w:ascii="Book Antiqua" w:eastAsia="Book Antiqua" w:hAnsi="Book Antiqua" w:cs="Book Antiqua"/>
        </w:rPr>
        <w:t>The</w:t>
      </w:r>
      <w:r w:rsidRPr="00BE12AC">
        <w:rPr>
          <w:rFonts w:ascii="Book Antiqua" w:eastAsia="Book Antiqua" w:hAnsi="Book Antiqua" w:cs="Book Antiqua"/>
        </w:rPr>
        <w:t xml:space="preserve"> authors </w:t>
      </w:r>
      <w:r w:rsidR="00894299">
        <w:rPr>
          <w:rFonts w:ascii="Book Antiqua" w:eastAsia="Book Antiqua" w:hAnsi="Book Antiqua" w:cs="Book Antiqua"/>
        </w:rPr>
        <w:t>have</w:t>
      </w:r>
      <w:r w:rsidRPr="00BE12AC">
        <w:rPr>
          <w:rFonts w:ascii="Book Antiqua" w:eastAsia="Book Antiqua" w:hAnsi="Book Antiqua" w:cs="Book Antiqua"/>
        </w:rPr>
        <w:t xml:space="preserve"> no conflicts of interest to declare.</w:t>
      </w:r>
    </w:p>
    <w:p w14:paraId="4E66D781" w14:textId="77777777" w:rsidR="00600DE7" w:rsidRPr="00BE12AC" w:rsidRDefault="00600DE7" w:rsidP="00873A9B">
      <w:pPr>
        <w:spacing w:line="360" w:lineRule="auto"/>
        <w:jc w:val="both"/>
        <w:rPr>
          <w:rFonts w:ascii="Book Antiqua" w:hAnsi="Book Antiqua"/>
        </w:rPr>
      </w:pPr>
    </w:p>
    <w:p w14:paraId="5A66462E"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Data sharing statement: </w:t>
      </w:r>
      <w:r w:rsidRPr="00BE12AC">
        <w:rPr>
          <w:rFonts w:ascii="Book Antiqua" w:eastAsia="Book Antiqua" w:hAnsi="Book Antiqua" w:cs="Book Antiqua"/>
        </w:rPr>
        <w:t>Technical appendix, statistical code, and dataset available from the corresponding author at [doblin@usm.my]. Participants gave informed consent for data sharing.</w:t>
      </w:r>
    </w:p>
    <w:p w14:paraId="209F3625" w14:textId="77777777" w:rsidR="00600DE7" w:rsidRPr="00BE12AC" w:rsidRDefault="00600DE7" w:rsidP="00873A9B">
      <w:pPr>
        <w:spacing w:line="360" w:lineRule="auto"/>
        <w:jc w:val="both"/>
        <w:rPr>
          <w:rFonts w:ascii="Book Antiqua" w:hAnsi="Book Antiqua"/>
        </w:rPr>
      </w:pPr>
    </w:p>
    <w:p w14:paraId="16ECDE58"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Open-Access: </w:t>
      </w:r>
      <w:r w:rsidRPr="00BE12AC">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81A9297" w14:textId="77777777" w:rsidR="00600DE7" w:rsidRPr="00BE12AC" w:rsidRDefault="00600DE7" w:rsidP="00873A9B">
      <w:pPr>
        <w:spacing w:line="360" w:lineRule="auto"/>
        <w:jc w:val="both"/>
        <w:rPr>
          <w:rFonts w:ascii="Book Antiqua" w:hAnsi="Book Antiqua"/>
        </w:rPr>
      </w:pPr>
    </w:p>
    <w:p w14:paraId="2DC0180B" w14:textId="3DF7ADD1"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rPr>
        <w:t xml:space="preserve">Provenance and peer review: </w:t>
      </w:r>
      <w:r w:rsidRPr="00BE12AC">
        <w:rPr>
          <w:rFonts w:ascii="Book Antiqua" w:eastAsia="Book Antiqua" w:hAnsi="Book Antiqua" w:cs="Book Antiqua"/>
        </w:rPr>
        <w:t>Unsolicited article; Externally peer reviewed.</w:t>
      </w:r>
    </w:p>
    <w:p w14:paraId="3D673391"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rPr>
        <w:t xml:space="preserve">Peer-review model: </w:t>
      </w:r>
      <w:r w:rsidRPr="00BE12AC">
        <w:rPr>
          <w:rFonts w:ascii="Book Antiqua" w:eastAsia="Book Antiqua" w:hAnsi="Book Antiqua" w:cs="Book Antiqua"/>
        </w:rPr>
        <w:t>Single blind</w:t>
      </w:r>
    </w:p>
    <w:p w14:paraId="3B3205C9" w14:textId="77777777" w:rsidR="00600DE7" w:rsidRPr="00BE12AC" w:rsidRDefault="00600DE7" w:rsidP="00873A9B">
      <w:pPr>
        <w:spacing w:line="360" w:lineRule="auto"/>
        <w:jc w:val="both"/>
        <w:rPr>
          <w:rFonts w:ascii="Book Antiqua" w:hAnsi="Book Antiqua"/>
        </w:rPr>
      </w:pPr>
    </w:p>
    <w:p w14:paraId="0914CE22"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rPr>
        <w:t xml:space="preserve">Peer-review started: </w:t>
      </w:r>
      <w:r w:rsidRPr="00BE12AC">
        <w:rPr>
          <w:rFonts w:ascii="Book Antiqua" w:eastAsia="Book Antiqua" w:hAnsi="Book Antiqua" w:cs="Book Antiqua"/>
        </w:rPr>
        <w:t>September 8, 2023</w:t>
      </w:r>
    </w:p>
    <w:p w14:paraId="7E34A738"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rPr>
        <w:t xml:space="preserve">First decision: </w:t>
      </w:r>
      <w:r w:rsidRPr="00BE12AC">
        <w:rPr>
          <w:rFonts w:ascii="Book Antiqua" w:eastAsia="Book Antiqua" w:hAnsi="Book Antiqua" w:cs="Book Antiqua"/>
        </w:rPr>
        <w:t>November 30, 2023</w:t>
      </w:r>
    </w:p>
    <w:p w14:paraId="45000A60" w14:textId="5B06F75A"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rPr>
        <w:t xml:space="preserve">Article in press: </w:t>
      </w:r>
      <w:r w:rsidR="00B1265C">
        <w:rPr>
          <w:rFonts w:ascii="Book Antiqua" w:hAnsi="Book Antiqua"/>
        </w:rPr>
        <w:t>January 12, 2024</w:t>
      </w:r>
    </w:p>
    <w:p w14:paraId="2D9AE89B" w14:textId="77777777" w:rsidR="00600DE7" w:rsidRPr="00BE12AC" w:rsidRDefault="00600DE7" w:rsidP="00873A9B">
      <w:pPr>
        <w:spacing w:line="360" w:lineRule="auto"/>
        <w:jc w:val="both"/>
        <w:rPr>
          <w:rFonts w:ascii="Book Antiqua" w:hAnsi="Book Antiqua"/>
        </w:rPr>
      </w:pPr>
    </w:p>
    <w:p w14:paraId="2ADA5315"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rPr>
        <w:t xml:space="preserve">Specialty type: </w:t>
      </w:r>
      <w:r w:rsidRPr="00BE12AC">
        <w:rPr>
          <w:rFonts w:ascii="Book Antiqua" w:eastAsia="Book Antiqua" w:hAnsi="Book Antiqua" w:cs="Book Antiqua"/>
        </w:rPr>
        <w:t>Oncology</w:t>
      </w:r>
    </w:p>
    <w:p w14:paraId="14B21F21" w14:textId="61D40F0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rPr>
        <w:t xml:space="preserve">Country/Territory of origin: </w:t>
      </w:r>
      <w:r w:rsidR="0020504B" w:rsidRPr="00BE12AC">
        <w:rPr>
          <w:rFonts w:ascii="Book Antiqua" w:eastAsia="Book Antiqua" w:hAnsi="Book Antiqua" w:cs="Book Antiqua"/>
        </w:rPr>
        <w:t>Malaysia</w:t>
      </w:r>
    </w:p>
    <w:p w14:paraId="1060E7F1"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rPr>
        <w:t>Peer-review report’s scientific quality classification</w:t>
      </w:r>
    </w:p>
    <w:p w14:paraId="70AECFCE"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lastRenderedPageBreak/>
        <w:t>Grade A (Excellent): 0</w:t>
      </w:r>
    </w:p>
    <w:p w14:paraId="7D670812"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Grade B (Very good): 0</w:t>
      </w:r>
    </w:p>
    <w:p w14:paraId="74AD8CA7"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Grade C (Good): C</w:t>
      </w:r>
    </w:p>
    <w:p w14:paraId="40F9D515"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Grade D (Fair): D</w:t>
      </w:r>
    </w:p>
    <w:p w14:paraId="4B706E8E"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Grade E (Poor): 0</w:t>
      </w:r>
    </w:p>
    <w:p w14:paraId="334E14F4" w14:textId="77777777" w:rsidR="00600DE7" w:rsidRPr="00BE12AC" w:rsidRDefault="00600DE7" w:rsidP="00873A9B">
      <w:pPr>
        <w:spacing w:line="360" w:lineRule="auto"/>
        <w:jc w:val="both"/>
        <w:rPr>
          <w:rFonts w:ascii="Book Antiqua" w:hAnsi="Book Antiqua"/>
        </w:rPr>
      </w:pPr>
    </w:p>
    <w:p w14:paraId="5586A689" w14:textId="3A8504EC" w:rsidR="00600DE7" w:rsidRPr="00BE12AC" w:rsidRDefault="00FC314E" w:rsidP="00873A9B">
      <w:pPr>
        <w:spacing w:line="360" w:lineRule="auto"/>
        <w:jc w:val="both"/>
        <w:rPr>
          <w:rFonts w:ascii="Book Antiqua" w:hAnsi="Book Antiqua"/>
        </w:rPr>
        <w:sectPr w:rsidR="00600DE7" w:rsidRPr="00BE12AC" w:rsidSect="00633490">
          <w:pgSz w:w="12240" w:h="15840"/>
          <w:pgMar w:top="1440" w:right="1440" w:bottom="1440" w:left="1440" w:header="720" w:footer="720" w:gutter="0"/>
          <w:cols w:space="720"/>
          <w:docGrid w:linePitch="360"/>
        </w:sectPr>
      </w:pPr>
      <w:r w:rsidRPr="00BE12AC">
        <w:rPr>
          <w:rFonts w:ascii="Book Antiqua" w:eastAsia="Book Antiqua" w:hAnsi="Book Antiqua" w:cs="Book Antiqua"/>
          <w:b/>
        </w:rPr>
        <w:t xml:space="preserve">P-Reviewer: </w:t>
      </w:r>
      <w:r w:rsidRPr="00BE12AC">
        <w:rPr>
          <w:rFonts w:ascii="Book Antiqua" w:eastAsia="Book Antiqua" w:hAnsi="Book Antiqua" w:cs="Book Antiqua"/>
        </w:rPr>
        <w:t>Mehdipour P, Iran; Rangel-Corona R, Mexico</w:t>
      </w:r>
      <w:r w:rsidRPr="00BE12AC">
        <w:rPr>
          <w:rFonts w:ascii="Book Antiqua" w:eastAsia="Book Antiqua" w:hAnsi="Book Antiqua" w:cs="Book Antiqua"/>
          <w:b/>
        </w:rPr>
        <w:t xml:space="preserve"> S-Editor: </w:t>
      </w:r>
      <w:r w:rsidRPr="00BE12AC">
        <w:rPr>
          <w:rFonts w:ascii="Book Antiqua" w:eastAsia="Book Antiqua" w:hAnsi="Book Antiqua" w:cs="Book Antiqua"/>
          <w:bCs/>
        </w:rPr>
        <w:t>L</w:t>
      </w:r>
      <w:r w:rsidRPr="00BE12AC">
        <w:rPr>
          <w:rFonts w:ascii="Book Antiqua" w:hAnsi="Book Antiqua" w:cs="Book Antiqua"/>
          <w:bCs/>
          <w:lang w:eastAsia="zh-CN"/>
        </w:rPr>
        <w:t xml:space="preserve">in </w:t>
      </w:r>
      <w:r w:rsidRPr="00BE12AC">
        <w:rPr>
          <w:rFonts w:ascii="Book Antiqua" w:eastAsia="Book Antiqua" w:hAnsi="Book Antiqua" w:cs="Book Antiqua"/>
          <w:bCs/>
        </w:rPr>
        <w:t>C</w:t>
      </w:r>
      <w:r w:rsidRPr="00BE12AC">
        <w:rPr>
          <w:rFonts w:ascii="Book Antiqua" w:eastAsia="Book Antiqua" w:hAnsi="Book Antiqua" w:cs="Book Antiqua"/>
          <w:b/>
        </w:rPr>
        <w:t xml:space="preserve"> L-Editor:</w:t>
      </w:r>
      <w:r w:rsidR="00DE4CC2">
        <w:rPr>
          <w:rFonts w:ascii="Book Antiqua" w:eastAsia="Book Antiqua" w:hAnsi="Book Antiqua" w:cs="Book Antiqua"/>
          <w:b/>
        </w:rPr>
        <w:t xml:space="preserve"> </w:t>
      </w:r>
      <w:r w:rsidR="00DE4CC2">
        <w:rPr>
          <w:rFonts w:ascii="Book Antiqua" w:eastAsia="Book Antiqua" w:hAnsi="Book Antiqua" w:cs="Book Antiqua"/>
          <w:bCs/>
        </w:rPr>
        <w:t>Filipodia</w:t>
      </w:r>
      <w:r w:rsidRPr="00BE12AC">
        <w:rPr>
          <w:rFonts w:ascii="Book Antiqua" w:eastAsia="Book Antiqua" w:hAnsi="Book Antiqua" w:cs="Book Antiqua"/>
          <w:b/>
        </w:rPr>
        <w:t xml:space="preserve"> P-Editor: </w:t>
      </w:r>
      <w:r w:rsidR="00B1265C" w:rsidRPr="00B1265C">
        <w:rPr>
          <w:rFonts w:ascii="Book Antiqua" w:eastAsia="Book Antiqua" w:hAnsi="Book Antiqua" w:cs="Book Antiqua" w:hint="eastAsia"/>
          <w:bCs/>
          <w:lang w:eastAsia="zh-CN"/>
        </w:rPr>
        <w:t>Zhang</w:t>
      </w:r>
      <w:r w:rsidR="00B1265C" w:rsidRPr="00B1265C">
        <w:rPr>
          <w:rFonts w:ascii="Book Antiqua" w:eastAsia="Book Antiqua" w:hAnsi="Book Antiqua" w:cs="Book Antiqua"/>
          <w:bCs/>
          <w:lang w:eastAsia="zh-CN"/>
        </w:rPr>
        <w:t xml:space="preserve"> </w:t>
      </w:r>
      <w:r w:rsidR="00B1265C" w:rsidRPr="00B1265C">
        <w:rPr>
          <w:rFonts w:ascii="Book Antiqua" w:eastAsia="Book Antiqua" w:hAnsi="Book Antiqua" w:cs="Book Antiqua" w:hint="eastAsia"/>
          <w:bCs/>
          <w:lang w:eastAsia="zh-CN"/>
        </w:rPr>
        <w:t>XD</w:t>
      </w:r>
    </w:p>
    <w:p w14:paraId="29AFC411"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rPr>
        <w:lastRenderedPageBreak/>
        <w:t>Figure Legends</w:t>
      </w:r>
    </w:p>
    <w:p w14:paraId="57018209" w14:textId="77777777" w:rsidR="00600DE7" w:rsidRPr="00BE12AC" w:rsidRDefault="00FC314E" w:rsidP="00873A9B">
      <w:pPr>
        <w:spacing w:line="360" w:lineRule="auto"/>
        <w:jc w:val="both"/>
        <w:rPr>
          <w:rFonts w:ascii="Book Antiqua" w:hAnsi="Book Antiqua"/>
        </w:rPr>
      </w:pPr>
      <w:r w:rsidRPr="00BE12AC">
        <w:rPr>
          <w:rFonts w:ascii="Book Antiqua" w:hAnsi="Book Antiqua"/>
          <w:noProof/>
        </w:rPr>
        <w:drawing>
          <wp:inline distT="0" distB="0" distL="0" distR="0" wp14:anchorId="743F37AD" wp14:editId="02B7C2D5">
            <wp:extent cx="5543550" cy="5329346"/>
            <wp:effectExtent l="0" t="0" r="0" b="0"/>
            <wp:docPr id="3309148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14825" name="图片 1"/>
                    <pic:cNvPicPr>
                      <a:picLocks noChangeAspect="1" noChangeArrowheads="1"/>
                    </pic:cNvPicPr>
                  </pic:nvPicPr>
                  <pic:blipFill>
                    <a:blip r:embed="rId9">
                      <a:extLst>
                        <a:ext uri="{28A0092B-C50C-407E-A947-70E740481C1C}">
                          <a14:useLocalDpi xmlns:a14="http://schemas.microsoft.com/office/drawing/2010/main" val="0"/>
                        </a:ext>
                      </a:extLst>
                    </a:blip>
                    <a:srcRect l="11016" r="9368"/>
                    <a:stretch>
                      <a:fillRect/>
                    </a:stretch>
                  </pic:blipFill>
                  <pic:spPr>
                    <a:xfrm>
                      <a:off x="0" y="0"/>
                      <a:ext cx="5557930" cy="5343170"/>
                    </a:xfrm>
                    <a:prstGeom prst="rect">
                      <a:avLst/>
                    </a:prstGeom>
                    <a:noFill/>
                    <a:ln>
                      <a:noFill/>
                    </a:ln>
                  </pic:spPr>
                </pic:pic>
              </a:graphicData>
            </a:graphic>
          </wp:inline>
        </w:drawing>
      </w:r>
    </w:p>
    <w:p w14:paraId="38202269" w14:textId="3F3097F3" w:rsidR="00600DE7" w:rsidRDefault="00FC314E" w:rsidP="00873A9B">
      <w:pPr>
        <w:spacing w:line="360" w:lineRule="auto"/>
        <w:jc w:val="both"/>
        <w:rPr>
          <w:rFonts w:ascii="Book Antiqua" w:hAnsi="Book Antiqua"/>
        </w:rPr>
      </w:pPr>
      <w:r w:rsidRPr="00BE12AC">
        <w:rPr>
          <w:rFonts w:ascii="Book Antiqua" w:hAnsi="Book Antiqua"/>
          <w:b/>
          <w:bCs/>
        </w:rPr>
        <w:t>Figure 1 Illustrates the results obtained from the analyses.</w:t>
      </w:r>
      <w:r w:rsidRPr="00BE12AC">
        <w:rPr>
          <w:rFonts w:ascii="Book Antiqua" w:hAnsi="Book Antiqua"/>
        </w:rPr>
        <w:t xml:space="preserve"> A: Four ATP-</w:t>
      </w:r>
      <w:r w:rsidR="00E17DBA">
        <w:rPr>
          <w:rFonts w:ascii="Book Antiqua" w:hAnsi="Book Antiqua"/>
        </w:rPr>
        <w:t>i</w:t>
      </w:r>
      <w:r w:rsidRPr="00BE12AC">
        <w:rPr>
          <w:rFonts w:ascii="Book Antiqua" w:hAnsi="Book Antiqua"/>
        </w:rPr>
        <w:t xml:space="preserve">nduced </w:t>
      </w:r>
      <w:r w:rsidR="00E17DBA">
        <w:rPr>
          <w:rFonts w:ascii="Book Antiqua" w:hAnsi="Book Antiqua"/>
        </w:rPr>
        <w:t>c</w:t>
      </w:r>
      <w:r w:rsidRPr="00BE12AC">
        <w:rPr>
          <w:rFonts w:ascii="Book Antiqua" w:hAnsi="Book Antiqua"/>
        </w:rPr>
        <w:t xml:space="preserve">ell </w:t>
      </w:r>
      <w:r w:rsidR="00E17DBA">
        <w:rPr>
          <w:rFonts w:ascii="Book Antiqua" w:hAnsi="Book Antiqua"/>
        </w:rPr>
        <w:t>d</w:t>
      </w:r>
      <w:r w:rsidRPr="00BE12AC">
        <w:rPr>
          <w:rFonts w:ascii="Book Antiqua" w:hAnsi="Book Antiqua"/>
        </w:rPr>
        <w:t xml:space="preserve">eath-related mRNAs are presented with </w:t>
      </w:r>
      <w:r w:rsidRPr="00BE12AC">
        <w:rPr>
          <w:rFonts w:ascii="Book Antiqua" w:hAnsi="Book Antiqua"/>
          <w:i/>
          <w:iCs/>
        </w:rPr>
        <w:t>P</w:t>
      </w:r>
      <w:r w:rsidRPr="00BE12AC">
        <w:rPr>
          <w:rFonts w:ascii="Book Antiqua" w:hAnsi="Book Antiqua"/>
        </w:rPr>
        <w:t xml:space="preserve"> &lt; 0.05 along with their corresponding risk ratios derived from the univariate Cox proportional hazard regression analysis; B: </w:t>
      </w:r>
      <w:r w:rsidR="00E17DBA">
        <w:rPr>
          <w:rFonts w:ascii="Book Antiqua" w:hAnsi="Book Antiqua"/>
        </w:rPr>
        <w:t>T</w:t>
      </w:r>
      <w:r w:rsidRPr="00BE12AC">
        <w:rPr>
          <w:rFonts w:ascii="Book Antiqua" w:hAnsi="Book Antiqua"/>
        </w:rPr>
        <w:t xml:space="preserve">he process of tuning parameter (λ) selection for overall survival-related mRNAs in the </w:t>
      </w:r>
      <w:r w:rsidR="00E17DBA" w:rsidRPr="00BE12AC">
        <w:rPr>
          <w:rFonts w:ascii="Book Antiqua" w:hAnsi="Book Antiqua"/>
        </w:rPr>
        <w:t xml:space="preserve">Least Absolute Shrinkage and Selection Operator </w:t>
      </w:r>
      <w:r w:rsidR="00E17DBA">
        <w:rPr>
          <w:rFonts w:ascii="Book Antiqua" w:hAnsi="Book Antiqua"/>
        </w:rPr>
        <w:t>(</w:t>
      </w:r>
      <w:r w:rsidRPr="00BE12AC">
        <w:rPr>
          <w:rFonts w:ascii="Book Antiqua" w:hAnsi="Book Antiqua"/>
        </w:rPr>
        <w:t>LASSO</w:t>
      </w:r>
      <w:r w:rsidR="00E17DBA">
        <w:rPr>
          <w:rFonts w:ascii="Book Antiqua" w:hAnsi="Book Antiqua"/>
        </w:rPr>
        <w:t>)</w:t>
      </w:r>
      <w:r w:rsidRPr="00BE12AC">
        <w:rPr>
          <w:rFonts w:ascii="Book Antiqua" w:hAnsi="Book Antiqua"/>
        </w:rPr>
        <w:t xml:space="preserve"> model is shown; C: </w:t>
      </w:r>
      <w:r w:rsidR="00E17DBA">
        <w:rPr>
          <w:rFonts w:ascii="Book Antiqua" w:hAnsi="Book Antiqua"/>
        </w:rPr>
        <w:t>The</w:t>
      </w:r>
      <w:r w:rsidRPr="00BE12AC">
        <w:rPr>
          <w:rFonts w:ascii="Book Antiqua" w:hAnsi="Book Antiqua"/>
        </w:rPr>
        <w:t xml:space="preserve"> four chosen mRNAs' LASSO coefficient spectra, and the vertical line shows the coefficient values that the LASSO algorithm chose. HR: Hazard ratio.</w:t>
      </w:r>
    </w:p>
    <w:p w14:paraId="4B1ED8F5" w14:textId="77777777" w:rsidR="00D4602C" w:rsidRDefault="00D4602C" w:rsidP="00873A9B">
      <w:pPr>
        <w:spacing w:line="360" w:lineRule="auto"/>
        <w:jc w:val="both"/>
        <w:rPr>
          <w:rFonts w:ascii="Book Antiqua" w:hAnsi="Book Antiqua"/>
        </w:rPr>
        <w:sectPr w:rsidR="00D4602C" w:rsidSect="00633490">
          <w:pgSz w:w="12240" w:h="15840"/>
          <w:pgMar w:top="1440" w:right="1440" w:bottom="1440" w:left="1440" w:header="720" w:footer="720" w:gutter="0"/>
          <w:cols w:space="720"/>
          <w:docGrid w:linePitch="360"/>
        </w:sectPr>
      </w:pPr>
    </w:p>
    <w:p w14:paraId="1AC124A7" w14:textId="17D67665" w:rsidR="00466CE7" w:rsidRPr="00466CE7" w:rsidRDefault="00466CE7" w:rsidP="00873A9B">
      <w:pPr>
        <w:spacing w:line="360" w:lineRule="auto"/>
        <w:jc w:val="both"/>
        <w:rPr>
          <w:rFonts w:ascii="Book Antiqua" w:hAnsi="Book Antiqua"/>
        </w:rPr>
      </w:pPr>
      <w:r>
        <w:rPr>
          <w:rFonts w:ascii="Book Antiqua" w:hAnsi="Book Antiqua"/>
          <w:noProof/>
        </w:rPr>
        <w:lastRenderedPageBreak/>
        <w:drawing>
          <wp:inline distT="0" distB="0" distL="0" distR="0" wp14:anchorId="4B5EE072" wp14:editId="7AE7D65C">
            <wp:extent cx="7702550" cy="5810340"/>
            <wp:effectExtent l="0" t="0" r="0" b="0"/>
            <wp:docPr id="327115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39515" cy="5838224"/>
                    </a:xfrm>
                    <a:prstGeom prst="rect">
                      <a:avLst/>
                    </a:prstGeom>
                    <a:noFill/>
                  </pic:spPr>
                </pic:pic>
              </a:graphicData>
            </a:graphic>
          </wp:inline>
        </w:drawing>
      </w:r>
    </w:p>
    <w:p w14:paraId="43D4DB4E" w14:textId="27F9ED12" w:rsidR="00600DE7" w:rsidRDefault="00FC314E" w:rsidP="00873A9B">
      <w:pPr>
        <w:spacing w:line="360" w:lineRule="auto"/>
        <w:jc w:val="both"/>
        <w:rPr>
          <w:rFonts w:ascii="Book Antiqua" w:hAnsi="Book Antiqua"/>
        </w:rPr>
      </w:pPr>
      <w:r w:rsidRPr="00BE12AC">
        <w:rPr>
          <w:rFonts w:ascii="Book Antiqua" w:hAnsi="Book Antiqua"/>
          <w:b/>
          <w:bCs/>
        </w:rPr>
        <w:lastRenderedPageBreak/>
        <w:t>Figure 2 Illustrates the Cancer Genome Atlas Breast Cancer dataset entire dataset's risk score distribution and expression heat map.</w:t>
      </w:r>
      <w:r w:rsidRPr="001332C8">
        <w:rPr>
          <w:rFonts w:ascii="Book Antiqua" w:hAnsi="Book Antiqua"/>
        </w:rPr>
        <w:t xml:space="preserve"> </w:t>
      </w:r>
      <w:r w:rsidR="001332C8" w:rsidRPr="001332C8">
        <w:rPr>
          <w:rFonts w:ascii="Book Antiqua" w:hAnsi="Book Antiqua"/>
        </w:rPr>
        <w:t>A</w:t>
      </w:r>
      <w:r w:rsidR="002F528C">
        <w:rPr>
          <w:rFonts w:ascii="Book Antiqua" w:hAnsi="Book Antiqua"/>
        </w:rPr>
        <w:t>1-A3</w:t>
      </w:r>
      <w:r w:rsidR="001332C8" w:rsidRPr="001332C8">
        <w:rPr>
          <w:rFonts w:ascii="Book Antiqua" w:hAnsi="Book Antiqua"/>
        </w:rPr>
        <w:t xml:space="preserve">: </w:t>
      </w:r>
      <w:r w:rsidRPr="001332C8">
        <w:rPr>
          <w:rFonts w:ascii="Book Antiqua" w:hAnsi="Book Antiqua"/>
        </w:rPr>
        <w:t>Total risk score</w:t>
      </w:r>
      <w:r w:rsidRPr="001332C8">
        <w:rPr>
          <w:rFonts w:ascii="Book Antiqua" w:hAnsi="Book Antiqua"/>
          <w:lang w:eastAsia="zh-CN"/>
        </w:rPr>
        <w:t xml:space="preserve">; </w:t>
      </w:r>
      <w:r w:rsidR="001332C8" w:rsidRPr="001332C8">
        <w:rPr>
          <w:rFonts w:ascii="Book Antiqua" w:hAnsi="Book Antiqua"/>
        </w:rPr>
        <w:t>B</w:t>
      </w:r>
      <w:r w:rsidR="002F528C">
        <w:rPr>
          <w:rFonts w:ascii="Book Antiqua" w:hAnsi="Book Antiqua"/>
        </w:rPr>
        <w:t>1-B3</w:t>
      </w:r>
      <w:r w:rsidR="001332C8" w:rsidRPr="001332C8">
        <w:rPr>
          <w:rFonts w:ascii="Book Antiqua" w:hAnsi="Book Antiqua"/>
        </w:rPr>
        <w:t>:</w:t>
      </w:r>
      <w:r w:rsidRPr="001332C8">
        <w:rPr>
          <w:rFonts w:ascii="Book Antiqua" w:hAnsi="Book Antiqua"/>
        </w:rPr>
        <w:t xml:space="preserve"> </w:t>
      </w:r>
      <w:r w:rsidR="001332C8" w:rsidRPr="001332C8">
        <w:rPr>
          <w:rFonts w:ascii="Book Antiqua" w:hAnsi="Book Antiqua"/>
        </w:rPr>
        <w:t>T</w:t>
      </w:r>
      <w:r w:rsidRPr="001332C8">
        <w:rPr>
          <w:rFonts w:ascii="Book Antiqua" w:hAnsi="Book Antiqua"/>
        </w:rPr>
        <w:t>raining set risk score</w:t>
      </w:r>
      <w:r w:rsidRPr="001332C8">
        <w:rPr>
          <w:rFonts w:ascii="Book Antiqua" w:hAnsi="Book Antiqua"/>
          <w:lang w:eastAsia="zh-CN"/>
        </w:rPr>
        <w:t xml:space="preserve">; </w:t>
      </w:r>
      <w:r w:rsidR="001332C8" w:rsidRPr="001332C8">
        <w:rPr>
          <w:rFonts w:ascii="Book Antiqua" w:hAnsi="Book Antiqua"/>
        </w:rPr>
        <w:t>C</w:t>
      </w:r>
      <w:r w:rsidR="002F528C">
        <w:rPr>
          <w:rFonts w:ascii="Book Antiqua" w:hAnsi="Book Antiqua"/>
        </w:rPr>
        <w:t>1-C3</w:t>
      </w:r>
      <w:r w:rsidR="001332C8" w:rsidRPr="001332C8">
        <w:rPr>
          <w:rFonts w:ascii="Book Antiqua" w:hAnsi="Book Antiqua"/>
        </w:rPr>
        <w:t>:</w:t>
      </w:r>
      <w:r w:rsidRPr="001332C8">
        <w:rPr>
          <w:rFonts w:ascii="Book Antiqua" w:hAnsi="Book Antiqua"/>
        </w:rPr>
        <w:t xml:space="preserve"> </w:t>
      </w:r>
      <w:r w:rsidR="001332C8" w:rsidRPr="001332C8">
        <w:rPr>
          <w:rFonts w:ascii="Book Antiqua" w:hAnsi="Book Antiqua"/>
        </w:rPr>
        <w:t>T</w:t>
      </w:r>
      <w:r w:rsidRPr="001332C8">
        <w:rPr>
          <w:rFonts w:ascii="Book Antiqua" w:hAnsi="Book Antiqua"/>
        </w:rPr>
        <w:t>est set risk score</w:t>
      </w:r>
      <w:r w:rsidRPr="001332C8">
        <w:rPr>
          <w:rFonts w:ascii="Book Antiqua" w:hAnsi="Book Antiqua"/>
          <w:lang w:eastAsia="zh-CN"/>
        </w:rPr>
        <w:t>;</w:t>
      </w:r>
      <w:r w:rsidRPr="001332C8">
        <w:rPr>
          <w:rFonts w:ascii="Book Antiqua" w:hAnsi="Book Antiqua"/>
        </w:rPr>
        <w:t xml:space="preserve"> </w:t>
      </w:r>
      <w:r w:rsidR="001332C8" w:rsidRPr="001332C8">
        <w:rPr>
          <w:rFonts w:ascii="Book Antiqua" w:hAnsi="Book Antiqua"/>
        </w:rPr>
        <w:t>D</w:t>
      </w:r>
      <w:r w:rsidR="002F528C">
        <w:rPr>
          <w:rFonts w:ascii="Book Antiqua" w:hAnsi="Book Antiqua"/>
        </w:rPr>
        <w:t>1-D3</w:t>
      </w:r>
      <w:r w:rsidR="001332C8" w:rsidRPr="001332C8">
        <w:rPr>
          <w:rFonts w:ascii="Book Antiqua" w:hAnsi="Book Antiqua"/>
        </w:rPr>
        <w:t>: E</w:t>
      </w:r>
      <w:r w:rsidRPr="001332C8">
        <w:rPr>
          <w:rFonts w:ascii="Book Antiqua" w:hAnsi="Book Antiqua"/>
        </w:rPr>
        <w:t>xternal validation cohort risk score</w:t>
      </w:r>
      <w:r w:rsidRPr="001332C8">
        <w:rPr>
          <w:rFonts w:ascii="Book Antiqua" w:hAnsi="Book Antiqua"/>
          <w:lang w:eastAsia="zh-CN"/>
        </w:rPr>
        <w:t xml:space="preserve">; </w:t>
      </w:r>
      <w:r w:rsidR="002F528C">
        <w:rPr>
          <w:rFonts w:ascii="Book Antiqua" w:hAnsi="Book Antiqua"/>
          <w:lang w:eastAsia="zh-CN"/>
        </w:rPr>
        <w:t>A</w:t>
      </w:r>
      <w:r w:rsidR="00AF0326">
        <w:rPr>
          <w:rFonts w:ascii="Book Antiqua" w:hAnsi="Book Antiqua"/>
          <w:lang w:eastAsia="zh-CN"/>
        </w:rPr>
        <w:t>1</w:t>
      </w:r>
      <w:r w:rsidR="002F528C">
        <w:rPr>
          <w:rFonts w:ascii="Book Antiqua" w:hAnsi="Book Antiqua"/>
          <w:lang w:eastAsia="zh-CN"/>
        </w:rPr>
        <w:t>, B1</w:t>
      </w:r>
      <w:r w:rsidR="009D4E5C">
        <w:rPr>
          <w:rFonts w:ascii="Book Antiqua" w:hAnsi="Book Antiqua"/>
          <w:lang w:eastAsia="zh-CN"/>
        </w:rPr>
        <w:t xml:space="preserve">, C1 </w:t>
      </w:r>
      <w:r w:rsidR="002F528C">
        <w:rPr>
          <w:rFonts w:ascii="Book Antiqua" w:hAnsi="Book Antiqua"/>
          <w:lang w:eastAsia="zh-CN"/>
        </w:rPr>
        <w:t xml:space="preserve">and </w:t>
      </w:r>
      <w:r w:rsidR="009D4E5C">
        <w:rPr>
          <w:rFonts w:ascii="Book Antiqua" w:hAnsi="Book Antiqua"/>
          <w:lang w:eastAsia="zh-CN"/>
        </w:rPr>
        <w:t>D</w:t>
      </w:r>
      <w:r w:rsidR="002F528C">
        <w:rPr>
          <w:rFonts w:ascii="Book Antiqua" w:hAnsi="Book Antiqua"/>
          <w:lang w:eastAsia="zh-CN"/>
        </w:rPr>
        <w:t>1</w:t>
      </w:r>
      <w:r w:rsidRPr="00BE12AC">
        <w:rPr>
          <w:rFonts w:ascii="Book Antiqua" w:hAnsi="Book Antiqua"/>
        </w:rPr>
        <w:t xml:space="preserve">: The risk score distribution is illustrated, with pink dots representing the low-risk group and red dots representing the high-risk group. The vertical dotted line represents the median risk score cut-off point; </w:t>
      </w:r>
      <w:r w:rsidR="009D4E5C">
        <w:rPr>
          <w:rFonts w:ascii="Book Antiqua" w:hAnsi="Book Antiqua"/>
        </w:rPr>
        <w:t>A</w:t>
      </w:r>
      <w:r w:rsidR="00AF0326">
        <w:rPr>
          <w:rFonts w:ascii="Book Antiqua" w:hAnsi="Book Antiqua"/>
          <w:lang w:eastAsia="zh-CN"/>
        </w:rPr>
        <w:t>2</w:t>
      </w:r>
      <w:r w:rsidR="009D4E5C">
        <w:rPr>
          <w:rFonts w:ascii="Book Antiqua" w:hAnsi="Book Antiqua"/>
          <w:lang w:eastAsia="zh-CN"/>
        </w:rPr>
        <w:t>, B2, C2 and D2</w:t>
      </w:r>
      <w:r w:rsidRPr="00BE12AC">
        <w:rPr>
          <w:rFonts w:ascii="Book Antiqua" w:hAnsi="Book Antiqua"/>
        </w:rPr>
        <w:t xml:space="preserve">: Displays the survival time and survival status of all patients; </w:t>
      </w:r>
      <w:r w:rsidR="00974D5A">
        <w:rPr>
          <w:rFonts w:ascii="Book Antiqua" w:hAnsi="Book Antiqua"/>
        </w:rPr>
        <w:t>A</w:t>
      </w:r>
      <w:r w:rsidR="00AF0326">
        <w:rPr>
          <w:rFonts w:ascii="Book Antiqua" w:hAnsi="Book Antiqua"/>
          <w:lang w:eastAsia="zh-CN"/>
        </w:rPr>
        <w:t>3</w:t>
      </w:r>
      <w:r w:rsidR="00974D5A">
        <w:rPr>
          <w:rFonts w:ascii="Book Antiqua" w:hAnsi="Book Antiqua"/>
          <w:lang w:eastAsia="zh-CN"/>
        </w:rPr>
        <w:t>, B3, C3 and D3</w:t>
      </w:r>
      <w:r w:rsidRPr="00BE12AC">
        <w:rPr>
          <w:rFonts w:ascii="Book Antiqua" w:hAnsi="Book Antiqua"/>
        </w:rPr>
        <w:t>: Shows the expression patterns of the four selected genes from the ATP-</w:t>
      </w:r>
      <w:r w:rsidR="00E17DBA">
        <w:rPr>
          <w:rFonts w:ascii="Book Antiqua" w:hAnsi="Book Antiqua"/>
        </w:rPr>
        <w:t>i</w:t>
      </w:r>
      <w:r w:rsidRPr="00BE12AC">
        <w:rPr>
          <w:rFonts w:ascii="Book Antiqua" w:hAnsi="Book Antiqua"/>
        </w:rPr>
        <w:t xml:space="preserve">nduced </w:t>
      </w:r>
      <w:r w:rsidR="00E17DBA">
        <w:rPr>
          <w:rFonts w:ascii="Book Antiqua" w:hAnsi="Book Antiqua"/>
        </w:rPr>
        <w:t>c</w:t>
      </w:r>
      <w:r w:rsidRPr="00BE12AC">
        <w:rPr>
          <w:rFonts w:ascii="Book Antiqua" w:hAnsi="Book Antiqua"/>
        </w:rPr>
        <w:t xml:space="preserve">ell </w:t>
      </w:r>
      <w:r w:rsidR="00E17DBA">
        <w:rPr>
          <w:rFonts w:ascii="Book Antiqua" w:hAnsi="Book Antiqua"/>
        </w:rPr>
        <w:t>d</w:t>
      </w:r>
      <w:r w:rsidRPr="00BE12AC">
        <w:rPr>
          <w:rFonts w:ascii="Book Antiqua" w:hAnsi="Book Antiqua"/>
        </w:rPr>
        <w:t>eath signature.</w:t>
      </w:r>
    </w:p>
    <w:p w14:paraId="0B793467" w14:textId="77777777" w:rsidR="00F71693" w:rsidRDefault="00F71693" w:rsidP="00873A9B">
      <w:pPr>
        <w:spacing w:line="360" w:lineRule="auto"/>
        <w:jc w:val="both"/>
        <w:rPr>
          <w:rFonts w:ascii="Book Antiqua" w:hAnsi="Book Antiqua"/>
        </w:rPr>
        <w:sectPr w:rsidR="00F71693" w:rsidSect="00633490">
          <w:pgSz w:w="15840" w:h="12240" w:orient="landscape"/>
          <w:pgMar w:top="1440" w:right="1440" w:bottom="1440" w:left="1440" w:header="720" w:footer="720" w:gutter="0"/>
          <w:cols w:space="720"/>
          <w:docGrid w:linePitch="360"/>
        </w:sectPr>
      </w:pPr>
    </w:p>
    <w:p w14:paraId="2B754BD7" w14:textId="097F5367" w:rsidR="00F71693" w:rsidRPr="00BE12AC" w:rsidRDefault="00F71693" w:rsidP="00873A9B">
      <w:pPr>
        <w:spacing w:line="360" w:lineRule="auto"/>
        <w:jc w:val="both"/>
        <w:rPr>
          <w:rFonts w:ascii="Book Antiqua" w:hAnsi="Book Antiqua"/>
        </w:rPr>
      </w:pPr>
      <w:r>
        <w:rPr>
          <w:rFonts w:ascii="Book Antiqua" w:hAnsi="Book Antiqua"/>
          <w:noProof/>
        </w:rPr>
        <w:lastRenderedPageBreak/>
        <w:drawing>
          <wp:inline distT="0" distB="0" distL="0" distR="0" wp14:anchorId="1E5CA6C3" wp14:editId="514DF9B9">
            <wp:extent cx="8174579" cy="4055110"/>
            <wp:effectExtent l="0" t="0" r="0" b="0"/>
            <wp:docPr id="7130078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82003" cy="4058793"/>
                    </a:xfrm>
                    <a:prstGeom prst="rect">
                      <a:avLst/>
                    </a:prstGeom>
                    <a:noFill/>
                  </pic:spPr>
                </pic:pic>
              </a:graphicData>
            </a:graphic>
          </wp:inline>
        </w:drawing>
      </w:r>
    </w:p>
    <w:p w14:paraId="6FE691B5" w14:textId="2487D057" w:rsidR="00600DE7" w:rsidRPr="00BE12AC" w:rsidRDefault="00FC314E" w:rsidP="00873A9B">
      <w:pPr>
        <w:spacing w:line="360" w:lineRule="auto"/>
        <w:jc w:val="both"/>
        <w:rPr>
          <w:rFonts w:ascii="Book Antiqua" w:hAnsi="Book Antiqua"/>
        </w:rPr>
      </w:pPr>
      <w:r w:rsidRPr="00BE12AC">
        <w:rPr>
          <w:rFonts w:ascii="Book Antiqua" w:hAnsi="Book Antiqua"/>
          <w:b/>
          <w:bCs/>
        </w:rPr>
        <w:t xml:space="preserve">Figure </w:t>
      </w:r>
      <w:r w:rsidRPr="00BE12AC">
        <w:rPr>
          <w:rFonts w:ascii="Book Antiqua" w:hAnsi="Book Antiqua"/>
          <w:b/>
          <w:bCs/>
          <w:lang w:eastAsia="zh-CN"/>
        </w:rPr>
        <w:t>3</w:t>
      </w:r>
      <w:r w:rsidRPr="00BE12AC">
        <w:rPr>
          <w:rFonts w:ascii="Book Antiqua" w:hAnsi="Book Antiqua"/>
          <w:b/>
          <w:bCs/>
        </w:rPr>
        <w:t xml:space="preserve"> Displays time-varying receiver operating characteristic curves and </w:t>
      </w:r>
      <w:r w:rsidRPr="00BE12AC">
        <w:rPr>
          <w:rFonts w:ascii="Book Antiqua" w:eastAsia="Book Antiqua" w:hAnsi="Book Antiqua" w:cs="Book Antiqua"/>
          <w:b/>
          <w:bCs/>
        </w:rPr>
        <w:t>Kaplan-Meier</w:t>
      </w:r>
      <w:r w:rsidRPr="00BE12AC">
        <w:rPr>
          <w:rFonts w:ascii="Book Antiqua" w:eastAsia="Book Antiqua" w:hAnsi="Book Antiqua" w:cs="Book Antiqua"/>
        </w:rPr>
        <w:t xml:space="preserve"> </w:t>
      </w:r>
      <w:r w:rsidRPr="00BE12AC">
        <w:rPr>
          <w:rFonts w:ascii="Book Antiqua" w:hAnsi="Book Antiqua"/>
          <w:b/>
          <w:bCs/>
        </w:rPr>
        <w:t>survival analyses.</w:t>
      </w:r>
      <w:r w:rsidRPr="00BE12AC">
        <w:rPr>
          <w:rFonts w:ascii="Book Antiqua" w:hAnsi="Book Antiqua"/>
        </w:rPr>
        <w:t xml:space="preserve"> A: In the complete dataset, the </w:t>
      </w:r>
      <w:r w:rsidRPr="00BE12AC">
        <w:rPr>
          <w:rFonts w:ascii="Book Antiqua" w:eastAsia="Book Antiqua" w:hAnsi="Book Antiqua" w:cs="Book Antiqua"/>
        </w:rPr>
        <w:t>Kaplan-Meier survival analysis</w:t>
      </w:r>
      <w:r w:rsidRPr="00BE12AC">
        <w:rPr>
          <w:rFonts w:ascii="Book Antiqua" w:hAnsi="Book Antiqua"/>
        </w:rPr>
        <w:t xml:space="preserve"> curve revealed a substantial difference in overall survival (OS) among the low-risk and high-risk groups; B: As well as in the training; C: Validation cohorts; </w:t>
      </w:r>
      <w:r w:rsidR="00F71693">
        <w:rPr>
          <w:rFonts w:ascii="Book Antiqua" w:hAnsi="Book Antiqua"/>
        </w:rPr>
        <w:t>D</w:t>
      </w:r>
      <w:r w:rsidRPr="00BE12AC">
        <w:rPr>
          <w:rFonts w:ascii="Book Antiqua" w:hAnsi="Book Antiqua"/>
        </w:rPr>
        <w:t xml:space="preserve">: The time-varying receiver operating characteristic curve </w:t>
      </w:r>
      <w:r w:rsidRPr="00BE12AC">
        <w:rPr>
          <w:rFonts w:ascii="Book Antiqua" w:eastAsia="Book Antiqua" w:hAnsi="Book Antiqua" w:cs="Book Antiqua"/>
        </w:rPr>
        <w:t>area under the curve</w:t>
      </w:r>
      <w:r w:rsidRPr="00BE12AC">
        <w:rPr>
          <w:rFonts w:ascii="Book Antiqua" w:hAnsi="Book Antiqua"/>
        </w:rPr>
        <w:t xml:space="preserve"> </w:t>
      </w:r>
      <w:r w:rsidR="000D3D83">
        <w:rPr>
          <w:rFonts w:ascii="Book Antiqua" w:hAnsi="Book Antiqua"/>
        </w:rPr>
        <w:t xml:space="preserve">(AUC) </w:t>
      </w:r>
      <w:r w:rsidRPr="00BE12AC">
        <w:rPr>
          <w:rFonts w:ascii="Book Antiqua" w:hAnsi="Book Antiqua"/>
        </w:rPr>
        <w:t xml:space="preserve">values for the total dataset; </w:t>
      </w:r>
      <w:r w:rsidR="00F71693">
        <w:rPr>
          <w:rFonts w:ascii="Book Antiqua" w:hAnsi="Book Antiqua"/>
        </w:rPr>
        <w:t>E</w:t>
      </w:r>
      <w:r w:rsidRPr="00BE12AC">
        <w:rPr>
          <w:rFonts w:ascii="Book Antiqua" w:hAnsi="Book Antiqua"/>
        </w:rPr>
        <w:t xml:space="preserve">: Training group; </w:t>
      </w:r>
      <w:r w:rsidR="00F71693">
        <w:rPr>
          <w:rFonts w:ascii="Book Antiqua" w:hAnsi="Book Antiqua"/>
        </w:rPr>
        <w:t>F</w:t>
      </w:r>
      <w:r w:rsidRPr="00BE12AC">
        <w:rPr>
          <w:rFonts w:ascii="Book Antiqua" w:hAnsi="Book Antiqua"/>
        </w:rPr>
        <w:t>: Validation group at 5 yr of OS were 0.67, 0.64, and 0.72, respectively</w:t>
      </w:r>
      <w:r w:rsidR="00DD49F2">
        <w:rPr>
          <w:rFonts w:ascii="Book Antiqua" w:hAnsi="Book Antiqua"/>
        </w:rPr>
        <w:t xml:space="preserve">; </w:t>
      </w:r>
      <w:r w:rsidR="00F71693">
        <w:rPr>
          <w:rFonts w:ascii="Book Antiqua" w:hAnsi="Book Antiqua"/>
        </w:rPr>
        <w:t>G</w:t>
      </w:r>
      <w:r w:rsidR="00F71693" w:rsidRPr="00BE12AC">
        <w:rPr>
          <w:rFonts w:ascii="Book Antiqua" w:hAnsi="Book Antiqua"/>
        </w:rPr>
        <w:t>: Kaplan-Meier survival analysis;</w:t>
      </w:r>
      <w:r w:rsidR="00F71693">
        <w:rPr>
          <w:rFonts w:ascii="Book Antiqua" w:hAnsi="Book Antiqua"/>
        </w:rPr>
        <w:t xml:space="preserve"> </w:t>
      </w:r>
      <w:r w:rsidR="00DD49F2">
        <w:rPr>
          <w:rFonts w:ascii="Book Antiqua" w:hAnsi="Book Antiqua"/>
        </w:rPr>
        <w:t>H</w:t>
      </w:r>
      <w:r w:rsidR="00DD49F2" w:rsidRPr="00BE12AC">
        <w:rPr>
          <w:rFonts w:ascii="Book Antiqua" w:hAnsi="Book Antiqua"/>
        </w:rPr>
        <w:t xml:space="preserve">: </w:t>
      </w:r>
      <w:r w:rsidR="00DD49F2" w:rsidRPr="00BE12AC">
        <w:rPr>
          <w:rFonts w:ascii="Book Antiqua" w:eastAsia="Book Antiqua" w:hAnsi="Book Antiqua" w:cs="Book Antiqua"/>
        </w:rPr>
        <w:t>Receiver operating characteristic</w:t>
      </w:r>
      <w:r w:rsidR="00DD49F2" w:rsidRPr="00BE12AC">
        <w:rPr>
          <w:rFonts w:ascii="Book Antiqua" w:hAnsi="Book Antiqua"/>
        </w:rPr>
        <w:t xml:space="preserve"> curve over time</w:t>
      </w:r>
      <w:r w:rsidR="00F71693">
        <w:rPr>
          <w:rFonts w:ascii="Book Antiqua" w:hAnsi="Book Antiqua"/>
        </w:rPr>
        <w:t>.</w:t>
      </w:r>
      <w:r w:rsidRPr="00BE12AC">
        <w:rPr>
          <w:rFonts w:ascii="Book Antiqua" w:hAnsi="Book Antiqua"/>
        </w:rPr>
        <w:t xml:space="preserve"> </w:t>
      </w:r>
    </w:p>
    <w:p w14:paraId="0CDE5593" w14:textId="77777777" w:rsidR="00986C35" w:rsidRDefault="00986C35" w:rsidP="00873A9B">
      <w:pPr>
        <w:spacing w:line="360" w:lineRule="auto"/>
        <w:jc w:val="both"/>
        <w:rPr>
          <w:rFonts w:ascii="Book Antiqua" w:hAnsi="Book Antiqua"/>
        </w:rPr>
        <w:sectPr w:rsidR="00986C35" w:rsidSect="00633490">
          <w:pgSz w:w="15840" w:h="12240" w:orient="landscape"/>
          <w:pgMar w:top="1440" w:right="1440" w:bottom="1440" w:left="1440" w:header="720" w:footer="720" w:gutter="0"/>
          <w:cols w:space="720"/>
          <w:docGrid w:linePitch="360"/>
        </w:sectPr>
      </w:pPr>
    </w:p>
    <w:p w14:paraId="7B70AF82" w14:textId="77777777" w:rsidR="00600DE7" w:rsidRPr="00BE12AC" w:rsidRDefault="00FC314E" w:rsidP="00873A9B">
      <w:pPr>
        <w:spacing w:line="360" w:lineRule="auto"/>
        <w:jc w:val="both"/>
        <w:rPr>
          <w:rFonts w:ascii="Book Antiqua" w:hAnsi="Book Antiqua"/>
        </w:rPr>
      </w:pPr>
      <w:r w:rsidRPr="00BE12AC">
        <w:rPr>
          <w:rFonts w:ascii="Book Antiqua" w:hAnsi="Book Antiqua"/>
          <w:noProof/>
        </w:rPr>
        <w:lastRenderedPageBreak/>
        <w:drawing>
          <wp:inline distT="0" distB="0" distL="0" distR="0" wp14:anchorId="2454A99F" wp14:editId="1C0E81EA">
            <wp:extent cx="5848350" cy="5769127"/>
            <wp:effectExtent l="0" t="0" r="0" b="3175"/>
            <wp:docPr id="17748146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14639"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859505" cy="5780131"/>
                    </a:xfrm>
                    <a:prstGeom prst="rect">
                      <a:avLst/>
                    </a:prstGeom>
                    <a:noFill/>
                  </pic:spPr>
                </pic:pic>
              </a:graphicData>
            </a:graphic>
          </wp:inline>
        </w:drawing>
      </w:r>
    </w:p>
    <w:p w14:paraId="2D09F7A7" w14:textId="2DD9826A" w:rsidR="00600DE7" w:rsidRPr="00BE12AC" w:rsidRDefault="00FC314E" w:rsidP="00873A9B">
      <w:pPr>
        <w:spacing w:line="360" w:lineRule="auto"/>
        <w:jc w:val="both"/>
        <w:rPr>
          <w:rFonts w:ascii="Book Antiqua" w:hAnsi="Book Antiqua"/>
        </w:rPr>
      </w:pPr>
      <w:r w:rsidRPr="00BE12AC">
        <w:rPr>
          <w:rFonts w:ascii="Book Antiqua" w:hAnsi="Book Antiqua"/>
          <w:b/>
          <w:bCs/>
          <w:lang w:eastAsia="zh-CN"/>
        </w:rPr>
        <w:t xml:space="preserve">Figure </w:t>
      </w:r>
      <w:r w:rsidR="009A3AC4">
        <w:rPr>
          <w:rFonts w:ascii="Book Antiqua" w:hAnsi="Book Antiqua"/>
          <w:b/>
          <w:bCs/>
          <w:lang w:eastAsia="zh-CN"/>
        </w:rPr>
        <w:t>4</w:t>
      </w:r>
      <w:r w:rsidRPr="00BE12AC">
        <w:rPr>
          <w:rFonts w:ascii="Book Antiqua" w:hAnsi="Book Antiqua"/>
          <w:b/>
          <w:bCs/>
        </w:rPr>
        <w:t xml:space="preserve"> Displays the results of the analysis on ATP-</w:t>
      </w:r>
      <w:r w:rsidR="00E17DBA">
        <w:rPr>
          <w:rFonts w:ascii="Book Antiqua" w:hAnsi="Book Antiqua"/>
          <w:b/>
          <w:bCs/>
        </w:rPr>
        <w:t>i</w:t>
      </w:r>
      <w:r w:rsidRPr="00BE12AC">
        <w:rPr>
          <w:rFonts w:ascii="Book Antiqua" w:hAnsi="Book Antiqua"/>
          <w:b/>
          <w:bCs/>
        </w:rPr>
        <w:t xml:space="preserve">nduced </w:t>
      </w:r>
      <w:r w:rsidR="00E17DBA">
        <w:rPr>
          <w:rFonts w:ascii="Book Antiqua" w:hAnsi="Book Antiqua"/>
          <w:b/>
          <w:bCs/>
        </w:rPr>
        <w:t>c</w:t>
      </w:r>
      <w:r w:rsidRPr="00BE12AC">
        <w:rPr>
          <w:rFonts w:ascii="Book Antiqua" w:hAnsi="Book Antiqua"/>
          <w:b/>
          <w:bCs/>
        </w:rPr>
        <w:t xml:space="preserve">ell </w:t>
      </w:r>
      <w:r w:rsidR="00E17DBA">
        <w:rPr>
          <w:rFonts w:ascii="Book Antiqua" w:hAnsi="Book Antiqua"/>
          <w:b/>
          <w:bCs/>
        </w:rPr>
        <w:t>d</w:t>
      </w:r>
      <w:r w:rsidRPr="00BE12AC">
        <w:rPr>
          <w:rFonts w:ascii="Book Antiqua" w:hAnsi="Book Antiqua"/>
          <w:b/>
          <w:bCs/>
        </w:rPr>
        <w:t>eath-related mi</w:t>
      </w:r>
      <w:r w:rsidR="00E17DBA">
        <w:rPr>
          <w:rFonts w:ascii="Book Antiqua" w:hAnsi="Book Antiqua"/>
          <w:b/>
          <w:bCs/>
        </w:rPr>
        <w:t>cro</w:t>
      </w:r>
      <w:r w:rsidRPr="00BE12AC">
        <w:rPr>
          <w:rFonts w:ascii="Book Antiqua" w:hAnsi="Book Antiqua"/>
          <w:b/>
          <w:bCs/>
        </w:rPr>
        <w:t>RNAs.</w:t>
      </w:r>
      <w:r w:rsidRPr="00BE12AC">
        <w:rPr>
          <w:rFonts w:ascii="Book Antiqua" w:hAnsi="Book Antiqua"/>
        </w:rPr>
        <w:t xml:space="preserve"> A: Four mi</w:t>
      </w:r>
      <w:r w:rsidR="00E17DBA">
        <w:rPr>
          <w:rFonts w:ascii="Book Antiqua" w:hAnsi="Book Antiqua"/>
        </w:rPr>
        <w:t>cro</w:t>
      </w:r>
      <w:r w:rsidRPr="00BE12AC">
        <w:rPr>
          <w:rFonts w:ascii="Book Antiqua" w:hAnsi="Book Antiqua"/>
        </w:rPr>
        <w:t xml:space="preserve">RNAs with </w:t>
      </w:r>
      <w:r w:rsidRPr="00BE12AC">
        <w:rPr>
          <w:rFonts w:ascii="Book Antiqua" w:hAnsi="Book Antiqua"/>
          <w:i/>
          <w:iCs/>
        </w:rPr>
        <w:t xml:space="preserve">P </w:t>
      </w:r>
      <w:r w:rsidR="00E17DBA">
        <w:rPr>
          <w:rFonts w:ascii="Book Antiqua" w:hAnsi="Book Antiqua"/>
        </w:rPr>
        <w:t>&lt;</w:t>
      </w:r>
      <w:r w:rsidRPr="00BE12AC">
        <w:rPr>
          <w:rFonts w:ascii="Book Antiqua" w:hAnsi="Book Antiqua"/>
        </w:rPr>
        <w:t xml:space="preserve"> 0.05 are provided, along with the risk ratios calculated using univariate Cox proportional hazard regression; B: Shows the selection process of tuning parameters (λ) for the overall survival-related miRNA using the Least Absolute Shrinkage and Selection Operator (LASSO) model; C: The four miRNAs' LASSO coefficient spectra are illustrated, with the vertical line reflecting the coefficient chosen using LASSO. HR: Hazard ratio.</w:t>
      </w:r>
    </w:p>
    <w:p w14:paraId="726E8B05" w14:textId="77777777" w:rsidR="00600DE7" w:rsidRPr="00BE12AC" w:rsidRDefault="00600DE7" w:rsidP="00873A9B">
      <w:pPr>
        <w:spacing w:line="360" w:lineRule="auto"/>
        <w:jc w:val="both"/>
        <w:rPr>
          <w:rFonts w:ascii="Book Antiqua" w:hAnsi="Book Antiqua"/>
        </w:rPr>
      </w:pPr>
    </w:p>
    <w:p w14:paraId="2B178D18" w14:textId="77777777" w:rsidR="00D4602C" w:rsidRDefault="00D4602C" w:rsidP="00873A9B">
      <w:pPr>
        <w:spacing w:line="360" w:lineRule="auto"/>
        <w:jc w:val="both"/>
        <w:rPr>
          <w:rFonts w:ascii="Book Antiqua" w:hAnsi="Book Antiqua"/>
        </w:rPr>
        <w:sectPr w:rsidR="00D4602C" w:rsidSect="00633490">
          <w:pgSz w:w="12240" w:h="15840"/>
          <w:pgMar w:top="1440" w:right="1440" w:bottom="1440" w:left="1440" w:header="720" w:footer="720" w:gutter="0"/>
          <w:cols w:space="720"/>
          <w:docGrid w:linePitch="360"/>
        </w:sectPr>
      </w:pPr>
    </w:p>
    <w:p w14:paraId="15D8385A" w14:textId="76A80A8F" w:rsidR="00600DE7" w:rsidRPr="00BE12AC" w:rsidRDefault="00AB689E" w:rsidP="00873A9B">
      <w:pPr>
        <w:spacing w:line="360" w:lineRule="auto"/>
        <w:jc w:val="both"/>
        <w:rPr>
          <w:rFonts w:ascii="Book Antiqua" w:hAnsi="Book Antiqua"/>
        </w:rPr>
      </w:pPr>
      <w:r>
        <w:rPr>
          <w:rFonts w:ascii="Book Antiqua" w:hAnsi="Book Antiqua"/>
          <w:noProof/>
        </w:rPr>
        <w:lastRenderedPageBreak/>
        <w:drawing>
          <wp:inline distT="0" distB="0" distL="0" distR="0" wp14:anchorId="618BC8EB" wp14:editId="592A2AAA">
            <wp:extent cx="7581900" cy="5892320"/>
            <wp:effectExtent l="0" t="0" r="0" b="0"/>
            <wp:docPr id="8118937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4943" cy="5925771"/>
                    </a:xfrm>
                    <a:prstGeom prst="rect">
                      <a:avLst/>
                    </a:prstGeom>
                    <a:noFill/>
                  </pic:spPr>
                </pic:pic>
              </a:graphicData>
            </a:graphic>
          </wp:inline>
        </w:drawing>
      </w:r>
    </w:p>
    <w:p w14:paraId="18C65070" w14:textId="3DF5A471" w:rsidR="00600DE7" w:rsidRPr="00BE12AC" w:rsidRDefault="00FC314E" w:rsidP="00873A9B">
      <w:pPr>
        <w:spacing w:line="360" w:lineRule="auto"/>
        <w:jc w:val="both"/>
        <w:rPr>
          <w:rFonts w:ascii="Book Antiqua" w:hAnsi="Book Antiqua"/>
        </w:rPr>
      </w:pPr>
      <w:r w:rsidRPr="00BE12AC">
        <w:rPr>
          <w:rFonts w:ascii="Book Antiqua" w:hAnsi="Book Antiqua"/>
          <w:b/>
          <w:bCs/>
        </w:rPr>
        <w:lastRenderedPageBreak/>
        <w:t xml:space="preserve">Figure </w:t>
      </w:r>
      <w:r w:rsidR="009A3AC4">
        <w:rPr>
          <w:rFonts w:ascii="Book Antiqua" w:hAnsi="Book Antiqua"/>
          <w:b/>
          <w:bCs/>
          <w:lang w:eastAsia="zh-CN"/>
        </w:rPr>
        <w:t>5</w:t>
      </w:r>
      <w:r w:rsidRPr="00BE12AC">
        <w:rPr>
          <w:rFonts w:ascii="Book Antiqua" w:hAnsi="Book Antiqua"/>
          <w:b/>
          <w:bCs/>
        </w:rPr>
        <w:t xml:space="preserve"> </w:t>
      </w:r>
      <w:r w:rsidR="00FE6C6F">
        <w:rPr>
          <w:rFonts w:ascii="Book Antiqua" w:hAnsi="Book Antiqua"/>
          <w:b/>
          <w:bCs/>
        </w:rPr>
        <w:t>R</w:t>
      </w:r>
      <w:r w:rsidR="00FE6C6F" w:rsidRPr="00BE12AC">
        <w:rPr>
          <w:rFonts w:ascii="Book Antiqua" w:hAnsi="Book Antiqua"/>
          <w:b/>
          <w:bCs/>
        </w:rPr>
        <w:t xml:space="preserve">isk score distribution and expression heat map </w:t>
      </w:r>
      <w:r w:rsidR="00FE6C6F">
        <w:rPr>
          <w:rFonts w:ascii="Book Antiqua" w:hAnsi="Book Antiqua" w:hint="eastAsia"/>
          <w:b/>
          <w:bCs/>
          <w:lang w:eastAsia="zh-CN"/>
        </w:rPr>
        <w:t>for</w:t>
      </w:r>
      <w:r w:rsidR="00FE6C6F">
        <w:rPr>
          <w:rFonts w:ascii="Book Antiqua" w:hAnsi="Book Antiqua"/>
          <w:b/>
          <w:bCs/>
        </w:rPr>
        <w:t xml:space="preserve"> </w:t>
      </w:r>
      <w:r w:rsidRPr="00BE12AC">
        <w:rPr>
          <w:rFonts w:ascii="Book Antiqua" w:hAnsi="Book Antiqua"/>
          <w:b/>
          <w:bCs/>
        </w:rPr>
        <w:t>the</w:t>
      </w:r>
      <w:r w:rsidR="00C7283A">
        <w:rPr>
          <w:rFonts w:ascii="Book Antiqua" w:hAnsi="Book Antiqua"/>
          <w:b/>
          <w:bCs/>
        </w:rPr>
        <w:t xml:space="preserve"> </w:t>
      </w:r>
      <w:r w:rsidR="00C7283A">
        <w:rPr>
          <w:rFonts w:ascii="Book Antiqua" w:hAnsi="Book Antiqua" w:hint="eastAsia"/>
          <w:b/>
          <w:bCs/>
          <w:lang w:eastAsia="zh-CN"/>
        </w:rPr>
        <w:t>entire</w:t>
      </w:r>
      <w:r w:rsidRPr="00BE12AC">
        <w:rPr>
          <w:rFonts w:ascii="Book Antiqua" w:hAnsi="Book Antiqua"/>
          <w:b/>
          <w:bCs/>
        </w:rPr>
        <w:t xml:space="preserve"> Cancer Genome Atlas Breast Cancer dataset.</w:t>
      </w:r>
      <w:r w:rsidRPr="00BE12AC">
        <w:rPr>
          <w:rFonts w:ascii="Book Antiqua" w:hAnsi="Book Antiqua"/>
        </w:rPr>
        <w:t xml:space="preserve"> </w:t>
      </w:r>
      <w:r w:rsidR="00C7283A">
        <w:rPr>
          <w:rFonts w:ascii="Book Antiqua" w:hAnsi="Book Antiqua"/>
        </w:rPr>
        <w:t>A</w:t>
      </w:r>
      <w:r w:rsidR="00AA47E1">
        <w:rPr>
          <w:rFonts w:ascii="Book Antiqua" w:hAnsi="Book Antiqua"/>
        </w:rPr>
        <w:t>1-A3</w:t>
      </w:r>
      <w:r w:rsidR="00C7283A">
        <w:rPr>
          <w:rFonts w:ascii="Book Antiqua" w:hAnsi="Book Antiqua"/>
        </w:rPr>
        <w:t>:</w:t>
      </w:r>
      <w:r w:rsidRPr="00BE12AC">
        <w:rPr>
          <w:rFonts w:ascii="Book Antiqua" w:hAnsi="Book Antiqua"/>
        </w:rPr>
        <w:t xml:space="preserve"> Total risk score; </w:t>
      </w:r>
      <w:r w:rsidR="00C7283A">
        <w:rPr>
          <w:rFonts w:ascii="Book Antiqua" w:hAnsi="Book Antiqua"/>
        </w:rPr>
        <w:t>B</w:t>
      </w:r>
      <w:r w:rsidR="00AA47E1">
        <w:rPr>
          <w:rFonts w:ascii="Book Antiqua" w:hAnsi="Book Antiqua"/>
        </w:rPr>
        <w:t>1-B3</w:t>
      </w:r>
      <w:r w:rsidR="00C7283A">
        <w:rPr>
          <w:rFonts w:ascii="Book Antiqua" w:hAnsi="Book Antiqua"/>
        </w:rPr>
        <w:t>: T</w:t>
      </w:r>
      <w:r w:rsidRPr="00BE12AC">
        <w:rPr>
          <w:rFonts w:ascii="Book Antiqua" w:hAnsi="Book Antiqua"/>
        </w:rPr>
        <w:t xml:space="preserve">raining set risk score; </w:t>
      </w:r>
      <w:r w:rsidR="00C7283A">
        <w:rPr>
          <w:rFonts w:ascii="Book Antiqua" w:hAnsi="Book Antiqua"/>
        </w:rPr>
        <w:t>C</w:t>
      </w:r>
      <w:r w:rsidR="00AA47E1">
        <w:rPr>
          <w:rFonts w:ascii="Book Antiqua" w:hAnsi="Book Antiqua"/>
        </w:rPr>
        <w:t>1-C3</w:t>
      </w:r>
      <w:r w:rsidR="00C7283A">
        <w:rPr>
          <w:rFonts w:ascii="Book Antiqua" w:hAnsi="Book Antiqua"/>
        </w:rPr>
        <w:t>: T</w:t>
      </w:r>
      <w:r w:rsidRPr="00BE12AC">
        <w:rPr>
          <w:rFonts w:ascii="Book Antiqua" w:hAnsi="Book Antiqua"/>
        </w:rPr>
        <w:t xml:space="preserve">est set risk score; </w:t>
      </w:r>
      <w:r w:rsidR="00C7283A">
        <w:rPr>
          <w:rFonts w:ascii="Book Antiqua" w:hAnsi="Book Antiqua"/>
        </w:rPr>
        <w:t>D</w:t>
      </w:r>
      <w:r w:rsidR="00AA47E1">
        <w:rPr>
          <w:rFonts w:ascii="Book Antiqua" w:hAnsi="Book Antiqua"/>
        </w:rPr>
        <w:t>1-D3</w:t>
      </w:r>
      <w:r w:rsidR="00C7283A">
        <w:rPr>
          <w:rFonts w:ascii="Book Antiqua" w:hAnsi="Book Antiqua"/>
        </w:rPr>
        <w:t>: E</w:t>
      </w:r>
      <w:r w:rsidRPr="00BE12AC">
        <w:rPr>
          <w:rFonts w:ascii="Book Antiqua" w:hAnsi="Book Antiqua"/>
        </w:rPr>
        <w:t xml:space="preserve">xternal validation cohort risk score; </w:t>
      </w:r>
      <w:r w:rsidR="00200C64">
        <w:rPr>
          <w:rFonts w:ascii="Book Antiqua" w:hAnsi="Book Antiqua"/>
        </w:rPr>
        <w:t>A</w:t>
      </w:r>
      <w:r w:rsidR="00C7283A">
        <w:rPr>
          <w:rFonts w:ascii="Book Antiqua" w:hAnsi="Book Antiqua"/>
          <w:lang w:eastAsia="zh-CN"/>
        </w:rPr>
        <w:t>1</w:t>
      </w:r>
      <w:r w:rsidR="00200C64">
        <w:rPr>
          <w:rFonts w:ascii="Book Antiqua" w:hAnsi="Book Antiqua"/>
          <w:lang w:eastAsia="zh-CN"/>
        </w:rPr>
        <w:t>, B1, C1 and D1</w:t>
      </w:r>
      <w:r w:rsidRPr="00BE12AC">
        <w:rPr>
          <w:rFonts w:ascii="Book Antiqua" w:hAnsi="Book Antiqua"/>
        </w:rPr>
        <w:t xml:space="preserve">: The risk score distribution is illustrated, with pink dots representing the low-risk group and red dots representing the high-risk group. The vertical dotted line represents the median risk score cut-off point; </w:t>
      </w:r>
      <w:r w:rsidR="00200C64">
        <w:rPr>
          <w:rFonts w:ascii="Book Antiqua" w:hAnsi="Book Antiqua"/>
        </w:rPr>
        <w:t>A</w:t>
      </w:r>
      <w:r w:rsidR="00C7283A">
        <w:rPr>
          <w:rFonts w:ascii="Book Antiqua" w:hAnsi="Book Antiqua"/>
          <w:lang w:eastAsia="zh-CN"/>
        </w:rPr>
        <w:t>2</w:t>
      </w:r>
      <w:r w:rsidR="00200C64">
        <w:rPr>
          <w:rFonts w:ascii="Book Antiqua" w:hAnsi="Book Antiqua"/>
          <w:lang w:eastAsia="zh-CN"/>
        </w:rPr>
        <w:t>, B2, C2 and D2</w:t>
      </w:r>
      <w:r w:rsidRPr="00BE12AC">
        <w:rPr>
          <w:rFonts w:ascii="Book Antiqua" w:hAnsi="Book Antiqua"/>
        </w:rPr>
        <w:t xml:space="preserve">: Shows the patient's survival time and status; </w:t>
      </w:r>
      <w:r w:rsidR="00200C64">
        <w:rPr>
          <w:rFonts w:ascii="Book Antiqua" w:hAnsi="Book Antiqua"/>
        </w:rPr>
        <w:t>A</w:t>
      </w:r>
      <w:r w:rsidR="00C7283A">
        <w:rPr>
          <w:rFonts w:ascii="Book Antiqua" w:hAnsi="Book Antiqua"/>
          <w:lang w:eastAsia="zh-CN"/>
        </w:rPr>
        <w:t>3</w:t>
      </w:r>
      <w:r w:rsidR="00200C64">
        <w:rPr>
          <w:rFonts w:ascii="Book Antiqua" w:hAnsi="Book Antiqua"/>
          <w:lang w:eastAsia="zh-CN"/>
        </w:rPr>
        <w:t>, B3, C3 and D3</w:t>
      </w:r>
      <w:r w:rsidRPr="00BE12AC">
        <w:rPr>
          <w:rFonts w:ascii="Book Antiqua" w:hAnsi="Book Antiqua"/>
        </w:rPr>
        <w:t>: Presents the heat maps depicting the expression levels of four selected ATP-</w:t>
      </w:r>
      <w:r w:rsidR="00E17DBA">
        <w:rPr>
          <w:rFonts w:ascii="Book Antiqua" w:hAnsi="Book Antiqua"/>
        </w:rPr>
        <w:t>i</w:t>
      </w:r>
      <w:r w:rsidRPr="00BE12AC">
        <w:rPr>
          <w:rFonts w:ascii="Book Antiqua" w:hAnsi="Book Antiqua"/>
        </w:rPr>
        <w:t xml:space="preserve">nduced </w:t>
      </w:r>
      <w:r w:rsidR="00E17DBA">
        <w:rPr>
          <w:rFonts w:ascii="Book Antiqua" w:hAnsi="Book Antiqua"/>
        </w:rPr>
        <w:t>c</w:t>
      </w:r>
      <w:r w:rsidRPr="00BE12AC">
        <w:rPr>
          <w:rFonts w:ascii="Book Antiqua" w:hAnsi="Book Antiqua"/>
        </w:rPr>
        <w:t xml:space="preserve">ell </w:t>
      </w:r>
      <w:r w:rsidR="00E17DBA">
        <w:rPr>
          <w:rFonts w:ascii="Book Antiqua" w:hAnsi="Book Antiqua"/>
        </w:rPr>
        <w:t>d</w:t>
      </w:r>
      <w:r w:rsidRPr="00BE12AC">
        <w:rPr>
          <w:rFonts w:ascii="Book Antiqua" w:hAnsi="Book Antiqua"/>
        </w:rPr>
        <w:t>eath signature m</w:t>
      </w:r>
      <w:r w:rsidR="00986C35">
        <w:rPr>
          <w:rFonts w:ascii="Book Antiqua" w:hAnsi="Book Antiqua"/>
        </w:rPr>
        <w:t>icro</w:t>
      </w:r>
      <w:r w:rsidRPr="00BE12AC">
        <w:rPr>
          <w:rFonts w:ascii="Book Antiqua" w:hAnsi="Book Antiqua"/>
        </w:rPr>
        <w:t>RNAs.</w:t>
      </w:r>
    </w:p>
    <w:p w14:paraId="0C03B569" w14:textId="77777777" w:rsidR="00986C35" w:rsidRDefault="00986C35" w:rsidP="00873A9B">
      <w:pPr>
        <w:spacing w:line="360" w:lineRule="auto"/>
        <w:jc w:val="both"/>
        <w:rPr>
          <w:rFonts w:ascii="Book Antiqua" w:hAnsi="Book Antiqua"/>
        </w:rPr>
        <w:sectPr w:rsidR="00986C35" w:rsidSect="00633490">
          <w:pgSz w:w="15840" w:h="12240" w:orient="landscape"/>
          <w:pgMar w:top="1440" w:right="1440" w:bottom="1440" w:left="1440" w:header="720" w:footer="720" w:gutter="0"/>
          <w:cols w:space="720"/>
          <w:docGrid w:linePitch="360"/>
        </w:sectPr>
      </w:pPr>
    </w:p>
    <w:p w14:paraId="0B088559" w14:textId="77777777" w:rsidR="00600DE7" w:rsidRPr="00BE12AC" w:rsidRDefault="00FC314E" w:rsidP="00873A9B">
      <w:pPr>
        <w:spacing w:line="360" w:lineRule="auto"/>
        <w:jc w:val="both"/>
        <w:rPr>
          <w:rFonts w:ascii="Book Antiqua" w:hAnsi="Book Antiqua"/>
        </w:rPr>
      </w:pPr>
      <w:r w:rsidRPr="00BE12AC">
        <w:rPr>
          <w:rFonts w:ascii="Book Antiqua" w:hAnsi="Book Antiqua"/>
          <w:noProof/>
        </w:rPr>
        <w:lastRenderedPageBreak/>
        <w:drawing>
          <wp:inline distT="0" distB="0" distL="0" distR="0" wp14:anchorId="0B4B0001" wp14:editId="7ACEB3B0">
            <wp:extent cx="6692900" cy="4306856"/>
            <wp:effectExtent l="0" t="0" r="0" b="0"/>
            <wp:docPr id="12006526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52637" name="图片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744943" cy="4340345"/>
                    </a:xfrm>
                    <a:prstGeom prst="rect">
                      <a:avLst/>
                    </a:prstGeom>
                    <a:noFill/>
                  </pic:spPr>
                </pic:pic>
              </a:graphicData>
            </a:graphic>
          </wp:inline>
        </w:drawing>
      </w:r>
    </w:p>
    <w:p w14:paraId="60F064B2" w14:textId="17D568CB" w:rsidR="00600DE7" w:rsidRPr="00BE12AC" w:rsidRDefault="00FC314E" w:rsidP="00873A9B">
      <w:pPr>
        <w:spacing w:line="360" w:lineRule="auto"/>
        <w:jc w:val="both"/>
        <w:rPr>
          <w:rFonts w:ascii="Book Antiqua" w:hAnsi="Book Antiqua"/>
        </w:rPr>
      </w:pPr>
      <w:r w:rsidRPr="00BE12AC">
        <w:rPr>
          <w:rFonts w:ascii="Book Antiqua" w:hAnsi="Book Antiqua"/>
          <w:b/>
          <w:bCs/>
          <w:lang w:eastAsia="zh-CN"/>
        </w:rPr>
        <w:t xml:space="preserve">Figure </w:t>
      </w:r>
      <w:r w:rsidR="009A3AC4">
        <w:rPr>
          <w:rFonts w:ascii="Book Antiqua" w:hAnsi="Book Antiqua"/>
          <w:b/>
          <w:bCs/>
          <w:lang w:eastAsia="zh-CN"/>
        </w:rPr>
        <w:t>6</w:t>
      </w:r>
      <w:r w:rsidRPr="00BE12AC">
        <w:rPr>
          <w:rFonts w:ascii="Book Antiqua" w:hAnsi="Book Antiqua"/>
          <w:b/>
          <w:bCs/>
        </w:rPr>
        <w:t xml:space="preserve"> Displays the Kaplan-Meier survival analysis as well as the </w:t>
      </w:r>
      <w:r w:rsidRPr="00BE12AC">
        <w:rPr>
          <w:rFonts w:ascii="Book Antiqua" w:eastAsia="Book Antiqua" w:hAnsi="Book Antiqua" w:cs="Book Antiqua"/>
          <w:b/>
          <w:bCs/>
        </w:rPr>
        <w:t>receiver operating characteristic</w:t>
      </w:r>
      <w:r w:rsidRPr="00BE12AC">
        <w:rPr>
          <w:rFonts w:ascii="Book Antiqua" w:hAnsi="Book Antiqua"/>
          <w:b/>
          <w:bCs/>
        </w:rPr>
        <w:t xml:space="preserve"> curve over time.</w:t>
      </w:r>
      <w:r w:rsidRPr="00BE12AC">
        <w:rPr>
          <w:rFonts w:ascii="Book Antiqua" w:hAnsi="Book Antiqua"/>
        </w:rPr>
        <w:t xml:space="preserve"> A: In the total data set; B: </w:t>
      </w:r>
      <w:r w:rsidR="00E17DBA">
        <w:rPr>
          <w:rFonts w:ascii="Book Antiqua" w:hAnsi="Book Antiqua"/>
        </w:rPr>
        <w:t>T</w:t>
      </w:r>
      <w:r w:rsidRPr="00BE12AC">
        <w:rPr>
          <w:rFonts w:ascii="Book Antiqua" w:hAnsi="Book Antiqua"/>
        </w:rPr>
        <w:t xml:space="preserve">raining cohort; C: </w:t>
      </w:r>
      <w:r w:rsidR="00E17DBA">
        <w:rPr>
          <w:rFonts w:ascii="Book Antiqua" w:hAnsi="Book Antiqua"/>
        </w:rPr>
        <w:t>V</w:t>
      </w:r>
      <w:r w:rsidRPr="00BE12AC">
        <w:rPr>
          <w:rFonts w:ascii="Book Antiqua" w:hAnsi="Book Antiqua"/>
        </w:rPr>
        <w:t xml:space="preserve">alidation cohort, the Kaplan-Meier curve shows that the low-risk group had longer overall survival (OS) than the high-risk group; D: </w:t>
      </w:r>
      <w:r w:rsidR="00E17DBA">
        <w:rPr>
          <w:rFonts w:ascii="Book Antiqua" w:hAnsi="Book Antiqua"/>
        </w:rPr>
        <w:t>T</w:t>
      </w:r>
      <w:r w:rsidRPr="00BE12AC">
        <w:rPr>
          <w:rFonts w:ascii="Book Antiqua" w:hAnsi="Book Antiqua"/>
        </w:rPr>
        <w:t xml:space="preserve">ime-varying </w:t>
      </w:r>
      <w:r w:rsidRPr="00BE12AC">
        <w:rPr>
          <w:rFonts w:ascii="Book Antiqua" w:eastAsia="Book Antiqua" w:hAnsi="Book Antiqua" w:cs="Book Antiqua"/>
        </w:rPr>
        <w:t>receiver operating characteristic</w:t>
      </w:r>
      <w:r w:rsidRPr="00BE12AC">
        <w:rPr>
          <w:rFonts w:ascii="Book Antiqua" w:hAnsi="Book Antiqua"/>
        </w:rPr>
        <w:t xml:space="preserve"> curve </w:t>
      </w:r>
      <w:r w:rsidRPr="00BE12AC">
        <w:rPr>
          <w:rFonts w:ascii="Book Antiqua" w:eastAsia="Book Antiqua" w:hAnsi="Book Antiqua" w:cs="Book Antiqua"/>
        </w:rPr>
        <w:t>area under the curve</w:t>
      </w:r>
      <w:r w:rsidRPr="00BE12AC">
        <w:rPr>
          <w:rFonts w:ascii="Book Antiqua" w:hAnsi="Book Antiqua"/>
        </w:rPr>
        <w:t xml:space="preserve"> for 5-yr OS was 0.70 for the total data set; E: 0.69 for the training group; F: 0.75 for the validation group. These findings illustrate the prognostic model's power in predicting patient outcomes.</w:t>
      </w:r>
    </w:p>
    <w:p w14:paraId="0D5645F9" w14:textId="77777777" w:rsidR="00600DE7" w:rsidRPr="00BE12AC" w:rsidRDefault="00FC314E" w:rsidP="00873A9B">
      <w:pPr>
        <w:spacing w:line="360" w:lineRule="auto"/>
        <w:jc w:val="both"/>
        <w:rPr>
          <w:rFonts w:ascii="Book Antiqua" w:hAnsi="Book Antiqua"/>
        </w:rPr>
      </w:pPr>
      <w:r w:rsidRPr="00BE12AC">
        <w:rPr>
          <w:rFonts w:ascii="Book Antiqua" w:hAnsi="Book Antiqua"/>
          <w:noProof/>
        </w:rPr>
        <w:lastRenderedPageBreak/>
        <w:drawing>
          <wp:inline distT="0" distB="0" distL="0" distR="0" wp14:anchorId="15F087C3" wp14:editId="03255761">
            <wp:extent cx="7130730" cy="3656330"/>
            <wp:effectExtent l="0" t="0" r="0" b="0"/>
            <wp:docPr id="9893954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95438" name="图片 12"/>
                    <pic:cNvPicPr>
                      <a:picLocks noChangeAspect="1" noChangeArrowheads="1"/>
                    </pic:cNvPicPr>
                  </pic:nvPicPr>
                  <pic:blipFill rotWithShape="1">
                    <a:blip r:embed="rId15">
                      <a:extLst>
                        <a:ext uri="{28A0092B-C50C-407E-A947-70E740481C1C}">
                          <a14:useLocalDpi xmlns:a14="http://schemas.microsoft.com/office/drawing/2010/main" val="0"/>
                        </a:ext>
                      </a:extLst>
                    </a:blip>
                    <a:srcRect l="8659" t="14923" r="12280"/>
                    <a:stretch/>
                  </pic:blipFill>
                  <pic:spPr bwMode="auto">
                    <a:xfrm>
                      <a:off x="0" y="0"/>
                      <a:ext cx="7142046" cy="3662132"/>
                    </a:xfrm>
                    <a:prstGeom prst="rect">
                      <a:avLst/>
                    </a:prstGeom>
                    <a:noFill/>
                    <a:ln>
                      <a:noFill/>
                    </a:ln>
                    <a:extLst>
                      <a:ext uri="{53640926-AAD7-44D8-BBD7-CCE9431645EC}">
                        <a14:shadowObscured xmlns:a14="http://schemas.microsoft.com/office/drawing/2010/main"/>
                      </a:ext>
                    </a:extLst>
                  </pic:spPr>
                </pic:pic>
              </a:graphicData>
            </a:graphic>
          </wp:inline>
        </w:drawing>
      </w:r>
    </w:p>
    <w:p w14:paraId="41C71469" w14:textId="2C0FC347" w:rsidR="00600DE7" w:rsidRPr="00BE12AC" w:rsidRDefault="00FC314E" w:rsidP="00873A9B">
      <w:pPr>
        <w:spacing w:line="360" w:lineRule="auto"/>
        <w:jc w:val="both"/>
        <w:rPr>
          <w:rFonts w:ascii="Book Antiqua" w:hAnsi="Book Antiqua"/>
        </w:rPr>
      </w:pPr>
      <w:r w:rsidRPr="00BE12AC">
        <w:rPr>
          <w:rFonts w:ascii="Book Antiqua" w:hAnsi="Book Antiqua"/>
          <w:b/>
          <w:bCs/>
          <w:lang w:eastAsia="zh-CN"/>
        </w:rPr>
        <w:t xml:space="preserve">Figure </w:t>
      </w:r>
      <w:r w:rsidR="009A3AC4">
        <w:rPr>
          <w:rFonts w:ascii="Book Antiqua" w:hAnsi="Book Antiqua"/>
          <w:b/>
          <w:bCs/>
          <w:lang w:eastAsia="zh-CN"/>
        </w:rPr>
        <w:t>7</w:t>
      </w:r>
      <w:r w:rsidRPr="00BE12AC">
        <w:rPr>
          <w:rFonts w:ascii="Book Antiqua" w:hAnsi="Book Antiqua"/>
          <w:b/>
          <w:bCs/>
        </w:rPr>
        <w:t xml:space="preserve"> Displays time-varying </w:t>
      </w:r>
      <w:r w:rsidRPr="00BE12AC">
        <w:rPr>
          <w:rFonts w:ascii="Book Antiqua" w:eastAsia="Book Antiqua" w:hAnsi="Book Antiqua" w:cs="Book Antiqua"/>
          <w:b/>
          <w:bCs/>
        </w:rPr>
        <w:t>receiver operating characteristic</w:t>
      </w:r>
      <w:r w:rsidRPr="00BE12AC">
        <w:rPr>
          <w:rFonts w:ascii="Book Antiqua" w:hAnsi="Book Antiqua"/>
          <w:b/>
          <w:bCs/>
        </w:rPr>
        <w:t xml:space="preserve"> curves and K</w:t>
      </w:r>
      <w:r w:rsidR="009B7380">
        <w:rPr>
          <w:rFonts w:ascii="Book Antiqua" w:hAnsi="Book Antiqua"/>
          <w:b/>
          <w:bCs/>
        </w:rPr>
        <w:t>aplan-</w:t>
      </w:r>
      <w:r w:rsidRPr="00BE12AC">
        <w:rPr>
          <w:rFonts w:ascii="Book Antiqua" w:hAnsi="Book Antiqua"/>
          <w:b/>
          <w:bCs/>
        </w:rPr>
        <w:t>M</w:t>
      </w:r>
      <w:r w:rsidR="009B7380">
        <w:rPr>
          <w:rFonts w:ascii="Book Antiqua" w:hAnsi="Book Antiqua"/>
          <w:b/>
          <w:bCs/>
        </w:rPr>
        <w:t>eier</w:t>
      </w:r>
      <w:r w:rsidRPr="00BE12AC">
        <w:rPr>
          <w:rFonts w:ascii="Book Antiqua" w:hAnsi="Book Antiqua"/>
          <w:b/>
          <w:bCs/>
        </w:rPr>
        <w:t xml:space="preserve"> survival analyses.</w:t>
      </w:r>
      <w:r w:rsidRPr="00BE12AC">
        <w:rPr>
          <w:rFonts w:ascii="Book Antiqua" w:hAnsi="Book Antiqua"/>
        </w:rPr>
        <w:t xml:space="preserve"> A: Kaplan-Meier survival analysis; B: </w:t>
      </w:r>
      <w:r w:rsidRPr="00BE12AC">
        <w:rPr>
          <w:rFonts w:ascii="Book Antiqua" w:eastAsia="Book Antiqua" w:hAnsi="Book Antiqua" w:cs="Book Antiqua"/>
        </w:rPr>
        <w:t>Receiver operating characteristic</w:t>
      </w:r>
      <w:r w:rsidRPr="00BE12AC">
        <w:rPr>
          <w:rFonts w:ascii="Book Antiqua" w:hAnsi="Book Antiqua"/>
        </w:rPr>
        <w:t xml:space="preserve"> curve over time.</w:t>
      </w:r>
    </w:p>
    <w:p w14:paraId="0D66D2E8" w14:textId="77777777" w:rsidR="00600DE7" w:rsidRPr="00BE12AC" w:rsidRDefault="00FC314E" w:rsidP="00873A9B">
      <w:pPr>
        <w:spacing w:line="360" w:lineRule="auto"/>
        <w:jc w:val="both"/>
        <w:rPr>
          <w:rFonts w:ascii="Book Antiqua" w:hAnsi="Book Antiqua"/>
        </w:rPr>
      </w:pPr>
      <w:r w:rsidRPr="00BE12AC">
        <w:rPr>
          <w:rFonts w:ascii="Book Antiqua" w:hAnsi="Book Antiqua"/>
          <w:noProof/>
        </w:rPr>
        <w:lastRenderedPageBreak/>
        <w:drawing>
          <wp:inline distT="0" distB="0" distL="0" distR="0" wp14:anchorId="381D38E5" wp14:editId="0C554EF3">
            <wp:extent cx="7591812" cy="5276850"/>
            <wp:effectExtent l="0" t="0" r="0" b="0"/>
            <wp:docPr id="16011677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67745" name="图片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7621000" cy="5297138"/>
                    </a:xfrm>
                    <a:prstGeom prst="rect">
                      <a:avLst/>
                    </a:prstGeom>
                    <a:noFill/>
                  </pic:spPr>
                </pic:pic>
              </a:graphicData>
            </a:graphic>
          </wp:inline>
        </w:drawing>
      </w:r>
    </w:p>
    <w:p w14:paraId="3CB5C67A" w14:textId="7121F4C8" w:rsidR="00600DE7" w:rsidRPr="00BE12AC" w:rsidRDefault="00FC314E" w:rsidP="00873A9B">
      <w:pPr>
        <w:spacing w:line="360" w:lineRule="auto"/>
        <w:jc w:val="both"/>
        <w:rPr>
          <w:rFonts w:ascii="Book Antiqua" w:hAnsi="Book Antiqua"/>
          <w:b/>
          <w:bCs/>
        </w:rPr>
      </w:pPr>
      <w:r w:rsidRPr="00BE12AC">
        <w:rPr>
          <w:rFonts w:ascii="Book Antiqua" w:hAnsi="Book Antiqua"/>
          <w:b/>
          <w:bCs/>
          <w:lang w:eastAsia="zh-CN"/>
        </w:rPr>
        <w:t xml:space="preserve">Figure </w:t>
      </w:r>
      <w:r w:rsidR="009A3AC4">
        <w:rPr>
          <w:rFonts w:ascii="Book Antiqua" w:hAnsi="Book Antiqua"/>
          <w:b/>
          <w:bCs/>
          <w:lang w:eastAsia="zh-CN"/>
        </w:rPr>
        <w:t>8</w:t>
      </w:r>
      <w:r w:rsidRPr="00BE12AC">
        <w:rPr>
          <w:rFonts w:ascii="Book Antiqua" w:hAnsi="Book Antiqua"/>
          <w:b/>
          <w:bCs/>
        </w:rPr>
        <w:t xml:space="preserve"> Correlation between mRNA and immun</w:t>
      </w:r>
      <w:r w:rsidR="00894299">
        <w:rPr>
          <w:rFonts w:ascii="Book Antiqua" w:hAnsi="Book Antiqua"/>
          <w:b/>
          <w:bCs/>
        </w:rPr>
        <w:t>e-</w:t>
      </w:r>
      <w:r w:rsidRPr="00BE12AC">
        <w:rPr>
          <w:rFonts w:ascii="Book Antiqua" w:hAnsi="Book Antiqua"/>
          <w:b/>
          <w:bCs/>
        </w:rPr>
        <w:t>infiltrated population.</w:t>
      </w:r>
    </w:p>
    <w:p w14:paraId="2DA7F74F" w14:textId="37E6A308" w:rsidR="00600DE7" w:rsidRPr="00BE12AC" w:rsidRDefault="00FC314E" w:rsidP="00873A9B">
      <w:pPr>
        <w:spacing w:line="360" w:lineRule="auto"/>
        <w:jc w:val="both"/>
        <w:rPr>
          <w:rFonts w:ascii="Book Antiqua" w:hAnsi="Book Antiqua"/>
        </w:rPr>
      </w:pPr>
      <w:r w:rsidRPr="00BE12AC">
        <w:rPr>
          <w:rFonts w:ascii="Book Antiqua" w:hAnsi="Book Antiqua"/>
          <w:noProof/>
        </w:rPr>
        <w:lastRenderedPageBreak/>
        <w:drawing>
          <wp:inline distT="0" distB="0" distL="0" distR="0" wp14:anchorId="60CB0A64" wp14:editId="4CF9DDC3">
            <wp:extent cx="8071724" cy="4483100"/>
            <wp:effectExtent l="0" t="0" r="0" b="0"/>
            <wp:docPr id="202373118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31181" name="图片 17"/>
                    <pic:cNvPicPr>
                      <a:picLocks noChangeAspect="1" noChangeArrowheads="1"/>
                    </pic:cNvPicPr>
                  </pic:nvPicPr>
                  <pic:blipFill>
                    <a:blip r:embed="rId17" cstate="print">
                      <a:extLst>
                        <a:ext uri="{28A0092B-C50C-407E-A947-70E740481C1C}">
                          <a14:useLocalDpi xmlns:a14="http://schemas.microsoft.com/office/drawing/2010/main" val="0"/>
                        </a:ext>
                      </a:extLst>
                    </a:blip>
                    <a:srcRect l="1802" r="3486"/>
                    <a:stretch>
                      <a:fillRect/>
                    </a:stretch>
                  </pic:blipFill>
                  <pic:spPr>
                    <a:xfrm>
                      <a:off x="0" y="0"/>
                      <a:ext cx="8127932" cy="4514318"/>
                    </a:xfrm>
                    <a:prstGeom prst="rect">
                      <a:avLst/>
                    </a:prstGeom>
                    <a:noFill/>
                    <a:ln>
                      <a:noFill/>
                    </a:ln>
                  </pic:spPr>
                </pic:pic>
              </a:graphicData>
            </a:graphic>
          </wp:inline>
        </w:drawing>
      </w:r>
    </w:p>
    <w:p w14:paraId="1FC7512A" w14:textId="3EB88FF9" w:rsidR="00600DE7" w:rsidRPr="00BE12AC" w:rsidRDefault="00FC314E" w:rsidP="00873A9B">
      <w:pPr>
        <w:spacing w:line="360" w:lineRule="auto"/>
        <w:jc w:val="both"/>
        <w:rPr>
          <w:rFonts w:ascii="Book Antiqua" w:hAnsi="Book Antiqua"/>
        </w:rPr>
      </w:pPr>
      <w:r w:rsidRPr="00BE12AC">
        <w:rPr>
          <w:rFonts w:ascii="Book Antiqua" w:hAnsi="Book Antiqua"/>
          <w:b/>
          <w:bCs/>
          <w:lang w:eastAsia="zh-CN"/>
        </w:rPr>
        <w:t xml:space="preserve">Figure </w:t>
      </w:r>
      <w:r w:rsidR="009A3AC4">
        <w:rPr>
          <w:rFonts w:ascii="Book Antiqua" w:hAnsi="Book Antiqua"/>
          <w:b/>
          <w:bCs/>
          <w:lang w:eastAsia="zh-CN"/>
        </w:rPr>
        <w:t>9</w:t>
      </w:r>
      <w:r w:rsidRPr="00BE12AC">
        <w:rPr>
          <w:rFonts w:ascii="Book Antiqua" w:hAnsi="Book Antiqua"/>
          <w:b/>
          <w:bCs/>
        </w:rPr>
        <w:t xml:space="preserve"> Volcano map of differential gene expression. </w:t>
      </w:r>
      <w:r w:rsidRPr="00BE12AC">
        <w:rPr>
          <w:rFonts w:ascii="Book Antiqua" w:hAnsi="Book Antiqua"/>
        </w:rPr>
        <w:t xml:space="preserve">A: Analysis of high-low risk difference in gene prognosis model; B: Analysis of high-low risk difference in </w:t>
      </w:r>
      <w:r w:rsidR="009B7380">
        <w:rPr>
          <w:rFonts w:ascii="Book Antiqua" w:hAnsi="Book Antiqua"/>
        </w:rPr>
        <w:t xml:space="preserve">the </w:t>
      </w:r>
      <w:r w:rsidRPr="00BE12AC">
        <w:rPr>
          <w:rFonts w:ascii="Book Antiqua" w:hAnsi="Book Antiqua"/>
        </w:rPr>
        <w:t>mi</w:t>
      </w:r>
      <w:r w:rsidR="009B7380">
        <w:rPr>
          <w:rFonts w:ascii="Book Antiqua" w:hAnsi="Book Antiqua"/>
        </w:rPr>
        <w:t>cro</w:t>
      </w:r>
      <w:r w:rsidRPr="00BE12AC">
        <w:rPr>
          <w:rFonts w:ascii="Book Antiqua" w:hAnsi="Book Antiqua"/>
        </w:rPr>
        <w:t>RNA prognosis model.</w:t>
      </w:r>
    </w:p>
    <w:p w14:paraId="3C818C54" w14:textId="77777777" w:rsidR="00600DE7" w:rsidRPr="00BE12AC" w:rsidRDefault="00FC314E" w:rsidP="00873A9B">
      <w:pPr>
        <w:spacing w:line="360" w:lineRule="auto"/>
        <w:jc w:val="both"/>
        <w:rPr>
          <w:rFonts w:ascii="Book Antiqua" w:hAnsi="Book Antiqua"/>
        </w:rPr>
      </w:pPr>
      <w:r w:rsidRPr="00BE12AC">
        <w:rPr>
          <w:rFonts w:ascii="Book Antiqua" w:hAnsi="Book Antiqua"/>
          <w:noProof/>
        </w:rPr>
        <w:lastRenderedPageBreak/>
        <w:drawing>
          <wp:inline distT="0" distB="0" distL="0" distR="0" wp14:anchorId="76C8A15A" wp14:editId="7674C65D">
            <wp:extent cx="5822950" cy="5151693"/>
            <wp:effectExtent l="0" t="0" r="6350" b="0"/>
            <wp:docPr id="7922895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89549" name="图片 16"/>
                    <pic:cNvPicPr>
                      <a:picLocks noChangeAspect="1" noChangeArrowheads="1"/>
                    </pic:cNvPicPr>
                  </pic:nvPicPr>
                  <pic:blipFill>
                    <a:blip r:embed="rId18">
                      <a:extLst>
                        <a:ext uri="{28A0092B-C50C-407E-A947-70E740481C1C}">
                          <a14:useLocalDpi xmlns:a14="http://schemas.microsoft.com/office/drawing/2010/main" val="0"/>
                        </a:ext>
                      </a:extLst>
                    </a:blip>
                    <a:srcRect r="12867"/>
                    <a:stretch>
                      <a:fillRect/>
                    </a:stretch>
                  </pic:blipFill>
                  <pic:spPr>
                    <a:xfrm>
                      <a:off x="0" y="0"/>
                      <a:ext cx="5834342" cy="5161772"/>
                    </a:xfrm>
                    <a:prstGeom prst="rect">
                      <a:avLst/>
                    </a:prstGeom>
                    <a:noFill/>
                    <a:ln>
                      <a:noFill/>
                    </a:ln>
                  </pic:spPr>
                </pic:pic>
              </a:graphicData>
            </a:graphic>
          </wp:inline>
        </w:drawing>
      </w:r>
    </w:p>
    <w:p w14:paraId="50F144B6" w14:textId="1D6DDC4A" w:rsidR="00600DE7" w:rsidRPr="00BE12AC" w:rsidRDefault="00FC314E" w:rsidP="00873A9B">
      <w:pPr>
        <w:spacing w:line="360" w:lineRule="auto"/>
        <w:jc w:val="both"/>
        <w:rPr>
          <w:rFonts w:ascii="Book Antiqua" w:hAnsi="Book Antiqua"/>
        </w:rPr>
      </w:pPr>
      <w:r w:rsidRPr="00BE12AC">
        <w:rPr>
          <w:rFonts w:ascii="Book Antiqua" w:hAnsi="Book Antiqua"/>
          <w:b/>
          <w:bCs/>
          <w:lang w:eastAsia="zh-CN"/>
        </w:rPr>
        <w:lastRenderedPageBreak/>
        <w:t>Figure 1</w:t>
      </w:r>
      <w:r w:rsidR="009A3AC4">
        <w:rPr>
          <w:rFonts w:ascii="Book Antiqua" w:hAnsi="Book Antiqua"/>
          <w:b/>
          <w:bCs/>
          <w:lang w:eastAsia="zh-CN"/>
        </w:rPr>
        <w:t>0</w:t>
      </w:r>
      <w:r w:rsidRPr="00BE12AC">
        <w:rPr>
          <w:rFonts w:ascii="Book Antiqua" w:hAnsi="Book Antiqua"/>
          <w:b/>
          <w:bCs/>
        </w:rPr>
        <w:t xml:space="preserve"> G</w:t>
      </w:r>
      <w:r w:rsidR="009B7380">
        <w:rPr>
          <w:rFonts w:ascii="Book Antiqua" w:hAnsi="Book Antiqua"/>
          <w:b/>
          <w:bCs/>
        </w:rPr>
        <w:t xml:space="preserve">ene </w:t>
      </w:r>
      <w:r w:rsidRPr="00BE12AC">
        <w:rPr>
          <w:rFonts w:ascii="Book Antiqua" w:hAnsi="Book Antiqua"/>
          <w:b/>
          <w:bCs/>
        </w:rPr>
        <w:t>O</w:t>
      </w:r>
      <w:r w:rsidR="009B7380">
        <w:rPr>
          <w:rFonts w:ascii="Book Antiqua" w:hAnsi="Book Antiqua"/>
          <w:b/>
          <w:bCs/>
        </w:rPr>
        <w:t>ntology</w:t>
      </w:r>
      <w:r w:rsidRPr="00BE12AC">
        <w:rPr>
          <w:rFonts w:ascii="Book Antiqua" w:hAnsi="Book Antiqua"/>
          <w:b/>
          <w:bCs/>
        </w:rPr>
        <w:t xml:space="preserve"> and </w:t>
      </w:r>
      <w:r w:rsidR="009B7380" w:rsidRPr="009B7380">
        <w:rPr>
          <w:rFonts w:ascii="Book Antiqua" w:hAnsi="Book Antiqua"/>
          <w:b/>
          <w:bCs/>
        </w:rPr>
        <w:t>Kyoto Encyclopedia of Genes and Genomes</w:t>
      </w:r>
      <w:r w:rsidRPr="00BE12AC">
        <w:rPr>
          <w:rFonts w:ascii="Book Antiqua" w:hAnsi="Book Antiqua"/>
          <w:b/>
          <w:bCs/>
        </w:rPr>
        <w:t xml:space="preserve"> enrichment analysis. </w:t>
      </w:r>
      <w:r w:rsidRPr="00BE12AC">
        <w:rPr>
          <w:rFonts w:ascii="Book Antiqua" w:hAnsi="Book Antiqua"/>
        </w:rPr>
        <w:t xml:space="preserve">A and B: </w:t>
      </w:r>
      <w:r w:rsidR="009B7380">
        <w:rPr>
          <w:rFonts w:ascii="Book Antiqua" w:hAnsi="Book Antiqua"/>
        </w:rPr>
        <w:t>Biological process (</w:t>
      </w:r>
      <w:r w:rsidRPr="00BE12AC">
        <w:rPr>
          <w:rFonts w:ascii="Book Antiqua" w:hAnsi="Book Antiqua"/>
        </w:rPr>
        <w:t>BP</w:t>
      </w:r>
      <w:r w:rsidR="009B7380">
        <w:rPr>
          <w:rFonts w:ascii="Book Antiqua" w:hAnsi="Book Antiqua"/>
        </w:rPr>
        <w:t>)</w:t>
      </w:r>
      <w:r w:rsidRPr="00BE12AC">
        <w:rPr>
          <w:rFonts w:ascii="Book Antiqua" w:hAnsi="Book Antiqua"/>
        </w:rPr>
        <w:t xml:space="preserve"> enrichment results; B and D: </w:t>
      </w:r>
      <w:r w:rsidR="009B7380">
        <w:rPr>
          <w:rFonts w:ascii="Book Antiqua" w:hAnsi="Book Antiqua"/>
        </w:rPr>
        <w:t>Cell component (</w:t>
      </w:r>
      <w:r w:rsidRPr="00BE12AC">
        <w:rPr>
          <w:rFonts w:ascii="Book Antiqua" w:hAnsi="Book Antiqua"/>
        </w:rPr>
        <w:t>CC</w:t>
      </w:r>
      <w:r w:rsidR="009B7380">
        <w:rPr>
          <w:rFonts w:ascii="Book Antiqua" w:hAnsi="Book Antiqua"/>
        </w:rPr>
        <w:t>)</w:t>
      </w:r>
      <w:r w:rsidRPr="00BE12AC">
        <w:rPr>
          <w:rFonts w:ascii="Book Antiqua" w:hAnsi="Book Antiqua"/>
        </w:rPr>
        <w:t xml:space="preserve"> enrichment results; E and F: </w:t>
      </w:r>
      <w:r w:rsidR="009B7380">
        <w:rPr>
          <w:rFonts w:ascii="Book Antiqua" w:hAnsi="Book Antiqua"/>
        </w:rPr>
        <w:t>Molecular function (</w:t>
      </w:r>
      <w:r w:rsidRPr="00BE12AC">
        <w:rPr>
          <w:rFonts w:ascii="Book Antiqua" w:hAnsi="Book Antiqua"/>
        </w:rPr>
        <w:t>MF</w:t>
      </w:r>
      <w:r w:rsidR="009B7380">
        <w:rPr>
          <w:rFonts w:ascii="Book Antiqua" w:hAnsi="Book Antiqua"/>
        </w:rPr>
        <w:t>)</w:t>
      </w:r>
      <w:r w:rsidRPr="00BE12AC">
        <w:rPr>
          <w:rFonts w:ascii="Book Antiqua" w:hAnsi="Book Antiqua"/>
        </w:rPr>
        <w:t xml:space="preserve"> enrichment results; G and H: </w:t>
      </w:r>
      <w:r w:rsidR="009B7380" w:rsidRPr="009B7380">
        <w:rPr>
          <w:rFonts w:ascii="Book Antiqua" w:hAnsi="Book Antiqua"/>
        </w:rPr>
        <w:t>Kyoto Encyclopedia of Genes and Genomes</w:t>
      </w:r>
      <w:r w:rsidRPr="00BE12AC">
        <w:rPr>
          <w:rFonts w:ascii="Book Antiqua" w:hAnsi="Book Antiqua"/>
        </w:rPr>
        <w:t xml:space="preserve"> enrichment results.</w:t>
      </w:r>
    </w:p>
    <w:p w14:paraId="52E5DDEC" w14:textId="77777777" w:rsidR="00600DE7" w:rsidRPr="00BE12AC" w:rsidRDefault="00600DE7" w:rsidP="00873A9B">
      <w:pPr>
        <w:spacing w:line="360" w:lineRule="auto"/>
        <w:jc w:val="both"/>
        <w:rPr>
          <w:rFonts w:ascii="Book Antiqua" w:hAnsi="Book Antiqua"/>
        </w:rPr>
      </w:pPr>
    </w:p>
    <w:p w14:paraId="577F7E79" w14:textId="77777777" w:rsidR="00600DE7" w:rsidRPr="00BE12AC" w:rsidRDefault="00FC314E" w:rsidP="00873A9B">
      <w:pPr>
        <w:spacing w:line="360" w:lineRule="auto"/>
        <w:jc w:val="both"/>
        <w:rPr>
          <w:rFonts w:ascii="Book Antiqua" w:hAnsi="Book Antiqua"/>
        </w:rPr>
      </w:pPr>
      <w:r w:rsidRPr="00BE12AC">
        <w:rPr>
          <w:rFonts w:ascii="Book Antiqua" w:hAnsi="Book Antiqua"/>
          <w:noProof/>
        </w:rPr>
        <w:drawing>
          <wp:inline distT="0" distB="0" distL="0" distR="0" wp14:anchorId="62D0875A" wp14:editId="74E57BFB">
            <wp:extent cx="5990590" cy="4828540"/>
            <wp:effectExtent l="0" t="0" r="0" b="0"/>
            <wp:docPr id="150830557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05572" name="图片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94943" cy="4831575"/>
                    </a:xfrm>
                    <a:prstGeom prst="rect">
                      <a:avLst/>
                    </a:prstGeom>
                    <a:noFill/>
                  </pic:spPr>
                </pic:pic>
              </a:graphicData>
            </a:graphic>
          </wp:inline>
        </w:drawing>
      </w:r>
    </w:p>
    <w:p w14:paraId="5123DCB2" w14:textId="54E47F0B" w:rsidR="00600DE7" w:rsidRPr="00E81F58" w:rsidRDefault="00FC314E" w:rsidP="00873A9B">
      <w:pPr>
        <w:spacing w:line="360" w:lineRule="auto"/>
        <w:jc w:val="both"/>
        <w:rPr>
          <w:rFonts w:ascii="Book Antiqua" w:hAnsi="Book Antiqua"/>
        </w:rPr>
      </w:pPr>
      <w:r w:rsidRPr="00E81F58">
        <w:rPr>
          <w:rFonts w:ascii="Book Antiqua" w:hAnsi="Book Antiqua"/>
          <w:b/>
          <w:bCs/>
          <w:lang w:eastAsia="zh-CN"/>
        </w:rPr>
        <w:lastRenderedPageBreak/>
        <w:t>Figure 1</w:t>
      </w:r>
      <w:r w:rsidR="009A3AC4" w:rsidRPr="00E81F58">
        <w:rPr>
          <w:rFonts w:ascii="Book Antiqua" w:hAnsi="Book Antiqua"/>
          <w:b/>
          <w:bCs/>
          <w:lang w:eastAsia="zh-CN"/>
        </w:rPr>
        <w:t>1</w:t>
      </w:r>
      <w:r w:rsidRPr="00E81F58">
        <w:rPr>
          <w:rFonts w:ascii="Book Antiqua" w:hAnsi="Book Antiqua"/>
          <w:b/>
          <w:bCs/>
        </w:rPr>
        <w:t xml:space="preserve"> </w:t>
      </w:r>
      <w:r w:rsidR="00A63949" w:rsidRPr="00E81F58">
        <w:rPr>
          <w:rFonts w:ascii="Book Antiqua" w:hAnsi="Book Antiqua"/>
          <w:b/>
          <w:bCs/>
        </w:rPr>
        <w:t>Gene Ontology</w:t>
      </w:r>
      <w:r w:rsidRPr="00E81F58">
        <w:rPr>
          <w:rFonts w:ascii="Book Antiqua" w:hAnsi="Book Antiqua"/>
          <w:b/>
          <w:bCs/>
        </w:rPr>
        <w:t xml:space="preserve"> and </w:t>
      </w:r>
      <w:r w:rsidR="00A63949" w:rsidRPr="00E81F58">
        <w:rPr>
          <w:rFonts w:ascii="Book Antiqua" w:hAnsi="Book Antiqua"/>
          <w:b/>
          <w:bCs/>
        </w:rPr>
        <w:t>Kyoto Encyclopedia of Genes and Genomes</w:t>
      </w:r>
      <w:r w:rsidRPr="00E81F58">
        <w:rPr>
          <w:rFonts w:ascii="Book Antiqua" w:hAnsi="Book Antiqua"/>
          <w:b/>
          <w:bCs/>
        </w:rPr>
        <w:t xml:space="preserve"> enrichment analysis</w:t>
      </w:r>
      <w:r w:rsidRPr="00E81F58">
        <w:rPr>
          <w:rFonts w:ascii="Book Antiqua" w:eastAsia="宋体" w:hAnsi="Book Antiqua"/>
          <w:b/>
          <w:bCs/>
          <w:lang w:eastAsia="zh-CN"/>
        </w:rPr>
        <w:t>.</w:t>
      </w:r>
      <w:r w:rsidRPr="00E81F58">
        <w:rPr>
          <w:rFonts w:ascii="Book Antiqua" w:hAnsi="Book Antiqua"/>
        </w:rPr>
        <w:t xml:space="preserve"> A and B: </w:t>
      </w:r>
      <w:r w:rsidR="00A63949" w:rsidRPr="00E81F58">
        <w:rPr>
          <w:rFonts w:ascii="Book Antiqua" w:hAnsi="Book Antiqua"/>
        </w:rPr>
        <w:t>Biological process (</w:t>
      </w:r>
      <w:r w:rsidRPr="00E81F58">
        <w:rPr>
          <w:rFonts w:ascii="Book Antiqua" w:hAnsi="Book Antiqua"/>
        </w:rPr>
        <w:t>BP</w:t>
      </w:r>
      <w:r w:rsidR="00A63949" w:rsidRPr="00E81F58">
        <w:rPr>
          <w:rFonts w:ascii="Book Antiqua" w:hAnsi="Book Antiqua"/>
        </w:rPr>
        <w:t>)</w:t>
      </w:r>
      <w:r w:rsidRPr="00E81F58">
        <w:rPr>
          <w:rFonts w:ascii="Book Antiqua" w:hAnsi="Book Antiqua"/>
        </w:rPr>
        <w:t xml:space="preserve"> enrichment results; C and D: </w:t>
      </w:r>
      <w:r w:rsidR="00A63949" w:rsidRPr="00E81F58">
        <w:rPr>
          <w:rFonts w:ascii="Book Antiqua" w:hAnsi="Book Antiqua"/>
        </w:rPr>
        <w:t>Cell component (</w:t>
      </w:r>
      <w:r w:rsidRPr="00E81F58">
        <w:rPr>
          <w:rFonts w:ascii="Book Antiqua" w:hAnsi="Book Antiqua"/>
        </w:rPr>
        <w:t>CC</w:t>
      </w:r>
      <w:r w:rsidR="00A63949" w:rsidRPr="00E81F58">
        <w:rPr>
          <w:rFonts w:ascii="Book Antiqua" w:hAnsi="Book Antiqua"/>
        </w:rPr>
        <w:t>)</w:t>
      </w:r>
      <w:r w:rsidRPr="00E81F58">
        <w:rPr>
          <w:rFonts w:ascii="Book Antiqua" w:hAnsi="Book Antiqua"/>
        </w:rPr>
        <w:t xml:space="preserve"> enrichment results; E and F: </w:t>
      </w:r>
      <w:r w:rsidR="00A63949" w:rsidRPr="00E81F58">
        <w:rPr>
          <w:rFonts w:ascii="Book Antiqua" w:hAnsi="Book Antiqua"/>
        </w:rPr>
        <w:t>Molecular function (</w:t>
      </w:r>
      <w:r w:rsidRPr="00E81F58">
        <w:rPr>
          <w:rFonts w:ascii="Book Antiqua" w:hAnsi="Book Antiqua"/>
        </w:rPr>
        <w:t>MF</w:t>
      </w:r>
      <w:r w:rsidR="00A63949" w:rsidRPr="00E81F58">
        <w:rPr>
          <w:rFonts w:ascii="Book Antiqua" w:hAnsi="Book Antiqua"/>
        </w:rPr>
        <w:t>)</w:t>
      </w:r>
      <w:r w:rsidRPr="00E81F58">
        <w:rPr>
          <w:rFonts w:ascii="Book Antiqua" w:hAnsi="Book Antiqua"/>
        </w:rPr>
        <w:t xml:space="preserve"> enrichment results; H and G: </w:t>
      </w:r>
      <w:r w:rsidR="00A63949" w:rsidRPr="006F7838">
        <w:rPr>
          <w:rFonts w:ascii="Book Antiqua" w:hAnsi="Book Antiqua"/>
        </w:rPr>
        <w:t>Kyoto Encyclopedia of Genes and Genomes (</w:t>
      </w:r>
      <w:r w:rsidRPr="00E81F58">
        <w:rPr>
          <w:rFonts w:ascii="Book Antiqua" w:hAnsi="Book Antiqua"/>
        </w:rPr>
        <w:t>KEGG</w:t>
      </w:r>
      <w:r w:rsidR="00A63949" w:rsidRPr="00E81F58">
        <w:rPr>
          <w:rFonts w:ascii="Book Antiqua" w:hAnsi="Book Antiqua"/>
        </w:rPr>
        <w:t>)</w:t>
      </w:r>
      <w:r w:rsidRPr="00E81F58">
        <w:rPr>
          <w:rFonts w:ascii="Book Antiqua" w:hAnsi="Book Antiqua"/>
        </w:rPr>
        <w:t xml:space="preserve"> enrichment results.</w:t>
      </w:r>
    </w:p>
    <w:p w14:paraId="0BD5201F" w14:textId="4E34F7A9" w:rsidR="00EC60C1" w:rsidRPr="00BE12AC" w:rsidRDefault="00EC60C1" w:rsidP="00873A9B">
      <w:pPr>
        <w:spacing w:line="360" w:lineRule="auto"/>
        <w:jc w:val="both"/>
        <w:rPr>
          <w:rFonts w:ascii="Book Antiqua" w:hAnsi="Book Antiqua"/>
        </w:rPr>
      </w:pPr>
      <w:r>
        <w:rPr>
          <w:rFonts w:ascii="Book Antiqua" w:hAnsi="Book Antiqua"/>
          <w:noProof/>
        </w:rPr>
        <w:lastRenderedPageBreak/>
        <w:drawing>
          <wp:inline distT="0" distB="0" distL="0" distR="0" wp14:anchorId="26CFC084" wp14:editId="4A87B708">
            <wp:extent cx="6775450" cy="5300432"/>
            <wp:effectExtent l="0" t="0" r="0" b="0"/>
            <wp:docPr id="7248589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79046" cy="5303245"/>
                    </a:xfrm>
                    <a:prstGeom prst="rect">
                      <a:avLst/>
                    </a:prstGeom>
                    <a:noFill/>
                  </pic:spPr>
                </pic:pic>
              </a:graphicData>
            </a:graphic>
          </wp:inline>
        </w:drawing>
      </w:r>
    </w:p>
    <w:p w14:paraId="28EDD0CC" w14:textId="4A891020" w:rsidR="00600DE7" w:rsidRPr="00E81F58" w:rsidRDefault="00FC314E" w:rsidP="00873A9B">
      <w:pPr>
        <w:spacing w:line="360" w:lineRule="auto"/>
        <w:jc w:val="both"/>
        <w:rPr>
          <w:rFonts w:ascii="Book Antiqua" w:hAnsi="Book Antiqua"/>
        </w:rPr>
      </w:pPr>
      <w:bookmarkStart w:id="368" w:name="_Hlk155642164"/>
      <w:r w:rsidRPr="00BE12AC">
        <w:rPr>
          <w:rFonts w:ascii="Book Antiqua" w:hAnsi="Book Antiqua"/>
          <w:b/>
          <w:bCs/>
          <w:lang w:eastAsia="zh-CN"/>
        </w:rPr>
        <w:lastRenderedPageBreak/>
        <w:t>Figure 1</w:t>
      </w:r>
      <w:r w:rsidR="009A3AC4">
        <w:rPr>
          <w:rFonts w:ascii="Book Antiqua" w:hAnsi="Book Antiqua"/>
          <w:b/>
          <w:bCs/>
          <w:lang w:eastAsia="zh-CN"/>
        </w:rPr>
        <w:t>2</w:t>
      </w:r>
      <w:r w:rsidRPr="00BE12AC">
        <w:rPr>
          <w:rFonts w:ascii="Book Antiqua" w:hAnsi="Book Antiqua"/>
          <w:b/>
          <w:bCs/>
        </w:rPr>
        <w:t xml:space="preserve"> Immun</w:t>
      </w:r>
      <w:r w:rsidR="00E81F58">
        <w:rPr>
          <w:rFonts w:ascii="Book Antiqua" w:hAnsi="Book Antiqua"/>
          <w:b/>
          <w:bCs/>
        </w:rPr>
        <w:t xml:space="preserve">e </w:t>
      </w:r>
      <w:r w:rsidRPr="00BE12AC">
        <w:rPr>
          <w:rFonts w:ascii="Book Antiqua" w:hAnsi="Book Antiqua"/>
          <w:b/>
          <w:bCs/>
        </w:rPr>
        <w:t>infiltration analysis of risk scores in different breast cancer types.</w:t>
      </w:r>
      <w:r w:rsidRPr="00BE12AC">
        <w:rPr>
          <w:rFonts w:ascii="Book Antiqua" w:hAnsi="Book Antiqua"/>
        </w:rPr>
        <w:t xml:space="preserve"> A: </w:t>
      </w:r>
      <w:r w:rsidR="00E81F58" w:rsidRPr="00E81F58">
        <w:rPr>
          <w:rFonts w:ascii="Book Antiqua" w:hAnsi="Book Antiqua"/>
        </w:rPr>
        <w:t>H</w:t>
      </w:r>
      <w:r w:rsidR="00E81F58" w:rsidRPr="006F7838">
        <w:rPr>
          <w:rStyle w:val="hgkelc"/>
          <w:rFonts w:ascii="Book Antiqua" w:hAnsi="Book Antiqua"/>
          <w:lang w:val="en"/>
        </w:rPr>
        <w:t>uman epidermal growth factor receptor 2</w:t>
      </w:r>
      <w:r w:rsidR="00E81F58">
        <w:rPr>
          <w:rStyle w:val="hgkelc"/>
          <w:rFonts w:ascii="Book Antiqua" w:hAnsi="Book Antiqua"/>
          <w:lang w:val="en"/>
        </w:rPr>
        <w:t>-positive (</w:t>
      </w:r>
      <w:r w:rsidRPr="00E81F58">
        <w:rPr>
          <w:rFonts w:ascii="Book Antiqua" w:hAnsi="Book Antiqua"/>
        </w:rPr>
        <w:t>H</w:t>
      </w:r>
      <w:r w:rsidR="00E81F58" w:rsidRPr="00E81F58">
        <w:rPr>
          <w:rFonts w:ascii="Book Antiqua" w:hAnsi="Book Antiqua"/>
        </w:rPr>
        <w:t>ER</w:t>
      </w:r>
      <w:r w:rsidRPr="00E81F58">
        <w:rPr>
          <w:rFonts w:ascii="Book Antiqua" w:hAnsi="Book Antiqua"/>
        </w:rPr>
        <w:t>2+</w:t>
      </w:r>
      <w:r w:rsidR="00E81F58">
        <w:rPr>
          <w:rFonts w:ascii="Book Antiqua" w:hAnsi="Book Antiqua"/>
        </w:rPr>
        <w:t>)</w:t>
      </w:r>
      <w:r w:rsidRPr="00E81F58">
        <w:rPr>
          <w:rFonts w:ascii="Book Antiqua" w:hAnsi="Book Antiqua"/>
        </w:rPr>
        <w:t>; B: H</w:t>
      </w:r>
      <w:r w:rsidR="00E81F58" w:rsidRPr="00E81F58">
        <w:rPr>
          <w:rFonts w:ascii="Book Antiqua" w:hAnsi="Book Antiqua"/>
        </w:rPr>
        <w:t>ER</w:t>
      </w:r>
      <w:r w:rsidRPr="00E81F58">
        <w:rPr>
          <w:rFonts w:ascii="Book Antiqua" w:hAnsi="Book Antiqua"/>
        </w:rPr>
        <w:t xml:space="preserve">2-; C: </w:t>
      </w:r>
      <w:r w:rsidR="00E81F58">
        <w:rPr>
          <w:rFonts w:ascii="Book Antiqua" w:hAnsi="Book Antiqua"/>
        </w:rPr>
        <w:t>Estrogen receptor-positive (</w:t>
      </w:r>
      <w:r w:rsidRPr="00E81F58">
        <w:rPr>
          <w:rFonts w:ascii="Book Antiqua" w:hAnsi="Book Antiqua"/>
        </w:rPr>
        <w:t>ER+</w:t>
      </w:r>
      <w:r w:rsidR="00E81F58">
        <w:rPr>
          <w:rFonts w:ascii="Book Antiqua" w:hAnsi="Book Antiqua"/>
        </w:rPr>
        <w:t>)</w:t>
      </w:r>
      <w:r w:rsidRPr="00E81F58">
        <w:rPr>
          <w:rFonts w:ascii="Book Antiqua" w:hAnsi="Book Antiqua"/>
        </w:rPr>
        <w:t xml:space="preserve">; D: ER-; E: </w:t>
      </w:r>
      <w:r w:rsidR="00E81F58">
        <w:rPr>
          <w:rFonts w:ascii="Book Antiqua" w:hAnsi="Book Antiqua"/>
        </w:rPr>
        <w:t>progesterone receptor-positive (</w:t>
      </w:r>
      <w:r w:rsidRPr="00E81F58">
        <w:rPr>
          <w:rFonts w:ascii="Book Antiqua" w:hAnsi="Book Antiqua"/>
        </w:rPr>
        <w:t>PR+</w:t>
      </w:r>
      <w:r w:rsidR="00E81F58">
        <w:rPr>
          <w:rFonts w:ascii="Book Antiqua" w:hAnsi="Book Antiqua"/>
        </w:rPr>
        <w:t>)</w:t>
      </w:r>
      <w:r w:rsidRPr="00E81F58">
        <w:rPr>
          <w:rFonts w:ascii="Book Antiqua" w:hAnsi="Book Antiqua"/>
        </w:rPr>
        <w:t>; F: PR-; G: Luminal A; H: Luminal B; I: HER2-enriched; J: Basa</w:t>
      </w:r>
      <w:r w:rsidR="00E81F58">
        <w:rPr>
          <w:rFonts w:ascii="Book Antiqua" w:hAnsi="Book Antiqua"/>
        </w:rPr>
        <w:t>l-</w:t>
      </w:r>
      <w:r w:rsidRPr="00E81F58">
        <w:rPr>
          <w:rFonts w:ascii="Book Antiqua" w:hAnsi="Book Antiqua"/>
        </w:rPr>
        <w:t>like; K: Normal</w:t>
      </w:r>
      <w:r w:rsidR="00E81F58">
        <w:rPr>
          <w:rFonts w:ascii="Book Antiqua" w:hAnsi="Book Antiqua"/>
        </w:rPr>
        <w:t>-</w:t>
      </w:r>
      <w:r w:rsidRPr="00E81F58">
        <w:rPr>
          <w:rFonts w:ascii="Book Antiqua" w:hAnsi="Book Antiqua"/>
        </w:rPr>
        <w:t>like.</w:t>
      </w:r>
      <w:bookmarkEnd w:id="368"/>
    </w:p>
    <w:p w14:paraId="6478F8E2" w14:textId="77777777" w:rsidR="005E67EB" w:rsidRDefault="005E67EB" w:rsidP="00873A9B">
      <w:pPr>
        <w:spacing w:line="360" w:lineRule="auto"/>
        <w:jc w:val="both"/>
        <w:rPr>
          <w:rFonts w:ascii="Book Antiqua" w:hAnsi="Book Antiqua" w:cs="Palatino Linotype"/>
          <w:b/>
          <w:bCs/>
        </w:rPr>
        <w:sectPr w:rsidR="005E67EB" w:rsidSect="00633490">
          <w:pgSz w:w="15840" w:h="12240" w:orient="landscape"/>
          <w:pgMar w:top="1440" w:right="1440" w:bottom="1440" w:left="1440" w:header="720" w:footer="720" w:gutter="0"/>
          <w:cols w:space="720"/>
          <w:docGrid w:linePitch="360"/>
        </w:sectPr>
      </w:pPr>
    </w:p>
    <w:p w14:paraId="5DB7EB8D" w14:textId="77777777" w:rsidR="002F2D06" w:rsidRPr="00BE12AC" w:rsidRDefault="002F2D06" w:rsidP="002F2D06">
      <w:pPr>
        <w:spacing w:line="360" w:lineRule="auto"/>
        <w:jc w:val="both"/>
        <w:rPr>
          <w:rFonts w:ascii="Book Antiqua" w:hAnsi="Book Antiqua" w:cs="Palatino Linotype"/>
          <w:b/>
          <w:bCs/>
        </w:rPr>
      </w:pPr>
      <w:r w:rsidRPr="00BE12AC">
        <w:rPr>
          <w:rFonts w:ascii="Book Antiqua" w:hAnsi="Book Antiqua" w:cs="Palatino Linotype"/>
          <w:b/>
          <w:bCs/>
        </w:rPr>
        <w:lastRenderedPageBreak/>
        <w:t>Table 1 List of core mRNAs of ATP-induced cell death</w:t>
      </w:r>
    </w:p>
    <w:tbl>
      <w:tblPr>
        <w:tblStyle w:val="ab"/>
        <w:tblW w:w="8483" w:type="dxa"/>
        <w:jc w:val="center"/>
        <w:tblLayout w:type="fixed"/>
        <w:tblLook w:val="04A0" w:firstRow="1" w:lastRow="0" w:firstColumn="1" w:lastColumn="0" w:noHBand="0" w:noVBand="1"/>
      </w:tblPr>
      <w:tblGrid>
        <w:gridCol w:w="1006"/>
        <w:gridCol w:w="2255"/>
        <w:gridCol w:w="4480"/>
        <w:gridCol w:w="742"/>
      </w:tblGrid>
      <w:tr w:rsidR="002F2D06" w:rsidRPr="00BE12AC" w14:paraId="66298801" w14:textId="77777777" w:rsidTr="000A3E71">
        <w:trPr>
          <w:trHeight w:val="519"/>
          <w:jc w:val="center"/>
        </w:trPr>
        <w:tc>
          <w:tcPr>
            <w:tcW w:w="1006" w:type="dxa"/>
            <w:tcBorders>
              <w:top w:val="single" w:sz="4" w:space="0" w:color="auto"/>
              <w:left w:val="nil"/>
              <w:bottom w:val="single" w:sz="4" w:space="0" w:color="auto"/>
              <w:right w:val="nil"/>
            </w:tcBorders>
          </w:tcPr>
          <w:p w14:paraId="73D46D04" w14:textId="77777777" w:rsidR="002F2D06" w:rsidRPr="00BE12AC" w:rsidRDefault="002F2D06" w:rsidP="000A3E71">
            <w:pPr>
              <w:tabs>
                <w:tab w:val="left" w:pos="799"/>
              </w:tabs>
              <w:spacing w:line="360" w:lineRule="auto"/>
              <w:rPr>
                <w:rFonts w:ascii="Book Antiqua" w:hAnsi="Book Antiqua" w:cs="Palatino Linotype"/>
                <w:b/>
                <w:bCs/>
                <w:lang w:eastAsia="zh-CN"/>
              </w:rPr>
            </w:pPr>
            <w:r w:rsidRPr="00BE12AC">
              <w:rPr>
                <w:rFonts w:ascii="Book Antiqua" w:hAnsi="Book Antiqua" w:cs="Palatino Linotype"/>
                <w:b/>
                <w:bCs/>
                <w:lang w:eastAsia="zh-CN"/>
              </w:rPr>
              <w:t>Gene</w:t>
            </w:r>
          </w:p>
        </w:tc>
        <w:tc>
          <w:tcPr>
            <w:tcW w:w="2255" w:type="dxa"/>
            <w:tcBorders>
              <w:top w:val="single" w:sz="4" w:space="0" w:color="auto"/>
              <w:left w:val="nil"/>
              <w:bottom w:val="single" w:sz="4" w:space="0" w:color="auto"/>
              <w:right w:val="nil"/>
            </w:tcBorders>
          </w:tcPr>
          <w:p w14:paraId="376728C4" w14:textId="77777777" w:rsidR="002F2D06" w:rsidRPr="00BE12AC" w:rsidRDefault="002F2D06" w:rsidP="000A3E71">
            <w:pPr>
              <w:tabs>
                <w:tab w:val="left" w:pos="799"/>
              </w:tabs>
              <w:spacing w:line="360" w:lineRule="auto"/>
              <w:rPr>
                <w:rFonts w:ascii="Book Antiqua" w:hAnsi="Book Antiqua" w:cs="Palatino Linotype"/>
                <w:b/>
                <w:bCs/>
                <w:lang w:eastAsia="zh-CN"/>
              </w:rPr>
            </w:pPr>
            <w:r w:rsidRPr="00BE12AC">
              <w:rPr>
                <w:rFonts w:ascii="Book Antiqua" w:hAnsi="Book Antiqua" w:cs="Palatino Linotype"/>
                <w:b/>
                <w:bCs/>
                <w:lang w:eastAsia="zh-CN"/>
              </w:rPr>
              <w:t>Full name</w:t>
            </w:r>
          </w:p>
        </w:tc>
        <w:tc>
          <w:tcPr>
            <w:tcW w:w="4480" w:type="dxa"/>
            <w:tcBorders>
              <w:top w:val="single" w:sz="4" w:space="0" w:color="auto"/>
              <w:left w:val="nil"/>
              <w:bottom w:val="single" w:sz="4" w:space="0" w:color="auto"/>
              <w:right w:val="nil"/>
            </w:tcBorders>
          </w:tcPr>
          <w:p w14:paraId="0B93B9DA" w14:textId="77777777" w:rsidR="002F2D06" w:rsidRPr="00BE12AC" w:rsidRDefault="002F2D06" w:rsidP="000A3E71">
            <w:pPr>
              <w:tabs>
                <w:tab w:val="left" w:pos="799"/>
              </w:tabs>
              <w:spacing w:line="360" w:lineRule="auto"/>
              <w:rPr>
                <w:rFonts w:ascii="Book Antiqua" w:hAnsi="Book Antiqua" w:cs="Palatino Linotype"/>
                <w:b/>
                <w:bCs/>
                <w:lang w:eastAsia="zh-CN"/>
              </w:rPr>
            </w:pPr>
            <w:r w:rsidRPr="00BE12AC">
              <w:rPr>
                <w:rFonts w:ascii="Book Antiqua" w:hAnsi="Book Antiqua" w:cs="Palatino Linotype"/>
                <w:b/>
                <w:bCs/>
                <w:lang w:eastAsia="zh-CN"/>
              </w:rPr>
              <w:t>Role in ATP induced cell death</w:t>
            </w:r>
          </w:p>
        </w:tc>
        <w:tc>
          <w:tcPr>
            <w:tcW w:w="742" w:type="dxa"/>
            <w:tcBorders>
              <w:top w:val="single" w:sz="4" w:space="0" w:color="auto"/>
              <w:left w:val="nil"/>
              <w:bottom w:val="single" w:sz="4" w:space="0" w:color="auto"/>
              <w:right w:val="nil"/>
            </w:tcBorders>
          </w:tcPr>
          <w:p w14:paraId="3D4DA115" w14:textId="77777777" w:rsidR="002F2D06" w:rsidRPr="00BE12AC" w:rsidRDefault="002F2D06" w:rsidP="000A3E71">
            <w:pPr>
              <w:tabs>
                <w:tab w:val="left" w:pos="799"/>
              </w:tabs>
              <w:spacing w:line="360" w:lineRule="auto"/>
              <w:rPr>
                <w:rFonts w:ascii="Book Antiqua" w:hAnsi="Book Antiqua" w:cs="Palatino Linotype"/>
                <w:b/>
                <w:bCs/>
                <w:lang w:eastAsia="zh-CN"/>
              </w:rPr>
            </w:pPr>
            <w:r w:rsidRPr="00BE12AC">
              <w:rPr>
                <w:rFonts w:ascii="Book Antiqua" w:hAnsi="Book Antiqua" w:cs="Palatino Linotype"/>
                <w:b/>
                <w:bCs/>
                <w:lang w:eastAsia="zh-CN"/>
              </w:rPr>
              <w:t>Ref.</w:t>
            </w:r>
          </w:p>
        </w:tc>
      </w:tr>
      <w:tr w:rsidR="002F2D06" w:rsidRPr="00BE12AC" w14:paraId="08408FC5" w14:textId="77777777" w:rsidTr="000A3E71">
        <w:trPr>
          <w:trHeight w:val="90"/>
          <w:jc w:val="center"/>
        </w:trPr>
        <w:tc>
          <w:tcPr>
            <w:tcW w:w="1006" w:type="dxa"/>
            <w:tcBorders>
              <w:top w:val="single" w:sz="4" w:space="0" w:color="auto"/>
              <w:left w:val="nil"/>
              <w:bottom w:val="nil"/>
              <w:right w:val="nil"/>
            </w:tcBorders>
          </w:tcPr>
          <w:p w14:paraId="62538559"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P2RX7</w:t>
            </w:r>
          </w:p>
        </w:tc>
        <w:tc>
          <w:tcPr>
            <w:tcW w:w="2255" w:type="dxa"/>
            <w:tcBorders>
              <w:top w:val="single" w:sz="4" w:space="0" w:color="auto"/>
              <w:left w:val="nil"/>
              <w:bottom w:val="nil"/>
              <w:right w:val="nil"/>
            </w:tcBorders>
          </w:tcPr>
          <w:p w14:paraId="392F9241"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Purinergic receptor P2X7</w:t>
            </w:r>
          </w:p>
        </w:tc>
        <w:tc>
          <w:tcPr>
            <w:tcW w:w="4480" w:type="dxa"/>
            <w:tcBorders>
              <w:top w:val="single" w:sz="4" w:space="0" w:color="auto"/>
              <w:left w:val="nil"/>
              <w:bottom w:val="nil"/>
              <w:right w:val="nil"/>
            </w:tcBorders>
          </w:tcPr>
          <w:p w14:paraId="710AA92B"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Activate inflammatory mediators and increase calcium ions</w:t>
            </w:r>
          </w:p>
        </w:tc>
        <w:tc>
          <w:tcPr>
            <w:tcW w:w="742" w:type="dxa"/>
            <w:tcBorders>
              <w:top w:val="single" w:sz="4" w:space="0" w:color="auto"/>
              <w:left w:val="nil"/>
              <w:bottom w:val="nil"/>
              <w:right w:val="nil"/>
            </w:tcBorders>
          </w:tcPr>
          <w:p w14:paraId="4108C37E"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Tamajusuku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[22]</w:t>
            </w:r>
            <w:r w:rsidRPr="00BE12AC">
              <w:rPr>
                <w:rFonts w:ascii="Book Antiqua" w:hAnsi="Book Antiqua" w:cs="Palatino Linotype"/>
                <w:vertAlign w:val="superscript"/>
                <w:lang w:eastAsia="zh-CN"/>
              </w:rPr>
              <w:fldChar w:fldCharType="end"/>
            </w:r>
          </w:p>
        </w:tc>
      </w:tr>
      <w:tr w:rsidR="002F2D06" w:rsidRPr="00BE12AC" w14:paraId="31570DE9" w14:textId="77777777" w:rsidTr="000A3E71">
        <w:trPr>
          <w:trHeight w:val="707"/>
          <w:jc w:val="center"/>
        </w:trPr>
        <w:tc>
          <w:tcPr>
            <w:tcW w:w="1006" w:type="dxa"/>
            <w:tcBorders>
              <w:top w:val="nil"/>
              <w:left w:val="nil"/>
              <w:bottom w:val="nil"/>
              <w:right w:val="nil"/>
            </w:tcBorders>
          </w:tcPr>
          <w:p w14:paraId="2FD8279F"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CASP3</w:t>
            </w:r>
          </w:p>
        </w:tc>
        <w:tc>
          <w:tcPr>
            <w:tcW w:w="2255" w:type="dxa"/>
            <w:tcBorders>
              <w:top w:val="nil"/>
              <w:left w:val="nil"/>
              <w:bottom w:val="nil"/>
              <w:right w:val="nil"/>
            </w:tcBorders>
          </w:tcPr>
          <w:p w14:paraId="1274DB4D"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Caspase-3</w:t>
            </w:r>
          </w:p>
        </w:tc>
        <w:tc>
          <w:tcPr>
            <w:tcW w:w="4480" w:type="dxa"/>
            <w:tcBorders>
              <w:top w:val="nil"/>
              <w:left w:val="nil"/>
              <w:bottom w:val="nil"/>
              <w:right w:val="nil"/>
            </w:tcBorders>
          </w:tcPr>
          <w:p w14:paraId="280DD8F7"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Caspase-3 cleavage by caspase-1/4/5/11 forms pores, releasing pro-inflammatory cytokines</w:t>
            </w:r>
          </w:p>
        </w:tc>
        <w:tc>
          <w:tcPr>
            <w:tcW w:w="742" w:type="dxa"/>
            <w:tcBorders>
              <w:top w:val="nil"/>
              <w:left w:val="nil"/>
              <w:bottom w:val="nil"/>
              <w:right w:val="nil"/>
            </w:tcBorders>
          </w:tcPr>
          <w:p w14:paraId="364933DA"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Souza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[1]</w:t>
            </w:r>
            <w:r w:rsidRPr="00BE12AC">
              <w:rPr>
                <w:rFonts w:ascii="Book Antiqua" w:hAnsi="Book Antiqua" w:cs="Palatino Linotype"/>
                <w:vertAlign w:val="superscript"/>
                <w:lang w:eastAsia="zh-CN"/>
              </w:rPr>
              <w:fldChar w:fldCharType="end"/>
            </w:r>
          </w:p>
        </w:tc>
      </w:tr>
      <w:tr w:rsidR="002F2D06" w:rsidRPr="00BE12AC" w14:paraId="00E33E00" w14:textId="77777777" w:rsidTr="000A3E71">
        <w:trPr>
          <w:trHeight w:val="666"/>
          <w:jc w:val="center"/>
        </w:trPr>
        <w:tc>
          <w:tcPr>
            <w:tcW w:w="1006" w:type="dxa"/>
            <w:tcBorders>
              <w:top w:val="nil"/>
              <w:left w:val="nil"/>
              <w:bottom w:val="nil"/>
              <w:right w:val="nil"/>
            </w:tcBorders>
          </w:tcPr>
          <w:p w14:paraId="73BD63B5"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PANX1</w:t>
            </w:r>
          </w:p>
        </w:tc>
        <w:tc>
          <w:tcPr>
            <w:tcW w:w="2255" w:type="dxa"/>
            <w:tcBorders>
              <w:top w:val="nil"/>
              <w:left w:val="nil"/>
              <w:bottom w:val="nil"/>
              <w:right w:val="nil"/>
            </w:tcBorders>
          </w:tcPr>
          <w:p w14:paraId="43A6FC35"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Pannexin-1</w:t>
            </w:r>
          </w:p>
        </w:tc>
        <w:tc>
          <w:tcPr>
            <w:tcW w:w="4480" w:type="dxa"/>
            <w:tcBorders>
              <w:top w:val="nil"/>
              <w:left w:val="nil"/>
              <w:bottom w:val="nil"/>
              <w:right w:val="nil"/>
            </w:tcBorders>
          </w:tcPr>
          <w:p w14:paraId="782654D8"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P2X7 activation opens PA</w:t>
            </w:r>
            <w:r>
              <w:rPr>
                <w:rFonts w:ascii="Book Antiqua" w:hAnsi="Book Antiqua" w:cs="Palatino Linotype"/>
                <w:lang w:eastAsia="zh-CN"/>
              </w:rPr>
              <w:t>N</w:t>
            </w:r>
            <w:r w:rsidRPr="00BE12AC">
              <w:rPr>
                <w:rFonts w:ascii="Book Antiqua" w:hAnsi="Book Antiqua" w:cs="Palatino Linotype"/>
                <w:lang w:eastAsia="zh-CN"/>
              </w:rPr>
              <w:t>X1 channels, releasing ATP and triggering cell death pathways</w:t>
            </w:r>
          </w:p>
        </w:tc>
        <w:tc>
          <w:tcPr>
            <w:tcW w:w="742" w:type="dxa"/>
            <w:tcBorders>
              <w:top w:val="nil"/>
              <w:left w:val="nil"/>
              <w:bottom w:val="nil"/>
              <w:right w:val="nil"/>
            </w:tcBorders>
          </w:tcPr>
          <w:p w14:paraId="7191C945"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Shoji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[36]</w:t>
            </w:r>
            <w:r w:rsidRPr="00BE12AC">
              <w:rPr>
                <w:rFonts w:ascii="Book Antiqua" w:hAnsi="Book Antiqua" w:cs="Palatino Linotype"/>
                <w:vertAlign w:val="superscript"/>
                <w:lang w:eastAsia="zh-CN"/>
              </w:rPr>
              <w:fldChar w:fldCharType="end"/>
            </w:r>
          </w:p>
        </w:tc>
      </w:tr>
      <w:tr w:rsidR="002F2D06" w:rsidRPr="00BE12AC" w14:paraId="7C7C3D5F" w14:textId="77777777" w:rsidTr="000A3E71">
        <w:trPr>
          <w:trHeight w:val="1333"/>
          <w:jc w:val="center"/>
        </w:trPr>
        <w:tc>
          <w:tcPr>
            <w:tcW w:w="1006" w:type="dxa"/>
            <w:tcBorders>
              <w:top w:val="nil"/>
              <w:left w:val="nil"/>
              <w:bottom w:val="nil"/>
              <w:right w:val="nil"/>
            </w:tcBorders>
          </w:tcPr>
          <w:p w14:paraId="28CE4910"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NLRP3</w:t>
            </w:r>
          </w:p>
          <w:p w14:paraId="0CD5B419" w14:textId="77777777" w:rsidR="002F2D06" w:rsidRPr="00BE12AC" w:rsidRDefault="002F2D06" w:rsidP="000A3E71">
            <w:pPr>
              <w:spacing w:line="360" w:lineRule="auto"/>
              <w:rPr>
                <w:rFonts w:ascii="Book Antiqua" w:hAnsi="Book Antiqua" w:cs="Palatino Linotype"/>
                <w:i/>
                <w:iCs/>
                <w:lang w:eastAsia="zh-CN"/>
              </w:rPr>
            </w:pPr>
          </w:p>
          <w:p w14:paraId="7D6AD46B" w14:textId="77777777" w:rsidR="002F2D06" w:rsidRPr="00BE12AC" w:rsidRDefault="002F2D06" w:rsidP="000A3E71">
            <w:pPr>
              <w:tabs>
                <w:tab w:val="left" w:pos="542"/>
              </w:tabs>
              <w:spacing w:line="360" w:lineRule="auto"/>
              <w:rPr>
                <w:rFonts w:ascii="Book Antiqua" w:hAnsi="Book Antiqua" w:cs="Palatino Linotype"/>
                <w:i/>
                <w:iCs/>
                <w:lang w:eastAsia="zh-CN"/>
              </w:rPr>
            </w:pPr>
          </w:p>
        </w:tc>
        <w:tc>
          <w:tcPr>
            <w:tcW w:w="2255" w:type="dxa"/>
            <w:tcBorders>
              <w:top w:val="nil"/>
              <w:left w:val="nil"/>
              <w:bottom w:val="nil"/>
              <w:right w:val="nil"/>
            </w:tcBorders>
          </w:tcPr>
          <w:p w14:paraId="06641150"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NOD-like receptor family pyrin domain-containing protein 3</w:t>
            </w:r>
          </w:p>
        </w:tc>
        <w:tc>
          <w:tcPr>
            <w:tcW w:w="4480" w:type="dxa"/>
            <w:tcBorders>
              <w:top w:val="nil"/>
              <w:left w:val="nil"/>
              <w:bottom w:val="nil"/>
              <w:right w:val="nil"/>
            </w:tcBorders>
          </w:tcPr>
          <w:p w14:paraId="47F8CC4E"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NLRP3 activated by stimuli forms inflammasome, triggers caspase-1 activation, releases cytokines, and induces apoptosis</w:t>
            </w:r>
          </w:p>
        </w:tc>
        <w:tc>
          <w:tcPr>
            <w:tcW w:w="742" w:type="dxa"/>
            <w:tcBorders>
              <w:top w:val="nil"/>
              <w:left w:val="nil"/>
              <w:bottom w:val="nil"/>
              <w:right w:val="nil"/>
            </w:tcBorders>
          </w:tcPr>
          <w:p w14:paraId="2EC2A68D"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eastAsia="Book Antiqua" w:hAnsi="Book Antiqua" w:cs="Book Antiqua"/>
                <w:lang w:eastAsia="zh-CN"/>
              </w:rPr>
              <w:t>Sadatomi</w:t>
            </w:r>
            <w:r w:rsidRPr="00BE12AC">
              <w:rPr>
                <w:rFonts w:ascii="Book Antiqua" w:hAnsi="Book Antiqua" w:cs="Palatino Linotype"/>
                <w:i/>
                <w:iCs/>
                <w:lang w:eastAsia="zh-CN"/>
              </w:rPr>
              <w:t xml:space="preserve"> 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[37]</w:t>
            </w:r>
            <w:r w:rsidRPr="00BE12AC">
              <w:rPr>
                <w:rFonts w:ascii="Book Antiqua" w:hAnsi="Book Antiqua" w:cs="Palatino Linotype"/>
                <w:vertAlign w:val="superscript"/>
                <w:lang w:eastAsia="zh-CN"/>
              </w:rPr>
              <w:fldChar w:fldCharType="end"/>
            </w:r>
          </w:p>
        </w:tc>
      </w:tr>
      <w:tr w:rsidR="002F2D06" w:rsidRPr="00BE12AC" w14:paraId="7CA29369" w14:textId="77777777" w:rsidTr="000A3E71">
        <w:trPr>
          <w:trHeight w:val="594"/>
          <w:jc w:val="center"/>
        </w:trPr>
        <w:tc>
          <w:tcPr>
            <w:tcW w:w="1006" w:type="dxa"/>
            <w:tcBorders>
              <w:top w:val="nil"/>
              <w:left w:val="nil"/>
              <w:bottom w:val="nil"/>
              <w:right w:val="nil"/>
            </w:tcBorders>
          </w:tcPr>
          <w:p w14:paraId="454B50A9"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CASP1</w:t>
            </w:r>
          </w:p>
        </w:tc>
        <w:tc>
          <w:tcPr>
            <w:tcW w:w="2255" w:type="dxa"/>
            <w:tcBorders>
              <w:top w:val="nil"/>
              <w:left w:val="nil"/>
              <w:bottom w:val="nil"/>
              <w:right w:val="nil"/>
            </w:tcBorders>
          </w:tcPr>
          <w:p w14:paraId="7562337D"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Caspase-1</w:t>
            </w:r>
          </w:p>
        </w:tc>
        <w:tc>
          <w:tcPr>
            <w:tcW w:w="4480" w:type="dxa"/>
            <w:tcBorders>
              <w:top w:val="nil"/>
              <w:left w:val="nil"/>
              <w:bottom w:val="nil"/>
              <w:right w:val="nil"/>
            </w:tcBorders>
          </w:tcPr>
          <w:p w14:paraId="535E4948"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Caspase-1 induces cytokine processing, pyrosis, and inflammation</w:t>
            </w:r>
          </w:p>
        </w:tc>
        <w:tc>
          <w:tcPr>
            <w:tcW w:w="742" w:type="dxa"/>
            <w:tcBorders>
              <w:top w:val="nil"/>
              <w:left w:val="nil"/>
              <w:bottom w:val="nil"/>
              <w:right w:val="nil"/>
            </w:tcBorders>
          </w:tcPr>
          <w:p w14:paraId="632E2732"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eastAsia="Book Antiqua" w:hAnsi="Book Antiqua" w:cs="Book Antiqua"/>
                <w:lang w:eastAsia="zh-CN"/>
              </w:rPr>
              <w:t>Sadatomi</w:t>
            </w:r>
            <w:r w:rsidRPr="00BE12AC">
              <w:rPr>
                <w:rFonts w:ascii="Book Antiqua" w:hAnsi="Book Antiqua" w:cs="Palatino Linotype"/>
                <w:i/>
                <w:iCs/>
                <w:lang w:eastAsia="zh-CN"/>
              </w:rPr>
              <w:t xml:space="preserve"> 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[37]</w:t>
            </w:r>
            <w:r w:rsidRPr="00BE12AC">
              <w:rPr>
                <w:rFonts w:ascii="Book Antiqua" w:hAnsi="Book Antiqua" w:cs="Palatino Linotype"/>
                <w:vertAlign w:val="superscript"/>
                <w:lang w:eastAsia="zh-CN"/>
              </w:rPr>
              <w:fldChar w:fldCharType="end"/>
            </w:r>
          </w:p>
        </w:tc>
      </w:tr>
      <w:tr w:rsidR="002F2D06" w:rsidRPr="00BE12AC" w14:paraId="567985A5" w14:textId="77777777" w:rsidTr="000A3E71">
        <w:trPr>
          <w:trHeight w:val="454"/>
          <w:jc w:val="center"/>
        </w:trPr>
        <w:tc>
          <w:tcPr>
            <w:tcW w:w="1006" w:type="dxa"/>
            <w:tcBorders>
              <w:top w:val="nil"/>
              <w:left w:val="nil"/>
              <w:bottom w:val="nil"/>
              <w:right w:val="nil"/>
            </w:tcBorders>
          </w:tcPr>
          <w:p w14:paraId="03FE12B7"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P2RY1</w:t>
            </w:r>
          </w:p>
        </w:tc>
        <w:tc>
          <w:tcPr>
            <w:tcW w:w="2255" w:type="dxa"/>
            <w:tcBorders>
              <w:top w:val="nil"/>
              <w:left w:val="nil"/>
              <w:bottom w:val="nil"/>
              <w:right w:val="nil"/>
            </w:tcBorders>
          </w:tcPr>
          <w:p w14:paraId="4520BBCA"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P2Y purinoceptor 1</w:t>
            </w:r>
          </w:p>
        </w:tc>
        <w:tc>
          <w:tcPr>
            <w:tcW w:w="4480" w:type="dxa"/>
            <w:tcBorders>
              <w:top w:val="nil"/>
              <w:left w:val="nil"/>
              <w:bottom w:val="nil"/>
              <w:right w:val="nil"/>
            </w:tcBorders>
          </w:tcPr>
          <w:p w14:paraId="13D10EE6"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P2RY1 can increase calcium ions in the Golgi apparatus</w:t>
            </w:r>
          </w:p>
        </w:tc>
        <w:tc>
          <w:tcPr>
            <w:tcW w:w="742" w:type="dxa"/>
            <w:tcBorders>
              <w:top w:val="nil"/>
              <w:left w:val="nil"/>
              <w:bottom w:val="nil"/>
              <w:right w:val="nil"/>
            </w:tcBorders>
          </w:tcPr>
          <w:p w14:paraId="56355137"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Ohishi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[38]</w:t>
            </w:r>
            <w:r w:rsidRPr="00BE12AC">
              <w:rPr>
                <w:rFonts w:ascii="Book Antiqua" w:hAnsi="Book Antiqua" w:cs="Palatino Linotype"/>
                <w:vertAlign w:val="superscript"/>
                <w:lang w:eastAsia="zh-CN"/>
              </w:rPr>
              <w:fldChar w:fldCharType="end"/>
            </w:r>
          </w:p>
        </w:tc>
      </w:tr>
      <w:tr w:rsidR="002F2D06" w:rsidRPr="00BE12AC" w14:paraId="5E870363" w14:textId="77777777" w:rsidTr="000A3E71">
        <w:trPr>
          <w:trHeight w:val="670"/>
          <w:jc w:val="center"/>
        </w:trPr>
        <w:tc>
          <w:tcPr>
            <w:tcW w:w="1006" w:type="dxa"/>
            <w:tcBorders>
              <w:top w:val="nil"/>
              <w:left w:val="nil"/>
              <w:bottom w:val="nil"/>
              <w:right w:val="nil"/>
            </w:tcBorders>
          </w:tcPr>
          <w:p w14:paraId="0F08DC8B"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P2RY11</w:t>
            </w:r>
          </w:p>
        </w:tc>
        <w:tc>
          <w:tcPr>
            <w:tcW w:w="2255" w:type="dxa"/>
            <w:tcBorders>
              <w:top w:val="nil"/>
              <w:left w:val="nil"/>
              <w:bottom w:val="nil"/>
              <w:right w:val="nil"/>
            </w:tcBorders>
          </w:tcPr>
          <w:p w14:paraId="62016C8D"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P2Y purinoceptor 11</w:t>
            </w:r>
          </w:p>
        </w:tc>
        <w:tc>
          <w:tcPr>
            <w:tcW w:w="4480" w:type="dxa"/>
            <w:tcBorders>
              <w:top w:val="nil"/>
              <w:left w:val="nil"/>
              <w:bottom w:val="nil"/>
              <w:right w:val="nil"/>
            </w:tcBorders>
          </w:tcPr>
          <w:p w14:paraId="6BAE55EE"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Involved in immune inflammatory mechanisms</w:t>
            </w:r>
          </w:p>
        </w:tc>
        <w:tc>
          <w:tcPr>
            <w:tcW w:w="742" w:type="dxa"/>
            <w:tcBorders>
              <w:top w:val="nil"/>
              <w:left w:val="nil"/>
              <w:bottom w:val="nil"/>
              <w:right w:val="nil"/>
            </w:tcBorders>
          </w:tcPr>
          <w:p w14:paraId="1A237D34"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Yoon</w:t>
            </w:r>
            <w:r w:rsidRPr="00BE12AC">
              <w:rPr>
                <w:rFonts w:ascii="Book Antiqua" w:hAnsi="Book Antiqua" w:cs="Palatino Linotype"/>
                <w:i/>
                <w:iCs/>
                <w:lang w:eastAsia="zh-CN"/>
              </w:rPr>
              <w:t xml:space="preserve"> 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[39]</w:t>
            </w:r>
            <w:r w:rsidRPr="00BE12AC">
              <w:rPr>
                <w:rFonts w:ascii="Book Antiqua" w:hAnsi="Book Antiqua" w:cs="Palatino Linotype"/>
                <w:vertAlign w:val="superscript"/>
                <w:lang w:eastAsia="zh-CN"/>
              </w:rPr>
              <w:fldChar w:fldCharType="end"/>
            </w:r>
          </w:p>
        </w:tc>
      </w:tr>
      <w:tr w:rsidR="002F2D06" w:rsidRPr="00BE12AC" w14:paraId="45B957ED" w14:textId="77777777" w:rsidTr="000A3E71">
        <w:trPr>
          <w:trHeight w:val="1287"/>
          <w:jc w:val="center"/>
        </w:trPr>
        <w:tc>
          <w:tcPr>
            <w:tcW w:w="1006" w:type="dxa"/>
            <w:tcBorders>
              <w:top w:val="nil"/>
              <w:left w:val="nil"/>
              <w:bottom w:val="nil"/>
              <w:right w:val="nil"/>
            </w:tcBorders>
          </w:tcPr>
          <w:p w14:paraId="7C99E273"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lastRenderedPageBreak/>
              <w:t>ORAI1</w:t>
            </w:r>
          </w:p>
        </w:tc>
        <w:tc>
          <w:tcPr>
            <w:tcW w:w="2255" w:type="dxa"/>
            <w:tcBorders>
              <w:top w:val="nil"/>
              <w:left w:val="nil"/>
              <w:bottom w:val="nil"/>
              <w:right w:val="nil"/>
            </w:tcBorders>
          </w:tcPr>
          <w:p w14:paraId="36914ECA"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Calcium release-activated calcium channel protein 1 </w:t>
            </w:r>
          </w:p>
        </w:tc>
        <w:tc>
          <w:tcPr>
            <w:tcW w:w="4480" w:type="dxa"/>
            <w:tcBorders>
              <w:top w:val="nil"/>
              <w:left w:val="nil"/>
              <w:bottom w:val="nil"/>
              <w:right w:val="nil"/>
            </w:tcBorders>
          </w:tcPr>
          <w:p w14:paraId="7F885C58"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Increased intracellular calcium ions</w:t>
            </w:r>
          </w:p>
        </w:tc>
        <w:tc>
          <w:tcPr>
            <w:tcW w:w="742" w:type="dxa"/>
            <w:tcBorders>
              <w:top w:val="nil"/>
              <w:left w:val="nil"/>
              <w:bottom w:val="nil"/>
              <w:right w:val="nil"/>
            </w:tcBorders>
          </w:tcPr>
          <w:p w14:paraId="2D4B8851"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Peng</w:t>
            </w:r>
            <w:r w:rsidRPr="00BE12AC">
              <w:rPr>
                <w:rFonts w:ascii="Book Antiqua" w:hAnsi="Book Antiqua" w:cs="Palatino Linotype"/>
                <w:i/>
                <w:iCs/>
                <w:lang w:eastAsia="zh-CN"/>
              </w:rPr>
              <w:t xml:space="preserve"> 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[26]</w:t>
            </w:r>
            <w:r w:rsidRPr="00BE12AC">
              <w:rPr>
                <w:rFonts w:ascii="Book Antiqua" w:hAnsi="Book Antiqua" w:cs="Palatino Linotype"/>
                <w:vertAlign w:val="superscript"/>
                <w:lang w:eastAsia="zh-CN"/>
              </w:rPr>
              <w:fldChar w:fldCharType="end"/>
            </w:r>
          </w:p>
        </w:tc>
      </w:tr>
      <w:tr w:rsidR="002F2D06" w:rsidRPr="00BE12AC" w14:paraId="3FC08981" w14:textId="77777777" w:rsidTr="000A3E71">
        <w:trPr>
          <w:trHeight w:val="971"/>
          <w:jc w:val="center"/>
        </w:trPr>
        <w:tc>
          <w:tcPr>
            <w:tcW w:w="1006" w:type="dxa"/>
            <w:tcBorders>
              <w:top w:val="nil"/>
              <w:left w:val="nil"/>
              <w:bottom w:val="nil"/>
              <w:right w:val="nil"/>
            </w:tcBorders>
          </w:tcPr>
          <w:p w14:paraId="726F0A64"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STIM1</w:t>
            </w:r>
          </w:p>
        </w:tc>
        <w:tc>
          <w:tcPr>
            <w:tcW w:w="2255" w:type="dxa"/>
            <w:tcBorders>
              <w:top w:val="nil"/>
              <w:left w:val="nil"/>
              <w:bottom w:val="nil"/>
              <w:right w:val="nil"/>
            </w:tcBorders>
          </w:tcPr>
          <w:p w14:paraId="28EEA2BA"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Stromal interaction molecule 1</w:t>
            </w:r>
          </w:p>
        </w:tc>
        <w:tc>
          <w:tcPr>
            <w:tcW w:w="4480" w:type="dxa"/>
            <w:tcBorders>
              <w:top w:val="nil"/>
              <w:left w:val="nil"/>
              <w:bottom w:val="nil"/>
              <w:right w:val="nil"/>
            </w:tcBorders>
          </w:tcPr>
          <w:p w14:paraId="65E591E9"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STIM1 responds to ATP-induced calcium influx, activating ORAI1 and promoting cell death</w:t>
            </w:r>
          </w:p>
        </w:tc>
        <w:tc>
          <w:tcPr>
            <w:tcW w:w="742" w:type="dxa"/>
            <w:tcBorders>
              <w:top w:val="nil"/>
              <w:left w:val="nil"/>
              <w:bottom w:val="nil"/>
              <w:right w:val="nil"/>
            </w:tcBorders>
          </w:tcPr>
          <w:p w14:paraId="331B7767"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Peng</w:t>
            </w:r>
            <w:r w:rsidRPr="00BE12AC">
              <w:rPr>
                <w:rFonts w:ascii="Book Antiqua" w:hAnsi="Book Antiqua" w:cs="Palatino Linotype"/>
                <w:i/>
                <w:iCs/>
                <w:lang w:eastAsia="zh-CN"/>
              </w:rPr>
              <w:t xml:space="preserve"> 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[26]</w:t>
            </w:r>
            <w:r w:rsidRPr="00BE12AC">
              <w:rPr>
                <w:rFonts w:ascii="Book Antiqua" w:hAnsi="Book Antiqua" w:cs="Palatino Linotype"/>
                <w:vertAlign w:val="superscript"/>
                <w:lang w:eastAsia="zh-CN"/>
              </w:rPr>
              <w:fldChar w:fldCharType="end"/>
            </w:r>
          </w:p>
        </w:tc>
      </w:tr>
      <w:tr w:rsidR="002F2D06" w:rsidRPr="00BE12AC" w14:paraId="368929A2" w14:textId="77777777" w:rsidTr="000A3E71">
        <w:trPr>
          <w:trHeight w:val="547"/>
          <w:jc w:val="center"/>
        </w:trPr>
        <w:tc>
          <w:tcPr>
            <w:tcW w:w="1006" w:type="dxa"/>
            <w:tcBorders>
              <w:top w:val="nil"/>
              <w:left w:val="nil"/>
              <w:bottom w:val="nil"/>
              <w:right w:val="nil"/>
            </w:tcBorders>
          </w:tcPr>
          <w:p w14:paraId="5867E098"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CASP8</w:t>
            </w:r>
          </w:p>
        </w:tc>
        <w:tc>
          <w:tcPr>
            <w:tcW w:w="2255" w:type="dxa"/>
            <w:tcBorders>
              <w:top w:val="nil"/>
              <w:left w:val="nil"/>
              <w:bottom w:val="nil"/>
              <w:right w:val="nil"/>
            </w:tcBorders>
          </w:tcPr>
          <w:p w14:paraId="2420130B"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Caspase-8</w:t>
            </w:r>
          </w:p>
        </w:tc>
        <w:tc>
          <w:tcPr>
            <w:tcW w:w="4480" w:type="dxa"/>
            <w:tcBorders>
              <w:top w:val="nil"/>
              <w:left w:val="nil"/>
              <w:bottom w:val="nil"/>
              <w:right w:val="nil"/>
            </w:tcBorders>
          </w:tcPr>
          <w:p w14:paraId="7D874F14"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CASP8 causes apoptosis</w:t>
            </w:r>
          </w:p>
        </w:tc>
        <w:tc>
          <w:tcPr>
            <w:tcW w:w="742" w:type="dxa"/>
            <w:tcBorders>
              <w:top w:val="nil"/>
              <w:left w:val="nil"/>
              <w:bottom w:val="nil"/>
              <w:right w:val="nil"/>
            </w:tcBorders>
          </w:tcPr>
          <w:p w14:paraId="4AF1BA69"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Zhao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[40]</w:t>
            </w:r>
            <w:r w:rsidRPr="00BE12AC">
              <w:rPr>
                <w:rFonts w:ascii="Book Antiqua" w:hAnsi="Book Antiqua" w:cs="Palatino Linotype"/>
                <w:vertAlign w:val="superscript"/>
                <w:lang w:eastAsia="zh-CN"/>
              </w:rPr>
              <w:fldChar w:fldCharType="end"/>
            </w:r>
          </w:p>
        </w:tc>
      </w:tr>
      <w:tr w:rsidR="002F2D06" w:rsidRPr="00BE12AC" w14:paraId="75C4C93E" w14:textId="77777777" w:rsidTr="000A3E71">
        <w:trPr>
          <w:trHeight w:val="519"/>
          <w:jc w:val="center"/>
        </w:trPr>
        <w:tc>
          <w:tcPr>
            <w:tcW w:w="1006" w:type="dxa"/>
            <w:tcBorders>
              <w:top w:val="nil"/>
              <w:left w:val="nil"/>
              <w:bottom w:val="nil"/>
              <w:right w:val="nil"/>
            </w:tcBorders>
          </w:tcPr>
          <w:p w14:paraId="470EFD60"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CASP9</w:t>
            </w:r>
          </w:p>
        </w:tc>
        <w:tc>
          <w:tcPr>
            <w:tcW w:w="2255" w:type="dxa"/>
            <w:tcBorders>
              <w:top w:val="nil"/>
              <w:left w:val="nil"/>
              <w:bottom w:val="nil"/>
              <w:right w:val="nil"/>
            </w:tcBorders>
          </w:tcPr>
          <w:p w14:paraId="251B1754"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Caspase-9</w:t>
            </w:r>
          </w:p>
        </w:tc>
        <w:tc>
          <w:tcPr>
            <w:tcW w:w="4480" w:type="dxa"/>
            <w:tcBorders>
              <w:top w:val="nil"/>
              <w:left w:val="nil"/>
              <w:bottom w:val="nil"/>
              <w:right w:val="nil"/>
            </w:tcBorders>
          </w:tcPr>
          <w:p w14:paraId="1B5AC7FC"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CASP9 causes apoptosis</w:t>
            </w:r>
          </w:p>
        </w:tc>
        <w:tc>
          <w:tcPr>
            <w:tcW w:w="742" w:type="dxa"/>
            <w:tcBorders>
              <w:top w:val="nil"/>
              <w:left w:val="nil"/>
              <w:bottom w:val="nil"/>
              <w:right w:val="nil"/>
            </w:tcBorders>
          </w:tcPr>
          <w:p w14:paraId="04B6D98E"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Zhao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[40]</w:t>
            </w:r>
            <w:r w:rsidRPr="00BE12AC">
              <w:rPr>
                <w:rFonts w:ascii="Book Antiqua" w:hAnsi="Book Antiqua" w:cs="Palatino Linotype"/>
                <w:vertAlign w:val="superscript"/>
                <w:lang w:eastAsia="zh-CN"/>
              </w:rPr>
              <w:fldChar w:fldCharType="end"/>
            </w:r>
          </w:p>
        </w:tc>
      </w:tr>
      <w:tr w:rsidR="002F2D06" w:rsidRPr="00BE12AC" w14:paraId="2F2EDB9C" w14:textId="77777777" w:rsidTr="000A3E71">
        <w:trPr>
          <w:trHeight w:val="462"/>
          <w:jc w:val="center"/>
        </w:trPr>
        <w:tc>
          <w:tcPr>
            <w:tcW w:w="1006" w:type="dxa"/>
            <w:tcBorders>
              <w:top w:val="nil"/>
              <w:left w:val="nil"/>
              <w:bottom w:val="nil"/>
              <w:right w:val="nil"/>
            </w:tcBorders>
          </w:tcPr>
          <w:p w14:paraId="19693341"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CASP7</w:t>
            </w:r>
          </w:p>
        </w:tc>
        <w:tc>
          <w:tcPr>
            <w:tcW w:w="2255" w:type="dxa"/>
            <w:tcBorders>
              <w:top w:val="nil"/>
              <w:left w:val="nil"/>
              <w:bottom w:val="nil"/>
              <w:right w:val="nil"/>
            </w:tcBorders>
          </w:tcPr>
          <w:p w14:paraId="73E01575"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Caspase-7</w:t>
            </w:r>
          </w:p>
        </w:tc>
        <w:tc>
          <w:tcPr>
            <w:tcW w:w="4480" w:type="dxa"/>
            <w:tcBorders>
              <w:top w:val="nil"/>
              <w:left w:val="nil"/>
              <w:bottom w:val="nil"/>
              <w:right w:val="nil"/>
            </w:tcBorders>
          </w:tcPr>
          <w:p w14:paraId="76A42954"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CASP7 causes apoptosis</w:t>
            </w:r>
          </w:p>
        </w:tc>
        <w:tc>
          <w:tcPr>
            <w:tcW w:w="742" w:type="dxa"/>
            <w:tcBorders>
              <w:top w:val="nil"/>
              <w:left w:val="nil"/>
              <w:bottom w:val="nil"/>
              <w:right w:val="nil"/>
            </w:tcBorders>
          </w:tcPr>
          <w:p w14:paraId="12D27713"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Zhao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[40]</w:t>
            </w:r>
            <w:r w:rsidRPr="00BE12AC">
              <w:rPr>
                <w:rFonts w:ascii="Book Antiqua" w:hAnsi="Book Antiqua" w:cs="Palatino Linotype"/>
                <w:vertAlign w:val="superscript"/>
                <w:lang w:eastAsia="zh-CN"/>
              </w:rPr>
              <w:fldChar w:fldCharType="end"/>
            </w:r>
          </w:p>
        </w:tc>
      </w:tr>
      <w:tr w:rsidR="002F2D06" w:rsidRPr="00BE12AC" w14:paraId="66DE568B" w14:textId="77777777" w:rsidTr="000A3E71">
        <w:trPr>
          <w:trHeight w:val="677"/>
          <w:jc w:val="center"/>
        </w:trPr>
        <w:tc>
          <w:tcPr>
            <w:tcW w:w="1006" w:type="dxa"/>
            <w:tcBorders>
              <w:top w:val="nil"/>
              <w:left w:val="nil"/>
              <w:bottom w:val="nil"/>
              <w:right w:val="nil"/>
            </w:tcBorders>
          </w:tcPr>
          <w:p w14:paraId="33ABC2FE"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P2RX3</w:t>
            </w:r>
          </w:p>
        </w:tc>
        <w:tc>
          <w:tcPr>
            <w:tcW w:w="2255" w:type="dxa"/>
            <w:tcBorders>
              <w:top w:val="nil"/>
              <w:left w:val="nil"/>
              <w:bottom w:val="nil"/>
              <w:right w:val="nil"/>
            </w:tcBorders>
          </w:tcPr>
          <w:p w14:paraId="5F646383"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Purinergic receptor P2X3</w:t>
            </w:r>
          </w:p>
        </w:tc>
        <w:tc>
          <w:tcPr>
            <w:tcW w:w="4480" w:type="dxa"/>
            <w:tcBorders>
              <w:top w:val="nil"/>
              <w:left w:val="nil"/>
              <w:bottom w:val="nil"/>
              <w:right w:val="nil"/>
            </w:tcBorders>
          </w:tcPr>
          <w:p w14:paraId="294A7F3E"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NA</w:t>
            </w:r>
          </w:p>
        </w:tc>
        <w:tc>
          <w:tcPr>
            <w:tcW w:w="742" w:type="dxa"/>
            <w:tcBorders>
              <w:top w:val="nil"/>
              <w:left w:val="nil"/>
              <w:bottom w:val="nil"/>
              <w:right w:val="nil"/>
            </w:tcBorders>
          </w:tcPr>
          <w:p w14:paraId="2A004185"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Ohishi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[38]</w:t>
            </w:r>
            <w:r w:rsidRPr="00BE12AC">
              <w:rPr>
                <w:rFonts w:ascii="Book Antiqua" w:hAnsi="Book Antiqua" w:cs="Palatino Linotype"/>
                <w:vertAlign w:val="superscript"/>
                <w:lang w:eastAsia="zh-CN"/>
              </w:rPr>
              <w:fldChar w:fldCharType="end"/>
            </w:r>
          </w:p>
        </w:tc>
      </w:tr>
      <w:tr w:rsidR="002F2D06" w:rsidRPr="00BE12AC" w14:paraId="2ED40448" w14:textId="77777777" w:rsidTr="000A3E71">
        <w:trPr>
          <w:trHeight w:val="1022"/>
          <w:jc w:val="center"/>
        </w:trPr>
        <w:tc>
          <w:tcPr>
            <w:tcW w:w="1006" w:type="dxa"/>
            <w:tcBorders>
              <w:top w:val="nil"/>
              <w:left w:val="nil"/>
              <w:bottom w:val="nil"/>
              <w:right w:val="nil"/>
            </w:tcBorders>
          </w:tcPr>
          <w:p w14:paraId="7AAAFA6B"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NLRP1</w:t>
            </w:r>
          </w:p>
        </w:tc>
        <w:tc>
          <w:tcPr>
            <w:tcW w:w="2255" w:type="dxa"/>
            <w:tcBorders>
              <w:top w:val="nil"/>
              <w:left w:val="nil"/>
              <w:bottom w:val="nil"/>
              <w:right w:val="nil"/>
            </w:tcBorders>
          </w:tcPr>
          <w:p w14:paraId="0C55D89B"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NLR family pyrin domain-containing protein 1</w:t>
            </w:r>
          </w:p>
        </w:tc>
        <w:tc>
          <w:tcPr>
            <w:tcW w:w="4480" w:type="dxa"/>
            <w:tcBorders>
              <w:top w:val="nil"/>
              <w:left w:val="nil"/>
              <w:bottom w:val="nil"/>
              <w:right w:val="nil"/>
            </w:tcBorders>
          </w:tcPr>
          <w:p w14:paraId="54635DD7"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NLRP1 activates caspase-1, induces pyrodeath, and releases IL-1β and IL-18</w:t>
            </w:r>
          </w:p>
        </w:tc>
        <w:tc>
          <w:tcPr>
            <w:tcW w:w="742" w:type="dxa"/>
            <w:tcBorders>
              <w:top w:val="nil"/>
              <w:left w:val="nil"/>
              <w:bottom w:val="nil"/>
              <w:right w:val="nil"/>
            </w:tcBorders>
          </w:tcPr>
          <w:p w14:paraId="0313EF67"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Zhao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[41]</w:t>
            </w:r>
            <w:r w:rsidRPr="00BE12AC">
              <w:rPr>
                <w:rFonts w:ascii="Book Antiqua" w:hAnsi="Book Antiqua" w:cs="Palatino Linotype"/>
                <w:vertAlign w:val="superscript"/>
                <w:lang w:eastAsia="zh-CN"/>
              </w:rPr>
              <w:fldChar w:fldCharType="end"/>
            </w:r>
          </w:p>
        </w:tc>
      </w:tr>
      <w:tr w:rsidR="002F2D06" w:rsidRPr="00BE12AC" w14:paraId="6807224B" w14:textId="77777777" w:rsidTr="000A3E71">
        <w:trPr>
          <w:trHeight w:val="1265"/>
          <w:jc w:val="center"/>
        </w:trPr>
        <w:tc>
          <w:tcPr>
            <w:tcW w:w="1006" w:type="dxa"/>
            <w:tcBorders>
              <w:top w:val="nil"/>
              <w:left w:val="nil"/>
              <w:bottom w:val="nil"/>
              <w:right w:val="nil"/>
            </w:tcBorders>
          </w:tcPr>
          <w:p w14:paraId="16B50B0A"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P2RX4</w:t>
            </w:r>
          </w:p>
        </w:tc>
        <w:tc>
          <w:tcPr>
            <w:tcW w:w="2255" w:type="dxa"/>
            <w:tcBorders>
              <w:top w:val="nil"/>
              <w:left w:val="nil"/>
              <w:bottom w:val="nil"/>
              <w:right w:val="nil"/>
            </w:tcBorders>
          </w:tcPr>
          <w:p w14:paraId="3A7530B0"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P2X purinoceptor 4</w:t>
            </w:r>
          </w:p>
        </w:tc>
        <w:tc>
          <w:tcPr>
            <w:tcW w:w="4480" w:type="dxa"/>
            <w:tcBorders>
              <w:top w:val="nil"/>
              <w:left w:val="nil"/>
              <w:bottom w:val="nil"/>
              <w:right w:val="nil"/>
            </w:tcBorders>
          </w:tcPr>
          <w:p w14:paraId="3CD9904D"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P2RX4 contributes to AICD (pyroptosis) by activating the NLRP3 inflammasome, leading to IL-1β and IL-18 production</w:t>
            </w:r>
          </w:p>
        </w:tc>
        <w:tc>
          <w:tcPr>
            <w:tcW w:w="742" w:type="dxa"/>
            <w:tcBorders>
              <w:top w:val="nil"/>
              <w:left w:val="nil"/>
              <w:bottom w:val="nil"/>
              <w:right w:val="nil"/>
            </w:tcBorders>
          </w:tcPr>
          <w:p w14:paraId="0181B4F1"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fldChar w:fldCharType="begin"/>
            </w:r>
            <w:r w:rsidRPr="00BE12AC">
              <w:rPr>
                <w:rFonts w:ascii="Book Antiqua" w:hAnsi="Book Antiqua" w:cs="Palatino Linotype"/>
                <w:lang w:eastAsia="zh-CN"/>
              </w:rPr>
              <w:instrText xml:space="preserve"> ADDIN EN.CITE &lt;EndNote&gt;&lt;Cite&gt;&lt;Author&gt;Ohishi&lt;/Author&gt;&lt;Year&gt;2016&lt;/Year&gt;&lt;RecNum&gt;468&lt;/RecNum&gt;&lt;DisplayText&gt;[38]&lt;/DisplayText&gt;&lt;record&gt;&lt;rec-number&gt;468&lt;/rec-number&gt;&lt;foreign-keys&gt;&lt;key app="EN" db-id="pd0s2aracstzr2eexe6vvzxbxxswvapwzxra" timestamp="1694087528"&gt;468&lt;/key&gt;&lt;/foreign-keys&gt;&lt;ref-type name="Journal Article"&gt;17&lt;/ref-type&gt;&lt;contributors&gt;&lt;authors&gt;&lt;author&gt;Ohishi, Akihiro&lt;/author&gt;&lt;author&gt;Keno, Yuka&lt;/author&gt;&lt;author&gt;Marumiya, Ayaka&lt;/author&gt;&lt;author&gt;Sudo, Yugo&lt;/author&gt;&lt;author&gt;Uda, Yukako&lt;/author&gt;&lt;author&gt;Matsuda, Kinuyo&lt;/author&gt;&lt;author&gt;Morita, Yuki&lt;/author&gt;&lt;author&gt;Furuta, Takahiro&lt;/author&gt;&lt;author&gt;Nishida, Kentaro&lt;/author&gt;&lt;author&gt;Nagasawa, Kazuki&lt;/author&gt;&lt;/authors&gt;&lt;/contributors&gt;&lt;titles&gt;&lt;title&gt;Expression level of P2X7 receptor is a determinant of ATP-induced death of mouse cultured neurons&lt;/title&gt;&lt;secondary-title&gt;Neuroscience&lt;/secondary-title&gt;&lt;/titles&gt;&lt;periodical&gt;&lt;full-title&gt;Neuroscience&lt;/full-title&gt;&lt;/periodical&gt;&lt;pages&gt;35-45&lt;/pages&gt;&lt;volume&gt;319&lt;/volume&gt;&lt;dates&gt;&lt;year&gt;2016&lt;/year&gt;&lt;/dates&gt;&lt;isbn&gt;0306-4522&lt;/isbn&gt;&lt;urls&gt;&lt;/urls&gt;&lt;/record&gt;&lt;/Cite&gt;&lt;/EndNote&gt;</w:instrText>
            </w:r>
            <w:r w:rsidRPr="00BE12AC">
              <w:rPr>
                <w:rFonts w:ascii="Book Antiqua" w:hAnsi="Book Antiqua" w:cs="Palatino Linotype"/>
                <w:lang w:eastAsia="zh-CN"/>
              </w:rPr>
              <w:fldChar w:fldCharType="separate"/>
            </w:r>
            <w:r w:rsidRPr="00BE12AC">
              <w:rPr>
                <w:rFonts w:ascii="Book Antiqua" w:hAnsi="Book Antiqua" w:cs="Palatino Linotype"/>
                <w:lang w:eastAsia="zh-CN"/>
              </w:rPr>
              <w:t xml:space="preserve">Ohishi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[38]</w:t>
            </w:r>
            <w:r w:rsidRPr="00BE12AC">
              <w:rPr>
                <w:rFonts w:ascii="Book Antiqua" w:hAnsi="Book Antiqua" w:cs="Palatino Linotype"/>
                <w:vertAlign w:val="superscript"/>
                <w:lang w:eastAsia="zh-CN"/>
              </w:rPr>
              <w:fldChar w:fldCharType="end"/>
            </w:r>
            <w:r w:rsidRPr="00BE12AC">
              <w:rPr>
                <w:rFonts w:ascii="Book Antiqua" w:hAnsi="Book Antiqua" w:cs="Palatino Linotype"/>
                <w:lang w:eastAsia="zh-CN"/>
              </w:rPr>
              <w:fldChar w:fldCharType="end"/>
            </w:r>
          </w:p>
        </w:tc>
      </w:tr>
      <w:tr w:rsidR="002F2D06" w:rsidRPr="00BE12AC" w14:paraId="0D79C8E7" w14:textId="77777777" w:rsidTr="000A3E71">
        <w:trPr>
          <w:trHeight w:val="418"/>
          <w:jc w:val="center"/>
        </w:trPr>
        <w:tc>
          <w:tcPr>
            <w:tcW w:w="1006" w:type="dxa"/>
            <w:tcBorders>
              <w:top w:val="nil"/>
              <w:left w:val="nil"/>
              <w:bottom w:val="nil"/>
              <w:right w:val="nil"/>
            </w:tcBorders>
          </w:tcPr>
          <w:p w14:paraId="74BB7F8B"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P2RX5</w:t>
            </w:r>
          </w:p>
        </w:tc>
        <w:tc>
          <w:tcPr>
            <w:tcW w:w="2255" w:type="dxa"/>
            <w:tcBorders>
              <w:top w:val="nil"/>
              <w:left w:val="nil"/>
              <w:bottom w:val="nil"/>
              <w:right w:val="nil"/>
            </w:tcBorders>
          </w:tcPr>
          <w:p w14:paraId="5818FD2B"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P2X purinoceptor 5</w:t>
            </w:r>
          </w:p>
        </w:tc>
        <w:tc>
          <w:tcPr>
            <w:tcW w:w="4480" w:type="dxa"/>
            <w:tcBorders>
              <w:top w:val="nil"/>
              <w:left w:val="nil"/>
              <w:bottom w:val="nil"/>
              <w:right w:val="nil"/>
            </w:tcBorders>
          </w:tcPr>
          <w:p w14:paraId="51B53642"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NA</w:t>
            </w:r>
          </w:p>
        </w:tc>
        <w:tc>
          <w:tcPr>
            <w:tcW w:w="742" w:type="dxa"/>
            <w:tcBorders>
              <w:top w:val="nil"/>
              <w:left w:val="nil"/>
              <w:bottom w:val="nil"/>
              <w:right w:val="nil"/>
            </w:tcBorders>
          </w:tcPr>
          <w:p w14:paraId="2FEF6170"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fldChar w:fldCharType="begin"/>
            </w:r>
            <w:r w:rsidRPr="00BE12AC">
              <w:rPr>
                <w:rFonts w:ascii="Book Antiqua" w:hAnsi="Book Antiqua" w:cs="Palatino Linotype"/>
                <w:lang w:eastAsia="zh-CN"/>
              </w:rPr>
              <w:instrText xml:space="preserve"> ADDIN EN.CITE &lt;EndNote&gt;&lt;Cite&gt;&lt;Author&gt;Ohishi&lt;/Author&gt;&lt;Year&gt;2016&lt;/Year&gt;&lt;RecNum&gt;468&lt;/RecNum&gt;&lt;DisplayText&gt;[38]&lt;/DisplayText&gt;&lt;record&gt;&lt;rec-number&gt;468&lt;/rec-number&gt;&lt;foreign-keys&gt;&lt;key app="EN" db-id="pd0s2aracstzr2eexe6vvzxbxxswvapwzxra" timestamp="1694087528"&gt;468&lt;/key&gt;&lt;/foreign-keys&gt;&lt;ref-type name="Journal Article"&gt;17&lt;/ref-type&gt;&lt;contributors&gt;&lt;authors&gt;&lt;author&gt;Ohishi, Akihiro&lt;/author&gt;&lt;author&gt;Keno, Yuka&lt;/author&gt;&lt;author&gt;Marumiya, Ayaka&lt;/author&gt;&lt;author&gt;Sudo, Yugo&lt;/author&gt;&lt;author&gt;Uda, Yukako&lt;/author&gt;&lt;author&gt;Matsuda, Kinuyo&lt;/author&gt;&lt;author&gt;Morita, Yuki&lt;/author&gt;&lt;author&gt;Furuta, Takahiro&lt;/author&gt;&lt;author&gt;Nishida, Kentaro&lt;/author&gt;&lt;author&gt;Nagasawa, Kazuki&lt;/author&gt;&lt;/authors&gt;&lt;/contributors&gt;&lt;titles&gt;&lt;title&gt;Expression level of P2X7 receptor is a determinant of ATP-induced death of mouse cultured neurons&lt;/title&gt;&lt;secondary-title&gt;Neuroscience&lt;/secondary-title&gt;&lt;/titles&gt;&lt;periodical&gt;&lt;full-title&gt;Neuroscience&lt;/full-title&gt;&lt;/periodical&gt;&lt;pages&gt;35-45&lt;/pages&gt;&lt;volume&gt;319&lt;/volume&gt;&lt;dates&gt;&lt;year&gt;2016&lt;/year&gt;&lt;/dates&gt;&lt;isbn&gt;0306-4522&lt;/isbn&gt;&lt;urls&gt;&lt;/urls&gt;&lt;/record&gt;&lt;/Cite&gt;&lt;/EndNote&gt;</w:instrText>
            </w:r>
            <w:r w:rsidRPr="00BE12AC">
              <w:rPr>
                <w:rFonts w:ascii="Book Antiqua" w:hAnsi="Book Antiqua" w:cs="Palatino Linotype"/>
                <w:lang w:eastAsia="zh-CN"/>
              </w:rPr>
              <w:fldChar w:fldCharType="separate"/>
            </w:r>
            <w:r w:rsidRPr="00BE12AC">
              <w:rPr>
                <w:rFonts w:ascii="Book Antiqua" w:hAnsi="Book Antiqua" w:cs="Palatino Linotype"/>
                <w:lang w:eastAsia="zh-CN"/>
              </w:rPr>
              <w:t xml:space="preserve">Ohishi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[38]</w:t>
            </w:r>
            <w:r w:rsidRPr="00BE12AC">
              <w:rPr>
                <w:rFonts w:ascii="Book Antiqua" w:hAnsi="Book Antiqua" w:cs="Palatino Linotype"/>
                <w:vertAlign w:val="superscript"/>
                <w:lang w:eastAsia="zh-CN"/>
              </w:rPr>
              <w:fldChar w:fldCharType="end"/>
            </w:r>
            <w:r w:rsidRPr="00BE12AC">
              <w:rPr>
                <w:rFonts w:ascii="Book Antiqua" w:hAnsi="Book Antiqua" w:cs="Palatino Linotype"/>
                <w:lang w:eastAsia="zh-CN"/>
              </w:rPr>
              <w:fldChar w:fldCharType="end"/>
            </w:r>
          </w:p>
        </w:tc>
      </w:tr>
      <w:tr w:rsidR="002F2D06" w:rsidRPr="00BE12AC" w14:paraId="23761B51" w14:textId="77777777" w:rsidTr="000A3E71">
        <w:trPr>
          <w:trHeight w:val="953"/>
          <w:jc w:val="center"/>
        </w:trPr>
        <w:tc>
          <w:tcPr>
            <w:tcW w:w="1006" w:type="dxa"/>
            <w:tcBorders>
              <w:top w:val="nil"/>
              <w:left w:val="nil"/>
              <w:bottom w:val="nil"/>
              <w:right w:val="nil"/>
            </w:tcBorders>
          </w:tcPr>
          <w:p w14:paraId="141CF6C6"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SAPK</w:t>
            </w:r>
          </w:p>
        </w:tc>
        <w:tc>
          <w:tcPr>
            <w:tcW w:w="2255" w:type="dxa"/>
            <w:tcBorders>
              <w:top w:val="nil"/>
              <w:left w:val="nil"/>
              <w:bottom w:val="nil"/>
              <w:right w:val="nil"/>
            </w:tcBorders>
          </w:tcPr>
          <w:p w14:paraId="3633CDE4"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Stress-</w:t>
            </w:r>
            <w:r>
              <w:rPr>
                <w:rFonts w:ascii="Book Antiqua" w:hAnsi="Book Antiqua" w:cs="Palatino Linotype"/>
                <w:lang w:eastAsia="zh-CN"/>
              </w:rPr>
              <w:t>a</w:t>
            </w:r>
            <w:r w:rsidRPr="00BE12AC">
              <w:rPr>
                <w:rFonts w:ascii="Book Antiqua" w:hAnsi="Book Antiqua" w:cs="Palatino Linotype"/>
                <w:lang w:eastAsia="zh-CN"/>
              </w:rPr>
              <w:t xml:space="preserve">ctivated </w:t>
            </w:r>
            <w:r>
              <w:rPr>
                <w:rFonts w:ascii="Book Antiqua" w:hAnsi="Book Antiqua" w:cs="Palatino Linotype"/>
                <w:lang w:eastAsia="zh-CN"/>
              </w:rPr>
              <w:t>p</w:t>
            </w:r>
            <w:r w:rsidRPr="00BE12AC">
              <w:rPr>
                <w:rFonts w:ascii="Book Antiqua" w:hAnsi="Book Antiqua" w:cs="Palatino Linotype"/>
                <w:lang w:eastAsia="zh-CN"/>
              </w:rPr>
              <w:t>rotein Kinase</w:t>
            </w:r>
          </w:p>
        </w:tc>
        <w:tc>
          <w:tcPr>
            <w:tcW w:w="4480" w:type="dxa"/>
            <w:tcBorders>
              <w:top w:val="nil"/>
              <w:left w:val="nil"/>
              <w:bottom w:val="nil"/>
              <w:right w:val="nil"/>
            </w:tcBorders>
          </w:tcPr>
          <w:p w14:paraId="7C6E73FF"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ATP induces cell death </w:t>
            </w:r>
            <w:r w:rsidRPr="006F7838">
              <w:rPr>
                <w:rFonts w:ascii="Book Antiqua" w:hAnsi="Book Antiqua" w:cs="Palatino Linotype"/>
                <w:i/>
                <w:iCs/>
                <w:lang w:eastAsia="zh-CN"/>
              </w:rPr>
              <w:t>via</w:t>
            </w:r>
            <w:r w:rsidRPr="00BE12AC">
              <w:rPr>
                <w:rFonts w:ascii="Book Antiqua" w:hAnsi="Book Antiqua" w:cs="Palatino Linotype"/>
                <w:lang w:eastAsia="zh-CN"/>
              </w:rPr>
              <w:t xml:space="preserve"> SAPK pathways, regulating apoptosis, </w:t>
            </w:r>
            <w:r w:rsidRPr="00BE12AC">
              <w:rPr>
                <w:rFonts w:ascii="Book Antiqua" w:hAnsi="Book Antiqua" w:cs="Palatino Linotype"/>
                <w:lang w:eastAsia="zh-CN"/>
              </w:rPr>
              <w:lastRenderedPageBreak/>
              <w:t>necrosis, and stress signaling</w:t>
            </w:r>
          </w:p>
        </w:tc>
        <w:tc>
          <w:tcPr>
            <w:tcW w:w="742" w:type="dxa"/>
            <w:tcBorders>
              <w:top w:val="nil"/>
              <w:left w:val="nil"/>
              <w:bottom w:val="nil"/>
              <w:right w:val="nil"/>
            </w:tcBorders>
          </w:tcPr>
          <w:p w14:paraId="34650B7A"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lastRenderedPageBreak/>
              <w:t>Humph</w:t>
            </w:r>
            <w:r w:rsidRPr="00BE12AC">
              <w:rPr>
                <w:rFonts w:ascii="Book Antiqua" w:hAnsi="Book Antiqua" w:cs="Palatino Linotype"/>
                <w:lang w:eastAsia="zh-CN"/>
              </w:rPr>
              <w:lastRenderedPageBreak/>
              <w:t xml:space="preserve">reys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[42]</w:t>
            </w:r>
            <w:r w:rsidRPr="00BE12AC">
              <w:rPr>
                <w:rFonts w:ascii="Book Antiqua" w:hAnsi="Book Antiqua" w:cs="Palatino Linotype"/>
                <w:vertAlign w:val="superscript"/>
                <w:lang w:eastAsia="zh-CN"/>
              </w:rPr>
              <w:fldChar w:fldCharType="end"/>
            </w:r>
          </w:p>
        </w:tc>
      </w:tr>
      <w:tr w:rsidR="002F2D06" w:rsidRPr="00BE12AC" w14:paraId="55C86142" w14:textId="77777777" w:rsidTr="000A3E71">
        <w:trPr>
          <w:trHeight w:val="1280"/>
          <w:jc w:val="center"/>
        </w:trPr>
        <w:tc>
          <w:tcPr>
            <w:tcW w:w="1006" w:type="dxa"/>
            <w:tcBorders>
              <w:top w:val="nil"/>
              <w:left w:val="nil"/>
              <w:bottom w:val="nil"/>
              <w:right w:val="nil"/>
            </w:tcBorders>
          </w:tcPr>
          <w:p w14:paraId="0502BDA8"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lastRenderedPageBreak/>
              <w:t>p38 MAPK</w:t>
            </w:r>
          </w:p>
        </w:tc>
        <w:tc>
          <w:tcPr>
            <w:tcW w:w="2255" w:type="dxa"/>
            <w:tcBorders>
              <w:top w:val="nil"/>
              <w:left w:val="nil"/>
              <w:bottom w:val="nil"/>
              <w:right w:val="nil"/>
            </w:tcBorders>
          </w:tcPr>
          <w:p w14:paraId="55329798"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p38 mitogen-activated protein kinases (p38 MAPK)</w:t>
            </w:r>
          </w:p>
        </w:tc>
        <w:tc>
          <w:tcPr>
            <w:tcW w:w="4480" w:type="dxa"/>
            <w:tcBorders>
              <w:top w:val="nil"/>
              <w:left w:val="nil"/>
              <w:bottom w:val="nil"/>
              <w:right w:val="nil"/>
            </w:tcBorders>
          </w:tcPr>
          <w:p w14:paraId="10EE7997"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ATP activates p38 MAPK, which leads to cell death through apoptosis and necrosis</w:t>
            </w:r>
          </w:p>
        </w:tc>
        <w:tc>
          <w:tcPr>
            <w:tcW w:w="742" w:type="dxa"/>
            <w:tcBorders>
              <w:top w:val="nil"/>
              <w:left w:val="nil"/>
              <w:bottom w:val="nil"/>
              <w:right w:val="nil"/>
            </w:tcBorders>
          </w:tcPr>
          <w:p w14:paraId="27BB4164"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Noguchi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[2]</w:t>
            </w:r>
            <w:r w:rsidRPr="00BE12AC">
              <w:rPr>
                <w:rFonts w:ascii="Book Antiqua" w:hAnsi="Book Antiqua" w:cs="Palatino Linotype"/>
                <w:vertAlign w:val="superscript"/>
                <w:lang w:eastAsia="zh-CN"/>
              </w:rPr>
              <w:fldChar w:fldCharType="end"/>
            </w:r>
          </w:p>
        </w:tc>
      </w:tr>
      <w:tr w:rsidR="002F2D06" w:rsidRPr="00BE12AC" w14:paraId="1AB6298C" w14:textId="77777777" w:rsidTr="000A3E71">
        <w:trPr>
          <w:trHeight w:val="909"/>
          <w:jc w:val="center"/>
        </w:trPr>
        <w:tc>
          <w:tcPr>
            <w:tcW w:w="1006" w:type="dxa"/>
            <w:tcBorders>
              <w:top w:val="nil"/>
              <w:left w:val="nil"/>
              <w:bottom w:val="nil"/>
              <w:right w:val="nil"/>
            </w:tcBorders>
          </w:tcPr>
          <w:p w14:paraId="03480935"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 xml:space="preserve">ASK1 </w:t>
            </w:r>
          </w:p>
        </w:tc>
        <w:tc>
          <w:tcPr>
            <w:tcW w:w="2255" w:type="dxa"/>
            <w:tcBorders>
              <w:top w:val="nil"/>
              <w:left w:val="nil"/>
              <w:bottom w:val="nil"/>
              <w:right w:val="nil"/>
            </w:tcBorders>
          </w:tcPr>
          <w:p w14:paraId="7D95DCC3"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Apoptosis </w:t>
            </w:r>
            <w:r>
              <w:rPr>
                <w:rFonts w:ascii="Book Antiqua" w:hAnsi="Book Antiqua" w:cs="Palatino Linotype"/>
                <w:lang w:eastAsia="zh-CN"/>
              </w:rPr>
              <w:t>s</w:t>
            </w:r>
            <w:r w:rsidRPr="00BE12AC">
              <w:rPr>
                <w:rFonts w:ascii="Book Antiqua" w:hAnsi="Book Antiqua" w:cs="Palatino Linotype"/>
                <w:lang w:eastAsia="zh-CN"/>
              </w:rPr>
              <w:t>ignal-</w:t>
            </w:r>
            <w:r>
              <w:rPr>
                <w:rFonts w:ascii="Book Antiqua" w:hAnsi="Book Antiqua" w:cs="Palatino Linotype"/>
                <w:lang w:eastAsia="zh-CN"/>
              </w:rPr>
              <w:t>r</w:t>
            </w:r>
            <w:r w:rsidRPr="00BE12AC">
              <w:rPr>
                <w:rFonts w:ascii="Book Antiqua" w:hAnsi="Book Antiqua" w:cs="Palatino Linotype"/>
                <w:lang w:eastAsia="zh-CN"/>
              </w:rPr>
              <w:t xml:space="preserve">egulating </w:t>
            </w:r>
            <w:r>
              <w:rPr>
                <w:rFonts w:ascii="Book Antiqua" w:hAnsi="Book Antiqua" w:cs="Palatino Linotype"/>
                <w:lang w:eastAsia="zh-CN"/>
              </w:rPr>
              <w:t>k</w:t>
            </w:r>
            <w:r w:rsidRPr="00BE12AC">
              <w:rPr>
                <w:rFonts w:ascii="Book Antiqua" w:hAnsi="Book Antiqua" w:cs="Palatino Linotype"/>
                <w:lang w:eastAsia="zh-CN"/>
              </w:rPr>
              <w:t>inase 1.</w:t>
            </w:r>
          </w:p>
        </w:tc>
        <w:tc>
          <w:tcPr>
            <w:tcW w:w="4480" w:type="dxa"/>
            <w:tcBorders>
              <w:top w:val="nil"/>
              <w:left w:val="nil"/>
              <w:bottom w:val="nil"/>
              <w:right w:val="nil"/>
            </w:tcBorders>
          </w:tcPr>
          <w:p w14:paraId="794332FA"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Excessive ATP induces cellular stress, activating ASK1 and downstream pathways for cell death</w:t>
            </w:r>
          </w:p>
        </w:tc>
        <w:tc>
          <w:tcPr>
            <w:tcW w:w="742" w:type="dxa"/>
            <w:tcBorders>
              <w:top w:val="nil"/>
              <w:left w:val="nil"/>
              <w:bottom w:val="nil"/>
              <w:right w:val="nil"/>
            </w:tcBorders>
          </w:tcPr>
          <w:p w14:paraId="2207A79E"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Noguchi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[2]</w:t>
            </w:r>
            <w:r w:rsidRPr="00BE12AC">
              <w:rPr>
                <w:rFonts w:ascii="Book Antiqua" w:hAnsi="Book Antiqua" w:cs="Palatino Linotype"/>
                <w:vertAlign w:val="superscript"/>
                <w:lang w:eastAsia="zh-CN"/>
              </w:rPr>
              <w:fldChar w:fldCharType="end"/>
            </w:r>
          </w:p>
        </w:tc>
      </w:tr>
      <w:tr w:rsidR="002F2D06" w:rsidRPr="00BE12AC" w14:paraId="390CF268" w14:textId="77777777" w:rsidTr="000A3E71">
        <w:trPr>
          <w:trHeight w:val="502"/>
          <w:jc w:val="center"/>
        </w:trPr>
        <w:tc>
          <w:tcPr>
            <w:tcW w:w="1006" w:type="dxa"/>
            <w:tcBorders>
              <w:top w:val="nil"/>
              <w:left w:val="nil"/>
              <w:bottom w:val="nil"/>
              <w:right w:val="nil"/>
            </w:tcBorders>
          </w:tcPr>
          <w:p w14:paraId="5964AED5"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 xml:space="preserve">NOX2 </w:t>
            </w:r>
          </w:p>
        </w:tc>
        <w:tc>
          <w:tcPr>
            <w:tcW w:w="2255" w:type="dxa"/>
            <w:tcBorders>
              <w:top w:val="nil"/>
              <w:left w:val="nil"/>
              <w:bottom w:val="nil"/>
              <w:right w:val="nil"/>
            </w:tcBorders>
          </w:tcPr>
          <w:p w14:paraId="06940C75"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NADPH oxidase 2</w:t>
            </w:r>
          </w:p>
        </w:tc>
        <w:tc>
          <w:tcPr>
            <w:tcW w:w="4480" w:type="dxa"/>
            <w:tcBorders>
              <w:top w:val="nil"/>
              <w:left w:val="nil"/>
              <w:bottom w:val="nil"/>
              <w:right w:val="nil"/>
            </w:tcBorders>
          </w:tcPr>
          <w:p w14:paraId="78AE8744"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ATP activates NOX2, generating ROS causing oxidative stress and potential cell death</w:t>
            </w:r>
          </w:p>
        </w:tc>
        <w:tc>
          <w:tcPr>
            <w:tcW w:w="742" w:type="dxa"/>
            <w:tcBorders>
              <w:top w:val="nil"/>
              <w:left w:val="nil"/>
              <w:bottom w:val="nil"/>
              <w:right w:val="nil"/>
            </w:tcBorders>
          </w:tcPr>
          <w:p w14:paraId="5A8846B2"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Noguchi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[2]</w:t>
            </w:r>
            <w:r w:rsidRPr="00BE12AC">
              <w:rPr>
                <w:rFonts w:ascii="Book Antiqua" w:hAnsi="Book Antiqua" w:cs="Palatino Linotype"/>
                <w:vertAlign w:val="superscript"/>
                <w:lang w:eastAsia="zh-CN"/>
              </w:rPr>
              <w:fldChar w:fldCharType="end"/>
            </w:r>
          </w:p>
        </w:tc>
      </w:tr>
      <w:tr w:rsidR="002F2D06" w:rsidRPr="00BE12AC" w14:paraId="3767BB0D" w14:textId="77777777" w:rsidTr="000A3E71">
        <w:trPr>
          <w:trHeight w:val="911"/>
          <w:jc w:val="center"/>
        </w:trPr>
        <w:tc>
          <w:tcPr>
            <w:tcW w:w="1006" w:type="dxa"/>
            <w:tcBorders>
              <w:top w:val="nil"/>
              <w:left w:val="nil"/>
              <w:bottom w:val="nil"/>
              <w:right w:val="nil"/>
            </w:tcBorders>
          </w:tcPr>
          <w:p w14:paraId="40BC4E28"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bax</w:t>
            </w:r>
          </w:p>
        </w:tc>
        <w:tc>
          <w:tcPr>
            <w:tcW w:w="2255" w:type="dxa"/>
            <w:tcBorders>
              <w:top w:val="nil"/>
              <w:left w:val="nil"/>
              <w:bottom w:val="nil"/>
              <w:right w:val="nil"/>
            </w:tcBorders>
          </w:tcPr>
          <w:p w14:paraId="130F2E39"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BCL</w:t>
            </w:r>
            <w:r>
              <w:rPr>
                <w:rFonts w:ascii="Book Antiqua" w:hAnsi="Book Antiqua" w:cs="Palatino Linotype"/>
                <w:lang w:eastAsia="zh-CN"/>
              </w:rPr>
              <w:t>-</w:t>
            </w:r>
            <w:r w:rsidRPr="00BE12AC">
              <w:rPr>
                <w:rFonts w:ascii="Book Antiqua" w:hAnsi="Book Antiqua" w:cs="Palatino Linotype"/>
                <w:lang w:eastAsia="zh-CN"/>
              </w:rPr>
              <w:t>2</w:t>
            </w:r>
            <w:r>
              <w:rPr>
                <w:rFonts w:ascii="Book Antiqua" w:hAnsi="Book Antiqua" w:cs="Palatino Linotype"/>
                <w:lang w:eastAsia="zh-CN"/>
              </w:rPr>
              <w:t>-a</w:t>
            </w:r>
            <w:r w:rsidRPr="00BE12AC">
              <w:rPr>
                <w:rFonts w:ascii="Book Antiqua" w:hAnsi="Book Antiqua" w:cs="Palatino Linotype"/>
                <w:lang w:eastAsia="zh-CN"/>
              </w:rPr>
              <w:t>ssociated X</w:t>
            </w:r>
          </w:p>
        </w:tc>
        <w:tc>
          <w:tcPr>
            <w:tcW w:w="4480" w:type="dxa"/>
            <w:tcBorders>
              <w:top w:val="nil"/>
              <w:left w:val="nil"/>
              <w:bottom w:val="nil"/>
              <w:right w:val="nil"/>
            </w:tcBorders>
          </w:tcPr>
          <w:p w14:paraId="486D0471"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Excessive ATP triggers BAX activation, mitochondrial dysfunction, and apoptotic cell death</w:t>
            </w:r>
          </w:p>
        </w:tc>
        <w:tc>
          <w:tcPr>
            <w:tcW w:w="742" w:type="dxa"/>
            <w:tcBorders>
              <w:top w:val="nil"/>
              <w:left w:val="nil"/>
              <w:bottom w:val="nil"/>
              <w:right w:val="nil"/>
            </w:tcBorders>
          </w:tcPr>
          <w:p w14:paraId="195044AF"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eastAsia="Book Antiqua" w:hAnsi="Book Antiqua" w:cs="Book Antiqua"/>
                <w:lang w:eastAsia="zh-CN"/>
              </w:rPr>
              <w:t>Wen</w:t>
            </w:r>
            <w:r w:rsidRPr="00BE12AC">
              <w:rPr>
                <w:rFonts w:ascii="Book Antiqua" w:hAnsi="Book Antiqua" w:cs="Palatino Linotype"/>
                <w:lang w:eastAsia="zh-CN"/>
              </w:rPr>
              <w:t xml:space="preserve">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[43]</w:t>
            </w:r>
            <w:r w:rsidRPr="00BE12AC">
              <w:rPr>
                <w:rFonts w:ascii="Book Antiqua" w:hAnsi="Book Antiqua" w:cs="Palatino Linotype"/>
                <w:vertAlign w:val="superscript"/>
                <w:lang w:eastAsia="zh-CN"/>
              </w:rPr>
              <w:fldChar w:fldCharType="end"/>
            </w:r>
          </w:p>
        </w:tc>
      </w:tr>
      <w:tr w:rsidR="002F2D06" w:rsidRPr="00BE12AC" w14:paraId="29044A94" w14:textId="77777777" w:rsidTr="000A3E71">
        <w:trPr>
          <w:trHeight w:val="646"/>
          <w:jc w:val="center"/>
        </w:trPr>
        <w:tc>
          <w:tcPr>
            <w:tcW w:w="1006" w:type="dxa"/>
            <w:tcBorders>
              <w:top w:val="nil"/>
              <w:left w:val="nil"/>
              <w:bottom w:val="nil"/>
              <w:right w:val="nil"/>
            </w:tcBorders>
          </w:tcPr>
          <w:p w14:paraId="217FB485"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MLC</w:t>
            </w:r>
          </w:p>
        </w:tc>
        <w:tc>
          <w:tcPr>
            <w:tcW w:w="2255" w:type="dxa"/>
            <w:tcBorders>
              <w:top w:val="nil"/>
              <w:left w:val="nil"/>
              <w:bottom w:val="nil"/>
              <w:right w:val="nil"/>
            </w:tcBorders>
          </w:tcPr>
          <w:p w14:paraId="3B3D2124"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Myosin Light Chain</w:t>
            </w:r>
          </w:p>
        </w:tc>
        <w:tc>
          <w:tcPr>
            <w:tcW w:w="4480" w:type="dxa"/>
            <w:tcBorders>
              <w:top w:val="nil"/>
              <w:left w:val="nil"/>
              <w:bottom w:val="nil"/>
              <w:right w:val="nil"/>
            </w:tcBorders>
          </w:tcPr>
          <w:p w14:paraId="332D3F37"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ATP depletion hampers muscle contraction, affecting myosin function and cellular viability</w:t>
            </w:r>
          </w:p>
        </w:tc>
        <w:tc>
          <w:tcPr>
            <w:tcW w:w="742" w:type="dxa"/>
            <w:tcBorders>
              <w:top w:val="nil"/>
              <w:left w:val="nil"/>
              <w:bottom w:val="nil"/>
              <w:right w:val="nil"/>
            </w:tcBorders>
          </w:tcPr>
          <w:p w14:paraId="69DEF25A"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Hwang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[44]</w:t>
            </w:r>
            <w:r w:rsidRPr="00BE12AC">
              <w:rPr>
                <w:rFonts w:ascii="Book Antiqua" w:hAnsi="Book Antiqua" w:cs="Palatino Linotype"/>
                <w:vertAlign w:val="superscript"/>
                <w:lang w:eastAsia="zh-CN"/>
              </w:rPr>
              <w:fldChar w:fldCharType="end"/>
            </w:r>
          </w:p>
        </w:tc>
      </w:tr>
      <w:tr w:rsidR="002F2D06" w:rsidRPr="00BE12AC" w14:paraId="0155554E" w14:textId="77777777" w:rsidTr="000A3E71">
        <w:trPr>
          <w:trHeight w:val="1153"/>
          <w:jc w:val="center"/>
        </w:trPr>
        <w:tc>
          <w:tcPr>
            <w:tcW w:w="1006" w:type="dxa"/>
            <w:tcBorders>
              <w:top w:val="nil"/>
              <w:left w:val="nil"/>
              <w:bottom w:val="nil"/>
              <w:right w:val="nil"/>
            </w:tcBorders>
          </w:tcPr>
          <w:p w14:paraId="24ADC81D"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ROCK I</w:t>
            </w:r>
          </w:p>
        </w:tc>
        <w:tc>
          <w:tcPr>
            <w:tcW w:w="2255" w:type="dxa"/>
            <w:tcBorders>
              <w:top w:val="nil"/>
              <w:left w:val="nil"/>
              <w:bottom w:val="nil"/>
              <w:right w:val="nil"/>
            </w:tcBorders>
          </w:tcPr>
          <w:p w14:paraId="39E2CACA"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Rho-associated, coiled-coil containing protein kinase 1</w:t>
            </w:r>
          </w:p>
        </w:tc>
        <w:tc>
          <w:tcPr>
            <w:tcW w:w="4480" w:type="dxa"/>
            <w:tcBorders>
              <w:top w:val="nil"/>
              <w:left w:val="nil"/>
              <w:bottom w:val="nil"/>
              <w:right w:val="nil"/>
            </w:tcBorders>
          </w:tcPr>
          <w:p w14:paraId="4C8A8172"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ATP activates P2X7 receptors, inducing apoptosis </w:t>
            </w:r>
            <w:r w:rsidRPr="006F7838">
              <w:rPr>
                <w:rFonts w:ascii="Book Antiqua" w:hAnsi="Book Antiqua" w:cs="Palatino Linotype"/>
                <w:i/>
                <w:iCs/>
                <w:lang w:eastAsia="zh-CN"/>
              </w:rPr>
              <w:t>via</w:t>
            </w:r>
            <w:r w:rsidRPr="00BE12AC">
              <w:rPr>
                <w:rFonts w:ascii="Book Antiqua" w:hAnsi="Book Antiqua" w:cs="Palatino Linotype"/>
                <w:lang w:eastAsia="zh-CN"/>
              </w:rPr>
              <w:t xml:space="preserve"> the Rho/ROCK pathway, potentially involving ROCK I</w:t>
            </w:r>
          </w:p>
        </w:tc>
        <w:tc>
          <w:tcPr>
            <w:tcW w:w="742" w:type="dxa"/>
            <w:tcBorders>
              <w:top w:val="nil"/>
              <w:left w:val="nil"/>
              <w:bottom w:val="nil"/>
              <w:right w:val="nil"/>
            </w:tcBorders>
          </w:tcPr>
          <w:p w14:paraId="7894D8FD"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Hwang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[44]</w:t>
            </w:r>
            <w:r w:rsidRPr="00BE12AC">
              <w:rPr>
                <w:rFonts w:ascii="Book Antiqua" w:hAnsi="Book Antiqua" w:cs="Palatino Linotype"/>
                <w:vertAlign w:val="superscript"/>
                <w:lang w:eastAsia="zh-CN"/>
              </w:rPr>
              <w:fldChar w:fldCharType="end"/>
            </w:r>
          </w:p>
        </w:tc>
      </w:tr>
      <w:tr w:rsidR="002F2D06" w:rsidRPr="00BE12AC" w14:paraId="65F1AE1F" w14:textId="77777777" w:rsidTr="000A3E71">
        <w:trPr>
          <w:trHeight w:val="1300"/>
          <w:jc w:val="center"/>
        </w:trPr>
        <w:tc>
          <w:tcPr>
            <w:tcW w:w="1006" w:type="dxa"/>
            <w:tcBorders>
              <w:top w:val="nil"/>
              <w:left w:val="nil"/>
              <w:bottom w:val="nil"/>
              <w:right w:val="nil"/>
            </w:tcBorders>
          </w:tcPr>
          <w:p w14:paraId="41B63A52"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ERK1/2</w:t>
            </w:r>
          </w:p>
        </w:tc>
        <w:tc>
          <w:tcPr>
            <w:tcW w:w="2255" w:type="dxa"/>
            <w:tcBorders>
              <w:top w:val="nil"/>
              <w:left w:val="nil"/>
              <w:bottom w:val="nil"/>
              <w:right w:val="nil"/>
            </w:tcBorders>
          </w:tcPr>
          <w:p w14:paraId="06E84358"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Extracellular </w:t>
            </w:r>
            <w:r>
              <w:rPr>
                <w:rFonts w:ascii="Book Antiqua" w:hAnsi="Book Antiqua" w:cs="Palatino Linotype"/>
                <w:lang w:eastAsia="zh-CN"/>
              </w:rPr>
              <w:t>s</w:t>
            </w:r>
            <w:r w:rsidRPr="00BE12AC">
              <w:rPr>
                <w:rFonts w:ascii="Book Antiqua" w:hAnsi="Book Antiqua" w:cs="Palatino Linotype"/>
                <w:lang w:eastAsia="zh-CN"/>
              </w:rPr>
              <w:t>ignal-</w:t>
            </w:r>
            <w:r>
              <w:rPr>
                <w:rFonts w:ascii="Book Antiqua" w:hAnsi="Book Antiqua" w:cs="Palatino Linotype"/>
                <w:lang w:eastAsia="zh-CN"/>
              </w:rPr>
              <w:t>r</w:t>
            </w:r>
            <w:r w:rsidRPr="00BE12AC">
              <w:rPr>
                <w:rFonts w:ascii="Book Antiqua" w:hAnsi="Book Antiqua" w:cs="Palatino Linotype"/>
                <w:lang w:eastAsia="zh-CN"/>
              </w:rPr>
              <w:t xml:space="preserve">egulated </w:t>
            </w:r>
            <w:r>
              <w:rPr>
                <w:rFonts w:ascii="Book Antiqua" w:hAnsi="Book Antiqua" w:cs="Palatino Linotype"/>
                <w:lang w:eastAsia="zh-CN"/>
              </w:rPr>
              <w:t>k</w:t>
            </w:r>
            <w:r w:rsidRPr="00BE12AC">
              <w:rPr>
                <w:rFonts w:ascii="Book Antiqua" w:hAnsi="Book Antiqua" w:cs="Palatino Linotype"/>
                <w:lang w:eastAsia="zh-CN"/>
              </w:rPr>
              <w:t>inase 1 and 2</w:t>
            </w:r>
          </w:p>
        </w:tc>
        <w:tc>
          <w:tcPr>
            <w:tcW w:w="4480" w:type="dxa"/>
            <w:tcBorders>
              <w:top w:val="nil"/>
              <w:left w:val="nil"/>
              <w:bottom w:val="nil"/>
              <w:right w:val="nil"/>
            </w:tcBorders>
          </w:tcPr>
          <w:p w14:paraId="176C46F6"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ERK1/2 promotes cell survival or antagonizes apoptosis, but prolonged activation may lead to cell death. Activates the ERK1/2 pathway, </w:t>
            </w:r>
            <w:r w:rsidRPr="00BE12AC">
              <w:rPr>
                <w:rFonts w:ascii="Book Antiqua" w:hAnsi="Book Antiqua" w:cs="Palatino Linotype"/>
                <w:lang w:eastAsia="zh-CN"/>
              </w:rPr>
              <w:lastRenderedPageBreak/>
              <w:t>affecting cell fate</w:t>
            </w:r>
          </w:p>
        </w:tc>
        <w:tc>
          <w:tcPr>
            <w:tcW w:w="742" w:type="dxa"/>
            <w:tcBorders>
              <w:top w:val="nil"/>
              <w:left w:val="nil"/>
              <w:bottom w:val="nil"/>
              <w:right w:val="nil"/>
            </w:tcBorders>
          </w:tcPr>
          <w:p w14:paraId="2FEB037D"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lastRenderedPageBreak/>
              <w:t xml:space="preserve">Tsukimoto </w:t>
            </w:r>
            <w:r w:rsidRPr="00BE12AC">
              <w:rPr>
                <w:rFonts w:ascii="Book Antiqua" w:hAnsi="Book Antiqua" w:cs="Palatino Linotype"/>
                <w:i/>
                <w:iCs/>
                <w:lang w:eastAsia="zh-CN"/>
              </w:rPr>
              <w:t xml:space="preserve">et </w:t>
            </w:r>
            <w:r w:rsidRPr="00BE12AC">
              <w:rPr>
                <w:rFonts w:ascii="Book Antiqua" w:hAnsi="Book Antiqua" w:cs="Palatino Linotype"/>
                <w:i/>
                <w:iCs/>
                <w:lang w:eastAsia="zh-CN"/>
              </w:rPr>
              <w:lastRenderedPageBreak/>
              <w:t>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[45]</w:t>
            </w:r>
            <w:r w:rsidRPr="00BE12AC">
              <w:rPr>
                <w:rFonts w:ascii="Book Antiqua" w:hAnsi="Book Antiqua" w:cs="Palatino Linotype"/>
                <w:vertAlign w:val="superscript"/>
                <w:lang w:eastAsia="zh-CN"/>
              </w:rPr>
              <w:fldChar w:fldCharType="end"/>
            </w:r>
          </w:p>
        </w:tc>
      </w:tr>
      <w:tr w:rsidR="002F2D06" w:rsidRPr="00BE12AC" w14:paraId="1E13F4EB" w14:textId="77777777" w:rsidTr="000A3E71">
        <w:trPr>
          <w:trHeight w:val="667"/>
          <w:jc w:val="center"/>
        </w:trPr>
        <w:tc>
          <w:tcPr>
            <w:tcW w:w="1006" w:type="dxa"/>
            <w:tcBorders>
              <w:top w:val="nil"/>
              <w:left w:val="nil"/>
              <w:bottom w:val="nil"/>
              <w:right w:val="nil"/>
            </w:tcBorders>
          </w:tcPr>
          <w:p w14:paraId="03B1C1B1"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lastRenderedPageBreak/>
              <w:t>P2RX6</w:t>
            </w:r>
          </w:p>
        </w:tc>
        <w:tc>
          <w:tcPr>
            <w:tcW w:w="2255" w:type="dxa"/>
            <w:tcBorders>
              <w:top w:val="nil"/>
              <w:left w:val="nil"/>
              <w:bottom w:val="nil"/>
              <w:right w:val="nil"/>
            </w:tcBorders>
          </w:tcPr>
          <w:p w14:paraId="55606264"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P2X purinoceptor 6</w:t>
            </w:r>
          </w:p>
        </w:tc>
        <w:tc>
          <w:tcPr>
            <w:tcW w:w="4480" w:type="dxa"/>
            <w:tcBorders>
              <w:top w:val="nil"/>
              <w:left w:val="nil"/>
              <w:bottom w:val="nil"/>
              <w:right w:val="nil"/>
            </w:tcBorders>
          </w:tcPr>
          <w:p w14:paraId="6DAB6DEB"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Activation may raise calcium levels, potentially triggering cell death</w:t>
            </w:r>
          </w:p>
        </w:tc>
        <w:tc>
          <w:tcPr>
            <w:tcW w:w="742" w:type="dxa"/>
            <w:tcBorders>
              <w:top w:val="nil"/>
              <w:left w:val="nil"/>
              <w:bottom w:val="nil"/>
              <w:right w:val="nil"/>
            </w:tcBorders>
          </w:tcPr>
          <w:p w14:paraId="64A4B72C"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fldChar w:fldCharType="begin"/>
            </w:r>
            <w:r w:rsidRPr="00BE12AC">
              <w:rPr>
                <w:rFonts w:ascii="Book Antiqua" w:hAnsi="Book Antiqua" w:cs="Palatino Linotype"/>
                <w:lang w:eastAsia="zh-CN"/>
              </w:rPr>
              <w:instrText xml:space="preserve"> ADDIN EN.CITE &lt;EndNote&gt;&lt;Cite&gt;&lt;Author&gt;Banfi&lt;/Author&gt;&lt;Year&gt;2005&lt;/Year&gt;&lt;RecNum&gt;478&lt;/RecNum&gt;&lt;DisplayText&gt;[46]&lt;/DisplayText&gt;&lt;record&gt;&lt;rec-number&gt;478&lt;/rec-number&gt;&lt;foreign-keys&gt;&lt;key app="EN" db-id="pd0s2aracstzr2eexe6vvzxbxxswvapwzxra" timestamp="1694088045"&gt;478&lt;/key&gt;&lt;/foreign-keys&gt;&lt;ref-type name="Journal Article"&gt;17&lt;/ref-type&gt;&lt;contributors&gt;&lt;authors&gt;&lt;author&gt;Banfi, Cristina&lt;/author&gt;&lt;author&gt;Ferrario, Silvia&lt;/author&gt;&lt;author&gt;De Vincenti, Ombretta&lt;/author&gt;&lt;author&gt;Ceruti, Stefania&lt;/author&gt;&lt;author&gt;Fumagalli, Marta&lt;/author&gt;&lt;author&gt;Mazzola, Alessia&lt;/author&gt;&lt;author&gt;D&amp;apos;Ambrosi, Nadia&lt;/author&gt;&lt;author&gt;Volontè, Cinzia&lt;/author&gt;&lt;author&gt;Fratto, Pasquale&lt;/author&gt;&lt;author&gt;Vitali, Ettore&lt;/author&gt;&lt;/authors&gt;&lt;/contributors&gt;&lt;titles&gt;&lt;title&gt;P2 receptors in human heart: upregulation of P2X6 in patients undergoing heart transplantation, interaction with TNFα and potential role in myocardial cell death&lt;/title&gt;&lt;secondary-title&gt;Journal of molecular and cellular cardiology&lt;/secondary-title&gt;&lt;/titles&gt;&lt;periodical&gt;&lt;full-title&gt;Journal of molecular and cellular cardiology&lt;/full-title&gt;&lt;/periodical&gt;&lt;pages&gt;929-939&lt;/pages&gt;&lt;volume&gt;39&lt;/volume&gt;&lt;number&gt;6&lt;/number&gt;&lt;dates&gt;&lt;year&gt;2005&lt;/year&gt;&lt;/dates&gt;&lt;isbn&gt;0022-2828&lt;/isbn&gt;&lt;urls&gt;&lt;/urls&gt;&lt;/record&gt;&lt;/Cite&gt;&lt;/EndNote&gt;</w:instrText>
            </w:r>
            <w:r w:rsidRPr="00BE12AC">
              <w:rPr>
                <w:rFonts w:ascii="Book Antiqua" w:hAnsi="Book Antiqua" w:cs="Palatino Linotype"/>
                <w:lang w:eastAsia="zh-CN"/>
              </w:rPr>
              <w:fldChar w:fldCharType="separate"/>
            </w:r>
            <w:r w:rsidRPr="00BE12AC">
              <w:rPr>
                <w:rFonts w:ascii="Book Antiqua" w:hAnsi="Book Antiqua" w:cs="Palatino Linotype"/>
                <w:lang w:eastAsia="zh-CN"/>
              </w:rPr>
              <w:t>[46]</w:t>
            </w:r>
            <w:r w:rsidRPr="00BE12AC">
              <w:rPr>
                <w:rFonts w:ascii="Book Antiqua" w:hAnsi="Book Antiqua" w:cs="Palatino Linotype"/>
                <w:lang w:eastAsia="zh-CN"/>
              </w:rPr>
              <w:fldChar w:fldCharType="end"/>
            </w:r>
          </w:p>
        </w:tc>
      </w:tr>
      <w:tr w:rsidR="002F2D06" w:rsidRPr="00BE12AC" w14:paraId="5B90AC13" w14:textId="77777777" w:rsidTr="000A3E71">
        <w:trPr>
          <w:trHeight w:val="675"/>
          <w:jc w:val="center"/>
        </w:trPr>
        <w:tc>
          <w:tcPr>
            <w:tcW w:w="1006" w:type="dxa"/>
            <w:tcBorders>
              <w:top w:val="nil"/>
              <w:left w:val="nil"/>
              <w:bottom w:val="nil"/>
              <w:right w:val="nil"/>
            </w:tcBorders>
          </w:tcPr>
          <w:p w14:paraId="7EA79E5A"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CYTC</w:t>
            </w:r>
          </w:p>
        </w:tc>
        <w:tc>
          <w:tcPr>
            <w:tcW w:w="2255" w:type="dxa"/>
            <w:tcBorders>
              <w:top w:val="nil"/>
              <w:left w:val="nil"/>
              <w:bottom w:val="nil"/>
              <w:right w:val="nil"/>
            </w:tcBorders>
          </w:tcPr>
          <w:p w14:paraId="7F72F1BB"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Cytochrome c</w:t>
            </w:r>
          </w:p>
        </w:tc>
        <w:tc>
          <w:tcPr>
            <w:tcW w:w="4480" w:type="dxa"/>
            <w:tcBorders>
              <w:top w:val="nil"/>
              <w:left w:val="nil"/>
              <w:bottom w:val="nil"/>
              <w:right w:val="nil"/>
            </w:tcBorders>
          </w:tcPr>
          <w:p w14:paraId="77B089B1"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Cytochrome c released by mitochondria during cell stress triggers cell apoptosis</w:t>
            </w:r>
          </w:p>
        </w:tc>
        <w:tc>
          <w:tcPr>
            <w:tcW w:w="742" w:type="dxa"/>
            <w:tcBorders>
              <w:top w:val="nil"/>
              <w:left w:val="nil"/>
              <w:bottom w:val="nil"/>
              <w:right w:val="nil"/>
            </w:tcBorders>
          </w:tcPr>
          <w:p w14:paraId="4A9F47C2"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fldChar w:fldCharType="begin"/>
            </w:r>
            <w:r w:rsidRPr="00BE12AC">
              <w:rPr>
                <w:rFonts w:ascii="Book Antiqua" w:hAnsi="Book Antiqua" w:cs="Palatino Linotype"/>
                <w:lang w:eastAsia="zh-CN"/>
              </w:rPr>
              <w:instrText xml:space="preserve"> ADDIN EN.CITE &lt;EndNote&gt;&lt;Cite&gt;&lt;Author&gt;Sadatomi&lt;/Author&gt;&lt;Year&gt;2017&lt;/Year&gt;&lt;RecNum&gt;467&lt;/RecNum&gt;&lt;DisplayText&gt;[37]&lt;/DisplayText&gt;&lt;record&gt;&lt;rec-number&gt;467&lt;/rec-number&gt;&lt;foreign-keys&gt;&lt;key app="EN" db-id="pd0s2aracstzr2eexe6vvzxbxxswvapwzxra" timestamp="1694087420"&gt;467&lt;/key&gt;&lt;/foreign-keys&gt;&lt;ref-type name="Journal Article"&gt;17&lt;/ref-type&gt;&lt;contributors&gt;&lt;authors&gt;&lt;author&gt;Sadatomi, Daichi&lt;/author&gt;&lt;author&gt;Nakashioya, Kazutaka&lt;/author&gt;&lt;author&gt;Mamiya, Sayaka&lt;/author&gt;&lt;author&gt;Honda, Shino&lt;/author&gt;&lt;author&gt;Kameyama, Yuka&lt;/author&gt;&lt;author&gt;Yamamura, Yasuo&lt;/author&gt;&lt;author&gt;Tanimura, Susumu&lt;/author&gt;&lt;author&gt;Takeda, Kohsuke&lt;/author&gt;&lt;/authors&gt;&lt;/contributors&gt;&lt;titles&gt;&lt;title&gt;Mitochondrial function is required for extracellular ATP-induced NLRP3 inflammasome activation&lt;/title&gt;&lt;secondary-title&gt;The journal of biochemistry&lt;/secondary-title&gt;&lt;/titles&gt;&lt;periodical&gt;&lt;full-title&gt;The journal of biochemistry&lt;/full-title&gt;&lt;/periodical&gt;&lt;pages&gt;503-512&lt;/pages&gt;&lt;volume&gt;161&lt;/volume&gt;&lt;number&gt;6&lt;/number&gt;&lt;dates&gt;&lt;year&gt;2017&lt;/year&gt;&lt;/dates&gt;&lt;isbn&gt;0021-924X&lt;/isbn&gt;&lt;urls&gt;&lt;/urls&gt;&lt;/record&gt;&lt;/Cite&gt;&lt;/EndNote&gt;</w:instrText>
            </w:r>
            <w:r w:rsidRPr="00BE12AC">
              <w:rPr>
                <w:rFonts w:ascii="Book Antiqua" w:hAnsi="Book Antiqua" w:cs="Palatino Linotype"/>
                <w:lang w:eastAsia="zh-CN"/>
              </w:rPr>
              <w:fldChar w:fldCharType="separate"/>
            </w:r>
            <w:r w:rsidRPr="00BE12AC">
              <w:rPr>
                <w:rFonts w:ascii="Book Antiqua" w:eastAsia="Book Antiqua" w:hAnsi="Book Antiqua" w:cs="Book Antiqua"/>
                <w:lang w:eastAsia="zh-CN"/>
              </w:rPr>
              <w:t>Sadatomi</w:t>
            </w:r>
            <w:r w:rsidRPr="00BE12AC">
              <w:rPr>
                <w:rFonts w:ascii="Book Antiqua" w:hAnsi="Book Antiqua" w:cs="Palatino Linotype"/>
                <w:i/>
                <w:iCs/>
                <w:lang w:eastAsia="zh-CN"/>
              </w:rPr>
              <w:t xml:space="preserve"> 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[37]</w:t>
            </w:r>
            <w:r w:rsidRPr="00BE12AC">
              <w:rPr>
                <w:rFonts w:ascii="Book Antiqua" w:hAnsi="Book Antiqua" w:cs="Palatino Linotype"/>
                <w:vertAlign w:val="superscript"/>
                <w:lang w:eastAsia="zh-CN"/>
              </w:rPr>
              <w:fldChar w:fldCharType="end"/>
            </w:r>
            <w:r w:rsidRPr="00BE12AC">
              <w:rPr>
                <w:rFonts w:ascii="Book Antiqua" w:hAnsi="Book Antiqua" w:cs="Palatino Linotype"/>
                <w:lang w:eastAsia="zh-CN"/>
              </w:rPr>
              <w:fldChar w:fldCharType="end"/>
            </w:r>
          </w:p>
        </w:tc>
      </w:tr>
      <w:tr w:rsidR="002F2D06" w:rsidRPr="00BE12AC" w14:paraId="2717F307" w14:textId="77777777" w:rsidTr="000A3E71">
        <w:trPr>
          <w:trHeight w:val="1349"/>
          <w:jc w:val="center"/>
        </w:trPr>
        <w:tc>
          <w:tcPr>
            <w:tcW w:w="1006" w:type="dxa"/>
            <w:tcBorders>
              <w:top w:val="nil"/>
              <w:left w:val="nil"/>
              <w:bottom w:val="nil"/>
              <w:right w:val="nil"/>
            </w:tcBorders>
          </w:tcPr>
          <w:p w14:paraId="5826437F"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TNF-α</w:t>
            </w:r>
          </w:p>
        </w:tc>
        <w:tc>
          <w:tcPr>
            <w:tcW w:w="2255" w:type="dxa"/>
            <w:tcBorders>
              <w:top w:val="nil"/>
              <w:left w:val="nil"/>
              <w:bottom w:val="nil"/>
              <w:right w:val="nil"/>
            </w:tcBorders>
          </w:tcPr>
          <w:p w14:paraId="4EF83CDF"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Tumor </w:t>
            </w:r>
            <w:r>
              <w:rPr>
                <w:rFonts w:ascii="Book Antiqua" w:hAnsi="Book Antiqua" w:cs="Palatino Linotype"/>
                <w:lang w:eastAsia="zh-CN"/>
              </w:rPr>
              <w:t>n</w:t>
            </w:r>
            <w:r w:rsidRPr="00BE12AC">
              <w:rPr>
                <w:rFonts w:ascii="Book Antiqua" w:hAnsi="Book Antiqua" w:cs="Palatino Linotype"/>
                <w:lang w:eastAsia="zh-CN"/>
              </w:rPr>
              <w:t xml:space="preserve">ecrosis </w:t>
            </w:r>
            <w:r>
              <w:rPr>
                <w:rFonts w:ascii="Book Antiqua" w:hAnsi="Book Antiqua" w:cs="Palatino Linotype"/>
                <w:lang w:eastAsia="zh-CN"/>
              </w:rPr>
              <w:t>f</w:t>
            </w:r>
            <w:r w:rsidRPr="00BE12AC">
              <w:rPr>
                <w:rFonts w:ascii="Book Antiqua" w:hAnsi="Book Antiqua" w:cs="Palatino Linotype"/>
                <w:lang w:eastAsia="zh-CN"/>
              </w:rPr>
              <w:t>actor alpha</w:t>
            </w:r>
          </w:p>
        </w:tc>
        <w:tc>
          <w:tcPr>
            <w:tcW w:w="4480" w:type="dxa"/>
            <w:tcBorders>
              <w:top w:val="nil"/>
              <w:left w:val="nil"/>
              <w:bottom w:val="nil"/>
              <w:right w:val="nil"/>
            </w:tcBorders>
          </w:tcPr>
          <w:p w14:paraId="244419C5"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ATP induces cell death, activating TNF-α and triggering apoptosis or necroptosis pathways. Immune cells produce TNF-α in response to ATP, amplifying the cellular response</w:t>
            </w:r>
          </w:p>
        </w:tc>
        <w:tc>
          <w:tcPr>
            <w:tcW w:w="742" w:type="dxa"/>
            <w:tcBorders>
              <w:top w:val="nil"/>
              <w:left w:val="nil"/>
              <w:bottom w:val="nil"/>
              <w:right w:val="nil"/>
            </w:tcBorders>
          </w:tcPr>
          <w:p w14:paraId="639D5D7A"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Hide</w:t>
            </w:r>
            <w:r w:rsidRPr="00BE12AC">
              <w:rPr>
                <w:rFonts w:ascii="Book Antiqua" w:hAnsi="Book Antiqua" w:cs="Palatino Linotype"/>
                <w:i/>
                <w:iCs/>
                <w:lang w:eastAsia="zh-CN"/>
              </w:rPr>
              <w:t xml:space="preserve"> 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[47]</w:t>
            </w:r>
            <w:r w:rsidRPr="00BE12AC">
              <w:rPr>
                <w:rFonts w:ascii="Book Antiqua" w:hAnsi="Book Antiqua" w:cs="Palatino Linotype"/>
                <w:vertAlign w:val="superscript"/>
                <w:lang w:eastAsia="zh-CN"/>
              </w:rPr>
              <w:fldChar w:fldCharType="end"/>
            </w:r>
          </w:p>
        </w:tc>
      </w:tr>
      <w:tr w:rsidR="002F2D06" w:rsidRPr="00BE12AC" w14:paraId="10023724" w14:textId="77777777" w:rsidTr="000A3E71">
        <w:trPr>
          <w:trHeight w:val="572"/>
          <w:jc w:val="center"/>
        </w:trPr>
        <w:tc>
          <w:tcPr>
            <w:tcW w:w="1006" w:type="dxa"/>
            <w:tcBorders>
              <w:top w:val="nil"/>
              <w:left w:val="nil"/>
              <w:bottom w:val="nil"/>
              <w:right w:val="nil"/>
            </w:tcBorders>
          </w:tcPr>
          <w:p w14:paraId="5CD327FC"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P2RY5</w:t>
            </w:r>
          </w:p>
        </w:tc>
        <w:tc>
          <w:tcPr>
            <w:tcW w:w="2255" w:type="dxa"/>
            <w:tcBorders>
              <w:top w:val="nil"/>
              <w:left w:val="nil"/>
              <w:bottom w:val="nil"/>
              <w:right w:val="nil"/>
            </w:tcBorders>
          </w:tcPr>
          <w:p w14:paraId="2BB1E396"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P2R</w:t>
            </w:r>
            <w:r>
              <w:rPr>
                <w:rFonts w:ascii="Book Antiqua" w:hAnsi="Book Antiqua" w:cs="Palatino Linotype"/>
                <w:lang w:eastAsia="zh-CN"/>
              </w:rPr>
              <w:t xml:space="preserve"> </w:t>
            </w:r>
            <w:r w:rsidRPr="00BE12AC">
              <w:rPr>
                <w:rFonts w:ascii="Book Antiqua" w:hAnsi="Book Antiqua" w:cs="Palatino Linotype"/>
                <w:lang w:eastAsia="zh-CN"/>
              </w:rPr>
              <w:t>purinoceptor 5</w:t>
            </w:r>
          </w:p>
        </w:tc>
        <w:tc>
          <w:tcPr>
            <w:tcW w:w="4480" w:type="dxa"/>
            <w:tcBorders>
              <w:top w:val="nil"/>
              <w:left w:val="nil"/>
              <w:bottom w:val="nil"/>
              <w:right w:val="nil"/>
            </w:tcBorders>
          </w:tcPr>
          <w:p w14:paraId="6274C0B1"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NA</w:t>
            </w:r>
          </w:p>
        </w:tc>
        <w:tc>
          <w:tcPr>
            <w:tcW w:w="742" w:type="dxa"/>
            <w:tcBorders>
              <w:top w:val="nil"/>
              <w:left w:val="nil"/>
              <w:bottom w:val="nil"/>
              <w:right w:val="nil"/>
            </w:tcBorders>
          </w:tcPr>
          <w:p w14:paraId="34111FEB"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fldChar w:fldCharType="begin"/>
            </w:r>
            <w:r w:rsidRPr="00BE12AC">
              <w:rPr>
                <w:rFonts w:ascii="Book Antiqua" w:hAnsi="Book Antiqua" w:cs="Palatino Linotype"/>
                <w:lang w:eastAsia="zh-CN"/>
              </w:rPr>
              <w:instrText xml:space="preserve"> ADDIN EN.CITE &lt;EndNote&gt;&lt;Cite&gt;&lt;Author&gt;Yoon&lt;/Author&gt;&lt;Year&gt;2006&lt;/Year&gt;&lt;RecNum&gt;469&lt;/RecNum&gt;&lt;DisplayText&gt;[39]&lt;/DisplayText&gt;&lt;record&gt;&lt;rec-number&gt;469&lt;/rec-number&gt;&lt;foreign-keys&gt;&lt;key app="EN" db-id="pd0s2aracstzr2eexe6vvzxbxxswvapwzxra" timestamp="1694087618"&gt;469&lt;/key&gt;&lt;/foreign-keys&gt;&lt;ref-type name="Journal Article"&gt;17&lt;/ref-type&gt;&lt;contributors&gt;&lt;authors&gt;&lt;author&gt;Yoon, Mi-Jung&lt;/author&gt;&lt;author&gt;Lee, Hae-Jin&lt;/author&gt;&lt;author&gt;Kim, Jae-Hwan&lt;/author&gt;&lt;author&gt;Kim, Dong-Ku&lt;/author&gt;&lt;/authors&gt;&lt;/contributors&gt;&lt;titles&gt;&lt;title&gt;Extracellular ATP induces apoptotic signaling in human monocyte leukemic cells, HL-60 and F-36P&lt;/title&gt;&lt;secondary-title&gt;Archives of pharmacal research&lt;/secondary-title&gt;&lt;/titles&gt;&lt;periodical&gt;&lt;full-title&gt;Archives of pharmacal research&lt;/full-title&gt;&lt;/periodical&gt;&lt;pages&gt;1032-1041&lt;/pages&gt;&lt;volume&gt;29&lt;/volume&gt;&lt;dates&gt;&lt;year&gt;2006&lt;/year&gt;&lt;/dates&gt;&lt;isbn&gt;0253-6269&lt;/isbn&gt;&lt;urls&gt;&lt;/urls&gt;&lt;/record&gt;&lt;/Cite&gt;&lt;/EndNote&gt;</w:instrText>
            </w:r>
            <w:r w:rsidRPr="00BE12AC">
              <w:rPr>
                <w:rFonts w:ascii="Book Antiqua" w:hAnsi="Book Antiqua" w:cs="Palatino Linotype"/>
                <w:lang w:eastAsia="zh-CN"/>
              </w:rPr>
              <w:fldChar w:fldCharType="separate"/>
            </w:r>
            <w:r w:rsidRPr="00BE12AC">
              <w:rPr>
                <w:rFonts w:ascii="Book Antiqua" w:hAnsi="Book Antiqua" w:cs="Palatino Linotype"/>
                <w:lang w:eastAsia="zh-CN"/>
              </w:rPr>
              <w:t>Yoon</w:t>
            </w:r>
            <w:r w:rsidRPr="00BE12AC">
              <w:rPr>
                <w:rFonts w:ascii="Book Antiqua" w:hAnsi="Book Antiqua" w:cs="Palatino Linotype"/>
                <w:i/>
                <w:iCs/>
                <w:lang w:eastAsia="zh-CN"/>
              </w:rPr>
              <w:t xml:space="preserve"> 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[39]</w:t>
            </w:r>
            <w:r w:rsidRPr="00BE12AC">
              <w:rPr>
                <w:rFonts w:ascii="Book Antiqua" w:hAnsi="Book Antiqua" w:cs="Palatino Linotype"/>
                <w:vertAlign w:val="superscript"/>
                <w:lang w:eastAsia="zh-CN"/>
              </w:rPr>
              <w:fldChar w:fldCharType="end"/>
            </w:r>
            <w:r w:rsidRPr="00BE12AC">
              <w:rPr>
                <w:rFonts w:ascii="Book Antiqua" w:hAnsi="Book Antiqua" w:cs="Palatino Linotype"/>
                <w:lang w:eastAsia="zh-CN"/>
              </w:rPr>
              <w:fldChar w:fldCharType="end"/>
            </w:r>
          </w:p>
        </w:tc>
      </w:tr>
      <w:tr w:rsidR="002F2D06" w:rsidRPr="00BE12AC" w14:paraId="1D122B4D" w14:textId="77777777" w:rsidTr="000A3E71">
        <w:trPr>
          <w:trHeight w:val="466"/>
          <w:jc w:val="center"/>
        </w:trPr>
        <w:tc>
          <w:tcPr>
            <w:tcW w:w="1006" w:type="dxa"/>
            <w:tcBorders>
              <w:top w:val="nil"/>
              <w:left w:val="nil"/>
              <w:bottom w:val="nil"/>
              <w:right w:val="nil"/>
            </w:tcBorders>
          </w:tcPr>
          <w:p w14:paraId="400A1F78"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P2RY14</w:t>
            </w:r>
          </w:p>
        </w:tc>
        <w:tc>
          <w:tcPr>
            <w:tcW w:w="2255" w:type="dxa"/>
            <w:tcBorders>
              <w:top w:val="nil"/>
              <w:left w:val="nil"/>
              <w:bottom w:val="nil"/>
              <w:right w:val="nil"/>
            </w:tcBorders>
          </w:tcPr>
          <w:p w14:paraId="5F660BB2"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P2R purinoceptor14</w:t>
            </w:r>
          </w:p>
        </w:tc>
        <w:tc>
          <w:tcPr>
            <w:tcW w:w="4480" w:type="dxa"/>
            <w:tcBorders>
              <w:top w:val="nil"/>
              <w:left w:val="nil"/>
              <w:bottom w:val="nil"/>
              <w:right w:val="nil"/>
            </w:tcBorders>
          </w:tcPr>
          <w:p w14:paraId="68DB81FB"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NA</w:t>
            </w:r>
          </w:p>
        </w:tc>
        <w:tc>
          <w:tcPr>
            <w:tcW w:w="742" w:type="dxa"/>
            <w:tcBorders>
              <w:top w:val="nil"/>
              <w:left w:val="nil"/>
              <w:bottom w:val="nil"/>
              <w:right w:val="nil"/>
            </w:tcBorders>
          </w:tcPr>
          <w:p w14:paraId="48165D9D"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fldChar w:fldCharType="begin"/>
            </w:r>
            <w:r w:rsidRPr="00BE12AC">
              <w:rPr>
                <w:rFonts w:ascii="Book Antiqua" w:hAnsi="Book Antiqua" w:cs="Palatino Linotype"/>
                <w:lang w:eastAsia="zh-CN"/>
              </w:rPr>
              <w:instrText xml:space="preserve"> ADDIN EN.CITE &lt;EndNote&gt;&lt;Cite&gt;&lt;Author&gt;Ohishi&lt;/Author&gt;&lt;Year&gt;2016&lt;/Year&gt;&lt;RecNum&gt;468&lt;/RecNum&gt;&lt;DisplayText&gt;[38]&lt;/DisplayText&gt;&lt;record&gt;&lt;rec-number&gt;468&lt;/rec-number&gt;&lt;foreign-keys&gt;&lt;key app="EN" db-id="pd0s2aracstzr2eexe6vvzxbxxswvapwzxra" timestamp="1694087528"&gt;468&lt;/key&gt;&lt;/foreign-keys&gt;&lt;ref-type name="Journal Article"&gt;17&lt;/ref-type&gt;&lt;contributors&gt;&lt;authors&gt;&lt;author&gt;Ohishi, Akihiro&lt;/author&gt;&lt;author&gt;Keno, Yuka&lt;/author&gt;&lt;author&gt;Marumiya, Ayaka&lt;/author&gt;&lt;author&gt;Sudo, Yugo&lt;/author&gt;&lt;author&gt;Uda, Yukako&lt;/author&gt;&lt;author&gt;Matsuda, Kinuyo&lt;/author&gt;&lt;author&gt;Morita, Yuki&lt;/author&gt;&lt;author&gt;Furuta, Takahiro&lt;/author&gt;&lt;author&gt;Nishida, Kentaro&lt;/author&gt;&lt;author&gt;Nagasawa, Kazuki&lt;/author&gt;&lt;/authors&gt;&lt;/contributors&gt;&lt;titles&gt;&lt;title&gt;Expression level of P2X7 receptor is a determinant of ATP-induced death of mouse cultured neurons&lt;/title&gt;&lt;secondary-title&gt;Neuroscience&lt;/secondary-title&gt;&lt;/titles&gt;&lt;periodical&gt;&lt;full-title&gt;Neuroscience&lt;/full-title&gt;&lt;/periodical&gt;&lt;pages&gt;35-45&lt;/pages&gt;&lt;volume&gt;319&lt;/volume&gt;&lt;dates&gt;&lt;year&gt;2016&lt;/year&gt;&lt;/dates&gt;&lt;isbn&gt;0306-4522&lt;/isbn&gt;&lt;urls&gt;&lt;/urls&gt;&lt;/record&gt;&lt;/Cite&gt;&lt;/EndNote&gt;</w:instrText>
            </w:r>
            <w:r w:rsidRPr="00BE12AC">
              <w:rPr>
                <w:rFonts w:ascii="Book Antiqua" w:hAnsi="Book Antiqua" w:cs="Palatino Linotype"/>
                <w:lang w:eastAsia="zh-CN"/>
              </w:rPr>
              <w:fldChar w:fldCharType="separate"/>
            </w:r>
            <w:r w:rsidRPr="00BE12AC">
              <w:rPr>
                <w:rFonts w:ascii="Book Antiqua" w:hAnsi="Book Antiqua" w:cs="Palatino Linotype"/>
                <w:lang w:eastAsia="zh-CN"/>
              </w:rPr>
              <w:t xml:space="preserve">Ohishi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[38]</w:t>
            </w:r>
            <w:r w:rsidRPr="00BE12AC">
              <w:rPr>
                <w:rFonts w:ascii="Book Antiqua" w:hAnsi="Book Antiqua" w:cs="Palatino Linotype"/>
                <w:vertAlign w:val="superscript"/>
                <w:lang w:eastAsia="zh-CN"/>
              </w:rPr>
              <w:fldChar w:fldCharType="end"/>
            </w:r>
            <w:r w:rsidRPr="00BE12AC">
              <w:rPr>
                <w:rFonts w:ascii="Book Antiqua" w:hAnsi="Book Antiqua" w:cs="Palatino Linotype"/>
                <w:lang w:eastAsia="zh-CN"/>
              </w:rPr>
              <w:fldChar w:fldCharType="end"/>
            </w:r>
          </w:p>
        </w:tc>
      </w:tr>
      <w:tr w:rsidR="002F2D06" w:rsidRPr="00BE12AC" w14:paraId="53C4309A" w14:textId="77777777" w:rsidTr="000A3E71">
        <w:trPr>
          <w:trHeight w:val="743"/>
          <w:jc w:val="center"/>
        </w:trPr>
        <w:tc>
          <w:tcPr>
            <w:tcW w:w="1006" w:type="dxa"/>
            <w:tcBorders>
              <w:top w:val="nil"/>
              <w:left w:val="nil"/>
              <w:bottom w:val="nil"/>
              <w:right w:val="nil"/>
            </w:tcBorders>
          </w:tcPr>
          <w:p w14:paraId="5D13E597"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P2RY13</w:t>
            </w:r>
          </w:p>
        </w:tc>
        <w:tc>
          <w:tcPr>
            <w:tcW w:w="2255" w:type="dxa"/>
            <w:tcBorders>
              <w:top w:val="nil"/>
              <w:left w:val="nil"/>
              <w:bottom w:val="nil"/>
              <w:right w:val="nil"/>
            </w:tcBorders>
          </w:tcPr>
          <w:p w14:paraId="5F5BA9AB"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P2R purinoceptor 13</w:t>
            </w:r>
          </w:p>
        </w:tc>
        <w:tc>
          <w:tcPr>
            <w:tcW w:w="4480" w:type="dxa"/>
            <w:tcBorders>
              <w:top w:val="nil"/>
              <w:left w:val="nil"/>
              <w:bottom w:val="nil"/>
              <w:right w:val="nil"/>
            </w:tcBorders>
          </w:tcPr>
          <w:p w14:paraId="5A8900D4"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P2Y13 may play a role in ADP receptors, involved in ATP homeostasis</w:t>
            </w:r>
          </w:p>
        </w:tc>
        <w:tc>
          <w:tcPr>
            <w:tcW w:w="742" w:type="dxa"/>
            <w:tcBorders>
              <w:top w:val="nil"/>
              <w:left w:val="nil"/>
              <w:bottom w:val="nil"/>
              <w:right w:val="nil"/>
            </w:tcBorders>
          </w:tcPr>
          <w:p w14:paraId="54F19A95"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fldChar w:fldCharType="begin"/>
            </w:r>
            <w:r w:rsidRPr="00BE12AC">
              <w:rPr>
                <w:rFonts w:ascii="Book Antiqua" w:hAnsi="Book Antiqua" w:cs="Palatino Linotype"/>
                <w:lang w:eastAsia="zh-CN"/>
              </w:rPr>
              <w:instrText xml:space="preserve"> ADDIN EN.CITE &lt;EndNote&gt;&lt;Cite&gt;&lt;Author&gt;Ohishi&lt;/Author&gt;&lt;Year&gt;2016&lt;/Year&gt;&lt;RecNum&gt;468&lt;/RecNum&gt;&lt;DisplayText&gt;[38]&lt;/DisplayText&gt;&lt;record&gt;&lt;rec-number&gt;468&lt;/rec-number&gt;&lt;foreign-keys&gt;&lt;key app="EN" db-id="pd0s2aracstzr2eexe6vvzxbxxswvapwzxra" timestamp="1694087528"&gt;468&lt;/key&gt;&lt;/foreign-keys&gt;&lt;ref-type name="Journal Article"&gt;17&lt;/ref-type&gt;&lt;contributors&gt;&lt;authors&gt;&lt;author&gt;Ohishi, Akihiro&lt;/author&gt;&lt;author&gt;Keno, Yuka&lt;/author&gt;&lt;author&gt;Marumiya, Ayaka&lt;/author&gt;&lt;author&gt;Sudo, Yugo&lt;/author&gt;&lt;author&gt;Uda, Yukako&lt;/author&gt;&lt;author&gt;Matsuda, Kinuyo&lt;/author&gt;&lt;author&gt;Morita, Yuki&lt;/author&gt;&lt;author&gt;Furuta, Takahiro&lt;/author&gt;&lt;author&gt;Nishida, Kentaro&lt;/author&gt;&lt;author&gt;Nagasawa, Kazuki&lt;/author&gt;&lt;/authors&gt;&lt;/contributors&gt;&lt;titles&gt;&lt;title&gt;Expression level of P2X7 receptor is a determinant of ATP-induced death of mouse cultured neurons&lt;/title&gt;&lt;secondary-title&gt;Neuroscience&lt;/secondary-title&gt;&lt;/titles&gt;&lt;periodical&gt;&lt;full-title&gt;Neuroscience&lt;/full-title&gt;&lt;/periodical&gt;&lt;pages&gt;35-45&lt;/pages&gt;&lt;volume&gt;319&lt;/volume&gt;&lt;dates&gt;&lt;year&gt;2016&lt;/year&gt;&lt;/dates&gt;&lt;isbn&gt;0306-4522&lt;/isbn&gt;&lt;urls&gt;&lt;/urls&gt;&lt;/record&gt;&lt;/Cite&gt;&lt;/EndNote&gt;</w:instrText>
            </w:r>
            <w:r w:rsidRPr="00BE12AC">
              <w:rPr>
                <w:rFonts w:ascii="Book Antiqua" w:hAnsi="Book Antiqua" w:cs="Palatino Linotype"/>
                <w:lang w:eastAsia="zh-CN"/>
              </w:rPr>
              <w:fldChar w:fldCharType="separate"/>
            </w:r>
            <w:r w:rsidRPr="00BE12AC">
              <w:rPr>
                <w:rFonts w:ascii="Book Antiqua" w:hAnsi="Book Antiqua" w:cs="Palatino Linotype"/>
                <w:lang w:eastAsia="zh-CN"/>
              </w:rPr>
              <w:fldChar w:fldCharType="begin"/>
            </w:r>
            <w:r w:rsidRPr="00BE12AC">
              <w:rPr>
                <w:rFonts w:ascii="Book Antiqua" w:hAnsi="Book Antiqua" w:cs="Palatino Linotype"/>
                <w:lang w:eastAsia="zh-CN"/>
              </w:rPr>
              <w:instrText xml:space="preserve"> ADDIN EN.CITE &lt;EndNote&gt;&lt;Cite&gt;&lt;Author&gt;Ohishi&lt;/Author&gt;&lt;Year&gt;2016&lt;/Year&gt;&lt;RecNum&gt;468&lt;/RecNum&gt;&lt;DisplayText&gt;[38]&lt;/DisplayText&gt;&lt;record&gt;&lt;rec-number&gt;468&lt;/rec-number&gt;&lt;foreign-keys&gt;&lt;key app="EN" db-id="pd0s2aracstzr2eexe6vvzxbxxswvapwzxra" timestamp="1694087528"&gt;468&lt;/key&gt;&lt;/foreign-keys&gt;&lt;ref-type name="Journal Article"&gt;17&lt;/ref-type&gt;&lt;contributors&gt;&lt;authors&gt;&lt;author&gt;Ohishi, Akihiro&lt;/author&gt;&lt;author&gt;Keno, Yuka&lt;/author&gt;&lt;author&gt;Marumiya, Ayaka&lt;/author&gt;&lt;author&gt;Sudo, Yugo&lt;/author&gt;&lt;author&gt;Uda, Yukako&lt;/author&gt;&lt;author&gt;Matsuda, Kinuyo&lt;/author&gt;&lt;author&gt;Morita, Yuki&lt;/author&gt;&lt;author&gt;Furuta, Takahiro&lt;/author&gt;&lt;author&gt;Nishida, Kentaro&lt;/author&gt;&lt;author&gt;Nagasawa, Kazuki&lt;/author&gt;&lt;/authors&gt;&lt;/contributors&gt;&lt;titles&gt;&lt;title&gt;Expression level of P2X7 receptor is a determinant of ATP-induced death of mouse cultured neurons&lt;/title&gt;&lt;secondary-title&gt;Neuroscience&lt;/secondary-title&gt;&lt;/titles&gt;&lt;periodical&gt;&lt;full-title&gt;Neuroscience&lt;/full-title&gt;&lt;/periodical&gt;&lt;pages&gt;35-45&lt;/pages&gt;&lt;volume&gt;319&lt;/volume&gt;&lt;dates&gt;&lt;year&gt;2016&lt;/year&gt;&lt;/dates&gt;&lt;isbn&gt;0306-4522&lt;/isbn&gt;&lt;urls&gt;&lt;/urls&gt;&lt;/record&gt;&lt;/Cite&gt;&lt;/EndNote&gt;</w:instrText>
            </w:r>
            <w:r w:rsidRPr="00BE12AC">
              <w:rPr>
                <w:rFonts w:ascii="Book Antiqua" w:hAnsi="Book Antiqua" w:cs="Palatino Linotype"/>
                <w:lang w:eastAsia="zh-CN"/>
              </w:rPr>
              <w:fldChar w:fldCharType="separate"/>
            </w:r>
            <w:r w:rsidRPr="00BE12AC">
              <w:rPr>
                <w:rFonts w:ascii="Book Antiqua" w:hAnsi="Book Antiqua" w:cs="Palatino Linotype"/>
                <w:lang w:eastAsia="zh-CN"/>
              </w:rPr>
              <w:t xml:space="preserve">Ohishi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[38]</w:t>
            </w:r>
            <w:r w:rsidRPr="00BE12AC">
              <w:rPr>
                <w:rFonts w:ascii="Book Antiqua" w:hAnsi="Book Antiqua" w:cs="Palatino Linotype"/>
                <w:vertAlign w:val="superscript"/>
                <w:lang w:eastAsia="zh-CN"/>
              </w:rPr>
              <w:fldChar w:fldCharType="end"/>
            </w:r>
            <w:r w:rsidRPr="00BE12AC">
              <w:rPr>
                <w:rFonts w:ascii="Book Antiqua" w:hAnsi="Book Antiqua" w:cs="Palatino Linotype"/>
                <w:lang w:eastAsia="zh-CN"/>
              </w:rPr>
              <w:fldChar w:fldCharType="end"/>
            </w:r>
            <w:r w:rsidRPr="00BE12AC">
              <w:rPr>
                <w:rFonts w:ascii="Book Antiqua" w:hAnsi="Book Antiqua" w:cs="Palatino Linotype"/>
                <w:lang w:eastAsia="zh-CN"/>
              </w:rPr>
              <w:fldChar w:fldCharType="end"/>
            </w:r>
          </w:p>
        </w:tc>
      </w:tr>
      <w:tr w:rsidR="002F2D06" w:rsidRPr="00BE12AC" w14:paraId="6CA5B2D3" w14:textId="77777777" w:rsidTr="000A3E71">
        <w:trPr>
          <w:trHeight w:val="744"/>
          <w:jc w:val="center"/>
        </w:trPr>
        <w:tc>
          <w:tcPr>
            <w:tcW w:w="1006" w:type="dxa"/>
            <w:tcBorders>
              <w:top w:val="nil"/>
              <w:left w:val="nil"/>
              <w:bottom w:val="nil"/>
              <w:right w:val="nil"/>
            </w:tcBorders>
          </w:tcPr>
          <w:p w14:paraId="2889620F"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P2RY12</w:t>
            </w:r>
          </w:p>
        </w:tc>
        <w:tc>
          <w:tcPr>
            <w:tcW w:w="2255" w:type="dxa"/>
            <w:tcBorders>
              <w:top w:val="nil"/>
              <w:left w:val="nil"/>
              <w:bottom w:val="nil"/>
              <w:right w:val="nil"/>
            </w:tcBorders>
          </w:tcPr>
          <w:p w14:paraId="39839252"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P2R purinoceptor 12</w:t>
            </w:r>
          </w:p>
        </w:tc>
        <w:tc>
          <w:tcPr>
            <w:tcW w:w="4480" w:type="dxa"/>
            <w:tcBorders>
              <w:top w:val="nil"/>
              <w:left w:val="nil"/>
              <w:bottom w:val="nil"/>
              <w:right w:val="nil"/>
            </w:tcBorders>
          </w:tcPr>
          <w:p w14:paraId="07912876"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P2Y12 may play a role in ADP receptors, involved in ATP homeostasis</w:t>
            </w:r>
          </w:p>
        </w:tc>
        <w:tc>
          <w:tcPr>
            <w:tcW w:w="742" w:type="dxa"/>
            <w:tcBorders>
              <w:top w:val="nil"/>
              <w:left w:val="nil"/>
              <w:bottom w:val="nil"/>
              <w:right w:val="nil"/>
            </w:tcBorders>
          </w:tcPr>
          <w:p w14:paraId="66C9F415"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fldChar w:fldCharType="begin"/>
            </w:r>
            <w:r w:rsidRPr="00BE12AC">
              <w:rPr>
                <w:rFonts w:ascii="Book Antiqua" w:hAnsi="Book Antiqua" w:cs="Palatino Linotype"/>
                <w:lang w:eastAsia="zh-CN"/>
              </w:rPr>
              <w:instrText xml:space="preserve"> ADDIN EN.CITE &lt;EndNote&gt;&lt;Cite&gt;&lt;Author&gt;Ohishi&lt;/Author&gt;&lt;Year&gt;2016&lt;/Year&gt;&lt;RecNum&gt;468&lt;/RecNum&gt;&lt;DisplayText&gt;[38]&lt;/DisplayText&gt;&lt;record&gt;&lt;rec-number&gt;468&lt;/rec-number&gt;&lt;foreign-keys&gt;&lt;key app="EN" db-id="pd0s2aracstzr2eexe6vvzxbxxswvapwzxra" timestamp="1694087528"&gt;468&lt;/key&gt;&lt;/foreign-keys&gt;&lt;ref-type name="Journal Article"&gt;17&lt;/ref-type&gt;&lt;contributors&gt;&lt;authors&gt;&lt;author&gt;Ohishi, Akihiro&lt;/author&gt;&lt;author&gt;Keno, Yuka&lt;/author&gt;&lt;author&gt;Marumiya, Ayaka&lt;/author&gt;&lt;author&gt;Sudo, Yugo&lt;/author&gt;&lt;author&gt;Uda, Yukako&lt;/author&gt;&lt;author&gt;Matsuda, Kinuyo&lt;/author&gt;&lt;author&gt;Morita, Yuki&lt;/author&gt;&lt;author&gt;Furuta, Takahiro&lt;/author&gt;&lt;author&gt;Nishida, Kentaro&lt;/author&gt;&lt;author&gt;Nagasawa, Kazuki&lt;/author&gt;&lt;/authors&gt;&lt;/contributors&gt;&lt;titles&gt;&lt;title&gt;Expression level of P2X7 receptor is a determinant of ATP-induced death of mouse cultured neurons&lt;/title&gt;&lt;secondary-title&gt;Neuroscience&lt;/secondary-title&gt;&lt;/titles&gt;&lt;periodical&gt;&lt;full-title&gt;Neuroscience&lt;/full-title&gt;&lt;/periodical&gt;&lt;pages&gt;35-45&lt;/pages&gt;&lt;volume&gt;319&lt;/volume&gt;&lt;dates&gt;&lt;year&gt;2016&lt;/year&gt;&lt;/dates&gt;&lt;isbn&gt;0306-4522&lt;/isbn&gt;&lt;urls&gt;&lt;/urls&gt;&lt;/record&gt;&lt;/Cite&gt;&lt;/EndNote&gt;</w:instrText>
            </w:r>
            <w:r w:rsidRPr="00BE12AC">
              <w:rPr>
                <w:rFonts w:ascii="Book Antiqua" w:hAnsi="Book Antiqua" w:cs="Palatino Linotype"/>
                <w:lang w:eastAsia="zh-CN"/>
              </w:rPr>
              <w:fldChar w:fldCharType="separate"/>
            </w:r>
            <w:r w:rsidRPr="00BE12AC">
              <w:rPr>
                <w:rFonts w:ascii="Book Antiqua" w:hAnsi="Book Antiqua" w:cs="Palatino Linotype"/>
                <w:lang w:eastAsia="zh-CN"/>
              </w:rPr>
              <w:fldChar w:fldCharType="begin"/>
            </w:r>
            <w:r w:rsidRPr="00BE12AC">
              <w:rPr>
                <w:rFonts w:ascii="Book Antiqua" w:hAnsi="Book Antiqua" w:cs="Palatino Linotype"/>
                <w:lang w:eastAsia="zh-CN"/>
              </w:rPr>
              <w:instrText xml:space="preserve"> ADDIN EN.CITE &lt;EndNote&gt;&lt;Cite&gt;&lt;Author&gt;Ohishi&lt;/Author&gt;&lt;Year&gt;2016&lt;/Year&gt;&lt;RecNum&gt;468&lt;/RecNum&gt;&lt;DisplayText&gt;[38]&lt;/DisplayText&gt;&lt;record&gt;&lt;rec-number&gt;468&lt;/rec-number&gt;&lt;foreign-keys&gt;&lt;key app="EN" db-id="pd0s2aracstzr2eexe6vvzxbxxswvapwzxra" timestamp="1694087528"&gt;468&lt;/key&gt;&lt;/foreign-keys&gt;&lt;ref-type name="Journal Article"&gt;17&lt;/ref-type&gt;&lt;contributors&gt;&lt;authors&gt;&lt;author&gt;Ohishi, Akihiro&lt;/author&gt;&lt;author&gt;Keno, Yuka&lt;/author&gt;&lt;author&gt;Marumiya, Ayaka&lt;/author&gt;&lt;author&gt;Sudo, Yugo&lt;/author&gt;&lt;author&gt;Uda, Yukako&lt;/author&gt;&lt;author&gt;Matsuda, Kinuyo&lt;/author&gt;&lt;author&gt;Morita, Yuki&lt;/author&gt;&lt;author&gt;Furuta, Takahiro&lt;/author&gt;&lt;author&gt;Nishida, Kentaro&lt;/author&gt;&lt;author&gt;Nagasawa, Kazuki&lt;/author&gt;&lt;/authors&gt;&lt;/contributors&gt;&lt;titles&gt;&lt;title&gt;Expression level of P2X7 receptor is a determinant of ATP-induced death of mouse cultured neurons&lt;/title&gt;&lt;secondary-title&gt;Neuroscience&lt;/secondary-title&gt;&lt;/titles&gt;&lt;periodical&gt;&lt;full-title&gt;Neuroscience&lt;/full-title&gt;&lt;/periodical&gt;&lt;pages&gt;35-45&lt;/pages&gt;&lt;volume&gt;319&lt;/volume&gt;&lt;dates&gt;&lt;year&gt;2016&lt;/year&gt;&lt;/dates&gt;&lt;isbn&gt;0306-4522&lt;/isbn&gt;&lt;urls&gt;&lt;/urls&gt;&lt;/record&gt;&lt;/Cite&gt;&lt;/EndNote&gt;</w:instrText>
            </w:r>
            <w:r w:rsidRPr="00BE12AC">
              <w:rPr>
                <w:rFonts w:ascii="Book Antiqua" w:hAnsi="Book Antiqua" w:cs="Palatino Linotype"/>
                <w:lang w:eastAsia="zh-CN"/>
              </w:rPr>
              <w:fldChar w:fldCharType="separate"/>
            </w:r>
            <w:r w:rsidRPr="00BE12AC">
              <w:rPr>
                <w:rFonts w:ascii="Book Antiqua" w:hAnsi="Book Antiqua" w:cs="Palatino Linotype"/>
                <w:lang w:eastAsia="zh-CN"/>
              </w:rPr>
              <w:t xml:space="preserve">Ohishi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[38]</w:t>
            </w:r>
            <w:r w:rsidRPr="00BE12AC">
              <w:rPr>
                <w:rFonts w:ascii="Book Antiqua" w:hAnsi="Book Antiqua" w:cs="Palatino Linotype"/>
                <w:vertAlign w:val="superscript"/>
                <w:lang w:eastAsia="zh-CN"/>
              </w:rPr>
              <w:fldChar w:fldCharType="end"/>
            </w:r>
            <w:r w:rsidRPr="00BE12AC">
              <w:rPr>
                <w:rFonts w:ascii="Book Antiqua" w:hAnsi="Book Antiqua" w:cs="Palatino Linotype"/>
                <w:lang w:eastAsia="zh-CN"/>
              </w:rPr>
              <w:fldChar w:fldCharType="end"/>
            </w:r>
            <w:r w:rsidRPr="00BE12AC">
              <w:rPr>
                <w:rFonts w:ascii="Book Antiqua" w:hAnsi="Book Antiqua" w:cs="Palatino Linotype"/>
                <w:lang w:eastAsia="zh-CN"/>
              </w:rPr>
              <w:fldChar w:fldCharType="end"/>
            </w:r>
          </w:p>
        </w:tc>
      </w:tr>
      <w:tr w:rsidR="002F2D06" w:rsidRPr="00BE12AC" w14:paraId="27804F20" w14:textId="77777777" w:rsidTr="000A3E71">
        <w:trPr>
          <w:trHeight w:val="621"/>
          <w:jc w:val="center"/>
        </w:trPr>
        <w:tc>
          <w:tcPr>
            <w:tcW w:w="1006" w:type="dxa"/>
            <w:tcBorders>
              <w:top w:val="nil"/>
              <w:left w:val="nil"/>
              <w:bottom w:val="nil"/>
              <w:right w:val="nil"/>
            </w:tcBorders>
          </w:tcPr>
          <w:p w14:paraId="2BCA49C1"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P2RY6</w:t>
            </w:r>
          </w:p>
        </w:tc>
        <w:tc>
          <w:tcPr>
            <w:tcW w:w="2255" w:type="dxa"/>
            <w:tcBorders>
              <w:top w:val="nil"/>
              <w:left w:val="nil"/>
              <w:bottom w:val="nil"/>
              <w:right w:val="nil"/>
            </w:tcBorders>
          </w:tcPr>
          <w:p w14:paraId="0A7C49C2"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P2R purinoceptor 6</w:t>
            </w:r>
          </w:p>
        </w:tc>
        <w:tc>
          <w:tcPr>
            <w:tcW w:w="4480" w:type="dxa"/>
            <w:tcBorders>
              <w:top w:val="nil"/>
              <w:left w:val="nil"/>
              <w:bottom w:val="nil"/>
              <w:right w:val="nil"/>
            </w:tcBorders>
          </w:tcPr>
          <w:p w14:paraId="5D264661"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P2Y6 may be involved in calcium signaling leading to cell death</w:t>
            </w:r>
          </w:p>
        </w:tc>
        <w:tc>
          <w:tcPr>
            <w:tcW w:w="742" w:type="dxa"/>
            <w:tcBorders>
              <w:top w:val="nil"/>
              <w:left w:val="nil"/>
              <w:bottom w:val="nil"/>
              <w:right w:val="nil"/>
            </w:tcBorders>
          </w:tcPr>
          <w:p w14:paraId="2066EC34"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fldChar w:fldCharType="begin"/>
            </w:r>
            <w:r w:rsidRPr="00BE12AC">
              <w:rPr>
                <w:rFonts w:ascii="Book Antiqua" w:hAnsi="Book Antiqua" w:cs="Palatino Linotype"/>
                <w:lang w:eastAsia="zh-CN"/>
              </w:rPr>
              <w:instrText xml:space="preserve"> REF _Ref3402 \w \h  \* MERGEFORMAT </w:instrText>
            </w:r>
            <w:r w:rsidRPr="00BE12AC">
              <w:rPr>
                <w:rFonts w:ascii="Book Antiqua" w:hAnsi="Book Antiqua" w:cs="Palatino Linotype"/>
                <w:lang w:eastAsia="zh-CN"/>
              </w:rPr>
            </w:r>
            <w:r w:rsidRPr="00BE12AC">
              <w:rPr>
                <w:rFonts w:ascii="Book Antiqua" w:hAnsi="Book Antiqua" w:cs="Palatino Linotype"/>
                <w:lang w:eastAsia="zh-CN"/>
              </w:rPr>
              <w:fldChar w:fldCharType="separate"/>
            </w:r>
            <w:r w:rsidRPr="00BE12AC">
              <w:rPr>
                <w:rFonts w:ascii="Book Antiqua" w:hAnsi="Book Antiqua" w:cs="Palatino Linotype"/>
                <w:lang w:eastAsia="zh-CN"/>
              </w:rPr>
              <w:t>Yoon</w:t>
            </w:r>
            <w:r w:rsidRPr="00BE12AC">
              <w:rPr>
                <w:rFonts w:ascii="Book Antiqua" w:hAnsi="Book Antiqua" w:cs="Palatino Linotype"/>
                <w:i/>
                <w:iCs/>
                <w:lang w:eastAsia="zh-CN"/>
              </w:rPr>
              <w:t xml:space="preserve"> 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[39]</w:t>
            </w:r>
            <w:r w:rsidRPr="00BE12AC">
              <w:rPr>
                <w:rFonts w:ascii="Book Antiqua" w:hAnsi="Book Antiqua" w:cs="Palatino Linotype"/>
                <w:vertAlign w:val="superscript"/>
                <w:lang w:eastAsia="zh-CN"/>
              </w:rPr>
              <w:fldChar w:fldCharType="end"/>
            </w:r>
            <w:r w:rsidRPr="00BE12AC">
              <w:rPr>
                <w:rFonts w:ascii="Book Antiqua" w:hAnsi="Book Antiqua" w:cs="Palatino Linotype"/>
                <w:lang w:eastAsia="zh-CN"/>
              </w:rPr>
              <w:fldChar w:fldCharType="end"/>
            </w:r>
          </w:p>
        </w:tc>
      </w:tr>
      <w:tr w:rsidR="002F2D06" w:rsidRPr="00BE12AC" w14:paraId="7CA15247" w14:textId="77777777" w:rsidTr="000A3E71">
        <w:trPr>
          <w:trHeight w:val="688"/>
          <w:jc w:val="center"/>
        </w:trPr>
        <w:tc>
          <w:tcPr>
            <w:tcW w:w="1006" w:type="dxa"/>
            <w:tcBorders>
              <w:top w:val="nil"/>
              <w:left w:val="nil"/>
              <w:bottom w:val="nil"/>
              <w:right w:val="nil"/>
            </w:tcBorders>
          </w:tcPr>
          <w:p w14:paraId="00683600"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lastRenderedPageBreak/>
              <w:t>P2RY4</w:t>
            </w:r>
          </w:p>
        </w:tc>
        <w:tc>
          <w:tcPr>
            <w:tcW w:w="2255" w:type="dxa"/>
            <w:tcBorders>
              <w:top w:val="nil"/>
              <w:left w:val="nil"/>
              <w:bottom w:val="nil"/>
              <w:right w:val="nil"/>
            </w:tcBorders>
          </w:tcPr>
          <w:p w14:paraId="38EC5A65"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P2R purinoceptor 4</w:t>
            </w:r>
          </w:p>
        </w:tc>
        <w:tc>
          <w:tcPr>
            <w:tcW w:w="4480" w:type="dxa"/>
            <w:tcBorders>
              <w:top w:val="nil"/>
              <w:left w:val="nil"/>
              <w:bottom w:val="nil"/>
              <w:right w:val="nil"/>
            </w:tcBorders>
          </w:tcPr>
          <w:p w14:paraId="5E54979A"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P2Y6 may be involved in calcium signaling leading to cell death</w:t>
            </w:r>
          </w:p>
        </w:tc>
        <w:tc>
          <w:tcPr>
            <w:tcW w:w="742" w:type="dxa"/>
            <w:tcBorders>
              <w:top w:val="nil"/>
              <w:left w:val="nil"/>
              <w:bottom w:val="nil"/>
              <w:right w:val="nil"/>
            </w:tcBorders>
          </w:tcPr>
          <w:p w14:paraId="6E48DF09"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fldChar w:fldCharType="begin"/>
            </w:r>
            <w:r w:rsidRPr="00BE12AC">
              <w:rPr>
                <w:rFonts w:ascii="Book Antiqua" w:hAnsi="Book Antiqua" w:cs="Palatino Linotype"/>
                <w:lang w:eastAsia="zh-CN"/>
              </w:rPr>
              <w:instrText xml:space="preserve"> ADDIN EN.CITE &lt;EndNote&gt;&lt;Cite&gt;&lt;Author&gt;Ohishi&lt;/Author&gt;&lt;Year&gt;2016&lt;/Year&gt;&lt;RecNum&gt;468&lt;/RecNum&gt;&lt;DisplayText&gt;[38]&lt;/DisplayText&gt;&lt;record&gt;&lt;rec-number&gt;468&lt;/rec-number&gt;&lt;foreign-keys&gt;&lt;key app="EN" db-id="pd0s2aracstzr2eexe6vvzxbxxswvapwzxra" timestamp="1694087528"&gt;468&lt;/key&gt;&lt;/foreign-keys&gt;&lt;ref-type name="Journal Article"&gt;17&lt;/ref-type&gt;&lt;contributors&gt;&lt;authors&gt;&lt;author&gt;Ohishi, Akihiro&lt;/author&gt;&lt;author&gt;Keno, Yuka&lt;/author&gt;&lt;author&gt;Marumiya, Ayaka&lt;/author&gt;&lt;author&gt;Sudo, Yugo&lt;/author&gt;&lt;author&gt;Uda, Yukako&lt;/author&gt;&lt;author&gt;Matsuda, Kinuyo&lt;/author&gt;&lt;author&gt;Morita, Yuki&lt;/author&gt;&lt;author&gt;Furuta, Takahiro&lt;/author&gt;&lt;author&gt;Nishida, Kentaro&lt;/author&gt;&lt;author&gt;Nagasawa, Kazuki&lt;/author&gt;&lt;/authors&gt;&lt;/contributors&gt;&lt;titles&gt;&lt;title&gt;Expression level of P2X7 receptor is a determinant of ATP-induced death of mouse cultured neurons&lt;/title&gt;&lt;secondary-title&gt;Neuroscience&lt;/secondary-title&gt;&lt;/titles&gt;&lt;periodical&gt;&lt;full-title&gt;Neuroscience&lt;/full-title&gt;&lt;/periodical&gt;&lt;pages&gt;35-45&lt;/pages&gt;&lt;volume&gt;319&lt;/volume&gt;&lt;dates&gt;&lt;year&gt;2016&lt;/year&gt;&lt;/dates&gt;&lt;isbn&gt;0306-4522&lt;/isbn&gt;&lt;urls&gt;&lt;/urls&gt;&lt;/record&gt;&lt;/Cite&gt;&lt;/EndNote&gt;</w:instrText>
            </w:r>
            <w:r w:rsidRPr="00BE12AC">
              <w:rPr>
                <w:rFonts w:ascii="Book Antiqua" w:hAnsi="Book Antiqua" w:cs="Palatino Linotype"/>
                <w:lang w:eastAsia="zh-CN"/>
              </w:rPr>
              <w:fldChar w:fldCharType="separate"/>
            </w:r>
            <w:r w:rsidRPr="00BE12AC">
              <w:rPr>
                <w:rFonts w:ascii="Book Antiqua" w:hAnsi="Book Antiqua" w:cs="Palatino Linotype"/>
                <w:lang w:eastAsia="zh-CN"/>
              </w:rPr>
              <w:fldChar w:fldCharType="begin"/>
            </w:r>
            <w:r w:rsidRPr="00BE12AC">
              <w:rPr>
                <w:rFonts w:ascii="Book Antiqua" w:hAnsi="Book Antiqua" w:cs="Palatino Linotype"/>
                <w:lang w:eastAsia="zh-CN"/>
              </w:rPr>
              <w:instrText xml:space="preserve"> ADDIN EN.CITE &lt;EndNote&gt;&lt;Cite&gt;&lt;Author&gt;Ohishi&lt;/Author&gt;&lt;Year&gt;2016&lt;/Year&gt;&lt;RecNum&gt;468&lt;/RecNum&gt;&lt;DisplayText&gt;[38]&lt;/DisplayText&gt;&lt;record&gt;&lt;rec-number&gt;468&lt;/rec-number&gt;&lt;foreign-keys&gt;&lt;key app="EN" db-id="pd0s2aracstzr2eexe6vvzxbxxswvapwzxra" timestamp="1694087528"&gt;468&lt;/key&gt;&lt;/foreign-keys&gt;&lt;ref-type name="Journal Article"&gt;17&lt;/ref-type&gt;&lt;contributors&gt;&lt;authors&gt;&lt;author&gt;Ohishi, Akihiro&lt;/author&gt;&lt;author&gt;Keno, Yuka&lt;/author&gt;&lt;author&gt;Marumiya, Ayaka&lt;/author&gt;&lt;author&gt;Sudo, Yugo&lt;/author&gt;&lt;author&gt;Uda, Yukako&lt;/author&gt;&lt;author&gt;Matsuda, Kinuyo&lt;/author&gt;&lt;author&gt;Morita, Yuki&lt;/author&gt;&lt;author&gt;Furuta, Takahiro&lt;/author&gt;&lt;author&gt;Nishida, Kentaro&lt;/author&gt;&lt;author&gt;Nagasawa, Kazuki&lt;/author&gt;&lt;/authors&gt;&lt;/contributors&gt;&lt;titles&gt;&lt;title&gt;Expression level of P2X7 receptor is a determinant of ATP-induced death of mouse cultured neurons&lt;/title&gt;&lt;secondary-title&gt;Neuroscience&lt;/secondary-title&gt;&lt;/titles&gt;&lt;periodical&gt;&lt;full-title&gt;Neuroscience&lt;/full-title&gt;&lt;/periodical&gt;&lt;pages&gt;35-45&lt;/pages&gt;&lt;volume&gt;319&lt;/volume&gt;&lt;dates&gt;&lt;year&gt;2016&lt;/year&gt;&lt;/dates&gt;&lt;isbn&gt;0306-4522&lt;/isbn&gt;&lt;urls&gt;&lt;/urls&gt;&lt;/record&gt;&lt;/Cite&gt;&lt;/EndNote&gt;</w:instrText>
            </w:r>
            <w:r w:rsidRPr="00BE12AC">
              <w:rPr>
                <w:rFonts w:ascii="Book Antiqua" w:hAnsi="Book Antiqua" w:cs="Palatino Linotype"/>
                <w:lang w:eastAsia="zh-CN"/>
              </w:rPr>
              <w:fldChar w:fldCharType="separate"/>
            </w:r>
            <w:r w:rsidRPr="00BE12AC">
              <w:rPr>
                <w:rFonts w:ascii="Book Antiqua" w:hAnsi="Book Antiqua" w:cs="Palatino Linotype"/>
                <w:lang w:eastAsia="zh-CN"/>
              </w:rPr>
              <w:t xml:space="preserve">Ohishi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[38]</w:t>
            </w:r>
            <w:r w:rsidRPr="00BE12AC">
              <w:rPr>
                <w:rFonts w:ascii="Book Antiqua" w:hAnsi="Book Antiqua" w:cs="Palatino Linotype"/>
                <w:vertAlign w:val="superscript"/>
                <w:lang w:eastAsia="zh-CN"/>
              </w:rPr>
              <w:fldChar w:fldCharType="end"/>
            </w:r>
            <w:r w:rsidRPr="00BE12AC">
              <w:rPr>
                <w:rFonts w:ascii="Book Antiqua" w:hAnsi="Book Antiqua" w:cs="Palatino Linotype"/>
                <w:lang w:eastAsia="zh-CN"/>
              </w:rPr>
              <w:fldChar w:fldCharType="end"/>
            </w:r>
            <w:r w:rsidRPr="00BE12AC">
              <w:rPr>
                <w:rFonts w:ascii="Book Antiqua" w:hAnsi="Book Antiqua" w:cs="Palatino Linotype"/>
                <w:lang w:eastAsia="zh-CN"/>
              </w:rPr>
              <w:fldChar w:fldCharType="end"/>
            </w:r>
          </w:p>
        </w:tc>
      </w:tr>
      <w:tr w:rsidR="002F2D06" w:rsidRPr="00BE12AC" w14:paraId="657F0951" w14:textId="77777777" w:rsidTr="000A3E71">
        <w:trPr>
          <w:trHeight w:val="733"/>
          <w:jc w:val="center"/>
        </w:trPr>
        <w:tc>
          <w:tcPr>
            <w:tcW w:w="1006" w:type="dxa"/>
            <w:tcBorders>
              <w:top w:val="nil"/>
              <w:left w:val="nil"/>
              <w:bottom w:val="nil"/>
              <w:right w:val="nil"/>
            </w:tcBorders>
          </w:tcPr>
          <w:p w14:paraId="53DE714B"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P2RY2</w:t>
            </w:r>
          </w:p>
        </w:tc>
        <w:tc>
          <w:tcPr>
            <w:tcW w:w="2255" w:type="dxa"/>
            <w:tcBorders>
              <w:top w:val="nil"/>
              <w:left w:val="nil"/>
              <w:bottom w:val="nil"/>
              <w:right w:val="nil"/>
            </w:tcBorders>
          </w:tcPr>
          <w:p w14:paraId="17AD1BB2"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P2R purinoceptor 2</w:t>
            </w:r>
          </w:p>
        </w:tc>
        <w:tc>
          <w:tcPr>
            <w:tcW w:w="4480" w:type="dxa"/>
            <w:tcBorders>
              <w:top w:val="nil"/>
              <w:left w:val="nil"/>
              <w:bottom w:val="nil"/>
              <w:right w:val="nil"/>
            </w:tcBorders>
          </w:tcPr>
          <w:p w14:paraId="670C4025"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ATP binding triggers intracellular signaling pathways that may lead to cell death</w:t>
            </w:r>
          </w:p>
        </w:tc>
        <w:tc>
          <w:tcPr>
            <w:tcW w:w="742" w:type="dxa"/>
            <w:tcBorders>
              <w:top w:val="nil"/>
              <w:left w:val="nil"/>
              <w:bottom w:val="nil"/>
              <w:right w:val="nil"/>
            </w:tcBorders>
          </w:tcPr>
          <w:p w14:paraId="5C05CC64"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fldChar w:fldCharType="begin"/>
            </w:r>
            <w:r w:rsidRPr="00BE12AC">
              <w:rPr>
                <w:rFonts w:ascii="Book Antiqua" w:hAnsi="Book Antiqua" w:cs="Palatino Linotype"/>
                <w:lang w:eastAsia="zh-CN"/>
              </w:rPr>
              <w:instrText xml:space="preserve"> ADDIN EN.CITE &lt;EndNote&gt;&lt;Cite&gt;&lt;Author&gt;Ohishi&lt;/Author&gt;&lt;Year&gt;2016&lt;/Year&gt;&lt;RecNum&gt;468&lt;/RecNum&gt;&lt;DisplayText&gt;[38]&lt;/DisplayText&gt;&lt;record&gt;&lt;rec-number&gt;468&lt;/rec-number&gt;&lt;foreign-keys&gt;&lt;key app="EN" db-id="pd0s2aracstzr2eexe6vvzxbxxswvapwzxra" timestamp="1694087528"&gt;468&lt;/key&gt;&lt;/foreign-keys&gt;&lt;ref-type name="Journal Article"&gt;17&lt;/ref-type&gt;&lt;contributors&gt;&lt;authors&gt;&lt;author&gt;Ohishi, Akihiro&lt;/author&gt;&lt;author&gt;Keno, Yuka&lt;/author&gt;&lt;author&gt;Marumiya, Ayaka&lt;/author&gt;&lt;author&gt;Sudo, Yugo&lt;/author&gt;&lt;author&gt;Uda, Yukako&lt;/author&gt;&lt;author&gt;Matsuda, Kinuyo&lt;/author&gt;&lt;author&gt;Morita, Yuki&lt;/author&gt;&lt;author&gt;Furuta, Takahiro&lt;/author&gt;&lt;author&gt;Nishida, Kentaro&lt;/author&gt;&lt;author&gt;Nagasawa, Kazuki&lt;/author&gt;&lt;/authors&gt;&lt;/contributors&gt;&lt;titles&gt;&lt;title&gt;Expression level of P2X7 receptor is a determinant of ATP-induced death of mouse cultured neurons&lt;/title&gt;&lt;secondary-title&gt;Neuroscience&lt;/secondary-title&gt;&lt;/titles&gt;&lt;periodical&gt;&lt;full-title&gt;Neuroscience&lt;/full-title&gt;&lt;/periodical&gt;&lt;pages&gt;35-45&lt;/pages&gt;&lt;volume&gt;319&lt;/volume&gt;&lt;dates&gt;&lt;year&gt;2016&lt;/year&gt;&lt;/dates&gt;&lt;isbn&gt;0306-4522&lt;/isbn&gt;&lt;urls&gt;&lt;/urls&gt;&lt;/record&gt;&lt;/Cite&gt;&lt;/EndNote&gt;</w:instrText>
            </w:r>
            <w:r w:rsidRPr="00BE12AC">
              <w:rPr>
                <w:rFonts w:ascii="Book Antiqua" w:hAnsi="Book Antiqua" w:cs="Palatino Linotype"/>
                <w:lang w:eastAsia="zh-CN"/>
              </w:rPr>
              <w:fldChar w:fldCharType="separate"/>
            </w:r>
            <w:r w:rsidRPr="00BE12AC">
              <w:rPr>
                <w:rFonts w:ascii="Book Antiqua" w:hAnsi="Book Antiqua" w:cs="Palatino Linotype"/>
                <w:lang w:eastAsia="zh-CN"/>
              </w:rPr>
              <w:fldChar w:fldCharType="begin"/>
            </w:r>
            <w:r w:rsidRPr="00BE12AC">
              <w:rPr>
                <w:rFonts w:ascii="Book Antiqua" w:hAnsi="Book Antiqua" w:cs="Palatino Linotype"/>
                <w:lang w:eastAsia="zh-CN"/>
              </w:rPr>
              <w:instrText xml:space="preserve"> ADDIN EN.CITE &lt;EndNote&gt;&lt;Cite&gt;&lt;Author&gt;Ohishi&lt;/Author&gt;&lt;Year&gt;2016&lt;/Year&gt;&lt;RecNum&gt;468&lt;/RecNum&gt;&lt;DisplayText&gt;[38]&lt;/DisplayText&gt;&lt;record&gt;&lt;rec-number&gt;468&lt;/rec-number&gt;&lt;foreign-keys&gt;&lt;key app="EN" db-id="pd0s2aracstzr2eexe6vvzxbxxswvapwzxra" timestamp="1694087528"&gt;468&lt;/key&gt;&lt;/foreign-keys&gt;&lt;ref-type name="Journal Article"&gt;17&lt;/ref-type&gt;&lt;contributors&gt;&lt;authors&gt;&lt;author&gt;Ohishi, Akihiro&lt;/author&gt;&lt;author&gt;Keno, Yuka&lt;/author&gt;&lt;author&gt;Marumiya, Ayaka&lt;/author&gt;&lt;author&gt;Sudo, Yugo&lt;/author&gt;&lt;author&gt;Uda, Yukako&lt;/author&gt;&lt;author&gt;Matsuda, Kinuyo&lt;/author&gt;&lt;author&gt;Morita, Yuki&lt;/author&gt;&lt;author&gt;Furuta, Takahiro&lt;/author&gt;&lt;author&gt;Nishida, Kentaro&lt;/author&gt;&lt;author&gt;Nagasawa, Kazuki&lt;/author&gt;&lt;/authors&gt;&lt;/contributors&gt;&lt;titles&gt;&lt;title&gt;Expression level of P2X7 receptor is a determinant of ATP-induced death of mouse cultured neurons&lt;/title&gt;&lt;secondary-title&gt;Neuroscience&lt;/secondary-title&gt;&lt;/titles&gt;&lt;periodical&gt;&lt;full-title&gt;Neuroscience&lt;/full-title&gt;&lt;/periodical&gt;&lt;pages&gt;35-45&lt;/pages&gt;&lt;volume&gt;319&lt;/volume&gt;&lt;dates&gt;&lt;year&gt;2016&lt;/year&gt;&lt;/dates&gt;&lt;isbn&gt;0306-4522&lt;/isbn&gt;&lt;urls&gt;&lt;/urls&gt;&lt;/record&gt;&lt;/Cite&gt;&lt;/EndNote&gt;</w:instrText>
            </w:r>
            <w:r w:rsidRPr="00BE12AC">
              <w:rPr>
                <w:rFonts w:ascii="Book Antiqua" w:hAnsi="Book Antiqua" w:cs="Palatino Linotype"/>
                <w:lang w:eastAsia="zh-CN"/>
              </w:rPr>
              <w:fldChar w:fldCharType="separate"/>
            </w:r>
            <w:r w:rsidRPr="00BE12AC">
              <w:rPr>
                <w:rFonts w:ascii="Book Antiqua" w:hAnsi="Book Antiqua" w:cs="Palatino Linotype"/>
                <w:lang w:eastAsia="zh-CN"/>
              </w:rPr>
              <w:t xml:space="preserve">Ohishi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[38]</w:t>
            </w:r>
            <w:r w:rsidRPr="00BE12AC">
              <w:rPr>
                <w:rFonts w:ascii="Book Antiqua" w:hAnsi="Book Antiqua" w:cs="Palatino Linotype"/>
                <w:vertAlign w:val="superscript"/>
                <w:lang w:eastAsia="zh-CN"/>
              </w:rPr>
              <w:fldChar w:fldCharType="end"/>
            </w:r>
            <w:r w:rsidRPr="00BE12AC">
              <w:rPr>
                <w:rFonts w:ascii="Book Antiqua" w:hAnsi="Book Antiqua" w:cs="Palatino Linotype"/>
                <w:lang w:eastAsia="zh-CN"/>
              </w:rPr>
              <w:fldChar w:fldCharType="end"/>
            </w:r>
            <w:r w:rsidRPr="00BE12AC">
              <w:rPr>
                <w:rFonts w:ascii="Book Antiqua" w:hAnsi="Book Antiqua" w:cs="Palatino Linotype"/>
                <w:lang w:eastAsia="zh-CN"/>
              </w:rPr>
              <w:fldChar w:fldCharType="end"/>
            </w:r>
          </w:p>
        </w:tc>
      </w:tr>
      <w:tr w:rsidR="002F2D06" w:rsidRPr="00BE12AC" w14:paraId="75627CE7" w14:textId="77777777" w:rsidTr="000A3E71">
        <w:trPr>
          <w:trHeight w:val="715"/>
          <w:jc w:val="center"/>
        </w:trPr>
        <w:tc>
          <w:tcPr>
            <w:tcW w:w="1006" w:type="dxa"/>
            <w:tcBorders>
              <w:top w:val="nil"/>
              <w:left w:val="nil"/>
              <w:bottom w:val="nil"/>
              <w:right w:val="nil"/>
            </w:tcBorders>
          </w:tcPr>
          <w:p w14:paraId="55956555"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ANO6</w:t>
            </w:r>
          </w:p>
        </w:tc>
        <w:tc>
          <w:tcPr>
            <w:tcW w:w="2255" w:type="dxa"/>
            <w:tcBorders>
              <w:top w:val="nil"/>
              <w:left w:val="nil"/>
              <w:bottom w:val="nil"/>
              <w:right w:val="nil"/>
            </w:tcBorders>
          </w:tcPr>
          <w:p w14:paraId="5F5D3FD9"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Anoctamin-6</w:t>
            </w:r>
          </w:p>
        </w:tc>
        <w:tc>
          <w:tcPr>
            <w:tcW w:w="4480" w:type="dxa"/>
            <w:tcBorders>
              <w:top w:val="nil"/>
              <w:left w:val="nil"/>
              <w:bottom w:val="nil"/>
              <w:right w:val="nil"/>
            </w:tcBorders>
          </w:tcPr>
          <w:p w14:paraId="17675D19"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As a calcium-activating channel and superburning enzyme, it may influence cell death pathways</w:t>
            </w:r>
          </w:p>
        </w:tc>
        <w:tc>
          <w:tcPr>
            <w:tcW w:w="742" w:type="dxa"/>
            <w:tcBorders>
              <w:top w:val="nil"/>
              <w:left w:val="nil"/>
              <w:bottom w:val="nil"/>
              <w:right w:val="nil"/>
            </w:tcBorders>
          </w:tcPr>
          <w:p w14:paraId="736B45D2"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Ousingsawat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[48]</w:t>
            </w:r>
            <w:r w:rsidRPr="00BE12AC">
              <w:rPr>
                <w:rFonts w:ascii="Book Antiqua" w:hAnsi="Book Antiqua" w:cs="Palatino Linotype"/>
                <w:vertAlign w:val="superscript"/>
                <w:lang w:eastAsia="zh-CN"/>
              </w:rPr>
              <w:fldChar w:fldCharType="end"/>
            </w:r>
          </w:p>
        </w:tc>
      </w:tr>
      <w:tr w:rsidR="002F2D06" w:rsidRPr="00BE12AC" w14:paraId="5F0305F1" w14:textId="77777777" w:rsidTr="000A3E71">
        <w:trPr>
          <w:trHeight w:val="442"/>
          <w:jc w:val="center"/>
        </w:trPr>
        <w:tc>
          <w:tcPr>
            <w:tcW w:w="1006" w:type="dxa"/>
            <w:tcBorders>
              <w:top w:val="nil"/>
              <w:left w:val="nil"/>
              <w:bottom w:val="nil"/>
              <w:right w:val="nil"/>
            </w:tcBorders>
          </w:tcPr>
          <w:p w14:paraId="5E5E8E3F"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cyclinE2</w:t>
            </w:r>
          </w:p>
        </w:tc>
        <w:tc>
          <w:tcPr>
            <w:tcW w:w="2255" w:type="dxa"/>
            <w:tcBorders>
              <w:top w:val="nil"/>
              <w:left w:val="nil"/>
              <w:bottom w:val="nil"/>
              <w:right w:val="nil"/>
            </w:tcBorders>
          </w:tcPr>
          <w:p w14:paraId="6C83E91E"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Cyclin</w:t>
            </w:r>
            <w:r>
              <w:rPr>
                <w:rFonts w:ascii="Book Antiqua" w:hAnsi="Book Antiqua" w:cs="Palatino Linotype"/>
                <w:lang w:eastAsia="zh-CN"/>
              </w:rPr>
              <w:t xml:space="preserve"> </w:t>
            </w:r>
            <w:r w:rsidRPr="00BE12AC">
              <w:rPr>
                <w:rFonts w:ascii="Book Antiqua" w:hAnsi="Book Antiqua" w:cs="Palatino Linotype"/>
                <w:lang w:eastAsia="zh-CN"/>
              </w:rPr>
              <w:t>E2</w:t>
            </w:r>
          </w:p>
        </w:tc>
        <w:tc>
          <w:tcPr>
            <w:tcW w:w="4480" w:type="dxa"/>
            <w:tcBorders>
              <w:top w:val="nil"/>
              <w:left w:val="nil"/>
              <w:bottom w:val="nil"/>
              <w:right w:val="nil"/>
            </w:tcBorders>
          </w:tcPr>
          <w:p w14:paraId="1B9302C3"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NA</w:t>
            </w:r>
          </w:p>
        </w:tc>
        <w:tc>
          <w:tcPr>
            <w:tcW w:w="742" w:type="dxa"/>
            <w:tcBorders>
              <w:top w:val="nil"/>
              <w:left w:val="nil"/>
              <w:bottom w:val="nil"/>
              <w:right w:val="nil"/>
            </w:tcBorders>
          </w:tcPr>
          <w:p w14:paraId="71DDA4AA"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Wang</w:t>
            </w:r>
            <w:r w:rsidRPr="00BE12AC">
              <w:rPr>
                <w:rFonts w:ascii="Book Antiqua" w:hAnsi="Book Antiqua" w:cs="Palatino Linotype"/>
                <w:i/>
                <w:iCs/>
                <w:lang w:eastAsia="zh-CN"/>
              </w:rPr>
              <w:t xml:space="preserve"> 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[49]</w:t>
            </w:r>
            <w:r w:rsidRPr="00BE12AC">
              <w:rPr>
                <w:rFonts w:ascii="Book Antiqua" w:hAnsi="Book Antiqua" w:cs="Palatino Linotype"/>
                <w:vertAlign w:val="superscript"/>
                <w:lang w:eastAsia="zh-CN"/>
              </w:rPr>
              <w:fldChar w:fldCharType="end"/>
            </w:r>
          </w:p>
        </w:tc>
      </w:tr>
      <w:tr w:rsidR="002F2D06" w:rsidRPr="00BE12AC" w14:paraId="41E692C2" w14:textId="77777777" w:rsidTr="000A3E71">
        <w:trPr>
          <w:trHeight w:val="486"/>
          <w:jc w:val="center"/>
        </w:trPr>
        <w:tc>
          <w:tcPr>
            <w:tcW w:w="1006" w:type="dxa"/>
            <w:tcBorders>
              <w:top w:val="nil"/>
              <w:left w:val="nil"/>
              <w:bottom w:val="single" w:sz="4" w:space="0" w:color="auto"/>
              <w:right w:val="nil"/>
            </w:tcBorders>
          </w:tcPr>
          <w:p w14:paraId="1207D5E1" w14:textId="77777777" w:rsidR="002F2D06" w:rsidRPr="00BE12AC" w:rsidRDefault="002F2D06" w:rsidP="000A3E71">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cyclinD2</w:t>
            </w:r>
          </w:p>
        </w:tc>
        <w:tc>
          <w:tcPr>
            <w:tcW w:w="2255" w:type="dxa"/>
            <w:tcBorders>
              <w:top w:val="nil"/>
              <w:left w:val="nil"/>
              <w:bottom w:val="single" w:sz="4" w:space="0" w:color="auto"/>
              <w:right w:val="nil"/>
            </w:tcBorders>
          </w:tcPr>
          <w:p w14:paraId="51A4DEB8"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Cyclin D2</w:t>
            </w:r>
          </w:p>
        </w:tc>
        <w:tc>
          <w:tcPr>
            <w:tcW w:w="4480" w:type="dxa"/>
            <w:tcBorders>
              <w:top w:val="nil"/>
              <w:left w:val="nil"/>
              <w:bottom w:val="single" w:sz="4" w:space="0" w:color="auto"/>
              <w:right w:val="nil"/>
            </w:tcBorders>
          </w:tcPr>
          <w:p w14:paraId="3D012BB6"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NA</w:t>
            </w:r>
          </w:p>
        </w:tc>
        <w:tc>
          <w:tcPr>
            <w:tcW w:w="742" w:type="dxa"/>
            <w:tcBorders>
              <w:top w:val="nil"/>
              <w:left w:val="nil"/>
              <w:bottom w:val="single" w:sz="4" w:space="0" w:color="auto"/>
              <w:right w:val="nil"/>
            </w:tcBorders>
          </w:tcPr>
          <w:p w14:paraId="70F6AA0C" w14:textId="77777777" w:rsidR="002F2D06" w:rsidRPr="00BE12AC" w:rsidRDefault="002F2D06" w:rsidP="000A3E71">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Wang</w:t>
            </w:r>
            <w:r w:rsidRPr="00BE12AC">
              <w:rPr>
                <w:rFonts w:ascii="Book Antiqua" w:hAnsi="Book Antiqua" w:cs="Palatino Linotype"/>
                <w:i/>
                <w:iCs/>
                <w:lang w:eastAsia="zh-CN"/>
              </w:rPr>
              <w:t xml:space="preserve"> 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宋体" w:eastAsia="宋体" w:hAnsi="宋体" w:cs="宋体"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[49]</w:t>
            </w:r>
            <w:r w:rsidRPr="00BE12AC">
              <w:rPr>
                <w:rFonts w:ascii="Book Antiqua" w:hAnsi="Book Antiqua" w:cs="Palatino Linotype"/>
                <w:vertAlign w:val="superscript"/>
                <w:lang w:eastAsia="zh-CN"/>
              </w:rPr>
              <w:fldChar w:fldCharType="end"/>
            </w:r>
          </w:p>
        </w:tc>
      </w:tr>
    </w:tbl>
    <w:p w14:paraId="51DE6321" w14:textId="4598F4D1" w:rsidR="00600DE7" w:rsidRPr="00BE12AC" w:rsidRDefault="002F2D06" w:rsidP="00873A9B">
      <w:pPr>
        <w:spacing w:line="360" w:lineRule="auto"/>
        <w:jc w:val="both"/>
        <w:rPr>
          <w:rFonts w:ascii="Book Antiqua" w:hAnsi="Book Antiqua" w:cs="Palatino Linotype"/>
          <w:b/>
          <w:bCs/>
        </w:rPr>
      </w:pPr>
      <w:r>
        <w:rPr>
          <w:rFonts w:ascii="Book Antiqua" w:hAnsi="Book Antiqua"/>
        </w:rPr>
        <w:t>IL-18: Interleukin 18; IL-1</w:t>
      </w:r>
      <w:r w:rsidRPr="006F7838">
        <w:rPr>
          <w:rFonts w:ascii="Symbol" w:hAnsi="Symbol"/>
        </w:rPr>
        <w:t>b</w:t>
      </w:r>
      <w:r>
        <w:rPr>
          <w:rFonts w:ascii="Book Antiqua" w:hAnsi="Book Antiqua"/>
        </w:rPr>
        <w:t xml:space="preserve">: Interleukin 1 beta; MAPK: Mitogen-activated protein kinase; </w:t>
      </w:r>
      <w:r w:rsidRPr="00BE12AC">
        <w:rPr>
          <w:rFonts w:ascii="Book Antiqua" w:hAnsi="Book Antiqua"/>
        </w:rPr>
        <w:t>NA: Not available.</w:t>
      </w:r>
      <w:r w:rsidRPr="00BE12AC">
        <w:rPr>
          <w:rFonts w:ascii="Book Antiqua" w:hAnsi="Book Antiqua" w:cs="Palatino Linotype"/>
          <w:b/>
          <w:bCs/>
        </w:rPr>
        <w:br w:type="page"/>
      </w:r>
      <w:r w:rsidR="00FC314E" w:rsidRPr="00BE12AC">
        <w:rPr>
          <w:rFonts w:ascii="Book Antiqua" w:hAnsi="Book Antiqua" w:cs="Palatino Linotype"/>
          <w:b/>
          <w:bCs/>
        </w:rPr>
        <w:lastRenderedPageBreak/>
        <w:t xml:space="preserve">Table 2 </w:t>
      </w:r>
      <w:r w:rsidR="00D4740B">
        <w:rPr>
          <w:rFonts w:ascii="Book Antiqua" w:hAnsi="Book Antiqua" w:cs="Palatino Linotype"/>
          <w:b/>
          <w:bCs/>
        </w:rPr>
        <w:t>M</w:t>
      </w:r>
      <w:r w:rsidR="00FC314E" w:rsidRPr="00BE12AC">
        <w:rPr>
          <w:rFonts w:ascii="Book Antiqua" w:hAnsi="Book Antiqua" w:cs="Palatino Linotype"/>
          <w:b/>
          <w:bCs/>
        </w:rPr>
        <w:t xml:space="preserve">icroRNAs corresponding to </w:t>
      </w:r>
      <w:r w:rsidR="00970EF6">
        <w:rPr>
          <w:rFonts w:ascii="Book Antiqua" w:hAnsi="Book Antiqua" w:cs="Palatino Linotype"/>
          <w:b/>
          <w:bCs/>
        </w:rPr>
        <w:t xml:space="preserve">the </w:t>
      </w:r>
      <w:r w:rsidR="00FC314E" w:rsidRPr="00BE12AC">
        <w:rPr>
          <w:rFonts w:ascii="Book Antiqua" w:hAnsi="Book Antiqua" w:cs="Palatino Linotype"/>
          <w:b/>
          <w:bCs/>
        </w:rPr>
        <w:t xml:space="preserve">mRNA of </w:t>
      </w:r>
      <w:r w:rsidR="00970EF6">
        <w:rPr>
          <w:rFonts w:ascii="Book Antiqua" w:hAnsi="Book Antiqua" w:cs="Palatino Linotype"/>
          <w:b/>
          <w:bCs/>
        </w:rPr>
        <w:t xml:space="preserve">a </w:t>
      </w:r>
      <w:r w:rsidR="00FC314E" w:rsidRPr="00BE12AC">
        <w:rPr>
          <w:rFonts w:ascii="Book Antiqua" w:hAnsi="Book Antiqua" w:cs="Palatino Linotype"/>
          <w:b/>
          <w:bCs/>
        </w:rPr>
        <w:t>prognostic model</w:t>
      </w:r>
    </w:p>
    <w:tbl>
      <w:tblPr>
        <w:tblW w:w="8019" w:type="dxa"/>
        <w:tblLook w:val="04A0" w:firstRow="1" w:lastRow="0" w:firstColumn="1" w:lastColumn="0" w:noHBand="0" w:noVBand="1"/>
      </w:tblPr>
      <w:tblGrid>
        <w:gridCol w:w="2021"/>
        <w:gridCol w:w="2454"/>
        <w:gridCol w:w="2245"/>
        <w:gridCol w:w="1299"/>
      </w:tblGrid>
      <w:tr w:rsidR="000D0B36" w:rsidRPr="00BE12AC" w14:paraId="3E97FE89" w14:textId="77777777">
        <w:trPr>
          <w:trHeight w:val="318"/>
        </w:trPr>
        <w:tc>
          <w:tcPr>
            <w:tcW w:w="2021" w:type="dxa"/>
            <w:tcBorders>
              <w:top w:val="single" w:sz="4" w:space="0" w:color="auto"/>
              <w:left w:val="nil"/>
              <w:bottom w:val="single" w:sz="4" w:space="0" w:color="auto"/>
              <w:right w:val="nil"/>
            </w:tcBorders>
            <w:shd w:val="clear" w:color="auto" w:fill="auto"/>
            <w:noWrap/>
            <w:vAlign w:val="center"/>
          </w:tcPr>
          <w:p w14:paraId="5B8DB7D0" w14:textId="77777777" w:rsidR="00600DE7" w:rsidRPr="00BE12AC" w:rsidRDefault="00FC314E" w:rsidP="00873A9B">
            <w:pPr>
              <w:spacing w:line="360" w:lineRule="auto"/>
              <w:jc w:val="both"/>
              <w:rPr>
                <w:rFonts w:ascii="Book Antiqua" w:eastAsia="宋体" w:hAnsi="Book Antiqua" w:cs="Palatino Linotype"/>
                <w:b/>
                <w:bCs/>
              </w:rPr>
            </w:pPr>
            <w:r w:rsidRPr="00BE12AC">
              <w:rPr>
                <w:rFonts w:ascii="Book Antiqua" w:eastAsia="宋体" w:hAnsi="Book Antiqua" w:cs="Palatino Linotype"/>
                <w:b/>
                <w:bCs/>
              </w:rPr>
              <w:t>Number</w:t>
            </w:r>
          </w:p>
        </w:tc>
        <w:tc>
          <w:tcPr>
            <w:tcW w:w="2454" w:type="dxa"/>
            <w:tcBorders>
              <w:top w:val="single" w:sz="4" w:space="0" w:color="auto"/>
              <w:left w:val="nil"/>
              <w:bottom w:val="single" w:sz="4" w:space="0" w:color="auto"/>
              <w:right w:val="nil"/>
            </w:tcBorders>
            <w:shd w:val="clear" w:color="auto" w:fill="auto"/>
            <w:noWrap/>
            <w:vAlign w:val="center"/>
          </w:tcPr>
          <w:p w14:paraId="66D183B2" w14:textId="77777777" w:rsidR="00600DE7" w:rsidRPr="00BE12AC" w:rsidRDefault="00FC314E" w:rsidP="00873A9B">
            <w:pPr>
              <w:spacing w:line="360" w:lineRule="auto"/>
              <w:jc w:val="both"/>
              <w:rPr>
                <w:rFonts w:ascii="Book Antiqua" w:eastAsia="宋体" w:hAnsi="Book Antiqua" w:cs="Palatino Linotype"/>
                <w:b/>
                <w:bCs/>
              </w:rPr>
            </w:pPr>
            <w:r w:rsidRPr="00BE12AC">
              <w:rPr>
                <w:rFonts w:ascii="Book Antiqua" w:eastAsia="宋体" w:hAnsi="Book Antiqua" w:cs="Palatino Linotype"/>
                <w:b/>
                <w:bCs/>
              </w:rPr>
              <w:t>Species</w:t>
            </w:r>
          </w:p>
        </w:tc>
        <w:tc>
          <w:tcPr>
            <w:tcW w:w="2245" w:type="dxa"/>
            <w:tcBorders>
              <w:top w:val="single" w:sz="4" w:space="0" w:color="auto"/>
              <w:left w:val="nil"/>
              <w:bottom w:val="single" w:sz="4" w:space="0" w:color="auto"/>
              <w:right w:val="nil"/>
            </w:tcBorders>
            <w:shd w:val="clear" w:color="auto" w:fill="auto"/>
            <w:noWrap/>
            <w:vAlign w:val="center"/>
          </w:tcPr>
          <w:p w14:paraId="0EB63B67" w14:textId="77777777" w:rsidR="00600DE7" w:rsidRPr="00BE12AC" w:rsidRDefault="00FC314E" w:rsidP="00873A9B">
            <w:pPr>
              <w:spacing w:line="360" w:lineRule="auto"/>
              <w:jc w:val="both"/>
              <w:textAlignment w:val="center"/>
              <w:rPr>
                <w:rFonts w:ascii="Book Antiqua" w:eastAsia="宋体" w:hAnsi="Book Antiqua" w:cs="Palatino Linotype"/>
                <w:b/>
                <w:bCs/>
              </w:rPr>
            </w:pPr>
            <w:r w:rsidRPr="00BE12AC">
              <w:rPr>
                <w:rFonts w:ascii="Book Antiqua" w:eastAsia="宋体" w:hAnsi="Book Antiqua" w:cs="Palatino Linotype"/>
                <w:b/>
                <w:bCs/>
                <w:lang w:bidi="ar"/>
              </w:rPr>
              <w:t>miRNA</w:t>
            </w:r>
          </w:p>
        </w:tc>
        <w:tc>
          <w:tcPr>
            <w:tcW w:w="1299" w:type="dxa"/>
            <w:tcBorders>
              <w:top w:val="single" w:sz="4" w:space="0" w:color="auto"/>
              <w:left w:val="nil"/>
              <w:bottom w:val="single" w:sz="4" w:space="0" w:color="auto"/>
              <w:right w:val="nil"/>
            </w:tcBorders>
            <w:shd w:val="clear" w:color="auto" w:fill="auto"/>
            <w:noWrap/>
            <w:vAlign w:val="center"/>
          </w:tcPr>
          <w:p w14:paraId="00119BF0" w14:textId="77777777" w:rsidR="00600DE7" w:rsidRPr="00BE12AC" w:rsidRDefault="00FC314E" w:rsidP="00873A9B">
            <w:pPr>
              <w:spacing w:line="360" w:lineRule="auto"/>
              <w:jc w:val="both"/>
              <w:textAlignment w:val="center"/>
              <w:rPr>
                <w:rFonts w:ascii="Book Antiqua" w:eastAsia="宋体" w:hAnsi="Book Antiqua" w:cs="Palatino Linotype"/>
                <w:b/>
                <w:bCs/>
              </w:rPr>
            </w:pPr>
            <w:r w:rsidRPr="00BE12AC">
              <w:rPr>
                <w:rFonts w:ascii="Book Antiqua" w:eastAsia="宋体" w:hAnsi="Book Antiqua" w:cs="Palatino Linotype"/>
                <w:b/>
                <w:bCs/>
                <w:lang w:bidi="ar"/>
              </w:rPr>
              <w:t>Genes</w:t>
            </w:r>
          </w:p>
        </w:tc>
      </w:tr>
      <w:tr w:rsidR="000D0B36" w:rsidRPr="00BE12AC" w14:paraId="012AF137" w14:textId="77777777">
        <w:trPr>
          <w:trHeight w:val="318"/>
        </w:trPr>
        <w:tc>
          <w:tcPr>
            <w:tcW w:w="0" w:type="auto"/>
            <w:tcBorders>
              <w:top w:val="single" w:sz="4" w:space="0" w:color="auto"/>
              <w:left w:val="nil"/>
              <w:bottom w:val="nil"/>
              <w:right w:val="nil"/>
            </w:tcBorders>
            <w:shd w:val="clear" w:color="auto" w:fill="auto"/>
            <w:noWrap/>
            <w:vAlign w:val="center"/>
          </w:tcPr>
          <w:p w14:paraId="680C9806"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MIRT134791</w:t>
            </w:r>
          </w:p>
        </w:tc>
        <w:tc>
          <w:tcPr>
            <w:tcW w:w="0" w:type="auto"/>
            <w:tcBorders>
              <w:top w:val="single" w:sz="4" w:space="0" w:color="auto"/>
              <w:left w:val="nil"/>
              <w:bottom w:val="nil"/>
              <w:right w:val="nil"/>
            </w:tcBorders>
            <w:shd w:val="clear" w:color="auto" w:fill="auto"/>
            <w:noWrap/>
            <w:vAlign w:val="center"/>
          </w:tcPr>
          <w:p w14:paraId="463105E1"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Homo sapiens</w:t>
            </w:r>
          </w:p>
        </w:tc>
        <w:tc>
          <w:tcPr>
            <w:tcW w:w="0" w:type="auto"/>
            <w:tcBorders>
              <w:top w:val="single" w:sz="4" w:space="0" w:color="auto"/>
              <w:left w:val="nil"/>
              <w:bottom w:val="nil"/>
              <w:right w:val="nil"/>
            </w:tcBorders>
            <w:shd w:val="clear" w:color="auto" w:fill="auto"/>
            <w:noWrap/>
            <w:vAlign w:val="center"/>
          </w:tcPr>
          <w:p w14:paraId="61BB7190"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hsa-miR-765</w:t>
            </w:r>
          </w:p>
        </w:tc>
        <w:tc>
          <w:tcPr>
            <w:tcW w:w="0" w:type="auto"/>
            <w:tcBorders>
              <w:top w:val="single" w:sz="4" w:space="0" w:color="auto"/>
              <w:left w:val="nil"/>
              <w:bottom w:val="nil"/>
              <w:right w:val="nil"/>
            </w:tcBorders>
            <w:shd w:val="clear" w:color="auto" w:fill="auto"/>
            <w:noWrap/>
            <w:vAlign w:val="center"/>
          </w:tcPr>
          <w:p w14:paraId="6F007F92"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CCND2</w:t>
            </w:r>
          </w:p>
        </w:tc>
      </w:tr>
      <w:tr w:rsidR="000D0B36" w:rsidRPr="00BE12AC" w14:paraId="42B028CF" w14:textId="77777777">
        <w:trPr>
          <w:trHeight w:val="318"/>
        </w:trPr>
        <w:tc>
          <w:tcPr>
            <w:tcW w:w="0" w:type="auto"/>
            <w:tcBorders>
              <w:top w:val="nil"/>
              <w:left w:val="nil"/>
              <w:bottom w:val="nil"/>
              <w:right w:val="nil"/>
            </w:tcBorders>
            <w:shd w:val="clear" w:color="auto" w:fill="auto"/>
            <w:noWrap/>
            <w:vAlign w:val="center"/>
          </w:tcPr>
          <w:p w14:paraId="6774711E"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MIRT064764</w:t>
            </w:r>
          </w:p>
        </w:tc>
        <w:tc>
          <w:tcPr>
            <w:tcW w:w="0" w:type="auto"/>
            <w:tcBorders>
              <w:top w:val="nil"/>
              <w:left w:val="nil"/>
              <w:bottom w:val="nil"/>
              <w:right w:val="nil"/>
            </w:tcBorders>
            <w:shd w:val="clear" w:color="auto" w:fill="auto"/>
            <w:noWrap/>
            <w:vAlign w:val="center"/>
          </w:tcPr>
          <w:p w14:paraId="79247732"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06FDA2AB"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hsa-miR-665</w:t>
            </w:r>
          </w:p>
        </w:tc>
        <w:tc>
          <w:tcPr>
            <w:tcW w:w="0" w:type="auto"/>
            <w:tcBorders>
              <w:top w:val="nil"/>
              <w:left w:val="nil"/>
              <w:bottom w:val="nil"/>
              <w:right w:val="nil"/>
            </w:tcBorders>
            <w:shd w:val="clear" w:color="auto" w:fill="auto"/>
            <w:noWrap/>
            <w:vAlign w:val="center"/>
          </w:tcPr>
          <w:p w14:paraId="4B562401"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CCND2</w:t>
            </w:r>
          </w:p>
        </w:tc>
      </w:tr>
      <w:tr w:rsidR="000D0B36" w:rsidRPr="00BE12AC" w14:paraId="1E66B86B" w14:textId="77777777">
        <w:trPr>
          <w:trHeight w:val="318"/>
        </w:trPr>
        <w:tc>
          <w:tcPr>
            <w:tcW w:w="0" w:type="auto"/>
            <w:tcBorders>
              <w:top w:val="nil"/>
              <w:left w:val="nil"/>
              <w:bottom w:val="nil"/>
              <w:right w:val="nil"/>
            </w:tcBorders>
            <w:shd w:val="clear" w:color="auto" w:fill="auto"/>
            <w:noWrap/>
            <w:vAlign w:val="center"/>
          </w:tcPr>
          <w:p w14:paraId="7B1A5CFF"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MIRT040184</w:t>
            </w:r>
          </w:p>
        </w:tc>
        <w:tc>
          <w:tcPr>
            <w:tcW w:w="0" w:type="auto"/>
            <w:tcBorders>
              <w:top w:val="nil"/>
              <w:left w:val="nil"/>
              <w:bottom w:val="nil"/>
              <w:right w:val="nil"/>
            </w:tcBorders>
            <w:shd w:val="clear" w:color="auto" w:fill="auto"/>
            <w:noWrap/>
            <w:vAlign w:val="center"/>
          </w:tcPr>
          <w:p w14:paraId="3D6E8DA3"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553C6860"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hsa-miR-615-3p</w:t>
            </w:r>
          </w:p>
        </w:tc>
        <w:tc>
          <w:tcPr>
            <w:tcW w:w="0" w:type="auto"/>
            <w:tcBorders>
              <w:top w:val="nil"/>
              <w:left w:val="nil"/>
              <w:bottom w:val="nil"/>
              <w:right w:val="nil"/>
            </w:tcBorders>
            <w:shd w:val="clear" w:color="auto" w:fill="auto"/>
            <w:noWrap/>
            <w:vAlign w:val="center"/>
          </w:tcPr>
          <w:p w14:paraId="097D13A1"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CCND2</w:t>
            </w:r>
          </w:p>
        </w:tc>
      </w:tr>
      <w:tr w:rsidR="000D0B36" w:rsidRPr="00BE12AC" w14:paraId="21118CEE" w14:textId="77777777">
        <w:trPr>
          <w:trHeight w:val="318"/>
        </w:trPr>
        <w:tc>
          <w:tcPr>
            <w:tcW w:w="0" w:type="auto"/>
            <w:tcBorders>
              <w:top w:val="nil"/>
              <w:left w:val="nil"/>
              <w:bottom w:val="nil"/>
              <w:right w:val="nil"/>
            </w:tcBorders>
            <w:shd w:val="clear" w:color="auto" w:fill="auto"/>
            <w:noWrap/>
            <w:vAlign w:val="center"/>
          </w:tcPr>
          <w:p w14:paraId="65BDABCC"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MIRT064762</w:t>
            </w:r>
          </w:p>
        </w:tc>
        <w:tc>
          <w:tcPr>
            <w:tcW w:w="0" w:type="auto"/>
            <w:tcBorders>
              <w:top w:val="nil"/>
              <w:left w:val="nil"/>
              <w:bottom w:val="nil"/>
              <w:right w:val="nil"/>
            </w:tcBorders>
            <w:shd w:val="clear" w:color="auto" w:fill="auto"/>
            <w:noWrap/>
            <w:vAlign w:val="center"/>
          </w:tcPr>
          <w:p w14:paraId="3874A387"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6DB23387"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hsa-miR-610</w:t>
            </w:r>
          </w:p>
        </w:tc>
        <w:tc>
          <w:tcPr>
            <w:tcW w:w="0" w:type="auto"/>
            <w:tcBorders>
              <w:top w:val="nil"/>
              <w:left w:val="nil"/>
              <w:bottom w:val="nil"/>
              <w:right w:val="nil"/>
            </w:tcBorders>
            <w:shd w:val="clear" w:color="auto" w:fill="auto"/>
            <w:noWrap/>
            <w:vAlign w:val="center"/>
          </w:tcPr>
          <w:p w14:paraId="686FB8CD"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CCND2</w:t>
            </w:r>
          </w:p>
        </w:tc>
      </w:tr>
      <w:tr w:rsidR="000D0B36" w:rsidRPr="00BE12AC" w14:paraId="7F7ADFD7" w14:textId="77777777">
        <w:trPr>
          <w:trHeight w:val="318"/>
        </w:trPr>
        <w:tc>
          <w:tcPr>
            <w:tcW w:w="0" w:type="auto"/>
            <w:tcBorders>
              <w:top w:val="nil"/>
              <w:left w:val="nil"/>
              <w:bottom w:val="nil"/>
              <w:right w:val="nil"/>
            </w:tcBorders>
            <w:shd w:val="clear" w:color="auto" w:fill="auto"/>
            <w:noWrap/>
            <w:vAlign w:val="center"/>
          </w:tcPr>
          <w:p w14:paraId="395854FD"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MIRT732948</w:t>
            </w:r>
          </w:p>
        </w:tc>
        <w:tc>
          <w:tcPr>
            <w:tcW w:w="0" w:type="auto"/>
            <w:tcBorders>
              <w:top w:val="nil"/>
              <w:left w:val="nil"/>
              <w:bottom w:val="nil"/>
              <w:right w:val="nil"/>
            </w:tcBorders>
            <w:shd w:val="clear" w:color="auto" w:fill="auto"/>
            <w:noWrap/>
            <w:vAlign w:val="center"/>
          </w:tcPr>
          <w:p w14:paraId="0CC12F2D"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6A3B8CD7"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hsa-miR-574-3p</w:t>
            </w:r>
          </w:p>
        </w:tc>
        <w:tc>
          <w:tcPr>
            <w:tcW w:w="0" w:type="auto"/>
            <w:tcBorders>
              <w:top w:val="nil"/>
              <w:left w:val="nil"/>
              <w:bottom w:val="nil"/>
              <w:right w:val="nil"/>
            </w:tcBorders>
            <w:shd w:val="clear" w:color="auto" w:fill="auto"/>
            <w:noWrap/>
            <w:vAlign w:val="center"/>
          </w:tcPr>
          <w:p w14:paraId="0996F67D"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Ccnd2</w:t>
            </w:r>
          </w:p>
        </w:tc>
      </w:tr>
      <w:tr w:rsidR="000D0B36" w:rsidRPr="00BE12AC" w14:paraId="0628C6B1" w14:textId="77777777">
        <w:trPr>
          <w:trHeight w:val="318"/>
        </w:trPr>
        <w:tc>
          <w:tcPr>
            <w:tcW w:w="0" w:type="auto"/>
            <w:tcBorders>
              <w:top w:val="nil"/>
              <w:left w:val="nil"/>
              <w:bottom w:val="nil"/>
              <w:right w:val="nil"/>
            </w:tcBorders>
            <w:shd w:val="clear" w:color="auto" w:fill="auto"/>
            <w:noWrap/>
            <w:vAlign w:val="center"/>
          </w:tcPr>
          <w:p w14:paraId="27EA316B"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MIRT535518</w:t>
            </w:r>
          </w:p>
        </w:tc>
        <w:tc>
          <w:tcPr>
            <w:tcW w:w="0" w:type="auto"/>
            <w:tcBorders>
              <w:top w:val="nil"/>
              <w:left w:val="nil"/>
              <w:bottom w:val="nil"/>
              <w:right w:val="nil"/>
            </w:tcBorders>
            <w:shd w:val="clear" w:color="auto" w:fill="auto"/>
            <w:noWrap/>
            <w:vAlign w:val="center"/>
          </w:tcPr>
          <w:p w14:paraId="5E76A884"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092BB735"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hsa-miR-548n</w:t>
            </w:r>
          </w:p>
        </w:tc>
        <w:tc>
          <w:tcPr>
            <w:tcW w:w="0" w:type="auto"/>
            <w:tcBorders>
              <w:top w:val="nil"/>
              <w:left w:val="nil"/>
              <w:bottom w:val="nil"/>
              <w:right w:val="nil"/>
            </w:tcBorders>
            <w:shd w:val="clear" w:color="auto" w:fill="auto"/>
            <w:noWrap/>
            <w:vAlign w:val="center"/>
          </w:tcPr>
          <w:p w14:paraId="6D202B44" w14:textId="10204828"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P</w:t>
            </w:r>
            <w:r w:rsidR="00970EF6">
              <w:rPr>
                <w:rFonts w:ascii="Book Antiqua" w:eastAsia="宋体" w:hAnsi="Book Antiqua" w:cs="Palatino Linotype"/>
                <w:i/>
                <w:iCs/>
                <w:lang w:bidi="ar"/>
              </w:rPr>
              <w:t>AN</w:t>
            </w:r>
            <w:r w:rsidRPr="00BE12AC">
              <w:rPr>
                <w:rFonts w:ascii="Book Antiqua" w:eastAsia="宋体" w:hAnsi="Book Antiqua" w:cs="Palatino Linotype"/>
                <w:i/>
                <w:iCs/>
                <w:lang w:bidi="ar"/>
              </w:rPr>
              <w:t>X1</w:t>
            </w:r>
          </w:p>
        </w:tc>
      </w:tr>
      <w:tr w:rsidR="000D0B36" w:rsidRPr="00BE12AC" w14:paraId="7863893C" w14:textId="77777777">
        <w:trPr>
          <w:trHeight w:val="318"/>
        </w:trPr>
        <w:tc>
          <w:tcPr>
            <w:tcW w:w="0" w:type="auto"/>
            <w:tcBorders>
              <w:top w:val="nil"/>
              <w:left w:val="nil"/>
              <w:bottom w:val="nil"/>
              <w:right w:val="nil"/>
            </w:tcBorders>
            <w:shd w:val="clear" w:color="auto" w:fill="auto"/>
            <w:noWrap/>
            <w:vAlign w:val="center"/>
          </w:tcPr>
          <w:p w14:paraId="655B38DC"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MIRT535500</w:t>
            </w:r>
          </w:p>
        </w:tc>
        <w:tc>
          <w:tcPr>
            <w:tcW w:w="0" w:type="auto"/>
            <w:tcBorders>
              <w:top w:val="nil"/>
              <w:left w:val="nil"/>
              <w:bottom w:val="nil"/>
              <w:right w:val="nil"/>
            </w:tcBorders>
            <w:shd w:val="clear" w:color="auto" w:fill="auto"/>
            <w:noWrap/>
            <w:vAlign w:val="center"/>
          </w:tcPr>
          <w:p w14:paraId="77A1317A"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7DF40230"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hsa-miR-548d-5p</w:t>
            </w:r>
          </w:p>
        </w:tc>
        <w:tc>
          <w:tcPr>
            <w:tcW w:w="0" w:type="auto"/>
            <w:tcBorders>
              <w:top w:val="nil"/>
              <w:left w:val="nil"/>
              <w:bottom w:val="nil"/>
              <w:right w:val="nil"/>
            </w:tcBorders>
            <w:shd w:val="clear" w:color="auto" w:fill="auto"/>
            <w:noWrap/>
            <w:vAlign w:val="center"/>
          </w:tcPr>
          <w:p w14:paraId="1504E8CC" w14:textId="417CDBE1"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PA</w:t>
            </w:r>
            <w:r w:rsidR="00970EF6">
              <w:rPr>
                <w:rFonts w:ascii="Book Antiqua" w:eastAsia="宋体" w:hAnsi="Book Antiqua" w:cs="Palatino Linotype"/>
                <w:i/>
                <w:iCs/>
                <w:lang w:bidi="ar"/>
              </w:rPr>
              <w:t>N</w:t>
            </w:r>
            <w:r w:rsidRPr="00BE12AC">
              <w:rPr>
                <w:rFonts w:ascii="Book Antiqua" w:eastAsia="宋体" w:hAnsi="Book Antiqua" w:cs="Palatino Linotype"/>
                <w:i/>
                <w:iCs/>
                <w:lang w:bidi="ar"/>
              </w:rPr>
              <w:t>X1</w:t>
            </w:r>
          </w:p>
        </w:tc>
      </w:tr>
      <w:tr w:rsidR="000D0B36" w:rsidRPr="00BE12AC" w14:paraId="584EC81D" w14:textId="77777777">
        <w:trPr>
          <w:trHeight w:val="318"/>
        </w:trPr>
        <w:tc>
          <w:tcPr>
            <w:tcW w:w="0" w:type="auto"/>
            <w:tcBorders>
              <w:top w:val="nil"/>
              <w:left w:val="nil"/>
              <w:bottom w:val="nil"/>
              <w:right w:val="nil"/>
            </w:tcBorders>
            <w:shd w:val="clear" w:color="auto" w:fill="auto"/>
            <w:noWrap/>
            <w:vAlign w:val="center"/>
          </w:tcPr>
          <w:p w14:paraId="1D94CCAB"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MIRT064724</w:t>
            </w:r>
          </w:p>
        </w:tc>
        <w:tc>
          <w:tcPr>
            <w:tcW w:w="0" w:type="auto"/>
            <w:tcBorders>
              <w:top w:val="nil"/>
              <w:left w:val="nil"/>
              <w:bottom w:val="nil"/>
              <w:right w:val="nil"/>
            </w:tcBorders>
            <w:shd w:val="clear" w:color="auto" w:fill="auto"/>
            <w:noWrap/>
            <w:vAlign w:val="center"/>
          </w:tcPr>
          <w:p w14:paraId="707C77FC"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721403C4"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hsa-miR-520c-3p</w:t>
            </w:r>
          </w:p>
        </w:tc>
        <w:tc>
          <w:tcPr>
            <w:tcW w:w="0" w:type="auto"/>
            <w:tcBorders>
              <w:top w:val="nil"/>
              <w:left w:val="nil"/>
              <w:bottom w:val="nil"/>
              <w:right w:val="nil"/>
            </w:tcBorders>
            <w:shd w:val="clear" w:color="auto" w:fill="auto"/>
            <w:noWrap/>
            <w:vAlign w:val="center"/>
          </w:tcPr>
          <w:p w14:paraId="04E174E9"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CCND2</w:t>
            </w:r>
          </w:p>
        </w:tc>
      </w:tr>
      <w:tr w:rsidR="000D0B36" w:rsidRPr="00BE12AC" w14:paraId="64DB5838" w14:textId="77777777">
        <w:trPr>
          <w:trHeight w:val="318"/>
        </w:trPr>
        <w:tc>
          <w:tcPr>
            <w:tcW w:w="0" w:type="auto"/>
            <w:tcBorders>
              <w:top w:val="nil"/>
              <w:left w:val="nil"/>
              <w:bottom w:val="nil"/>
              <w:right w:val="nil"/>
            </w:tcBorders>
            <w:shd w:val="clear" w:color="auto" w:fill="auto"/>
            <w:noWrap/>
            <w:vAlign w:val="center"/>
          </w:tcPr>
          <w:p w14:paraId="615FE696"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MIRT064723</w:t>
            </w:r>
          </w:p>
        </w:tc>
        <w:tc>
          <w:tcPr>
            <w:tcW w:w="0" w:type="auto"/>
            <w:tcBorders>
              <w:top w:val="nil"/>
              <w:left w:val="nil"/>
              <w:bottom w:val="nil"/>
              <w:right w:val="nil"/>
            </w:tcBorders>
            <w:shd w:val="clear" w:color="auto" w:fill="auto"/>
            <w:noWrap/>
            <w:vAlign w:val="center"/>
          </w:tcPr>
          <w:p w14:paraId="371DF178"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12C54E6E"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hsa-miR-520b</w:t>
            </w:r>
          </w:p>
        </w:tc>
        <w:tc>
          <w:tcPr>
            <w:tcW w:w="0" w:type="auto"/>
            <w:tcBorders>
              <w:top w:val="nil"/>
              <w:left w:val="nil"/>
              <w:bottom w:val="nil"/>
              <w:right w:val="nil"/>
            </w:tcBorders>
            <w:shd w:val="clear" w:color="auto" w:fill="auto"/>
            <w:noWrap/>
            <w:vAlign w:val="center"/>
          </w:tcPr>
          <w:p w14:paraId="365E9087"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CCND2</w:t>
            </w:r>
          </w:p>
        </w:tc>
      </w:tr>
      <w:tr w:rsidR="000D0B36" w:rsidRPr="00BE12AC" w14:paraId="02A8270C" w14:textId="77777777">
        <w:trPr>
          <w:trHeight w:val="318"/>
        </w:trPr>
        <w:tc>
          <w:tcPr>
            <w:tcW w:w="0" w:type="auto"/>
            <w:tcBorders>
              <w:top w:val="nil"/>
              <w:left w:val="nil"/>
              <w:bottom w:val="nil"/>
              <w:right w:val="nil"/>
            </w:tcBorders>
            <w:shd w:val="clear" w:color="auto" w:fill="auto"/>
            <w:noWrap/>
            <w:vAlign w:val="center"/>
          </w:tcPr>
          <w:p w14:paraId="4DD439A1"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MIRT064719</w:t>
            </w:r>
          </w:p>
        </w:tc>
        <w:tc>
          <w:tcPr>
            <w:tcW w:w="0" w:type="auto"/>
            <w:tcBorders>
              <w:top w:val="nil"/>
              <w:left w:val="nil"/>
              <w:bottom w:val="nil"/>
              <w:right w:val="nil"/>
            </w:tcBorders>
            <w:shd w:val="clear" w:color="auto" w:fill="auto"/>
            <w:noWrap/>
            <w:vAlign w:val="center"/>
          </w:tcPr>
          <w:p w14:paraId="61B3B4CC"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462BD1BF"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hsa-miR-519c-3p</w:t>
            </w:r>
          </w:p>
        </w:tc>
        <w:tc>
          <w:tcPr>
            <w:tcW w:w="0" w:type="auto"/>
            <w:tcBorders>
              <w:top w:val="nil"/>
              <w:left w:val="nil"/>
              <w:bottom w:val="nil"/>
              <w:right w:val="nil"/>
            </w:tcBorders>
            <w:shd w:val="clear" w:color="auto" w:fill="auto"/>
            <w:noWrap/>
            <w:vAlign w:val="center"/>
          </w:tcPr>
          <w:p w14:paraId="1A1A6BD9"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CCND2</w:t>
            </w:r>
          </w:p>
        </w:tc>
      </w:tr>
      <w:tr w:rsidR="000D0B36" w:rsidRPr="00BE12AC" w14:paraId="3F538ABD" w14:textId="77777777">
        <w:trPr>
          <w:trHeight w:val="318"/>
        </w:trPr>
        <w:tc>
          <w:tcPr>
            <w:tcW w:w="0" w:type="auto"/>
            <w:tcBorders>
              <w:top w:val="nil"/>
              <w:left w:val="nil"/>
              <w:bottom w:val="nil"/>
              <w:right w:val="nil"/>
            </w:tcBorders>
            <w:shd w:val="clear" w:color="auto" w:fill="auto"/>
            <w:noWrap/>
            <w:vAlign w:val="center"/>
          </w:tcPr>
          <w:p w14:paraId="07EEA837"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MIRT064722</w:t>
            </w:r>
          </w:p>
        </w:tc>
        <w:tc>
          <w:tcPr>
            <w:tcW w:w="0" w:type="auto"/>
            <w:tcBorders>
              <w:top w:val="nil"/>
              <w:left w:val="nil"/>
              <w:bottom w:val="nil"/>
              <w:right w:val="nil"/>
            </w:tcBorders>
            <w:shd w:val="clear" w:color="auto" w:fill="auto"/>
            <w:noWrap/>
            <w:vAlign w:val="center"/>
          </w:tcPr>
          <w:p w14:paraId="69B809F1"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546249B7"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hsa-miR-519b-3p</w:t>
            </w:r>
          </w:p>
        </w:tc>
        <w:tc>
          <w:tcPr>
            <w:tcW w:w="0" w:type="auto"/>
            <w:tcBorders>
              <w:top w:val="nil"/>
              <w:left w:val="nil"/>
              <w:bottom w:val="nil"/>
              <w:right w:val="nil"/>
            </w:tcBorders>
            <w:shd w:val="clear" w:color="auto" w:fill="auto"/>
            <w:noWrap/>
            <w:vAlign w:val="center"/>
          </w:tcPr>
          <w:p w14:paraId="59B2E6F7"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CCND2</w:t>
            </w:r>
          </w:p>
        </w:tc>
      </w:tr>
      <w:tr w:rsidR="000D0B36" w:rsidRPr="00BE12AC" w14:paraId="1973D46B" w14:textId="77777777">
        <w:trPr>
          <w:trHeight w:val="318"/>
        </w:trPr>
        <w:tc>
          <w:tcPr>
            <w:tcW w:w="0" w:type="auto"/>
            <w:tcBorders>
              <w:top w:val="nil"/>
              <w:left w:val="nil"/>
              <w:bottom w:val="nil"/>
              <w:right w:val="nil"/>
            </w:tcBorders>
            <w:shd w:val="clear" w:color="auto" w:fill="auto"/>
            <w:noWrap/>
            <w:vAlign w:val="center"/>
          </w:tcPr>
          <w:p w14:paraId="02FE5BEA"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MIRT042101</w:t>
            </w:r>
          </w:p>
        </w:tc>
        <w:tc>
          <w:tcPr>
            <w:tcW w:w="0" w:type="auto"/>
            <w:tcBorders>
              <w:top w:val="nil"/>
              <w:left w:val="nil"/>
              <w:bottom w:val="nil"/>
              <w:right w:val="nil"/>
            </w:tcBorders>
            <w:shd w:val="clear" w:color="auto" w:fill="auto"/>
            <w:noWrap/>
            <w:vAlign w:val="center"/>
          </w:tcPr>
          <w:p w14:paraId="7318DF05"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1C30B9CF"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hsa-miR-484</w:t>
            </w:r>
          </w:p>
        </w:tc>
        <w:tc>
          <w:tcPr>
            <w:tcW w:w="0" w:type="auto"/>
            <w:tcBorders>
              <w:top w:val="nil"/>
              <w:left w:val="nil"/>
              <w:bottom w:val="nil"/>
              <w:right w:val="nil"/>
            </w:tcBorders>
            <w:shd w:val="clear" w:color="auto" w:fill="auto"/>
            <w:noWrap/>
            <w:vAlign w:val="center"/>
          </w:tcPr>
          <w:p w14:paraId="1454EF7A"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CASP7</w:t>
            </w:r>
          </w:p>
        </w:tc>
      </w:tr>
      <w:tr w:rsidR="000D0B36" w:rsidRPr="00BE12AC" w14:paraId="0A0DD1DA" w14:textId="77777777">
        <w:trPr>
          <w:trHeight w:val="318"/>
        </w:trPr>
        <w:tc>
          <w:tcPr>
            <w:tcW w:w="0" w:type="auto"/>
            <w:tcBorders>
              <w:top w:val="nil"/>
              <w:left w:val="nil"/>
              <w:bottom w:val="nil"/>
              <w:right w:val="nil"/>
            </w:tcBorders>
            <w:shd w:val="clear" w:color="auto" w:fill="auto"/>
            <w:noWrap/>
            <w:vAlign w:val="center"/>
          </w:tcPr>
          <w:p w14:paraId="0BA8D016"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MIRT337453</w:t>
            </w:r>
          </w:p>
        </w:tc>
        <w:tc>
          <w:tcPr>
            <w:tcW w:w="0" w:type="auto"/>
            <w:tcBorders>
              <w:top w:val="nil"/>
              <w:left w:val="nil"/>
              <w:bottom w:val="nil"/>
              <w:right w:val="nil"/>
            </w:tcBorders>
            <w:shd w:val="clear" w:color="auto" w:fill="auto"/>
            <w:noWrap/>
            <w:vAlign w:val="center"/>
          </w:tcPr>
          <w:p w14:paraId="66438CD8"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487F24CB"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hsa-miR-4306</w:t>
            </w:r>
          </w:p>
        </w:tc>
        <w:tc>
          <w:tcPr>
            <w:tcW w:w="0" w:type="auto"/>
            <w:tcBorders>
              <w:top w:val="nil"/>
              <w:left w:val="nil"/>
              <w:bottom w:val="nil"/>
              <w:right w:val="nil"/>
            </w:tcBorders>
            <w:shd w:val="clear" w:color="auto" w:fill="auto"/>
            <w:noWrap/>
            <w:vAlign w:val="center"/>
          </w:tcPr>
          <w:p w14:paraId="50B34FEB"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CCND2</w:t>
            </w:r>
          </w:p>
        </w:tc>
      </w:tr>
      <w:tr w:rsidR="000D0B36" w:rsidRPr="00BE12AC" w14:paraId="5399D3F8" w14:textId="77777777">
        <w:trPr>
          <w:trHeight w:val="318"/>
        </w:trPr>
        <w:tc>
          <w:tcPr>
            <w:tcW w:w="0" w:type="auto"/>
            <w:tcBorders>
              <w:top w:val="nil"/>
              <w:left w:val="nil"/>
              <w:bottom w:val="nil"/>
              <w:right w:val="nil"/>
            </w:tcBorders>
            <w:shd w:val="clear" w:color="auto" w:fill="auto"/>
            <w:noWrap/>
            <w:vAlign w:val="center"/>
          </w:tcPr>
          <w:p w14:paraId="4F3845C0"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MIRT038097</w:t>
            </w:r>
          </w:p>
        </w:tc>
        <w:tc>
          <w:tcPr>
            <w:tcW w:w="0" w:type="auto"/>
            <w:tcBorders>
              <w:top w:val="nil"/>
              <w:left w:val="nil"/>
              <w:bottom w:val="nil"/>
              <w:right w:val="nil"/>
            </w:tcBorders>
            <w:shd w:val="clear" w:color="auto" w:fill="auto"/>
            <w:noWrap/>
            <w:vAlign w:val="center"/>
          </w:tcPr>
          <w:p w14:paraId="3CD8C160"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627F458E"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hsa-miR-423-5p</w:t>
            </w:r>
          </w:p>
        </w:tc>
        <w:tc>
          <w:tcPr>
            <w:tcW w:w="0" w:type="auto"/>
            <w:tcBorders>
              <w:top w:val="nil"/>
              <w:left w:val="nil"/>
              <w:bottom w:val="nil"/>
              <w:right w:val="nil"/>
            </w:tcBorders>
            <w:shd w:val="clear" w:color="auto" w:fill="auto"/>
            <w:noWrap/>
            <w:vAlign w:val="center"/>
          </w:tcPr>
          <w:p w14:paraId="479C55F1"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CCND2</w:t>
            </w:r>
          </w:p>
        </w:tc>
      </w:tr>
      <w:tr w:rsidR="000D0B36" w:rsidRPr="00BE12AC" w14:paraId="06194E1B" w14:textId="77777777">
        <w:trPr>
          <w:trHeight w:val="318"/>
        </w:trPr>
        <w:tc>
          <w:tcPr>
            <w:tcW w:w="0" w:type="auto"/>
            <w:tcBorders>
              <w:top w:val="nil"/>
              <w:left w:val="nil"/>
              <w:bottom w:val="nil"/>
              <w:right w:val="nil"/>
            </w:tcBorders>
            <w:shd w:val="clear" w:color="auto" w:fill="auto"/>
            <w:noWrap/>
            <w:vAlign w:val="center"/>
          </w:tcPr>
          <w:p w14:paraId="4F65ADA1"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MIRT043702</w:t>
            </w:r>
          </w:p>
        </w:tc>
        <w:tc>
          <w:tcPr>
            <w:tcW w:w="0" w:type="auto"/>
            <w:tcBorders>
              <w:top w:val="nil"/>
              <w:left w:val="nil"/>
              <w:bottom w:val="nil"/>
              <w:right w:val="nil"/>
            </w:tcBorders>
            <w:shd w:val="clear" w:color="auto" w:fill="auto"/>
            <w:noWrap/>
            <w:vAlign w:val="center"/>
          </w:tcPr>
          <w:p w14:paraId="0AC2DFD8"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71121996"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hsa-miR-342-3p</w:t>
            </w:r>
          </w:p>
        </w:tc>
        <w:tc>
          <w:tcPr>
            <w:tcW w:w="0" w:type="auto"/>
            <w:tcBorders>
              <w:top w:val="nil"/>
              <w:left w:val="nil"/>
              <w:bottom w:val="nil"/>
              <w:right w:val="nil"/>
            </w:tcBorders>
            <w:shd w:val="clear" w:color="auto" w:fill="auto"/>
            <w:noWrap/>
            <w:vAlign w:val="center"/>
          </w:tcPr>
          <w:p w14:paraId="5E6C9191"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CCND2</w:t>
            </w:r>
          </w:p>
        </w:tc>
      </w:tr>
      <w:tr w:rsidR="000D0B36" w:rsidRPr="00BE12AC" w14:paraId="1DAE747E" w14:textId="77777777">
        <w:trPr>
          <w:trHeight w:val="318"/>
        </w:trPr>
        <w:tc>
          <w:tcPr>
            <w:tcW w:w="0" w:type="auto"/>
            <w:tcBorders>
              <w:top w:val="nil"/>
              <w:left w:val="nil"/>
              <w:bottom w:val="nil"/>
              <w:right w:val="nil"/>
            </w:tcBorders>
            <w:shd w:val="clear" w:color="auto" w:fill="auto"/>
            <w:noWrap/>
            <w:vAlign w:val="center"/>
          </w:tcPr>
          <w:p w14:paraId="13D620E7"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MIRT042861</w:t>
            </w:r>
          </w:p>
        </w:tc>
        <w:tc>
          <w:tcPr>
            <w:tcW w:w="0" w:type="auto"/>
            <w:tcBorders>
              <w:top w:val="nil"/>
              <w:left w:val="nil"/>
              <w:bottom w:val="nil"/>
              <w:right w:val="nil"/>
            </w:tcBorders>
            <w:shd w:val="clear" w:color="auto" w:fill="auto"/>
            <w:noWrap/>
            <w:vAlign w:val="center"/>
          </w:tcPr>
          <w:p w14:paraId="18B8EF26"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09BB453F"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hsa-miR-324-3p</w:t>
            </w:r>
          </w:p>
        </w:tc>
        <w:tc>
          <w:tcPr>
            <w:tcW w:w="0" w:type="auto"/>
            <w:tcBorders>
              <w:top w:val="nil"/>
              <w:left w:val="nil"/>
              <w:bottom w:val="nil"/>
              <w:right w:val="nil"/>
            </w:tcBorders>
            <w:shd w:val="clear" w:color="auto" w:fill="auto"/>
            <w:noWrap/>
            <w:vAlign w:val="center"/>
          </w:tcPr>
          <w:p w14:paraId="705C3D74"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CCND2</w:t>
            </w:r>
          </w:p>
        </w:tc>
      </w:tr>
      <w:tr w:rsidR="000D0B36" w:rsidRPr="00BE12AC" w14:paraId="5F838DBF" w14:textId="77777777">
        <w:trPr>
          <w:trHeight w:val="318"/>
        </w:trPr>
        <w:tc>
          <w:tcPr>
            <w:tcW w:w="0" w:type="auto"/>
            <w:tcBorders>
              <w:top w:val="nil"/>
              <w:left w:val="nil"/>
              <w:bottom w:val="nil"/>
              <w:right w:val="nil"/>
            </w:tcBorders>
            <w:shd w:val="clear" w:color="auto" w:fill="auto"/>
            <w:noWrap/>
            <w:vAlign w:val="center"/>
          </w:tcPr>
          <w:p w14:paraId="48B7C83C"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MIRT044790</w:t>
            </w:r>
          </w:p>
        </w:tc>
        <w:tc>
          <w:tcPr>
            <w:tcW w:w="0" w:type="auto"/>
            <w:tcBorders>
              <w:top w:val="nil"/>
              <w:left w:val="nil"/>
              <w:bottom w:val="nil"/>
              <w:right w:val="nil"/>
            </w:tcBorders>
            <w:shd w:val="clear" w:color="auto" w:fill="auto"/>
            <w:noWrap/>
            <w:vAlign w:val="center"/>
          </w:tcPr>
          <w:p w14:paraId="4D89840E"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2F9BFA42"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hsa-miR-320a</w:t>
            </w:r>
          </w:p>
        </w:tc>
        <w:tc>
          <w:tcPr>
            <w:tcW w:w="0" w:type="auto"/>
            <w:tcBorders>
              <w:top w:val="nil"/>
              <w:left w:val="nil"/>
              <w:bottom w:val="nil"/>
              <w:right w:val="nil"/>
            </w:tcBorders>
            <w:shd w:val="clear" w:color="auto" w:fill="auto"/>
            <w:noWrap/>
            <w:vAlign w:val="center"/>
          </w:tcPr>
          <w:p w14:paraId="0DDC8268"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CCND2</w:t>
            </w:r>
          </w:p>
        </w:tc>
      </w:tr>
      <w:tr w:rsidR="000D0B36" w:rsidRPr="00BE12AC" w14:paraId="6F498801" w14:textId="77777777">
        <w:trPr>
          <w:trHeight w:val="318"/>
        </w:trPr>
        <w:tc>
          <w:tcPr>
            <w:tcW w:w="0" w:type="auto"/>
            <w:tcBorders>
              <w:top w:val="nil"/>
              <w:left w:val="nil"/>
              <w:bottom w:val="nil"/>
              <w:right w:val="nil"/>
            </w:tcBorders>
            <w:shd w:val="clear" w:color="auto" w:fill="auto"/>
            <w:noWrap/>
            <w:vAlign w:val="center"/>
          </w:tcPr>
          <w:p w14:paraId="54E1BA8B"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MIRT113093</w:t>
            </w:r>
          </w:p>
        </w:tc>
        <w:tc>
          <w:tcPr>
            <w:tcW w:w="0" w:type="auto"/>
            <w:tcBorders>
              <w:top w:val="nil"/>
              <w:left w:val="nil"/>
              <w:bottom w:val="nil"/>
              <w:right w:val="nil"/>
            </w:tcBorders>
            <w:shd w:val="clear" w:color="auto" w:fill="auto"/>
            <w:noWrap/>
            <w:vAlign w:val="center"/>
          </w:tcPr>
          <w:p w14:paraId="72BE3E62"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076C3848"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hsa-miR-3163</w:t>
            </w:r>
          </w:p>
        </w:tc>
        <w:tc>
          <w:tcPr>
            <w:tcW w:w="0" w:type="auto"/>
            <w:tcBorders>
              <w:top w:val="nil"/>
              <w:left w:val="nil"/>
              <w:bottom w:val="nil"/>
              <w:right w:val="nil"/>
            </w:tcBorders>
            <w:shd w:val="clear" w:color="auto" w:fill="auto"/>
            <w:noWrap/>
            <w:vAlign w:val="center"/>
          </w:tcPr>
          <w:p w14:paraId="5DB7CD3D"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CCND2</w:t>
            </w:r>
          </w:p>
        </w:tc>
      </w:tr>
      <w:tr w:rsidR="000D0B36" w:rsidRPr="00BE12AC" w14:paraId="5E032DDC" w14:textId="77777777">
        <w:trPr>
          <w:trHeight w:val="318"/>
        </w:trPr>
        <w:tc>
          <w:tcPr>
            <w:tcW w:w="0" w:type="auto"/>
            <w:tcBorders>
              <w:top w:val="nil"/>
              <w:left w:val="nil"/>
              <w:bottom w:val="nil"/>
              <w:right w:val="nil"/>
            </w:tcBorders>
            <w:shd w:val="clear" w:color="auto" w:fill="auto"/>
            <w:noWrap/>
            <w:vAlign w:val="center"/>
          </w:tcPr>
          <w:p w14:paraId="72F38F50"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MIRT064741</w:t>
            </w:r>
          </w:p>
        </w:tc>
        <w:tc>
          <w:tcPr>
            <w:tcW w:w="0" w:type="auto"/>
            <w:tcBorders>
              <w:top w:val="nil"/>
              <w:left w:val="nil"/>
              <w:bottom w:val="nil"/>
              <w:right w:val="nil"/>
            </w:tcBorders>
            <w:shd w:val="clear" w:color="auto" w:fill="auto"/>
            <w:noWrap/>
            <w:vAlign w:val="center"/>
          </w:tcPr>
          <w:p w14:paraId="04CDE122"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69428C92"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hsa-miR-3125</w:t>
            </w:r>
          </w:p>
        </w:tc>
        <w:tc>
          <w:tcPr>
            <w:tcW w:w="0" w:type="auto"/>
            <w:tcBorders>
              <w:top w:val="nil"/>
              <w:left w:val="nil"/>
              <w:bottom w:val="nil"/>
              <w:right w:val="nil"/>
            </w:tcBorders>
            <w:shd w:val="clear" w:color="auto" w:fill="auto"/>
            <w:noWrap/>
            <w:vAlign w:val="center"/>
          </w:tcPr>
          <w:p w14:paraId="3917B839"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CCND2</w:t>
            </w:r>
          </w:p>
        </w:tc>
      </w:tr>
      <w:tr w:rsidR="000D0B36" w:rsidRPr="00BE12AC" w14:paraId="0BAE98F5" w14:textId="77777777">
        <w:trPr>
          <w:trHeight w:val="318"/>
        </w:trPr>
        <w:tc>
          <w:tcPr>
            <w:tcW w:w="0" w:type="auto"/>
            <w:tcBorders>
              <w:top w:val="nil"/>
              <w:left w:val="nil"/>
              <w:bottom w:val="nil"/>
              <w:right w:val="nil"/>
            </w:tcBorders>
            <w:shd w:val="clear" w:color="auto" w:fill="auto"/>
            <w:noWrap/>
            <w:vAlign w:val="center"/>
          </w:tcPr>
          <w:p w14:paraId="3B0331E1"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MIRT007217</w:t>
            </w:r>
          </w:p>
        </w:tc>
        <w:tc>
          <w:tcPr>
            <w:tcW w:w="0" w:type="auto"/>
            <w:tcBorders>
              <w:top w:val="nil"/>
              <w:left w:val="nil"/>
              <w:bottom w:val="nil"/>
              <w:right w:val="nil"/>
            </w:tcBorders>
            <w:shd w:val="clear" w:color="auto" w:fill="auto"/>
            <w:noWrap/>
            <w:vAlign w:val="center"/>
          </w:tcPr>
          <w:p w14:paraId="049D603B"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24816298"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hsa-miR-206</w:t>
            </w:r>
          </w:p>
        </w:tc>
        <w:tc>
          <w:tcPr>
            <w:tcW w:w="0" w:type="auto"/>
            <w:tcBorders>
              <w:top w:val="nil"/>
              <w:left w:val="nil"/>
              <w:bottom w:val="nil"/>
              <w:right w:val="nil"/>
            </w:tcBorders>
            <w:shd w:val="clear" w:color="auto" w:fill="auto"/>
            <w:noWrap/>
            <w:vAlign w:val="center"/>
          </w:tcPr>
          <w:p w14:paraId="12B02CAD"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CCND2</w:t>
            </w:r>
          </w:p>
        </w:tc>
      </w:tr>
      <w:tr w:rsidR="001332C8" w:rsidRPr="00BE12AC" w14:paraId="023FDF0F" w14:textId="77777777">
        <w:trPr>
          <w:trHeight w:val="318"/>
        </w:trPr>
        <w:tc>
          <w:tcPr>
            <w:tcW w:w="0" w:type="auto"/>
            <w:tcBorders>
              <w:top w:val="nil"/>
              <w:left w:val="nil"/>
              <w:bottom w:val="single" w:sz="4" w:space="0" w:color="auto"/>
              <w:right w:val="nil"/>
            </w:tcBorders>
            <w:shd w:val="clear" w:color="auto" w:fill="auto"/>
            <w:noWrap/>
            <w:vAlign w:val="center"/>
          </w:tcPr>
          <w:p w14:paraId="442E93A5"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MIRT021301</w:t>
            </w:r>
          </w:p>
        </w:tc>
        <w:tc>
          <w:tcPr>
            <w:tcW w:w="0" w:type="auto"/>
            <w:tcBorders>
              <w:top w:val="nil"/>
              <w:left w:val="nil"/>
              <w:bottom w:val="single" w:sz="4" w:space="0" w:color="auto"/>
              <w:right w:val="nil"/>
            </w:tcBorders>
            <w:shd w:val="clear" w:color="auto" w:fill="auto"/>
            <w:noWrap/>
            <w:vAlign w:val="center"/>
          </w:tcPr>
          <w:p w14:paraId="49E2F3F6" w14:textId="77777777"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Homo sapiens</w:t>
            </w:r>
          </w:p>
        </w:tc>
        <w:tc>
          <w:tcPr>
            <w:tcW w:w="0" w:type="auto"/>
            <w:tcBorders>
              <w:top w:val="nil"/>
              <w:left w:val="nil"/>
              <w:bottom w:val="single" w:sz="4" w:space="0" w:color="auto"/>
              <w:right w:val="nil"/>
            </w:tcBorders>
            <w:shd w:val="clear" w:color="auto" w:fill="auto"/>
            <w:noWrap/>
            <w:vAlign w:val="center"/>
          </w:tcPr>
          <w:p w14:paraId="22B60819" w14:textId="77777777" w:rsidR="00600DE7" w:rsidRPr="00BE12AC" w:rsidRDefault="00FC314E" w:rsidP="00873A9B">
            <w:pPr>
              <w:spacing w:line="360" w:lineRule="auto"/>
              <w:jc w:val="both"/>
              <w:textAlignment w:val="center"/>
              <w:rPr>
                <w:rFonts w:ascii="Book Antiqua" w:eastAsia="宋体" w:hAnsi="Book Antiqua" w:cs="Palatino Linotype"/>
              </w:rPr>
            </w:pPr>
            <w:r w:rsidRPr="00BE12AC">
              <w:rPr>
                <w:rFonts w:ascii="Book Antiqua" w:eastAsia="宋体" w:hAnsi="Book Antiqua" w:cs="Palatino Linotype"/>
                <w:lang w:bidi="ar"/>
              </w:rPr>
              <w:t>hsa-miR-125a-5p</w:t>
            </w:r>
          </w:p>
        </w:tc>
        <w:tc>
          <w:tcPr>
            <w:tcW w:w="0" w:type="auto"/>
            <w:tcBorders>
              <w:top w:val="nil"/>
              <w:left w:val="nil"/>
              <w:bottom w:val="single" w:sz="4" w:space="0" w:color="auto"/>
              <w:right w:val="nil"/>
            </w:tcBorders>
            <w:shd w:val="clear" w:color="auto" w:fill="auto"/>
            <w:noWrap/>
            <w:vAlign w:val="center"/>
          </w:tcPr>
          <w:p w14:paraId="3C6177DB" w14:textId="6E0C2D2A" w:rsidR="00600DE7" w:rsidRPr="00BE12AC" w:rsidRDefault="00FC314E" w:rsidP="00873A9B">
            <w:pPr>
              <w:spacing w:line="360" w:lineRule="auto"/>
              <w:jc w:val="both"/>
              <w:textAlignment w:val="center"/>
              <w:rPr>
                <w:rFonts w:ascii="Book Antiqua" w:eastAsia="宋体" w:hAnsi="Book Antiqua" w:cs="Palatino Linotype"/>
                <w:i/>
                <w:iCs/>
              </w:rPr>
            </w:pPr>
            <w:r w:rsidRPr="00BE12AC">
              <w:rPr>
                <w:rFonts w:ascii="Book Antiqua" w:eastAsia="宋体" w:hAnsi="Book Antiqua" w:cs="Palatino Linotype"/>
                <w:i/>
                <w:iCs/>
                <w:lang w:bidi="ar"/>
              </w:rPr>
              <w:t>PA</w:t>
            </w:r>
            <w:r w:rsidR="00970EF6">
              <w:rPr>
                <w:rFonts w:ascii="Book Antiqua" w:eastAsia="宋体" w:hAnsi="Book Antiqua" w:cs="Palatino Linotype"/>
                <w:i/>
                <w:iCs/>
                <w:lang w:bidi="ar"/>
              </w:rPr>
              <w:t>N</w:t>
            </w:r>
            <w:r w:rsidRPr="00BE12AC">
              <w:rPr>
                <w:rFonts w:ascii="Book Antiqua" w:eastAsia="宋体" w:hAnsi="Book Antiqua" w:cs="Palatino Linotype"/>
                <w:i/>
                <w:iCs/>
                <w:lang w:bidi="ar"/>
              </w:rPr>
              <w:t>X1</w:t>
            </w:r>
          </w:p>
        </w:tc>
      </w:tr>
    </w:tbl>
    <w:p w14:paraId="675CF566" w14:textId="70FB0DF7" w:rsidR="00C67325" w:rsidRDefault="00970EF6" w:rsidP="00873A9B">
      <w:pPr>
        <w:spacing w:line="360" w:lineRule="auto"/>
        <w:jc w:val="both"/>
        <w:rPr>
          <w:rFonts w:ascii="Book Antiqua" w:hAnsi="Book Antiqua"/>
        </w:rPr>
      </w:pPr>
      <w:r>
        <w:rPr>
          <w:rFonts w:ascii="Book Antiqua" w:hAnsi="Book Antiqua"/>
        </w:rPr>
        <w:t>CASP7: Caspase 7; CCDN2: Cyclin D2; PANX1: Pannexin 1.</w:t>
      </w:r>
    </w:p>
    <w:p w14:paraId="6A53BAC2" w14:textId="77777777" w:rsidR="00C67325" w:rsidRDefault="00C67325">
      <w:pPr>
        <w:rPr>
          <w:rFonts w:ascii="Book Antiqua" w:hAnsi="Book Antiqua"/>
        </w:rPr>
      </w:pPr>
      <w:r>
        <w:rPr>
          <w:rFonts w:ascii="Book Antiqua" w:hAnsi="Book Antiqua"/>
        </w:rPr>
        <w:br w:type="page"/>
      </w:r>
    </w:p>
    <w:p w14:paraId="29309240" w14:textId="77777777" w:rsidR="00C67325" w:rsidRPr="006D4EDA" w:rsidRDefault="00C67325" w:rsidP="00C67325">
      <w:pPr>
        <w:snapToGrid w:val="0"/>
        <w:ind w:leftChars="100" w:left="240"/>
        <w:jc w:val="center"/>
        <w:rPr>
          <w:rFonts w:ascii="Book Antiqua" w:hAnsi="Book Antiqua"/>
        </w:rPr>
      </w:pPr>
    </w:p>
    <w:p w14:paraId="476758B2" w14:textId="77777777" w:rsidR="00C67325" w:rsidRPr="006D4EDA" w:rsidRDefault="00C67325" w:rsidP="00C67325">
      <w:pPr>
        <w:snapToGrid w:val="0"/>
        <w:ind w:leftChars="100" w:left="240"/>
        <w:jc w:val="center"/>
        <w:rPr>
          <w:rFonts w:ascii="Book Antiqua" w:hAnsi="Book Antiqua"/>
        </w:rPr>
      </w:pPr>
    </w:p>
    <w:p w14:paraId="62C28E63" w14:textId="77777777" w:rsidR="00C67325" w:rsidRPr="006D4EDA" w:rsidRDefault="00C67325" w:rsidP="00C67325">
      <w:pPr>
        <w:snapToGrid w:val="0"/>
        <w:ind w:leftChars="100" w:left="240"/>
        <w:jc w:val="center"/>
        <w:rPr>
          <w:rFonts w:ascii="Book Antiqua" w:hAnsi="Book Antiqua"/>
        </w:rPr>
      </w:pPr>
    </w:p>
    <w:p w14:paraId="5CDD511E" w14:textId="77777777" w:rsidR="00C67325" w:rsidRPr="006D4EDA" w:rsidRDefault="00C67325" w:rsidP="00C67325">
      <w:pPr>
        <w:snapToGrid w:val="0"/>
        <w:ind w:leftChars="100" w:left="240"/>
        <w:jc w:val="center"/>
        <w:rPr>
          <w:rFonts w:ascii="Book Antiqua" w:hAnsi="Book Antiqua"/>
        </w:rPr>
      </w:pPr>
    </w:p>
    <w:p w14:paraId="317DCDFB" w14:textId="77777777" w:rsidR="00C67325" w:rsidRPr="006D4EDA" w:rsidRDefault="00C67325" w:rsidP="00C67325">
      <w:pPr>
        <w:snapToGrid w:val="0"/>
        <w:ind w:leftChars="100" w:left="240"/>
        <w:jc w:val="center"/>
        <w:rPr>
          <w:rFonts w:ascii="Book Antiqua" w:hAnsi="Book Antiqua"/>
        </w:rPr>
      </w:pPr>
      <w:r w:rsidRPr="006D4EDA">
        <w:rPr>
          <w:rFonts w:ascii="Book Antiqua" w:hAnsi="Book Antiqua"/>
          <w:noProof/>
        </w:rPr>
        <w:drawing>
          <wp:inline distT="0" distB="0" distL="0" distR="0" wp14:anchorId="5DEDD551" wp14:editId="081D6CB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253E71B" w14:textId="77777777" w:rsidR="00C67325" w:rsidRPr="006D4EDA" w:rsidRDefault="00C67325" w:rsidP="00C67325">
      <w:pPr>
        <w:snapToGrid w:val="0"/>
        <w:ind w:leftChars="100" w:left="240"/>
        <w:jc w:val="center"/>
        <w:rPr>
          <w:rFonts w:ascii="Book Antiqua" w:hAnsi="Book Antiqua"/>
        </w:rPr>
      </w:pPr>
    </w:p>
    <w:p w14:paraId="27D5D73E" w14:textId="77777777" w:rsidR="00C67325" w:rsidRPr="006D4EDA" w:rsidRDefault="00C67325" w:rsidP="00C6732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51AF3698" w14:textId="77777777" w:rsidR="00C67325" w:rsidRPr="006D4EDA" w:rsidRDefault="00C67325" w:rsidP="00C6732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49CE5396" w14:textId="77777777" w:rsidR="00C67325" w:rsidRPr="006D4EDA" w:rsidRDefault="00C67325" w:rsidP="00C6732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0B6990B0" w14:textId="77777777" w:rsidR="00C67325" w:rsidRPr="006D4EDA" w:rsidRDefault="00C67325" w:rsidP="00C6732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6BE078B1" w14:textId="77777777" w:rsidR="00C67325" w:rsidRPr="006D4EDA" w:rsidRDefault="00C67325" w:rsidP="00C6732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1D830674" w14:textId="77777777" w:rsidR="00C67325" w:rsidRPr="006D4EDA" w:rsidRDefault="00C67325" w:rsidP="00C67325">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469B560C" w14:textId="77777777" w:rsidR="00C67325" w:rsidRPr="006D4EDA" w:rsidRDefault="00C67325" w:rsidP="00C67325">
      <w:pPr>
        <w:snapToGrid w:val="0"/>
        <w:ind w:leftChars="100" w:left="240"/>
        <w:jc w:val="center"/>
        <w:rPr>
          <w:rFonts w:ascii="Book Antiqua" w:hAnsi="Book Antiqua"/>
        </w:rPr>
      </w:pPr>
    </w:p>
    <w:p w14:paraId="5040F641" w14:textId="77777777" w:rsidR="00C67325" w:rsidRPr="006D4EDA" w:rsidRDefault="00C67325" w:rsidP="00C67325">
      <w:pPr>
        <w:snapToGrid w:val="0"/>
        <w:ind w:leftChars="100" w:left="240"/>
        <w:jc w:val="center"/>
        <w:rPr>
          <w:rFonts w:ascii="Book Antiqua" w:hAnsi="Book Antiqua"/>
        </w:rPr>
      </w:pPr>
    </w:p>
    <w:p w14:paraId="67340B08" w14:textId="77777777" w:rsidR="00C67325" w:rsidRPr="006D4EDA" w:rsidRDefault="00C67325" w:rsidP="00C67325">
      <w:pPr>
        <w:snapToGrid w:val="0"/>
        <w:ind w:leftChars="100" w:left="240"/>
        <w:jc w:val="center"/>
        <w:rPr>
          <w:rFonts w:ascii="Book Antiqua" w:hAnsi="Book Antiqua"/>
        </w:rPr>
      </w:pPr>
    </w:p>
    <w:p w14:paraId="52980F91" w14:textId="77777777" w:rsidR="00C67325" w:rsidRPr="006D4EDA" w:rsidRDefault="00C67325" w:rsidP="00C67325">
      <w:pPr>
        <w:snapToGrid w:val="0"/>
        <w:ind w:leftChars="100" w:left="240"/>
        <w:jc w:val="center"/>
        <w:rPr>
          <w:rFonts w:ascii="Book Antiqua" w:hAnsi="Book Antiqua"/>
        </w:rPr>
      </w:pPr>
      <w:r w:rsidRPr="006D4EDA">
        <w:rPr>
          <w:rFonts w:ascii="Book Antiqua" w:hAnsi="Book Antiqua"/>
          <w:noProof/>
        </w:rPr>
        <w:drawing>
          <wp:inline distT="0" distB="0" distL="0" distR="0" wp14:anchorId="6BE0EF6A" wp14:editId="2F4D992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E9A0977" w14:textId="77777777" w:rsidR="00C67325" w:rsidRPr="006D4EDA" w:rsidRDefault="00C67325" w:rsidP="00C67325">
      <w:pPr>
        <w:snapToGrid w:val="0"/>
        <w:ind w:leftChars="100" w:left="240"/>
        <w:jc w:val="center"/>
        <w:rPr>
          <w:rFonts w:ascii="Book Antiqua" w:hAnsi="Book Antiqua"/>
        </w:rPr>
      </w:pPr>
    </w:p>
    <w:p w14:paraId="6669E143" w14:textId="77777777" w:rsidR="00C67325" w:rsidRPr="006D4EDA" w:rsidRDefault="00C67325" w:rsidP="00C67325">
      <w:pPr>
        <w:snapToGrid w:val="0"/>
        <w:ind w:leftChars="100" w:left="240"/>
        <w:jc w:val="center"/>
        <w:rPr>
          <w:rFonts w:ascii="Book Antiqua" w:hAnsi="Book Antiqua"/>
        </w:rPr>
      </w:pPr>
    </w:p>
    <w:p w14:paraId="06F3A8AD" w14:textId="77777777" w:rsidR="00C67325" w:rsidRPr="006D4EDA" w:rsidRDefault="00C67325" w:rsidP="00C67325">
      <w:pPr>
        <w:snapToGrid w:val="0"/>
        <w:ind w:leftChars="100" w:left="240"/>
        <w:jc w:val="center"/>
        <w:rPr>
          <w:rFonts w:ascii="Book Antiqua" w:hAnsi="Book Antiqua"/>
        </w:rPr>
      </w:pPr>
    </w:p>
    <w:p w14:paraId="4C9AA673" w14:textId="77777777" w:rsidR="00C67325" w:rsidRPr="006D4EDA" w:rsidRDefault="00C67325" w:rsidP="00C67325">
      <w:pPr>
        <w:snapToGrid w:val="0"/>
        <w:ind w:leftChars="100" w:left="240"/>
        <w:jc w:val="center"/>
        <w:rPr>
          <w:rFonts w:ascii="Book Antiqua" w:hAnsi="Book Antiqua"/>
        </w:rPr>
      </w:pPr>
    </w:p>
    <w:p w14:paraId="63F06D0E" w14:textId="77777777" w:rsidR="00C67325" w:rsidRPr="006D4EDA" w:rsidRDefault="00C67325" w:rsidP="00C67325">
      <w:pPr>
        <w:snapToGrid w:val="0"/>
        <w:ind w:leftChars="100" w:left="240"/>
        <w:jc w:val="center"/>
        <w:rPr>
          <w:rFonts w:ascii="Book Antiqua" w:hAnsi="Book Antiqua"/>
        </w:rPr>
      </w:pPr>
    </w:p>
    <w:p w14:paraId="1994A5C7" w14:textId="77777777" w:rsidR="00C67325" w:rsidRPr="006D4EDA" w:rsidRDefault="00C67325" w:rsidP="00C67325">
      <w:pPr>
        <w:snapToGrid w:val="0"/>
        <w:ind w:leftChars="100" w:left="240"/>
        <w:jc w:val="center"/>
        <w:rPr>
          <w:rFonts w:ascii="Book Antiqua" w:hAnsi="Book Antiqua"/>
        </w:rPr>
      </w:pPr>
    </w:p>
    <w:p w14:paraId="76A88826" w14:textId="77777777" w:rsidR="00C67325" w:rsidRPr="006D4EDA" w:rsidRDefault="00C67325" w:rsidP="00C67325">
      <w:pPr>
        <w:snapToGrid w:val="0"/>
        <w:ind w:leftChars="100" w:left="240"/>
        <w:jc w:val="center"/>
        <w:rPr>
          <w:rFonts w:ascii="Book Antiqua" w:hAnsi="Book Antiqua"/>
        </w:rPr>
      </w:pPr>
    </w:p>
    <w:p w14:paraId="3A7C173C" w14:textId="77777777" w:rsidR="00C67325" w:rsidRPr="006D4EDA" w:rsidRDefault="00C67325" w:rsidP="00C67325">
      <w:pPr>
        <w:snapToGrid w:val="0"/>
        <w:ind w:leftChars="100" w:left="240"/>
        <w:jc w:val="center"/>
        <w:rPr>
          <w:rFonts w:ascii="Book Antiqua" w:hAnsi="Book Antiqua"/>
        </w:rPr>
      </w:pPr>
    </w:p>
    <w:p w14:paraId="4594352F" w14:textId="77777777" w:rsidR="00C67325" w:rsidRPr="006D4EDA" w:rsidRDefault="00C67325" w:rsidP="00C67325">
      <w:pPr>
        <w:snapToGrid w:val="0"/>
        <w:ind w:leftChars="100" w:left="240"/>
        <w:jc w:val="center"/>
        <w:rPr>
          <w:rFonts w:ascii="Book Antiqua" w:hAnsi="Book Antiqua"/>
        </w:rPr>
      </w:pPr>
    </w:p>
    <w:p w14:paraId="61C9247D" w14:textId="77777777" w:rsidR="00C67325" w:rsidRPr="006D4EDA" w:rsidRDefault="00C67325" w:rsidP="00C67325">
      <w:pPr>
        <w:snapToGrid w:val="0"/>
        <w:ind w:leftChars="100" w:left="240"/>
        <w:jc w:val="right"/>
        <w:rPr>
          <w:rFonts w:ascii="Book Antiqua" w:hAnsi="Book Antiqua"/>
          <w:color w:val="000000" w:themeColor="text1"/>
        </w:rPr>
      </w:pPr>
    </w:p>
    <w:p w14:paraId="7C89B622" w14:textId="77777777" w:rsidR="00C67325" w:rsidRPr="006D4EDA" w:rsidRDefault="00C67325" w:rsidP="00C67325">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4A1D37AD" w14:textId="77777777" w:rsidR="00C67325" w:rsidRPr="00101F4D" w:rsidRDefault="00C67325" w:rsidP="00C67325">
      <w:pPr>
        <w:snapToGrid w:val="0"/>
        <w:ind w:leftChars="100" w:left="240"/>
        <w:jc w:val="center"/>
        <w:rPr>
          <w:rFonts w:ascii="Book Antiqua" w:hAnsi="Book Antiqua" w:cs="Book Antiqua"/>
          <w:b/>
          <w:bCs/>
          <w:color w:val="000000"/>
        </w:rPr>
      </w:pPr>
    </w:p>
    <w:p w14:paraId="3BBD8744" w14:textId="77777777" w:rsidR="00600DE7" w:rsidRPr="00BE12AC" w:rsidRDefault="00600DE7" w:rsidP="00873A9B">
      <w:pPr>
        <w:spacing w:line="360" w:lineRule="auto"/>
        <w:jc w:val="both"/>
        <w:rPr>
          <w:rFonts w:ascii="Book Antiqua" w:hAnsi="Book Antiqua"/>
        </w:rPr>
      </w:pPr>
    </w:p>
    <w:sectPr w:rsidR="00600DE7" w:rsidRPr="00BE12AC" w:rsidSect="006334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F639D" w14:textId="77777777" w:rsidR="00633490" w:rsidRDefault="00633490">
      <w:r>
        <w:separator/>
      </w:r>
    </w:p>
  </w:endnote>
  <w:endnote w:type="continuationSeparator" w:id="0">
    <w:p w14:paraId="5222AF3F" w14:textId="77777777" w:rsidR="00633490" w:rsidRDefault="00633490">
      <w:r>
        <w:continuationSeparator/>
      </w:r>
    </w:p>
  </w:endnote>
  <w:endnote w:type="continuationNotice" w:id="1">
    <w:p w14:paraId="6C414801" w14:textId="77777777" w:rsidR="00633490" w:rsidRDefault="006334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3932102"/>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7750E2FE" w14:textId="77777777" w:rsidR="00600DE7" w:rsidRDefault="00FC314E">
            <w:pPr>
              <w:pStyle w:val="a5"/>
              <w:jc w:val="right"/>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7521254E" w14:textId="77777777" w:rsidR="00600DE7" w:rsidRDefault="00600DE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CDD15" w14:textId="77777777" w:rsidR="00633490" w:rsidRDefault="00633490">
      <w:r>
        <w:separator/>
      </w:r>
    </w:p>
  </w:footnote>
  <w:footnote w:type="continuationSeparator" w:id="0">
    <w:p w14:paraId="48956109" w14:textId="77777777" w:rsidR="00633490" w:rsidRDefault="00633490">
      <w:r>
        <w:continuationSeparator/>
      </w:r>
    </w:p>
  </w:footnote>
  <w:footnote w:type="continuationNotice" w:id="1">
    <w:p w14:paraId="2E55E37E" w14:textId="77777777" w:rsidR="00633490" w:rsidRDefault="00633490"/>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WYxNWQzZjFlNmU1ODVkNGQzMjg1MmUwOTFlZDhiZGIifQ=="/>
  </w:docVars>
  <w:rsids>
    <w:rsidRoot w:val="00A77B3E"/>
    <w:rsid w:val="00004CBE"/>
    <w:rsid w:val="00005A81"/>
    <w:rsid w:val="00034503"/>
    <w:rsid w:val="000558B3"/>
    <w:rsid w:val="00092E34"/>
    <w:rsid w:val="000A155A"/>
    <w:rsid w:val="000D0B36"/>
    <w:rsid w:val="000D3D83"/>
    <w:rsid w:val="0010338F"/>
    <w:rsid w:val="001332C8"/>
    <w:rsid w:val="0013623B"/>
    <w:rsid w:val="00142185"/>
    <w:rsid w:val="0015094F"/>
    <w:rsid w:val="00153D10"/>
    <w:rsid w:val="00163AEE"/>
    <w:rsid w:val="0017117E"/>
    <w:rsid w:val="00185288"/>
    <w:rsid w:val="00195B8F"/>
    <w:rsid w:val="001974CE"/>
    <w:rsid w:val="001F3E28"/>
    <w:rsid w:val="001F4140"/>
    <w:rsid w:val="00200C64"/>
    <w:rsid w:val="0020504B"/>
    <w:rsid w:val="00224360"/>
    <w:rsid w:val="002359B3"/>
    <w:rsid w:val="00237A54"/>
    <w:rsid w:val="00263B69"/>
    <w:rsid w:val="00273B37"/>
    <w:rsid w:val="00286740"/>
    <w:rsid w:val="00287E4F"/>
    <w:rsid w:val="002924D3"/>
    <w:rsid w:val="00294ED9"/>
    <w:rsid w:val="002A2C7C"/>
    <w:rsid w:val="002C4155"/>
    <w:rsid w:val="002F2D06"/>
    <w:rsid w:val="002F528C"/>
    <w:rsid w:val="00345519"/>
    <w:rsid w:val="00372E49"/>
    <w:rsid w:val="00376C89"/>
    <w:rsid w:val="00377A86"/>
    <w:rsid w:val="003818B7"/>
    <w:rsid w:val="003D368A"/>
    <w:rsid w:val="00437881"/>
    <w:rsid w:val="004404DC"/>
    <w:rsid w:val="00466CE7"/>
    <w:rsid w:val="00467E30"/>
    <w:rsid w:val="00492876"/>
    <w:rsid w:val="00493DD4"/>
    <w:rsid w:val="004A09B2"/>
    <w:rsid w:val="004A4DD3"/>
    <w:rsid w:val="004A572B"/>
    <w:rsid w:val="004C2A27"/>
    <w:rsid w:val="004C70A5"/>
    <w:rsid w:val="004D5CF0"/>
    <w:rsid w:val="004D6E21"/>
    <w:rsid w:val="004E4C34"/>
    <w:rsid w:val="005053D7"/>
    <w:rsid w:val="00510F3B"/>
    <w:rsid w:val="00557F9F"/>
    <w:rsid w:val="005608CB"/>
    <w:rsid w:val="00560E39"/>
    <w:rsid w:val="00593802"/>
    <w:rsid w:val="005E67EB"/>
    <w:rsid w:val="00600DE7"/>
    <w:rsid w:val="006255DE"/>
    <w:rsid w:val="00633490"/>
    <w:rsid w:val="00641C85"/>
    <w:rsid w:val="006A3B73"/>
    <w:rsid w:val="006B07D6"/>
    <w:rsid w:val="006C54D1"/>
    <w:rsid w:val="006C6C12"/>
    <w:rsid w:val="006F4126"/>
    <w:rsid w:val="006F41A9"/>
    <w:rsid w:val="006F5635"/>
    <w:rsid w:val="006F7838"/>
    <w:rsid w:val="0073391A"/>
    <w:rsid w:val="00772DE1"/>
    <w:rsid w:val="00777B1A"/>
    <w:rsid w:val="00792181"/>
    <w:rsid w:val="007A00E1"/>
    <w:rsid w:val="008176EE"/>
    <w:rsid w:val="00822211"/>
    <w:rsid w:val="00850449"/>
    <w:rsid w:val="00864CBE"/>
    <w:rsid w:val="00873A9B"/>
    <w:rsid w:val="00894299"/>
    <w:rsid w:val="008952A4"/>
    <w:rsid w:val="008A22AB"/>
    <w:rsid w:val="008B2EEC"/>
    <w:rsid w:val="008C61A7"/>
    <w:rsid w:val="008D0FE4"/>
    <w:rsid w:val="008E026C"/>
    <w:rsid w:val="008E34AF"/>
    <w:rsid w:val="008E44DB"/>
    <w:rsid w:val="008F3672"/>
    <w:rsid w:val="00906DA3"/>
    <w:rsid w:val="009170AA"/>
    <w:rsid w:val="00920A74"/>
    <w:rsid w:val="00931E55"/>
    <w:rsid w:val="00943F05"/>
    <w:rsid w:val="00961D0D"/>
    <w:rsid w:val="00970EF6"/>
    <w:rsid w:val="00971B13"/>
    <w:rsid w:val="009745EC"/>
    <w:rsid w:val="00974D5A"/>
    <w:rsid w:val="00986C35"/>
    <w:rsid w:val="009A3AC4"/>
    <w:rsid w:val="009B0F68"/>
    <w:rsid w:val="009B7380"/>
    <w:rsid w:val="009C0383"/>
    <w:rsid w:val="009C542E"/>
    <w:rsid w:val="009D1A85"/>
    <w:rsid w:val="009D4E5C"/>
    <w:rsid w:val="009E63E1"/>
    <w:rsid w:val="009F35C7"/>
    <w:rsid w:val="00A3333F"/>
    <w:rsid w:val="00A63949"/>
    <w:rsid w:val="00A77B3E"/>
    <w:rsid w:val="00A82DED"/>
    <w:rsid w:val="00A90E97"/>
    <w:rsid w:val="00A92DC3"/>
    <w:rsid w:val="00A970B3"/>
    <w:rsid w:val="00AA0A37"/>
    <w:rsid w:val="00AA47E1"/>
    <w:rsid w:val="00AB689E"/>
    <w:rsid w:val="00AB7C8A"/>
    <w:rsid w:val="00AF0326"/>
    <w:rsid w:val="00AF10A6"/>
    <w:rsid w:val="00B05E30"/>
    <w:rsid w:val="00B1265C"/>
    <w:rsid w:val="00B166B7"/>
    <w:rsid w:val="00B27FD3"/>
    <w:rsid w:val="00B3655E"/>
    <w:rsid w:val="00B36AE5"/>
    <w:rsid w:val="00B5177C"/>
    <w:rsid w:val="00B57CAC"/>
    <w:rsid w:val="00B66EAA"/>
    <w:rsid w:val="00B72C23"/>
    <w:rsid w:val="00B73848"/>
    <w:rsid w:val="00B77EAE"/>
    <w:rsid w:val="00B81E82"/>
    <w:rsid w:val="00B81E86"/>
    <w:rsid w:val="00B93D87"/>
    <w:rsid w:val="00B94B4A"/>
    <w:rsid w:val="00BA3320"/>
    <w:rsid w:val="00BA3C16"/>
    <w:rsid w:val="00BC2203"/>
    <w:rsid w:val="00BE12AC"/>
    <w:rsid w:val="00BE177C"/>
    <w:rsid w:val="00C01507"/>
    <w:rsid w:val="00C1194C"/>
    <w:rsid w:val="00C145B5"/>
    <w:rsid w:val="00C2626A"/>
    <w:rsid w:val="00C307A3"/>
    <w:rsid w:val="00C351E4"/>
    <w:rsid w:val="00C36ABB"/>
    <w:rsid w:val="00C67325"/>
    <w:rsid w:val="00C7283A"/>
    <w:rsid w:val="00C80301"/>
    <w:rsid w:val="00CA2A55"/>
    <w:rsid w:val="00CB5A53"/>
    <w:rsid w:val="00CB6200"/>
    <w:rsid w:val="00CD2A9B"/>
    <w:rsid w:val="00CD46DE"/>
    <w:rsid w:val="00CE0D75"/>
    <w:rsid w:val="00CF1A69"/>
    <w:rsid w:val="00CF6E67"/>
    <w:rsid w:val="00CF79DC"/>
    <w:rsid w:val="00D00ABD"/>
    <w:rsid w:val="00D02407"/>
    <w:rsid w:val="00D17846"/>
    <w:rsid w:val="00D40206"/>
    <w:rsid w:val="00D43D86"/>
    <w:rsid w:val="00D4602C"/>
    <w:rsid w:val="00D4740B"/>
    <w:rsid w:val="00D650B0"/>
    <w:rsid w:val="00D80340"/>
    <w:rsid w:val="00D9492E"/>
    <w:rsid w:val="00DA29AC"/>
    <w:rsid w:val="00DA4DFB"/>
    <w:rsid w:val="00DD49F2"/>
    <w:rsid w:val="00DE1AE0"/>
    <w:rsid w:val="00DE4CC2"/>
    <w:rsid w:val="00E16593"/>
    <w:rsid w:val="00E17DBA"/>
    <w:rsid w:val="00E40CB2"/>
    <w:rsid w:val="00E57772"/>
    <w:rsid w:val="00E60901"/>
    <w:rsid w:val="00E644A4"/>
    <w:rsid w:val="00E81F58"/>
    <w:rsid w:val="00E84C39"/>
    <w:rsid w:val="00EA08C3"/>
    <w:rsid w:val="00EA0BC7"/>
    <w:rsid w:val="00EA102D"/>
    <w:rsid w:val="00EA4BC7"/>
    <w:rsid w:val="00EC3E4E"/>
    <w:rsid w:val="00EC60C1"/>
    <w:rsid w:val="00ED6F60"/>
    <w:rsid w:val="00F02A3D"/>
    <w:rsid w:val="00F12CE8"/>
    <w:rsid w:val="00F260CD"/>
    <w:rsid w:val="00F275F0"/>
    <w:rsid w:val="00F3761B"/>
    <w:rsid w:val="00F71693"/>
    <w:rsid w:val="00F769E3"/>
    <w:rsid w:val="00F82673"/>
    <w:rsid w:val="00F9061C"/>
    <w:rsid w:val="00FA5E53"/>
    <w:rsid w:val="00FC314E"/>
    <w:rsid w:val="00FE535D"/>
    <w:rsid w:val="00FE6C6F"/>
    <w:rsid w:val="04DF1A8A"/>
    <w:rsid w:val="04FC007E"/>
    <w:rsid w:val="05AD1B88"/>
    <w:rsid w:val="06905732"/>
    <w:rsid w:val="08D51B22"/>
    <w:rsid w:val="08EC29C7"/>
    <w:rsid w:val="0B3A22B7"/>
    <w:rsid w:val="0B4E34C6"/>
    <w:rsid w:val="0C1F5AA0"/>
    <w:rsid w:val="0C9B6295"/>
    <w:rsid w:val="0D215336"/>
    <w:rsid w:val="0F847C52"/>
    <w:rsid w:val="101B6647"/>
    <w:rsid w:val="102D5D9F"/>
    <w:rsid w:val="110E4174"/>
    <w:rsid w:val="11B00A36"/>
    <w:rsid w:val="122B27B2"/>
    <w:rsid w:val="12A87B78"/>
    <w:rsid w:val="15820285"/>
    <w:rsid w:val="1C9D24FF"/>
    <w:rsid w:val="1CFC5477"/>
    <w:rsid w:val="228201CD"/>
    <w:rsid w:val="27484E85"/>
    <w:rsid w:val="27E64D5A"/>
    <w:rsid w:val="28953C4C"/>
    <w:rsid w:val="2A7D127A"/>
    <w:rsid w:val="2EAC496F"/>
    <w:rsid w:val="2ED27DE6"/>
    <w:rsid w:val="312F2968"/>
    <w:rsid w:val="32D11EE7"/>
    <w:rsid w:val="39EC3D26"/>
    <w:rsid w:val="3A7B57D6"/>
    <w:rsid w:val="3AE555F4"/>
    <w:rsid w:val="3E0D012A"/>
    <w:rsid w:val="3E595E2E"/>
    <w:rsid w:val="3FCD2F15"/>
    <w:rsid w:val="422830F8"/>
    <w:rsid w:val="49885819"/>
    <w:rsid w:val="498B355B"/>
    <w:rsid w:val="4A606796"/>
    <w:rsid w:val="4C975D73"/>
    <w:rsid w:val="4D6C0A51"/>
    <w:rsid w:val="503736B8"/>
    <w:rsid w:val="54992125"/>
    <w:rsid w:val="54E87AB4"/>
    <w:rsid w:val="570A713B"/>
    <w:rsid w:val="572B1EDA"/>
    <w:rsid w:val="572F19CA"/>
    <w:rsid w:val="5B4B48F9"/>
    <w:rsid w:val="5BBE7366"/>
    <w:rsid w:val="624327CD"/>
    <w:rsid w:val="62AA45FB"/>
    <w:rsid w:val="67B81568"/>
    <w:rsid w:val="6A4B66C3"/>
    <w:rsid w:val="6C7F4402"/>
    <w:rsid w:val="6EBA6FC6"/>
    <w:rsid w:val="70345611"/>
    <w:rsid w:val="71E85A49"/>
    <w:rsid w:val="75894543"/>
    <w:rsid w:val="7B4707E1"/>
    <w:rsid w:val="7E191883"/>
    <w:rsid w:val="7FA065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2BD65A"/>
  <w15:docId w15:val="{1A69B3F9-E327-4D12-83E5-0B3312807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332C8"/>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style>
  <w:style w:type="paragraph" w:styleId="a5">
    <w:name w:val="footer"/>
    <w:basedOn w:val="a"/>
    <w:link w:val="a6"/>
    <w:autoRedefine/>
    <w:uiPriority w:val="99"/>
    <w:qFormat/>
    <w:pPr>
      <w:tabs>
        <w:tab w:val="center" w:pos="4153"/>
        <w:tab w:val="right" w:pos="8306"/>
      </w:tabs>
      <w:snapToGrid w:val="0"/>
    </w:pPr>
    <w:rPr>
      <w:sz w:val="18"/>
      <w:szCs w:val="18"/>
    </w:rPr>
  </w:style>
  <w:style w:type="paragraph" w:styleId="a7">
    <w:name w:val="header"/>
    <w:basedOn w:val="a"/>
    <w:link w:val="a8"/>
    <w:autoRedefine/>
    <w:qFormat/>
    <w:pPr>
      <w:tabs>
        <w:tab w:val="center" w:pos="4153"/>
        <w:tab w:val="right" w:pos="8306"/>
      </w:tabs>
      <w:snapToGrid w:val="0"/>
      <w:jc w:val="center"/>
    </w:pPr>
    <w:rPr>
      <w:sz w:val="18"/>
      <w:szCs w:val="18"/>
    </w:rPr>
  </w:style>
  <w:style w:type="paragraph" w:styleId="a9">
    <w:name w:val="annotation subject"/>
    <w:basedOn w:val="a3"/>
    <w:next w:val="a3"/>
    <w:link w:val="aa"/>
    <w:autoRedefine/>
    <w:qFormat/>
    <w:rPr>
      <w:b/>
      <w:bCs/>
    </w:rPr>
  </w:style>
  <w:style w:type="table" w:styleId="ab">
    <w:name w:val="Table Grid"/>
    <w:basedOn w:val="a1"/>
    <w:autoRedefine/>
    <w:qFormat/>
    <w:pPr>
      <w:widowControl w:val="0"/>
      <w:jc w:val="both"/>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autoRedefine/>
    <w:qFormat/>
    <w:rPr>
      <w:sz w:val="21"/>
      <w:szCs w:val="21"/>
    </w:rPr>
  </w:style>
  <w:style w:type="character" w:customStyle="1" w:styleId="15">
    <w:name w:val="15"/>
    <w:basedOn w:val="a0"/>
    <w:autoRedefine/>
    <w:qFormat/>
  </w:style>
  <w:style w:type="character" w:customStyle="1" w:styleId="a8">
    <w:name w:val="页眉 字符"/>
    <w:basedOn w:val="a0"/>
    <w:link w:val="a7"/>
    <w:autoRedefine/>
    <w:qFormat/>
    <w:rPr>
      <w:sz w:val="18"/>
      <w:szCs w:val="18"/>
    </w:rPr>
  </w:style>
  <w:style w:type="character" w:customStyle="1" w:styleId="a6">
    <w:name w:val="页脚 字符"/>
    <w:basedOn w:val="a0"/>
    <w:link w:val="a5"/>
    <w:autoRedefine/>
    <w:uiPriority w:val="99"/>
    <w:qFormat/>
    <w:rPr>
      <w:sz w:val="18"/>
      <w:szCs w:val="18"/>
    </w:rPr>
  </w:style>
  <w:style w:type="character" w:customStyle="1" w:styleId="a4">
    <w:name w:val="批注文字 字符"/>
    <w:basedOn w:val="a0"/>
    <w:link w:val="a3"/>
    <w:autoRedefine/>
    <w:qFormat/>
    <w:rPr>
      <w:rFonts w:eastAsiaTheme="minorEastAsia"/>
      <w:sz w:val="24"/>
      <w:szCs w:val="24"/>
      <w:lang w:eastAsia="en-US"/>
    </w:rPr>
  </w:style>
  <w:style w:type="character" w:customStyle="1" w:styleId="aa">
    <w:name w:val="批注主题 字符"/>
    <w:basedOn w:val="a4"/>
    <w:link w:val="a9"/>
    <w:autoRedefine/>
    <w:qFormat/>
    <w:rPr>
      <w:rFonts w:eastAsiaTheme="minorEastAsia"/>
      <w:b/>
      <w:bCs/>
      <w:sz w:val="24"/>
      <w:szCs w:val="24"/>
      <w:lang w:eastAsia="en-US"/>
    </w:rPr>
  </w:style>
  <w:style w:type="paragraph" w:customStyle="1" w:styleId="1">
    <w:name w:val="修订1"/>
    <w:autoRedefine/>
    <w:hidden/>
    <w:uiPriority w:val="99"/>
    <w:semiHidden/>
    <w:qFormat/>
    <w:rsid w:val="001332C8"/>
    <w:rPr>
      <w:rFonts w:eastAsiaTheme="minorEastAsia"/>
      <w:sz w:val="24"/>
      <w:szCs w:val="24"/>
      <w:lang w:eastAsia="en-US"/>
    </w:rPr>
  </w:style>
  <w:style w:type="paragraph" w:customStyle="1" w:styleId="2">
    <w:name w:val="修订2"/>
    <w:autoRedefine/>
    <w:hidden/>
    <w:uiPriority w:val="99"/>
    <w:unhideWhenUsed/>
    <w:qFormat/>
    <w:rPr>
      <w:rFonts w:eastAsiaTheme="minorEastAsia"/>
      <w:sz w:val="24"/>
      <w:szCs w:val="24"/>
      <w:lang w:eastAsia="en-US"/>
    </w:rPr>
  </w:style>
  <w:style w:type="paragraph" w:styleId="ad">
    <w:name w:val="Revision"/>
    <w:hidden/>
    <w:uiPriority w:val="99"/>
    <w:unhideWhenUsed/>
    <w:rsid w:val="001332C8"/>
    <w:rPr>
      <w:rFonts w:eastAsiaTheme="minorEastAsia"/>
      <w:sz w:val="24"/>
      <w:szCs w:val="24"/>
      <w:lang w:eastAsia="en-US"/>
    </w:rPr>
  </w:style>
  <w:style w:type="character" w:customStyle="1" w:styleId="hgkelc">
    <w:name w:val="hgkelc"/>
    <w:basedOn w:val="a0"/>
    <w:rsid w:val="00E81F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2104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mbase.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hyperlink" Target="https://pubmed"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64</Pages>
  <Words>21617</Words>
  <Characters>123221</Characters>
  <Application>Microsoft Office Word</Application>
  <DocSecurity>0</DocSecurity>
  <Lines>1026</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HC-101</dc:creator>
  <cp:lastModifiedBy>M18955</cp:lastModifiedBy>
  <cp:revision>7</cp:revision>
  <dcterms:created xsi:type="dcterms:W3CDTF">2024-01-24T22:03:00Z</dcterms:created>
  <dcterms:modified xsi:type="dcterms:W3CDTF">2024-02-18T12:01:00Z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4C04C42AC5FE4EF19C5AEC661C7A0B97_12</vt:lpwstr>
  </property>
</Properties>
</file>