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A26FB" w14:textId="77777777" w:rsidR="00DE37B1"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Oncology</w:t>
      </w:r>
    </w:p>
    <w:p w14:paraId="68165B80" w14:textId="77777777" w:rsidR="00DE37B1"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88200</w:t>
      </w:r>
    </w:p>
    <w:p w14:paraId="3CC1220E" w14:textId="77777777" w:rsidR="00DE37B1"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584443C8" w14:textId="77777777" w:rsidR="00DE37B1" w:rsidRDefault="00DE37B1">
      <w:pPr>
        <w:spacing w:line="360" w:lineRule="auto"/>
        <w:jc w:val="both"/>
      </w:pPr>
    </w:p>
    <w:p w14:paraId="4DE9418C" w14:textId="77777777" w:rsidR="00DE37B1" w:rsidRDefault="00000000">
      <w:pPr>
        <w:spacing w:line="360" w:lineRule="auto"/>
        <w:jc w:val="both"/>
      </w:pPr>
      <w:r>
        <w:rPr>
          <w:rFonts w:ascii="Book Antiqua" w:eastAsia="Book Antiqua" w:hAnsi="Book Antiqua" w:cs="Book Antiqua"/>
          <w:b/>
          <w:i/>
        </w:rPr>
        <w:t>Retrospective Study</w:t>
      </w:r>
    </w:p>
    <w:p w14:paraId="0884754C" w14:textId="5EA38DC5" w:rsidR="00DE37B1" w:rsidRDefault="00000000">
      <w:pPr>
        <w:spacing w:line="360" w:lineRule="auto"/>
        <w:jc w:val="both"/>
      </w:pPr>
      <w:bookmarkStart w:id="0" w:name="OLE_LINK7840"/>
      <w:bookmarkStart w:id="1" w:name="OLE_LINK7839"/>
      <w:r>
        <w:rPr>
          <w:rFonts w:ascii="Book Antiqua" w:eastAsia="Book Antiqua" w:hAnsi="Book Antiqua" w:cs="Book Antiqua"/>
          <w:b/>
          <w:bCs/>
          <w:color w:val="000000"/>
        </w:rPr>
        <w:t>Clinical value of oral contrast-enhanced ultrasonography in</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diagnosis of gastric tumors</w:t>
      </w:r>
    </w:p>
    <w:bookmarkEnd w:id="0"/>
    <w:bookmarkEnd w:id="1"/>
    <w:p w14:paraId="5C94AB7D" w14:textId="77777777" w:rsidR="00DE37B1" w:rsidRDefault="00DE37B1">
      <w:pPr>
        <w:spacing w:line="360" w:lineRule="auto"/>
        <w:jc w:val="both"/>
      </w:pPr>
    </w:p>
    <w:p w14:paraId="4E83D42B" w14:textId="77777777" w:rsidR="00DE37B1" w:rsidRDefault="00000000">
      <w:pPr>
        <w:spacing w:line="360" w:lineRule="auto"/>
        <w:jc w:val="both"/>
      </w:pPr>
      <w:r>
        <w:rPr>
          <w:rFonts w:ascii="Book Antiqua" w:eastAsia="Book Antiqua" w:hAnsi="Book Antiqua" w:cs="Book Antiqua"/>
          <w:color w:val="000000"/>
        </w:rPr>
        <w:t xml:space="preserve">Wang CY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2" w:name="OLE_LINK7841"/>
      <w:bookmarkStart w:id="3" w:name="OLE_LINK7842"/>
      <w:r>
        <w:rPr>
          <w:rFonts w:ascii="Book Antiqua" w:eastAsia="Book Antiqua" w:hAnsi="Book Antiqua" w:cs="Book Antiqua"/>
          <w:color w:val="000000"/>
        </w:rPr>
        <w:t>Oral contrast-enhanced ultrasonography in gastric tumors</w:t>
      </w:r>
      <w:bookmarkEnd w:id="2"/>
      <w:bookmarkEnd w:id="3"/>
    </w:p>
    <w:p w14:paraId="326F55D5" w14:textId="77777777" w:rsidR="00DE37B1" w:rsidRDefault="00DE37B1">
      <w:pPr>
        <w:spacing w:line="360" w:lineRule="auto"/>
        <w:jc w:val="both"/>
      </w:pPr>
    </w:p>
    <w:p w14:paraId="743C888B" w14:textId="77777777" w:rsidR="00DE37B1" w:rsidRDefault="00000000">
      <w:pPr>
        <w:spacing w:line="360" w:lineRule="auto"/>
        <w:jc w:val="both"/>
      </w:pPr>
      <w:r>
        <w:rPr>
          <w:rFonts w:ascii="Book Antiqua" w:eastAsia="Book Antiqua" w:hAnsi="Book Antiqua" w:cs="Book Antiqua"/>
          <w:color w:val="000000"/>
        </w:rPr>
        <w:t>Chuan-Yu Wang, Xiao-Jing Fan, Fei-Liang Wang, Yue-Yue Ge, Zhao Cai, Wei Wang, Xin-Ping Zhou, Jun Du, De-Wei Dai</w:t>
      </w:r>
    </w:p>
    <w:p w14:paraId="514F373A" w14:textId="77777777" w:rsidR="00DE37B1" w:rsidRDefault="00DE37B1">
      <w:pPr>
        <w:spacing w:line="360" w:lineRule="auto"/>
        <w:jc w:val="both"/>
      </w:pPr>
    </w:p>
    <w:p w14:paraId="67069A4A" w14:textId="77777777" w:rsidR="00DE37B1" w:rsidRDefault="00000000">
      <w:pPr>
        <w:spacing w:line="360" w:lineRule="auto"/>
        <w:jc w:val="both"/>
      </w:pPr>
      <w:r>
        <w:rPr>
          <w:rFonts w:ascii="Book Antiqua" w:eastAsia="Book Antiqua" w:hAnsi="Book Antiqua" w:cs="Book Antiqua"/>
          <w:b/>
          <w:bCs/>
          <w:color w:val="000000"/>
        </w:rPr>
        <w:t xml:space="preserve">Chuan-Yu Wang, Xiao-Jing Fan, Fei-Liang Wang, Yue-Yue Ge, Zhao Cai, De-Wei Dai, </w:t>
      </w:r>
      <w:r>
        <w:rPr>
          <w:rFonts w:ascii="Book Antiqua" w:eastAsia="Book Antiqua" w:hAnsi="Book Antiqua" w:cs="Book Antiqua"/>
          <w:color w:val="000000"/>
        </w:rPr>
        <w:t>Department of Ultrasound Medicine, Beijing Hospital, Beijing 100005, China</w:t>
      </w:r>
    </w:p>
    <w:p w14:paraId="0359EA25" w14:textId="77777777" w:rsidR="00DE37B1" w:rsidRDefault="00DE37B1">
      <w:pPr>
        <w:spacing w:line="360" w:lineRule="auto"/>
        <w:jc w:val="both"/>
      </w:pPr>
    </w:p>
    <w:p w14:paraId="2B783814" w14:textId="77777777" w:rsidR="00DE37B1" w:rsidRDefault="00000000">
      <w:pPr>
        <w:spacing w:line="360" w:lineRule="auto"/>
        <w:jc w:val="both"/>
      </w:pPr>
      <w:r>
        <w:rPr>
          <w:rFonts w:ascii="Book Antiqua" w:eastAsia="Book Antiqua" w:hAnsi="Book Antiqua" w:cs="Book Antiqua"/>
          <w:b/>
          <w:bCs/>
          <w:color w:val="000000"/>
        </w:rPr>
        <w:t xml:space="preserve">Wei Wang, </w:t>
      </w:r>
      <w:r>
        <w:rPr>
          <w:rFonts w:ascii="Book Antiqua" w:eastAsia="Book Antiqua" w:hAnsi="Book Antiqua" w:cs="Book Antiqua"/>
          <w:color w:val="000000"/>
        </w:rPr>
        <w:t>Department of Gastroscopy, Beijing Hospital, Beijing 100005, China</w:t>
      </w:r>
    </w:p>
    <w:p w14:paraId="3E0C184E" w14:textId="77777777" w:rsidR="00DE37B1" w:rsidRDefault="00DE37B1">
      <w:pPr>
        <w:spacing w:line="360" w:lineRule="auto"/>
        <w:jc w:val="both"/>
      </w:pPr>
    </w:p>
    <w:p w14:paraId="710D3549" w14:textId="77777777" w:rsidR="00DE37B1" w:rsidRDefault="00000000">
      <w:pPr>
        <w:spacing w:line="360" w:lineRule="auto"/>
        <w:jc w:val="both"/>
      </w:pPr>
      <w:r>
        <w:rPr>
          <w:rFonts w:ascii="Book Antiqua" w:eastAsia="Book Antiqua" w:hAnsi="Book Antiqua" w:cs="Book Antiqua"/>
          <w:b/>
          <w:bCs/>
          <w:color w:val="000000"/>
        </w:rPr>
        <w:t xml:space="preserve">Xin-Ping Zhou, </w:t>
      </w:r>
      <w:r>
        <w:rPr>
          <w:rFonts w:ascii="Book Antiqua" w:eastAsia="Book Antiqua" w:hAnsi="Book Antiqua" w:cs="Book Antiqua"/>
          <w:color w:val="000000"/>
        </w:rPr>
        <w:t>Department of General Surgery, Beijing Hospital, Beijing 100005, China</w:t>
      </w:r>
    </w:p>
    <w:p w14:paraId="22C22044" w14:textId="77777777" w:rsidR="00DE37B1" w:rsidRDefault="00DE37B1">
      <w:pPr>
        <w:spacing w:line="360" w:lineRule="auto"/>
        <w:jc w:val="both"/>
      </w:pPr>
    </w:p>
    <w:p w14:paraId="0C5C962A" w14:textId="77777777" w:rsidR="00DE37B1" w:rsidRDefault="00000000">
      <w:pPr>
        <w:spacing w:line="360" w:lineRule="auto"/>
        <w:jc w:val="both"/>
      </w:pPr>
      <w:r>
        <w:rPr>
          <w:rFonts w:ascii="Book Antiqua" w:eastAsia="Book Antiqua" w:hAnsi="Book Antiqua" w:cs="Book Antiqua"/>
          <w:b/>
          <w:bCs/>
          <w:color w:val="000000"/>
        </w:rPr>
        <w:t xml:space="preserve">Jun Du, </w:t>
      </w:r>
      <w:r>
        <w:rPr>
          <w:rFonts w:ascii="Book Antiqua" w:eastAsia="Book Antiqua" w:hAnsi="Book Antiqua" w:cs="Book Antiqua"/>
          <w:color w:val="000000"/>
        </w:rPr>
        <w:t>Department of Pathology, Beijing Hospital, Beijing 100005, China</w:t>
      </w:r>
    </w:p>
    <w:p w14:paraId="56F98B58" w14:textId="77777777" w:rsidR="00DE37B1" w:rsidRDefault="00DE37B1">
      <w:pPr>
        <w:spacing w:line="360" w:lineRule="auto"/>
        <w:jc w:val="both"/>
      </w:pPr>
    </w:p>
    <w:p w14:paraId="3E6390C0" w14:textId="77777777" w:rsidR="00DE37B1"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Wang CY and Dai DW designed the research study; Wang CY, Fan XJ, and Wang FL performed the research; Wang CY, Fan XJ, Wang FL, Ge YY, Cai Z, Wang W, Zhou XP, Du J,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Dai DW analyzed the data and wrote the manuscript; all authors have read and approve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the final manuscript.</w:t>
      </w:r>
    </w:p>
    <w:p w14:paraId="0CB4F12A" w14:textId="77777777" w:rsidR="00DE37B1" w:rsidRDefault="00DE37B1">
      <w:pPr>
        <w:spacing w:line="360" w:lineRule="auto"/>
        <w:jc w:val="both"/>
      </w:pPr>
    </w:p>
    <w:p w14:paraId="1494A2D0" w14:textId="77777777" w:rsidR="00DE37B1" w:rsidRDefault="00000000">
      <w:pPr>
        <w:spacing w:line="360" w:lineRule="auto"/>
        <w:jc w:val="both"/>
      </w:pPr>
      <w:r>
        <w:rPr>
          <w:rFonts w:ascii="Book Antiqua" w:eastAsia="Book Antiqua" w:hAnsi="Book Antiqua" w:cs="Book Antiqua"/>
          <w:b/>
          <w:bCs/>
          <w:color w:val="000000"/>
        </w:rPr>
        <w:t xml:space="preserve">Corresponding author: De-Wei Dai, MD, Chief Physician, </w:t>
      </w:r>
      <w:r>
        <w:rPr>
          <w:rFonts w:ascii="Book Antiqua" w:eastAsia="Book Antiqua" w:hAnsi="Book Antiqua" w:cs="Book Antiqua"/>
          <w:color w:val="000000"/>
        </w:rPr>
        <w:t>Department of Ultrasound Medicine, Beijing Hospital, No. 1 Dahua Road, Dongdan, Dongcheng District, Beijing 100005, China. dai.weide@126.com</w:t>
      </w:r>
      <w:bookmarkStart w:id="4" w:name="OLE_LINK7531"/>
      <w:bookmarkStart w:id="5" w:name="OLE_LINK7530"/>
      <w:bookmarkStart w:id="6" w:name="OLE_LINK7528"/>
      <w:bookmarkStart w:id="7" w:name="OLE_LINK7533"/>
      <w:bookmarkStart w:id="8" w:name="OLE_LINK7532"/>
      <w:bookmarkStart w:id="9" w:name="OLE_LINK7529"/>
    </w:p>
    <w:bookmarkEnd w:id="4"/>
    <w:bookmarkEnd w:id="5"/>
    <w:bookmarkEnd w:id="6"/>
    <w:bookmarkEnd w:id="7"/>
    <w:bookmarkEnd w:id="8"/>
    <w:bookmarkEnd w:id="9"/>
    <w:p w14:paraId="2536D523" w14:textId="77777777" w:rsidR="00DE37B1" w:rsidRDefault="00DE37B1">
      <w:pPr>
        <w:spacing w:line="360" w:lineRule="auto"/>
        <w:jc w:val="both"/>
      </w:pPr>
    </w:p>
    <w:p w14:paraId="439B75CF" w14:textId="77777777" w:rsidR="00DE37B1"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September 14, 2023</w:t>
      </w:r>
    </w:p>
    <w:p w14:paraId="3E0354B9" w14:textId="77777777" w:rsidR="00DE37B1"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November 10, 2023</w:t>
      </w:r>
    </w:p>
    <w:p w14:paraId="20D624D6" w14:textId="31082C04" w:rsidR="00DE37B1" w:rsidRDefault="00000000">
      <w:pPr>
        <w:spacing w:line="360" w:lineRule="auto"/>
        <w:jc w:val="both"/>
      </w:pPr>
      <w:r>
        <w:rPr>
          <w:rFonts w:ascii="Book Antiqua" w:eastAsia="Book Antiqua" w:hAnsi="Book Antiqua" w:cs="Book Antiqua"/>
          <w:b/>
          <w:bCs/>
        </w:rPr>
        <w:t xml:space="preserve">Accepted: </w:t>
      </w:r>
      <w:r>
        <w:rPr>
          <w:rFonts w:ascii="Book Antiqua" w:eastAsia="Book Antiqua" w:hAnsi="Book Antiqua" w:cs="Book Antiqua"/>
        </w:rPr>
        <w:t>November 1</w:t>
      </w:r>
      <w:r w:rsidR="00D36FD2">
        <w:rPr>
          <w:rFonts w:ascii="Book Antiqua" w:eastAsia="Book Antiqua" w:hAnsi="Book Antiqua" w:cs="Book Antiqua"/>
        </w:rPr>
        <w:t>5</w:t>
      </w:r>
      <w:r>
        <w:rPr>
          <w:rFonts w:ascii="Book Antiqua" w:eastAsia="Book Antiqua" w:hAnsi="Book Antiqua" w:cs="Book Antiqua"/>
        </w:rPr>
        <w:t>, 2023</w:t>
      </w:r>
    </w:p>
    <w:p w14:paraId="524FE13C" w14:textId="4673A3D2" w:rsidR="00DE37B1" w:rsidRPr="00055A75" w:rsidRDefault="00000000">
      <w:pPr>
        <w:spacing w:line="360" w:lineRule="auto"/>
        <w:jc w:val="both"/>
      </w:pPr>
      <w:r>
        <w:rPr>
          <w:rFonts w:ascii="Book Antiqua" w:eastAsia="Book Antiqua" w:hAnsi="Book Antiqua" w:cs="Book Antiqua"/>
          <w:b/>
          <w:bCs/>
        </w:rPr>
        <w:t>Published online:</w:t>
      </w:r>
      <w:r w:rsidRPr="00055A75">
        <w:rPr>
          <w:rFonts w:ascii="Book Antiqua" w:eastAsia="Book Antiqua" w:hAnsi="Book Antiqua" w:cs="Book Antiqua"/>
        </w:rPr>
        <w:t xml:space="preserve"> </w:t>
      </w:r>
      <w:r w:rsidR="003B7422">
        <w:rPr>
          <w:rFonts w:ascii="Book Antiqua" w:eastAsia="Book Antiqua" w:hAnsi="Book Antiqua" w:cs="Book Antiqua"/>
        </w:rPr>
        <w:t>January 15, 2024</w:t>
      </w:r>
    </w:p>
    <w:p w14:paraId="5D809D2D" w14:textId="77777777" w:rsidR="00DE37B1" w:rsidRDefault="00DE37B1">
      <w:pPr>
        <w:spacing w:line="360" w:lineRule="auto"/>
        <w:jc w:val="both"/>
        <w:sectPr w:rsidR="00DE37B1" w:rsidSect="00CD411E">
          <w:footerReference w:type="default" r:id="rId6"/>
          <w:pgSz w:w="12240" w:h="15840"/>
          <w:pgMar w:top="1440" w:right="1440" w:bottom="1440" w:left="1440" w:header="720" w:footer="720" w:gutter="0"/>
          <w:cols w:space="720"/>
          <w:docGrid w:linePitch="360"/>
        </w:sectPr>
      </w:pPr>
    </w:p>
    <w:p w14:paraId="2A1AB425" w14:textId="77777777" w:rsidR="00DE37B1" w:rsidRDefault="00000000">
      <w:pPr>
        <w:spacing w:line="360" w:lineRule="auto"/>
        <w:jc w:val="both"/>
      </w:pPr>
      <w:r>
        <w:rPr>
          <w:rFonts w:ascii="Book Antiqua" w:eastAsia="Book Antiqua" w:hAnsi="Book Antiqua" w:cs="Book Antiqua"/>
          <w:b/>
          <w:color w:val="000000"/>
        </w:rPr>
        <w:lastRenderedPageBreak/>
        <w:t>Abstract</w:t>
      </w:r>
    </w:p>
    <w:p w14:paraId="5D7DBF63" w14:textId="77777777" w:rsidR="00DE37B1" w:rsidRDefault="00000000">
      <w:pPr>
        <w:spacing w:line="360" w:lineRule="auto"/>
        <w:jc w:val="both"/>
      </w:pPr>
      <w:r>
        <w:rPr>
          <w:rFonts w:ascii="Book Antiqua" w:eastAsia="Book Antiqua" w:hAnsi="Book Antiqua" w:cs="Book Antiqua"/>
          <w:color w:val="000000"/>
        </w:rPr>
        <w:t>BACKGROUND</w:t>
      </w:r>
    </w:p>
    <w:p w14:paraId="3C2431E6" w14:textId="4A44939B" w:rsidR="00DE37B1" w:rsidRDefault="00000000">
      <w:pPr>
        <w:spacing w:line="360" w:lineRule="auto"/>
        <w:jc w:val="both"/>
      </w:pPr>
      <w:r>
        <w:rPr>
          <w:rFonts w:ascii="Book Antiqua" w:eastAsia="Book Antiqua" w:hAnsi="Book Antiqua" w:cs="Book Antiqua"/>
        </w:rPr>
        <w:t xml:space="preserve">The incidence of gastric cancer remains high, </w:t>
      </w:r>
      <w:r>
        <w:rPr>
          <w:rFonts w:ascii="Book Antiqua" w:eastAsia="宋体" w:hAnsi="Book Antiqua" w:cs="Book Antiqua" w:hint="eastAsia"/>
          <w:lang w:eastAsia="zh-CN"/>
        </w:rPr>
        <w:t>and it is</w:t>
      </w:r>
      <w:r>
        <w:rPr>
          <w:rFonts w:ascii="Book Antiqua" w:eastAsia="Book Antiqua" w:hAnsi="Book Antiqua" w:cs="Book Antiqua"/>
        </w:rPr>
        <w:t xml:space="preserve"> the sixth most common cancer and the fourth leading cause of cancer deaths worldwide. Oral contrast-enhanced ultrasonography is a simple, non-invasive</w:t>
      </w:r>
      <w:r>
        <w:rPr>
          <w:rFonts w:ascii="Book Antiqua" w:eastAsia="宋体" w:hAnsi="Book Antiqua" w:cs="Book Antiqua" w:hint="eastAsia"/>
          <w:lang w:eastAsia="zh-CN"/>
        </w:rPr>
        <w:t>,</w:t>
      </w:r>
      <w:r>
        <w:rPr>
          <w:rFonts w:ascii="Book Antiqua" w:eastAsia="Book Antiqua" w:hAnsi="Book Antiqua" w:cs="Book Antiqua"/>
        </w:rPr>
        <w:t xml:space="preserve"> and painless method for the diagnosis of gastric tumors.</w:t>
      </w:r>
    </w:p>
    <w:p w14:paraId="539B24D6" w14:textId="77777777" w:rsidR="00DE37B1" w:rsidRDefault="00DE37B1">
      <w:pPr>
        <w:spacing w:line="360" w:lineRule="auto"/>
        <w:jc w:val="both"/>
      </w:pPr>
    </w:p>
    <w:p w14:paraId="01E10F3F" w14:textId="77777777" w:rsidR="00DE37B1" w:rsidRDefault="00000000">
      <w:pPr>
        <w:spacing w:line="360" w:lineRule="auto"/>
        <w:jc w:val="both"/>
      </w:pPr>
      <w:r>
        <w:rPr>
          <w:rFonts w:ascii="Book Antiqua" w:eastAsia="Book Antiqua" w:hAnsi="Book Antiqua" w:cs="Book Antiqua"/>
          <w:color w:val="000000"/>
        </w:rPr>
        <w:t>AIM</w:t>
      </w:r>
    </w:p>
    <w:p w14:paraId="32128DC6" w14:textId="77777777" w:rsidR="00DE37B1" w:rsidRDefault="00000000">
      <w:pPr>
        <w:spacing w:line="360" w:lineRule="auto"/>
        <w:jc w:val="both"/>
      </w:pPr>
      <w:r>
        <w:rPr>
          <w:rFonts w:ascii="Book Antiqua" w:eastAsia="Book Antiqua" w:hAnsi="Book Antiqua" w:cs="Book Antiqua"/>
        </w:rPr>
        <w:t>To explore the diagnostic value of oral contrast-enhanced ultrasonography for the detection of gastric tumors.</w:t>
      </w:r>
    </w:p>
    <w:p w14:paraId="0CD5AD04" w14:textId="77777777" w:rsidR="00DE37B1" w:rsidRDefault="00DE37B1">
      <w:pPr>
        <w:spacing w:line="360" w:lineRule="auto"/>
        <w:jc w:val="both"/>
      </w:pPr>
    </w:p>
    <w:p w14:paraId="7C5B32E3" w14:textId="77777777" w:rsidR="00DE37B1" w:rsidRDefault="00000000">
      <w:pPr>
        <w:spacing w:line="360" w:lineRule="auto"/>
        <w:jc w:val="both"/>
      </w:pPr>
      <w:r>
        <w:rPr>
          <w:rFonts w:ascii="Book Antiqua" w:eastAsia="Book Antiqua" w:hAnsi="Book Antiqua" w:cs="Book Antiqua"/>
          <w:color w:val="000000"/>
        </w:rPr>
        <w:t>METHODS</w:t>
      </w:r>
    </w:p>
    <w:p w14:paraId="51BC36C2" w14:textId="77777777" w:rsidR="00DE37B1" w:rsidRDefault="00000000">
      <w:pPr>
        <w:spacing w:line="360" w:lineRule="auto"/>
        <w:jc w:val="both"/>
      </w:pPr>
      <w:r>
        <w:rPr>
          <w:rFonts w:ascii="Book Antiqua" w:eastAsia="Book Antiqua" w:hAnsi="Book Antiqua" w:cs="Book Antiqua"/>
        </w:rPr>
        <w:t xml:space="preserve">The screening results based on oral contrast-enhanced ultrasonography and electronic gastroscopy were compared with those of the postoperative pathological examination. </w:t>
      </w:r>
    </w:p>
    <w:p w14:paraId="3C8D99E7" w14:textId="77777777" w:rsidR="00DE37B1" w:rsidRDefault="00DE37B1">
      <w:pPr>
        <w:spacing w:line="360" w:lineRule="auto"/>
        <w:jc w:val="both"/>
      </w:pPr>
    </w:p>
    <w:p w14:paraId="1F55FC33" w14:textId="77777777" w:rsidR="00DE37B1" w:rsidRDefault="00000000">
      <w:pPr>
        <w:spacing w:line="360" w:lineRule="auto"/>
        <w:jc w:val="both"/>
      </w:pPr>
      <w:r>
        <w:rPr>
          <w:rFonts w:ascii="Book Antiqua" w:eastAsia="Book Antiqua" w:hAnsi="Book Antiqua" w:cs="Book Antiqua"/>
          <w:color w:val="000000"/>
        </w:rPr>
        <w:t>RESULTS</w:t>
      </w:r>
    </w:p>
    <w:p w14:paraId="40B8FCBB" w14:textId="599E857E" w:rsidR="00DE37B1" w:rsidRDefault="00000000">
      <w:pPr>
        <w:spacing w:line="360" w:lineRule="auto"/>
        <w:jc w:val="both"/>
      </w:pPr>
      <w:r>
        <w:rPr>
          <w:rFonts w:ascii="Book Antiqua" w:eastAsia="Book Antiqua" w:hAnsi="Book Antiqua" w:cs="Book Antiqua"/>
        </w:rPr>
        <w:t>Among 42 patients with gastric tumors enrolled in the study, the diagnostic accordance rate was 95.2% for oral contrast-enhanced ultrasonography (</w:t>
      </w:r>
      <w:r>
        <w:rPr>
          <w:rFonts w:ascii="Book Antiqua" w:eastAsia="Book Antiqua" w:hAnsi="Book Antiqua" w:cs="Book Antiqua"/>
          <w:i/>
          <w:iCs/>
        </w:rPr>
        <w:t>n</w:t>
      </w:r>
      <w:r>
        <w:rPr>
          <w:rFonts w:ascii="Book Antiqua" w:eastAsia="Book Antiqua" w:hAnsi="Book Antiqua" w:cs="Book Antiqua"/>
        </w:rPr>
        <w:t xml:space="preserve"> = 40)</w:t>
      </w:r>
      <w:r>
        <w:rPr>
          <w:rFonts w:ascii="Book Antiqua" w:eastAsia="宋体" w:hAnsi="Book Antiqua" w:cs="Book Antiqua" w:hint="eastAsia"/>
          <w:lang w:eastAsia="zh-CN"/>
        </w:rPr>
        <w:t xml:space="preserve"> </w:t>
      </w:r>
      <w:r>
        <w:rPr>
          <w:rFonts w:ascii="Book Antiqua" w:eastAsia="Book Antiqua" w:hAnsi="Book Antiqua" w:cs="Book Antiqua"/>
        </w:rPr>
        <w:t>and 90.5% for electronic gastroscopy (</w:t>
      </w:r>
      <w:r>
        <w:rPr>
          <w:rFonts w:ascii="Book Antiqua" w:eastAsia="Book Antiqua" w:hAnsi="Book Antiqua" w:cs="Book Antiqua"/>
          <w:i/>
          <w:iCs/>
        </w:rPr>
        <w:t>n</w:t>
      </w:r>
      <w:r>
        <w:rPr>
          <w:rFonts w:ascii="Book Antiqua" w:eastAsia="Book Antiqua" w:hAnsi="Book Antiqua" w:cs="Book Antiqua"/>
        </w:rPr>
        <w:t xml:space="preserve"> = 38) compared with postoperative pathological examination. The Kappa value of consistency test with pathological findings was </w:t>
      </w:r>
      <w:r>
        <w:rPr>
          <w:rFonts w:ascii="Book Antiqua" w:eastAsia="Book Antiqua" w:hAnsi="Book Antiqua" w:cs="Book Antiqua"/>
          <w:color w:val="000000"/>
        </w:rPr>
        <w:t>0.812</w:t>
      </w:r>
      <w:r>
        <w:rPr>
          <w:rFonts w:ascii="Book Antiqua" w:eastAsia="宋体" w:hAnsi="Book Antiqua" w:cs="Book Antiqua" w:hint="eastAsia"/>
          <w:color w:val="000000"/>
          <w:lang w:eastAsia="zh-CN"/>
        </w:rPr>
        <w:t xml:space="preserve"> for </w:t>
      </w:r>
      <w:r>
        <w:rPr>
          <w:rFonts w:ascii="Book Antiqua" w:eastAsia="Book Antiqua" w:hAnsi="Book Antiqua" w:cs="Book Antiqua"/>
        </w:rPr>
        <w:t>oral contrast-enhanced ultrasonography</w:t>
      </w:r>
      <w:r>
        <w:rPr>
          <w:rFonts w:ascii="Book Antiqua" w:eastAsia="宋体" w:hAnsi="Book Antiqua" w:cs="Book Antiqua" w:hint="eastAsia"/>
          <w:lang w:eastAsia="zh-CN"/>
        </w:rPr>
        <w:t xml:space="preserve"> and </w:t>
      </w:r>
      <w:r>
        <w:rPr>
          <w:rFonts w:ascii="Book Antiqua" w:eastAsia="Book Antiqua" w:hAnsi="Book Antiqua" w:cs="Book Antiqua"/>
        </w:rPr>
        <w:t>0.718</w:t>
      </w:r>
      <w:r>
        <w:rPr>
          <w:rFonts w:ascii="Book Antiqua" w:eastAsia="宋体" w:hAnsi="Book Antiqua" w:cs="Book Antiqua" w:hint="eastAsia"/>
          <w:lang w:eastAsia="zh-CN"/>
        </w:rPr>
        <w:t xml:space="preserve"> for</w:t>
      </w:r>
      <w:r>
        <w:rPr>
          <w:rFonts w:ascii="Book Antiqua" w:eastAsia="Book Antiqua" w:hAnsi="Book Antiqua" w:cs="Book Antiqua"/>
        </w:rPr>
        <w:t xml:space="preserve"> </w:t>
      </w:r>
      <w:r>
        <w:rPr>
          <w:rFonts w:ascii="Book Antiqua" w:eastAsia="Book Antiqua" w:hAnsi="Book Antiqua" w:cs="Book Antiqua"/>
          <w:color w:val="000000"/>
        </w:rPr>
        <w:t>electronic gastroscopy</w:t>
      </w:r>
      <w:r>
        <w:rPr>
          <w:rFonts w:ascii="Book Antiqua" w:eastAsia="Book Antiqua" w:hAnsi="Book Antiqua" w:cs="Book Antiqua"/>
        </w:rPr>
        <w:t>, and there was no significant difference between them</w:t>
      </w:r>
      <w:r>
        <w:rPr>
          <w:rFonts w:ascii="Book Antiqua" w:eastAsia="宋体" w:hAnsi="Book Antiqua" w:cs="Book Antiqua" w:hint="eastAsia"/>
          <w:lang w:eastAsia="zh-CN"/>
        </w:rPr>
        <w:t xml:space="preserve"> </w:t>
      </w:r>
      <w:r>
        <w:rPr>
          <w:rFonts w:ascii="Book Antiqua" w:eastAsia="Book Antiqua" w:hAnsi="Book Antiqua" w:cs="Book Antiqua"/>
        </w:rPr>
        <w:t>(</w:t>
      </w:r>
      <w:r>
        <w:rPr>
          <w:rFonts w:ascii="Book Antiqua" w:eastAsia="Book Antiqua" w:hAnsi="Book Antiqua" w:cs="Book Antiqua"/>
          <w:i/>
          <w:iCs/>
        </w:rPr>
        <w:t>P</w:t>
      </w:r>
      <w:r>
        <w:rPr>
          <w:rFonts w:ascii="Book Antiqua" w:eastAsia="Book Antiqua" w:hAnsi="Book Antiqua" w:cs="Book Antiqua"/>
        </w:rPr>
        <w:t xml:space="preserve"> = 0.397). For the TNM staging of gastric tumors, the</w:t>
      </w:r>
      <w:r>
        <w:rPr>
          <w:rFonts w:ascii="Book Antiqua" w:eastAsia="宋体" w:hAnsi="Book Antiqua" w:cs="Book Antiqua" w:hint="eastAsia"/>
          <w:lang w:eastAsia="zh-CN"/>
        </w:rPr>
        <w:t xml:space="preserve"> </w:t>
      </w:r>
      <w:r>
        <w:rPr>
          <w:rFonts w:ascii="Book Antiqua" w:eastAsia="Book Antiqua" w:hAnsi="Book Antiqua" w:cs="Book Antiqua"/>
        </w:rPr>
        <w:t>accuracy rate of oral contrast-enhanced ultrasonography was 81.9% for the overall T staging and 50%, 77.8%, 100%, and 100% for T1, T2, T3, and T4 stag</w:t>
      </w:r>
      <w:r>
        <w:rPr>
          <w:rFonts w:ascii="Book Antiqua" w:eastAsia="宋体" w:hAnsi="Book Antiqua" w:cs="Book Antiqua" w:hint="eastAsia"/>
          <w:lang w:eastAsia="zh-CN"/>
        </w:rPr>
        <w:t>ing</w:t>
      </w:r>
      <w:r>
        <w:rPr>
          <w:rFonts w:ascii="Book Antiqua" w:eastAsia="Book Antiqua" w:hAnsi="Book Antiqua" w:cs="Book Antiqua"/>
        </w:rPr>
        <w:t>, respectively. The sensitivity and specificity were both 100% for stages T3 and T4. The diagnostic accuracy rate of oral contrast-enhanced ultrasonography was 93.8%, 80%, 100%, and 100% for stages N0, N1-N3, M0, and M1, respectively.</w:t>
      </w:r>
    </w:p>
    <w:p w14:paraId="13C4615C" w14:textId="77777777" w:rsidR="00DE37B1" w:rsidRDefault="00DE37B1">
      <w:pPr>
        <w:spacing w:line="360" w:lineRule="auto"/>
        <w:jc w:val="both"/>
      </w:pPr>
    </w:p>
    <w:p w14:paraId="6FD7CE93" w14:textId="77777777" w:rsidR="00DE37B1" w:rsidRDefault="00000000">
      <w:pPr>
        <w:spacing w:line="360" w:lineRule="auto"/>
        <w:jc w:val="both"/>
      </w:pPr>
      <w:r>
        <w:rPr>
          <w:rFonts w:ascii="Book Antiqua" w:eastAsia="Book Antiqua" w:hAnsi="Book Antiqua" w:cs="Book Antiqua"/>
          <w:color w:val="000000"/>
        </w:rPr>
        <w:t>CONCLUSION</w:t>
      </w:r>
    </w:p>
    <w:p w14:paraId="451CDA88" w14:textId="4CF20AC0" w:rsidR="00DE37B1" w:rsidRDefault="00000000">
      <w:pPr>
        <w:spacing w:line="360" w:lineRule="auto"/>
        <w:jc w:val="both"/>
      </w:pPr>
      <w:r>
        <w:rPr>
          <w:rFonts w:ascii="Book Antiqua" w:eastAsia="Book Antiqua" w:hAnsi="Book Antiqua" w:cs="Book Antiqua"/>
        </w:rPr>
        <w:lastRenderedPageBreak/>
        <w:t>The accordance rate of qualitative diagnosis</w:t>
      </w:r>
      <w:r>
        <w:rPr>
          <w:rFonts w:ascii="Book Antiqua" w:eastAsia="宋体" w:hAnsi="Book Antiqua" w:cs="Book Antiqua" w:hint="eastAsia"/>
          <w:lang w:eastAsia="zh-CN"/>
        </w:rPr>
        <w:t xml:space="preserve"> by </w:t>
      </w:r>
      <w:r>
        <w:rPr>
          <w:rFonts w:ascii="Book Antiqua" w:eastAsia="Book Antiqua" w:hAnsi="Book Antiqua" w:cs="Book Antiqua"/>
        </w:rPr>
        <w:t xml:space="preserve">oral contrast-enhanced ultrasonography </w:t>
      </w:r>
      <w:r>
        <w:rPr>
          <w:rFonts w:ascii="Book Antiqua" w:eastAsia="宋体" w:hAnsi="Book Antiqua" w:cs="Book Antiqua" w:hint="eastAsia"/>
          <w:lang w:eastAsia="zh-CN"/>
        </w:rPr>
        <w:t>i</w:t>
      </w:r>
      <w:r>
        <w:rPr>
          <w:rFonts w:ascii="Book Antiqua" w:eastAsia="Book Antiqua" w:hAnsi="Book Antiqua" w:cs="Book Antiqua"/>
        </w:rPr>
        <w:t xml:space="preserve">s comparable </w:t>
      </w:r>
      <w:r>
        <w:rPr>
          <w:rFonts w:ascii="Book Antiqua" w:eastAsia="宋体" w:hAnsi="Book Antiqua" w:cs="Book Antiqua" w:hint="eastAsia"/>
          <w:lang w:eastAsia="zh-CN"/>
        </w:rPr>
        <w:t>to</w:t>
      </w:r>
      <w:r>
        <w:rPr>
          <w:rFonts w:ascii="Book Antiqua" w:eastAsia="Book Antiqua" w:hAnsi="Book Antiqua" w:cs="Book Antiqua"/>
        </w:rPr>
        <w:t xml:space="preserve"> that of gastroscopy, and </w:t>
      </w:r>
      <w:r>
        <w:rPr>
          <w:rFonts w:ascii="Book Antiqua" w:eastAsia="宋体" w:hAnsi="Book Antiqua" w:cs="Book Antiqua" w:hint="eastAsia"/>
          <w:lang w:eastAsia="zh-CN"/>
        </w:rPr>
        <w:t xml:space="preserve">it </w:t>
      </w:r>
      <w:r>
        <w:rPr>
          <w:rFonts w:ascii="Book Antiqua" w:eastAsia="Book Antiqua" w:hAnsi="Book Antiqua" w:cs="Book Antiqua"/>
        </w:rPr>
        <w:t>could be used as the preferred method for the early screening of gastric tumors.</w:t>
      </w:r>
    </w:p>
    <w:p w14:paraId="7EF87A6E" w14:textId="77777777" w:rsidR="00DE37B1" w:rsidRDefault="00DE37B1">
      <w:pPr>
        <w:spacing w:line="360" w:lineRule="auto"/>
        <w:jc w:val="both"/>
      </w:pPr>
    </w:p>
    <w:p w14:paraId="1D7DC4CD" w14:textId="77777777" w:rsidR="00DE37B1" w:rsidRDefault="00000000">
      <w:pPr>
        <w:spacing w:line="360" w:lineRule="auto"/>
        <w:jc w:val="both"/>
      </w:pPr>
      <w:r>
        <w:rPr>
          <w:rFonts w:ascii="Book Antiqua" w:eastAsia="Book Antiqua" w:hAnsi="Book Antiqua" w:cs="Book Antiqua"/>
          <w:b/>
          <w:bCs/>
        </w:rPr>
        <w:t xml:space="preserve">Key Words: </w:t>
      </w:r>
      <w:bookmarkStart w:id="12" w:name="OLE_LINK7843"/>
      <w:bookmarkStart w:id="13" w:name="OLE_LINK7844"/>
      <w:r>
        <w:rPr>
          <w:rFonts w:ascii="Book Antiqua" w:eastAsia="Book Antiqua" w:hAnsi="Book Antiqua" w:cs="Book Antiqua"/>
        </w:rPr>
        <w:t>Oral contrast-enhanced ultrasonography; Gastric tumor; Electronic gastroscopy; Controlled study; Pathological examination; Diagnosis</w:t>
      </w:r>
      <w:bookmarkEnd w:id="12"/>
      <w:bookmarkEnd w:id="13"/>
    </w:p>
    <w:p w14:paraId="7CF3A33E" w14:textId="77777777" w:rsidR="00DE37B1" w:rsidRDefault="00DE37B1">
      <w:pPr>
        <w:spacing w:line="360" w:lineRule="auto"/>
        <w:jc w:val="both"/>
      </w:pPr>
    </w:p>
    <w:p w14:paraId="4F439FD0" w14:textId="77777777" w:rsidR="003361B7" w:rsidRDefault="003361B7" w:rsidP="003361B7">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6DFAF2DB" w14:textId="77777777" w:rsidR="003361B7" w:rsidRDefault="003361B7">
      <w:pPr>
        <w:spacing w:line="360" w:lineRule="auto"/>
        <w:jc w:val="both"/>
      </w:pPr>
    </w:p>
    <w:p w14:paraId="0018CD17" w14:textId="45528CFE" w:rsidR="003361B7" w:rsidRDefault="00D806C3">
      <w:pPr>
        <w:spacing w:line="360" w:lineRule="auto"/>
        <w:jc w:val="both"/>
        <w:rPr>
          <w:rFonts w:ascii="Book Antiqua" w:eastAsia="Book Antiqua" w:hAnsi="Book Antiqua" w:cs="Book Antiqua"/>
        </w:rPr>
      </w:pPr>
      <w:bookmarkStart w:id="14" w:name="OLE_LINK7845"/>
      <w:bookmarkStart w:id="15" w:name="OLE_LINK7846"/>
      <w:r w:rsidRPr="00D806C3">
        <w:rPr>
          <w:rFonts w:ascii="Book Antiqua" w:eastAsia="Book Antiqua" w:hAnsi="Book Antiqua" w:cs="Book Antiqua"/>
          <w:b/>
          <w:bCs/>
        </w:rPr>
        <w:t>Citation</w:t>
      </w:r>
      <w:r w:rsidRPr="00D806C3">
        <w:rPr>
          <w:rFonts w:ascii="Book Antiqua" w:eastAsia="Book Antiqua" w:hAnsi="Book Antiqua" w:cs="Book Antiqua"/>
        </w:rPr>
        <w:t xml:space="preserve">: </w:t>
      </w:r>
      <w:r>
        <w:rPr>
          <w:rFonts w:ascii="Book Antiqua" w:eastAsia="Book Antiqua" w:hAnsi="Book Antiqua" w:cs="Book Antiqua"/>
        </w:rPr>
        <w:t>Wang CY, Fan XJ, Wang FL, Ge YY, Cai Z, Wang W, Zhou XP, Du J, Dai DW. Clinical value of oral contrast-enhanced ultrasonography in</w:t>
      </w:r>
      <w:r>
        <w:rPr>
          <w:rFonts w:ascii="Book Antiqua" w:eastAsia="宋体" w:hAnsi="Book Antiqua" w:cs="Book Antiqua" w:hint="eastAsia"/>
          <w:lang w:eastAsia="zh-CN"/>
        </w:rPr>
        <w:t xml:space="preserve"> </w:t>
      </w:r>
      <w:r>
        <w:rPr>
          <w:rFonts w:ascii="Book Antiqua" w:eastAsia="Book Antiqua" w:hAnsi="Book Antiqua" w:cs="Book Antiqua"/>
        </w:rPr>
        <w:t xml:space="preserve">diagnosis of gastric tumors. </w:t>
      </w:r>
      <w:r>
        <w:rPr>
          <w:rFonts w:ascii="Book Antiqua" w:eastAsia="Book Antiqua" w:hAnsi="Book Antiqua" w:cs="Book Antiqua"/>
          <w:i/>
          <w:iCs/>
        </w:rPr>
        <w:t>World J Gastrointest Oncol</w:t>
      </w:r>
      <w:r>
        <w:rPr>
          <w:rFonts w:ascii="Book Antiqua" w:eastAsia="Book Antiqua" w:hAnsi="Book Antiqua" w:cs="Book Antiqua"/>
        </w:rPr>
        <w:t xml:space="preserve"> 202</w:t>
      </w:r>
      <w:r w:rsidR="00B717F9">
        <w:rPr>
          <w:rFonts w:ascii="Book Antiqua" w:eastAsia="Book Antiqua" w:hAnsi="Book Antiqua" w:cs="Book Antiqua"/>
        </w:rPr>
        <w:t>4</w:t>
      </w:r>
      <w:r>
        <w:rPr>
          <w:rFonts w:ascii="Book Antiqua" w:eastAsia="Book Antiqua" w:hAnsi="Book Antiqua" w:cs="Book Antiqua"/>
        </w:rPr>
        <w:t xml:space="preserve">; </w:t>
      </w:r>
      <w:r w:rsidRPr="00D806C3">
        <w:rPr>
          <w:rFonts w:ascii="Book Antiqua" w:eastAsia="Book Antiqua" w:hAnsi="Book Antiqua" w:cs="Book Antiqua"/>
        </w:rPr>
        <w:t>1</w:t>
      </w:r>
      <w:r w:rsidR="00B717F9">
        <w:rPr>
          <w:rFonts w:ascii="Book Antiqua" w:eastAsia="Book Antiqua" w:hAnsi="Book Antiqua" w:cs="Book Antiqua"/>
        </w:rPr>
        <w:t>6</w:t>
      </w:r>
      <w:r w:rsidRPr="00D806C3">
        <w:rPr>
          <w:rFonts w:ascii="Book Antiqua" w:eastAsia="Book Antiqua" w:hAnsi="Book Antiqua" w:cs="Book Antiqua"/>
        </w:rPr>
        <w:t xml:space="preserve">(1): </w:t>
      </w:r>
      <w:r w:rsidR="003361B7" w:rsidRPr="00195133">
        <w:rPr>
          <w:rFonts w:ascii="Book Antiqua" w:eastAsia="Book Antiqua" w:hAnsi="Book Antiqua" w:cs="Book Antiqua"/>
        </w:rPr>
        <w:t>110-117</w:t>
      </w:r>
    </w:p>
    <w:p w14:paraId="6D9CC529" w14:textId="4BA3D7E3" w:rsidR="003361B7" w:rsidRDefault="00D806C3">
      <w:pPr>
        <w:spacing w:line="360" w:lineRule="auto"/>
        <w:jc w:val="both"/>
        <w:rPr>
          <w:rFonts w:ascii="Book Antiqua" w:eastAsia="Book Antiqua" w:hAnsi="Book Antiqua" w:cs="Book Antiqua"/>
        </w:rPr>
      </w:pPr>
      <w:r w:rsidRPr="003361B7">
        <w:rPr>
          <w:rFonts w:ascii="Book Antiqua" w:eastAsia="Book Antiqua" w:hAnsi="Book Antiqua" w:cs="Book Antiqua"/>
          <w:b/>
          <w:bCs/>
        </w:rPr>
        <w:t>URL</w:t>
      </w:r>
      <w:r w:rsidRPr="00D806C3">
        <w:rPr>
          <w:rFonts w:ascii="Book Antiqua" w:eastAsia="Book Antiqua" w:hAnsi="Book Antiqua" w:cs="Book Antiqua"/>
        </w:rPr>
        <w:t>: https://www.wjgnet.com/1948-5204/full/v1</w:t>
      </w:r>
      <w:r w:rsidR="00B717F9">
        <w:rPr>
          <w:rFonts w:ascii="Book Antiqua" w:eastAsia="Book Antiqua" w:hAnsi="Book Antiqua" w:cs="Book Antiqua"/>
        </w:rPr>
        <w:t>6</w:t>
      </w:r>
      <w:r w:rsidRPr="00D806C3">
        <w:rPr>
          <w:rFonts w:ascii="Book Antiqua" w:eastAsia="Book Antiqua" w:hAnsi="Book Antiqua" w:cs="Book Antiqua"/>
        </w:rPr>
        <w:t>/i1/</w:t>
      </w:r>
      <w:r w:rsidR="003361B7" w:rsidRPr="00195133">
        <w:rPr>
          <w:rFonts w:ascii="Book Antiqua" w:eastAsia="Book Antiqua" w:hAnsi="Book Antiqua" w:cs="Book Antiqua"/>
        </w:rPr>
        <w:t>110</w:t>
      </w:r>
      <w:r w:rsidRPr="00D806C3">
        <w:rPr>
          <w:rFonts w:ascii="Book Antiqua" w:eastAsia="Book Antiqua" w:hAnsi="Book Antiqua" w:cs="Book Antiqua"/>
        </w:rPr>
        <w:t>.htm</w:t>
      </w:r>
    </w:p>
    <w:p w14:paraId="29CA7943" w14:textId="1993A41E" w:rsidR="00DE37B1" w:rsidRDefault="00D806C3">
      <w:pPr>
        <w:spacing w:line="360" w:lineRule="auto"/>
        <w:jc w:val="both"/>
      </w:pPr>
      <w:r w:rsidRPr="003361B7">
        <w:rPr>
          <w:rFonts w:ascii="Book Antiqua" w:eastAsia="Book Antiqua" w:hAnsi="Book Antiqua" w:cs="Book Antiqua"/>
          <w:b/>
          <w:bCs/>
        </w:rPr>
        <w:t>DOI</w:t>
      </w:r>
      <w:r w:rsidRPr="00D806C3">
        <w:rPr>
          <w:rFonts w:ascii="Book Antiqua" w:eastAsia="Book Antiqua" w:hAnsi="Book Antiqua" w:cs="Book Antiqua"/>
        </w:rPr>
        <w:t>: https://dx.doi.org/10.4251/wjgo.v1</w:t>
      </w:r>
      <w:r w:rsidR="00B717F9">
        <w:rPr>
          <w:rFonts w:ascii="Book Antiqua" w:eastAsia="Book Antiqua" w:hAnsi="Book Antiqua" w:cs="Book Antiqua"/>
        </w:rPr>
        <w:t>6</w:t>
      </w:r>
      <w:r w:rsidRPr="00D806C3">
        <w:rPr>
          <w:rFonts w:ascii="Book Antiqua" w:eastAsia="Book Antiqua" w:hAnsi="Book Antiqua" w:cs="Book Antiqua"/>
        </w:rPr>
        <w:t>.i1.</w:t>
      </w:r>
      <w:r w:rsidR="003361B7" w:rsidRPr="00195133">
        <w:rPr>
          <w:rFonts w:ascii="Book Antiqua" w:eastAsia="Book Antiqua" w:hAnsi="Book Antiqua" w:cs="Book Antiqua"/>
        </w:rPr>
        <w:t>110</w:t>
      </w:r>
    </w:p>
    <w:bookmarkEnd w:id="14"/>
    <w:bookmarkEnd w:id="15"/>
    <w:p w14:paraId="579ABD01" w14:textId="77777777" w:rsidR="00DE37B1" w:rsidRDefault="00DE37B1">
      <w:pPr>
        <w:spacing w:line="360" w:lineRule="auto"/>
        <w:jc w:val="both"/>
      </w:pPr>
    </w:p>
    <w:p w14:paraId="6651BC02" w14:textId="77777777" w:rsidR="00DE37B1" w:rsidRDefault="00000000">
      <w:pPr>
        <w:spacing w:line="360" w:lineRule="auto"/>
        <w:jc w:val="both"/>
      </w:pPr>
      <w:r>
        <w:rPr>
          <w:rFonts w:ascii="Book Antiqua" w:eastAsia="Book Antiqua" w:hAnsi="Book Antiqua" w:cs="Book Antiqua"/>
          <w:b/>
          <w:bCs/>
        </w:rPr>
        <w:t xml:space="preserve">Core Tip: </w:t>
      </w:r>
      <w:bookmarkStart w:id="16" w:name="OLE_LINK7848"/>
      <w:bookmarkStart w:id="17" w:name="OLE_LINK7847"/>
      <w:r>
        <w:rPr>
          <w:rFonts w:ascii="Book Antiqua" w:eastAsia="Book Antiqua" w:hAnsi="Book Antiqua" w:cs="Book Antiqua"/>
        </w:rPr>
        <w:t>In this study, a total of 42 gastric tumor patients underwent both oral contrast-enhanced ultrasonography and gastroscopy. The diagnostic findings and the postoperative pathological examination results were compared to evaluate the diagnostic value of oral contrast-enhanced ultrasonography for the diagnosis of gastric tumors.</w:t>
      </w:r>
    </w:p>
    <w:bookmarkEnd w:id="16"/>
    <w:bookmarkEnd w:id="17"/>
    <w:p w14:paraId="68A68119" w14:textId="77777777" w:rsidR="00DE37B1" w:rsidRDefault="00DE37B1">
      <w:pPr>
        <w:spacing w:line="360" w:lineRule="auto"/>
        <w:jc w:val="both"/>
      </w:pPr>
    </w:p>
    <w:p w14:paraId="56B39D42" w14:textId="77777777" w:rsidR="00DE37B1" w:rsidRDefault="00DE37B1">
      <w:pPr>
        <w:spacing w:line="360" w:lineRule="auto"/>
        <w:jc w:val="both"/>
      </w:pPr>
    </w:p>
    <w:p w14:paraId="43A4CC83" w14:textId="77777777" w:rsidR="00DE37B1" w:rsidRDefault="00000000">
      <w:pPr>
        <w:spacing w:line="360" w:lineRule="auto"/>
        <w:jc w:val="both"/>
      </w:pPr>
      <w:r>
        <w:rPr>
          <w:rFonts w:ascii="Book Antiqua" w:eastAsia="Book Antiqua" w:hAnsi="Book Antiqua" w:cs="Book Antiqua"/>
          <w:b/>
          <w:caps/>
          <w:color w:val="000000"/>
          <w:u w:val="single"/>
        </w:rPr>
        <w:t>INTRODUCTION</w:t>
      </w:r>
    </w:p>
    <w:p w14:paraId="244687C5" w14:textId="4AF403DC" w:rsidR="00DE37B1" w:rsidRDefault="00000000">
      <w:pPr>
        <w:spacing w:line="360" w:lineRule="auto"/>
        <w:jc w:val="both"/>
      </w:pPr>
      <w:r>
        <w:rPr>
          <w:rFonts w:ascii="Book Antiqua" w:eastAsia="Book Antiqua" w:hAnsi="Book Antiqua" w:cs="Book Antiqua"/>
          <w:color w:val="000000"/>
        </w:rPr>
        <w:t>Gastric tumors, especially gastric cancer, is one of the most common gastrointestinal tumors worldwide</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he incidence of gastric cancer remains high, </w:t>
      </w:r>
      <w:r>
        <w:rPr>
          <w:rFonts w:ascii="Book Antiqua" w:eastAsia="宋体" w:hAnsi="Book Antiqua" w:cs="Book Antiqua" w:hint="eastAsia"/>
          <w:color w:val="000000"/>
          <w:lang w:eastAsia="zh-CN"/>
        </w:rPr>
        <w:t>and it is</w:t>
      </w:r>
      <w:r>
        <w:rPr>
          <w:rFonts w:ascii="Book Antiqua" w:eastAsia="Book Antiqua" w:hAnsi="Book Antiqua" w:cs="Book Antiqua"/>
          <w:color w:val="000000"/>
        </w:rPr>
        <w:t xml:space="preserve"> the sixth most common cancer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the fourth leading cause of cancer deaths worldwide</w:t>
      </w:r>
      <w:r>
        <w:rPr>
          <w:rFonts w:ascii="Book Antiqua" w:eastAsia="Book Antiqua" w:hAnsi="Book Antiqua" w:cs="Book Antiqua"/>
          <w:color w:val="000000"/>
          <w:szCs w:val="30"/>
          <w:vertAlign w:val="superscript"/>
        </w:rPr>
        <w:t>[2]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posing a great disease burden. Despite the high incidence of gastric cancer, the diagnosis of gastric tumors mainly depends on gastroscopy, and there are no suitable methods for large-scale screening</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As gastroscopy is invasive and may cause </w:t>
      </w:r>
      <w:r>
        <w:rPr>
          <w:rFonts w:ascii="Book Antiqua" w:eastAsia="Book Antiqua" w:hAnsi="Book Antiqua" w:cs="Book Antiqua"/>
          <w:color w:val="000000"/>
        </w:rPr>
        <w:lastRenderedPageBreak/>
        <w:t>discomfort, it is refused by some patients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Moreover, the efficacy of gastroscopy is relatively unsatisfactory, and </w:t>
      </w:r>
      <w:r>
        <w:rPr>
          <w:rFonts w:ascii="Book Antiqua" w:eastAsia="宋体" w:hAnsi="Book Antiqua" w:cs="Book Antiqua" w:hint="eastAsia"/>
          <w:color w:val="000000"/>
          <w:lang w:eastAsia="zh-CN"/>
        </w:rPr>
        <w:t xml:space="preserve">it </w:t>
      </w:r>
      <w:r>
        <w:rPr>
          <w:rFonts w:ascii="Book Antiqua" w:eastAsia="Book Antiqua" w:hAnsi="Book Antiqua" w:cs="Book Antiqua"/>
          <w:color w:val="000000"/>
        </w:rPr>
        <w:t>cannot meet the requirements of early screening of gastric cancer</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With the advancements of high-resolution color Doppler sonography and techniques of ultrasonography, oral contrast-enhanced ultrasonography has addressed the challenges associated with gastroscopy</w:t>
      </w:r>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Between March 2020 and July 2022, a total of 42 gastric tumor patients undergoing oral contrast-enhanced ultrasonography and gastroscopy at Beijing Hospital were enrolled in this study. The diagnostic findings and postoperative pathological examination results were compared to evaluate the diagnostic value of oral contrast-enhanced ultrasonography for gastric tumors.</w:t>
      </w:r>
    </w:p>
    <w:p w14:paraId="40D363AA" w14:textId="77777777" w:rsidR="00DE37B1" w:rsidRDefault="00DE37B1">
      <w:pPr>
        <w:spacing w:line="360" w:lineRule="auto"/>
        <w:jc w:val="both"/>
      </w:pPr>
    </w:p>
    <w:p w14:paraId="08A33519" w14:textId="77777777" w:rsidR="00DE37B1" w:rsidRDefault="00000000">
      <w:pPr>
        <w:spacing w:line="360" w:lineRule="auto"/>
        <w:jc w:val="both"/>
      </w:pPr>
      <w:r>
        <w:rPr>
          <w:rFonts w:ascii="Book Antiqua" w:eastAsia="Book Antiqua" w:hAnsi="Book Antiqua" w:cs="Book Antiqua"/>
          <w:b/>
          <w:caps/>
          <w:color w:val="000000"/>
          <w:u w:val="single"/>
        </w:rPr>
        <w:t>MATERIALS AND METHODS</w:t>
      </w:r>
    </w:p>
    <w:p w14:paraId="7838A65E" w14:textId="77777777" w:rsidR="00DE37B1" w:rsidRDefault="00000000">
      <w:pPr>
        <w:spacing w:line="360" w:lineRule="auto"/>
        <w:jc w:val="both"/>
      </w:pPr>
      <w:r>
        <w:rPr>
          <w:rFonts w:ascii="Book Antiqua" w:eastAsia="Book Antiqua" w:hAnsi="Book Antiqua" w:cs="Book Antiqua"/>
          <w:b/>
          <w:bCs/>
          <w:i/>
          <w:iCs/>
          <w:color w:val="000000"/>
        </w:rPr>
        <w:t>Subjects</w:t>
      </w:r>
    </w:p>
    <w:p w14:paraId="30535D62" w14:textId="77777777" w:rsidR="00DE37B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 this study, data of 42 patients (25 males and 17 females) diagnosed with gastric tumors during clinic visits or hospitalization at Beijing Hospital between March 2020 and July 2022 were retrospectively analyzed. The mean age of these patients was 53.1 ± 17.2 years (</w:t>
      </w:r>
      <w:r>
        <w:rPr>
          <w:rFonts w:ascii="Book Antiqua" w:eastAsia="宋体" w:hAnsi="Book Antiqua" w:cs="Book Antiqua" w:hint="eastAsia"/>
          <w:color w:val="000000"/>
          <w:lang w:eastAsia="zh-CN"/>
        </w:rPr>
        <w:t xml:space="preserve">range, </w:t>
      </w:r>
      <w:r>
        <w:rPr>
          <w:rFonts w:ascii="Book Antiqua" w:eastAsia="Book Antiqua" w:hAnsi="Book Antiqua" w:cs="Book Antiqua"/>
          <w:color w:val="000000"/>
        </w:rPr>
        <w:t>38 to 75 years). All the patients were admitted to the hospital for symptoms such as abdominal discomfort, weight loss, and abdominal dull pain. Patients incapable of food intake and those with gastrointestinal tract obstruction were excluded. The diagnosis in all the patients was performed using electronic gastroscopy and postoperative pathological findings were reported.</w:t>
      </w:r>
    </w:p>
    <w:p w14:paraId="09324E8C" w14:textId="77777777" w:rsidR="00DE37B1" w:rsidRDefault="00DE37B1">
      <w:pPr>
        <w:spacing w:line="360" w:lineRule="auto"/>
        <w:jc w:val="both"/>
      </w:pPr>
    </w:p>
    <w:p w14:paraId="69FC1172" w14:textId="77777777" w:rsidR="00DE37B1" w:rsidRDefault="00000000">
      <w:pPr>
        <w:spacing w:line="360" w:lineRule="auto"/>
        <w:jc w:val="both"/>
      </w:pPr>
      <w:r>
        <w:rPr>
          <w:rFonts w:ascii="Book Antiqua" w:eastAsia="Book Antiqua" w:hAnsi="Book Antiqua" w:cs="Book Antiqua"/>
          <w:b/>
          <w:bCs/>
          <w:i/>
          <w:iCs/>
          <w:color w:val="000000"/>
        </w:rPr>
        <w:t>Methods</w:t>
      </w:r>
    </w:p>
    <w:p w14:paraId="06363249" w14:textId="3A043F88" w:rsidR="00DE37B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Diagnostic medical devices: </w:t>
      </w:r>
      <w:r>
        <w:rPr>
          <w:rFonts w:ascii="Book Antiqua" w:eastAsia="Book Antiqua" w:hAnsi="Book Antiqua" w:cs="Book Antiqua"/>
          <w:color w:val="000000"/>
        </w:rPr>
        <w:t xml:space="preserve">Siemens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equoia color Doppler </w:t>
      </w:r>
      <w:r>
        <w:rPr>
          <w:rFonts w:ascii="Book Antiqua" w:eastAsia="Book Antiqua" w:hAnsi="Book Antiqua" w:cs="Book Antiqua" w:hint="eastAsia"/>
          <w:color w:val="000000"/>
        </w:rPr>
        <w:t>ultrasound system</w:t>
      </w:r>
      <w:r>
        <w:rPr>
          <w:rFonts w:ascii="Book Antiqua" w:eastAsia="Book Antiqua" w:hAnsi="Book Antiqua" w:cs="Book Antiqua"/>
          <w:color w:val="000000"/>
        </w:rPr>
        <w:t xml:space="preserve"> was used in this study with frequencies of probe ranging from 3.5 to 5.0 MHz. The gastrointestinal contrast agent “Tianxia” was used, which has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 sound velocity of 1545 m/s and pH of 6.24. Ultrasound can clearly reveal the structure of the stomach due to the difference in echogenicity between the agent and the surrounding tissue</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After the gastric cavity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s filled with the contrast agent, there </w:t>
      </w:r>
      <w:r>
        <w:rPr>
          <w:rFonts w:ascii="Book Antiqua" w:eastAsia="宋体" w:hAnsi="Book Antiqua" w:cs="Book Antiqua" w:hint="eastAsia"/>
          <w:color w:val="000000"/>
          <w:lang w:eastAsia="zh-CN"/>
        </w:rPr>
        <w:t>will be</w:t>
      </w:r>
      <w:r>
        <w:rPr>
          <w:rFonts w:ascii="Book Antiqua" w:eastAsia="Book Antiqua" w:hAnsi="Book Antiqua" w:cs="Book Antiqua"/>
          <w:color w:val="000000"/>
        </w:rPr>
        <w:t xml:space="preserve"> homogeneously distributed interface of medium echo on the ultrasonogram, similar to the echoes of </w:t>
      </w:r>
      <w:r>
        <w:rPr>
          <w:rFonts w:ascii="Book Antiqua" w:eastAsia="Book Antiqua" w:hAnsi="Book Antiqua" w:cs="Book Antiqua"/>
          <w:color w:val="000000"/>
        </w:rPr>
        <w:lastRenderedPageBreak/>
        <w:t>solid tissues, which eliminate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the interferences of gas and mucus in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gastric cavity, and clearly display</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the structural layers of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gastric wall. Therefore, this technique has the best acoustic imaging effects for </w:t>
      </w:r>
      <w:r>
        <w:rPr>
          <w:rFonts w:ascii="Book Antiqua" w:eastAsia="宋体" w:hAnsi="Book Antiqua" w:cs="Book Antiqua" w:hint="eastAsia"/>
          <w:color w:val="000000"/>
          <w:lang w:eastAsia="zh-CN"/>
        </w:rPr>
        <w:t>the stomach</w:t>
      </w:r>
      <w:r>
        <w:rPr>
          <w:rFonts w:ascii="Book Antiqua" w:eastAsia="Book Antiqua" w:hAnsi="Book Antiqua" w:cs="Book Antiqua"/>
          <w:color w:val="000000"/>
        </w:rPr>
        <w:t xml:space="preserve"> without inducing enhancement effect in the gastric cavity or posterior to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gastric wall, reverberation effect, or attenuation.</w:t>
      </w:r>
    </w:p>
    <w:p w14:paraId="6833D543" w14:textId="77777777" w:rsidR="00DE37B1" w:rsidRDefault="00DE37B1">
      <w:pPr>
        <w:spacing w:line="360" w:lineRule="auto"/>
        <w:jc w:val="both"/>
      </w:pPr>
    </w:p>
    <w:p w14:paraId="278954C4" w14:textId="1958E093" w:rsidR="00DE37B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Examination method: </w:t>
      </w:r>
      <w:r>
        <w:rPr>
          <w:rFonts w:ascii="Book Antiqua" w:eastAsia="Book Antiqua" w:hAnsi="Book Antiqua" w:cs="Book Antiqua"/>
          <w:color w:val="000000"/>
        </w:rPr>
        <w:t xml:space="preserve">The patients were asked to avoid greasy food for </w:t>
      </w:r>
      <w:r>
        <w:rPr>
          <w:rFonts w:ascii="Book Antiqua" w:eastAsia="宋体" w:hAnsi="Book Antiqua" w:cs="Book Antiqua" w:hint="eastAsia"/>
          <w:color w:val="000000"/>
          <w:lang w:eastAsia="zh-CN"/>
        </w:rPr>
        <w:t>2</w:t>
      </w:r>
      <w:r>
        <w:rPr>
          <w:rFonts w:ascii="Book Antiqua" w:eastAsia="Book Antiqua" w:hAnsi="Book Antiqua" w:cs="Book Antiqua"/>
          <w:color w:val="000000"/>
        </w:rPr>
        <w:t xml:space="preserve"> 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before the examination and barium enema for </w:t>
      </w:r>
      <w:r>
        <w:rPr>
          <w:rFonts w:ascii="Book Antiqua" w:eastAsia="宋体" w:hAnsi="Book Antiqua" w:cs="Book Antiqua" w:hint="eastAsia"/>
          <w:color w:val="000000"/>
          <w:lang w:eastAsia="zh-CN"/>
        </w:rPr>
        <w:t>3</w:t>
      </w:r>
      <w:r>
        <w:rPr>
          <w:rFonts w:ascii="Book Antiqua" w:eastAsia="Book Antiqua" w:hAnsi="Book Antiqua" w:cs="Book Antiqua"/>
          <w:color w:val="000000"/>
        </w:rPr>
        <w:t xml:space="preserve"> 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before the examination, and have semi-liquid low-residue diet or light liquid diet the day before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examination. Thereafter, the patients were fasting after dinner the day before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examination to the morning of the day of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examination, and did not drink water for 12 h. The contrast agent was prepared in suspension according to the manufacturer’s instructions, thoroughly mixed and orally administered at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 dose of 500 to 600 mL. The patients were placed in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supine position, and the solid organs in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abdominal cavity (including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liver, gallbladder, pancreas, spleen, and bilateral kidneys) were routinely scanned. Then the patients were placed in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sitting position, the contrast agent was orally taken again, and ultrasound scanning was simultaneously performed. The patients were mainly placed in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sitting, supine, and right lateral positions, and the ultrasound probe was used for continuous scanning at the body surface along the gastric anatomical positions at the vertical and transverse sections. The gastric fundus was scanned in the left lateral position, while the gastric</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cardia, fundus, body, and antrum were scanned in the right lateral position. After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 mass was detected, the position, size, morphology, mobility, and thickness of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gastric wall were carefully evaluated. The relationship of the mass with surrounding tissues, as well as other abnormalities such as the presence of obstruction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w:t>
      </w:r>
      <w:r>
        <w:rPr>
          <w:rFonts w:ascii="Book Antiqua" w:eastAsia="宋体" w:hAnsi="Book Antiqua" w:cs="Book Antiqua" w:hint="eastAsia"/>
          <w:color w:val="000000"/>
          <w:lang w:eastAsia="zh-CN"/>
        </w:rPr>
        <w:t>as</w:t>
      </w:r>
      <w:r>
        <w:rPr>
          <w:rFonts w:ascii="Book Antiqua" w:eastAsia="Book Antiqua" w:hAnsi="Book Antiqua" w:cs="Book Antiqua"/>
          <w:color w:val="000000"/>
        </w:rPr>
        <w:t xml:space="preserve"> observed, 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color Doppler ultrasound was used to explore the blood flow in the mass. The lymphocyte expansion in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abdominal cavity and retroperitoneal area, metastases in organs, and presence of seroperitoneum were also observed, and computer image workstation was used to record the images.</w:t>
      </w:r>
    </w:p>
    <w:p w14:paraId="5A85AC7B" w14:textId="77777777" w:rsidR="00DE37B1" w:rsidRDefault="00DE37B1">
      <w:pPr>
        <w:spacing w:line="360" w:lineRule="auto"/>
        <w:jc w:val="both"/>
      </w:pPr>
    </w:p>
    <w:p w14:paraId="5536DD3F" w14:textId="77777777" w:rsidR="00DE37B1" w:rsidRDefault="00000000">
      <w:pPr>
        <w:spacing w:line="360" w:lineRule="auto"/>
        <w:jc w:val="both"/>
      </w:pPr>
      <w:r>
        <w:rPr>
          <w:rFonts w:ascii="Book Antiqua" w:eastAsia="Book Antiqua" w:hAnsi="Book Antiqua" w:cs="Book Antiqua"/>
          <w:b/>
          <w:bCs/>
          <w:color w:val="000000"/>
        </w:rPr>
        <w:lastRenderedPageBreak/>
        <w:t>Criteria for evaluation:</w:t>
      </w:r>
      <w:r>
        <w:rPr>
          <w:rFonts w:ascii="Book Antiqua" w:eastAsia="Book Antiqua" w:hAnsi="Book Antiqua" w:cs="Book Antiqua"/>
          <w:i/>
          <w:iCs/>
          <w:color w:val="000000"/>
        </w:rPr>
        <w:t xml:space="preserve"> </w:t>
      </w:r>
      <w:r>
        <w:rPr>
          <w:rFonts w:ascii="Book Antiqua" w:eastAsia="Book Antiqua" w:hAnsi="Book Antiqua" w:cs="Book Antiqua"/>
          <w:color w:val="000000"/>
        </w:rPr>
        <w:t>After the gastric cavity is filled, the normal gastric wall shows five layers of structures of “high-low-high-low-high”</w:t>
      </w:r>
      <w:r>
        <w:rPr>
          <w:rFonts w:ascii="Book Antiqua" w:eastAsia="宋体" w:hAnsi="Book Antiqua" w:cs="Book Antiqua" w:hint="eastAsia"/>
          <w:color w:val="000000"/>
          <w:lang w:eastAsia="zh-CN"/>
        </w:rPr>
        <w:t xml:space="preserve"> echoes</w:t>
      </w:r>
      <w:r>
        <w:rPr>
          <w:rFonts w:ascii="Book Antiqua" w:eastAsia="Book Antiqua" w:hAnsi="Book Antiqua" w:cs="Book Antiqua"/>
          <w:color w:val="000000"/>
        </w:rPr>
        <w:t xml:space="preserve">, respectively, which represents the echo of interface between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mucosal surface and gastric cavity, muscularis mucosa, submucosal layer, muscularis propria, serosal layer, and organs outside the mucosal layer. Gastric wall thickness is an important parameter for ultrasound diagnosis of gastric cancer</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In patients with gastric cancer, the manifestations mainly include thickening of low echo of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gastric wall, ulceration, mass formation, disturbance of the five layers, and interruption of the continuity</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In contrast, gastric ulcers usually show localized hypoechoic wall thickening, uneven or depressed mucosal surface, and hyperechoic lines on the mucosal surface, along with air retention at the bottom</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34D2AFAD" w14:textId="0B2A368A" w:rsidR="00DE37B1"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TNM represents the depth of tumor invasion to gastric wall, lymph node metastases, and distal metastases (UICC, 5</w:t>
      </w:r>
      <w:r>
        <w:rPr>
          <w:rFonts w:ascii="Book Antiqua" w:eastAsia="Book Antiqua" w:hAnsi="Book Antiqua" w:cs="Book Antiqua" w:hint="eastAsia"/>
          <w:color w:val="000000"/>
          <w:vertAlign w:val="superscript"/>
          <w:lang w:eastAsia="zh-CN"/>
        </w:rPr>
        <w:t>th</w:t>
      </w:r>
      <w:r>
        <w:rPr>
          <w:rFonts w:ascii="Book Antiqua" w:eastAsia="Book Antiqua" w:hAnsi="Book Antiqua" w:cs="Book Antiqua"/>
          <w:color w:val="000000"/>
        </w:rPr>
        <w:t xml:space="preserve"> edition). Specifically, T1 indicates the tumor invad</w:t>
      </w:r>
      <w:r>
        <w:rPr>
          <w:rFonts w:ascii="Book Antiqua" w:eastAsia="宋体" w:hAnsi="Book Antiqua" w:cs="Book Antiqua" w:hint="eastAsia"/>
          <w:color w:val="000000"/>
          <w:lang w:eastAsia="zh-CN"/>
        </w:rPr>
        <w:t>ing</w:t>
      </w:r>
      <w:r>
        <w:rPr>
          <w:rFonts w:ascii="Book Antiqua" w:eastAsia="Book Antiqua" w:hAnsi="Book Antiqua" w:cs="Book Antiqua"/>
          <w:color w:val="000000"/>
        </w:rPr>
        <w:t xml:space="preserve"> the mucus or submucosal layer; T2 indicates the tumor invad</w:t>
      </w:r>
      <w:r>
        <w:rPr>
          <w:rFonts w:ascii="Book Antiqua" w:eastAsia="宋体" w:hAnsi="Book Antiqua" w:cs="Book Antiqua" w:hint="eastAsia"/>
          <w:color w:val="000000"/>
          <w:lang w:eastAsia="zh-CN"/>
        </w:rPr>
        <w:t>ing</w:t>
      </w:r>
      <w:r>
        <w:rPr>
          <w:rFonts w:ascii="Book Antiqua" w:eastAsia="Book Antiqua" w:hAnsi="Book Antiqua" w:cs="Book Antiqua"/>
          <w:color w:val="000000"/>
        </w:rPr>
        <w:t xml:space="preserve"> the muscular layer or subserosal layer; T3 indicates the tumor invad</w:t>
      </w:r>
      <w:r>
        <w:rPr>
          <w:rFonts w:ascii="Book Antiqua" w:eastAsia="宋体" w:hAnsi="Book Antiqua" w:cs="Book Antiqua" w:hint="eastAsia"/>
          <w:color w:val="000000"/>
          <w:lang w:eastAsia="zh-CN"/>
        </w:rPr>
        <w:t>ing</w:t>
      </w:r>
      <w:r>
        <w:rPr>
          <w:rFonts w:ascii="Book Antiqua" w:eastAsia="Book Antiqua" w:hAnsi="Book Antiqua" w:cs="Book Antiqua"/>
          <w:color w:val="000000"/>
        </w:rPr>
        <w:t xml:space="preserve"> through the serosal layer but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not invad</w:t>
      </w:r>
      <w:r>
        <w:rPr>
          <w:rFonts w:ascii="Book Antiqua" w:eastAsia="宋体" w:hAnsi="Book Antiqua" w:cs="Book Antiqua" w:hint="eastAsia"/>
          <w:color w:val="000000"/>
          <w:lang w:eastAsia="zh-CN"/>
        </w:rPr>
        <w:t>ing</w:t>
      </w:r>
      <w:r>
        <w:rPr>
          <w:rFonts w:ascii="Book Antiqua" w:eastAsia="Book Antiqua" w:hAnsi="Book Antiqua" w:cs="Book Antiqua"/>
          <w:color w:val="000000"/>
        </w:rPr>
        <w:t xml:space="preserve"> the adjacent organs; and T4 indicates the tumor invad</w:t>
      </w:r>
      <w:r>
        <w:rPr>
          <w:rFonts w:ascii="Book Antiqua" w:eastAsia="宋体" w:hAnsi="Book Antiqua" w:cs="Book Antiqua" w:hint="eastAsia"/>
          <w:color w:val="000000"/>
          <w:lang w:eastAsia="zh-CN"/>
        </w:rPr>
        <w:t>ing</w:t>
      </w:r>
      <w:r>
        <w:rPr>
          <w:rFonts w:ascii="Book Antiqua" w:eastAsia="Book Antiqua" w:hAnsi="Book Antiqua" w:cs="Book Antiqua"/>
          <w:color w:val="000000"/>
        </w:rPr>
        <w:t xml:space="preserve"> through the serosal layer into the adjacent organs. N0 indicates no lymph node metastasis; N1 indicates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rPr>
        <w:t>the number of lymph nodes with metastases is 1 to 6</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N2 indicates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rPr>
        <w:t>the number of lymph nodes with metastases is 7 to 15</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N3 indicates</w:t>
      </w:r>
      <w:r>
        <w:rPr>
          <w:rFonts w:ascii="Book Antiqua" w:eastAsia="宋体" w:hAnsi="Book Antiqua" w:cs="Book Antiqua" w:hint="eastAsia"/>
          <w:color w:val="000000"/>
          <w:lang w:eastAsia="zh-CN"/>
        </w:rPr>
        <w:t xml:space="preserve"> that</w:t>
      </w:r>
      <w:r>
        <w:rPr>
          <w:rFonts w:ascii="Book Antiqua" w:eastAsia="Book Antiqua" w:hAnsi="Book Antiqua" w:cs="Book Antiqua"/>
          <w:color w:val="000000"/>
        </w:rPr>
        <w:t xml:space="preserve"> the number of lymph nodes with metastases is &gt; 16. M0 indicates no distal metastasis, and M1 indicates the presence of distal metastases</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p>
    <w:p w14:paraId="11AA4802" w14:textId="77777777" w:rsidR="00DE37B1" w:rsidRDefault="00DE37B1">
      <w:pPr>
        <w:spacing w:line="360" w:lineRule="auto"/>
        <w:jc w:val="both"/>
      </w:pPr>
    </w:p>
    <w:p w14:paraId="4C992521" w14:textId="77777777" w:rsidR="00DE37B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Evaluation method: </w:t>
      </w:r>
      <w:r>
        <w:rPr>
          <w:rFonts w:ascii="Book Antiqua" w:eastAsia="Book Antiqua" w:hAnsi="Book Antiqua" w:cs="Book Antiqua"/>
          <w:color w:val="000000"/>
        </w:rPr>
        <w:t>Postoperative pathological findings were used as the gold standard for diagnosing gastric tumors. The accuracy of qualitative and quantitative evaluation of gastric tumors by oral contrast-enhanced ultrasonography and gastroscopy were compared. The accuracy, sensitivity, specificity, positive predictive value (PPV), and negative predictive value (NPV) of oral contrast-enhanced ultrasonography for the TNM staging of gastric tumors were investigated, using postoperative pathological findings as the reference standard.</w:t>
      </w:r>
    </w:p>
    <w:p w14:paraId="2A3249DE" w14:textId="77777777" w:rsidR="00DE37B1" w:rsidRDefault="00DE37B1">
      <w:pPr>
        <w:spacing w:line="360" w:lineRule="auto"/>
        <w:jc w:val="both"/>
      </w:pPr>
    </w:p>
    <w:p w14:paraId="66488C2F" w14:textId="77777777" w:rsidR="00DE37B1" w:rsidRDefault="00000000">
      <w:pPr>
        <w:spacing w:line="360" w:lineRule="auto"/>
        <w:jc w:val="both"/>
      </w:pPr>
      <w:r>
        <w:rPr>
          <w:rFonts w:ascii="Book Antiqua" w:eastAsia="Book Antiqua" w:hAnsi="Book Antiqua" w:cs="Book Antiqua"/>
          <w:b/>
          <w:bCs/>
          <w:i/>
          <w:iCs/>
          <w:color w:val="000000"/>
        </w:rPr>
        <w:lastRenderedPageBreak/>
        <w:t>Statistical analysis</w:t>
      </w:r>
    </w:p>
    <w:p w14:paraId="0836CC4E" w14:textId="34916446" w:rsidR="00DE37B1" w:rsidRDefault="00000000">
      <w:pPr>
        <w:spacing w:line="360" w:lineRule="auto"/>
        <w:jc w:val="both"/>
      </w:pPr>
      <w:r>
        <w:rPr>
          <w:rFonts w:ascii="Book Antiqua" w:eastAsia="Book Antiqua" w:hAnsi="Book Antiqua" w:cs="Book Antiqua"/>
          <w:color w:val="000000"/>
        </w:rPr>
        <w:t>SPSS 25 software was used for statistical analys</w:t>
      </w:r>
      <w:r>
        <w:rPr>
          <w:rFonts w:ascii="Book Antiqua" w:eastAsia="宋体" w:hAnsi="Book Antiqua" w:cs="Book Antiqua" w:hint="eastAsia"/>
          <w:color w:val="000000"/>
          <w:lang w:eastAsia="zh-CN"/>
        </w:rPr>
        <w:t>e</w:t>
      </w:r>
      <w:r>
        <w:rPr>
          <w:rFonts w:ascii="Book Antiqua" w:eastAsia="Book Antiqua" w:hAnsi="Book Antiqua" w:cs="Book Antiqua"/>
          <w:color w:val="000000"/>
        </w:rPr>
        <w:t xml:space="preserve">s. </w:t>
      </w:r>
      <w:r>
        <w:rPr>
          <w:rFonts w:ascii="Book Antiqua" w:eastAsia="宋体" w:hAnsi="Book Antiqua" w:cs="Book Antiqua" w:hint="eastAsia"/>
          <w:color w:val="000000"/>
          <w:lang w:eastAsia="zh-CN"/>
        </w:rPr>
        <w:t>M</w:t>
      </w:r>
      <w:r>
        <w:rPr>
          <w:rFonts w:ascii="Book Antiqua" w:eastAsia="Book Antiqua" w:hAnsi="Book Antiqua" w:cs="Book Antiqua"/>
          <w:color w:val="000000"/>
        </w:rPr>
        <w:t>easurement</w:t>
      </w:r>
      <w:r>
        <w:rPr>
          <w:rFonts w:ascii="Book Antiqua" w:eastAsia="宋体" w:hAnsi="Book Antiqua" w:cs="Book Antiqua" w:hint="eastAsia"/>
          <w:color w:val="000000"/>
          <w:lang w:eastAsia="zh-CN"/>
        </w:rPr>
        <w:t xml:space="preserve"> data, </w:t>
      </w:r>
      <w:r>
        <w:rPr>
          <w:rFonts w:ascii="Book Antiqua" w:eastAsia="Book Antiqua" w:hAnsi="Book Antiqua" w:cs="Book Antiqua"/>
          <w:color w:val="000000"/>
        </w:rPr>
        <w:t xml:space="preserve">described </w:t>
      </w:r>
      <w:r>
        <w:rPr>
          <w:rFonts w:ascii="Book Antiqua" w:eastAsia="宋体" w:hAnsi="Book Antiqua" w:cs="Book Antiqua" w:hint="eastAsia"/>
          <w:color w:val="000000"/>
          <w:lang w:eastAsia="zh-CN"/>
        </w:rPr>
        <w:t>as</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mean and standard deviation, </w:t>
      </w:r>
      <w:r>
        <w:rPr>
          <w:rFonts w:ascii="Book Antiqua" w:eastAsia="宋体" w:hAnsi="Book Antiqua" w:cs="Book Antiqua" w:hint="eastAsia"/>
          <w:color w:val="000000"/>
          <w:lang w:eastAsia="zh-CN"/>
        </w:rPr>
        <w:t>were</w:t>
      </w:r>
      <w:r>
        <w:rPr>
          <w:rFonts w:ascii="Book Antiqua" w:eastAsia="Book Antiqua" w:hAnsi="Book Antiqua" w:cs="Book Antiqua"/>
          <w:color w:val="000000"/>
        </w:rPr>
        <w:t xml:space="preserve"> compared by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paired </w:t>
      </w:r>
      <w:r>
        <w:rPr>
          <w:rFonts w:ascii="Book Antiqua" w:eastAsia="Book Antiqua" w:hAnsi="Book Antiqua" w:cs="Book Antiqua"/>
          <w:i/>
          <w:iCs/>
          <w:color w:val="000000"/>
        </w:rPr>
        <w:t>t</w:t>
      </w:r>
      <w:r>
        <w:rPr>
          <w:rFonts w:ascii="Book Antiqua" w:eastAsia="Book Antiqua" w:hAnsi="Book Antiqua" w:cs="Book Antiqua"/>
          <w:color w:val="000000"/>
        </w:rPr>
        <w:t xml:space="preserve">-test.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was considered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statistically significant. The sensitivity of diagnosis refer</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to the percentage of patients with positive results of examination, and specificity of diagnosis refer</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to the percentage of patients with negative results of examination. Si</w:t>
      </w:r>
      <w:r>
        <w:rPr>
          <w:rFonts w:ascii="Book Antiqua" w:eastAsia="宋体" w:hAnsi="Book Antiqua" w:cs="Book Antiqua" w:hint="eastAsia"/>
          <w:color w:val="000000"/>
          <w:lang w:eastAsia="zh-CN"/>
        </w:rPr>
        <w:t>gn</w:t>
      </w:r>
      <w:r>
        <w:rPr>
          <w:rFonts w:ascii="Book Antiqua" w:eastAsia="Book Antiqua" w:hAnsi="Book Antiqua" w:cs="Book Antiqua"/>
          <w:color w:val="000000"/>
        </w:rPr>
        <w:t xml:space="preserve"> test was used for the statistical analysis of sensitivity, specificity, PPV, and NPV of the diagnostic indicators. PPV </w:t>
      </w:r>
      <w:r>
        <w:rPr>
          <w:rFonts w:ascii="Book Antiqua" w:eastAsia="宋体" w:hAnsi="Book Antiqua" w:cs="Book Antiqua" w:hint="eastAsia"/>
          <w:color w:val="000000"/>
          <w:lang w:eastAsia="zh-CN"/>
        </w:rPr>
        <w:t>is calcuclated as</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number of true positive cases of certain indicator/total number of positive cases of the indicator. NPV </w:t>
      </w:r>
      <w:r>
        <w:rPr>
          <w:rFonts w:ascii="Book Antiqua" w:eastAsia="宋体" w:hAnsi="Book Antiqua" w:cs="Book Antiqua" w:hint="eastAsia"/>
          <w:color w:val="000000"/>
          <w:lang w:eastAsia="zh-CN"/>
        </w:rPr>
        <w:t>is calcuclated as</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number of true negative cases of certain indicator/total number of negative cases of the indicator.</w:t>
      </w:r>
    </w:p>
    <w:p w14:paraId="39488F06" w14:textId="77777777" w:rsidR="00DE37B1" w:rsidRDefault="00DE37B1">
      <w:pPr>
        <w:spacing w:line="360" w:lineRule="auto"/>
        <w:jc w:val="both"/>
      </w:pPr>
    </w:p>
    <w:p w14:paraId="2FA3A5FC" w14:textId="77777777" w:rsidR="00DE37B1" w:rsidRDefault="00000000">
      <w:pPr>
        <w:spacing w:line="360" w:lineRule="auto"/>
        <w:jc w:val="both"/>
      </w:pPr>
      <w:r>
        <w:rPr>
          <w:rFonts w:ascii="Book Antiqua" w:eastAsia="Book Antiqua" w:hAnsi="Book Antiqua" w:cs="Book Antiqua"/>
          <w:b/>
          <w:caps/>
          <w:color w:val="000000"/>
          <w:u w:val="single"/>
        </w:rPr>
        <w:t>RESULTS</w:t>
      </w:r>
    </w:p>
    <w:p w14:paraId="34236EFE" w14:textId="77777777" w:rsidR="00DE37B1" w:rsidRDefault="00000000">
      <w:pPr>
        <w:spacing w:line="360" w:lineRule="auto"/>
        <w:jc w:val="both"/>
      </w:pPr>
      <w:r>
        <w:rPr>
          <w:rFonts w:ascii="Book Antiqua" w:eastAsia="Book Antiqua" w:hAnsi="Book Antiqua" w:cs="Book Antiqua"/>
          <w:b/>
          <w:bCs/>
          <w:i/>
          <w:iCs/>
          <w:color w:val="000000"/>
        </w:rPr>
        <w:t>Characteristics of lesions at oral contrast-enhanced ultrasonography</w:t>
      </w:r>
    </w:p>
    <w:p w14:paraId="4E65D3D3" w14:textId="77777777" w:rsidR="00DE37B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In this study, the size of lesions detected by oral contrast-enhanced ultrasonography was 1.0 to 7.2 cm. The increase of gastric wall thickness was 0.7 to 2.6 cm. The normal gastric wall structures disappeared. Most of the plica mucosa disappeared or became rigid, and the gastric cavity decreased. The lesions invaded the surrounding tissues along the layers of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gastric wall and the full-thickness of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gastric wall in some cases. The blood flow signal was relatively high in large gastric tumors, and the circuitous blood vessels could be easily displayed. The blood flow signals in stromal tumor</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were low and disperse.</w:t>
      </w:r>
    </w:p>
    <w:p w14:paraId="337C1F6B" w14:textId="77777777" w:rsidR="00DE37B1" w:rsidRDefault="00DE37B1">
      <w:pPr>
        <w:spacing w:line="360" w:lineRule="auto"/>
        <w:jc w:val="both"/>
      </w:pPr>
    </w:p>
    <w:p w14:paraId="3BCE1693" w14:textId="48C09996" w:rsidR="00DE37B1" w:rsidRDefault="00000000">
      <w:pPr>
        <w:spacing w:line="360" w:lineRule="auto"/>
        <w:jc w:val="both"/>
      </w:pPr>
      <w:r>
        <w:rPr>
          <w:rFonts w:ascii="Book Antiqua" w:eastAsia="Book Antiqua" w:hAnsi="Book Antiqua" w:cs="Book Antiqua"/>
          <w:b/>
          <w:bCs/>
          <w:i/>
          <w:iCs/>
          <w:color w:val="000000"/>
        </w:rPr>
        <w:t>Oral contrast-enhanced ultrasonography vs electronic gastroscopy</w:t>
      </w:r>
      <w:r>
        <w:rPr>
          <w:rFonts w:ascii="Book Antiqua" w:eastAsia="宋体" w:hAnsi="Book Antiqua" w:cs="Book Antiqua" w:hint="eastAsia"/>
          <w:b/>
          <w:bCs/>
          <w:i/>
          <w:iCs/>
          <w:color w:val="000000"/>
          <w:lang w:eastAsia="zh-CN"/>
        </w:rPr>
        <w:t xml:space="preserve"> </w:t>
      </w:r>
      <w:r>
        <w:rPr>
          <w:rFonts w:ascii="Book Antiqua" w:eastAsia="Book Antiqua" w:hAnsi="Book Antiqua" w:cs="Book Antiqua"/>
          <w:b/>
          <w:bCs/>
          <w:i/>
          <w:iCs/>
          <w:color w:val="000000"/>
        </w:rPr>
        <w:t>and postoperative pathological findings</w:t>
      </w:r>
    </w:p>
    <w:p w14:paraId="6C44E2E9" w14:textId="716259F2" w:rsidR="00DE37B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Gastric cancer was diagnosed in 40 patients (Figure 1), stromal tumor</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in two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(Figure 2), and leiomyosarcoma in two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using oral contrast-enhanced ultrasonography. Compared with the postoperative pathological findings, the diagnosis accordance rate of oral contrast-enhanced ultrasonography for gastric cancer was 95.2% (40/42), and Kappa value was 0.812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The accordance rate of electronic gastroscopy was 90.5% </w:t>
      </w:r>
      <w:r>
        <w:rPr>
          <w:rFonts w:ascii="Book Antiqua" w:eastAsia="Book Antiqua" w:hAnsi="Book Antiqua" w:cs="Book Antiqua"/>
          <w:color w:val="000000"/>
        </w:rPr>
        <w:lastRenderedPageBreak/>
        <w:t>(38/42), and Kappa value was 0.718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The lesions in </w:t>
      </w:r>
      <w:r>
        <w:rPr>
          <w:rFonts w:ascii="Book Antiqua" w:eastAsia="宋体" w:hAnsi="Book Antiqua" w:cs="Book Antiqua" w:hint="eastAsia"/>
          <w:color w:val="000000"/>
          <w:lang w:eastAsia="zh-CN"/>
        </w:rPr>
        <w:t>four</w:t>
      </w:r>
      <w:r>
        <w:rPr>
          <w:rFonts w:ascii="Book Antiqua" w:eastAsia="Book Antiqua" w:hAnsi="Book Antiqua" w:cs="Book Antiqua"/>
          <w:color w:val="000000"/>
        </w:rPr>
        <w:t xml:space="preserve"> patients were below the muc</w:t>
      </w:r>
      <w:r>
        <w:rPr>
          <w:rFonts w:ascii="Book Antiqua" w:eastAsia="宋体" w:hAnsi="Book Antiqua" w:cs="Book Antiqua" w:hint="eastAsia"/>
          <w:color w:val="000000"/>
          <w:lang w:eastAsia="zh-CN"/>
        </w:rPr>
        <w:t>o</w:t>
      </w:r>
      <w:r>
        <w:rPr>
          <w:rFonts w:ascii="Book Antiqua" w:eastAsia="Book Antiqua" w:hAnsi="Book Antiqua" w:cs="Book Antiqua"/>
          <w:color w:val="000000"/>
        </w:rPr>
        <w:t>s</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 on gastroscopy and could not be displayed.</w:t>
      </w:r>
    </w:p>
    <w:p w14:paraId="29C1F8DC" w14:textId="77777777" w:rsidR="00DE37B1" w:rsidRDefault="00DE37B1">
      <w:pPr>
        <w:spacing w:line="360" w:lineRule="auto"/>
        <w:jc w:val="both"/>
      </w:pPr>
    </w:p>
    <w:p w14:paraId="1174DF46" w14:textId="77777777" w:rsidR="00DE37B1" w:rsidRDefault="00000000">
      <w:pPr>
        <w:spacing w:line="360" w:lineRule="auto"/>
        <w:jc w:val="both"/>
      </w:pPr>
      <w:r>
        <w:rPr>
          <w:rFonts w:ascii="Book Antiqua" w:eastAsia="Book Antiqua" w:hAnsi="Book Antiqua" w:cs="Book Antiqua"/>
          <w:b/>
          <w:bCs/>
          <w:i/>
          <w:iCs/>
          <w:color w:val="000000"/>
        </w:rPr>
        <w:t>Diagnostic efficiency of oral contrast-enhanced ultrasonography for gastric cancer stages in elderly patients</w:t>
      </w:r>
    </w:p>
    <w:p w14:paraId="4BA6419E" w14:textId="0C9EAE51" w:rsidR="00DE37B1" w:rsidRDefault="00000000">
      <w:pPr>
        <w:spacing w:line="360" w:lineRule="auto"/>
        <w:jc w:val="both"/>
      </w:pPr>
      <w:r>
        <w:rPr>
          <w:rFonts w:ascii="Book Antiqua" w:eastAsia="Book Antiqua" w:hAnsi="Book Antiqua" w:cs="Book Antiqua"/>
          <w:color w:val="000000"/>
        </w:rPr>
        <w:t xml:space="preserve">Compared with the postoperative pathological diagnostic results, the accordance rate of oral contrast-enhanced ultrasonography for TNM staging (accuracy rate) was 95.0% (38/40), 95.0% (38/40), 100.0% (40/40), and 100.0% (40/40) for T1, T2, T3, and T4 tumors, respectively. The sensitivity, specificity, PPV, and NPV were 100.0% (2/2), 94.7% (36/38), 50.0% (2/4), and 100.0% (36/36) for T1 stage, 77.8% (7/9), 100.0% (31/31), 100.0% (7/7), and 93.9% (31/33) for T2 stage, 100.0% (20/20), 100.0% (20/20), 100.0% (20/20), and 100.0% (20/20) for T3 stage, and 100.0% (9/9), 100.0% (31/31), 100.0% (9/9), and 100.0% (31/31) for T4 stage, respectively (Table 1). The accordance rate of oral contrast-enhanced ultrasonography for NM staging was 95.0% (38/40) for N0 stage, 95.0% (38/40) for N1-N3 stages, 100.0% (40/40) for M0 stage, and 100.0% (40/40) for M1 stage (Table 2). Totally, oral contrast-enhanced ultrasonography detected 8 Lymph nodes with metastases (N1) in </w:t>
      </w:r>
      <w:r>
        <w:rPr>
          <w:rFonts w:ascii="Book Antiqua" w:eastAsia="宋体" w:hAnsi="Book Antiqua" w:cs="Book Antiqua" w:hint="eastAsia"/>
          <w:color w:val="000000"/>
          <w:lang w:eastAsia="zh-CN"/>
        </w:rPr>
        <w:t>two</w:t>
      </w:r>
      <w:r>
        <w:rPr>
          <w:rFonts w:ascii="Book Antiqua" w:eastAsia="Book Antiqua" w:hAnsi="Book Antiqua" w:cs="Book Antiqua"/>
          <w:color w:val="000000"/>
        </w:rPr>
        <w:t xml:space="preserve"> patients, 41 Lymph nodes with metastases (N2) in </w:t>
      </w:r>
      <w:r>
        <w:rPr>
          <w:rFonts w:ascii="Book Antiqua" w:eastAsia="宋体" w:hAnsi="Book Antiqua" w:cs="Book Antiqua" w:hint="eastAsia"/>
          <w:color w:val="000000"/>
          <w:lang w:eastAsia="zh-CN"/>
        </w:rPr>
        <w:t>four</w:t>
      </w:r>
      <w:r>
        <w:rPr>
          <w:rFonts w:ascii="Book Antiqua" w:eastAsia="Book Antiqua" w:hAnsi="Book Antiqua" w:cs="Book Antiqua"/>
          <w:color w:val="000000"/>
        </w:rPr>
        <w:t xml:space="preserve"> patients, and 37 Lymph nodes with metastases (N3) in </w:t>
      </w:r>
      <w:r>
        <w:rPr>
          <w:rFonts w:ascii="Book Antiqua" w:eastAsia="宋体" w:hAnsi="Book Antiqua" w:cs="Book Antiqua" w:hint="eastAsia"/>
          <w:color w:val="000000"/>
          <w:lang w:eastAsia="zh-CN"/>
        </w:rPr>
        <w:t>two</w:t>
      </w:r>
      <w:r>
        <w:rPr>
          <w:rFonts w:ascii="Book Antiqua" w:eastAsia="Book Antiqua" w:hAnsi="Book Antiqua" w:cs="Book Antiqua"/>
          <w:color w:val="000000"/>
        </w:rPr>
        <w:t xml:space="preserve"> patients, most of which were at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gastric fundus or around the liver and great abdominal vessels. In addition, distal metastases (M1) were detected in the liver in </w:t>
      </w:r>
      <w:r>
        <w:rPr>
          <w:rFonts w:ascii="Book Antiqua" w:eastAsia="宋体" w:hAnsi="Book Antiqua" w:cs="Book Antiqua" w:hint="eastAsia"/>
          <w:color w:val="000000"/>
          <w:lang w:eastAsia="zh-CN"/>
        </w:rPr>
        <w:t>four</w:t>
      </w:r>
      <w:r>
        <w:rPr>
          <w:rFonts w:ascii="Book Antiqua" w:eastAsia="Book Antiqua" w:hAnsi="Book Antiqua" w:cs="Book Antiqua"/>
          <w:color w:val="000000"/>
        </w:rPr>
        <w:t xml:space="preserve"> patients.</w:t>
      </w:r>
    </w:p>
    <w:p w14:paraId="44302549" w14:textId="77777777" w:rsidR="00DE37B1" w:rsidRDefault="00DE37B1">
      <w:pPr>
        <w:spacing w:line="360" w:lineRule="auto"/>
        <w:jc w:val="both"/>
      </w:pPr>
    </w:p>
    <w:p w14:paraId="06134806" w14:textId="77777777" w:rsidR="00DE37B1" w:rsidRDefault="00000000">
      <w:pPr>
        <w:spacing w:line="360" w:lineRule="auto"/>
        <w:jc w:val="both"/>
      </w:pPr>
      <w:r>
        <w:rPr>
          <w:rFonts w:ascii="Book Antiqua" w:eastAsia="Book Antiqua" w:hAnsi="Book Antiqua" w:cs="Book Antiqua"/>
          <w:b/>
          <w:caps/>
          <w:color w:val="000000"/>
          <w:u w:val="single"/>
        </w:rPr>
        <w:t>DISCUSSION</w:t>
      </w:r>
    </w:p>
    <w:p w14:paraId="2CBED43D" w14:textId="4DD9F243" w:rsidR="00DE37B1" w:rsidRDefault="00000000">
      <w:pPr>
        <w:spacing w:line="360" w:lineRule="auto"/>
        <w:jc w:val="both"/>
      </w:pPr>
      <w:r>
        <w:rPr>
          <w:rFonts w:ascii="Book Antiqua" w:eastAsia="Book Antiqua" w:hAnsi="Book Antiqua" w:cs="Book Antiqua"/>
          <w:color w:val="000000"/>
        </w:rPr>
        <w:t>In recent years, the incidence and death rate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of stomach cancer ha</w:t>
      </w:r>
      <w:r>
        <w:rPr>
          <w:rFonts w:ascii="Book Antiqua" w:eastAsia="宋体" w:hAnsi="Book Antiqua" w:cs="Book Antiqua" w:hint="eastAsia"/>
          <w:color w:val="000000"/>
          <w:lang w:eastAsia="zh-CN"/>
        </w:rPr>
        <w:t>ve</w:t>
      </w:r>
      <w:r>
        <w:rPr>
          <w:rFonts w:ascii="Book Antiqua" w:eastAsia="Book Antiqua" w:hAnsi="Book Antiqua" w:cs="Book Antiqua"/>
          <w:color w:val="000000"/>
        </w:rPr>
        <w:t xml:space="preserve"> remained high</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The detection of gastric diseases is a major challenge for doctors. In China, more than 80% of gastric cancer patients are diagnosed at an advanced stage because they have no specific symptoms. Thus, the 5-year survival rate of gastric cancer is low</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Screening for gastric cancer allows for early diagnosis and treatment, which will improve patient survival rates</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Conventional gastroscopy is considered as the preferred method for diagnosing gastric tumors, which directly displays the lesions and can also perform biopsy under direct vision for pathological examinations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The sensitivity and </w:t>
      </w:r>
      <w:r>
        <w:rPr>
          <w:rFonts w:ascii="Book Antiqua" w:eastAsia="Book Antiqua" w:hAnsi="Book Antiqua" w:cs="Book Antiqua"/>
          <w:color w:val="000000"/>
        </w:rPr>
        <w:lastRenderedPageBreak/>
        <w:t>specificity of gastroscopy are relatively high. However, gastroscopy involves major trauma and requires general anesthesia to achieve painlessness, which will cause certain risks</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Therefore, many patients are unwilling to undergo gastroscopy, even though the disease has already progressed to middle or advanced stage at diagnosis, and thus they missed the best timing for the treatment of gastric tumors. Gastric cancer usually occurs in people over 50 years of age. However, gastroscopy is still poorly tolerated and adhered by the elderly due to objective and psychological factors such as age and physical condition</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With the advancements in high-resolution color Doppler sonography and techniques of ultrasonography, oral contrast-enhanced ultrasonography provides a new alternative for the detection of gastric tumors, which is easy to operate, safe, non-invasive, minimally invasive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capable of displaying the size, morphology, internal structures, relationships with surrounding organs, and blood flow of gastric tumors from multiple aspects, angles, and layers. Previous studies have shown its value in gastric diseases</w:t>
      </w:r>
      <w:r>
        <w:rPr>
          <w:rFonts w:ascii="Book Antiqua" w:eastAsia="Book Antiqua" w:hAnsi="Book Antiqua" w:cs="Book Antiqua"/>
          <w:color w:val="000000"/>
          <w:szCs w:val="30"/>
          <w:vertAlign w:val="superscript"/>
        </w:rPr>
        <w:t>[18-20]</w:t>
      </w:r>
      <w:r>
        <w:rPr>
          <w:rFonts w:ascii="Book Antiqua" w:eastAsia="Book Antiqua" w:hAnsi="Book Antiqua" w:cs="Book Antiqua"/>
          <w:color w:val="000000"/>
        </w:rPr>
        <w:t>. Especially, it can help asymptomatic patients to detect gastric cancer and improve the early diagnosis and treatment</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For the tumor positioning in this study, the accordance rate was 95.2% (</w:t>
      </w:r>
      <w:r>
        <w:rPr>
          <w:rFonts w:ascii="Book Antiqua" w:eastAsia="Book Antiqua" w:hAnsi="Book Antiqua" w:cs="Book Antiqua"/>
          <w:i/>
          <w:iCs/>
          <w:color w:val="000000"/>
        </w:rPr>
        <w:t>n</w:t>
      </w:r>
      <w:r>
        <w:rPr>
          <w:rFonts w:ascii="Book Antiqua" w:eastAsia="Book Antiqua" w:hAnsi="Book Antiqua" w:cs="Book Antiqua"/>
          <w:color w:val="000000"/>
        </w:rPr>
        <w:t xml:space="preserve"> = 40) for oral contrast-enhanced ultrasonography and 90.5% (</w:t>
      </w:r>
      <w:r>
        <w:rPr>
          <w:rFonts w:ascii="Book Antiqua" w:eastAsia="Book Antiqua" w:hAnsi="Book Antiqua" w:cs="Book Antiqua"/>
          <w:i/>
          <w:iCs/>
          <w:color w:val="000000"/>
        </w:rPr>
        <w:t>n</w:t>
      </w:r>
      <w:r>
        <w:rPr>
          <w:rFonts w:ascii="Book Antiqua" w:eastAsia="Book Antiqua" w:hAnsi="Book Antiqua" w:cs="Book Antiqua"/>
          <w:color w:val="000000"/>
        </w:rPr>
        <w:t xml:space="preserve"> = 38) for electronic gastroscopy. However, oral contrast-enhanced ultrasonography cannot allow biopsy of lesion tissues, and is influenced by gastric emptying and contrast agent. Therefore, the differentiation between benign and malignant gastric tumors &lt; 1 cm is relatively difficult in ultrasound examination. Although the diagnostic value of oral contrast-enhanced ultrasonography for gastric tumors has been established</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the most commonly used method in clinical practice is electronic gastroscopy, indicating clinicians’ insufficient understanding of the advantages of oral contrast-enhanced ultrasonography for the diagnosis of gastric tumors. Previous studies also have shown that oral ultrasonography is more accurate than conventional ultrasonography in detecting the site, size, number</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extent of gastric lesions, and is almost comparable </w:t>
      </w:r>
      <w:r>
        <w:rPr>
          <w:rFonts w:ascii="Book Antiqua" w:eastAsia="宋体" w:hAnsi="Book Antiqua" w:cs="Book Antiqua" w:hint="eastAsia"/>
          <w:color w:val="000000"/>
          <w:lang w:eastAsia="zh-CN"/>
        </w:rPr>
        <w:t>to</w:t>
      </w:r>
      <w:r>
        <w:rPr>
          <w:rFonts w:ascii="Book Antiqua" w:eastAsia="Book Antiqua" w:hAnsi="Book Antiqua" w:cs="Book Antiqua"/>
          <w:color w:val="000000"/>
        </w:rPr>
        <w:t xml:space="preserve"> upper gastrointestinal endoscopy in detecting small gastric lesions</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p>
    <w:p w14:paraId="2FE0FBA2" w14:textId="77777777" w:rsidR="00DE37B1" w:rsidRDefault="00000000">
      <w:pPr>
        <w:spacing w:line="360" w:lineRule="auto"/>
        <w:ind w:firstLineChars="100" w:firstLine="240"/>
        <w:jc w:val="both"/>
      </w:pPr>
      <w:r>
        <w:rPr>
          <w:rFonts w:ascii="Book Antiqua" w:eastAsia="Book Antiqua" w:hAnsi="Book Antiqua" w:cs="Book Antiqua"/>
          <w:color w:val="000000"/>
        </w:rPr>
        <w:t xml:space="preserve">The normal gastric wall shows five layers of structures of “high-low-high-low-high” </w:t>
      </w:r>
      <w:r>
        <w:rPr>
          <w:rFonts w:ascii="Book Antiqua" w:eastAsia="宋体" w:hAnsi="Book Antiqua" w:cs="Book Antiqua" w:hint="eastAsia"/>
          <w:color w:val="000000"/>
          <w:lang w:eastAsia="zh-CN"/>
        </w:rPr>
        <w:t xml:space="preserve">echoes </w:t>
      </w:r>
      <w:r>
        <w:rPr>
          <w:rFonts w:ascii="Book Antiqua" w:eastAsia="Book Antiqua" w:hAnsi="Book Antiqua" w:cs="Book Antiqua"/>
          <w:color w:val="000000"/>
        </w:rPr>
        <w:t xml:space="preserve">on ultrasonogram, and the thickness of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gastric wall &gt; 5 mm is considered </w:t>
      </w:r>
      <w:r>
        <w:rPr>
          <w:rFonts w:ascii="Book Antiqua" w:eastAsia="Book Antiqua" w:hAnsi="Book Antiqua" w:cs="Book Antiqua"/>
          <w:color w:val="000000"/>
        </w:rPr>
        <w:lastRenderedPageBreak/>
        <w:t xml:space="preserve">abnormal. A gastric tumor originates from the mucosal layer and gradually spreads to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submucosal layer, muscular layer</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serosal layer, and finally leads to abnormal thickening of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gastric wall or grows toward the intra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or extra-gastric cavity, which provides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good basis for the T staging of tumors by sonography</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w:t>
      </w:r>
    </w:p>
    <w:p w14:paraId="652236AA" w14:textId="3D2FC5F0" w:rsidR="00DE37B1" w:rsidRDefault="00000000">
      <w:pPr>
        <w:spacing w:line="360" w:lineRule="auto"/>
        <w:ind w:firstLineChars="100" w:firstLine="240"/>
        <w:jc w:val="both"/>
      </w:pPr>
      <w:r>
        <w:rPr>
          <w:rFonts w:ascii="Book Antiqua" w:eastAsia="Book Antiqua" w:hAnsi="Book Antiqua" w:cs="Book Antiqua"/>
          <w:color w:val="000000"/>
        </w:rPr>
        <w:t>For the evaluation of gastric wall invasion depth, the accuracy rate of oral contrast-enhanced ultrasonography was 95.0%, 95.0%, 100.0%, and 100.0% for stage T1, T2, T3, and T4 gastric tumors, respectively. The accuracy rate for stage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T1 and T2 tumors was the lowest, which could be associated with the non-specific lesion characteristics, and the unclear boundary between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mucosal layer and muscular layer induced by uneven gastric wall thickening. Ultrasound contrast agent could provide good acoustic window but could not eliminate the near field artifacts. The greater curvature in coronal oblique view is in the near field, and thus the evaluation of gastric wall invasi</w:t>
      </w:r>
      <w:r>
        <w:rPr>
          <w:rFonts w:ascii="Book Antiqua" w:eastAsia="宋体" w:hAnsi="Book Antiqua" w:cs="Book Antiqua" w:hint="eastAsia"/>
          <w:color w:val="000000"/>
          <w:lang w:eastAsia="zh-CN"/>
        </w:rPr>
        <w:t>on</w:t>
      </w:r>
      <w:r>
        <w:rPr>
          <w:rFonts w:ascii="Book Antiqua" w:eastAsia="Book Antiqua" w:hAnsi="Book Antiqua" w:cs="Book Antiqua"/>
          <w:color w:val="000000"/>
        </w:rPr>
        <w:t xml:space="preserve"> depth is difficult. However, oral contrast-enhanced ultrasonography has high accuracy for diagnosing stage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T3 and T4 gastric tumors, and could be used as a reference by doctors for identifying suitable operation methods.</w:t>
      </w:r>
    </w:p>
    <w:p w14:paraId="6C97F62A" w14:textId="23F67989" w:rsidR="00DE37B1" w:rsidRDefault="00000000">
      <w:pPr>
        <w:spacing w:line="360" w:lineRule="auto"/>
        <w:ind w:firstLineChars="100" w:firstLine="240"/>
        <w:jc w:val="both"/>
      </w:pPr>
      <w:r>
        <w:rPr>
          <w:rFonts w:ascii="Book Antiqua" w:eastAsia="Book Antiqua" w:hAnsi="Book Antiqua" w:cs="Book Antiqua"/>
          <w:color w:val="000000"/>
        </w:rPr>
        <w:t>Due to the insidious onset of gastric tumors, the</w:t>
      </w:r>
      <w:r>
        <w:rPr>
          <w:rFonts w:ascii="Book Antiqua" w:eastAsia="宋体" w:hAnsi="Book Antiqua" w:cs="Book Antiqua" w:hint="eastAsia"/>
          <w:color w:val="000000"/>
          <w:lang w:eastAsia="zh-CN"/>
        </w:rPr>
        <w:t>ir</w:t>
      </w:r>
      <w:r>
        <w:rPr>
          <w:rFonts w:ascii="Book Antiqua" w:eastAsia="Book Antiqua" w:hAnsi="Book Antiqua" w:cs="Book Antiqua"/>
          <w:color w:val="000000"/>
        </w:rPr>
        <w:t xml:space="preserve"> symptoms are atypical. Some of the patients have peripheral lymph node metastases, celiac and pelvic lymph node metastases, and liver metastases at diagnosis. The detection of metastatic lesions could influence the selection of treatment strategy and outcomes of operation. Oral contrast-enhanced ultrasonography has specific manifestations for the diagnosis of gastric tumors, which could detect the damages of gastric wall structures early, evaluate the degree of invasi</w:t>
      </w:r>
      <w:r>
        <w:rPr>
          <w:rFonts w:ascii="Book Antiqua" w:eastAsia="宋体" w:hAnsi="Book Antiqua" w:cs="Book Antiqua" w:hint="eastAsia"/>
          <w:color w:val="000000"/>
          <w:lang w:eastAsia="zh-CN"/>
        </w:rPr>
        <w:t>on</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detect liver, celiac</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pelvic lymph node metastases more easily, and it has high diagnostic accordance rate with the qualitative diagnosis </w:t>
      </w:r>
      <w:r>
        <w:rPr>
          <w:rFonts w:ascii="Book Antiqua" w:eastAsia="宋体" w:hAnsi="Book Antiqua" w:cs="Book Antiqua" w:hint="eastAsia"/>
          <w:color w:val="000000"/>
          <w:lang w:eastAsia="zh-CN"/>
        </w:rPr>
        <w:t xml:space="preserve">by </w:t>
      </w:r>
      <w:r>
        <w:rPr>
          <w:rFonts w:ascii="Book Antiqua" w:eastAsia="Book Antiqua" w:hAnsi="Book Antiqua" w:cs="Book Antiqua"/>
          <w:color w:val="000000"/>
        </w:rPr>
        <w:t>postoperative pathological examinations</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In this study, the accuracy of oral contrast-enhanced ultrasonography was 95.0% for preoperative diagnosis of stage N0 gastric tumor, 95.0% for stages N1-N3 gastric tumor, and 100% for stages M0 and M1 gastric tumors. Gastroscopy could not evaluate the submucosal lesions, exophytic tumors, and metastases in organs in the abdominal cavity, while oral contrast-enhanced ultrasonography has unique advantages, which could effectively overcome the limitations of gastroscopy</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Of the 42 patients with gastric tumors in this study, two </w:t>
      </w:r>
      <w:r>
        <w:rPr>
          <w:rFonts w:ascii="Book Antiqua" w:eastAsia="Book Antiqua" w:hAnsi="Book Antiqua" w:cs="Book Antiqua"/>
          <w:color w:val="000000"/>
        </w:rPr>
        <w:lastRenderedPageBreak/>
        <w:t>had stromal tumors and two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had gastric leiomyosarcoma that could not be visualized by gastroscopy, while oral contrast-enhanced ultrasonography could clearly display and diagnose the</w:t>
      </w:r>
      <w:r>
        <w:rPr>
          <w:rFonts w:ascii="Book Antiqua" w:eastAsia="宋体" w:hAnsi="Book Antiqua" w:cs="Book Antiqua" w:hint="eastAsia"/>
          <w:color w:val="000000"/>
          <w:lang w:eastAsia="zh-CN"/>
        </w:rPr>
        <w:t>se</w:t>
      </w:r>
      <w:r>
        <w:rPr>
          <w:rFonts w:ascii="Book Antiqua" w:eastAsia="Book Antiqua" w:hAnsi="Book Antiqua" w:cs="Book Antiqua"/>
          <w:color w:val="000000"/>
        </w:rPr>
        <w:t xml:space="preserve"> tumors.</w:t>
      </w:r>
    </w:p>
    <w:p w14:paraId="1CCBA45E" w14:textId="77777777" w:rsidR="00DE37B1" w:rsidRDefault="00DE37B1">
      <w:pPr>
        <w:spacing w:line="360" w:lineRule="auto"/>
        <w:jc w:val="both"/>
      </w:pPr>
    </w:p>
    <w:p w14:paraId="4B6D6E68" w14:textId="77777777" w:rsidR="00DE37B1" w:rsidRDefault="00000000">
      <w:pPr>
        <w:spacing w:line="360" w:lineRule="auto"/>
        <w:jc w:val="both"/>
      </w:pPr>
      <w:r>
        <w:rPr>
          <w:rFonts w:ascii="Book Antiqua" w:eastAsia="Book Antiqua" w:hAnsi="Book Antiqua" w:cs="Book Antiqua"/>
          <w:b/>
          <w:caps/>
          <w:color w:val="000000"/>
          <w:u w:val="single"/>
        </w:rPr>
        <w:t>CONCLUSION</w:t>
      </w:r>
    </w:p>
    <w:p w14:paraId="403177D4" w14:textId="634B49F3" w:rsidR="00DE37B1" w:rsidRDefault="00000000">
      <w:pPr>
        <w:spacing w:line="360" w:lineRule="auto"/>
        <w:jc w:val="both"/>
      </w:pPr>
      <w:r>
        <w:rPr>
          <w:rFonts w:ascii="Book Antiqua" w:eastAsia="Book Antiqua" w:hAnsi="Book Antiqua" w:cs="Book Antiqua"/>
          <w:color w:val="000000"/>
        </w:rPr>
        <w:t xml:space="preserve">In summary, oral contrast-enhanced ultrasonography has several advantages compared to gastroscopy. It is simple, safe, and minimally invasive for detecting gastric tumors, and is suitable for feeble and sick patients who cannot tolerate gastroscopy. For patients with anemia or abdominal dull pain, as well as thin patients, oral contrast-enhanced ultrasonography can be the preferred method for screening gastric tumors. In addition to the staging of middle or advanced stage gastric cancer, oral contrast-enhanced ultrasonography can also detect the metastases in peripheral and distal organs, which cannot be </w:t>
      </w:r>
      <w:r>
        <w:rPr>
          <w:rFonts w:ascii="Book Antiqua" w:eastAsia="宋体" w:hAnsi="Book Antiqua" w:cs="Book Antiqua" w:hint="eastAsia"/>
          <w:color w:val="000000"/>
          <w:lang w:eastAsia="zh-CN"/>
        </w:rPr>
        <w:t>achieved</w:t>
      </w:r>
      <w:r>
        <w:rPr>
          <w:rFonts w:ascii="Book Antiqua" w:eastAsia="Book Antiqua" w:hAnsi="Book Antiqua" w:cs="Book Antiqua"/>
          <w:color w:val="000000"/>
        </w:rPr>
        <w:t xml:space="preserve"> by gastroscopy. Therefore, oral contrast-enhanced ultrasonography can avoid unnecessary exploratory surgical laparotomy, and provide reliable evidence for diagnosis and treatment of gastric tumors in clinical practice. The combined application of oral contrast-enhanced ultrasonography and electronic gastroscopy could improve the accuracy rate of the diagnosis of gastric tumors, provide more reliable evidence for the diagnosis, treatment, and outcome prediction of gastric tumors, and has guiding significance in clinical practice.</w:t>
      </w:r>
    </w:p>
    <w:p w14:paraId="44CED702" w14:textId="77777777" w:rsidR="00DE37B1" w:rsidRDefault="00DE37B1">
      <w:pPr>
        <w:spacing w:line="360" w:lineRule="auto"/>
        <w:jc w:val="both"/>
      </w:pPr>
    </w:p>
    <w:p w14:paraId="4E1B3D25" w14:textId="77777777" w:rsidR="00DE37B1" w:rsidRDefault="00000000">
      <w:pPr>
        <w:spacing w:line="360" w:lineRule="auto"/>
        <w:jc w:val="both"/>
      </w:pPr>
      <w:r>
        <w:rPr>
          <w:rFonts w:ascii="Book Antiqua" w:eastAsia="Book Antiqua" w:hAnsi="Book Antiqua" w:cs="Book Antiqua"/>
          <w:b/>
          <w:caps/>
          <w:color w:val="000000"/>
          <w:u w:val="single"/>
        </w:rPr>
        <w:t>ARTICLE HIGHLIGHTS</w:t>
      </w:r>
    </w:p>
    <w:p w14:paraId="060590FB" w14:textId="77777777" w:rsidR="00DE37B1" w:rsidRDefault="00000000">
      <w:pPr>
        <w:spacing w:line="360" w:lineRule="auto"/>
        <w:jc w:val="both"/>
      </w:pPr>
      <w:r>
        <w:rPr>
          <w:rFonts w:ascii="Book Antiqua" w:eastAsia="Book Antiqua" w:hAnsi="Book Antiqua" w:cs="Book Antiqua"/>
          <w:b/>
          <w:i/>
          <w:color w:val="000000"/>
        </w:rPr>
        <w:t>Research background</w:t>
      </w:r>
    </w:p>
    <w:p w14:paraId="1E97AD2D" w14:textId="4F8BC480" w:rsidR="00DE37B1" w:rsidRDefault="00000000">
      <w:pPr>
        <w:spacing w:line="360" w:lineRule="auto"/>
        <w:jc w:val="both"/>
      </w:pPr>
      <w:r>
        <w:rPr>
          <w:rFonts w:ascii="Book Antiqua" w:eastAsia="Book Antiqua" w:hAnsi="Book Antiqua" w:cs="Book Antiqua"/>
          <w:color w:val="000000"/>
        </w:rPr>
        <w:t xml:space="preserve">The incidence of gastric cancer remains high, </w:t>
      </w:r>
      <w:r>
        <w:rPr>
          <w:rFonts w:ascii="Book Antiqua" w:eastAsia="宋体" w:hAnsi="Book Antiqua" w:cs="Book Antiqua" w:hint="eastAsia"/>
          <w:color w:val="000000"/>
          <w:lang w:eastAsia="zh-CN"/>
        </w:rPr>
        <w:t>and it is</w:t>
      </w:r>
      <w:r>
        <w:rPr>
          <w:rFonts w:ascii="Book Antiqua" w:eastAsia="Book Antiqua" w:hAnsi="Book Antiqua" w:cs="Book Antiqua"/>
          <w:color w:val="000000"/>
        </w:rPr>
        <w:t xml:space="preserve"> the sixth most common cancer and the fourth leading cause of cancer deaths worldwide. Oral contrast-enhanced ultrasonography is a simple, non-invasive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painless method for the diagnosis of gastric tumors.</w:t>
      </w:r>
    </w:p>
    <w:p w14:paraId="3BDB4F78" w14:textId="77777777" w:rsidR="00DE37B1" w:rsidRDefault="00DE37B1">
      <w:pPr>
        <w:spacing w:line="360" w:lineRule="auto"/>
        <w:jc w:val="both"/>
      </w:pPr>
    </w:p>
    <w:p w14:paraId="67848A4E" w14:textId="77777777" w:rsidR="00DE37B1" w:rsidRDefault="00000000">
      <w:pPr>
        <w:spacing w:line="360" w:lineRule="auto"/>
        <w:jc w:val="both"/>
      </w:pPr>
      <w:r>
        <w:rPr>
          <w:rFonts w:ascii="Book Antiqua" w:eastAsia="Book Antiqua" w:hAnsi="Book Antiqua" w:cs="Book Antiqua"/>
          <w:b/>
          <w:i/>
          <w:color w:val="000000"/>
        </w:rPr>
        <w:t>Research motivation</w:t>
      </w:r>
    </w:p>
    <w:p w14:paraId="62BAB8C3" w14:textId="3FFE34FF" w:rsidR="00DE37B1" w:rsidRDefault="00000000">
      <w:pPr>
        <w:spacing w:line="360" w:lineRule="auto"/>
        <w:jc w:val="both"/>
      </w:pPr>
      <w:r>
        <w:rPr>
          <w:rFonts w:ascii="Book Antiqua" w:eastAsia="Book Antiqua" w:hAnsi="Book Antiqua" w:cs="Book Antiqua"/>
          <w:color w:val="000000"/>
        </w:rPr>
        <w:lastRenderedPageBreak/>
        <w:t>The authors found that oral contrast-enhanced ultrasonography can avoid unnecessary exploratory surgical laparotomy, and provide reliable evidence for diagnosis and treatment of gastric tumors in clinical practice.</w:t>
      </w:r>
    </w:p>
    <w:p w14:paraId="304EF64B" w14:textId="77777777" w:rsidR="00DE37B1" w:rsidRDefault="00DE37B1">
      <w:pPr>
        <w:spacing w:line="360" w:lineRule="auto"/>
        <w:jc w:val="both"/>
      </w:pPr>
    </w:p>
    <w:p w14:paraId="604B72D6" w14:textId="77777777" w:rsidR="00DE37B1" w:rsidRDefault="00000000">
      <w:pPr>
        <w:spacing w:line="360" w:lineRule="auto"/>
        <w:jc w:val="both"/>
      </w:pPr>
      <w:r>
        <w:rPr>
          <w:rFonts w:ascii="Book Antiqua" w:eastAsia="Book Antiqua" w:hAnsi="Book Antiqua" w:cs="Book Antiqua"/>
          <w:b/>
          <w:i/>
          <w:color w:val="000000"/>
        </w:rPr>
        <w:t>Research objectives</w:t>
      </w:r>
    </w:p>
    <w:p w14:paraId="4981628B" w14:textId="77777777" w:rsidR="00DE37B1" w:rsidRDefault="00000000">
      <w:pPr>
        <w:spacing w:line="360" w:lineRule="auto"/>
        <w:jc w:val="both"/>
      </w:pPr>
      <w:r>
        <w:rPr>
          <w:rFonts w:ascii="Book Antiqua" w:eastAsia="Book Antiqua" w:hAnsi="Book Antiqua" w:cs="Book Antiqua"/>
          <w:color w:val="000000"/>
        </w:rPr>
        <w:t>This study aimed to explore the diagnostic value of oral contrast-enhanced ultrasonography for the detection of gastric tumors.</w:t>
      </w:r>
    </w:p>
    <w:p w14:paraId="03AE506E" w14:textId="77777777" w:rsidR="00DE37B1" w:rsidRDefault="00DE37B1">
      <w:pPr>
        <w:spacing w:line="360" w:lineRule="auto"/>
        <w:jc w:val="both"/>
      </w:pPr>
    </w:p>
    <w:p w14:paraId="51504EF2" w14:textId="77777777" w:rsidR="00DE37B1" w:rsidRDefault="00000000">
      <w:pPr>
        <w:spacing w:line="360" w:lineRule="auto"/>
        <w:jc w:val="both"/>
      </w:pPr>
      <w:r>
        <w:rPr>
          <w:rFonts w:ascii="Book Antiqua" w:eastAsia="Book Antiqua" w:hAnsi="Book Antiqua" w:cs="Book Antiqua"/>
          <w:b/>
          <w:i/>
          <w:color w:val="000000"/>
        </w:rPr>
        <w:t>Research methods</w:t>
      </w:r>
    </w:p>
    <w:p w14:paraId="10F18298" w14:textId="77777777" w:rsidR="00DE37B1" w:rsidRDefault="00000000">
      <w:pPr>
        <w:spacing w:line="360" w:lineRule="auto"/>
        <w:jc w:val="both"/>
      </w:pPr>
      <w:r>
        <w:rPr>
          <w:rFonts w:ascii="Book Antiqua" w:eastAsia="Book Antiqua" w:hAnsi="Book Antiqua" w:cs="Book Antiqua"/>
          <w:color w:val="000000"/>
        </w:rPr>
        <w:t xml:space="preserve">In this study, a total of 42 gastric tumor patients underwent both oral contrast-enhanced ultrasonography and gastroscopy. The screening results based on oral contrast-enhanced ultrasonography and electronic gastroscopy were compared with those of the postoperative pathological examination. </w:t>
      </w:r>
    </w:p>
    <w:p w14:paraId="1C2BAB2E" w14:textId="77777777" w:rsidR="00DE37B1" w:rsidRDefault="00DE37B1">
      <w:pPr>
        <w:spacing w:line="360" w:lineRule="auto"/>
        <w:jc w:val="both"/>
      </w:pPr>
    </w:p>
    <w:p w14:paraId="5252D2C2" w14:textId="77777777" w:rsidR="00DE37B1" w:rsidRDefault="00000000">
      <w:pPr>
        <w:spacing w:line="360" w:lineRule="auto"/>
        <w:jc w:val="both"/>
      </w:pPr>
      <w:r>
        <w:rPr>
          <w:rFonts w:ascii="Book Antiqua" w:eastAsia="Book Antiqua" w:hAnsi="Book Antiqua" w:cs="Book Antiqua"/>
          <w:b/>
          <w:i/>
          <w:color w:val="000000"/>
        </w:rPr>
        <w:t>Research results</w:t>
      </w:r>
    </w:p>
    <w:p w14:paraId="4E6C4E84" w14:textId="1643F3F4" w:rsidR="00DE37B1" w:rsidRDefault="00000000">
      <w:pPr>
        <w:spacing w:line="360" w:lineRule="auto"/>
        <w:jc w:val="both"/>
      </w:pPr>
      <w:r>
        <w:rPr>
          <w:rFonts w:ascii="Book Antiqua" w:eastAsia="Book Antiqua" w:hAnsi="Book Antiqua" w:cs="Book Antiqua"/>
          <w:color w:val="000000"/>
        </w:rPr>
        <w:t>Among 42 patients with gastric tumors enrolled in the study, the diagnostic accordance rate was 95.2% for oral contrast-enhanced ultrasonography, and 90.5% for electronic gastroscopy compared with postoperative pathological examination. The Kappa value of consistency test with pathological findings was 0.812</w:t>
      </w:r>
      <w:r>
        <w:rPr>
          <w:rFonts w:ascii="Book Antiqua" w:eastAsia="宋体" w:hAnsi="Book Antiqua" w:cs="Book Antiqua" w:hint="eastAsia"/>
          <w:color w:val="000000"/>
          <w:lang w:eastAsia="zh-CN"/>
        </w:rPr>
        <w:t xml:space="preserve"> for </w:t>
      </w:r>
      <w:r>
        <w:rPr>
          <w:rFonts w:ascii="Book Antiqua" w:eastAsia="Book Antiqua" w:hAnsi="Book Antiqua" w:cs="Book Antiqua"/>
        </w:rPr>
        <w:t>oral contrast-enhanced ultrasonography</w:t>
      </w:r>
      <w:r>
        <w:rPr>
          <w:rFonts w:ascii="Book Antiqua" w:eastAsia="宋体" w:hAnsi="Book Antiqua" w:cs="Book Antiqua" w:hint="eastAsia"/>
          <w:lang w:eastAsia="zh-CN"/>
        </w:rPr>
        <w:t xml:space="preserve"> and </w:t>
      </w:r>
      <w:r>
        <w:rPr>
          <w:rFonts w:ascii="Book Antiqua" w:eastAsia="Book Antiqua" w:hAnsi="Book Antiqua" w:cs="Book Antiqua"/>
        </w:rPr>
        <w:t>0.718</w:t>
      </w:r>
      <w:r>
        <w:rPr>
          <w:rFonts w:ascii="Book Antiqua" w:eastAsia="宋体" w:hAnsi="Book Antiqua" w:cs="Book Antiqua" w:hint="eastAsia"/>
          <w:lang w:eastAsia="zh-CN"/>
        </w:rPr>
        <w:t xml:space="preserve"> for</w:t>
      </w:r>
      <w:r>
        <w:rPr>
          <w:rFonts w:ascii="Book Antiqua" w:eastAsia="Book Antiqua" w:hAnsi="Book Antiqua" w:cs="Book Antiqua"/>
        </w:rPr>
        <w:t xml:space="preserve"> </w:t>
      </w:r>
      <w:r>
        <w:rPr>
          <w:rFonts w:ascii="Book Antiqua" w:eastAsia="Book Antiqua" w:hAnsi="Book Antiqua" w:cs="Book Antiqua"/>
          <w:color w:val="000000"/>
        </w:rPr>
        <w:t>electronic gastroscopy, and there was no significant difference between them.</w:t>
      </w:r>
    </w:p>
    <w:p w14:paraId="2C0D0954" w14:textId="77777777" w:rsidR="00DE37B1" w:rsidRDefault="00DE37B1">
      <w:pPr>
        <w:spacing w:line="360" w:lineRule="auto"/>
        <w:jc w:val="both"/>
      </w:pPr>
    </w:p>
    <w:p w14:paraId="0B2B9A29" w14:textId="77777777" w:rsidR="00DE37B1" w:rsidRDefault="00000000">
      <w:pPr>
        <w:spacing w:line="360" w:lineRule="auto"/>
        <w:jc w:val="both"/>
      </w:pPr>
      <w:r>
        <w:rPr>
          <w:rFonts w:ascii="Book Antiqua" w:eastAsia="Book Antiqua" w:hAnsi="Book Antiqua" w:cs="Book Antiqua"/>
          <w:b/>
          <w:i/>
          <w:color w:val="000000"/>
        </w:rPr>
        <w:t>Research conclusions</w:t>
      </w:r>
    </w:p>
    <w:p w14:paraId="22C5C4AE" w14:textId="47F29EE6" w:rsidR="00DE37B1" w:rsidRDefault="00000000">
      <w:pPr>
        <w:spacing w:line="360" w:lineRule="auto"/>
        <w:jc w:val="both"/>
      </w:pPr>
      <w:r>
        <w:rPr>
          <w:rFonts w:ascii="Book Antiqua" w:eastAsia="Book Antiqua" w:hAnsi="Book Antiqua" w:cs="Book Antiqua"/>
          <w:color w:val="000000"/>
        </w:rPr>
        <w:t xml:space="preserve">In summary, oral contrast-enhanced ultrasonography has several advantages compared to gastroscopy. It is simple, safe, and minimally invasive for detecting gastric tumors, and is suitable for feeble and sick patients who cannot tolerate gastroscopy. The accordance rate of qualitative diagnosis </w:t>
      </w:r>
      <w:r>
        <w:rPr>
          <w:rFonts w:ascii="Book Antiqua" w:eastAsia="宋体" w:hAnsi="Book Antiqua" w:cs="Book Antiqua" w:hint="eastAsia"/>
          <w:color w:val="000000"/>
          <w:lang w:eastAsia="zh-CN"/>
        </w:rPr>
        <w:t xml:space="preserve">by </w:t>
      </w:r>
      <w:r>
        <w:rPr>
          <w:rFonts w:ascii="Book Antiqua" w:eastAsia="Book Antiqua" w:hAnsi="Book Antiqua" w:cs="Book Antiqua"/>
          <w:color w:val="000000"/>
        </w:rPr>
        <w:t>oral contrast-enhanced ultrasonography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was comparable </w:t>
      </w:r>
      <w:r>
        <w:rPr>
          <w:rFonts w:ascii="Book Antiqua" w:eastAsia="宋体" w:hAnsi="Book Antiqua" w:cs="Book Antiqua" w:hint="eastAsia"/>
          <w:color w:val="000000"/>
          <w:lang w:eastAsia="zh-CN"/>
        </w:rPr>
        <w:t>to</w:t>
      </w:r>
      <w:r>
        <w:rPr>
          <w:rFonts w:ascii="Book Antiqua" w:eastAsia="Book Antiqua" w:hAnsi="Book Antiqua" w:cs="Book Antiqua"/>
          <w:color w:val="000000"/>
        </w:rPr>
        <w:t xml:space="preserve"> that of gastroscopy, and </w:t>
      </w:r>
      <w:r>
        <w:rPr>
          <w:rFonts w:ascii="Book Antiqua" w:eastAsia="宋体" w:hAnsi="Book Antiqua" w:cs="Book Antiqua" w:hint="eastAsia"/>
          <w:color w:val="000000"/>
          <w:lang w:eastAsia="zh-CN"/>
        </w:rPr>
        <w:t xml:space="preserve">it </w:t>
      </w:r>
      <w:r>
        <w:rPr>
          <w:rFonts w:ascii="Book Antiqua" w:eastAsia="Book Antiqua" w:hAnsi="Book Antiqua" w:cs="Book Antiqua"/>
          <w:color w:val="000000"/>
        </w:rPr>
        <w:t>could be used as the preferred method for the early screening of gastric tumors.</w:t>
      </w:r>
    </w:p>
    <w:p w14:paraId="1816FA04" w14:textId="77777777" w:rsidR="00DE37B1" w:rsidRDefault="00DE37B1">
      <w:pPr>
        <w:spacing w:line="360" w:lineRule="auto"/>
        <w:jc w:val="both"/>
      </w:pPr>
    </w:p>
    <w:p w14:paraId="448224C6" w14:textId="77777777" w:rsidR="00DE37B1" w:rsidRDefault="00000000">
      <w:pPr>
        <w:spacing w:line="360" w:lineRule="auto"/>
        <w:jc w:val="both"/>
      </w:pPr>
      <w:r>
        <w:rPr>
          <w:rFonts w:ascii="Book Antiqua" w:eastAsia="Book Antiqua" w:hAnsi="Book Antiqua" w:cs="Book Antiqua"/>
          <w:b/>
          <w:i/>
          <w:color w:val="000000"/>
        </w:rPr>
        <w:lastRenderedPageBreak/>
        <w:t>Research perspectives</w:t>
      </w:r>
    </w:p>
    <w:p w14:paraId="4FC9980B" w14:textId="41C6AD6E" w:rsidR="00DE37B1" w:rsidRDefault="00000000">
      <w:pPr>
        <w:spacing w:line="360" w:lineRule="auto"/>
        <w:jc w:val="both"/>
      </w:pPr>
      <w:r>
        <w:rPr>
          <w:rFonts w:ascii="Book Antiqua" w:eastAsia="Book Antiqua" w:hAnsi="Book Antiqua" w:cs="Book Antiqua"/>
          <w:color w:val="000000"/>
        </w:rPr>
        <w:t>The combined application of oral contrast-enhanced ultrasonography and electronic gastroscopy could improve the accuracy rate of the diagnosis of gastric tumors, provide more reliable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evidence for the diagnosis, treatment, and outcome prediction of gastric tumors, and has guiding significance in clinical practice.</w:t>
      </w:r>
    </w:p>
    <w:p w14:paraId="03DACF37" w14:textId="77777777" w:rsidR="00DE37B1" w:rsidRDefault="00DE37B1">
      <w:pPr>
        <w:spacing w:line="360" w:lineRule="auto"/>
        <w:jc w:val="both"/>
      </w:pPr>
    </w:p>
    <w:p w14:paraId="7C4C3610" w14:textId="77777777" w:rsidR="00DE37B1" w:rsidRDefault="00000000">
      <w:pPr>
        <w:spacing w:line="360" w:lineRule="auto"/>
        <w:jc w:val="both"/>
      </w:pPr>
      <w:r>
        <w:rPr>
          <w:rFonts w:ascii="Book Antiqua" w:eastAsia="Book Antiqua" w:hAnsi="Book Antiqua" w:cs="Book Antiqua"/>
          <w:b/>
          <w:color w:val="000000"/>
        </w:rPr>
        <w:t>REFERENCES</w:t>
      </w:r>
    </w:p>
    <w:p w14:paraId="12C2EFCA" w14:textId="77777777" w:rsidR="00DE37B1" w:rsidRDefault="00000000">
      <w:pPr>
        <w:spacing w:line="360" w:lineRule="auto"/>
        <w:jc w:val="both"/>
      </w:pPr>
      <w:bookmarkStart w:id="18" w:name="OLE_LINK7536"/>
      <w:bookmarkStart w:id="19" w:name="OLE_LINK7518"/>
      <w:bookmarkStart w:id="20" w:name="OLE_LINK7519"/>
      <w:r>
        <w:rPr>
          <w:rFonts w:ascii="Book Antiqua" w:eastAsia="Book Antiqua" w:hAnsi="Book Antiqua" w:cs="Book Antiqua"/>
        </w:rPr>
        <w:t xml:space="preserve">1 </w:t>
      </w:r>
      <w:r>
        <w:rPr>
          <w:rFonts w:ascii="Book Antiqua" w:eastAsia="Book Antiqua" w:hAnsi="Book Antiqua" w:cs="Book Antiqua"/>
          <w:b/>
          <w:bCs/>
        </w:rPr>
        <w:t>Wang LA</w:t>
      </w:r>
      <w:r>
        <w:rPr>
          <w:rFonts w:ascii="Book Antiqua" w:eastAsia="Book Antiqua" w:hAnsi="Book Antiqua" w:cs="Book Antiqua"/>
        </w:rPr>
        <w:t xml:space="preserve">, Wei X, Li Q, Chen L. The prediction of survival of patients with gastric cancer with PD-L1 expression using contrast-enhanced ultrasonography. </w:t>
      </w:r>
      <w:r>
        <w:rPr>
          <w:rFonts w:ascii="Book Antiqua" w:eastAsia="Book Antiqua" w:hAnsi="Book Antiqua" w:cs="Book Antiqua"/>
          <w:i/>
          <w:iCs/>
        </w:rPr>
        <w:t>Tumour Biol</w:t>
      </w:r>
      <w:r>
        <w:rPr>
          <w:rFonts w:ascii="Book Antiqua" w:eastAsia="Book Antiqua" w:hAnsi="Book Antiqua" w:cs="Book Antiqua"/>
        </w:rPr>
        <w:t xml:space="preserve"> 2016; </w:t>
      </w:r>
      <w:r>
        <w:rPr>
          <w:rFonts w:ascii="Book Antiqua" w:eastAsia="Book Antiqua" w:hAnsi="Book Antiqua" w:cs="Book Antiqua"/>
          <w:b/>
          <w:bCs/>
        </w:rPr>
        <w:t>37</w:t>
      </w:r>
      <w:r>
        <w:rPr>
          <w:rFonts w:ascii="Book Antiqua" w:eastAsia="Book Antiqua" w:hAnsi="Book Antiqua" w:cs="Book Antiqua"/>
        </w:rPr>
        <w:t>: 7327-7332 [PMID: 26671554 DOI: 10.1007/s13277-015-4600-y]</w:t>
      </w:r>
    </w:p>
    <w:p w14:paraId="5B75C21E" w14:textId="77777777" w:rsidR="00DE37B1"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Sung H</w:t>
      </w:r>
      <w:r>
        <w:rPr>
          <w:rFonts w:ascii="Book Antiqua" w:eastAsia="Book Antiqua" w:hAnsi="Book Antiqua" w:cs="Book Antiqua"/>
        </w:rPr>
        <w:t xml:space="preserve">, Ferlay J, Siegel RL, Laversanne M, Soerjomataram I, Jemal A, Bray F. Global Cancer Statistics 2020: GLOBOCAN Estimates of Incidence and Mortality Worldwide for 36 Cancers in 185 Countries. </w:t>
      </w:r>
      <w:r>
        <w:rPr>
          <w:rFonts w:ascii="Book Antiqua" w:eastAsia="Book Antiqua" w:hAnsi="Book Antiqua" w:cs="Book Antiqua"/>
          <w:i/>
          <w:iCs/>
        </w:rPr>
        <w:t>CA Cancer J Clin</w:t>
      </w:r>
      <w:r>
        <w:rPr>
          <w:rFonts w:ascii="Book Antiqua" w:eastAsia="Book Antiqua" w:hAnsi="Book Antiqua" w:cs="Book Antiqua"/>
        </w:rPr>
        <w:t xml:space="preserve"> 2021; </w:t>
      </w:r>
      <w:r>
        <w:rPr>
          <w:rFonts w:ascii="Book Antiqua" w:eastAsia="Book Antiqua" w:hAnsi="Book Antiqua" w:cs="Book Antiqua"/>
          <w:b/>
          <w:bCs/>
        </w:rPr>
        <w:t>71</w:t>
      </w:r>
      <w:r>
        <w:rPr>
          <w:rFonts w:ascii="Book Antiqua" w:eastAsia="Book Antiqua" w:hAnsi="Book Antiqua" w:cs="Book Antiqua"/>
        </w:rPr>
        <w:t>: 209-249 [PMID: 33538338 DOI: 10.3322/caac.21660]</w:t>
      </w:r>
    </w:p>
    <w:p w14:paraId="4FA4D968" w14:textId="77777777" w:rsidR="00DE37B1"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Willis S</w:t>
      </w:r>
      <w:r>
        <w:rPr>
          <w:rFonts w:ascii="Book Antiqua" w:eastAsia="Book Antiqua" w:hAnsi="Book Antiqua" w:cs="Book Antiqua"/>
        </w:rPr>
        <w:t xml:space="preserve">, Truong S, Gribnitz S, Fass J, Schumpelick V. Endoscopic ultrasonography in the preoperative staging of gastric cancer: accuracy and impact on surgical therapy. </w:t>
      </w:r>
      <w:r>
        <w:rPr>
          <w:rFonts w:ascii="Book Antiqua" w:eastAsia="Book Antiqua" w:hAnsi="Book Antiqua" w:cs="Book Antiqua"/>
          <w:i/>
          <w:iCs/>
        </w:rPr>
        <w:t>Surg Endosc</w:t>
      </w:r>
      <w:r>
        <w:rPr>
          <w:rFonts w:ascii="Book Antiqua" w:eastAsia="Book Antiqua" w:hAnsi="Book Antiqua" w:cs="Book Antiqua"/>
        </w:rPr>
        <w:t xml:space="preserve"> 2000; </w:t>
      </w:r>
      <w:r>
        <w:rPr>
          <w:rFonts w:ascii="Book Antiqua" w:eastAsia="Book Antiqua" w:hAnsi="Book Antiqua" w:cs="Book Antiqua"/>
          <w:b/>
          <w:bCs/>
        </w:rPr>
        <w:t>14</w:t>
      </w:r>
      <w:r>
        <w:rPr>
          <w:rFonts w:ascii="Book Antiqua" w:eastAsia="Book Antiqua" w:hAnsi="Book Antiqua" w:cs="Book Antiqua"/>
        </w:rPr>
        <w:t>: 951-954 [PMID: 11080410 DOI: 10.1007/s004640010040]</w:t>
      </w:r>
    </w:p>
    <w:p w14:paraId="023542D3" w14:textId="77777777" w:rsidR="00DE37B1"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Badea R</w:t>
      </w:r>
      <w:r>
        <w:rPr>
          <w:rFonts w:ascii="Book Antiqua" w:eastAsia="Book Antiqua" w:hAnsi="Book Antiqua" w:cs="Book Antiqua"/>
        </w:rPr>
        <w:t xml:space="preserve">, Neciu C, Iancu C, Al Hajar N, Pojoga C, Botan E. The role of i.v. and oral contrast enhanced ultrasonography in the characterization of gastric tumors. A preliminary study. </w:t>
      </w:r>
      <w:r>
        <w:rPr>
          <w:rFonts w:ascii="Book Antiqua" w:eastAsia="Book Antiqua" w:hAnsi="Book Antiqua" w:cs="Book Antiqua"/>
          <w:i/>
          <w:iCs/>
        </w:rPr>
        <w:t>Med Ultrason</w:t>
      </w:r>
      <w:r>
        <w:rPr>
          <w:rFonts w:ascii="Book Antiqua" w:eastAsia="Book Antiqua" w:hAnsi="Book Antiqua" w:cs="Book Antiqua"/>
        </w:rPr>
        <w:t xml:space="preserve"> 2012; </w:t>
      </w:r>
      <w:r>
        <w:rPr>
          <w:rFonts w:ascii="Book Antiqua" w:eastAsia="Book Antiqua" w:hAnsi="Book Antiqua" w:cs="Book Antiqua"/>
          <w:b/>
          <w:bCs/>
        </w:rPr>
        <w:t>14</w:t>
      </w:r>
      <w:r>
        <w:rPr>
          <w:rFonts w:ascii="Book Antiqua" w:eastAsia="Book Antiqua" w:hAnsi="Book Antiqua" w:cs="Book Antiqua"/>
        </w:rPr>
        <w:t>: 197-203 [PMID: 22957324]</w:t>
      </w:r>
    </w:p>
    <w:p w14:paraId="50515C89" w14:textId="77777777" w:rsidR="00DE37B1"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Habermann CR</w:t>
      </w:r>
      <w:r>
        <w:rPr>
          <w:rFonts w:ascii="Book Antiqua" w:eastAsia="Book Antiqua" w:hAnsi="Book Antiqua" w:cs="Book Antiqua"/>
        </w:rPr>
        <w:t xml:space="preserve">, Weiss F, Riecken R, Honarpisheh H, Bohnacker S, Staedtler C, Dieckmann C, Schoder V, Adam G. Preoperative staging of gastric adenocarcinoma: comparison of helical CT and endoscopic US. </w:t>
      </w:r>
      <w:r>
        <w:rPr>
          <w:rFonts w:ascii="Book Antiqua" w:eastAsia="Book Antiqua" w:hAnsi="Book Antiqua" w:cs="Book Antiqua"/>
          <w:i/>
          <w:iCs/>
        </w:rPr>
        <w:t>Radiology</w:t>
      </w:r>
      <w:r>
        <w:rPr>
          <w:rFonts w:ascii="Book Antiqua" w:eastAsia="Book Antiqua" w:hAnsi="Book Antiqua" w:cs="Book Antiqua"/>
        </w:rPr>
        <w:t xml:space="preserve"> 2004; </w:t>
      </w:r>
      <w:r>
        <w:rPr>
          <w:rFonts w:ascii="Book Antiqua" w:eastAsia="Book Antiqua" w:hAnsi="Book Antiqua" w:cs="Book Antiqua"/>
          <w:b/>
          <w:bCs/>
        </w:rPr>
        <w:t>230</w:t>
      </w:r>
      <w:r>
        <w:rPr>
          <w:rFonts w:ascii="Book Antiqua" w:eastAsia="Book Antiqua" w:hAnsi="Book Antiqua" w:cs="Book Antiqua"/>
        </w:rPr>
        <w:t>: 465-471 [PMID: 14752188 DOI: 10.1148/radiol.2302020828]</w:t>
      </w:r>
    </w:p>
    <w:p w14:paraId="5C57E357" w14:textId="77777777" w:rsidR="00DE37B1"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Yu T</w:t>
      </w:r>
      <w:r>
        <w:rPr>
          <w:rFonts w:ascii="Book Antiqua" w:eastAsia="Book Antiqua" w:hAnsi="Book Antiqua" w:cs="Book Antiqua"/>
        </w:rPr>
        <w:t xml:space="preserve">, Wang X, Zhao Z, Liu F, Liu X, Zhao Y, Luo Y. Prediction of T stage in gastric carcinoma by enhanced CT and oral contrast-enhanced ultrasonography. </w:t>
      </w:r>
      <w:r>
        <w:rPr>
          <w:rFonts w:ascii="Book Antiqua" w:eastAsia="Book Antiqua" w:hAnsi="Book Antiqua" w:cs="Book Antiqua"/>
          <w:i/>
          <w:iCs/>
        </w:rPr>
        <w:t>World J Surg Oncol</w:t>
      </w:r>
      <w:r>
        <w:rPr>
          <w:rFonts w:ascii="Book Antiqua" w:eastAsia="Book Antiqua" w:hAnsi="Book Antiqua" w:cs="Book Antiqua"/>
        </w:rPr>
        <w:t xml:space="preserve"> 2015; </w:t>
      </w:r>
      <w:r>
        <w:rPr>
          <w:rFonts w:ascii="Book Antiqua" w:eastAsia="Book Antiqua" w:hAnsi="Book Antiqua" w:cs="Book Antiqua"/>
          <w:b/>
          <w:bCs/>
        </w:rPr>
        <w:t>13</w:t>
      </w:r>
      <w:r>
        <w:rPr>
          <w:rFonts w:ascii="Book Antiqua" w:eastAsia="Book Antiqua" w:hAnsi="Book Antiqua" w:cs="Book Antiqua"/>
        </w:rPr>
        <w:t>: 184 [PMID: 25986541 DOI: 10.1186/s12957-015-0577-7]</w:t>
      </w:r>
    </w:p>
    <w:p w14:paraId="32B95CD8" w14:textId="77777777" w:rsidR="00DE37B1"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Liu Z</w:t>
      </w:r>
      <w:r>
        <w:rPr>
          <w:rFonts w:ascii="Book Antiqua" w:eastAsia="Book Antiqua" w:hAnsi="Book Antiqua" w:cs="Book Antiqua"/>
        </w:rPr>
        <w:t xml:space="preserve">, Guo J, Wang S, Zhao Y, Li J, Ren W, Tang S, Xie L, Huang Y, Sun S, Huang L. Evaluation of transabdominal ultrasound after oral administration of an echoic </w:t>
      </w:r>
      <w:r>
        <w:rPr>
          <w:rFonts w:ascii="Book Antiqua" w:eastAsia="Book Antiqua" w:hAnsi="Book Antiqua" w:cs="Book Antiqua"/>
        </w:rPr>
        <w:lastRenderedPageBreak/>
        <w:t xml:space="preserve">cellulose-based gastric ultrasound contrast agent for gastric cancer. </w:t>
      </w:r>
      <w:r>
        <w:rPr>
          <w:rFonts w:ascii="Book Antiqua" w:eastAsia="Book Antiqua" w:hAnsi="Book Antiqua" w:cs="Book Antiqua"/>
          <w:i/>
          <w:iCs/>
        </w:rPr>
        <w:t>BMC Cancer</w:t>
      </w:r>
      <w:r>
        <w:rPr>
          <w:rFonts w:ascii="Book Antiqua" w:eastAsia="Book Antiqua" w:hAnsi="Book Antiqua" w:cs="Book Antiqua"/>
        </w:rPr>
        <w:t xml:space="preserve"> 2015; </w:t>
      </w:r>
      <w:r>
        <w:rPr>
          <w:rFonts w:ascii="Book Antiqua" w:eastAsia="Book Antiqua" w:hAnsi="Book Antiqua" w:cs="Book Antiqua"/>
          <w:b/>
          <w:bCs/>
        </w:rPr>
        <w:t>15</w:t>
      </w:r>
      <w:r>
        <w:rPr>
          <w:rFonts w:ascii="Book Antiqua" w:eastAsia="Book Antiqua" w:hAnsi="Book Antiqua" w:cs="Book Antiqua"/>
        </w:rPr>
        <w:t>: 932 [PMID: 26606926 DOI: 10.1186/s12885-015-1943-0]</w:t>
      </w:r>
    </w:p>
    <w:p w14:paraId="0C2B94F3" w14:textId="77777777" w:rsidR="00DE37B1"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Li S</w:t>
      </w:r>
      <w:r>
        <w:rPr>
          <w:rFonts w:ascii="Book Antiqua" w:eastAsia="Book Antiqua" w:hAnsi="Book Antiqua" w:cs="Book Antiqua"/>
        </w:rPr>
        <w:t xml:space="preserve">, Huang P, Wang Z, Chen J, Xu H, Wang L, Zhang Y, Mo G, Zhu J, Cosgrove D. Preoperative T staging of advanced gastric cancer using double contrast-enhanced ultrasound. </w:t>
      </w:r>
      <w:r>
        <w:rPr>
          <w:rFonts w:ascii="Book Antiqua" w:eastAsia="Book Antiqua" w:hAnsi="Book Antiqua" w:cs="Book Antiqua"/>
          <w:i/>
          <w:iCs/>
        </w:rPr>
        <w:t>Ultraschall Med</w:t>
      </w:r>
      <w:r>
        <w:rPr>
          <w:rFonts w:ascii="Book Antiqua" w:eastAsia="Book Antiqua" w:hAnsi="Book Antiqua" w:cs="Book Antiqua"/>
        </w:rPr>
        <w:t xml:space="preserve"> 2012; </w:t>
      </w:r>
      <w:r>
        <w:rPr>
          <w:rFonts w:ascii="Book Antiqua" w:eastAsia="Book Antiqua" w:hAnsi="Book Antiqua" w:cs="Book Antiqua"/>
          <w:b/>
          <w:bCs/>
        </w:rPr>
        <w:t>33</w:t>
      </w:r>
      <w:r>
        <w:rPr>
          <w:rFonts w:ascii="Book Antiqua" w:eastAsia="Book Antiqua" w:hAnsi="Book Antiqua" w:cs="Book Antiqua"/>
        </w:rPr>
        <w:t>: E218-E224 [PMID: 22744445 DOI: 10.1055/s-0032-1312958]</w:t>
      </w:r>
    </w:p>
    <w:p w14:paraId="7EFDF6E1" w14:textId="77777777" w:rsidR="00DE37B1"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Yan C</w:t>
      </w:r>
      <w:r>
        <w:rPr>
          <w:rFonts w:ascii="Book Antiqua" w:eastAsia="Book Antiqua" w:hAnsi="Book Antiqua" w:cs="Book Antiqua"/>
        </w:rPr>
        <w:t xml:space="preserve">, Bao X, Shentu W, Chen J, Liu C, Ye Q, Wang L, Tan Y, Huang P. Preoperative Gross Classification of Gastric Adenocarcinoma: Comparison of Double Contrast-Enhanced Ultrasound and Multi-Detector Row CT. </w:t>
      </w:r>
      <w:r>
        <w:rPr>
          <w:rFonts w:ascii="Book Antiqua" w:eastAsia="Book Antiqua" w:hAnsi="Book Antiqua" w:cs="Book Antiqua"/>
          <w:i/>
          <w:iCs/>
        </w:rPr>
        <w:t>Ultrasound Med Biol</w:t>
      </w:r>
      <w:r>
        <w:rPr>
          <w:rFonts w:ascii="Book Antiqua" w:eastAsia="Book Antiqua" w:hAnsi="Book Antiqua" w:cs="Book Antiqua"/>
        </w:rPr>
        <w:t xml:space="preserve"> 2016; </w:t>
      </w:r>
      <w:r>
        <w:rPr>
          <w:rFonts w:ascii="Book Antiqua" w:eastAsia="Book Antiqua" w:hAnsi="Book Antiqua" w:cs="Book Antiqua"/>
          <w:b/>
          <w:bCs/>
        </w:rPr>
        <w:t>42</w:t>
      </w:r>
      <w:r>
        <w:rPr>
          <w:rFonts w:ascii="Book Antiqua" w:eastAsia="Book Antiqua" w:hAnsi="Book Antiqua" w:cs="Book Antiqua"/>
        </w:rPr>
        <w:t>: 1431-1440 [PMID: 27072076 DOI: 10.1016/j.ultrasmedbio.2016.01.030]</w:t>
      </w:r>
    </w:p>
    <w:p w14:paraId="6FF51650" w14:textId="77777777" w:rsidR="00DE37B1"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Shi H</w:t>
      </w:r>
      <w:r>
        <w:rPr>
          <w:rFonts w:ascii="Book Antiqua" w:eastAsia="Book Antiqua" w:hAnsi="Book Antiqua" w:cs="Book Antiqua"/>
        </w:rPr>
        <w:t xml:space="preserve">, Yu XH, Guo XZ, Guo Y, Zhang H, Qian B, Wei ZR, Li L, Wang XC, Kong ZX. Double contrast-enhanced two-dimensional and three-dimensional ultrasonography for evaluation of gastric lesions. </w:t>
      </w:r>
      <w:r>
        <w:rPr>
          <w:rFonts w:ascii="Book Antiqua" w:eastAsia="Book Antiqua" w:hAnsi="Book Antiqua" w:cs="Book Antiqua"/>
          <w:i/>
          <w:iCs/>
        </w:rPr>
        <w:t>World J Gastroenterol</w:t>
      </w:r>
      <w:r>
        <w:rPr>
          <w:rFonts w:ascii="Book Antiqua" w:eastAsia="Book Antiqua" w:hAnsi="Book Antiqua" w:cs="Book Antiqua"/>
        </w:rPr>
        <w:t xml:space="preserve"> 2012; </w:t>
      </w:r>
      <w:r>
        <w:rPr>
          <w:rFonts w:ascii="Book Antiqua" w:eastAsia="Book Antiqua" w:hAnsi="Book Antiqua" w:cs="Book Antiqua"/>
          <w:b/>
          <w:bCs/>
        </w:rPr>
        <w:t>18</w:t>
      </w:r>
      <w:r>
        <w:rPr>
          <w:rFonts w:ascii="Book Antiqua" w:eastAsia="Book Antiqua" w:hAnsi="Book Antiqua" w:cs="Book Antiqua"/>
        </w:rPr>
        <w:t>: 4136-4144 [PMID: 22919245 DOI: 10.3748/wjg.v18.i31.4136]</w:t>
      </w:r>
    </w:p>
    <w:p w14:paraId="2865EF94" w14:textId="77777777" w:rsidR="00DE37B1"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Suk KT</w:t>
      </w:r>
      <w:r>
        <w:rPr>
          <w:rFonts w:ascii="Book Antiqua" w:eastAsia="Book Antiqua" w:hAnsi="Book Antiqua" w:cs="Book Antiqua"/>
        </w:rPr>
        <w:t xml:space="preserve">, Lim DW, Kim MY, Park DH, Kim KH, Kim JM, Kim JW, Kim HS, Kwon SO, Baik SK, Park SJ. Thickening of the gastric wall on transabdominal sonography: a sign of gastric cancer. </w:t>
      </w:r>
      <w:r>
        <w:rPr>
          <w:rFonts w:ascii="Book Antiqua" w:eastAsia="Book Antiqua" w:hAnsi="Book Antiqua" w:cs="Book Antiqua"/>
          <w:i/>
          <w:iCs/>
        </w:rPr>
        <w:t>J Clin Ultrasound</w:t>
      </w:r>
      <w:r>
        <w:rPr>
          <w:rFonts w:ascii="Book Antiqua" w:eastAsia="Book Antiqua" w:hAnsi="Book Antiqua" w:cs="Book Antiqua"/>
        </w:rPr>
        <w:t xml:space="preserve"> 2008; </w:t>
      </w:r>
      <w:r>
        <w:rPr>
          <w:rFonts w:ascii="Book Antiqua" w:eastAsia="Book Antiqua" w:hAnsi="Book Antiqua" w:cs="Book Antiqua"/>
          <w:b/>
          <w:bCs/>
        </w:rPr>
        <w:t>36</w:t>
      </w:r>
      <w:r>
        <w:rPr>
          <w:rFonts w:ascii="Book Antiqua" w:eastAsia="Book Antiqua" w:hAnsi="Book Antiqua" w:cs="Book Antiqua"/>
        </w:rPr>
        <w:t>: 462-466 [PMID: 18335513 DOI: 10.1002/jcu.20450]</w:t>
      </w:r>
    </w:p>
    <w:p w14:paraId="69A4C59F" w14:textId="77777777" w:rsidR="00DE37B1"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Neciu C</w:t>
      </w:r>
      <w:r>
        <w:rPr>
          <w:rFonts w:ascii="Book Antiqua" w:eastAsia="Book Antiqua" w:hAnsi="Book Antiqua" w:cs="Book Antiqua"/>
        </w:rPr>
        <w:t xml:space="preserve">, Badea R, Chiorean L, Badea AF, Opincariu I. Oral and I.V. contrast enhanced ultrasonography of the digestive tract--a useful completion of the B-mode examination: a literature review and an exhaustive illustration through images. </w:t>
      </w:r>
      <w:r>
        <w:rPr>
          <w:rFonts w:ascii="Book Antiqua" w:eastAsia="Book Antiqua" w:hAnsi="Book Antiqua" w:cs="Book Antiqua"/>
          <w:i/>
          <w:iCs/>
        </w:rPr>
        <w:t>Med Ultrason</w:t>
      </w:r>
      <w:r>
        <w:rPr>
          <w:rFonts w:ascii="Book Antiqua" w:eastAsia="Book Antiqua" w:hAnsi="Book Antiqua" w:cs="Book Antiqua"/>
        </w:rPr>
        <w:t xml:space="preserve"> 2015; </w:t>
      </w:r>
      <w:r>
        <w:rPr>
          <w:rFonts w:ascii="Book Antiqua" w:eastAsia="Book Antiqua" w:hAnsi="Book Antiqua" w:cs="Book Antiqua"/>
          <w:b/>
          <w:bCs/>
        </w:rPr>
        <w:t>17</w:t>
      </w:r>
      <w:r>
        <w:rPr>
          <w:rFonts w:ascii="Book Antiqua" w:eastAsia="Book Antiqua" w:hAnsi="Book Antiqua" w:cs="Book Antiqua"/>
        </w:rPr>
        <w:t>: 62-73 [PMID: 25745660 DOI: 10.11152/mu.2013.2066.171.cnrb]</w:t>
      </w:r>
    </w:p>
    <w:p w14:paraId="713E6230" w14:textId="77777777" w:rsidR="00DE37B1"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Liu Z</w:t>
      </w:r>
      <w:r>
        <w:rPr>
          <w:rFonts w:ascii="Book Antiqua" w:eastAsia="Book Antiqua" w:hAnsi="Book Antiqua" w:cs="Book Antiqua"/>
        </w:rPr>
        <w:t xml:space="preserve">, Guo J, Wang S, Zhao Y, Liu Z, Li J, Ren W, Tang S, Xie L, Huang Y, Sun S, Huang L. Evaluation of Transabdominal Ultrasound with Oral Cellulose-Based Contrast Agent in the Detection and Surveillance of Gastric Ulcer. </w:t>
      </w:r>
      <w:r>
        <w:rPr>
          <w:rFonts w:ascii="Book Antiqua" w:eastAsia="Book Antiqua" w:hAnsi="Book Antiqua" w:cs="Book Antiqua"/>
          <w:i/>
          <w:iCs/>
        </w:rPr>
        <w:t>Ultrasound Med Biol</w:t>
      </w:r>
      <w:r>
        <w:rPr>
          <w:rFonts w:ascii="Book Antiqua" w:eastAsia="Book Antiqua" w:hAnsi="Book Antiqua" w:cs="Book Antiqua"/>
        </w:rPr>
        <w:t xml:space="preserve"> 2017; </w:t>
      </w:r>
      <w:r>
        <w:rPr>
          <w:rFonts w:ascii="Book Antiqua" w:eastAsia="Book Antiqua" w:hAnsi="Book Antiqua" w:cs="Book Antiqua"/>
          <w:b/>
          <w:bCs/>
        </w:rPr>
        <w:t>43</w:t>
      </w:r>
      <w:r>
        <w:rPr>
          <w:rFonts w:ascii="Book Antiqua" w:eastAsia="Book Antiqua" w:hAnsi="Book Antiqua" w:cs="Book Antiqua"/>
        </w:rPr>
        <w:t>: 1364-1371 [PMID: 28461064 DOI: 10.1016/j.ultrasmedbio.2017.02.008]</w:t>
      </w:r>
    </w:p>
    <w:p w14:paraId="0149CE31" w14:textId="77777777" w:rsidR="00DE37B1"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Sano T</w:t>
      </w:r>
      <w:r>
        <w:rPr>
          <w:rFonts w:ascii="Book Antiqua" w:eastAsia="Book Antiqua" w:hAnsi="Book Antiqua" w:cs="Book Antiqua"/>
        </w:rPr>
        <w:t xml:space="preserve">, Coit DG, Kim HH, Roviello F, Kassab P, Wittekind C, Yamamoto Y, Ohashi Y. Proposal of a new stage grouping of gastric cancer for TNM classification: International Gastric Cancer Association staging project. </w:t>
      </w:r>
      <w:r>
        <w:rPr>
          <w:rFonts w:ascii="Book Antiqua" w:eastAsia="Book Antiqua" w:hAnsi="Book Antiqua" w:cs="Book Antiqua"/>
          <w:i/>
          <w:iCs/>
        </w:rPr>
        <w:t>Gastric Cancer</w:t>
      </w:r>
      <w:r>
        <w:rPr>
          <w:rFonts w:ascii="Book Antiqua" w:eastAsia="Book Antiqua" w:hAnsi="Book Antiqua" w:cs="Book Antiqua"/>
        </w:rPr>
        <w:t xml:space="preserve"> 2017; </w:t>
      </w:r>
      <w:r>
        <w:rPr>
          <w:rFonts w:ascii="Book Antiqua" w:eastAsia="Book Antiqua" w:hAnsi="Book Antiqua" w:cs="Book Antiqua"/>
          <w:b/>
          <w:bCs/>
        </w:rPr>
        <w:t>20</w:t>
      </w:r>
      <w:r>
        <w:rPr>
          <w:rFonts w:ascii="Book Antiqua" w:eastAsia="Book Antiqua" w:hAnsi="Book Antiqua" w:cs="Book Antiqua"/>
        </w:rPr>
        <w:t>: 217-225 [PMID: 26897166 DOI: 10.1007/s10120-016-0601-9]</w:t>
      </w:r>
    </w:p>
    <w:p w14:paraId="0777DFEE" w14:textId="77777777" w:rsidR="00DE37B1" w:rsidRDefault="00000000">
      <w:pPr>
        <w:spacing w:line="360" w:lineRule="auto"/>
        <w:jc w:val="both"/>
      </w:pPr>
      <w:r>
        <w:rPr>
          <w:rFonts w:ascii="Book Antiqua" w:eastAsia="Book Antiqua" w:hAnsi="Book Antiqua" w:cs="Book Antiqua"/>
        </w:rPr>
        <w:lastRenderedPageBreak/>
        <w:t xml:space="preserve">15 </w:t>
      </w:r>
      <w:r>
        <w:rPr>
          <w:rFonts w:ascii="Book Antiqua" w:eastAsia="Book Antiqua" w:hAnsi="Book Antiqua" w:cs="Book Antiqua"/>
          <w:b/>
          <w:bCs/>
        </w:rPr>
        <w:t>Wang FH</w:t>
      </w:r>
      <w:r>
        <w:rPr>
          <w:rFonts w:ascii="Book Antiqua" w:eastAsia="Book Antiqua" w:hAnsi="Book Antiqua" w:cs="Book Antiqua"/>
        </w:rPr>
        <w:t xml:space="preserve">, Zhang XT, Li YF, Tang L, Qu XJ, Ying JE, Zhang J, Sun LY, Lin RB, Qiu H, Wang C, Qiu MZ, Cai MY, Wu Q, Liu H, Guan WL, Zhou AP, Zhang YJ, Liu TS, Bi F, Yuan XL, Rao SX, Xin Y, Sheng WQ, Xu HM, Li GX, Ji JF, Zhou ZW, Liang H, Zhang YQ, Jin J, Shen L, Li J, Xu RH. The Chinese Society of Clinical Oncology (CSCO): Clinical guidelines for the diagnosis and treatment of gastric cancer, 2021. </w:t>
      </w:r>
      <w:r>
        <w:rPr>
          <w:rFonts w:ascii="Book Antiqua" w:eastAsia="Book Antiqua" w:hAnsi="Book Antiqua" w:cs="Book Antiqua"/>
          <w:i/>
          <w:iCs/>
        </w:rPr>
        <w:t>Cancer Commun (Lond)</w:t>
      </w:r>
      <w:r>
        <w:rPr>
          <w:rFonts w:ascii="Book Antiqua" w:eastAsia="Book Antiqua" w:hAnsi="Book Antiqua" w:cs="Book Antiqua"/>
        </w:rPr>
        <w:t xml:space="preserve"> 2021; </w:t>
      </w:r>
      <w:r>
        <w:rPr>
          <w:rFonts w:ascii="Book Antiqua" w:eastAsia="Book Antiqua" w:hAnsi="Book Antiqua" w:cs="Book Antiqua"/>
          <w:b/>
          <w:bCs/>
        </w:rPr>
        <w:t>41</w:t>
      </w:r>
      <w:r>
        <w:rPr>
          <w:rFonts w:ascii="Book Antiqua" w:eastAsia="Book Antiqua" w:hAnsi="Book Antiqua" w:cs="Book Antiqua"/>
        </w:rPr>
        <w:t>: 747-795 [PMID: 34197702 DOI: 10.1002/cac2.12193]</w:t>
      </w:r>
    </w:p>
    <w:p w14:paraId="1CD674CC" w14:textId="77777777" w:rsidR="00DE37B1"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Leung WK</w:t>
      </w:r>
      <w:r>
        <w:rPr>
          <w:rFonts w:ascii="Book Antiqua" w:eastAsia="Book Antiqua" w:hAnsi="Book Antiqua" w:cs="Book Antiqua"/>
        </w:rPr>
        <w:t xml:space="preserve">, Wu MS, Kakugawa Y, Kim JJ, Yeoh KG, Goh KL, Wu KC, Wu DC, Sollano J, Kachintorn U, Gotoda T, Lin JT, You WC, Ng EK, Sung JJ; Asia Pacific Working Group on Gastric Cancer. Screening for gastric cancer in Asia: current evidence and practice. </w:t>
      </w:r>
      <w:r>
        <w:rPr>
          <w:rFonts w:ascii="Book Antiqua" w:eastAsia="Book Antiqua" w:hAnsi="Book Antiqua" w:cs="Book Antiqua"/>
          <w:i/>
          <w:iCs/>
        </w:rPr>
        <w:t>Lancet Oncol</w:t>
      </w:r>
      <w:r>
        <w:rPr>
          <w:rFonts w:ascii="Book Antiqua" w:eastAsia="Book Antiqua" w:hAnsi="Book Antiqua" w:cs="Book Antiqua"/>
        </w:rPr>
        <w:t xml:space="preserve"> 2008; </w:t>
      </w:r>
      <w:r>
        <w:rPr>
          <w:rFonts w:ascii="Book Antiqua" w:eastAsia="Book Antiqua" w:hAnsi="Book Antiqua" w:cs="Book Antiqua"/>
          <w:b/>
          <w:bCs/>
        </w:rPr>
        <w:t>9</w:t>
      </w:r>
      <w:r>
        <w:rPr>
          <w:rFonts w:ascii="Book Antiqua" w:eastAsia="Book Antiqua" w:hAnsi="Book Antiqua" w:cs="Book Antiqua"/>
        </w:rPr>
        <w:t>: 279-287 [PMID: 18308253 DOI: 10.1016/S1470-2045(08)70072-X]</w:t>
      </w:r>
    </w:p>
    <w:p w14:paraId="6A4B7216" w14:textId="77777777" w:rsidR="00DE37B1" w:rsidRDefault="00000000">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Liu L</w:t>
      </w:r>
      <w:r>
        <w:rPr>
          <w:rFonts w:ascii="Book Antiqua" w:eastAsia="Book Antiqua" w:hAnsi="Book Antiqua" w:cs="Book Antiqua"/>
        </w:rPr>
        <w:t xml:space="preserve">, Lu DY, Cai JR, Zhang L. The value of oral contrast ultrasonography in the diagnosis of gastric cancer in elderly patients. </w:t>
      </w:r>
      <w:r>
        <w:rPr>
          <w:rFonts w:ascii="Book Antiqua" w:eastAsia="Book Antiqua" w:hAnsi="Book Antiqua" w:cs="Book Antiqua"/>
          <w:i/>
          <w:iCs/>
        </w:rPr>
        <w:t>World J Surg Oncol</w:t>
      </w:r>
      <w:r>
        <w:rPr>
          <w:rFonts w:ascii="Book Antiqua" w:eastAsia="Book Antiqua" w:hAnsi="Book Antiqua" w:cs="Book Antiqua"/>
        </w:rPr>
        <w:t xml:space="preserve"> 2018; </w:t>
      </w:r>
      <w:r>
        <w:rPr>
          <w:rFonts w:ascii="Book Antiqua" w:eastAsia="Book Antiqua" w:hAnsi="Book Antiqua" w:cs="Book Antiqua"/>
          <w:b/>
          <w:bCs/>
        </w:rPr>
        <w:t>16</w:t>
      </w:r>
      <w:r>
        <w:rPr>
          <w:rFonts w:ascii="Book Antiqua" w:eastAsia="Book Antiqua" w:hAnsi="Book Antiqua" w:cs="Book Antiqua"/>
        </w:rPr>
        <w:t>: 233 [PMID: 30526671 DOI: 10.1186/s12957-018-1527-y]</w:t>
      </w:r>
    </w:p>
    <w:p w14:paraId="6B64B27C" w14:textId="77777777" w:rsidR="00DE37B1"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Pei F</w:t>
      </w:r>
      <w:r>
        <w:rPr>
          <w:rFonts w:ascii="Book Antiqua" w:eastAsia="Book Antiqua" w:hAnsi="Book Antiqua" w:cs="Book Antiqua"/>
        </w:rPr>
        <w:t xml:space="preserve">, Liu Y, Zhang F, Li N, Huang D, Gu B. Cholecystoduodenal fistula: ultrasonographic diagnosis with oral gastrointestinal ultrasound contrast medium. </w:t>
      </w:r>
      <w:r>
        <w:rPr>
          <w:rFonts w:ascii="Book Antiqua" w:eastAsia="Book Antiqua" w:hAnsi="Book Antiqua" w:cs="Book Antiqua"/>
          <w:i/>
          <w:iCs/>
        </w:rPr>
        <w:t>Abdom Imaging</w:t>
      </w:r>
      <w:r>
        <w:rPr>
          <w:rFonts w:ascii="Book Antiqua" w:eastAsia="Book Antiqua" w:hAnsi="Book Antiqua" w:cs="Book Antiqua"/>
        </w:rPr>
        <w:t xml:space="preserve"> 2011; </w:t>
      </w:r>
      <w:r>
        <w:rPr>
          <w:rFonts w:ascii="Book Antiqua" w:eastAsia="Book Antiqua" w:hAnsi="Book Antiqua" w:cs="Book Antiqua"/>
          <w:b/>
          <w:bCs/>
        </w:rPr>
        <w:t>36</w:t>
      </w:r>
      <w:r>
        <w:rPr>
          <w:rFonts w:ascii="Book Antiqua" w:eastAsia="Book Antiqua" w:hAnsi="Book Antiqua" w:cs="Book Antiqua"/>
        </w:rPr>
        <w:t>: 561-564 [PMID: 21052662 DOI: 10.1007/s00261-010-9661-1]</w:t>
      </w:r>
    </w:p>
    <w:p w14:paraId="11202434" w14:textId="77777777" w:rsidR="00DE37B1" w:rsidRDefault="00000000">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Ishigami S</w:t>
      </w:r>
      <w:r>
        <w:rPr>
          <w:rFonts w:ascii="Book Antiqua" w:eastAsia="Book Antiqua" w:hAnsi="Book Antiqua" w:cs="Book Antiqua"/>
        </w:rPr>
        <w:t xml:space="preserve">, Yoshinaka H, Sakamoto F, Natsugoe S, Tokuda K, Nakajo A, Matsumoto M, Okumura H, Hokita S, Aikou T. Preoperative assessment of the depth of early gastric cancer invasion by transabdominal ultrasound sonography (TUS): a comparison with endoscopic ultrasound sonography (EUS). </w:t>
      </w:r>
      <w:r>
        <w:rPr>
          <w:rFonts w:ascii="Book Antiqua" w:eastAsia="Book Antiqua" w:hAnsi="Book Antiqua" w:cs="Book Antiqua"/>
          <w:i/>
          <w:iCs/>
        </w:rPr>
        <w:t>Hepatogastroenterology</w:t>
      </w:r>
      <w:r>
        <w:rPr>
          <w:rFonts w:ascii="Book Antiqua" w:eastAsia="Book Antiqua" w:hAnsi="Book Antiqua" w:cs="Book Antiqua"/>
        </w:rPr>
        <w:t xml:space="preserve"> 2004; </w:t>
      </w:r>
      <w:r>
        <w:rPr>
          <w:rFonts w:ascii="Book Antiqua" w:eastAsia="Book Antiqua" w:hAnsi="Book Antiqua" w:cs="Book Antiqua"/>
          <w:b/>
          <w:bCs/>
        </w:rPr>
        <w:t>51</w:t>
      </w:r>
      <w:r>
        <w:rPr>
          <w:rFonts w:ascii="Book Antiqua" w:eastAsia="Book Antiqua" w:hAnsi="Book Antiqua" w:cs="Book Antiqua"/>
        </w:rPr>
        <w:t>: 1202-1205 [PMID: 15239279]</w:t>
      </w:r>
    </w:p>
    <w:p w14:paraId="19199AC3" w14:textId="77777777" w:rsidR="00DE37B1"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Polkowski M</w:t>
      </w:r>
      <w:r>
        <w:rPr>
          <w:rFonts w:ascii="Book Antiqua" w:eastAsia="Book Antiqua" w:hAnsi="Book Antiqua" w:cs="Book Antiqua"/>
        </w:rPr>
        <w:t xml:space="preserve">, Palucki J, Butruk E. Transabdominal ultrasound for visualizing gastric submucosal tumors diagnosed by endosonography: can surveillance be simplified? </w:t>
      </w:r>
      <w:r>
        <w:rPr>
          <w:rFonts w:ascii="Book Antiqua" w:eastAsia="Book Antiqua" w:hAnsi="Book Antiqua" w:cs="Book Antiqua"/>
          <w:i/>
          <w:iCs/>
        </w:rPr>
        <w:t>Endoscopy</w:t>
      </w:r>
      <w:r>
        <w:rPr>
          <w:rFonts w:ascii="Book Antiqua" w:eastAsia="Book Antiqua" w:hAnsi="Book Antiqua" w:cs="Book Antiqua"/>
        </w:rPr>
        <w:t xml:space="preserve"> 2002; </w:t>
      </w:r>
      <w:r>
        <w:rPr>
          <w:rFonts w:ascii="Book Antiqua" w:eastAsia="Book Antiqua" w:hAnsi="Book Antiqua" w:cs="Book Antiqua"/>
          <w:b/>
          <w:bCs/>
        </w:rPr>
        <w:t>34</w:t>
      </w:r>
      <w:r>
        <w:rPr>
          <w:rFonts w:ascii="Book Antiqua" w:eastAsia="Book Antiqua" w:hAnsi="Book Antiqua" w:cs="Book Antiqua"/>
        </w:rPr>
        <w:t>: 979-983 [PMID: 12471542 DOI: 10.1055/s-2002-35839]</w:t>
      </w:r>
    </w:p>
    <w:p w14:paraId="0652E357" w14:textId="77777777" w:rsidR="00DE37B1" w:rsidRDefault="00000000">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Shen L</w:t>
      </w:r>
      <w:r>
        <w:rPr>
          <w:rFonts w:ascii="Book Antiqua" w:eastAsia="Book Antiqua" w:hAnsi="Book Antiqua" w:cs="Book Antiqua"/>
        </w:rPr>
        <w:t xml:space="preserve">, Zhou C, Liu L, Zhang L, Lu D, Cai J, Zhao L, Chu R, Zhou J, Zhang J. Application of oral contrast trans-abdominal ultrasonography for initial screening of gastric cancer in rural areas of China. </w:t>
      </w:r>
      <w:r>
        <w:rPr>
          <w:rFonts w:ascii="Book Antiqua" w:eastAsia="Book Antiqua" w:hAnsi="Book Antiqua" w:cs="Book Antiqua"/>
          <w:i/>
          <w:iCs/>
        </w:rPr>
        <w:t>Dig Liver Dis</w:t>
      </w:r>
      <w:r>
        <w:rPr>
          <w:rFonts w:ascii="Book Antiqua" w:eastAsia="Book Antiqua" w:hAnsi="Book Antiqua" w:cs="Book Antiqua"/>
        </w:rPr>
        <w:t xml:space="preserve"> 2017; </w:t>
      </w:r>
      <w:r>
        <w:rPr>
          <w:rFonts w:ascii="Book Antiqua" w:eastAsia="Book Antiqua" w:hAnsi="Book Antiqua" w:cs="Book Antiqua"/>
          <w:b/>
          <w:bCs/>
        </w:rPr>
        <w:t>49</w:t>
      </w:r>
      <w:r>
        <w:rPr>
          <w:rFonts w:ascii="Book Antiqua" w:eastAsia="Book Antiqua" w:hAnsi="Book Antiqua" w:cs="Book Antiqua"/>
        </w:rPr>
        <w:t>: 918-923 [PMID: 28487084 DOI: 10.1016/j.dld.2017.04.008]</w:t>
      </w:r>
    </w:p>
    <w:p w14:paraId="34E8326F" w14:textId="77777777" w:rsidR="00DE37B1" w:rsidRDefault="00000000">
      <w:pPr>
        <w:spacing w:line="360" w:lineRule="auto"/>
        <w:jc w:val="both"/>
      </w:pPr>
      <w:r>
        <w:rPr>
          <w:rFonts w:ascii="Book Antiqua" w:eastAsia="Book Antiqua" w:hAnsi="Book Antiqua" w:cs="Book Antiqua"/>
        </w:rPr>
        <w:lastRenderedPageBreak/>
        <w:t xml:space="preserve">22 </w:t>
      </w:r>
      <w:r>
        <w:rPr>
          <w:rFonts w:ascii="Book Antiqua" w:eastAsia="Book Antiqua" w:hAnsi="Book Antiqua" w:cs="Book Antiqua"/>
          <w:b/>
          <w:bCs/>
        </w:rPr>
        <w:t>Hyun JJ</w:t>
      </w:r>
      <w:r>
        <w:rPr>
          <w:rFonts w:ascii="Book Antiqua" w:eastAsia="Book Antiqua" w:hAnsi="Book Antiqua" w:cs="Book Antiqua"/>
        </w:rPr>
        <w:t xml:space="preserve">, Yeom SK, Shim E, Cha J, Choi I, Lee SH, Chung HH, Cha SH, Lee CH. Correlation Between Bile Reflux Gastritis and Biliary Excreted Contrast Media in the Stomach. </w:t>
      </w:r>
      <w:r>
        <w:rPr>
          <w:rFonts w:ascii="Book Antiqua" w:eastAsia="Book Antiqua" w:hAnsi="Book Antiqua" w:cs="Book Antiqua"/>
          <w:i/>
          <w:iCs/>
        </w:rPr>
        <w:t>J Comput Assist Tomogr</w:t>
      </w:r>
      <w:r>
        <w:rPr>
          <w:rFonts w:ascii="Book Antiqua" w:eastAsia="Book Antiqua" w:hAnsi="Book Antiqua" w:cs="Book Antiqua"/>
        </w:rPr>
        <w:t xml:space="preserve"> 2017; </w:t>
      </w:r>
      <w:r>
        <w:rPr>
          <w:rFonts w:ascii="Book Antiqua" w:eastAsia="Book Antiqua" w:hAnsi="Book Antiqua" w:cs="Book Antiqua"/>
          <w:b/>
          <w:bCs/>
        </w:rPr>
        <w:t>41</w:t>
      </w:r>
      <w:r>
        <w:rPr>
          <w:rFonts w:ascii="Book Antiqua" w:eastAsia="Book Antiqua" w:hAnsi="Book Antiqua" w:cs="Book Antiqua"/>
        </w:rPr>
        <w:t>: 696-701 [PMID: 28240637 DOI: 10.1097/RCT.0000000000000585]</w:t>
      </w:r>
    </w:p>
    <w:p w14:paraId="4AE39E25" w14:textId="77777777" w:rsidR="00DE37B1"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Zheng XZ</w:t>
      </w:r>
      <w:r>
        <w:rPr>
          <w:rFonts w:ascii="Book Antiqua" w:eastAsia="Book Antiqua" w:hAnsi="Book Antiqua" w:cs="Book Antiqua"/>
        </w:rPr>
        <w:t xml:space="preserve">, Zhang LJ, Wu XP, Lu WM, Wu J, Tan XY. Oral Contrast-Enhanced Gastric Ultrasonography in the Assessment of Gastric Lesions: A Large-Scale Multicenter Study. </w:t>
      </w:r>
      <w:r>
        <w:rPr>
          <w:rFonts w:ascii="Book Antiqua" w:eastAsia="Book Antiqua" w:hAnsi="Book Antiqua" w:cs="Book Antiqua"/>
          <w:i/>
          <w:iCs/>
        </w:rPr>
        <w:t>J Ultrasound Med</w:t>
      </w:r>
      <w:r>
        <w:rPr>
          <w:rFonts w:ascii="Book Antiqua" w:eastAsia="Book Antiqua" w:hAnsi="Book Antiqua" w:cs="Book Antiqua"/>
        </w:rPr>
        <w:t xml:space="preserve"> 2017; </w:t>
      </w:r>
      <w:r>
        <w:rPr>
          <w:rFonts w:ascii="Book Antiqua" w:eastAsia="Book Antiqua" w:hAnsi="Book Antiqua" w:cs="Book Antiqua"/>
          <w:b/>
          <w:bCs/>
        </w:rPr>
        <w:t>36</w:t>
      </w:r>
      <w:r>
        <w:rPr>
          <w:rFonts w:ascii="Book Antiqua" w:eastAsia="Book Antiqua" w:hAnsi="Book Antiqua" w:cs="Book Antiqua"/>
        </w:rPr>
        <w:t>: 37-47 [PMID: 27943376 DOI: 10.7863/ultra.16.01053]</w:t>
      </w:r>
    </w:p>
    <w:p w14:paraId="1936D8C5" w14:textId="77777777" w:rsidR="00DE37B1" w:rsidRDefault="0000000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Tiao MM</w:t>
      </w:r>
      <w:r>
        <w:rPr>
          <w:rFonts w:ascii="Book Antiqua" w:eastAsia="Book Antiqua" w:hAnsi="Book Antiqua" w:cs="Book Antiqua"/>
        </w:rPr>
        <w:t xml:space="preserve">, Ko SF, Hsieh CS, Ng SH, Liang CD, Sheen-Chen SM, Chuang JH, Huang HY. Antral web associated with distal antral hypertrophy and prepyloric stenosis mimicking hypertrophic pyloric stenosis. </w:t>
      </w:r>
      <w:r>
        <w:rPr>
          <w:rFonts w:ascii="Book Antiqua" w:eastAsia="Book Antiqua" w:hAnsi="Book Antiqua" w:cs="Book Antiqua"/>
          <w:i/>
          <w:iCs/>
        </w:rPr>
        <w:t>World J Gastroenterol</w:t>
      </w:r>
      <w:r>
        <w:rPr>
          <w:rFonts w:ascii="Book Antiqua" w:eastAsia="Book Antiqua" w:hAnsi="Book Antiqua" w:cs="Book Antiqua"/>
        </w:rPr>
        <w:t xml:space="preserve"> 2005; </w:t>
      </w:r>
      <w:r>
        <w:rPr>
          <w:rFonts w:ascii="Book Antiqua" w:eastAsia="Book Antiqua" w:hAnsi="Book Antiqua" w:cs="Book Antiqua"/>
          <w:b/>
          <w:bCs/>
        </w:rPr>
        <w:t>11</w:t>
      </w:r>
      <w:r>
        <w:rPr>
          <w:rFonts w:ascii="Book Antiqua" w:eastAsia="Book Antiqua" w:hAnsi="Book Antiqua" w:cs="Book Antiqua"/>
        </w:rPr>
        <w:t>: 609-611 [PMID: 15641157 DOI: 10.3748/wjg.v11.i4.609]</w:t>
      </w:r>
    </w:p>
    <w:p w14:paraId="6826C38C" w14:textId="77777777" w:rsidR="00DE37B1"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Eldredge TA</w:t>
      </w:r>
      <w:r>
        <w:rPr>
          <w:rFonts w:ascii="Book Antiqua" w:eastAsia="Book Antiqua" w:hAnsi="Book Antiqua" w:cs="Book Antiqua"/>
        </w:rPr>
        <w:t xml:space="preserve">, Myers JC, Kiroff GK, Shenfine J. Detecting Bile Reflux-the Enigma of Bariatric Surgery. </w:t>
      </w:r>
      <w:r>
        <w:rPr>
          <w:rFonts w:ascii="Book Antiqua" w:eastAsia="Book Antiqua" w:hAnsi="Book Antiqua" w:cs="Book Antiqua"/>
          <w:i/>
          <w:iCs/>
        </w:rPr>
        <w:t>Obes Surg</w:t>
      </w:r>
      <w:r>
        <w:rPr>
          <w:rFonts w:ascii="Book Antiqua" w:eastAsia="Book Antiqua" w:hAnsi="Book Antiqua" w:cs="Book Antiqua"/>
        </w:rPr>
        <w:t xml:space="preserve"> 2018; </w:t>
      </w:r>
      <w:r>
        <w:rPr>
          <w:rFonts w:ascii="Book Antiqua" w:eastAsia="Book Antiqua" w:hAnsi="Book Antiqua" w:cs="Book Antiqua"/>
          <w:b/>
          <w:bCs/>
        </w:rPr>
        <w:t>28</w:t>
      </w:r>
      <w:r>
        <w:rPr>
          <w:rFonts w:ascii="Book Antiqua" w:eastAsia="Book Antiqua" w:hAnsi="Book Antiqua" w:cs="Book Antiqua"/>
        </w:rPr>
        <w:t>: 559-566 [PMID: 29230622 DOI: 10.1007/s11695-017-3026-6]</w:t>
      </w:r>
    </w:p>
    <w:bookmarkEnd w:id="18"/>
    <w:bookmarkEnd w:id="19"/>
    <w:bookmarkEnd w:id="20"/>
    <w:p w14:paraId="3228C4BA" w14:textId="77777777" w:rsidR="00DE37B1" w:rsidRDefault="00DE37B1">
      <w:pPr>
        <w:spacing w:line="360" w:lineRule="auto"/>
        <w:jc w:val="both"/>
        <w:sectPr w:rsidR="00DE37B1" w:rsidSect="00CD411E">
          <w:pgSz w:w="12240" w:h="15840"/>
          <w:pgMar w:top="1440" w:right="1440" w:bottom="1440" w:left="1440" w:header="720" w:footer="720" w:gutter="0"/>
          <w:cols w:space="720"/>
          <w:docGrid w:linePitch="360"/>
        </w:sectPr>
      </w:pPr>
    </w:p>
    <w:p w14:paraId="610FD881" w14:textId="77777777" w:rsidR="00DE37B1" w:rsidRDefault="00000000">
      <w:pPr>
        <w:spacing w:line="360" w:lineRule="auto"/>
        <w:jc w:val="both"/>
      </w:pPr>
      <w:r>
        <w:rPr>
          <w:rFonts w:ascii="Book Antiqua" w:eastAsia="Book Antiqua" w:hAnsi="Book Antiqua" w:cs="Book Antiqua"/>
          <w:b/>
          <w:color w:val="000000"/>
        </w:rPr>
        <w:lastRenderedPageBreak/>
        <w:t>Footnotes</w:t>
      </w:r>
    </w:p>
    <w:p w14:paraId="37F1AAE6" w14:textId="77777777" w:rsidR="00DE37B1" w:rsidRDefault="00000000">
      <w:pPr>
        <w:spacing w:line="360" w:lineRule="auto"/>
        <w:jc w:val="both"/>
      </w:pPr>
      <w:r>
        <w:rPr>
          <w:rFonts w:ascii="Book Antiqua" w:eastAsia="Book Antiqua" w:hAnsi="Book Antiqua" w:cs="Book Antiqua"/>
          <w:b/>
          <w:bCs/>
        </w:rPr>
        <w:t xml:space="preserve">Institutional review board statement: </w:t>
      </w:r>
      <w:r>
        <w:rPr>
          <w:rFonts w:ascii="Book Antiqua" w:eastAsia="Book Antiqua" w:hAnsi="Book Antiqua" w:cs="Book Antiqua"/>
        </w:rPr>
        <w:t>The study was reviewed and approved by the Beijing Hospital Institutional Review Board.</w:t>
      </w:r>
    </w:p>
    <w:p w14:paraId="4D3611D2" w14:textId="77777777" w:rsidR="00DE37B1" w:rsidRDefault="00DE37B1">
      <w:pPr>
        <w:spacing w:line="360" w:lineRule="auto"/>
        <w:jc w:val="both"/>
      </w:pPr>
    </w:p>
    <w:p w14:paraId="2E567E15" w14:textId="77777777" w:rsidR="00DE37B1" w:rsidRDefault="00000000">
      <w:pPr>
        <w:spacing w:line="360" w:lineRule="auto"/>
        <w:jc w:val="both"/>
      </w:pPr>
      <w:r>
        <w:rPr>
          <w:rFonts w:ascii="Book Antiqua" w:eastAsia="Book Antiqua" w:hAnsi="Book Antiqua" w:cs="Book Antiqua"/>
          <w:b/>
          <w:bCs/>
        </w:rPr>
        <w:t xml:space="preserve">Informed consent statement: </w:t>
      </w:r>
      <w:r>
        <w:rPr>
          <w:rFonts w:ascii="Book Antiqua" w:eastAsia="Book Antiqua" w:hAnsi="Book Antiqua" w:cs="Book Antiqua"/>
        </w:rPr>
        <w:t>All study participants, or their legal guardian, provided informed written consent prior to study enrollment.</w:t>
      </w:r>
    </w:p>
    <w:p w14:paraId="472FA878" w14:textId="77777777" w:rsidR="00DE37B1" w:rsidRDefault="00DE37B1">
      <w:pPr>
        <w:spacing w:line="360" w:lineRule="auto"/>
        <w:jc w:val="both"/>
      </w:pPr>
    </w:p>
    <w:p w14:paraId="0A5EF051" w14:textId="77777777" w:rsidR="00DE37B1"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There is no conflict of interest</w:t>
      </w:r>
      <w:r>
        <w:rPr>
          <w:rFonts w:ascii="Book Antiqua" w:eastAsia="宋体" w:hAnsi="Book Antiqua" w:cs="Book Antiqua" w:hint="eastAsia"/>
          <w:lang w:eastAsia="zh-CN"/>
        </w:rPr>
        <w:t xml:space="preserve"> to disclose</w:t>
      </w:r>
      <w:r>
        <w:rPr>
          <w:rFonts w:ascii="Book Antiqua" w:eastAsia="Book Antiqua" w:hAnsi="Book Antiqua" w:cs="Book Antiqua"/>
        </w:rPr>
        <w:t>.</w:t>
      </w:r>
    </w:p>
    <w:p w14:paraId="77361C67" w14:textId="77777777" w:rsidR="00DE37B1" w:rsidRDefault="00DE37B1">
      <w:pPr>
        <w:spacing w:line="360" w:lineRule="auto"/>
        <w:jc w:val="both"/>
      </w:pPr>
    </w:p>
    <w:p w14:paraId="71EC9878" w14:textId="77777777" w:rsidR="00DE37B1" w:rsidRDefault="00000000">
      <w:pPr>
        <w:spacing w:line="360" w:lineRule="auto"/>
        <w:jc w:val="both"/>
      </w:pPr>
      <w:r>
        <w:rPr>
          <w:rFonts w:ascii="Book Antiqua" w:eastAsia="Book Antiqua" w:hAnsi="Book Antiqua" w:cs="Book Antiqua"/>
          <w:b/>
          <w:bCs/>
        </w:rPr>
        <w:t xml:space="preserve">Data sharing statement: </w:t>
      </w:r>
      <w:r>
        <w:rPr>
          <w:rFonts w:ascii="Book Antiqua" w:eastAsia="Book Antiqua" w:hAnsi="Book Antiqua" w:cs="Book Antiqua"/>
        </w:rPr>
        <w:t>No additional data are available.</w:t>
      </w:r>
    </w:p>
    <w:p w14:paraId="1CA239F1" w14:textId="77777777" w:rsidR="00DE37B1" w:rsidRDefault="00DE37B1">
      <w:pPr>
        <w:spacing w:line="360" w:lineRule="auto"/>
        <w:jc w:val="both"/>
      </w:pPr>
    </w:p>
    <w:p w14:paraId="1695A041" w14:textId="77777777" w:rsidR="00DE37B1"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5319EF4" w14:textId="77777777" w:rsidR="00DE37B1" w:rsidRDefault="00DE37B1">
      <w:pPr>
        <w:spacing w:line="360" w:lineRule="auto"/>
        <w:jc w:val="both"/>
      </w:pPr>
    </w:p>
    <w:p w14:paraId="5BABB91A" w14:textId="77777777" w:rsidR="00DE37B1"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65E8F8B4" w14:textId="77777777" w:rsidR="00DE37B1"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3599FE90" w14:textId="77777777" w:rsidR="00DE37B1" w:rsidRDefault="00DE37B1">
      <w:pPr>
        <w:spacing w:line="360" w:lineRule="auto"/>
        <w:jc w:val="both"/>
      </w:pPr>
    </w:p>
    <w:p w14:paraId="6FC7A6BD" w14:textId="77777777" w:rsidR="00DE37B1"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September 14, 2023</w:t>
      </w:r>
    </w:p>
    <w:p w14:paraId="595484FD" w14:textId="77777777" w:rsidR="00DE37B1"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October 8, 2023</w:t>
      </w:r>
    </w:p>
    <w:p w14:paraId="1A7EC025" w14:textId="43DB48D7" w:rsidR="00DE37B1" w:rsidRDefault="00000000">
      <w:pPr>
        <w:spacing w:line="360" w:lineRule="auto"/>
        <w:jc w:val="both"/>
      </w:pPr>
      <w:r>
        <w:rPr>
          <w:rFonts w:ascii="Book Antiqua" w:eastAsia="Book Antiqua" w:hAnsi="Book Antiqua" w:cs="Book Antiqua"/>
          <w:b/>
          <w:color w:val="000000"/>
        </w:rPr>
        <w:t xml:space="preserve">Article in press: </w:t>
      </w:r>
      <w:r w:rsidR="005B483E">
        <w:rPr>
          <w:rFonts w:ascii="Book Antiqua" w:eastAsia="Book Antiqua" w:hAnsi="Book Antiqua" w:cs="Book Antiqua"/>
        </w:rPr>
        <w:t>November 1</w:t>
      </w:r>
      <w:r w:rsidR="007710D3">
        <w:rPr>
          <w:rFonts w:ascii="Book Antiqua" w:eastAsia="Book Antiqua" w:hAnsi="Book Antiqua" w:cs="Book Antiqua"/>
        </w:rPr>
        <w:t>5</w:t>
      </w:r>
      <w:r w:rsidR="005B483E">
        <w:rPr>
          <w:rFonts w:ascii="Book Antiqua" w:eastAsia="Book Antiqua" w:hAnsi="Book Antiqua" w:cs="Book Antiqua"/>
        </w:rPr>
        <w:t>, 2023</w:t>
      </w:r>
    </w:p>
    <w:p w14:paraId="0B9E03F1" w14:textId="77777777" w:rsidR="00DE37B1" w:rsidRDefault="00DE37B1">
      <w:pPr>
        <w:spacing w:line="360" w:lineRule="auto"/>
        <w:jc w:val="both"/>
      </w:pPr>
    </w:p>
    <w:p w14:paraId="4809E661" w14:textId="4CACA96A" w:rsidR="00DE37B1"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Gastroenterology </w:t>
      </w:r>
      <w:r w:rsidR="00FA753A">
        <w:rPr>
          <w:rFonts w:ascii="Book Antiqua" w:eastAsia="Book Antiqua" w:hAnsi="Book Antiqua" w:cs="Book Antiqua"/>
        </w:rPr>
        <w:t>and</w:t>
      </w:r>
      <w:r>
        <w:rPr>
          <w:rFonts w:ascii="Book Antiqua" w:eastAsia="Book Antiqua" w:hAnsi="Book Antiqua" w:cs="Book Antiqua"/>
        </w:rPr>
        <w:t xml:space="preserve"> </w:t>
      </w:r>
      <w:r>
        <w:rPr>
          <w:rFonts w:ascii="Book Antiqua" w:eastAsia="Book Antiqua" w:hAnsi="Book Antiqua" w:cs="Book Antiqua" w:hint="eastAsia"/>
          <w:lang w:eastAsia="zh-CN"/>
        </w:rPr>
        <w:t>h</w:t>
      </w:r>
      <w:r>
        <w:rPr>
          <w:rFonts w:ascii="Book Antiqua" w:eastAsia="Book Antiqua" w:hAnsi="Book Antiqua" w:cs="Book Antiqua"/>
        </w:rPr>
        <w:t>epatology</w:t>
      </w:r>
    </w:p>
    <w:p w14:paraId="3ED7E90F" w14:textId="77777777" w:rsidR="00DE37B1"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7C14CBC6" w14:textId="77777777" w:rsidR="00DE37B1" w:rsidRDefault="00000000">
      <w:pPr>
        <w:spacing w:line="360" w:lineRule="auto"/>
        <w:jc w:val="both"/>
      </w:pPr>
      <w:r>
        <w:rPr>
          <w:rFonts w:ascii="Book Antiqua" w:eastAsia="Book Antiqua" w:hAnsi="Book Antiqua" w:cs="Book Antiqua"/>
          <w:b/>
          <w:color w:val="000000"/>
        </w:rPr>
        <w:t>Peer-review report’s scientific quality classification</w:t>
      </w:r>
    </w:p>
    <w:p w14:paraId="44DA5747" w14:textId="77777777" w:rsidR="00DE37B1" w:rsidRDefault="00000000">
      <w:pPr>
        <w:spacing w:line="360" w:lineRule="auto"/>
        <w:jc w:val="both"/>
      </w:pPr>
      <w:r>
        <w:rPr>
          <w:rFonts w:ascii="Book Antiqua" w:eastAsia="Book Antiqua" w:hAnsi="Book Antiqua" w:cs="Book Antiqua"/>
        </w:rPr>
        <w:t>Grade A (Excellent): 0</w:t>
      </w:r>
    </w:p>
    <w:p w14:paraId="07530B73" w14:textId="77777777" w:rsidR="00DE37B1" w:rsidRDefault="00000000">
      <w:pPr>
        <w:spacing w:line="360" w:lineRule="auto"/>
        <w:jc w:val="both"/>
      </w:pPr>
      <w:r>
        <w:rPr>
          <w:rFonts w:ascii="Book Antiqua" w:eastAsia="Book Antiqua" w:hAnsi="Book Antiqua" w:cs="Book Antiqua"/>
        </w:rPr>
        <w:lastRenderedPageBreak/>
        <w:t>Grade B (Very good): B, B</w:t>
      </w:r>
    </w:p>
    <w:p w14:paraId="17EAE74A" w14:textId="77777777" w:rsidR="00DE37B1" w:rsidRDefault="00000000">
      <w:pPr>
        <w:spacing w:line="360" w:lineRule="auto"/>
        <w:jc w:val="both"/>
      </w:pPr>
      <w:r>
        <w:rPr>
          <w:rFonts w:ascii="Book Antiqua" w:eastAsia="Book Antiqua" w:hAnsi="Book Antiqua" w:cs="Book Antiqua"/>
        </w:rPr>
        <w:t>Grade C (Good): 0</w:t>
      </w:r>
    </w:p>
    <w:p w14:paraId="29B7B150" w14:textId="77777777" w:rsidR="00DE37B1" w:rsidRDefault="00000000">
      <w:pPr>
        <w:spacing w:line="360" w:lineRule="auto"/>
        <w:jc w:val="both"/>
      </w:pPr>
      <w:r>
        <w:rPr>
          <w:rFonts w:ascii="Book Antiqua" w:eastAsia="Book Antiqua" w:hAnsi="Book Antiqua" w:cs="Book Antiqua"/>
        </w:rPr>
        <w:t>Grade D (Fair): 0</w:t>
      </w:r>
    </w:p>
    <w:p w14:paraId="071A2315" w14:textId="77777777" w:rsidR="00DE37B1" w:rsidRDefault="00000000">
      <w:pPr>
        <w:spacing w:line="360" w:lineRule="auto"/>
        <w:jc w:val="both"/>
      </w:pPr>
      <w:r>
        <w:rPr>
          <w:rFonts w:ascii="Book Antiqua" w:eastAsia="Book Antiqua" w:hAnsi="Book Antiqua" w:cs="Book Antiqua"/>
        </w:rPr>
        <w:t>Grade E (Poor): 0</w:t>
      </w:r>
    </w:p>
    <w:p w14:paraId="10C08804" w14:textId="77777777" w:rsidR="00DE37B1" w:rsidRDefault="00DE37B1">
      <w:pPr>
        <w:spacing w:line="360" w:lineRule="auto"/>
        <w:jc w:val="both"/>
      </w:pPr>
    </w:p>
    <w:p w14:paraId="7472D9AC" w14:textId="55CD9769" w:rsidR="00DE37B1" w:rsidRPr="00C413AA" w:rsidRDefault="00000000">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Seide SE, Germany; Siargkas A, United Kingdom</w:t>
      </w:r>
      <w:r>
        <w:rPr>
          <w:rFonts w:ascii="Book Antiqua" w:eastAsia="Book Antiqua" w:hAnsi="Book Antiqua" w:cs="Book Antiqua"/>
          <w:b/>
          <w:color w:val="000000"/>
        </w:rPr>
        <w:t xml:space="preserve"> S-Editor: </w:t>
      </w:r>
      <w:r>
        <w:rPr>
          <w:rFonts w:ascii="Book Antiqua" w:eastAsia="Book Antiqua" w:hAnsi="Book Antiqua" w:cs="Book Antiqua" w:hint="eastAsia"/>
          <w:bCs/>
          <w:color w:val="000000"/>
          <w:lang w:eastAsia="zh-CN"/>
        </w:rPr>
        <w:t>Yan</w:t>
      </w:r>
      <w:r>
        <w:rPr>
          <w:rFonts w:ascii="Book Antiqua" w:eastAsia="Book Antiqua" w:hAnsi="Book Antiqua" w:cs="Book Antiqua"/>
          <w:bCs/>
          <w:color w:val="000000"/>
          <w:lang w:eastAsia="zh-CN"/>
        </w:rPr>
        <w:t xml:space="preserve"> JP</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Wang TQ</w:t>
      </w:r>
      <w:r>
        <w:rPr>
          <w:rFonts w:ascii="Book Antiqua" w:eastAsia="Book Antiqua" w:hAnsi="Book Antiqua" w:cs="Book Antiqua"/>
          <w:b/>
          <w:color w:val="000000"/>
        </w:rPr>
        <w:t xml:space="preserve"> P-Editor:</w:t>
      </w:r>
      <w:r w:rsidRPr="00C413AA">
        <w:rPr>
          <w:rFonts w:ascii="Book Antiqua" w:eastAsia="Book Antiqua" w:hAnsi="Book Antiqua" w:cs="Book Antiqua"/>
          <w:bCs/>
          <w:color w:val="000000"/>
        </w:rPr>
        <w:t xml:space="preserve"> </w:t>
      </w:r>
      <w:r w:rsidR="00C413AA" w:rsidRPr="00C413AA">
        <w:rPr>
          <w:rFonts w:ascii="Book Antiqua" w:eastAsia="Book Antiqua" w:hAnsi="Book Antiqua" w:cs="Book Antiqua"/>
          <w:bCs/>
          <w:color w:val="000000"/>
        </w:rPr>
        <w:t>Zhao S</w:t>
      </w:r>
    </w:p>
    <w:p w14:paraId="452EBB73" w14:textId="7DF8208F" w:rsidR="00C413AA" w:rsidRDefault="00C413AA">
      <w:pPr>
        <w:spacing w:line="360" w:lineRule="auto"/>
        <w:jc w:val="both"/>
        <w:sectPr w:rsidR="00C413AA" w:rsidSect="00CD411E">
          <w:pgSz w:w="12240" w:h="15840"/>
          <w:pgMar w:top="1440" w:right="1440" w:bottom="1440" w:left="1440" w:header="720" w:footer="720" w:gutter="0"/>
          <w:cols w:space="720"/>
          <w:docGrid w:linePitch="360"/>
        </w:sectPr>
      </w:pPr>
    </w:p>
    <w:p w14:paraId="2CD9F4E2" w14:textId="77777777" w:rsidR="00DE37B1"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0944E3B" w14:textId="18456AA4" w:rsidR="00DE37B1" w:rsidRDefault="00F628C8">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rPr>
        <w:drawing>
          <wp:inline distT="0" distB="0" distL="0" distR="0" wp14:anchorId="3A18E53A" wp14:editId="770830B4">
            <wp:extent cx="2717800" cy="2324100"/>
            <wp:effectExtent l="0" t="0" r="0" b="0"/>
            <wp:docPr id="1346236874" name="图片 1" descr="图片包含 图形用户界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236874" name="图片 1" descr="图片包含 图形用户界面&#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7800" cy="2324100"/>
                    </a:xfrm>
                    <a:prstGeom prst="rect">
                      <a:avLst/>
                    </a:prstGeom>
                  </pic:spPr>
                </pic:pic>
              </a:graphicData>
            </a:graphic>
          </wp:inline>
        </w:drawing>
      </w:r>
    </w:p>
    <w:p w14:paraId="1489F5E4" w14:textId="330618B8" w:rsidR="00DE37B1" w:rsidRDefault="00000000">
      <w:pPr>
        <w:spacing w:line="360" w:lineRule="auto"/>
        <w:jc w:val="both"/>
        <w:rPr>
          <w:rFonts w:ascii="Book Antiqua" w:eastAsia="Book Antiqua" w:hAnsi="Book Antiqua" w:cs="Book Antiqua"/>
          <w:b/>
          <w:bCs/>
          <w:color w:val="000000"/>
          <w:szCs w:val="36"/>
        </w:rPr>
      </w:pPr>
      <w:r>
        <w:rPr>
          <w:rFonts w:ascii="Book Antiqua" w:eastAsia="Book Antiqua" w:hAnsi="Book Antiqua" w:cs="Book Antiqua"/>
          <w:b/>
          <w:bCs/>
          <w:color w:val="000000"/>
          <w:szCs w:val="36"/>
        </w:rPr>
        <w:t xml:space="preserve">Figure 1 Oral contrast-enhanced ultrasonography showed localized thickening of </w:t>
      </w:r>
      <w:r>
        <w:rPr>
          <w:rFonts w:ascii="Book Antiqua" w:eastAsia="宋体" w:hAnsi="Book Antiqua" w:cs="Book Antiqua" w:hint="eastAsia"/>
          <w:b/>
          <w:bCs/>
          <w:color w:val="000000"/>
          <w:szCs w:val="36"/>
          <w:lang w:eastAsia="zh-CN"/>
        </w:rPr>
        <w:t xml:space="preserve">the </w:t>
      </w:r>
      <w:r>
        <w:rPr>
          <w:rFonts w:ascii="Book Antiqua" w:eastAsia="Book Antiqua" w:hAnsi="Book Antiqua" w:cs="Book Antiqua"/>
          <w:b/>
          <w:bCs/>
          <w:color w:val="000000"/>
          <w:szCs w:val="36"/>
        </w:rPr>
        <w:t xml:space="preserve">gastric wall at the greater curvature that </w:t>
      </w:r>
      <w:r>
        <w:rPr>
          <w:rFonts w:ascii="Book Antiqua" w:eastAsia="宋体" w:hAnsi="Book Antiqua" w:cs="Book Antiqua" w:hint="eastAsia"/>
          <w:b/>
          <w:bCs/>
          <w:color w:val="000000"/>
          <w:szCs w:val="36"/>
          <w:lang w:eastAsia="zh-CN"/>
        </w:rPr>
        <w:t xml:space="preserve">suggested a </w:t>
      </w:r>
      <w:r>
        <w:rPr>
          <w:rFonts w:ascii="Book Antiqua" w:eastAsia="Book Antiqua" w:hAnsi="Book Antiqua" w:cs="Book Antiqua"/>
          <w:b/>
          <w:bCs/>
          <w:color w:val="000000"/>
          <w:szCs w:val="36"/>
        </w:rPr>
        <w:t>diagnosis of gastric cancer, which was proven by postoperative pathological examination.</w:t>
      </w:r>
    </w:p>
    <w:p w14:paraId="0BAAF81C" w14:textId="77777777" w:rsidR="00DE37B1" w:rsidRDefault="00DE37B1">
      <w:pPr>
        <w:spacing w:line="360" w:lineRule="auto"/>
        <w:jc w:val="both"/>
        <w:rPr>
          <w:rFonts w:ascii="Book Antiqua" w:eastAsia="Book Antiqua" w:hAnsi="Book Antiqua" w:cs="Book Antiqua"/>
          <w:b/>
          <w:bCs/>
          <w:color w:val="000000"/>
          <w:szCs w:val="36"/>
        </w:rPr>
      </w:pPr>
    </w:p>
    <w:p w14:paraId="38FCFA34" w14:textId="77777777" w:rsidR="00DE37B1" w:rsidRDefault="00DE37B1">
      <w:pPr>
        <w:spacing w:line="360" w:lineRule="auto"/>
        <w:jc w:val="both"/>
        <w:sectPr w:rsidR="00DE37B1" w:rsidSect="00CD411E">
          <w:pgSz w:w="12240" w:h="15840"/>
          <w:pgMar w:top="1440" w:right="1440" w:bottom="1440" w:left="1440" w:header="720" w:footer="720" w:gutter="0"/>
          <w:cols w:space="720"/>
          <w:docGrid w:linePitch="360"/>
        </w:sectPr>
      </w:pPr>
    </w:p>
    <w:p w14:paraId="5C1760ED" w14:textId="41948A36" w:rsidR="00DE37B1" w:rsidRDefault="00F628C8">
      <w:pPr>
        <w:spacing w:line="360" w:lineRule="auto"/>
        <w:jc w:val="both"/>
      </w:pPr>
      <w:r>
        <w:rPr>
          <w:noProof/>
        </w:rPr>
        <w:lastRenderedPageBreak/>
        <w:drawing>
          <wp:inline distT="0" distB="0" distL="0" distR="0" wp14:anchorId="7A872343" wp14:editId="221E1494">
            <wp:extent cx="5943600" cy="1830705"/>
            <wp:effectExtent l="0" t="0" r="0" b="0"/>
            <wp:docPr id="1669582240" name="图片 2" descr="图片包含 游戏机, 猫&#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9582240" name="图片 2" descr="图片包含 游戏机, 猫&#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830705"/>
                    </a:xfrm>
                    <a:prstGeom prst="rect">
                      <a:avLst/>
                    </a:prstGeom>
                  </pic:spPr>
                </pic:pic>
              </a:graphicData>
            </a:graphic>
          </wp:inline>
        </w:drawing>
      </w:r>
    </w:p>
    <w:p w14:paraId="07EE3B3E" w14:textId="6CE9C713" w:rsidR="00DE37B1" w:rsidRDefault="00000000">
      <w:pPr>
        <w:spacing w:line="360" w:lineRule="auto"/>
        <w:jc w:val="both"/>
        <w:rPr>
          <w:rFonts w:ascii="Book Antiqua" w:eastAsia="Book Antiqua" w:hAnsi="Book Antiqua" w:cs="Book Antiqua"/>
          <w:color w:val="000000"/>
          <w:szCs w:val="36"/>
        </w:rPr>
      </w:pPr>
      <w:r>
        <w:rPr>
          <w:rFonts w:ascii="Book Antiqua" w:eastAsia="Book Antiqua" w:hAnsi="Book Antiqua" w:cs="Book Antiqua"/>
          <w:b/>
          <w:bCs/>
          <w:color w:val="000000"/>
          <w:szCs w:val="36"/>
        </w:rPr>
        <w:t xml:space="preserve">Figure 2 </w:t>
      </w:r>
      <w:r>
        <w:rPr>
          <w:rFonts w:ascii="Book Antiqua" w:eastAsia="宋体" w:hAnsi="Book Antiqua" w:cs="Book Antiqua" w:hint="eastAsia"/>
          <w:b/>
          <w:bCs/>
          <w:color w:val="000000"/>
          <w:szCs w:val="36"/>
          <w:lang w:eastAsia="zh-CN"/>
        </w:rPr>
        <w:t>In a</w:t>
      </w:r>
      <w:r>
        <w:rPr>
          <w:rFonts w:ascii="Book Antiqua" w:eastAsia="Book Antiqua" w:hAnsi="Book Antiqua" w:cs="Book Antiqua"/>
          <w:b/>
          <w:bCs/>
          <w:color w:val="000000"/>
          <w:szCs w:val="36"/>
        </w:rPr>
        <w:t xml:space="preserve"> solid mass at </w:t>
      </w:r>
      <w:r>
        <w:rPr>
          <w:rFonts w:ascii="Book Antiqua" w:eastAsia="宋体" w:hAnsi="Book Antiqua" w:cs="Book Antiqua" w:hint="eastAsia"/>
          <w:b/>
          <w:bCs/>
          <w:color w:val="000000"/>
          <w:szCs w:val="36"/>
          <w:lang w:eastAsia="zh-CN"/>
        </w:rPr>
        <w:t xml:space="preserve">the </w:t>
      </w:r>
      <w:r>
        <w:rPr>
          <w:rFonts w:ascii="Book Antiqua" w:eastAsia="Book Antiqua" w:hAnsi="Book Antiqua" w:cs="Book Antiqua"/>
          <w:b/>
          <w:bCs/>
          <w:color w:val="000000"/>
          <w:szCs w:val="36"/>
        </w:rPr>
        <w:t>lesser curvature originat</w:t>
      </w:r>
      <w:r>
        <w:rPr>
          <w:rFonts w:ascii="Book Antiqua" w:eastAsia="宋体" w:hAnsi="Book Antiqua" w:cs="Book Antiqua" w:hint="eastAsia"/>
          <w:b/>
          <w:bCs/>
          <w:color w:val="000000"/>
          <w:szCs w:val="36"/>
          <w:lang w:eastAsia="zh-CN"/>
        </w:rPr>
        <w:t>ing</w:t>
      </w:r>
      <w:r>
        <w:rPr>
          <w:rFonts w:ascii="Book Antiqua" w:eastAsia="Book Antiqua" w:hAnsi="Book Antiqua" w:cs="Book Antiqua"/>
          <w:b/>
          <w:bCs/>
          <w:color w:val="000000"/>
          <w:szCs w:val="36"/>
        </w:rPr>
        <w:t xml:space="preserve"> from the muscularis propria, oral contrast-enhanced ultrasonography indicated gastric stromal tumor, which was proven by postoperative pathological examination.</w:t>
      </w:r>
      <w:r>
        <w:rPr>
          <w:rFonts w:ascii="Book Antiqua" w:eastAsia="Book Antiqua" w:hAnsi="Book Antiqua" w:cs="Book Antiqua"/>
          <w:b/>
          <w:bCs/>
          <w:color w:val="000000"/>
          <w:szCs w:val="48"/>
        </w:rPr>
        <w:t xml:space="preserve"> </w:t>
      </w:r>
      <w:r>
        <w:rPr>
          <w:rFonts w:ascii="Book Antiqua" w:eastAsia="Book Antiqua" w:hAnsi="Book Antiqua" w:cs="Book Antiqua"/>
          <w:color w:val="000000"/>
          <w:szCs w:val="48"/>
        </w:rPr>
        <w:t xml:space="preserve">A: </w:t>
      </w:r>
      <w:r>
        <w:rPr>
          <w:rFonts w:ascii="Book Antiqua" w:eastAsia="Book Antiqua" w:hAnsi="Book Antiqua" w:cs="Book Antiqua"/>
          <w:color w:val="000000"/>
          <w:szCs w:val="36"/>
        </w:rPr>
        <w:t>Oral contrast-enhanced ultrasonography; B: Endoscopy image; C: Pathological examination.</w:t>
      </w:r>
    </w:p>
    <w:p w14:paraId="59637684" w14:textId="77777777" w:rsidR="00DE37B1" w:rsidRDefault="00DE37B1">
      <w:pPr>
        <w:spacing w:line="360" w:lineRule="auto"/>
        <w:jc w:val="both"/>
        <w:rPr>
          <w:rFonts w:ascii="Book Antiqua" w:eastAsia="Book Antiqua" w:hAnsi="Book Antiqua" w:cs="Book Antiqua"/>
          <w:color w:val="000000"/>
          <w:szCs w:val="36"/>
        </w:rPr>
      </w:pPr>
    </w:p>
    <w:p w14:paraId="57C67A3F" w14:textId="77777777" w:rsidR="00DE37B1" w:rsidRDefault="00DE37B1">
      <w:pPr>
        <w:spacing w:line="360" w:lineRule="auto"/>
        <w:jc w:val="both"/>
        <w:sectPr w:rsidR="00DE37B1" w:rsidSect="00CD411E">
          <w:pgSz w:w="12240" w:h="15840"/>
          <w:pgMar w:top="1440" w:right="1440" w:bottom="1440" w:left="1440" w:header="720" w:footer="720" w:gutter="0"/>
          <w:cols w:space="720"/>
          <w:docGrid w:linePitch="360"/>
        </w:sectPr>
      </w:pPr>
    </w:p>
    <w:p w14:paraId="744CA9FC" w14:textId="77777777" w:rsidR="00DE37B1" w:rsidRDefault="00000000">
      <w:pPr>
        <w:pStyle w:val="1"/>
        <w:framePr w:wrap="auto" w:yAlign="inline"/>
        <w:spacing w:line="360" w:lineRule="auto"/>
        <w:rPr>
          <w:rFonts w:ascii="Book Antiqua" w:hAnsi="Book Antiqua"/>
          <w:b/>
          <w:bCs/>
          <w:sz w:val="24"/>
          <w:szCs w:val="24"/>
        </w:rPr>
      </w:pPr>
      <w:bookmarkStart w:id="21" w:name="OLE_LINK7538"/>
      <w:bookmarkStart w:id="22" w:name="OLE_LINK7537"/>
      <w:r>
        <w:rPr>
          <w:rFonts w:ascii="Book Antiqua" w:hAnsi="Book Antiqua"/>
          <w:b/>
          <w:bCs/>
          <w:sz w:val="24"/>
          <w:szCs w:val="24"/>
        </w:rPr>
        <w:lastRenderedPageBreak/>
        <w:t>Table 1 Comparison of T staging results between oral contrast-enhanced ultrasonography and pathological findings</w:t>
      </w:r>
    </w:p>
    <w:tbl>
      <w:tblPr>
        <w:tblW w:w="7698" w:type="dxa"/>
        <w:shd w:val="clear" w:color="000000" w:fill="auto"/>
        <w:tblLook w:val="04A0" w:firstRow="1" w:lastRow="0" w:firstColumn="1" w:lastColumn="0" w:noHBand="0" w:noVBand="1"/>
      </w:tblPr>
      <w:tblGrid>
        <w:gridCol w:w="1866"/>
        <w:gridCol w:w="1453"/>
        <w:gridCol w:w="1458"/>
        <w:gridCol w:w="1455"/>
        <w:gridCol w:w="1466"/>
      </w:tblGrid>
      <w:tr w:rsidR="00DE37B1" w14:paraId="4DAA6AC0" w14:textId="77777777">
        <w:trPr>
          <w:trHeight w:val="713"/>
        </w:trPr>
        <w:tc>
          <w:tcPr>
            <w:tcW w:w="1866" w:type="dxa"/>
            <w:tcBorders>
              <w:top w:val="single" w:sz="8" w:space="0" w:color="000000"/>
              <w:bottom w:val="single" w:sz="8" w:space="0" w:color="000000"/>
            </w:tcBorders>
            <w:shd w:val="clear" w:color="000000" w:fill="auto"/>
            <w:vAlign w:val="center"/>
          </w:tcPr>
          <w:p w14:paraId="3C22265A" w14:textId="77777777" w:rsidR="00DE37B1" w:rsidRDefault="00000000">
            <w:pPr>
              <w:spacing w:line="360" w:lineRule="auto"/>
              <w:jc w:val="both"/>
              <w:rPr>
                <w:rFonts w:ascii="Book Antiqua" w:eastAsia="DengXian" w:hAnsi="Book Antiqua" w:cs="宋体"/>
                <w:b/>
                <w:bCs/>
                <w:color w:val="000000"/>
                <w:lang w:eastAsia="zh-CN"/>
              </w:rPr>
            </w:pPr>
            <w:r>
              <w:rPr>
                <w:rFonts w:ascii="Book Antiqua" w:eastAsia="DengXian" w:hAnsi="Book Antiqua" w:cs="宋体"/>
                <w:b/>
                <w:bCs/>
                <w:color w:val="000000"/>
                <w:lang w:eastAsia="zh-CN"/>
              </w:rPr>
              <w:t>Pathological staging</w:t>
            </w:r>
          </w:p>
        </w:tc>
        <w:tc>
          <w:tcPr>
            <w:tcW w:w="1453" w:type="dxa"/>
            <w:tcBorders>
              <w:top w:val="single" w:sz="8" w:space="0" w:color="000000"/>
              <w:bottom w:val="single" w:sz="8" w:space="0" w:color="000000"/>
            </w:tcBorders>
            <w:shd w:val="clear" w:color="000000" w:fill="auto"/>
            <w:vAlign w:val="center"/>
          </w:tcPr>
          <w:p w14:paraId="052623A4" w14:textId="77777777" w:rsidR="00DE37B1" w:rsidRDefault="00000000">
            <w:pPr>
              <w:spacing w:line="360" w:lineRule="auto"/>
              <w:jc w:val="both"/>
              <w:rPr>
                <w:rFonts w:ascii="Book Antiqua" w:eastAsia="DengXian" w:hAnsi="Book Antiqua" w:cs="宋体"/>
                <w:b/>
                <w:bCs/>
                <w:i/>
                <w:iCs/>
                <w:color w:val="000000"/>
                <w:lang w:eastAsia="zh-CN"/>
              </w:rPr>
            </w:pPr>
            <w:r>
              <w:rPr>
                <w:rFonts w:ascii="Book Antiqua" w:eastAsia="DengXian" w:hAnsi="Book Antiqua" w:cs="宋体"/>
                <w:b/>
                <w:bCs/>
                <w:i/>
                <w:iCs/>
                <w:color w:val="000000"/>
                <w:lang w:eastAsia="zh-CN"/>
              </w:rPr>
              <w:t>n</w:t>
            </w:r>
          </w:p>
        </w:tc>
        <w:tc>
          <w:tcPr>
            <w:tcW w:w="4379" w:type="dxa"/>
            <w:gridSpan w:val="3"/>
            <w:tcBorders>
              <w:top w:val="single" w:sz="8" w:space="0" w:color="000000"/>
              <w:bottom w:val="single" w:sz="8" w:space="0" w:color="000000"/>
            </w:tcBorders>
            <w:shd w:val="clear" w:color="000000" w:fill="auto"/>
            <w:vAlign w:val="center"/>
          </w:tcPr>
          <w:p w14:paraId="2331EEFF" w14:textId="77777777" w:rsidR="00DE37B1" w:rsidRDefault="00000000">
            <w:pPr>
              <w:spacing w:line="360" w:lineRule="auto"/>
              <w:jc w:val="both"/>
              <w:rPr>
                <w:rFonts w:ascii="Book Antiqua" w:eastAsia="DengXian" w:hAnsi="Book Antiqua" w:cs="宋体"/>
                <w:b/>
                <w:bCs/>
                <w:color w:val="000000"/>
                <w:lang w:eastAsia="zh-CN"/>
              </w:rPr>
            </w:pPr>
            <w:r>
              <w:rPr>
                <w:rFonts w:ascii="Book Antiqua" w:eastAsia="DengXian" w:hAnsi="Book Antiqua" w:cs="宋体"/>
                <w:b/>
                <w:bCs/>
                <w:color w:val="000000"/>
                <w:lang w:eastAsia="zh-CN"/>
              </w:rPr>
              <w:t>Ultrasound staging</w:t>
            </w:r>
          </w:p>
        </w:tc>
      </w:tr>
      <w:tr w:rsidR="00DE37B1" w14:paraId="00219104" w14:textId="77777777">
        <w:trPr>
          <w:trHeight w:val="367"/>
        </w:trPr>
        <w:tc>
          <w:tcPr>
            <w:tcW w:w="1866" w:type="dxa"/>
            <w:tcBorders>
              <w:top w:val="single" w:sz="8" w:space="0" w:color="000000"/>
            </w:tcBorders>
            <w:shd w:val="clear" w:color="000000" w:fill="auto"/>
            <w:vAlign w:val="center"/>
          </w:tcPr>
          <w:p w14:paraId="1DCE37D8" w14:textId="77777777" w:rsidR="00DE37B1" w:rsidRDefault="00000000">
            <w:pPr>
              <w:spacing w:line="360" w:lineRule="auto"/>
              <w:jc w:val="both"/>
              <w:rPr>
                <w:rFonts w:ascii="Book Antiqua" w:eastAsia="DengXian" w:hAnsi="Book Antiqua" w:cs="宋体"/>
                <w:color w:val="000000"/>
                <w:lang w:eastAsia="zh-CN"/>
              </w:rPr>
            </w:pPr>
            <w:r>
              <w:rPr>
                <w:rFonts w:ascii="Book Antiqua" w:eastAsia="DengXian" w:hAnsi="Book Antiqua" w:cs="宋体"/>
                <w:color w:val="000000"/>
                <w:lang w:eastAsia="zh-CN"/>
              </w:rPr>
              <w:t>T1</w:t>
            </w:r>
          </w:p>
        </w:tc>
        <w:tc>
          <w:tcPr>
            <w:tcW w:w="1453" w:type="dxa"/>
            <w:tcBorders>
              <w:top w:val="single" w:sz="8" w:space="0" w:color="000000"/>
            </w:tcBorders>
            <w:shd w:val="clear" w:color="000000" w:fill="auto"/>
            <w:vAlign w:val="center"/>
          </w:tcPr>
          <w:p w14:paraId="0B41291F" w14:textId="77777777" w:rsidR="00DE37B1" w:rsidRDefault="00000000">
            <w:pPr>
              <w:spacing w:line="360" w:lineRule="auto"/>
              <w:jc w:val="both"/>
              <w:rPr>
                <w:rFonts w:ascii="Book Antiqua" w:eastAsia="DengXian" w:hAnsi="Book Antiqua" w:cs="宋体"/>
                <w:color w:val="000000"/>
                <w:lang w:eastAsia="zh-CN"/>
              </w:rPr>
            </w:pPr>
            <w:r>
              <w:rPr>
                <w:rFonts w:ascii="Book Antiqua" w:eastAsia="DengXian" w:hAnsi="Book Antiqua" w:cs="宋体"/>
                <w:color w:val="000000"/>
                <w:lang w:eastAsia="zh-CN"/>
              </w:rPr>
              <w:t>2</w:t>
            </w:r>
          </w:p>
        </w:tc>
        <w:tc>
          <w:tcPr>
            <w:tcW w:w="1458" w:type="dxa"/>
            <w:tcBorders>
              <w:top w:val="single" w:sz="8" w:space="0" w:color="000000"/>
            </w:tcBorders>
            <w:shd w:val="clear" w:color="000000" w:fill="auto"/>
            <w:vAlign w:val="center"/>
          </w:tcPr>
          <w:p w14:paraId="5DD340F5" w14:textId="77777777" w:rsidR="00DE37B1" w:rsidRDefault="00000000">
            <w:pPr>
              <w:spacing w:line="360" w:lineRule="auto"/>
              <w:jc w:val="both"/>
              <w:rPr>
                <w:rFonts w:ascii="Book Antiqua" w:eastAsia="DengXian" w:hAnsi="Book Antiqua" w:cs="宋体"/>
                <w:color w:val="000000"/>
                <w:lang w:eastAsia="zh-CN"/>
              </w:rPr>
            </w:pPr>
            <w:r>
              <w:rPr>
                <w:rFonts w:ascii="Book Antiqua" w:eastAsia="DengXian" w:hAnsi="Book Antiqua" w:cs="宋体"/>
                <w:color w:val="000000"/>
                <w:lang w:eastAsia="zh-CN"/>
              </w:rPr>
              <w:t>2</w:t>
            </w:r>
          </w:p>
        </w:tc>
        <w:tc>
          <w:tcPr>
            <w:tcW w:w="1455" w:type="dxa"/>
            <w:tcBorders>
              <w:top w:val="single" w:sz="8" w:space="0" w:color="000000"/>
            </w:tcBorders>
            <w:shd w:val="clear" w:color="000000" w:fill="auto"/>
            <w:vAlign w:val="center"/>
          </w:tcPr>
          <w:p w14:paraId="0C6FE7C6" w14:textId="77777777" w:rsidR="00DE37B1" w:rsidRDefault="00000000">
            <w:pPr>
              <w:spacing w:line="360" w:lineRule="auto"/>
              <w:jc w:val="both"/>
              <w:rPr>
                <w:rFonts w:ascii="Book Antiqua" w:eastAsia="DengXian" w:hAnsi="Book Antiqua" w:cs="宋体"/>
                <w:color w:val="000000"/>
                <w:lang w:eastAsia="zh-CN"/>
              </w:rPr>
            </w:pPr>
            <w:r>
              <w:rPr>
                <w:rFonts w:ascii="Book Antiqua" w:eastAsia="DengXian" w:hAnsi="Book Antiqua" w:cs="宋体"/>
                <w:color w:val="000000"/>
                <w:lang w:eastAsia="zh-CN"/>
              </w:rPr>
              <w:t>0</w:t>
            </w:r>
          </w:p>
        </w:tc>
        <w:tc>
          <w:tcPr>
            <w:tcW w:w="1465" w:type="dxa"/>
            <w:tcBorders>
              <w:top w:val="single" w:sz="8" w:space="0" w:color="000000"/>
            </w:tcBorders>
            <w:shd w:val="clear" w:color="000000" w:fill="auto"/>
            <w:vAlign w:val="center"/>
          </w:tcPr>
          <w:p w14:paraId="3C1B5891" w14:textId="77777777" w:rsidR="00DE37B1" w:rsidRDefault="00000000">
            <w:pPr>
              <w:spacing w:line="360" w:lineRule="auto"/>
              <w:jc w:val="both"/>
              <w:rPr>
                <w:rFonts w:ascii="Book Antiqua" w:eastAsia="DengXian" w:hAnsi="Book Antiqua" w:cs="宋体"/>
                <w:color w:val="000000"/>
                <w:lang w:eastAsia="zh-CN"/>
              </w:rPr>
            </w:pPr>
            <w:r>
              <w:rPr>
                <w:rFonts w:ascii="Book Antiqua" w:eastAsia="DengXian" w:hAnsi="Book Antiqua" w:cs="宋体"/>
                <w:color w:val="000000"/>
                <w:lang w:eastAsia="zh-CN"/>
              </w:rPr>
              <w:t>0</w:t>
            </w:r>
          </w:p>
        </w:tc>
      </w:tr>
      <w:tr w:rsidR="00DE37B1" w14:paraId="73F2317B" w14:textId="77777777">
        <w:trPr>
          <w:trHeight w:val="367"/>
        </w:trPr>
        <w:tc>
          <w:tcPr>
            <w:tcW w:w="1866" w:type="dxa"/>
            <w:shd w:val="clear" w:color="000000" w:fill="auto"/>
            <w:vAlign w:val="center"/>
          </w:tcPr>
          <w:p w14:paraId="22C4EDDE" w14:textId="77777777" w:rsidR="00DE37B1" w:rsidRDefault="00000000">
            <w:pPr>
              <w:spacing w:line="360" w:lineRule="auto"/>
              <w:jc w:val="both"/>
              <w:rPr>
                <w:rFonts w:ascii="Book Antiqua" w:eastAsia="DengXian" w:hAnsi="Book Antiqua" w:cs="宋体"/>
                <w:color w:val="000000"/>
                <w:lang w:eastAsia="zh-CN"/>
              </w:rPr>
            </w:pPr>
            <w:r>
              <w:rPr>
                <w:rFonts w:ascii="Book Antiqua" w:eastAsia="DengXian" w:hAnsi="Book Antiqua" w:cs="宋体"/>
                <w:color w:val="000000"/>
                <w:lang w:eastAsia="zh-CN"/>
              </w:rPr>
              <w:t>T2</w:t>
            </w:r>
          </w:p>
        </w:tc>
        <w:tc>
          <w:tcPr>
            <w:tcW w:w="1453" w:type="dxa"/>
            <w:shd w:val="clear" w:color="000000" w:fill="auto"/>
            <w:vAlign w:val="center"/>
          </w:tcPr>
          <w:p w14:paraId="77E625F4" w14:textId="77777777" w:rsidR="00DE37B1" w:rsidRDefault="00000000">
            <w:pPr>
              <w:spacing w:line="360" w:lineRule="auto"/>
              <w:jc w:val="both"/>
              <w:rPr>
                <w:rFonts w:ascii="Book Antiqua" w:eastAsia="DengXian" w:hAnsi="Book Antiqua" w:cs="宋体"/>
                <w:color w:val="000000"/>
                <w:lang w:eastAsia="zh-CN"/>
              </w:rPr>
            </w:pPr>
            <w:r>
              <w:rPr>
                <w:rFonts w:ascii="Book Antiqua" w:eastAsia="DengXian" w:hAnsi="Book Antiqua" w:cs="宋体"/>
                <w:color w:val="000000"/>
                <w:lang w:eastAsia="zh-CN"/>
              </w:rPr>
              <w:t>9</w:t>
            </w:r>
          </w:p>
        </w:tc>
        <w:tc>
          <w:tcPr>
            <w:tcW w:w="1458" w:type="dxa"/>
            <w:shd w:val="clear" w:color="000000" w:fill="auto"/>
            <w:vAlign w:val="center"/>
          </w:tcPr>
          <w:p w14:paraId="534AF4BB" w14:textId="77777777" w:rsidR="00DE37B1" w:rsidRDefault="00000000">
            <w:pPr>
              <w:spacing w:line="360" w:lineRule="auto"/>
              <w:jc w:val="both"/>
              <w:rPr>
                <w:rFonts w:ascii="Book Antiqua" w:eastAsia="DengXian" w:hAnsi="Book Antiqua" w:cs="宋体"/>
                <w:color w:val="000000"/>
                <w:lang w:eastAsia="zh-CN"/>
              </w:rPr>
            </w:pPr>
            <w:r>
              <w:rPr>
                <w:rFonts w:ascii="Book Antiqua" w:eastAsia="DengXian" w:hAnsi="Book Antiqua" w:cs="宋体"/>
                <w:color w:val="000000"/>
                <w:lang w:eastAsia="zh-CN"/>
              </w:rPr>
              <w:t>2</w:t>
            </w:r>
          </w:p>
        </w:tc>
        <w:tc>
          <w:tcPr>
            <w:tcW w:w="1455" w:type="dxa"/>
            <w:shd w:val="clear" w:color="000000" w:fill="auto"/>
            <w:vAlign w:val="center"/>
          </w:tcPr>
          <w:p w14:paraId="7D9B83C5" w14:textId="77777777" w:rsidR="00DE37B1" w:rsidRDefault="00000000">
            <w:pPr>
              <w:spacing w:line="360" w:lineRule="auto"/>
              <w:jc w:val="both"/>
              <w:rPr>
                <w:rFonts w:ascii="Book Antiqua" w:eastAsia="DengXian" w:hAnsi="Book Antiqua" w:cs="宋体"/>
                <w:color w:val="000000"/>
                <w:lang w:eastAsia="zh-CN"/>
              </w:rPr>
            </w:pPr>
            <w:r>
              <w:rPr>
                <w:rFonts w:ascii="Book Antiqua" w:eastAsia="DengXian" w:hAnsi="Book Antiqua" w:cs="宋体"/>
                <w:color w:val="000000"/>
                <w:lang w:eastAsia="zh-CN"/>
              </w:rPr>
              <w:t>7</w:t>
            </w:r>
          </w:p>
        </w:tc>
        <w:tc>
          <w:tcPr>
            <w:tcW w:w="1465" w:type="dxa"/>
            <w:shd w:val="clear" w:color="000000" w:fill="auto"/>
            <w:vAlign w:val="center"/>
          </w:tcPr>
          <w:p w14:paraId="521B149A" w14:textId="77777777" w:rsidR="00DE37B1" w:rsidRDefault="00000000">
            <w:pPr>
              <w:spacing w:line="360" w:lineRule="auto"/>
              <w:jc w:val="both"/>
              <w:rPr>
                <w:rFonts w:ascii="Book Antiqua" w:eastAsia="DengXian" w:hAnsi="Book Antiqua" w:cs="宋体"/>
                <w:color w:val="000000"/>
                <w:lang w:eastAsia="zh-CN"/>
              </w:rPr>
            </w:pPr>
            <w:r>
              <w:rPr>
                <w:rFonts w:ascii="Book Antiqua" w:eastAsia="DengXian" w:hAnsi="Book Antiqua" w:cs="宋体"/>
                <w:color w:val="000000"/>
                <w:lang w:eastAsia="zh-CN"/>
              </w:rPr>
              <w:t>0</w:t>
            </w:r>
          </w:p>
        </w:tc>
      </w:tr>
      <w:tr w:rsidR="00DE37B1" w14:paraId="7148E2FE" w14:textId="77777777">
        <w:trPr>
          <w:trHeight w:val="367"/>
        </w:trPr>
        <w:tc>
          <w:tcPr>
            <w:tcW w:w="1866" w:type="dxa"/>
            <w:shd w:val="clear" w:color="000000" w:fill="auto"/>
            <w:vAlign w:val="center"/>
          </w:tcPr>
          <w:p w14:paraId="2D613E36" w14:textId="77777777" w:rsidR="00DE37B1" w:rsidRDefault="00000000">
            <w:pPr>
              <w:spacing w:line="360" w:lineRule="auto"/>
              <w:jc w:val="both"/>
              <w:rPr>
                <w:rFonts w:ascii="Book Antiqua" w:eastAsia="DengXian" w:hAnsi="Book Antiqua" w:cs="宋体"/>
                <w:color w:val="000000"/>
                <w:lang w:eastAsia="zh-CN"/>
              </w:rPr>
            </w:pPr>
            <w:r>
              <w:rPr>
                <w:rFonts w:ascii="Book Antiqua" w:eastAsia="DengXian" w:hAnsi="Book Antiqua" w:cs="宋体"/>
                <w:color w:val="000000"/>
                <w:lang w:eastAsia="zh-CN"/>
              </w:rPr>
              <w:t>T3</w:t>
            </w:r>
          </w:p>
        </w:tc>
        <w:tc>
          <w:tcPr>
            <w:tcW w:w="1453" w:type="dxa"/>
            <w:shd w:val="clear" w:color="000000" w:fill="auto"/>
            <w:vAlign w:val="center"/>
          </w:tcPr>
          <w:p w14:paraId="069C6148" w14:textId="77777777" w:rsidR="00DE37B1" w:rsidRDefault="00000000">
            <w:pPr>
              <w:spacing w:line="360" w:lineRule="auto"/>
              <w:jc w:val="both"/>
              <w:rPr>
                <w:rFonts w:ascii="Book Antiqua" w:eastAsia="DengXian" w:hAnsi="Book Antiqua" w:cs="宋体"/>
                <w:color w:val="000000"/>
                <w:lang w:eastAsia="zh-CN"/>
              </w:rPr>
            </w:pPr>
            <w:r>
              <w:rPr>
                <w:rFonts w:ascii="Book Antiqua" w:eastAsia="DengXian" w:hAnsi="Book Antiqua" w:cs="宋体"/>
                <w:color w:val="000000"/>
                <w:lang w:eastAsia="zh-CN"/>
              </w:rPr>
              <w:t>20</w:t>
            </w:r>
          </w:p>
        </w:tc>
        <w:tc>
          <w:tcPr>
            <w:tcW w:w="1458" w:type="dxa"/>
            <w:shd w:val="clear" w:color="000000" w:fill="auto"/>
            <w:vAlign w:val="center"/>
          </w:tcPr>
          <w:p w14:paraId="384CBB75" w14:textId="77777777" w:rsidR="00DE37B1" w:rsidRDefault="00000000">
            <w:pPr>
              <w:spacing w:line="360" w:lineRule="auto"/>
              <w:jc w:val="both"/>
              <w:rPr>
                <w:rFonts w:ascii="Book Antiqua" w:eastAsia="DengXian" w:hAnsi="Book Antiqua" w:cs="宋体"/>
                <w:color w:val="000000"/>
                <w:lang w:eastAsia="zh-CN"/>
              </w:rPr>
            </w:pPr>
            <w:r>
              <w:rPr>
                <w:rFonts w:ascii="Book Antiqua" w:eastAsia="DengXian" w:hAnsi="Book Antiqua" w:cs="宋体"/>
                <w:color w:val="000000"/>
                <w:lang w:eastAsia="zh-CN"/>
              </w:rPr>
              <w:t>0</w:t>
            </w:r>
          </w:p>
        </w:tc>
        <w:tc>
          <w:tcPr>
            <w:tcW w:w="1455" w:type="dxa"/>
            <w:shd w:val="clear" w:color="000000" w:fill="auto"/>
            <w:vAlign w:val="center"/>
          </w:tcPr>
          <w:p w14:paraId="72C04919" w14:textId="77777777" w:rsidR="00DE37B1" w:rsidRDefault="00000000">
            <w:pPr>
              <w:spacing w:line="360" w:lineRule="auto"/>
              <w:jc w:val="both"/>
              <w:rPr>
                <w:rFonts w:ascii="Book Antiqua" w:eastAsia="DengXian" w:hAnsi="Book Antiqua" w:cs="宋体"/>
                <w:color w:val="000000"/>
                <w:lang w:eastAsia="zh-CN"/>
              </w:rPr>
            </w:pPr>
            <w:r>
              <w:rPr>
                <w:rFonts w:ascii="Book Antiqua" w:eastAsia="DengXian" w:hAnsi="Book Antiqua" w:cs="宋体"/>
                <w:color w:val="000000"/>
                <w:lang w:eastAsia="zh-CN"/>
              </w:rPr>
              <w:t>0</w:t>
            </w:r>
          </w:p>
        </w:tc>
        <w:tc>
          <w:tcPr>
            <w:tcW w:w="1465" w:type="dxa"/>
            <w:shd w:val="clear" w:color="000000" w:fill="auto"/>
            <w:vAlign w:val="center"/>
          </w:tcPr>
          <w:p w14:paraId="55C13CDE" w14:textId="77777777" w:rsidR="00DE37B1" w:rsidRDefault="00000000">
            <w:pPr>
              <w:spacing w:line="360" w:lineRule="auto"/>
              <w:jc w:val="both"/>
              <w:rPr>
                <w:rFonts w:ascii="Book Antiqua" w:eastAsia="DengXian" w:hAnsi="Book Antiqua" w:cs="宋体"/>
                <w:color w:val="000000"/>
                <w:lang w:eastAsia="zh-CN"/>
              </w:rPr>
            </w:pPr>
            <w:r>
              <w:rPr>
                <w:rFonts w:ascii="Book Antiqua" w:eastAsia="DengXian" w:hAnsi="Book Antiqua" w:cs="宋体"/>
                <w:color w:val="000000"/>
                <w:lang w:eastAsia="zh-CN"/>
              </w:rPr>
              <w:t>20</w:t>
            </w:r>
          </w:p>
        </w:tc>
      </w:tr>
      <w:tr w:rsidR="00DE37B1" w14:paraId="3F1BF1AD" w14:textId="77777777">
        <w:trPr>
          <w:trHeight w:val="367"/>
        </w:trPr>
        <w:tc>
          <w:tcPr>
            <w:tcW w:w="1866" w:type="dxa"/>
            <w:tcBorders>
              <w:bottom w:val="single" w:sz="8" w:space="0" w:color="000000"/>
            </w:tcBorders>
            <w:shd w:val="clear" w:color="000000" w:fill="auto"/>
            <w:vAlign w:val="center"/>
          </w:tcPr>
          <w:p w14:paraId="14391C05" w14:textId="77777777" w:rsidR="00DE37B1" w:rsidRDefault="00000000">
            <w:pPr>
              <w:spacing w:line="360" w:lineRule="auto"/>
              <w:jc w:val="both"/>
              <w:rPr>
                <w:rFonts w:ascii="Book Antiqua" w:eastAsia="DengXian" w:hAnsi="Book Antiqua" w:cs="宋体"/>
                <w:color w:val="000000"/>
                <w:lang w:eastAsia="zh-CN"/>
              </w:rPr>
            </w:pPr>
            <w:r>
              <w:rPr>
                <w:rFonts w:ascii="Book Antiqua" w:eastAsia="DengXian" w:hAnsi="Book Antiqua" w:cs="宋体"/>
                <w:color w:val="000000"/>
                <w:lang w:eastAsia="zh-CN"/>
              </w:rPr>
              <w:t>T4</w:t>
            </w:r>
          </w:p>
        </w:tc>
        <w:tc>
          <w:tcPr>
            <w:tcW w:w="1453" w:type="dxa"/>
            <w:tcBorders>
              <w:bottom w:val="single" w:sz="8" w:space="0" w:color="000000"/>
            </w:tcBorders>
            <w:shd w:val="clear" w:color="000000" w:fill="auto"/>
            <w:vAlign w:val="center"/>
          </w:tcPr>
          <w:p w14:paraId="6DF49519" w14:textId="77777777" w:rsidR="00DE37B1" w:rsidRDefault="00000000">
            <w:pPr>
              <w:spacing w:line="360" w:lineRule="auto"/>
              <w:jc w:val="both"/>
              <w:rPr>
                <w:rFonts w:ascii="Book Antiqua" w:eastAsia="DengXian" w:hAnsi="Book Antiqua" w:cs="宋体"/>
                <w:color w:val="000000"/>
                <w:lang w:eastAsia="zh-CN"/>
              </w:rPr>
            </w:pPr>
            <w:r>
              <w:rPr>
                <w:rFonts w:ascii="Book Antiqua" w:eastAsia="DengXian" w:hAnsi="Book Antiqua" w:cs="宋体"/>
                <w:color w:val="000000"/>
                <w:lang w:eastAsia="zh-CN"/>
              </w:rPr>
              <w:t>9</w:t>
            </w:r>
          </w:p>
        </w:tc>
        <w:tc>
          <w:tcPr>
            <w:tcW w:w="1458" w:type="dxa"/>
            <w:tcBorders>
              <w:bottom w:val="single" w:sz="8" w:space="0" w:color="000000"/>
            </w:tcBorders>
            <w:shd w:val="clear" w:color="000000" w:fill="auto"/>
            <w:vAlign w:val="center"/>
          </w:tcPr>
          <w:p w14:paraId="5B08E381" w14:textId="77777777" w:rsidR="00DE37B1" w:rsidRDefault="00000000">
            <w:pPr>
              <w:spacing w:line="360" w:lineRule="auto"/>
              <w:jc w:val="both"/>
              <w:rPr>
                <w:rFonts w:ascii="Book Antiqua" w:eastAsia="DengXian" w:hAnsi="Book Antiqua" w:cs="宋体"/>
                <w:color w:val="000000"/>
                <w:lang w:eastAsia="zh-CN"/>
              </w:rPr>
            </w:pPr>
            <w:r>
              <w:rPr>
                <w:rFonts w:ascii="Book Antiqua" w:eastAsia="DengXian" w:hAnsi="Book Antiqua" w:cs="宋体"/>
                <w:color w:val="000000"/>
                <w:lang w:eastAsia="zh-CN"/>
              </w:rPr>
              <w:t>0</w:t>
            </w:r>
          </w:p>
        </w:tc>
        <w:tc>
          <w:tcPr>
            <w:tcW w:w="1455" w:type="dxa"/>
            <w:tcBorders>
              <w:bottom w:val="single" w:sz="8" w:space="0" w:color="000000"/>
            </w:tcBorders>
            <w:shd w:val="clear" w:color="000000" w:fill="auto"/>
            <w:vAlign w:val="center"/>
          </w:tcPr>
          <w:p w14:paraId="7F0CBCC7" w14:textId="77777777" w:rsidR="00DE37B1" w:rsidRDefault="00000000">
            <w:pPr>
              <w:spacing w:line="360" w:lineRule="auto"/>
              <w:jc w:val="both"/>
              <w:rPr>
                <w:rFonts w:ascii="Book Antiqua" w:eastAsia="DengXian" w:hAnsi="Book Antiqua" w:cs="宋体"/>
                <w:color w:val="000000"/>
                <w:lang w:eastAsia="zh-CN"/>
              </w:rPr>
            </w:pPr>
            <w:r>
              <w:rPr>
                <w:rFonts w:ascii="Book Antiqua" w:eastAsia="DengXian" w:hAnsi="Book Antiqua" w:cs="宋体"/>
                <w:color w:val="000000"/>
                <w:lang w:eastAsia="zh-CN"/>
              </w:rPr>
              <w:t>0</w:t>
            </w:r>
          </w:p>
        </w:tc>
        <w:tc>
          <w:tcPr>
            <w:tcW w:w="1465" w:type="dxa"/>
            <w:tcBorders>
              <w:bottom w:val="single" w:sz="8" w:space="0" w:color="000000"/>
            </w:tcBorders>
            <w:shd w:val="clear" w:color="000000" w:fill="auto"/>
            <w:vAlign w:val="center"/>
          </w:tcPr>
          <w:p w14:paraId="26B3143B" w14:textId="77777777" w:rsidR="00DE37B1" w:rsidRDefault="00000000">
            <w:pPr>
              <w:spacing w:line="360" w:lineRule="auto"/>
              <w:jc w:val="both"/>
              <w:rPr>
                <w:rFonts w:ascii="Book Antiqua" w:eastAsia="DengXian" w:hAnsi="Book Antiqua" w:cs="宋体"/>
                <w:color w:val="000000"/>
                <w:lang w:eastAsia="zh-CN"/>
              </w:rPr>
            </w:pPr>
            <w:r>
              <w:rPr>
                <w:rFonts w:ascii="Book Antiqua" w:eastAsia="DengXian" w:hAnsi="Book Antiqua" w:cs="宋体"/>
                <w:color w:val="000000"/>
                <w:lang w:eastAsia="zh-CN"/>
              </w:rPr>
              <w:t>0</w:t>
            </w:r>
          </w:p>
        </w:tc>
      </w:tr>
    </w:tbl>
    <w:p w14:paraId="2E135650" w14:textId="77777777" w:rsidR="00DE37B1" w:rsidRDefault="00DE37B1">
      <w:pPr>
        <w:pStyle w:val="1"/>
        <w:framePr w:wrap="auto" w:yAlign="inline"/>
        <w:spacing w:line="360" w:lineRule="auto"/>
        <w:rPr>
          <w:rFonts w:ascii="Book Antiqua" w:hAnsi="Book Antiqua"/>
          <w:sz w:val="24"/>
          <w:szCs w:val="24"/>
        </w:rPr>
      </w:pPr>
    </w:p>
    <w:p w14:paraId="36E2F415" w14:textId="77777777" w:rsidR="00DE37B1" w:rsidRDefault="00DE37B1">
      <w:pPr>
        <w:pStyle w:val="1"/>
        <w:framePr w:wrap="auto" w:yAlign="inline"/>
        <w:spacing w:line="360" w:lineRule="auto"/>
        <w:rPr>
          <w:rFonts w:ascii="Book Antiqua" w:hAnsi="Book Antiqua"/>
          <w:sz w:val="24"/>
          <w:szCs w:val="24"/>
        </w:rPr>
        <w:sectPr w:rsidR="00DE37B1" w:rsidSect="00CD411E">
          <w:pgSz w:w="11906" w:h="16838"/>
          <w:pgMar w:top="1440" w:right="1800" w:bottom="1440" w:left="1800" w:header="851" w:footer="992" w:gutter="0"/>
          <w:cols w:space="425"/>
          <w:docGrid w:type="lines" w:linePitch="312"/>
        </w:sectPr>
      </w:pPr>
    </w:p>
    <w:p w14:paraId="3BBAAC3C" w14:textId="77777777" w:rsidR="00DE37B1" w:rsidRDefault="00000000">
      <w:pPr>
        <w:pStyle w:val="1"/>
        <w:framePr w:wrap="auto" w:yAlign="inline"/>
        <w:spacing w:line="360" w:lineRule="auto"/>
        <w:rPr>
          <w:rFonts w:ascii="Book Antiqua" w:hAnsi="Book Antiqua"/>
          <w:b/>
          <w:bCs/>
          <w:sz w:val="24"/>
          <w:szCs w:val="24"/>
        </w:rPr>
      </w:pPr>
      <w:bookmarkStart w:id="23" w:name="OLE_LINK7543"/>
      <w:bookmarkStart w:id="24" w:name="OLE_LINK7542"/>
      <w:r>
        <w:rPr>
          <w:rFonts w:ascii="Book Antiqua" w:hAnsi="Book Antiqua"/>
          <w:b/>
          <w:bCs/>
          <w:sz w:val="24"/>
          <w:szCs w:val="24"/>
        </w:rPr>
        <w:lastRenderedPageBreak/>
        <w:t>Table 2 Comparison of N staging results between oral contrast-enhanced ultrasonography and pathological findings</w:t>
      </w:r>
      <w:bookmarkEnd w:id="21"/>
      <w:bookmarkEnd w:id="22"/>
      <w:bookmarkEnd w:id="23"/>
      <w:bookmarkEnd w:id="24"/>
    </w:p>
    <w:tbl>
      <w:tblPr>
        <w:tblW w:w="7800" w:type="dxa"/>
        <w:shd w:val="clear" w:color="000000" w:fill="auto"/>
        <w:tblLook w:val="04A0" w:firstRow="1" w:lastRow="0" w:firstColumn="1" w:lastColumn="0" w:noHBand="0" w:noVBand="1"/>
      </w:tblPr>
      <w:tblGrid>
        <w:gridCol w:w="1576"/>
        <w:gridCol w:w="1245"/>
        <w:gridCol w:w="1249"/>
        <w:gridCol w:w="1241"/>
        <w:gridCol w:w="1248"/>
        <w:gridCol w:w="1241"/>
      </w:tblGrid>
      <w:tr w:rsidR="00DE37B1" w14:paraId="6DFB79D6" w14:textId="77777777">
        <w:trPr>
          <w:trHeight w:val="700"/>
        </w:trPr>
        <w:tc>
          <w:tcPr>
            <w:tcW w:w="1390" w:type="dxa"/>
            <w:tcBorders>
              <w:top w:val="single" w:sz="8" w:space="0" w:color="000000"/>
              <w:bottom w:val="single" w:sz="8" w:space="0" w:color="000000"/>
            </w:tcBorders>
            <w:shd w:val="clear" w:color="000000" w:fill="auto"/>
            <w:vAlign w:val="center"/>
          </w:tcPr>
          <w:p w14:paraId="036E5523" w14:textId="77777777" w:rsidR="00DE37B1" w:rsidRDefault="00000000">
            <w:pPr>
              <w:spacing w:line="360" w:lineRule="auto"/>
              <w:jc w:val="both"/>
              <w:rPr>
                <w:rFonts w:ascii="Book Antiqua" w:eastAsia="DengXian" w:hAnsi="Book Antiqua" w:cs="宋体"/>
                <w:b/>
                <w:bCs/>
                <w:color w:val="000000"/>
                <w:lang w:eastAsia="zh-CN"/>
              </w:rPr>
            </w:pPr>
            <w:bookmarkStart w:id="25" w:name="OLE_LINK7546"/>
            <w:bookmarkStart w:id="26" w:name="OLE_LINK7548"/>
            <w:bookmarkStart w:id="27" w:name="OLE_LINK7547"/>
            <w:r>
              <w:rPr>
                <w:rFonts w:ascii="Book Antiqua" w:eastAsia="DengXian" w:hAnsi="Book Antiqua" w:cs="宋体"/>
                <w:b/>
                <w:bCs/>
                <w:color w:val="000000"/>
                <w:lang w:eastAsia="zh-CN"/>
              </w:rPr>
              <w:t>Pathological staging</w:t>
            </w:r>
          </w:p>
        </w:tc>
        <w:tc>
          <w:tcPr>
            <w:tcW w:w="1281" w:type="dxa"/>
            <w:tcBorders>
              <w:top w:val="single" w:sz="8" w:space="0" w:color="000000"/>
              <w:bottom w:val="single" w:sz="8" w:space="0" w:color="000000"/>
            </w:tcBorders>
            <w:shd w:val="clear" w:color="000000" w:fill="auto"/>
            <w:vAlign w:val="center"/>
          </w:tcPr>
          <w:p w14:paraId="3AC4E34D" w14:textId="77777777" w:rsidR="00DE37B1" w:rsidRDefault="00000000">
            <w:pPr>
              <w:spacing w:line="360" w:lineRule="auto"/>
              <w:jc w:val="both"/>
              <w:rPr>
                <w:rFonts w:ascii="Book Antiqua" w:eastAsia="DengXian" w:hAnsi="Book Antiqua" w:cs="宋体"/>
                <w:b/>
                <w:bCs/>
                <w:i/>
                <w:iCs/>
                <w:color w:val="000000"/>
                <w:lang w:eastAsia="zh-CN"/>
              </w:rPr>
            </w:pPr>
            <w:r>
              <w:rPr>
                <w:rFonts w:ascii="Book Antiqua" w:eastAsia="DengXian" w:hAnsi="Book Antiqua" w:cs="宋体"/>
                <w:b/>
                <w:bCs/>
                <w:i/>
                <w:iCs/>
                <w:color w:val="000000"/>
                <w:lang w:eastAsia="zh-CN"/>
              </w:rPr>
              <w:t>n</w:t>
            </w:r>
          </w:p>
        </w:tc>
        <w:tc>
          <w:tcPr>
            <w:tcW w:w="5129" w:type="dxa"/>
            <w:gridSpan w:val="4"/>
            <w:tcBorders>
              <w:top w:val="single" w:sz="8" w:space="0" w:color="000000"/>
              <w:bottom w:val="single" w:sz="8" w:space="0" w:color="000000"/>
            </w:tcBorders>
            <w:shd w:val="clear" w:color="000000" w:fill="auto"/>
            <w:vAlign w:val="center"/>
          </w:tcPr>
          <w:p w14:paraId="2E50D4AB" w14:textId="77777777" w:rsidR="00DE37B1" w:rsidRDefault="00000000">
            <w:pPr>
              <w:spacing w:line="360" w:lineRule="auto"/>
              <w:jc w:val="both"/>
              <w:rPr>
                <w:rFonts w:ascii="Book Antiqua" w:eastAsia="DengXian" w:hAnsi="Book Antiqua" w:cs="宋体"/>
                <w:b/>
                <w:bCs/>
                <w:color w:val="000000"/>
                <w:lang w:eastAsia="zh-CN"/>
              </w:rPr>
            </w:pPr>
            <w:r>
              <w:rPr>
                <w:rFonts w:ascii="Book Antiqua" w:eastAsia="DengXian" w:hAnsi="Book Antiqua" w:cs="宋体"/>
                <w:b/>
                <w:bCs/>
                <w:color w:val="000000"/>
                <w:lang w:eastAsia="zh-CN"/>
              </w:rPr>
              <w:t>Ultrasound staging</w:t>
            </w:r>
          </w:p>
        </w:tc>
      </w:tr>
      <w:tr w:rsidR="00DE37B1" w14:paraId="0B112921" w14:textId="77777777">
        <w:trPr>
          <w:trHeight w:val="360"/>
        </w:trPr>
        <w:tc>
          <w:tcPr>
            <w:tcW w:w="1390" w:type="dxa"/>
            <w:tcBorders>
              <w:top w:val="single" w:sz="8" w:space="0" w:color="000000"/>
            </w:tcBorders>
            <w:shd w:val="clear" w:color="000000" w:fill="auto"/>
            <w:vAlign w:val="center"/>
          </w:tcPr>
          <w:p w14:paraId="637DFF26" w14:textId="77777777" w:rsidR="00DE37B1" w:rsidRDefault="00000000">
            <w:pPr>
              <w:spacing w:line="360" w:lineRule="auto"/>
              <w:jc w:val="both"/>
              <w:rPr>
                <w:rFonts w:ascii="Book Antiqua" w:eastAsia="DengXian" w:hAnsi="Book Antiqua" w:cs="宋体"/>
                <w:color w:val="000000"/>
                <w:lang w:eastAsia="zh-CN"/>
              </w:rPr>
            </w:pPr>
            <w:r>
              <w:rPr>
                <w:rFonts w:ascii="Book Antiqua" w:eastAsia="DengXian" w:hAnsi="Book Antiqua" w:cs="宋体"/>
                <w:color w:val="000000"/>
                <w:lang w:eastAsia="zh-CN"/>
              </w:rPr>
              <w:t>ON</w:t>
            </w:r>
          </w:p>
        </w:tc>
        <w:tc>
          <w:tcPr>
            <w:tcW w:w="1281" w:type="dxa"/>
            <w:tcBorders>
              <w:top w:val="single" w:sz="8" w:space="0" w:color="000000"/>
            </w:tcBorders>
            <w:shd w:val="clear" w:color="000000" w:fill="auto"/>
            <w:vAlign w:val="center"/>
          </w:tcPr>
          <w:p w14:paraId="73B2511C" w14:textId="77777777" w:rsidR="00DE37B1" w:rsidRDefault="00000000">
            <w:pPr>
              <w:spacing w:line="360" w:lineRule="auto"/>
              <w:jc w:val="both"/>
              <w:rPr>
                <w:rFonts w:ascii="Book Antiqua" w:eastAsia="DengXian" w:hAnsi="Book Antiqua" w:cs="宋体"/>
                <w:color w:val="000000"/>
                <w:lang w:eastAsia="zh-CN"/>
              </w:rPr>
            </w:pPr>
            <w:r>
              <w:rPr>
                <w:rFonts w:ascii="Book Antiqua" w:eastAsia="DengXian" w:hAnsi="Book Antiqua" w:cs="宋体"/>
                <w:color w:val="000000"/>
                <w:lang w:eastAsia="zh-CN"/>
              </w:rPr>
              <w:t>30</w:t>
            </w:r>
          </w:p>
        </w:tc>
        <w:tc>
          <w:tcPr>
            <w:tcW w:w="1284" w:type="dxa"/>
            <w:tcBorders>
              <w:top w:val="single" w:sz="8" w:space="0" w:color="000000"/>
            </w:tcBorders>
            <w:shd w:val="clear" w:color="000000" w:fill="auto"/>
            <w:vAlign w:val="center"/>
          </w:tcPr>
          <w:p w14:paraId="1ADE8620" w14:textId="77777777" w:rsidR="00DE37B1" w:rsidRDefault="00000000">
            <w:pPr>
              <w:spacing w:line="360" w:lineRule="auto"/>
              <w:jc w:val="both"/>
              <w:rPr>
                <w:rFonts w:ascii="Book Antiqua" w:eastAsia="DengXian" w:hAnsi="Book Antiqua" w:cs="宋体"/>
                <w:color w:val="000000"/>
                <w:lang w:eastAsia="zh-CN"/>
              </w:rPr>
            </w:pPr>
            <w:r>
              <w:rPr>
                <w:rFonts w:ascii="Book Antiqua" w:eastAsia="DengXian" w:hAnsi="Book Antiqua" w:cs="宋体"/>
                <w:color w:val="000000"/>
                <w:lang w:eastAsia="zh-CN"/>
              </w:rPr>
              <w:t>30</w:t>
            </w:r>
          </w:p>
        </w:tc>
        <w:tc>
          <w:tcPr>
            <w:tcW w:w="1281" w:type="dxa"/>
            <w:tcBorders>
              <w:top w:val="single" w:sz="8" w:space="0" w:color="000000"/>
            </w:tcBorders>
            <w:shd w:val="clear" w:color="000000" w:fill="auto"/>
            <w:vAlign w:val="center"/>
          </w:tcPr>
          <w:p w14:paraId="65CC4347" w14:textId="77777777" w:rsidR="00DE37B1" w:rsidRDefault="00000000">
            <w:pPr>
              <w:spacing w:line="360" w:lineRule="auto"/>
              <w:jc w:val="both"/>
              <w:rPr>
                <w:rFonts w:ascii="Book Antiqua" w:eastAsia="DengXian" w:hAnsi="Book Antiqua" w:cs="宋体"/>
                <w:color w:val="000000"/>
                <w:lang w:eastAsia="zh-CN"/>
              </w:rPr>
            </w:pPr>
            <w:r>
              <w:rPr>
                <w:rFonts w:ascii="Book Antiqua" w:eastAsia="DengXian" w:hAnsi="Book Antiqua" w:cs="宋体"/>
                <w:color w:val="000000"/>
                <w:lang w:eastAsia="zh-CN"/>
              </w:rPr>
              <w:t>0</w:t>
            </w:r>
          </w:p>
        </w:tc>
        <w:tc>
          <w:tcPr>
            <w:tcW w:w="1283" w:type="dxa"/>
            <w:tcBorders>
              <w:top w:val="single" w:sz="8" w:space="0" w:color="000000"/>
            </w:tcBorders>
            <w:shd w:val="clear" w:color="000000" w:fill="auto"/>
            <w:vAlign w:val="center"/>
          </w:tcPr>
          <w:p w14:paraId="683DE9D6" w14:textId="77777777" w:rsidR="00DE37B1" w:rsidRDefault="00000000">
            <w:pPr>
              <w:spacing w:line="360" w:lineRule="auto"/>
              <w:jc w:val="both"/>
              <w:rPr>
                <w:rFonts w:ascii="Book Antiqua" w:eastAsia="DengXian" w:hAnsi="Book Antiqua" w:cs="宋体"/>
                <w:color w:val="000000"/>
                <w:lang w:eastAsia="zh-CN"/>
              </w:rPr>
            </w:pPr>
            <w:r>
              <w:rPr>
                <w:rFonts w:ascii="Book Antiqua" w:eastAsia="DengXian" w:hAnsi="Book Antiqua" w:cs="宋体"/>
                <w:color w:val="000000"/>
                <w:lang w:eastAsia="zh-CN"/>
              </w:rPr>
              <w:t>0</w:t>
            </w:r>
          </w:p>
        </w:tc>
        <w:tc>
          <w:tcPr>
            <w:tcW w:w="1281" w:type="dxa"/>
            <w:tcBorders>
              <w:top w:val="single" w:sz="8" w:space="0" w:color="000000"/>
            </w:tcBorders>
            <w:shd w:val="clear" w:color="000000" w:fill="auto"/>
            <w:vAlign w:val="center"/>
          </w:tcPr>
          <w:p w14:paraId="2A4097ED" w14:textId="77777777" w:rsidR="00DE37B1" w:rsidRDefault="00000000">
            <w:pPr>
              <w:spacing w:line="360" w:lineRule="auto"/>
              <w:jc w:val="both"/>
              <w:rPr>
                <w:rFonts w:ascii="Book Antiqua" w:eastAsia="DengXian" w:hAnsi="Book Antiqua" w:cs="宋体"/>
                <w:color w:val="000000"/>
                <w:lang w:eastAsia="zh-CN"/>
              </w:rPr>
            </w:pPr>
            <w:r>
              <w:rPr>
                <w:rFonts w:ascii="Book Antiqua" w:eastAsia="DengXian" w:hAnsi="Book Antiqua" w:cs="宋体"/>
                <w:color w:val="000000"/>
                <w:lang w:eastAsia="zh-CN"/>
              </w:rPr>
              <w:t>0</w:t>
            </w:r>
          </w:p>
        </w:tc>
      </w:tr>
      <w:tr w:rsidR="00DE37B1" w14:paraId="1D006252" w14:textId="77777777">
        <w:trPr>
          <w:trHeight w:val="360"/>
        </w:trPr>
        <w:tc>
          <w:tcPr>
            <w:tcW w:w="1390" w:type="dxa"/>
            <w:shd w:val="clear" w:color="000000" w:fill="auto"/>
            <w:vAlign w:val="center"/>
          </w:tcPr>
          <w:p w14:paraId="2C639C26" w14:textId="77777777" w:rsidR="00DE37B1" w:rsidRDefault="00000000">
            <w:pPr>
              <w:spacing w:line="360" w:lineRule="auto"/>
              <w:jc w:val="both"/>
              <w:rPr>
                <w:rFonts w:ascii="Book Antiqua" w:eastAsia="DengXian" w:hAnsi="Book Antiqua" w:cs="宋体"/>
                <w:color w:val="000000"/>
                <w:lang w:eastAsia="zh-CN"/>
              </w:rPr>
            </w:pPr>
            <w:r>
              <w:rPr>
                <w:rFonts w:ascii="Book Antiqua" w:eastAsia="DengXian" w:hAnsi="Book Antiqua" w:cs="宋体"/>
                <w:color w:val="000000"/>
                <w:lang w:eastAsia="zh-CN"/>
              </w:rPr>
              <w:t>N1-N3</w:t>
            </w:r>
          </w:p>
        </w:tc>
        <w:tc>
          <w:tcPr>
            <w:tcW w:w="1281" w:type="dxa"/>
            <w:shd w:val="clear" w:color="000000" w:fill="auto"/>
            <w:vAlign w:val="center"/>
          </w:tcPr>
          <w:p w14:paraId="046A2A63" w14:textId="77777777" w:rsidR="00DE37B1" w:rsidRDefault="00000000">
            <w:pPr>
              <w:spacing w:line="360" w:lineRule="auto"/>
              <w:jc w:val="both"/>
              <w:rPr>
                <w:rFonts w:ascii="Book Antiqua" w:eastAsia="DengXian" w:hAnsi="Book Antiqua" w:cs="宋体"/>
                <w:color w:val="000000"/>
                <w:lang w:eastAsia="zh-CN"/>
              </w:rPr>
            </w:pPr>
            <w:r>
              <w:rPr>
                <w:rFonts w:ascii="Book Antiqua" w:eastAsia="DengXian" w:hAnsi="Book Antiqua" w:cs="宋体"/>
                <w:color w:val="000000"/>
                <w:lang w:eastAsia="zh-CN"/>
              </w:rPr>
              <w:t>10</w:t>
            </w:r>
          </w:p>
        </w:tc>
        <w:tc>
          <w:tcPr>
            <w:tcW w:w="1284" w:type="dxa"/>
            <w:shd w:val="clear" w:color="000000" w:fill="auto"/>
            <w:vAlign w:val="center"/>
          </w:tcPr>
          <w:p w14:paraId="77E8BD80" w14:textId="77777777" w:rsidR="00DE37B1" w:rsidRDefault="00000000">
            <w:pPr>
              <w:spacing w:line="360" w:lineRule="auto"/>
              <w:jc w:val="both"/>
              <w:rPr>
                <w:rFonts w:ascii="Book Antiqua" w:eastAsia="DengXian" w:hAnsi="Book Antiqua" w:cs="宋体"/>
                <w:color w:val="000000"/>
                <w:lang w:eastAsia="zh-CN"/>
              </w:rPr>
            </w:pPr>
            <w:r>
              <w:rPr>
                <w:rFonts w:ascii="Book Antiqua" w:eastAsia="DengXian" w:hAnsi="Book Antiqua" w:cs="宋体"/>
                <w:color w:val="000000"/>
                <w:lang w:eastAsia="zh-CN"/>
              </w:rPr>
              <w:t>2</w:t>
            </w:r>
          </w:p>
        </w:tc>
        <w:tc>
          <w:tcPr>
            <w:tcW w:w="1281" w:type="dxa"/>
            <w:shd w:val="clear" w:color="000000" w:fill="auto"/>
            <w:vAlign w:val="center"/>
          </w:tcPr>
          <w:p w14:paraId="36BAD7C7" w14:textId="77777777" w:rsidR="00DE37B1" w:rsidRDefault="00000000">
            <w:pPr>
              <w:spacing w:line="360" w:lineRule="auto"/>
              <w:jc w:val="both"/>
              <w:rPr>
                <w:rFonts w:ascii="Book Antiqua" w:eastAsia="DengXian" w:hAnsi="Book Antiqua" w:cs="宋体"/>
                <w:color w:val="000000"/>
                <w:lang w:eastAsia="zh-CN"/>
              </w:rPr>
            </w:pPr>
            <w:r>
              <w:rPr>
                <w:rFonts w:ascii="Book Antiqua" w:eastAsia="DengXian" w:hAnsi="Book Antiqua" w:cs="宋体"/>
                <w:color w:val="000000"/>
                <w:lang w:eastAsia="zh-CN"/>
              </w:rPr>
              <w:t>8</w:t>
            </w:r>
          </w:p>
        </w:tc>
        <w:tc>
          <w:tcPr>
            <w:tcW w:w="1283" w:type="dxa"/>
            <w:shd w:val="clear" w:color="000000" w:fill="auto"/>
            <w:vAlign w:val="center"/>
          </w:tcPr>
          <w:p w14:paraId="38F4C5EF" w14:textId="77777777" w:rsidR="00DE37B1" w:rsidRDefault="00000000">
            <w:pPr>
              <w:spacing w:line="360" w:lineRule="auto"/>
              <w:jc w:val="both"/>
              <w:rPr>
                <w:rFonts w:ascii="Book Antiqua" w:eastAsia="DengXian" w:hAnsi="Book Antiqua" w:cs="宋体"/>
                <w:color w:val="000000"/>
                <w:lang w:eastAsia="zh-CN"/>
              </w:rPr>
            </w:pPr>
            <w:r>
              <w:rPr>
                <w:rFonts w:ascii="Book Antiqua" w:eastAsia="DengXian" w:hAnsi="Book Antiqua" w:cs="宋体"/>
                <w:color w:val="000000"/>
                <w:lang w:eastAsia="zh-CN"/>
              </w:rPr>
              <w:t>0</w:t>
            </w:r>
          </w:p>
        </w:tc>
        <w:tc>
          <w:tcPr>
            <w:tcW w:w="1281" w:type="dxa"/>
            <w:shd w:val="clear" w:color="000000" w:fill="auto"/>
            <w:vAlign w:val="center"/>
          </w:tcPr>
          <w:p w14:paraId="215A3718" w14:textId="77777777" w:rsidR="00DE37B1" w:rsidRDefault="00000000">
            <w:pPr>
              <w:spacing w:line="360" w:lineRule="auto"/>
              <w:jc w:val="both"/>
              <w:rPr>
                <w:rFonts w:ascii="Book Antiqua" w:eastAsia="DengXian" w:hAnsi="Book Antiqua" w:cs="宋体"/>
                <w:color w:val="000000"/>
                <w:lang w:eastAsia="zh-CN"/>
              </w:rPr>
            </w:pPr>
            <w:r>
              <w:rPr>
                <w:rFonts w:ascii="Book Antiqua" w:eastAsia="DengXian" w:hAnsi="Book Antiqua" w:cs="宋体"/>
                <w:color w:val="000000"/>
                <w:lang w:eastAsia="zh-CN"/>
              </w:rPr>
              <w:t>0</w:t>
            </w:r>
          </w:p>
        </w:tc>
      </w:tr>
      <w:tr w:rsidR="00DE37B1" w14:paraId="1018F8AD" w14:textId="77777777">
        <w:trPr>
          <w:trHeight w:val="360"/>
        </w:trPr>
        <w:tc>
          <w:tcPr>
            <w:tcW w:w="1390" w:type="dxa"/>
            <w:shd w:val="clear" w:color="000000" w:fill="auto"/>
            <w:vAlign w:val="center"/>
          </w:tcPr>
          <w:p w14:paraId="32C8AC05" w14:textId="77777777" w:rsidR="00DE37B1" w:rsidRDefault="00000000">
            <w:pPr>
              <w:spacing w:line="360" w:lineRule="auto"/>
              <w:jc w:val="both"/>
              <w:rPr>
                <w:rFonts w:ascii="Book Antiqua" w:eastAsia="DengXian" w:hAnsi="Book Antiqua" w:cs="宋体"/>
                <w:color w:val="000000"/>
                <w:lang w:eastAsia="zh-CN"/>
              </w:rPr>
            </w:pPr>
            <w:r>
              <w:rPr>
                <w:rFonts w:ascii="Book Antiqua" w:eastAsia="DengXian" w:hAnsi="Book Antiqua" w:cs="宋体"/>
                <w:color w:val="000000"/>
                <w:lang w:eastAsia="zh-CN"/>
              </w:rPr>
              <w:t>MO</w:t>
            </w:r>
          </w:p>
        </w:tc>
        <w:tc>
          <w:tcPr>
            <w:tcW w:w="1281" w:type="dxa"/>
            <w:shd w:val="clear" w:color="000000" w:fill="auto"/>
            <w:vAlign w:val="center"/>
          </w:tcPr>
          <w:p w14:paraId="577C198D" w14:textId="77777777" w:rsidR="00DE37B1" w:rsidRDefault="00000000">
            <w:pPr>
              <w:spacing w:line="360" w:lineRule="auto"/>
              <w:jc w:val="both"/>
              <w:rPr>
                <w:rFonts w:ascii="Book Antiqua" w:eastAsia="DengXian" w:hAnsi="Book Antiqua" w:cs="宋体"/>
                <w:color w:val="000000"/>
                <w:lang w:eastAsia="zh-CN"/>
              </w:rPr>
            </w:pPr>
            <w:r>
              <w:rPr>
                <w:rFonts w:ascii="Book Antiqua" w:eastAsia="DengXian" w:hAnsi="Book Antiqua" w:cs="宋体"/>
                <w:color w:val="000000"/>
                <w:lang w:eastAsia="zh-CN"/>
              </w:rPr>
              <w:t>36</w:t>
            </w:r>
          </w:p>
        </w:tc>
        <w:tc>
          <w:tcPr>
            <w:tcW w:w="1284" w:type="dxa"/>
            <w:shd w:val="clear" w:color="000000" w:fill="auto"/>
            <w:vAlign w:val="center"/>
          </w:tcPr>
          <w:p w14:paraId="4EED18FA" w14:textId="77777777" w:rsidR="00DE37B1" w:rsidRDefault="00000000">
            <w:pPr>
              <w:spacing w:line="360" w:lineRule="auto"/>
              <w:jc w:val="both"/>
              <w:rPr>
                <w:rFonts w:ascii="Book Antiqua" w:eastAsia="DengXian" w:hAnsi="Book Antiqua" w:cs="宋体"/>
                <w:color w:val="000000"/>
                <w:lang w:eastAsia="zh-CN"/>
              </w:rPr>
            </w:pPr>
            <w:r>
              <w:rPr>
                <w:rFonts w:ascii="Book Antiqua" w:eastAsia="DengXian" w:hAnsi="Book Antiqua" w:cs="宋体"/>
                <w:color w:val="000000"/>
                <w:lang w:eastAsia="zh-CN"/>
              </w:rPr>
              <w:t>0</w:t>
            </w:r>
          </w:p>
        </w:tc>
        <w:tc>
          <w:tcPr>
            <w:tcW w:w="1281" w:type="dxa"/>
            <w:shd w:val="clear" w:color="000000" w:fill="auto"/>
            <w:vAlign w:val="center"/>
          </w:tcPr>
          <w:p w14:paraId="78E41817" w14:textId="77777777" w:rsidR="00DE37B1" w:rsidRDefault="00000000">
            <w:pPr>
              <w:spacing w:line="360" w:lineRule="auto"/>
              <w:jc w:val="both"/>
              <w:rPr>
                <w:rFonts w:ascii="Book Antiqua" w:eastAsia="DengXian" w:hAnsi="Book Antiqua" w:cs="宋体"/>
                <w:color w:val="000000"/>
                <w:lang w:eastAsia="zh-CN"/>
              </w:rPr>
            </w:pPr>
            <w:r>
              <w:rPr>
                <w:rFonts w:ascii="Book Antiqua" w:eastAsia="DengXian" w:hAnsi="Book Antiqua" w:cs="宋体"/>
                <w:color w:val="000000"/>
                <w:lang w:eastAsia="zh-CN"/>
              </w:rPr>
              <w:t>0</w:t>
            </w:r>
          </w:p>
        </w:tc>
        <w:tc>
          <w:tcPr>
            <w:tcW w:w="1283" w:type="dxa"/>
            <w:shd w:val="clear" w:color="000000" w:fill="auto"/>
            <w:vAlign w:val="center"/>
          </w:tcPr>
          <w:p w14:paraId="617D326C" w14:textId="77777777" w:rsidR="00DE37B1" w:rsidRDefault="00000000">
            <w:pPr>
              <w:spacing w:line="360" w:lineRule="auto"/>
              <w:jc w:val="both"/>
              <w:rPr>
                <w:rFonts w:ascii="Book Antiqua" w:eastAsia="DengXian" w:hAnsi="Book Antiqua" w:cs="宋体"/>
                <w:color w:val="000000"/>
                <w:lang w:eastAsia="zh-CN"/>
              </w:rPr>
            </w:pPr>
            <w:r>
              <w:rPr>
                <w:rFonts w:ascii="Book Antiqua" w:eastAsia="DengXian" w:hAnsi="Book Antiqua" w:cs="宋体"/>
                <w:color w:val="000000"/>
                <w:lang w:eastAsia="zh-CN"/>
              </w:rPr>
              <w:t>36</w:t>
            </w:r>
          </w:p>
        </w:tc>
        <w:tc>
          <w:tcPr>
            <w:tcW w:w="1281" w:type="dxa"/>
            <w:shd w:val="clear" w:color="000000" w:fill="auto"/>
            <w:vAlign w:val="center"/>
          </w:tcPr>
          <w:p w14:paraId="1B04540B" w14:textId="77777777" w:rsidR="00DE37B1" w:rsidRDefault="00000000">
            <w:pPr>
              <w:spacing w:line="360" w:lineRule="auto"/>
              <w:jc w:val="both"/>
              <w:rPr>
                <w:rFonts w:ascii="Book Antiqua" w:eastAsia="DengXian" w:hAnsi="Book Antiqua" w:cs="宋体"/>
                <w:color w:val="000000"/>
                <w:lang w:eastAsia="zh-CN"/>
              </w:rPr>
            </w:pPr>
            <w:r>
              <w:rPr>
                <w:rFonts w:ascii="Book Antiqua" w:eastAsia="DengXian" w:hAnsi="Book Antiqua" w:cs="宋体"/>
                <w:color w:val="000000"/>
                <w:lang w:eastAsia="zh-CN"/>
              </w:rPr>
              <w:t>0</w:t>
            </w:r>
          </w:p>
        </w:tc>
      </w:tr>
      <w:tr w:rsidR="00DE37B1" w14:paraId="419C9625" w14:textId="77777777">
        <w:trPr>
          <w:trHeight w:val="360"/>
        </w:trPr>
        <w:tc>
          <w:tcPr>
            <w:tcW w:w="1390" w:type="dxa"/>
            <w:tcBorders>
              <w:bottom w:val="single" w:sz="8" w:space="0" w:color="000000"/>
            </w:tcBorders>
            <w:shd w:val="clear" w:color="000000" w:fill="auto"/>
            <w:vAlign w:val="center"/>
          </w:tcPr>
          <w:p w14:paraId="2908ADAF" w14:textId="77777777" w:rsidR="00DE37B1" w:rsidRDefault="00000000">
            <w:pPr>
              <w:spacing w:line="360" w:lineRule="auto"/>
              <w:jc w:val="both"/>
              <w:rPr>
                <w:rFonts w:ascii="Book Antiqua" w:eastAsia="DengXian" w:hAnsi="Book Antiqua" w:cs="宋体"/>
                <w:color w:val="000000"/>
                <w:lang w:eastAsia="zh-CN"/>
              </w:rPr>
            </w:pPr>
            <w:r>
              <w:rPr>
                <w:rFonts w:ascii="Book Antiqua" w:eastAsia="DengXian" w:hAnsi="Book Antiqua" w:cs="宋体"/>
                <w:color w:val="000000"/>
                <w:lang w:eastAsia="zh-CN"/>
              </w:rPr>
              <w:t>M1</w:t>
            </w:r>
          </w:p>
        </w:tc>
        <w:tc>
          <w:tcPr>
            <w:tcW w:w="1281" w:type="dxa"/>
            <w:tcBorders>
              <w:bottom w:val="single" w:sz="8" w:space="0" w:color="000000"/>
            </w:tcBorders>
            <w:shd w:val="clear" w:color="000000" w:fill="auto"/>
            <w:vAlign w:val="center"/>
          </w:tcPr>
          <w:p w14:paraId="4CFBEC30" w14:textId="77777777" w:rsidR="00DE37B1" w:rsidRDefault="00000000">
            <w:pPr>
              <w:spacing w:line="360" w:lineRule="auto"/>
              <w:jc w:val="both"/>
              <w:rPr>
                <w:rFonts w:ascii="Book Antiqua" w:eastAsia="DengXian" w:hAnsi="Book Antiqua" w:cs="宋体"/>
                <w:color w:val="000000"/>
                <w:lang w:eastAsia="zh-CN"/>
              </w:rPr>
            </w:pPr>
            <w:r>
              <w:rPr>
                <w:rFonts w:ascii="Book Antiqua" w:eastAsia="DengXian" w:hAnsi="Book Antiqua" w:cs="宋体"/>
                <w:color w:val="000000"/>
                <w:lang w:eastAsia="zh-CN"/>
              </w:rPr>
              <w:t>4</w:t>
            </w:r>
          </w:p>
        </w:tc>
        <w:tc>
          <w:tcPr>
            <w:tcW w:w="1284" w:type="dxa"/>
            <w:tcBorders>
              <w:bottom w:val="single" w:sz="8" w:space="0" w:color="000000"/>
            </w:tcBorders>
            <w:shd w:val="clear" w:color="000000" w:fill="auto"/>
            <w:vAlign w:val="center"/>
          </w:tcPr>
          <w:p w14:paraId="77A0D091" w14:textId="77777777" w:rsidR="00DE37B1" w:rsidRDefault="00000000">
            <w:pPr>
              <w:spacing w:line="360" w:lineRule="auto"/>
              <w:jc w:val="both"/>
              <w:rPr>
                <w:rFonts w:ascii="Book Antiqua" w:eastAsia="DengXian" w:hAnsi="Book Antiqua" w:cs="宋体"/>
                <w:color w:val="000000"/>
                <w:lang w:eastAsia="zh-CN"/>
              </w:rPr>
            </w:pPr>
            <w:r>
              <w:rPr>
                <w:rFonts w:ascii="Book Antiqua" w:eastAsia="DengXian" w:hAnsi="Book Antiqua" w:cs="宋体"/>
                <w:color w:val="000000"/>
                <w:lang w:eastAsia="zh-CN"/>
              </w:rPr>
              <w:t>0</w:t>
            </w:r>
          </w:p>
        </w:tc>
        <w:tc>
          <w:tcPr>
            <w:tcW w:w="1281" w:type="dxa"/>
            <w:tcBorders>
              <w:bottom w:val="single" w:sz="8" w:space="0" w:color="000000"/>
            </w:tcBorders>
            <w:shd w:val="clear" w:color="000000" w:fill="auto"/>
            <w:vAlign w:val="center"/>
          </w:tcPr>
          <w:p w14:paraId="6F6E306D" w14:textId="77777777" w:rsidR="00DE37B1" w:rsidRDefault="00000000">
            <w:pPr>
              <w:spacing w:line="360" w:lineRule="auto"/>
              <w:jc w:val="both"/>
              <w:rPr>
                <w:rFonts w:ascii="Book Antiqua" w:eastAsia="DengXian" w:hAnsi="Book Antiqua" w:cs="宋体"/>
                <w:color w:val="000000"/>
                <w:lang w:eastAsia="zh-CN"/>
              </w:rPr>
            </w:pPr>
            <w:r>
              <w:rPr>
                <w:rFonts w:ascii="Book Antiqua" w:eastAsia="DengXian" w:hAnsi="Book Antiqua" w:cs="宋体"/>
                <w:color w:val="000000"/>
                <w:lang w:eastAsia="zh-CN"/>
              </w:rPr>
              <w:t>0</w:t>
            </w:r>
          </w:p>
        </w:tc>
        <w:tc>
          <w:tcPr>
            <w:tcW w:w="1283" w:type="dxa"/>
            <w:tcBorders>
              <w:bottom w:val="single" w:sz="8" w:space="0" w:color="000000"/>
            </w:tcBorders>
            <w:shd w:val="clear" w:color="000000" w:fill="auto"/>
            <w:vAlign w:val="center"/>
          </w:tcPr>
          <w:p w14:paraId="7144B936" w14:textId="77777777" w:rsidR="00DE37B1" w:rsidRDefault="00000000">
            <w:pPr>
              <w:spacing w:line="360" w:lineRule="auto"/>
              <w:jc w:val="both"/>
              <w:rPr>
                <w:rFonts w:ascii="Book Antiqua" w:eastAsia="DengXian" w:hAnsi="Book Antiqua" w:cs="宋体"/>
                <w:color w:val="000000"/>
                <w:lang w:eastAsia="zh-CN"/>
              </w:rPr>
            </w:pPr>
            <w:r>
              <w:rPr>
                <w:rFonts w:ascii="Book Antiqua" w:eastAsia="DengXian" w:hAnsi="Book Antiqua" w:cs="宋体"/>
                <w:color w:val="000000"/>
                <w:lang w:eastAsia="zh-CN"/>
              </w:rPr>
              <w:t>0</w:t>
            </w:r>
          </w:p>
        </w:tc>
        <w:tc>
          <w:tcPr>
            <w:tcW w:w="1281" w:type="dxa"/>
            <w:tcBorders>
              <w:bottom w:val="single" w:sz="8" w:space="0" w:color="000000"/>
            </w:tcBorders>
            <w:shd w:val="clear" w:color="000000" w:fill="auto"/>
            <w:vAlign w:val="center"/>
          </w:tcPr>
          <w:p w14:paraId="748230F1" w14:textId="77777777" w:rsidR="00DE37B1" w:rsidRDefault="00000000">
            <w:pPr>
              <w:spacing w:line="360" w:lineRule="auto"/>
              <w:jc w:val="both"/>
              <w:rPr>
                <w:rFonts w:ascii="Book Antiqua" w:eastAsia="DengXian" w:hAnsi="Book Antiqua" w:cs="宋体"/>
                <w:color w:val="000000"/>
                <w:lang w:eastAsia="zh-CN"/>
              </w:rPr>
            </w:pPr>
            <w:r>
              <w:rPr>
                <w:rFonts w:ascii="Book Antiqua" w:eastAsia="DengXian" w:hAnsi="Book Antiqua" w:cs="宋体"/>
                <w:color w:val="000000"/>
                <w:lang w:eastAsia="zh-CN"/>
              </w:rPr>
              <w:t>4</w:t>
            </w:r>
          </w:p>
        </w:tc>
      </w:tr>
      <w:bookmarkEnd w:id="25"/>
      <w:bookmarkEnd w:id="26"/>
      <w:bookmarkEnd w:id="27"/>
    </w:tbl>
    <w:p w14:paraId="2F38E860" w14:textId="5A8F20C5" w:rsidR="003361B7" w:rsidRDefault="003361B7">
      <w:pPr>
        <w:spacing w:line="360" w:lineRule="auto"/>
        <w:jc w:val="both"/>
      </w:pPr>
    </w:p>
    <w:p w14:paraId="3FE90B78" w14:textId="77777777" w:rsidR="003361B7" w:rsidRDefault="003361B7">
      <w:r>
        <w:br w:type="page"/>
      </w:r>
    </w:p>
    <w:p w14:paraId="6A69D5A1" w14:textId="77777777" w:rsidR="003361B7" w:rsidRDefault="003361B7" w:rsidP="003361B7">
      <w:pPr>
        <w:snapToGrid w:val="0"/>
        <w:ind w:leftChars="100" w:left="240"/>
        <w:jc w:val="center"/>
        <w:rPr>
          <w:rFonts w:ascii="Book Antiqua" w:hAnsi="Book Antiqua"/>
        </w:rPr>
      </w:pPr>
    </w:p>
    <w:p w14:paraId="793575EC" w14:textId="77777777" w:rsidR="003361B7" w:rsidRDefault="003361B7" w:rsidP="003361B7">
      <w:pPr>
        <w:snapToGrid w:val="0"/>
        <w:ind w:leftChars="100" w:left="240"/>
        <w:jc w:val="center"/>
        <w:rPr>
          <w:rFonts w:ascii="Book Antiqua" w:hAnsi="Book Antiqua"/>
        </w:rPr>
      </w:pPr>
    </w:p>
    <w:p w14:paraId="12F9E948" w14:textId="77777777" w:rsidR="003361B7" w:rsidRDefault="003361B7" w:rsidP="003361B7">
      <w:pPr>
        <w:snapToGrid w:val="0"/>
        <w:ind w:leftChars="100" w:left="240"/>
        <w:jc w:val="center"/>
        <w:rPr>
          <w:rFonts w:ascii="Book Antiqua" w:hAnsi="Book Antiqua"/>
        </w:rPr>
      </w:pPr>
    </w:p>
    <w:p w14:paraId="18771D17" w14:textId="77777777" w:rsidR="003361B7" w:rsidRDefault="003361B7" w:rsidP="003361B7">
      <w:pPr>
        <w:snapToGrid w:val="0"/>
        <w:ind w:leftChars="100" w:left="240"/>
        <w:jc w:val="center"/>
        <w:rPr>
          <w:rFonts w:ascii="Book Antiqua" w:hAnsi="Book Antiqua"/>
        </w:rPr>
      </w:pPr>
    </w:p>
    <w:p w14:paraId="2CA3BC18" w14:textId="77777777" w:rsidR="003361B7" w:rsidRDefault="003361B7" w:rsidP="003361B7">
      <w:pPr>
        <w:snapToGrid w:val="0"/>
        <w:ind w:leftChars="100" w:left="240"/>
        <w:jc w:val="center"/>
        <w:rPr>
          <w:rFonts w:ascii="Book Antiqua" w:hAnsi="Book Antiqua"/>
        </w:rPr>
      </w:pPr>
      <w:r>
        <w:rPr>
          <w:rFonts w:ascii="Book Antiqua" w:hAnsi="Book Antiqua"/>
          <w:noProof/>
        </w:rPr>
        <w:drawing>
          <wp:inline distT="0" distB="0" distL="0" distR="0" wp14:anchorId="6C6D8DE0" wp14:editId="41E8B27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073BC2A" w14:textId="77777777" w:rsidR="003361B7" w:rsidRDefault="003361B7" w:rsidP="003361B7">
      <w:pPr>
        <w:snapToGrid w:val="0"/>
        <w:ind w:leftChars="100" w:left="240"/>
        <w:jc w:val="center"/>
        <w:rPr>
          <w:rFonts w:ascii="Book Antiqua" w:hAnsi="Book Antiqua"/>
        </w:rPr>
      </w:pPr>
    </w:p>
    <w:p w14:paraId="130649C3" w14:textId="77777777" w:rsidR="003361B7" w:rsidRDefault="003361B7" w:rsidP="003361B7">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34881A6" w14:textId="77777777" w:rsidR="003361B7" w:rsidRDefault="003361B7" w:rsidP="003361B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FA2A5E8" w14:textId="77777777" w:rsidR="003361B7" w:rsidRDefault="003361B7" w:rsidP="003361B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DC37EA2" w14:textId="77777777" w:rsidR="003361B7" w:rsidRDefault="003361B7" w:rsidP="003361B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FDE0663" w14:textId="77777777" w:rsidR="003361B7" w:rsidRDefault="003361B7" w:rsidP="003361B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3A7CF44" w14:textId="77777777" w:rsidR="003361B7" w:rsidRDefault="003361B7" w:rsidP="003361B7">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7C7529A" w14:textId="77777777" w:rsidR="003361B7" w:rsidRDefault="003361B7" w:rsidP="003361B7">
      <w:pPr>
        <w:snapToGrid w:val="0"/>
        <w:ind w:leftChars="100" w:left="240"/>
        <w:jc w:val="center"/>
        <w:rPr>
          <w:rFonts w:ascii="Book Antiqua" w:hAnsi="Book Antiqua"/>
        </w:rPr>
      </w:pPr>
    </w:p>
    <w:p w14:paraId="04B88AD5" w14:textId="77777777" w:rsidR="003361B7" w:rsidRDefault="003361B7" w:rsidP="003361B7">
      <w:pPr>
        <w:snapToGrid w:val="0"/>
        <w:ind w:leftChars="100" w:left="240"/>
        <w:jc w:val="center"/>
        <w:rPr>
          <w:rFonts w:ascii="Book Antiqua" w:hAnsi="Book Antiqua"/>
        </w:rPr>
      </w:pPr>
    </w:p>
    <w:p w14:paraId="36B2B94A" w14:textId="77777777" w:rsidR="003361B7" w:rsidRDefault="003361B7" w:rsidP="003361B7">
      <w:pPr>
        <w:snapToGrid w:val="0"/>
        <w:ind w:leftChars="100" w:left="240"/>
        <w:jc w:val="center"/>
        <w:rPr>
          <w:rFonts w:ascii="Book Antiqua" w:hAnsi="Book Antiqua"/>
        </w:rPr>
      </w:pPr>
    </w:p>
    <w:p w14:paraId="017B104C" w14:textId="77777777" w:rsidR="003361B7" w:rsidRDefault="003361B7" w:rsidP="003361B7">
      <w:pPr>
        <w:snapToGrid w:val="0"/>
        <w:ind w:leftChars="100" w:left="240"/>
        <w:jc w:val="center"/>
        <w:rPr>
          <w:rFonts w:ascii="Book Antiqua" w:hAnsi="Book Antiqua"/>
        </w:rPr>
      </w:pPr>
      <w:r>
        <w:rPr>
          <w:rFonts w:ascii="Book Antiqua" w:hAnsi="Book Antiqua"/>
          <w:noProof/>
        </w:rPr>
        <w:drawing>
          <wp:inline distT="0" distB="0" distL="0" distR="0" wp14:anchorId="1712CB28" wp14:editId="47088E2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92CE0DD" w14:textId="77777777" w:rsidR="003361B7" w:rsidRDefault="003361B7" w:rsidP="003361B7">
      <w:pPr>
        <w:snapToGrid w:val="0"/>
        <w:ind w:leftChars="100" w:left="240"/>
        <w:jc w:val="center"/>
        <w:rPr>
          <w:rFonts w:ascii="Book Antiqua" w:hAnsi="Book Antiqua"/>
        </w:rPr>
      </w:pPr>
    </w:p>
    <w:p w14:paraId="79BB7365" w14:textId="77777777" w:rsidR="003361B7" w:rsidRDefault="003361B7" w:rsidP="003361B7">
      <w:pPr>
        <w:snapToGrid w:val="0"/>
        <w:ind w:leftChars="100" w:left="240"/>
        <w:jc w:val="center"/>
        <w:rPr>
          <w:rFonts w:ascii="Book Antiqua" w:hAnsi="Book Antiqua"/>
        </w:rPr>
      </w:pPr>
    </w:p>
    <w:p w14:paraId="2746F1B0" w14:textId="77777777" w:rsidR="003361B7" w:rsidRDefault="003361B7" w:rsidP="003361B7">
      <w:pPr>
        <w:snapToGrid w:val="0"/>
        <w:ind w:leftChars="100" w:left="240"/>
        <w:jc w:val="center"/>
        <w:rPr>
          <w:rFonts w:ascii="Book Antiqua" w:hAnsi="Book Antiqua"/>
        </w:rPr>
      </w:pPr>
    </w:p>
    <w:p w14:paraId="67B2BA7C" w14:textId="77777777" w:rsidR="003361B7" w:rsidRDefault="003361B7" w:rsidP="003361B7">
      <w:pPr>
        <w:snapToGrid w:val="0"/>
        <w:ind w:leftChars="100" w:left="240"/>
        <w:jc w:val="center"/>
        <w:rPr>
          <w:rFonts w:ascii="Book Antiqua" w:hAnsi="Book Antiqua"/>
        </w:rPr>
      </w:pPr>
    </w:p>
    <w:p w14:paraId="4EA9272C" w14:textId="77777777" w:rsidR="003361B7" w:rsidRDefault="003361B7" w:rsidP="003361B7">
      <w:pPr>
        <w:snapToGrid w:val="0"/>
        <w:ind w:leftChars="100" w:left="240"/>
        <w:jc w:val="center"/>
        <w:rPr>
          <w:rFonts w:ascii="Book Antiqua" w:hAnsi="Book Antiqua"/>
        </w:rPr>
      </w:pPr>
    </w:p>
    <w:p w14:paraId="4A50B40D" w14:textId="77777777" w:rsidR="003361B7" w:rsidRDefault="003361B7" w:rsidP="003361B7">
      <w:pPr>
        <w:snapToGrid w:val="0"/>
        <w:ind w:leftChars="100" w:left="240"/>
        <w:jc w:val="center"/>
        <w:rPr>
          <w:rFonts w:ascii="Book Antiqua" w:hAnsi="Book Antiqua"/>
        </w:rPr>
      </w:pPr>
    </w:p>
    <w:p w14:paraId="1518343C" w14:textId="77777777" w:rsidR="003361B7" w:rsidRDefault="003361B7" w:rsidP="003361B7">
      <w:pPr>
        <w:snapToGrid w:val="0"/>
        <w:ind w:leftChars="100" w:left="240"/>
        <w:jc w:val="center"/>
        <w:rPr>
          <w:rFonts w:ascii="Book Antiqua" w:hAnsi="Book Antiqua"/>
        </w:rPr>
      </w:pPr>
    </w:p>
    <w:p w14:paraId="5C98AFA5" w14:textId="77777777" w:rsidR="003361B7" w:rsidRDefault="003361B7" w:rsidP="003361B7">
      <w:pPr>
        <w:snapToGrid w:val="0"/>
        <w:ind w:leftChars="100" w:left="240"/>
        <w:jc w:val="center"/>
        <w:rPr>
          <w:rFonts w:ascii="Book Antiqua" w:hAnsi="Book Antiqua"/>
        </w:rPr>
      </w:pPr>
    </w:p>
    <w:p w14:paraId="68974294" w14:textId="77777777" w:rsidR="003361B7" w:rsidRDefault="003361B7" w:rsidP="003361B7">
      <w:pPr>
        <w:snapToGrid w:val="0"/>
        <w:ind w:leftChars="100" w:left="240"/>
        <w:jc w:val="center"/>
        <w:rPr>
          <w:rFonts w:ascii="Book Antiqua" w:hAnsi="Book Antiqua"/>
        </w:rPr>
      </w:pPr>
    </w:p>
    <w:p w14:paraId="0DE2085A" w14:textId="77777777" w:rsidR="003361B7" w:rsidRDefault="003361B7" w:rsidP="003361B7">
      <w:pPr>
        <w:snapToGrid w:val="0"/>
        <w:ind w:leftChars="100" w:left="240"/>
        <w:jc w:val="right"/>
        <w:rPr>
          <w:rFonts w:ascii="Book Antiqua" w:hAnsi="Book Antiqua"/>
          <w:color w:val="000000" w:themeColor="text1"/>
        </w:rPr>
      </w:pPr>
    </w:p>
    <w:p w14:paraId="33671D58" w14:textId="77777777" w:rsidR="003361B7" w:rsidRDefault="003361B7" w:rsidP="003361B7">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Pr>
          <w:rFonts w:ascii="Book Antiqua" w:eastAsia="BookAntiqua-Bold" w:hAnsi="Book Antiqua" w:cs="BookAntiqua-Bold"/>
          <w:b/>
          <w:bCs/>
          <w:color w:val="000000" w:themeColor="text1"/>
        </w:rPr>
        <w:t xml:space="preserve"> Baishideng Publishing Group Inc. All rights reserved.</w:t>
      </w:r>
    </w:p>
    <w:p w14:paraId="15DD78BC" w14:textId="77777777" w:rsidR="003361B7" w:rsidRDefault="003361B7" w:rsidP="003361B7">
      <w:pPr>
        <w:rPr>
          <w:rFonts w:ascii="Book Antiqua" w:hAnsi="Book Antiqua" w:cs="Book Antiqua"/>
          <w:b/>
          <w:bCs/>
          <w:color w:val="000000"/>
        </w:rPr>
      </w:pPr>
    </w:p>
    <w:p w14:paraId="565373D2" w14:textId="77777777" w:rsidR="00DE37B1" w:rsidRDefault="00DE37B1">
      <w:pPr>
        <w:spacing w:line="360" w:lineRule="auto"/>
        <w:jc w:val="both"/>
      </w:pPr>
    </w:p>
    <w:sectPr w:rsidR="00DE37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B9555" w14:textId="77777777" w:rsidR="00CD411E" w:rsidRDefault="00CD411E">
      <w:r>
        <w:separator/>
      </w:r>
    </w:p>
  </w:endnote>
  <w:endnote w:type="continuationSeparator" w:id="0">
    <w:p w14:paraId="156B5170" w14:textId="77777777" w:rsidR="00CD411E" w:rsidRDefault="00CD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Segoe Print"/>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144C7" w14:textId="77777777" w:rsidR="00DE37B1" w:rsidRDefault="00000000">
    <w:pPr>
      <w:pStyle w:val="a3"/>
      <w:jc w:val="right"/>
      <w:rPr>
        <w:rFonts w:ascii="Book Antiqua" w:hAnsi="Book Antiqua"/>
        <w:color w:val="000000" w:themeColor="text1"/>
        <w:sz w:val="24"/>
        <w:szCs w:val="24"/>
      </w:rPr>
    </w:pPr>
    <w:bookmarkStart w:id="10" w:name="OLE_LINK7534"/>
    <w:bookmarkStart w:id="11" w:name="OLE_LINK7535"/>
    <w:r>
      <w:rPr>
        <w:rFonts w:ascii="Book Antiqua" w:hAnsi="Book Antiqua"/>
        <w:color w:val="000000" w:themeColor="text1"/>
        <w:sz w:val="24"/>
        <w:szCs w:val="24"/>
        <w:lang w:val="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rPr>
      <w:t>2</w:t>
    </w:r>
    <w:r>
      <w:rPr>
        <w:rFonts w:ascii="Book Antiqua" w:hAnsi="Book Antiqua"/>
        <w:color w:val="000000" w:themeColor="text1"/>
        <w:sz w:val="24"/>
        <w:szCs w:val="24"/>
      </w:rPr>
      <w:fldChar w:fldCharType="end"/>
    </w:r>
  </w:p>
  <w:bookmarkEnd w:id="10"/>
  <w:bookmarkEnd w:id="11"/>
  <w:p w14:paraId="7EF8697F" w14:textId="77777777" w:rsidR="00DE37B1" w:rsidRDefault="00DE37B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DF9A2" w14:textId="77777777" w:rsidR="00CD411E" w:rsidRDefault="00CD411E">
      <w:r>
        <w:separator/>
      </w:r>
    </w:p>
  </w:footnote>
  <w:footnote w:type="continuationSeparator" w:id="0">
    <w:p w14:paraId="32CC359C" w14:textId="77777777" w:rsidR="00CD411E" w:rsidRDefault="00CD41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40442"/>
    <w:rsid w:val="00055A75"/>
    <w:rsid w:val="00091DF8"/>
    <w:rsid w:val="000A01B4"/>
    <w:rsid w:val="003361B7"/>
    <w:rsid w:val="003B3727"/>
    <w:rsid w:val="003B7422"/>
    <w:rsid w:val="003E5EFF"/>
    <w:rsid w:val="004F18D4"/>
    <w:rsid w:val="0052468E"/>
    <w:rsid w:val="005A6F21"/>
    <w:rsid w:val="005B483E"/>
    <w:rsid w:val="005F36FD"/>
    <w:rsid w:val="00613E99"/>
    <w:rsid w:val="007710D3"/>
    <w:rsid w:val="00863274"/>
    <w:rsid w:val="009F392E"/>
    <w:rsid w:val="00A274FE"/>
    <w:rsid w:val="00A31266"/>
    <w:rsid w:val="00A77B3E"/>
    <w:rsid w:val="00B53E46"/>
    <w:rsid w:val="00B67573"/>
    <w:rsid w:val="00B717F9"/>
    <w:rsid w:val="00BC587A"/>
    <w:rsid w:val="00C32CE9"/>
    <w:rsid w:val="00C413AA"/>
    <w:rsid w:val="00C42E04"/>
    <w:rsid w:val="00CA2A55"/>
    <w:rsid w:val="00CD411E"/>
    <w:rsid w:val="00D36FD2"/>
    <w:rsid w:val="00D806C3"/>
    <w:rsid w:val="00DE37B1"/>
    <w:rsid w:val="00DE4680"/>
    <w:rsid w:val="00ED4378"/>
    <w:rsid w:val="00F362C6"/>
    <w:rsid w:val="00F628C8"/>
    <w:rsid w:val="00F64121"/>
    <w:rsid w:val="00F94816"/>
    <w:rsid w:val="00FA753A"/>
    <w:rsid w:val="00FF0BE2"/>
    <w:rsid w:val="12257BB0"/>
    <w:rsid w:val="248058AC"/>
    <w:rsid w:val="384A565E"/>
    <w:rsid w:val="3B5E5B06"/>
    <w:rsid w:val="40007680"/>
    <w:rsid w:val="63FC70D8"/>
    <w:rsid w:val="715E45EE"/>
    <w:rsid w:val="7C4F2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D80B79"/>
  <w15:docId w15:val="{019FFF17-38E5-4D74-9FEA-2B24F8CBC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18"/>
      <w:szCs w:val="18"/>
    </w:rPr>
  </w:style>
  <w:style w:type="paragraph" w:styleId="a5">
    <w:name w:val="header"/>
    <w:basedOn w:val="a"/>
    <w:link w:val="a6"/>
    <w:pPr>
      <w:tabs>
        <w:tab w:val="center" w:pos="4153"/>
        <w:tab w:val="right" w:pos="8306"/>
      </w:tabs>
      <w:snapToGrid w:val="0"/>
      <w:jc w:val="center"/>
    </w:pPr>
    <w:rPr>
      <w:sz w:val="18"/>
      <w:szCs w:val="18"/>
    </w:rPr>
  </w:style>
  <w:style w:type="character" w:customStyle="1" w:styleId="a6">
    <w:name w:val="页眉 字符"/>
    <w:basedOn w:val="a0"/>
    <w:link w:val="a5"/>
    <w:qFormat/>
    <w:rPr>
      <w:sz w:val="18"/>
      <w:szCs w:val="18"/>
    </w:rPr>
  </w:style>
  <w:style w:type="character" w:customStyle="1" w:styleId="a4">
    <w:name w:val="页脚 字符"/>
    <w:basedOn w:val="a0"/>
    <w:link w:val="a3"/>
    <w:uiPriority w:val="99"/>
    <w:qFormat/>
    <w:rPr>
      <w:sz w:val="18"/>
      <w:szCs w:val="18"/>
    </w:rPr>
  </w:style>
  <w:style w:type="paragraph" w:customStyle="1" w:styleId="1">
    <w:name w:val="正文1"/>
    <w:link w:val="10"/>
    <w:qFormat/>
    <w:pPr>
      <w:framePr w:wrap="around" w:hAnchor="text" w:y="1"/>
      <w:widowControl w:val="0"/>
      <w:jc w:val="both"/>
    </w:pPr>
    <w:rPr>
      <w:rFonts w:eastAsia="Arial Unicode MS" w:cs="Arial Unicode MS"/>
      <w:color w:val="000000"/>
      <w:kern w:val="2"/>
      <w:sz w:val="21"/>
      <w:szCs w:val="21"/>
      <w:u w:color="000000"/>
    </w:rPr>
  </w:style>
  <w:style w:type="character" w:customStyle="1" w:styleId="10">
    <w:name w:val="正文1 字符"/>
    <w:basedOn w:val="a0"/>
    <w:link w:val="1"/>
    <w:qFormat/>
    <w:rPr>
      <w:rFonts w:eastAsia="Arial Unicode MS" w:cs="Arial Unicode MS"/>
      <w:color w:val="000000"/>
      <w:kern w:val="2"/>
      <w:sz w:val="21"/>
      <w:szCs w:val="21"/>
      <w:u w:color="000000"/>
      <w:lang w:eastAsia="zh-CN"/>
    </w:rPr>
  </w:style>
  <w:style w:type="paragraph" w:customStyle="1" w:styleId="11">
    <w:name w:val="修订1"/>
    <w:hidden/>
    <w:uiPriority w:val="99"/>
    <w:semiHidden/>
    <w:rPr>
      <w:sz w:val="24"/>
      <w:szCs w:val="24"/>
      <w:lang w:eastAsia="en-US"/>
    </w:rPr>
  </w:style>
  <w:style w:type="paragraph" w:styleId="a7">
    <w:name w:val="Revision"/>
    <w:hidden/>
    <w:uiPriority w:val="99"/>
    <w:unhideWhenUsed/>
    <w:rsid w:val="00091DF8"/>
    <w:rPr>
      <w:sz w:val="24"/>
      <w:szCs w:val="24"/>
      <w:lang w:eastAsia="en-US"/>
    </w:rPr>
  </w:style>
  <w:style w:type="character" w:styleId="a8">
    <w:name w:val="Hyperlink"/>
    <w:basedOn w:val="a0"/>
    <w:rsid w:val="003361B7"/>
    <w:rPr>
      <w:color w:val="0000FF" w:themeColor="hyperlink"/>
      <w:u w:val="single"/>
    </w:rPr>
  </w:style>
  <w:style w:type="character" w:styleId="a9">
    <w:name w:val="Unresolved Mention"/>
    <w:basedOn w:val="a0"/>
    <w:uiPriority w:val="99"/>
    <w:semiHidden/>
    <w:unhideWhenUsed/>
    <w:rsid w:val="00336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24</Pages>
  <Words>5037</Words>
  <Characters>28717</Characters>
  <Application>Microsoft Office Word</Application>
  <DocSecurity>0</DocSecurity>
  <Lines>239</Lines>
  <Paragraphs>67</Paragraphs>
  <ScaleCrop>false</ScaleCrop>
  <Company>BPG</Company>
  <LinksUpToDate>false</LinksUpToDate>
  <CharactersWithSpaces>33687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M18955</cp:lastModifiedBy>
  <cp:revision>29</cp:revision>
  <dcterms:created xsi:type="dcterms:W3CDTF">2023-11-13T08:02:00Z</dcterms:created>
  <dcterms:modified xsi:type="dcterms:W3CDTF">2024-01-04T11:38:00Z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6D69BD4EC5364F38B25A57260CA9FB7E_13</vt:lpwstr>
  </property>
</Properties>
</file>