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Surgical Procedures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88397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Case Control Study</w:t>
      </w:r>
    </w:p>
    <w:p>
      <w:pPr>
        <w:spacing w:line="360" w:lineRule="auto"/>
        <w:jc w:val="both"/>
        <w:rPr>
          <w:rFonts w:ascii="Book Antiqua" w:hAnsi="Book Antiqua"/>
        </w:rPr>
      </w:pPr>
      <w:r>
        <w:rPr>
          <w:rFonts w:ascii="Book Antiqua" w:hAnsi="Book Antiqua" w:eastAsia="Book Antiqua" w:cs="Book Antiqua"/>
          <w:b/>
          <w:color w:val="000000"/>
        </w:rPr>
        <w:t>Alternative to mesh repair for ventral hernias: Modified rectus muscle repair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Naraynsingh </w:t>
      </w:r>
      <w:r>
        <w:rPr>
          <w:rFonts w:ascii="Book Antiqua" w:hAnsi="Book Antiqua" w:eastAsia="Book Antiqua" w:cs="Book Antiqua"/>
          <w:i/>
          <w:iCs/>
          <w:color w:val="000000"/>
        </w:rPr>
        <w:t>et al</w:t>
      </w:r>
      <w:r>
        <w:rPr>
          <w:rFonts w:ascii="Book Antiqua" w:hAnsi="Book Antiqua" w:eastAsia="Book Antiqua" w:cs="Book Antiqua"/>
          <w:color w:val="000000"/>
        </w:rPr>
        <w:t>. Modified rectus repair for ventral hernias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Vijay Naraynsingh, Shamir O Cawich, Samara Hassranah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Vijay Naraynsingh, </w:t>
      </w:r>
      <w:r>
        <w:rPr>
          <w:rFonts w:ascii="Book Antiqua" w:hAnsi="Book Antiqua" w:eastAsia="Book Antiqua" w:cs="Book Antiqua"/>
          <w:color w:val="000000"/>
        </w:rPr>
        <w:t xml:space="preserve">Department of Surgery, Port of Spain General Hospital, Port of Spain, </w:t>
      </w:r>
      <w:bookmarkStart w:id="0" w:name="OLE_LINK7729"/>
      <w:bookmarkStart w:id="1" w:name="OLE_LINK7728"/>
      <w:r>
        <w:rPr>
          <w:rFonts w:ascii="Book Antiqua" w:hAnsi="Book Antiqua" w:eastAsia="Book Antiqua" w:cs="Book Antiqua"/>
          <w:color w:val="000000"/>
        </w:rPr>
        <w:t>Trinidad and Tobago</w:t>
      </w:r>
      <w:bookmarkEnd w:id="0"/>
      <w:bookmarkEnd w:id="1"/>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Shamir O Cawich, </w:t>
      </w:r>
      <w:r>
        <w:rPr>
          <w:rFonts w:ascii="Book Antiqua" w:hAnsi="Book Antiqua" w:eastAsia="Book Antiqua" w:cs="Book Antiqua"/>
          <w:color w:val="000000"/>
        </w:rPr>
        <w:t>Department of Surgery, University of the West Indies, St. Augustine, Trinidad and Tobago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Samara Hassranah, </w:t>
      </w:r>
      <w:r>
        <w:rPr>
          <w:rFonts w:ascii="Book Antiqua" w:hAnsi="Book Antiqua" w:eastAsia="Book Antiqua" w:cs="Book Antiqua"/>
          <w:color w:val="000000"/>
        </w:rPr>
        <w:t>Department of Surgery, Medical Associate Hospital, St. Joseph, Trinidad and Tobago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Naraynsingh V conceptualized the manuscript and checked scientific integrity; Cawich SO wrote the manuscript and checked for scientific integrity; Hassranah S prepared images, collected data and checked the manuscript for scientific integrity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Shamir O Cawich, FACS, Professor, </w:t>
      </w:r>
      <w:r>
        <w:rPr>
          <w:rFonts w:ascii="Book Antiqua" w:hAnsi="Book Antiqua" w:eastAsia="Book Antiqua" w:cs="Book Antiqua"/>
          <w:color w:val="000000"/>
        </w:rPr>
        <w:t>Department of Surgery, University of the West Indies, St. Augustine Campus, St. Augustine, Trinidad and Tobago. socawich@hotmail.com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September 23,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November 18,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2" w:name="OLE_LINK1223"/>
      <w:bookmarkStart w:id="3" w:name="OLE_LINK7625"/>
      <w:bookmarkStart w:id="4" w:name="OLE_LINK7214"/>
      <w:bookmarkStart w:id="5" w:name="OLE_LINK6816"/>
      <w:bookmarkStart w:id="6" w:name="OLE_LINK1198"/>
      <w:bookmarkStart w:id="7" w:name="OLE_LINK7243"/>
      <w:bookmarkStart w:id="8" w:name="OLE_LINK7122"/>
      <w:bookmarkStart w:id="9" w:name="OLE_LINK7569"/>
      <w:bookmarkStart w:id="10" w:name="OLE_LINK7690"/>
      <w:bookmarkStart w:id="11" w:name="OLE_LINK7559"/>
      <w:bookmarkStart w:id="12" w:name="OLE_LINK1231"/>
      <w:bookmarkStart w:id="13" w:name="OLE_LINK7145"/>
      <w:bookmarkStart w:id="14" w:name="OLE_LINK6798"/>
      <w:bookmarkStart w:id="15" w:name="OLE_LINK7571"/>
      <w:bookmarkStart w:id="16" w:name="OLE_LINK7215"/>
      <w:bookmarkStart w:id="17" w:name="OLE_LINK7126"/>
      <w:bookmarkStart w:id="18" w:name="OLE_LINK6827"/>
      <w:bookmarkStart w:id="19" w:name="OLE_LINK7119"/>
      <w:bookmarkStart w:id="20" w:name="OLE_LINK1242"/>
      <w:bookmarkStart w:id="21" w:name="OLE_LINK7133"/>
      <w:bookmarkStart w:id="22" w:name="OLE_LINK7240"/>
      <w:bookmarkStart w:id="23" w:name="OLE_LINK7167"/>
      <w:bookmarkStart w:id="24" w:name="OLE_LINK1227"/>
      <w:bookmarkStart w:id="25" w:name="OLE_LINK1199"/>
      <w:bookmarkStart w:id="26" w:name="OLE_LINK7130"/>
      <w:bookmarkStart w:id="27" w:name="OLE_LINK7250"/>
      <w:bookmarkStart w:id="28" w:name="OLE_LINK6803"/>
      <w:bookmarkStart w:id="29" w:name="OLE_LINK7513"/>
      <w:bookmarkStart w:id="30" w:name="OLE_LINK7606"/>
      <w:bookmarkStart w:id="31" w:name="OLE_LINK7628"/>
      <w:bookmarkStart w:id="32" w:name="OLE_LINK7574"/>
      <w:bookmarkStart w:id="33" w:name="OLE_LINK7223"/>
      <w:bookmarkStart w:id="34" w:name="OLE_LINK7665"/>
      <w:bookmarkStart w:id="35" w:name="OLE_LINK7578"/>
      <w:bookmarkStart w:id="36" w:name="OLE_LINK7597"/>
      <w:bookmarkStart w:id="37" w:name="OLE_LINK7158"/>
      <w:bookmarkStart w:id="38" w:name="OLE_LINK7555"/>
      <w:bookmarkStart w:id="39" w:name="OLE_LINK7150"/>
      <w:bookmarkStart w:id="40" w:name="OLE_LINK7213"/>
      <w:bookmarkStart w:id="41" w:name="OLE_LINK7127"/>
      <w:bookmarkStart w:id="42" w:name="OLE_LINK7253"/>
      <w:bookmarkStart w:id="43" w:name="OLE_LINK7212"/>
      <w:bookmarkStart w:id="44" w:name="OLE_LINK7527"/>
      <w:bookmarkStart w:id="45" w:name="OLE_LINK7587"/>
      <w:bookmarkStart w:id="46" w:name="OLE_LINK7236"/>
      <w:bookmarkStart w:id="47" w:name="OLE_LINK7561"/>
      <w:bookmarkStart w:id="48" w:name="OLE_LINK7706"/>
      <w:bookmarkStart w:id="49" w:name="OLE_LINK7722"/>
      <w:bookmarkStart w:id="50" w:name="OLE_LINK7617"/>
      <w:bookmarkStart w:id="51" w:name="OLE_LINK7687"/>
      <w:bookmarkStart w:id="52" w:name="OLE_LINK7611"/>
      <w:bookmarkStart w:id="53" w:name="OLE_LINK7635"/>
      <w:bookmarkStart w:id="54" w:name="OLE_LINK7550"/>
      <w:bookmarkStart w:id="55" w:name="OLE_LINK7703"/>
      <w:bookmarkStart w:id="56" w:name="OLE_LINK7568"/>
      <w:bookmarkStart w:id="57" w:name="OLE_LINK7605"/>
      <w:bookmarkStart w:id="58" w:name="OLE_LINK7237"/>
      <w:bookmarkStart w:id="59" w:name="OLE_LINK7522"/>
      <w:bookmarkStart w:id="60" w:name="OLE_LINK7583"/>
      <w:bookmarkStart w:id="61" w:name="OLE_LINK7577"/>
      <w:bookmarkStart w:id="62" w:name="OLE_LINK7602"/>
      <w:bookmarkStart w:id="63" w:name="OLE_LINK7153"/>
      <w:bookmarkStart w:id="64" w:name="OLE_LINK7652"/>
      <w:bookmarkStart w:id="65" w:name="OLE_LINK7173"/>
      <w:bookmarkStart w:id="66" w:name="OLE_LINK7608"/>
      <w:bookmarkStart w:id="67" w:name="OLE_LINK7141"/>
      <w:bookmarkStart w:id="68" w:name="OLE_LINK7721"/>
      <w:bookmarkStart w:id="69" w:name="OLE_LINK7125"/>
      <w:bookmarkStart w:id="70" w:name="OLE_LINK7641"/>
      <w:bookmarkStart w:id="71" w:name="OLE_LINK7116"/>
      <w:bookmarkStart w:id="72" w:name="OLE_LINK7718"/>
      <w:bookmarkStart w:id="73" w:name="OLE_LINK7228"/>
      <w:bookmarkStart w:id="74" w:name="OLE_LINK7699"/>
      <w:bookmarkStart w:id="75" w:name="OLE_LINK7235"/>
      <w:bookmarkStart w:id="76" w:name="OLE_LINK7610"/>
      <w:bookmarkStart w:id="77" w:name="OLE_LINK7712"/>
      <w:bookmarkStart w:id="78" w:name="OLE_LINK7691"/>
      <w:bookmarkStart w:id="79" w:name="OLE_LINK7515"/>
      <w:bookmarkStart w:id="80" w:name="OLE_LINK7633"/>
      <w:bookmarkStart w:id="81" w:name="OLE_LINK7655"/>
      <w:bookmarkStart w:id="82" w:name="OLE_LINK7684"/>
      <w:bookmarkStart w:id="83" w:name="OLE_LINK7616"/>
      <w:bookmarkStart w:id="84" w:name="OLE_LINK7649"/>
      <w:bookmarkStart w:id="85" w:name="OLE_LINK6812"/>
      <w:bookmarkStart w:id="86" w:name="OLE_LINK7140"/>
      <w:bookmarkStart w:id="87" w:name="OLE_LINK7710"/>
      <w:bookmarkStart w:id="88" w:name="OLE_LINK1224"/>
      <w:bookmarkStart w:id="89" w:name="OLE_LINK7620"/>
      <w:bookmarkStart w:id="90" w:name="OLE_LINK7629"/>
      <w:bookmarkStart w:id="91" w:name="OLE_LINK1222"/>
      <w:bookmarkStart w:id="92" w:name="OLE_LINK7709"/>
      <w:bookmarkStart w:id="93" w:name="OLE_LINK7711"/>
      <w:bookmarkStart w:id="94" w:name="OLE_LINK7695"/>
      <w:bookmarkStart w:id="95" w:name="OLE_LINK7530"/>
      <w:bookmarkStart w:id="96" w:name="OLE_LINK7547"/>
      <w:bookmarkStart w:id="97" w:name="OLE_LINK6830"/>
      <w:bookmarkStart w:id="98" w:name="OLE_LINK6834"/>
      <w:bookmarkStart w:id="99" w:name="OLE_LINK1218"/>
      <w:bookmarkStart w:id="100" w:name="OLE_LINK1246"/>
      <w:r>
        <w:rPr>
          <w:rFonts w:ascii="Book Antiqua" w:hAnsi="Book Antiqua"/>
        </w:rPr>
        <w:t>December 19,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December 28,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Mesh utilization for ventral hernia repair is associated with potential complications such as mesh infections, adhesions, seromas, fistula formation and significant postoperative pain. The modified rectus muscle repair (RMR) is as an option to repair midline ventral hernias without mesh.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w:t>
      </w:r>
      <w:r>
        <w:rPr>
          <w:rFonts w:ascii="Book Antiqua" w:hAnsi="Book Antiqua" w:eastAsia="Book Antiqua" w:cs="Book Antiqua"/>
          <w:color w:val="000000"/>
        </w:rPr>
        <w:t xml:space="preserve">o evaluate the short term outcomes when the modified RMR was used to repair ventral hernias.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This was a 5-year prospective study that examined the outcome of all consecutive patients with ventral abdominal wall hernias &gt; 5 cm in maximal diameter who underwent repair using the modified RMR technique in a single surgeon unit. Patients were reviewed in an outpatient clinic at 3, 6 and 12 mo and evaluated for hernia recurrence on clinical examination. Each patient’s abdominal wall was also assessed with using ultrasonography at 24 mo to detect recurrences. All data were examined with SPSS ver 18.0.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Over the 5-year study period, there were 52 patients treated for ventral hernias at this institution. Four patients were excluded and there were 48 in the final study sample, at a mean age of 56 years (range 28-80). The mean maximal diameter of the hernia defect was 7 cm (range 5-12 cm). There were 5 (10.4%) seromas and 1 recurrence (2.1%) at a mean of 36 mo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The authors recommend the modified RMR as an acceptable alternative to mesh repair of ventral hernias. The seroma rate can be further reduced with routine use of drains. The modified RMR also has the benefit of eliminating all mesh-specific complications.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Ventral; Hernia; Mesh; Complication; Recurrence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Naraynsingh V, Cawich SO, Hassranah S. Alternative to mesh repair for ventral hernias: Modified rectus muscle repair. </w:t>
      </w:r>
      <w:r>
        <w:rPr>
          <w:rFonts w:ascii="Book Antiqua" w:hAnsi="Book Antiqua" w:eastAsia="Book Antiqua" w:cs="Book Antiqua"/>
          <w:i/>
          <w:iCs/>
        </w:rPr>
        <w:t>World J Surg Proced</w:t>
      </w:r>
      <w:r>
        <w:rPr>
          <w:rFonts w:ascii="Book Antiqua" w:hAnsi="Book Antiqua" w:eastAsia="Book Antiqua" w:cs="Book Antiqua"/>
        </w:rPr>
        <w:t xml:space="preserve"> 2023; </w:t>
      </w:r>
      <w:r>
        <w:rPr>
          <w:rFonts w:hint="eastAsia" w:ascii="Book Antiqua" w:hAnsi="Book Antiqua" w:eastAsia="Book Antiqua" w:cs="Book Antiqua"/>
        </w:rPr>
        <w:t>13(</w:t>
      </w:r>
      <w:r>
        <w:rPr>
          <w:rFonts w:hint="eastAsia" w:ascii="Book Antiqua" w:hAnsi="Book Antiqua" w:eastAsia="宋体" w:cs="Book Antiqua"/>
          <w:lang w:val="en-US" w:eastAsia="zh-CN"/>
        </w:rPr>
        <w:t>3</w:t>
      </w:r>
      <w:r>
        <w:rPr>
          <w:rFonts w:hint="eastAsia" w:ascii="Book Antiqua" w:hAnsi="Book Antiqua" w:eastAsia="Book Antiqua" w:cs="Book Antiqua"/>
        </w:rPr>
        <w:t xml:space="preserve">): </w:t>
      </w:r>
      <w:r>
        <w:rPr>
          <w:rStyle w:val="17"/>
          <w:rFonts w:hint="default" w:ascii="Book Antiqua" w:hAnsi="Book Antiqua" w:eastAsia="宋体" w:cs="Book Antiqua"/>
          <w:sz w:val="24"/>
          <w:szCs w:val="24"/>
          <w:lang w:val="en-US" w:eastAsia="zh-CN" w:bidi="ar"/>
        </w:rPr>
        <w:t>14-21</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https://www.wjgnet.com/2219-2832/full/v13/i</w:t>
      </w:r>
      <w:r>
        <w:rPr>
          <w:rFonts w:hint="eastAsia" w:ascii="Book Antiqua" w:hAnsi="Book Antiqua" w:eastAsia="宋体" w:cs="Book Antiqua"/>
          <w:lang w:val="en-US" w:eastAsia="zh-CN"/>
        </w:rPr>
        <w:t>3</w:t>
      </w:r>
      <w:r>
        <w:rPr>
          <w:rFonts w:hint="eastAsia" w:ascii="Book Antiqua" w:hAnsi="Book Antiqua" w:eastAsia="Book Antiqua" w:cs="Book Antiqua"/>
        </w:rPr>
        <w:t>/</w:t>
      </w:r>
      <w:r>
        <w:rPr>
          <w:rStyle w:val="17"/>
          <w:rFonts w:hint="default" w:ascii="Book Antiqua" w:hAnsi="Book Antiqua" w:eastAsia="宋体" w:cs="Book Antiqua"/>
          <w:sz w:val="24"/>
          <w:szCs w:val="24"/>
          <w:lang w:val="en-US" w:eastAsia="zh-CN" w:bidi="ar"/>
        </w:rPr>
        <w:t>14</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https://dx.doi.org/10.5412/wjsp.v13.i</w:t>
      </w:r>
      <w:r>
        <w:rPr>
          <w:rFonts w:hint="eastAsia" w:ascii="Book Antiqua" w:hAnsi="Book Antiqua" w:eastAsia="宋体" w:cs="Book Antiqua"/>
          <w:lang w:val="en-US" w:eastAsia="zh-CN"/>
        </w:rPr>
        <w:t>3</w:t>
      </w:r>
      <w:r>
        <w:rPr>
          <w:rFonts w:hint="eastAsia" w:ascii="Book Antiqua" w:hAnsi="Book Antiqua" w:eastAsia="Book Antiqua" w:cs="Book Antiqua"/>
        </w:rPr>
        <w:t>.</w:t>
      </w:r>
      <w:r>
        <w:rPr>
          <w:rStyle w:val="17"/>
          <w:rFonts w:hint="default" w:ascii="Book Antiqua" w:hAnsi="Book Antiqua" w:eastAsia="宋体" w:cs="Book Antiqua"/>
          <w:sz w:val="24"/>
          <w:szCs w:val="24"/>
          <w:lang w:val="en-US" w:eastAsia="zh-CN" w:bidi="ar"/>
        </w:rPr>
        <w:t>14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Mesh utilization for ventral hernia repair is associated with potential complications such as mesh infections, adhesions, seromas, fistula formation and significant postoperative pain. Using the modified Rectus Muscle Repair results in 10.4% seromas, which can be further reduced with routine use of drains. Using the modified Rectus Muscle Repair results in 2.1% recurrences at a mean of 36 mo follow up. The modified Rectus Muscle Repair is as an option to repair midline ventral hernias without mesh.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In the 21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Century, most surgeons use mesh to repair midline ventral hernias in an attempt to lower recurrence rates</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mesh utilization is associated with potential complications such as mesh infections, adhesions, seromas, fistula formation and significant postoperative pain</w:t>
      </w:r>
      <w:r>
        <w:rPr>
          <w:rFonts w:ascii="Book Antiqua" w:hAnsi="Book Antiqua" w:eastAsia="Book Antiqua" w:cs="Book Antiqua"/>
          <w:color w:val="000000"/>
          <w:vertAlign w:val="superscript"/>
        </w:rPr>
        <w:t>[2-7]</w:t>
      </w:r>
      <w:r>
        <w:rPr>
          <w:rFonts w:ascii="Book Antiqua" w:hAnsi="Book Antiqua" w:eastAsia="Book Antiqua" w:cs="Book Antiqua"/>
          <w:color w:val="000000"/>
        </w:rPr>
        <w:t>. These have resulted in numerous lawsuits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Moreover, in low and middle-income countries, both the cost of mesh and its inconstant availability are additional factors that limit its utilization. </w:t>
      </w:r>
    </w:p>
    <w:p>
      <w:pPr>
        <w:spacing w:line="360" w:lineRule="auto"/>
        <w:ind w:firstLine="720"/>
        <w:jc w:val="both"/>
        <w:rPr>
          <w:rFonts w:ascii="Book Antiqua" w:hAnsi="Book Antiqua"/>
        </w:rPr>
      </w:pPr>
      <w:r>
        <w:rPr>
          <w:rFonts w:ascii="Book Antiqua" w:hAnsi="Book Antiqua" w:eastAsia="Book Antiqua" w:cs="Book Antiqua"/>
          <w:color w:val="000000"/>
        </w:rPr>
        <w:t>The rectus muscle repair (RMR) was described in 1993 as an option to repair midline ventral hernias without mesh</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we noticed that this technique could not be applied to hernias &gt; 6 cm in maximal diameter, and this prompted our development of a modified RMR, described in detail in a previous report</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short-term recurrence and complication rates of the modified RMR are largely unknown, and this paper will make them clear. We carried out this study to evaluate the short-term outcomes when the modified RMR was used to repair ventral hernias.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This study was approved by the local institutional review board and performed at a tertiary referral hospital in Trinidad &amp; Tobago, an island state in the Eastern Caribbean. This was a prospective study that spanned a period of 5 years, from January 1, 2015 to December 30, 2019. All consecutive patients who were referred to the surgical department with diagnoses of a ventral abdominal wall hernia were potential candidates for the study. We included all those who were above the age of 18 years, had hernia defects &gt; 5 cm in maximal diameter, and consented to participate. Exclusion criteria included patients who were less than 18 years of age, did not consent to participate, had hernia defects larger than 15 cm in maximal diameter that did not allow primary closure, and those who desired mesh repairs. We collected the following data from all patients who underwent repair using the modified RMR technique in a single surgeon unit: patient demographics, complications, mortality and recurrences. Patients were reviewed in an outpatient clinic at 3, 6 and 12 mo and evaluated for hernia recurrence on clinical examination. Each patient’s abdominal wall was also assessed with using ultrasonography at 24 mo to detect recurrences. All data were examined with SPSS ver 18.0.</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Technique</w:t>
      </w:r>
    </w:p>
    <w:p>
      <w:pPr>
        <w:spacing w:line="360" w:lineRule="auto"/>
        <w:jc w:val="both"/>
        <w:rPr>
          <w:rFonts w:ascii="Book Antiqua" w:hAnsi="Book Antiqua"/>
        </w:rPr>
      </w:pPr>
      <w:r>
        <w:rPr>
          <w:rFonts w:ascii="Book Antiqua" w:hAnsi="Book Antiqua" w:eastAsia="Book Antiqua" w:cs="Book Antiqua"/>
          <w:color w:val="000000"/>
        </w:rPr>
        <w:t>The RMR technique has already been described in detail in a previous publication</w:t>
      </w:r>
      <w:r>
        <w:rPr>
          <w:rFonts w:ascii="Book Antiqua" w:hAnsi="Book Antiqua" w:eastAsia="Book Antiqua" w:cs="Book Antiqua"/>
          <w:color w:val="000000"/>
          <w:vertAlign w:val="superscript"/>
        </w:rPr>
        <w:t>[9]</w:t>
      </w:r>
      <w:r>
        <w:rPr>
          <w:rFonts w:ascii="Book Antiqua" w:hAnsi="Book Antiqua" w:eastAsia="Book Antiqua" w:cs="Book Antiqua"/>
          <w:color w:val="000000"/>
        </w:rPr>
        <w:t>. The technique focused on bringing the recti together in the midline by full thickness nylon sutures through the anterior sheath, rectus muscle and posterior sheath on one side and continued through the posterior sheath, muscle and anterior sheath of the opposite side (Figure 1A). Thus, when brought together, the hernia sac and attenuated linea alba are inverted ventrally towards the peritoneal cavity (Figure 1B); the sac is not opened unless multiloculated. The inversion resembles the Keel operation but the major difference is that the suture must engage more than 1cm of rectus muscle and its sheaths whereas the Keel engages the 'fibroaponeurotic' tissue around the hernia.</w:t>
      </w:r>
    </w:p>
    <w:p>
      <w:pPr>
        <w:spacing w:line="360" w:lineRule="auto"/>
        <w:ind w:firstLine="720"/>
        <w:jc w:val="both"/>
        <w:rPr>
          <w:rFonts w:ascii="Book Antiqua" w:hAnsi="Book Antiqua"/>
        </w:rPr>
      </w:pPr>
      <w:r>
        <w:rPr>
          <w:rFonts w:ascii="Book Antiqua" w:hAnsi="Book Antiqua" w:eastAsia="Book Antiqua" w:cs="Book Antiqua"/>
          <w:color w:val="000000"/>
        </w:rPr>
        <w:t>The suture bites engage 1.5-2 cm of rectus sheath and muscle on each side and successive bites are 1.5cm apart. The anterior sheath is dissected to expose 3-4 cm lateral to the medial margin of the rectus muscle; this allows enough space for suturing the muscle as well as incising the anterior sheath, not the muscle (Figure 2). In this center, we used the modified RMR technique previously described</w:t>
      </w:r>
      <w:r>
        <w:rPr>
          <w:rFonts w:ascii="Book Antiqua" w:hAnsi="Book Antiqua" w:eastAsia="Book Antiqua" w:cs="Book Antiqua"/>
          <w:color w:val="000000"/>
          <w:vertAlign w:val="superscript"/>
        </w:rPr>
        <w:t>[10]</w:t>
      </w:r>
      <w:r>
        <w:rPr>
          <w:rFonts w:ascii="Book Antiqua" w:hAnsi="Book Antiqua" w:eastAsia="Book Antiqua" w:cs="Book Antiqua"/>
          <w:color w:val="000000"/>
        </w:rPr>
        <w:t>, where relaxing incisions were made in the anterior rectus sheath (Figure 3) in an attempt to reduce tension on the suture line. The anterior sheath relaxing incision did not extend &gt; 1 cm below the umbilicus because the posterior rectus sheath was deficient below this point. This differs from the Ramirez procedure in that (1) the dissection is not carried far laterally to the lateral border of the rectus muscle; and (2) the relaxing incision is in the anterior rectus sheath, not the external oblique aponeurosis. Haemostasis was achieved and a subcuticular suture was placed to close skin. For large defects, a subcutaneous drain was used. This was strictly an observational study and the attending surgeon was solely responsible for clinical decisions.</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Over the 5-year study period, there were 52 patients treated for ventral hernias at this institution. Four patients were excluded due to a desire to have mesh repair (2) and large hernias defects (15 cm and 17 cm) that did not allow primary suture closure (2). The final study sample, therefore, was 48 patients with ventral hernias. These included umbilical hernias (15), para-umbilical hernias (12), supra-umbilical (9) and incisional (12).</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were 48 patients in the final study sample, at a mean age of 56 years (range 28-80). Of this 46 patients had elective repairs and 2 patients with paraumbilical hernias had emergency repairs after presenting with strangulation. The mean maximal diameter of the hernia defect was 7 cm (range 5-12 cm); see distribution in Table 1.</w:t>
      </w:r>
    </w:p>
    <w:p>
      <w:pPr>
        <w:spacing w:line="360" w:lineRule="auto"/>
        <w:ind w:firstLine="720"/>
        <w:jc w:val="both"/>
        <w:rPr>
          <w:rFonts w:ascii="Book Antiqua" w:hAnsi="Book Antiqua"/>
        </w:rPr>
      </w:pPr>
      <w:r>
        <w:rPr>
          <w:rFonts w:ascii="Book Antiqua" w:hAnsi="Book Antiqua" w:eastAsia="Book Antiqua" w:cs="Book Antiqua"/>
          <w:color w:val="000000"/>
        </w:rPr>
        <w:t>Abdominal drains were used in 30 patients. Eighteen patients had no drains placed, at the decision of the attending surgeon, and 5 of these patients developed clinically significant seromas, requiring aspiration between post-operative days 7-14. There were no seromas in the sub-group in which drains were used. There were no haematomas detected and no other complications were recorded in any patients.</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mean follow up time was 36 mo (range 12-60 mo). There was 1 (2.1%) recurrence diagnosed on clinical examination at the eight post-operative month in a patient who underwent incisional hernia repair. On reoperation, the nylon suture line was intact; the defect had recurred lateral to it, near the umbilicus. The suture had not engaged the muscle and its two sheaths - an error in technique.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Hernia repairs were initially done using sutures to close the defect primarily, but the problem of recurrence eluded surgeons. Theodore Billroth</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in 1890 first postulated that a prosthesis could be used to close the defect but, at that time, mesh repair was met with high complication rates</w:t>
      </w:r>
      <w:r>
        <w:rPr>
          <w:rFonts w:ascii="Book Antiqua" w:hAnsi="Book Antiqua" w:eastAsia="Book Antiqua" w:cs="Book Antiqua"/>
          <w:color w:val="000000"/>
          <w:vertAlign w:val="superscript"/>
        </w:rPr>
        <w:t>[11,12]</w:t>
      </w:r>
      <w:r>
        <w:rPr>
          <w:rFonts w:ascii="Book Antiqua" w:hAnsi="Book Antiqua" w:eastAsia="Book Antiqua" w:cs="Book Antiqua"/>
          <w:color w:val="000000"/>
        </w:rPr>
        <w:t>. At that time the quality of material used, the absence of haemostatic devices and paucity of antibiotics would have contributed to the high complication rate. In 1958, Francis Usher published his research on the more inert polypropylene mesh and it was adopted as the gold standard of hernia repair compared to primary suture repair</w:t>
      </w:r>
      <w:r>
        <w:rPr>
          <w:rFonts w:ascii="Book Antiqua" w:hAnsi="Book Antiqua" w:eastAsia="Book Antiqua" w:cs="Book Antiqua"/>
          <w:color w:val="000000"/>
          <w:vertAlign w:val="superscript"/>
        </w:rPr>
        <w:t>[12,13]</w:t>
      </w:r>
      <w:r>
        <w:rPr>
          <w:rFonts w:ascii="Book Antiqua" w:hAnsi="Book Antiqua" w:eastAsia="Book Antiqua" w:cs="Book Antiqua"/>
          <w:color w:val="000000"/>
        </w:rPr>
        <w:t xml:space="preserve">. Mesh has become so widely accepted that Pawlak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reported that it was used in 75% of all hernias repaired in the United Kingdom in the year 2020.</w:t>
      </w:r>
    </w:p>
    <w:p>
      <w:pPr>
        <w:spacing w:line="360" w:lineRule="auto"/>
        <w:ind w:firstLine="720"/>
        <w:jc w:val="both"/>
        <w:rPr>
          <w:rFonts w:ascii="Book Antiqua" w:hAnsi="Book Antiqua"/>
        </w:rPr>
      </w:pPr>
      <w:r>
        <w:rPr>
          <w:rFonts w:ascii="Book Antiqua" w:hAnsi="Book Antiqua" w:eastAsia="Book Antiqua" w:cs="Book Antiqua"/>
          <w:color w:val="000000"/>
        </w:rPr>
        <w:t xml:space="preserve">While we agree that the use of mesh in ventral hernia repair generally reduces the rate of recurrence when compared to non-mesh repair </w:t>
      </w:r>
      <w:r>
        <w:rPr>
          <w:rFonts w:ascii="Book Antiqua" w:hAnsi="Book Antiqua" w:eastAsia="Book Antiqua" w:cs="Book Antiqua"/>
          <w:color w:val="000000"/>
          <w:vertAlign w:val="superscript"/>
        </w:rPr>
        <w:t>[14]</w:t>
      </w:r>
      <w:r>
        <w:rPr>
          <w:rFonts w:ascii="Book Antiqua" w:hAnsi="Book Antiqua" w:eastAsia="Book Antiqua" w:cs="Book Antiqua"/>
          <w:color w:val="000000"/>
        </w:rPr>
        <w:t>, we also note that many of the existing non-mesh techniques focus on accurately placing non-absorbable sutures in the linea alba 1cm from the midline</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In our opinion, this is not ideal because the linea alba in patients with hernias is often already attenuated and quite wide. We agree with Naraynsingh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who wrote “</w:t>
      </w:r>
      <w:r>
        <w:rPr>
          <w:rFonts w:ascii="Book Antiqua" w:hAnsi="Book Antiqua" w:eastAsia="Book Antiqua" w:cs="Book Antiqua"/>
          <w:iCs/>
          <w:color w:val="000000"/>
        </w:rPr>
        <w:t>it seems logical that a repair which eliminates the linea alba should minimise the risk of recurrence</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The Rives-Stoppa repair is the main technique when mesh is utilized, but it is a challenging operation</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and may not always be accurately reproduced. Additionally, there are two issues that deserve further consideration before mesh is used for ventral hernia repair: Mesh complications and mechanism of recurrence.</w:t>
      </w:r>
    </w:p>
    <w:p>
      <w:pPr>
        <w:spacing w:line="360" w:lineRule="auto"/>
        <w:ind w:firstLine="72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Mesh complications</w:t>
      </w:r>
    </w:p>
    <w:p>
      <w:pPr>
        <w:spacing w:line="360" w:lineRule="auto"/>
        <w:jc w:val="both"/>
        <w:rPr>
          <w:rFonts w:ascii="Book Antiqua" w:hAnsi="Book Antiqua"/>
        </w:rPr>
      </w:pPr>
      <w:r>
        <w:rPr>
          <w:rFonts w:ascii="Book Antiqua" w:hAnsi="Book Antiqua" w:eastAsia="Book Antiqua" w:cs="Book Antiqua"/>
          <w:color w:val="000000"/>
        </w:rPr>
        <w:t>Mesh infection remains a concern despite aseptic technique and perioperative antibiotic prophylaxis</w:t>
      </w:r>
      <w:r>
        <w:rPr>
          <w:rFonts w:ascii="Book Antiqua" w:hAnsi="Book Antiqua" w:eastAsia="Book Antiqua" w:cs="Book Antiqua"/>
          <w:color w:val="000000"/>
          <w:vertAlign w:val="superscript"/>
        </w:rPr>
        <w:t>[4,5,18,19]</w:t>
      </w:r>
      <w:r>
        <w:rPr>
          <w:rFonts w:ascii="Book Antiqua" w:hAnsi="Book Antiqua" w:eastAsia="Book Antiqua" w:cs="Book Antiqua"/>
          <w:color w:val="000000"/>
        </w:rPr>
        <w:t xml:space="preserve">. Peri-operative antibiotics reduce, but do not eliminate, mesh infections. Ríos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reported that mesh infections reduced from 26.3% to 13.6% when peri-operative antibiotics were administered to patients who underwent mesh repairs of incisional hernias. Apart from the fact that many patients who develop hernias already </w:t>
      </w:r>
      <w:r>
        <w:rPr>
          <w:rFonts w:ascii="Book Antiqua" w:hAnsi="Book Antiqua" w:eastAsia="Book Antiqua" w:cs="Book Antiqua"/>
          <w:color w:val="000000"/>
          <w:lang w:val="en-GB"/>
        </w:rPr>
        <w:t>harbour</w:t>
      </w:r>
      <w:r>
        <w:rPr>
          <w:rFonts w:ascii="Book Antiqua" w:hAnsi="Book Antiqua" w:eastAsia="Book Antiqua" w:cs="Book Antiqua"/>
          <w:color w:val="000000"/>
        </w:rPr>
        <w:t xml:space="preserve"> conditions that predispose to infections, such as obesity, increased age, diabetes and/or a history of smoking</w:t>
      </w:r>
      <w:r>
        <w:rPr>
          <w:rFonts w:ascii="Book Antiqua" w:hAnsi="Book Antiqua" w:eastAsia="Book Antiqua" w:cs="Book Antiqua"/>
          <w:color w:val="000000"/>
          <w:vertAlign w:val="superscript"/>
        </w:rPr>
        <w:t>[4,20,21]</w:t>
      </w:r>
      <w:r>
        <w:rPr>
          <w:rFonts w:ascii="Book Antiqua" w:hAnsi="Book Antiqua" w:eastAsia="Book Antiqua" w:cs="Book Antiqua"/>
          <w:color w:val="000000"/>
        </w:rPr>
        <w:t>, the mere presence of a foreign body reduces the number of bacteria needed to cause an infection by 100000</w:t>
      </w:r>
      <w:r>
        <w:rPr>
          <w:rFonts w:ascii="Book Antiqua" w:hAnsi="Book Antiqua" w:eastAsia="Book Antiqua" w:cs="Book Antiqua"/>
          <w:color w:val="000000"/>
          <w:vertAlign w:val="superscript"/>
        </w:rPr>
        <w:t>[22,23]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Adhesion formation with bowel involvement can lead to obstruction</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and abdominal pain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in these patients. Aubé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reported that significant adhesions form after 14% of mesh hernia repairs. </w:t>
      </w:r>
    </w:p>
    <w:p>
      <w:pPr>
        <w:spacing w:line="360" w:lineRule="auto"/>
        <w:ind w:firstLine="720"/>
        <w:jc w:val="both"/>
        <w:rPr>
          <w:rFonts w:ascii="Book Antiqua" w:hAnsi="Book Antiqua"/>
        </w:rPr>
      </w:pPr>
      <w:r>
        <w:rPr>
          <w:rFonts w:ascii="Book Antiqua" w:hAnsi="Book Antiqua" w:eastAsia="Book Antiqua" w:cs="Book Antiqua"/>
          <w:color w:val="000000"/>
        </w:rPr>
        <w:t>The mesh can also lead to irritation and post-operative pain. Chronic post-operative pain, persisting for &gt; 3 mo, occurs in 11%</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to 17%</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of patients after ventral hernia repairs. This results in poor function and reduced quality of life in 10%</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to 26%</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of patients after undergoing mesh hernia repair, and up to 13% of patients need occasional analgesics up to 4 years after the procedure</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incidence of seromas was reported by Bauer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to be 5% with polytetrafluoroethylene mesh and Molloy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reported 4% incidence of seromas and 2% incidence of haematomas with Marlex</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mesh. In our study, we did not encounter any haematomas. The incidence of seromas was greater than expected (10.4%), although we noted that these occurred only when drains were omitted. A reasonable further modification could be the routine use of drains as there is no risk of prosthesis infections.</w:t>
      </w:r>
    </w:p>
    <w:p>
      <w:pPr>
        <w:spacing w:line="360" w:lineRule="auto"/>
        <w:ind w:firstLine="720"/>
        <w:jc w:val="both"/>
        <w:rPr>
          <w:rFonts w:ascii="Book Antiqua" w:hAnsi="Book Antiqua"/>
        </w:rPr>
      </w:pPr>
      <w:r>
        <w:rPr>
          <w:rFonts w:ascii="Book Antiqua" w:hAnsi="Book Antiqua" w:eastAsia="Book Antiqua" w:cs="Book Antiqua"/>
          <w:color w:val="000000"/>
        </w:rPr>
        <w:t>Fistula formation is a relatively rare complication of mesh use, but when it occurs it is a devastating complication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In addition to these known complications, the cost of the mesh and the price of treating these complications are yet to be addressed and quantified</w:t>
      </w:r>
      <w:r>
        <w:rPr>
          <w:rFonts w:ascii="Book Antiqua" w:hAnsi="Book Antiqua" w:eastAsia="Book Antiqua" w:cs="Book Antiqua"/>
          <w:color w:val="000000"/>
          <w:vertAlign w:val="superscript"/>
        </w:rPr>
        <w:t>[2-7]</w:t>
      </w:r>
      <w:r>
        <w:rPr>
          <w:rFonts w:ascii="Book Antiqua" w:hAnsi="Book Antiqua" w:eastAsia="Book Antiqua" w:cs="Book Antiqua"/>
          <w:color w:val="000000"/>
        </w:rPr>
        <w:t>. Given the number of complications associated with mesh repairs, a dedicated legal industry dedicated has developed. In 2011, C.R. Bard was made to pay USD$184 million to settle approximately 3000 cases of mesh failure</w:t>
      </w:r>
      <w:r>
        <w:rPr>
          <w:rFonts w:ascii="Book Antiqua" w:hAnsi="Book Antiqua" w:eastAsia="Book Antiqua" w:cs="Book Antiqua"/>
          <w:color w:val="000000"/>
          <w:vertAlign w:val="superscript"/>
        </w:rPr>
        <w:t>[8]</w:t>
      </w:r>
      <w:r>
        <w:rPr>
          <w:rFonts w:ascii="Book Antiqua" w:hAnsi="Book Antiqua" w:eastAsia="Book Antiqua" w:cs="Book Antiqua"/>
          <w:color w:val="000000"/>
        </w:rPr>
        <w:t>. This was the largest case of this type but in November 2019, there were over 7000 similar lawsuits pending against Ethicon, Atrium and Bard</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There is no established method to quantify the burden of stress to the patients and surgeons dealing with these legalities, but we firmly believe that the money and time spent to settle these lawsuits should be taken into account before a decision is made to use mesh in ventral hernia repairs. </w:t>
      </w:r>
    </w:p>
    <w:p>
      <w:pPr>
        <w:spacing w:line="360" w:lineRule="auto"/>
        <w:ind w:firstLine="720"/>
        <w:jc w:val="both"/>
        <w:rPr>
          <w:rFonts w:ascii="Book Antiqua" w:hAnsi="Book Antiqua"/>
        </w:rPr>
      </w:pPr>
      <w:r>
        <w:rPr>
          <w:rFonts w:ascii="Book Antiqua" w:hAnsi="Book Antiqua" w:eastAsia="Book Antiqua" w:cs="Book Antiqua"/>
          <w:color w:val="000000"/>
        </w:rPr>
        <w:t xml:space="preserve">We also suggest that this decision should also include the cost of care to treat mesh complications. Plymale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identified 34 patients who had ventral hernia repair and subsequent mesh removal. The median cost was approximately double for the removal than for the ventral hernia repair, and the majority of patients developed recurrences. </w:t>
      </w:r>
    </w:p>
    <w:p>
      <w:pPr>
        <w:spacing w:line="360" w:lineRule="auto"/>
        <w:ind w:firstLine="72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Mechanisms of hernia recurrence</w:t>
      </w:r>
    </w:p>
    <w:p>
      <w:pPr>
        <w:spacing w:line="360" w:lineRule="auto"/>
        <w:jc w:val="both"/>
        <w:rPr>
          <w:rFonts w:ascii="Book Antiqua" w:hAnsi="Book Antiqua"/>
        </w:rPr>
      </w:pPr>
      <w:r>
        <w:rPr>
          <w:rFonts w:ascii="Book Antiqua" w:hAnsi="Book Antiqua" w:eastAsia="Book Antiqua" w:cs="Book Antiqua"/>
          <w:color w:val="000000"/>
        </w:rPr>
        <w:t>Midline ventral hernias recur through the linea alba, almost never through the rectus muscles with their anterior and posterior sheaths. It seems logical that the modified RMR which eliminates the linea alba should minimise the risk of recurrence. This study documented that there was a 2.1% recurrence rate after the modified RMR. Additionally, we consider the single recurrence in this series to be due to a technical failure since the recurrence occurred at an area where the sutures did not engage the anterior sheath, rectus muscle and posterior sheath en masse.</w:t>
      </w:r>
    </w:p>
    <w:p>
      <w:pPr>
        <w:spacing w:line="360" w:lineRule="auto"/>
        <w:ind w:firstLine="720"/>
        <w:jc w:val="both"/>
        <w:rPr>
          <w:rFonts w:ascii="Book Antiqua" w:hAnsi="Book Antiqua"/>
        </w:rPr>
      </w:pPr>
      <w:r>
        <w:rPr>
          <w:rFonts w:ascii="Book Antiqua" w:hAnsi="Book Antiqua" w:eastAsia="Book Antiqua" w:cs="Book Antiqua"/>
          <w:color w:val="000000"/>
        </w:rPr>
        <w:t>Mesh repairs, on the other hand, do not focus on elimination of the defective linea alba. It was not surprising, therefore, that the surgical literature reported greater recurrence rates after mesh repairs, ranging from 2.7%-20%</w:t>
      </w:r>
      <w:r>
        <w:rPr>
          <w:rFonts w:ascii="Book Antiqua" w:hAnsi="Book Antiqua" w:eastAsia="Book Antiqua" w:cs="Book Antiqua"/>
          <w:color w:val="000000"/>
          <w:vertAlign w:val="superscript"/>
        </w:rPr>
        <w:t>[3,4,7,33,34]</w:t>
      </w:r>
      <w:r>
        <w:rPr>
          <w:rFonts w:ascii="Book Antiqua" w:hAnsi="Book Antiqua" w:eastAsia="Book Antiqua" w:cs="Book Antiqua"/>
          <w:color w:val="000000"/>
        </w:rPr>
        <w:t xml:space="preserve">. In our opinion this was predictable, considering that recurrence following mesh repair does not occur through the rectus abdominis muscle nor through the mesh itself. Recurrences occur through the linea alba, above, below or beside the mesh.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Modified RMR repair</w:t>
      </w:r>
    </w:p>
    <w:p>
      <w:pPr>
        <w:spacing w:line="360" w:lineRule="auto"/>
        <w:jc w:val="both"/>
        <w:rPr>
          <w:rFonts w:ascii="Book Antiqua" w:hAnsi="Book Antiqua"/>
        </w:rPr>
      </w:pPr>
      <w:r>
        <w:rPr>
          <w:rFonts w:ascii="Book Antiqua" w:hAnsi="Book Antiqua" w:eastAsia="Book Antiqua" w:cs="Book Antiqua"/>
          <w:color w:val="000000"/>
        </w:rPr>
        <w:t>Although the European Hernia Society and American Hernia Society recommend use of mesh in the umbilical and epigastric hernias more than 1 cm in size</w:t>
      </w:r>
      <w:r>
        <w:rPr>
          <w:rFonts w:ascii="Book Antiqua" w:hAnsi="Book Antiqua" w:eastAsia="Book Antiqua" w:cs="Book Antiqua"/>
          <w:color w:val="000000"/>
          <w:vertAlign w:val="superscript"/>
        </w:rPr>
        <w:t>[35]</w:t>
      </w:r>
      <w:r>
        <w:rPr>
          <w:rFonts w:ascii="Book Antiqua" w:hAnsi="Book Antiqua" w:eastAsia="Book Antiqua" w:cs="Book Antiqua"/>
          <w:color w:val="000000"/>
        </w:rPr>
        <w:t>, many authors have demonstrated the feasibility of successful non-mesh repair in much larger hernias. Ramirez showed that component separation may allow closure of large defects (up to 35 cm) without using prostheses</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Using this technique as a modification, Girotto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were able to achieve a recurrence rate of 6% in 30 patients and Shestak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reported 5% recurrence rate in 22 patients with 6-14 cm defects after 52 mo follow up. Thus, in spite of the general recommendations, it is possible to achieve acceptable results without using mesh, but none of these emphasize muscular approximation with elimination of the linea alba as we are advocating. </w:t>
      </w:r>
    </w:p>
    <w:p>
      <w:pPr>
        <w:spacing w:line="360" w:lineRule="auto"/>
        <w:ind w:firstLine="720"/>
        <w:jc w:val="both"/>
        <w:rPr>
          <w:rFonts w:ascii="Book Antiqua" w:hAnsi="Book Antiqua"/>
        </w:rPr>
      </w:pPr>
      <w:r>
        <w:rPr>
          <w:rFonts w:ascii="Book Antiqua" w:hAnsi="Book Antiqua" w:eastAsia="Book Antiqua" w:cs="Book Antiqua"/>
          <w:color w:val="000000"/>
        </w:rPr>
        <w:t>This study has demonstrated that the modified RMR technique carries a lower morbidity risk than the surgical literature reports for mesh ventral hernia repairs</w:t>
      </w:r>
      <w:r>
        <w:rPr>
          <w:rFonts w:ascii="Book Antiqua" w:hAnsi="Book Antiqua" w:eastAsia="Book Antiqua" w:cs="Book Antiqua"/>
          <w:color w:val="000000"/>
          <w:vertAlign w:val="superscript"/>
        </w:rPr>
        <w:t>[4,7,19,24,27]</w:t>
      </w:r>
      <w:r>
        <w:rPr>
          <w:rFonts w:ascii="Book Antiqua" w:hAnsi="Book Antiqua" w:eastAsia="Book Antiqua" w:cs="Book Antiqua"/>
          <w:color w:val="000000"/>
        </w:rPr>
        <w:t xml:space="preserve"> and avoids the financial and medico-legal ramifications associated with mesh complications</w:t>
      </w:r>
      <w:r>
        <w:rPr>
          <w:rFonts w:ascii="Book Antiqua" w:hAnsi="Book Antiqua" w:eastAsia="Book Antiqua" w:cs="Book Antiqua"/>
          <w:color w:val="000000"/>
          <w:vertAlign w:val="superscript"/>
        </w:rPr>
        <w:t>[8,31]</w:t>
      </w:r>
      <w:r>
        <w:rPr>
          <w:rFonts w:ascii="Book Antiqua" w:hAnsi="Book Antiqua" w:eastAsia="Book Antiqua" w:cs="Book Antiqua"/>
          <w:color w:val="000000"/>
        </w:rPr>
        <w:t>. With a low morbidity profile and 2.1% recurrence after 36 mo mean follow-up, we suggest that the modified RMR technique should be seriously considered as a viable option for ventral hernia repair.</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modified RMR is an acceptable alternative to mesh repair of ventral hernias. The technique carries a 10.4% seroma rate, but this can be further reduced with routine use of drains. The modified RMR also has the benefit of eliminating all mesh-specific complications.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This study examined the use of a novel procedure to repair ventral hernias without the use of prosthetic mesh. This is a newly described technique.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Mesh utilization for ventral hernia repair may potentially lead to mesh infections, adhesions, seromas, fistula formation and postoperative pain. If the modified Rectus Muscle Repair technique is shown to be effective and safe, then it may lead to the omission of mesh in patients with ventral hernias.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bCs/>
          <w:color w:val="000000"/>
        </w:rPr>
        <w:t>The objective of this study was to</w:t>
      </w:r>
      <w:r>
        <w:rPr>
          <w:rFonts w:ascii="Book Antiqua" w:hAnsi="Book Antiqua" w:eastAsia="Book Antiqua" w:cs="Book Antiqua"/>
          <w:color w:val="000000"/>
        </w:rPr>
        <w:t xml:space="preserve"> examine the short term outcomes of all consecutive patients with ventral abdominal wall hernias &gt; 5 cm in maximal diameter who underwent repair using the modified rectus muscle repair (RMR) technique in a single surgeon unit.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bCs/>
          <w:color w:val="000000"/>
        </w:rPr>
        <w:t>A</w:t>
      </w:r>
      <w:r>
        <w:rPr>
          <w:rFonts w:ascii="Book Antiqua" w:hAnsi="Book Antiqua" w:eastAsia="Book Antiqua" w:cs="Book Antiqua"/>
          <w:color w:val="000000"/>
        </w:rPr>
        <w:t xml:space="preserve"> 5-year prospective study was undertaken to examine the outcome of all consecutive hernia repairs using the modified RMR technique. Patients were reviewed in an outpatient clinic at 3, 6 and 12 mo and evaluated for hernia recurrence on clinical examination. Each patient’s abdominal wall was also assessed with using ultrasonography at 24 mo to detect recurrences. All data were examined with SPSS ver 18.0.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There were 52 patients treated for ventral hernias, and 4 were excluded, leaving 48 in the final study sample, at a mean age of 56 years (range 28-80). The mean maximal diameter of the hernia defect was 7 cm (range 5-12 cm). There were 5 (10.4%) seromas and 1 recurrence (2.1%) at a mean of 36 mo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proposes that the modified RMR can be used as an acceptable alternative to mesh repair of ventral hernias. The new method that this study suggests is the routine use of drains to reduce seroma rates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Further study of larger case series is warranted since this early research shows encouraging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01" w:name="OLE_LINK7732"/>
      <w:bookmarkStart w:id="102" w:name="OLE_LINK7731"/>
      <w:r>
        <w:rPr>
          <w:rFonts w:ascii="Book Antiqua" w:hAnsi="Book Antiqua"/>
        </w:rPr>
        <w:t xml:space="preserve">1 </w:t>
      </w:r>
      <w:r>
        <w:rPr>
          <w:rFonts w:ascii="Book Antiqua" w:hAnsi="Book Antiqua"/>
          <w:b/>
          <w:bCs/>
        </w:rPr>
        <w:t>Pawlak M</w:t>
      </w:r>
      <w:r>
        <w:rPr>
          <w:rFonts w:ascii="Book Antiqua" w:hAnsi="Book Antiqua"/>
        </w:rPr>
        <w:t xml:space="preserve">, Tulloh B, de Beaux A. Current trends in hernia surgery in NHS England. </w:t>
      </w:r>
      <w:r>
        <w:rPr>
          <w:rFonts w:ascii="Book Antiqua" w:hAnsi="Book Antiqua"/>
          <w:i/>
          <w:iCs/>
        </w:rPr>
        <w:t>Ann R Coll Surg Engl</w:t>
      </w:r>
      <w:r>
        <w:rPr>
          <w:rFonts w:ascii="Book Antiqua" w:hAnsi="Book Antiqua"/>
        </w:rPr>
        <w:t xml:space="preserve"> 2020; </w:t>
      </w:r>
      <w:r>
        <w:rPr>
          <w:rFonts w:ascii="Book Antiqua" w:hAnsi="Book Antiqua"/>
          <w:b/>
          <w:bCs/>
        </w:rPr>
        <w:t>102</w:t>
      </w:r>
      <w:r>
        <w:rPr>
          <w:rFonts w:ascii="Book Antiqua" w:hAnsi="Book Antiqua"/>
        </w:rPr>
        <w:t>: 25-27 [PMID: 31418302 DOI: 10.1308/rcsann.2019.0118]</w:t>
      </w:r>
    </w:p>
    <w:p>
      <w:pPr>
        <w:spacing w:line="360" w:lineRule="auto"/>
        <w:jc w:val="both"/>
        <w:rPr>
          <w:rFonts w:ascii="Book Antiqua" w:hAnsi="Book Antiqua"/>
        </w:rPr>
      </w:pPr>
      <w:r>
        <w:rPr>
          <w:rFonts w:ascii="Book Antiqua" w:hAnsi="Book Antiqua"/>
        </w:rPr>
        <w:t xml:space="preserve">2 </w:t>
      </w:r>
      <w:r>
        <w:rPr>
          <w:rFonts w:ascii="Book Antiqua" w:hAnsi="Book Antiqua"/>
          <w:b/>
          <w:bCs/>
        </w:rPr>
        <w:t>Narkhede R</w:t>
      </w:r>
      <w:r>
        <w:rPr>
          <w:rFonts w:ascii="Book Antiqua" w:hAnsi="Book Antiqua"/>
        </w:rPr>
        <w:t xml:space="preserve">, Shah NM, Dalal PR, Mangukia C, Dholaria S. Postoperative Mesh Infection-Still a Concern in Laparoscopic Era. </w:t>
      </w:r>
      <w:r>
        <w:rPr>
          <w:rFonts w:ascii="Book Antiqua" w:hAnsi="Book Antiqua"/>
          <w:i/>
          <w:iCs/>
        </w:rPr>
        <w:t>Indian J Surg</w:t>
      </w:r>
      <w:r>
        <w:rPr>
          <w:rFonts w:ascii="Book Antiqua" w:hAnsi="Book Antiqua"/>
        </w:rPr>
        <w:t xml:space="preserve"> 2015; </w:t>
      </w:r>
      <w:r>
        <w:rPr>
          <w:rFonts w:ascii="Book Antiqua" w:hAnsi="Book Antiqua"/>
          <w:b/>
          <w:bCs/>
        </w:rPr>
        <w:t>77</w:t>
      </w:r>
      <w:r>
        <w:rPr>
          <w:rFonts w:ascii="Book Antiqua" w:hAnsi="Book Antiqua"/>
        </w:rPr>
        <w:t>: 322-326 [PMID: 26702240 DOI: 10.1007/s12262-015-1304-x]</w:t>
      </w:r>
    </w:p>
    <w:p>
      <w:pPr>
        <w:spacing w:line="360" w:lineRule="auto"/>
        <w:jc w:val="both"/>
        <w:rPr>
          <w:rFonts w:ascii="Book Antiqua" w:hAnsi="Book Antiqua"/>
        </w:rPr>
      </w:pPr>
      <w:r>
        <w:rPr>
          <w:rFonts w:ascii="Book Antiqua" w:hAnsi="Book Antiqua"/>
        </w:rPr>
        <w:t xml:space="preserve">3 </w:t>
      </w:r>
      <w:r>
        <w:rPr>
          <w:rFonts w:ascii="Book Antiqua" w:hAnsi="Book Antiqua"/>
          <w:b/>
          <w:bCs/>
        </w:rPr>
        <w:t>Luijendijk RW</w:t>
      </w:r>
      <w:r>
        <w:rPr>
          <w:rFonts w:ascii="Book Antiqua" w:hAnsi="Book Antiqua"/>
        </w:rPr>
        <w:t xml:space="preserve">, Hop WC, van den Tol MP, de Lange DC, Braaksma MM, IJzermans JN, Boelhouwer RU, de Vries BC, Salu MK, Wereldsma JC, Bruijninckx CM, Jeekel J. A comparison of suture repair with mesh repair for incisional hernia. </w:t>
      </w:r>
      <w:r>
        <w:rPr>
          <w:rFonts w:ascii="Book Antiqua" w:hAnsi="Book Antiqua"/>
          <w:i/>
          <w:iCs/>
        </w:rPr>
        <w:t>N Engl J Med</w:t>
      </w:r>
      <w:r>
        <w:rPr>
          <w:rFonts w:ascii="Book Antiqua" w:hAnsi="Book Antiqua"/>
        </w:rPr>
        <w:t xml:space="preserve"> 2000; </w:t>
      </w:r>
      <w:r>
        <w:rPr>
          <w:rFonts w:ascii="Book Antiqua" w:hAnsi="Book Antiqua"/>
          <w:b/>
          <w:bCs/>
        </w:rPr>
        <w:t>343</w:t>
      </w:r>
      <w:r>
        <w:rPr>
          <w:rFonts w:ascii="Book Antiqua" w:hAnsi="Book Antiqua"/>
        </w:rPr>
        <w:t>: 392-398 [PMID: 10933738 DOI: 10.1056/NEJM200008103430603]</w:t>
      </w:r>
    </w:p>
    <w:p>
      <w:pPr>
        <w:spacing w:line="360" w:lineRule="auto"/>
        <w:jc w:val="both"/>
        <w:rPr>
          <w:rFonts w:ascii="Book Antiqua" w:hAnsi="Book Antiqua"/>
        </w:rPr>
      </w:pPr>
      <w:r>
        <w:rPr>
          <w:rFonts w:ascii="Book Antiqua" w:hAnsi="Book Antiqua"/>
        </w:rPr>
        <w:t xml:space="preserve">4 </w:t>
      </w:r>
      <w:r>
        <w:rPr>
          <w:rFonts w:ascii="Book Antiqua" w:hAnsi="Book Antiqua"/>
          <w:b/>
          <w:bCs/>
        </w:rPr>
        <w:t>Nguyen MT</w:t>
      </w:r>
      <w:r>
        <w:rPr>
          <w:rFonts w:ascii="Book Antiqua" w:hAnsi="Book Antiqua"/>
        </w:rPr>
        <w:t xml:space="preserve">, Berger RL, Hicks SC, Davila JA, Li LT, Kao LS, Liang MK. Comparison of outcomes of synthetic mesh vs suture repair of elective primary ventral herniorrhaphy: a systematic review and meta-analysis. </w:t>
      </w:r>
      <w:r>
        <w:rPr>
          <w:rFonts w:ascii="Book Antiqua" w:hAnsi="Book Antiqua"/>
          <w:i/>
          <w:iCs/>
        </w:rPr>
        <w:t>JAMA Surg</w:t>
      </w:r>
      <w:r>
        <w:rPr>
          <w:rFonts w:ascii="Book Antiqua" w:hAnsi="Book Antiqua"/>
        </w:rPr>
        <w:t xml:space="preserve"> 2014; </w:t>
      </w:r>
      <w:r>
        <w:rPr>
          <w:rFonts w:ascii="Book Antiqua" w:hAnsi="Book Antiqua"/>
          <w:b/>
          <w:bCs/>
        </w:rPr>
        <w:t>149</w:t>
      </w:r>
      <w:r>
        <w:rPr>
          <w:rFonts w:ascii="Book Antiqua" w:hAnsi="Book Antiqua"/>
        </w:rPr>
        <w:t>: 415-421 [PMID: 24554114 DOI: 10.1001/jamasurg.2013.5014]</w:t>
      </w:r>
    </w:p>
    <w:p>
      <w:pPr>
        <w:spacing w:line="360" w:lineRule="auto"/>
        <w:jc w:val="both"/>
        <w:rPr>
          <w:rFonts w:ascii="Book Antiqua" w:hAnsi="Book Antiqua"/>
        </w:rPr>
      </w:pPr>
      <w:r>
        <w:rPr>
          <w:rFonts w:ascii="Book Antiqua" w:hAnsi="Book Antiqua"/>
        </w:rPr>
        <w:t xml:space="preserve">5 </w:t>
      </w:r>
      <w:r>
        <w:rPr>
          <w:rFonts w:ascii="Book Antiqua" w:hAnsi="Book Antiqua"/>
          <w:b/>
          <w:bCs/>
        </w:rPr>
        <w:t>Bostanci O</w:t>
      </w:r>
      <w:r>
        <w:rPr>
          <w:rFonts w:ascii="Book Antiqua" w:hAnsi="Book Antiqua"/>
        </w:rPr>
        <w:t xml:space="preserve">, Idiz UO, Yazar M, Mihmanli M. A Rare Complication of Composite Dual Mesh: Migration and Enterocutaneous Fistula Formation. </w:t>
      </w:r>
      <w:r>
        <w:rPr>
          <w:rFonts w:ascii="Book Antiqua" w:hAnsi="Book Antiqua"/>
          <w:i/>
          <w:iCs/>
        </w:rPr>
        <w:t>Case Rep Surg</w:t>
      </w:r>
      <w:r>
        <w:rPr>
          <w:rFonts w:ascii="Book Antiqua" w:hAnsi="Book Antiqua"/>
        </w:rPr>
        <w:t xml:space="preserve"> 2015; </w:t>
      </w:r>
      <w:r>
        <w:rPr>
          <w:rFonts w:ascii="Book Antiqua" w:hAnsi="Book Antiqua"/>
          <w:b/>
          <w:bCs/>
        </w:rPr>
        <w:t>2015</w:t>
      </w:r>
      <w:r>
        <w:rPr>
          <w:rFonts w:ascii="Book Antiqua" w:hAnsi="Book Antiqua"/>
        </w:rPr>
        <w:t>: 293659 [PMID: 26550515 DOI: 10.1155/2015/293659]</w:t>
      </w:r>
    </w:p>
    <w:p>
      <w:pPr>
        <w:spacing w:line="360" w:lineRule="auto"/>
        <w:jc w:val="both"/>
        <w:rPr>
          <w:rFonts w:ascii="Book Antiqua" w:hAnsi="Book Antiqua"/>
        </w:rPr>
      </w:pPr>
      <w:r>
        <w:rPr>
          <w:rFonts w:ascii="Book Antiqua" w:hAnsi="Book Antiqua"/>
        </w:rPr>
        <w:t xml:space="preserve">6 </w:t>
      </w:r>
      <w:r>
        <w:rPr>
          <w:rFonts w:ascii="Book Antiqua" w:hAnsi="Book Antiqua"/>
          <w:b/>
          <w:bCs/>
        </w:rPr>
        <w:t>Rezende-Neto J,</w:t>
      </w:r>
      <w:r>
        <w:rPr>
          <w:rFonts w:ascii="Book Antiqua" w:hAnsi="Book Antiqua"/>
        </w:rPr>
        <w:t xml:space="preserve"> Marshall S, Nixon K, Vlachou P, Rotstein O. Chronic Infection and Enterocutaneous Fistula Secondary to Mesh Migration and Erosion into the Small Bowel. </w:t>
      </w:r>
      <w:r>
        <w:rPr>
          <w:rFonts w:ascii="Book Antiqua" w:hAnsi="Book Antiqua"/>
          <w:i/>
        </w:rPr>
        <w:t>Surgical Infections Case Reports</w:t>
      </w:r>
      <w:r>
        <w:rPr>
          <w:rFonts w:ascii="Book Antiqua" w:hAnsi="Book Antiqua"/>
        </w:rPr>
        <w:t xml:space="preserve"> 2017;</w:t>
      </w:r>
      <w:r>
        <w:rPr>
          <w:rFonts w:ascii="Book Antiqua" w:hAnsi="Book Antiqua"/>
          <w:b/>
        </w:rPr>
        <w:t xml:space="preserve"> 2: </w:t>
      </w:r>
      <w:r>
        <w:rPr>
          <w:rFonts w:ascii="Book Antiqua" w:hAnsi="Book Antiqua"/>
        </w:rPr>
        <w:t xml:space="preserve">17-19 </w:t>
      </w:r>
      <w:r>
        <w:rPr>
          <w:rFonts w:ascii="Book Antiqua" w:hAnsi="Book Antiqua"/>
          <w:lang w:eastAsia="zh-CN"/>
        </w:rPr>
        <w:t>[</w:t>
      </w:r>
      <w:r>
        <w:rPr>
          <w:rFonts w:ascii="Book Antiqua" w:hAnsi="Book Antiqua"/>
        </w:rPr>
        <w:t>DOI: 10.1089/crsi.2017.0003]</w:t>
      </w:r>
    </w:p>
    <w:p>
      <w:pPr>
        <w:spacing w:line="360" w:lineRule="auto"/>
        <w:jc w:val="both"/>
        <w:rPr>
          <w:rFonts w:ascii="Book Antiqua" w:hAnsi="Book Antiqua"/>
        </w:rPr>
      </w:pPr>
      <w:r>
        <w:rPr>
          <w:rFonts w:ascii="Book Antiqua" w:hAnsi="Book Antiqua"/>
        </w:rPr>
        <w:t xml:space="preserve">7 </w:t>
      </w:r>
      <w:r>
        <w:rPr>
          <w:rFonts w:ascii="Book Antiqua" w:hAnsi="Book Antiqua"/>
          <w:b/>
          <w:bCs/>
        </w:rPr>
        <w:t>McLanahan D</w:t>
      </w:r>
      <w:r>
        <w:rPr>
          <w:rFonts w:ascii="Book Antiqua" w:hAnsi="Book Antiqua"/>
        </w:rPr>
        <w:t xml:space="preserve">, King LT, Weems C, Novotney M, Gibson K. Retrorectus prosthetic mesh repair of midline abdominal hernia. </w:t>
      </w:r>
      <w:r>
        <w:rPr>
          <w:rFonts w:ascii="Book Antiqua" w:hAnsi="Book Antiqua"/>
          <w:i/>
          <w:iCs/>
        </w:rPr>
        <w:t>Am J Surg</w:t>
      </w:r>
      <w:r>
        <w:rPr>
          <w:rFonts w:ascii="Book Antiqua" w:hAnsi="Book Antiqua"/>
        </w:rPr>
        <w:t xml:space="preserve"> 1997; </w:t>
      </w:r>
      <w:r>
        <w:rPr>
          <w:rFonts w:ascii="Book Antiqua" w:hAnsi="Book Antiqua"/>
          <w:b/>
          <w:bCs/>
        </w:rPr>
        <w:t>173</w:t>
      </w:r>
      <w:r>
        <w:rPr>
          <w:rFonts w:ascii="Book Antiqua" w:hAnsi="Book Antiqua"/>
        </w:rPr>
        <w:t>: 445-449 [PMID: 9168086 DOI: 10.1016/S0002-9610(97)89582-7]</w:t>
      </w:r>
    </w:p>
    <w:p>
      <w:pPr>
        <w:spacing w:line="360" w:lineRule="auto"/>
        <w:jc w:val="both"/>
        <w:rPr>
          <w:rFonts w:ascii="Book Antiqua" w:hAnsi="Book Antiqua"/>
        </w:rPr>
      </w:pPr>
      <w:r>
        <w:rPr>
          <w:rFonts w:ascii="Book Antiqua" w:hAnsi="Book Antiqua"/>
        </w:rPr>
        <w:t xml:space="preserve">8 </w:t>
      </w:r>
      <w:r>
        <w:rPr>
          <w:rFonts w:ascii="Book Antiqua" w:hAnsi="Book Antiqua"/>
          <w:b/>
        </w:rPr>
        <w:t>Drugwatch.</w:t>
      </w:r>
      <w:r>
        <w:rPr>
          <w:rFonts w:ascii="Book Antiqua" w:hAnsi="Book Antiqua"/>
        </w:rPr>
        <w:t xml:space="preserve"> Hernia Mesh Lawsuits | Mesh Lawsuit |Settlement Amounts &amp; Top Lawyers. Available from: http://www.drugwatch.com/hernia-mesh/Lawsuits</w:t>
      </w:r>
    </w:p>
    <w:p>
      <w:pPr>
        <w:spacing w:line="360" w:lineRule="auto"/>
        <w:jc w:val="both"/>
        <w:rPr>
          <w:rFonts w:ascii="Book Antiqua" w:hAnsi="Book Antiqua"/>
        </w:rPr>
      </w:pPr>
      <w:r>
        <w:rPr>
          <w:rFonts w:ascii="Book Antiqua" w:hAnsi="Book Antiqua"/>
        </w:rPr>
        <w:t xml:space="preserve">9 </w:t>
      </w:r>
      <w:r>
        <w:rPr>
          <w:rFonts w:ascii="Book Antiqua" w:hAnsi="Book Antiqua"/>
          <w:b/>
          <w:bCs/>
        </w:rPr>
        <w:t>Naraynsingh V</w:t>
      </w:r>
      <w:r>
        <w:rPr>
          <w:rFonts w:ascii="Book Antiqua" w:hAnsi="Book Antiqua"/>
        </w:rPr>
        <w:t xml:space="preserve">, Ariyanayagam D. Rectus repair for midline ventral abdominal wall hernia. </w:t>
      </w:r>
      <w:r>
        <w:rPr>
          <w:rFonts w:ascii="Book Antiqua" w:hAnsi="Book Antiqua"/>
          <w:i/>
          <w:iCs/>
        </w:rPr>
        <w:t>Br J Surg</w:t>
      </w:r>
      <w:r>
        <w:rPr>
          <w:rFonts w:ascii="Book Antiqua" w:hAnsi="Book Antiqua"/>
        </w:rPr>
        <w:t xml:space="preserve"> 1993; </w:t>
      </w:r>
      <w:r>
        <w:rPr>
          <w:rFonts w:ascii="Book Antiqua" w:hAnsi="Book Antiqua"/>
          <w:b/>
          <w:bCs/>
        </w:rPr>
        <w:t>80</w:t>
      </w:r>
      <w:r>
        <w:rPr>
          <w:rFonts w:ascii="Book Antiqua" w:hAnsi="Book Antiqua"/>
        </w:rPr>
        <w:t>: 614-615 [PMID: 8518903 DOI: 10.1002/bjs.1800800523]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Naraynsingh V,</w:t>
      </w:r>
      <w:r>
        <w:rPr>
          <w:rFonts w:ascii="Book Antiqua" w:hAnsi="Book Antiqua"/>
        </w:rPr>
        <w:t xml:space="preserve"> Hassranah S, Maharaj S, Singh Y, Harnanan D, Islam S, Cawich SO. A Modification of the Rectus Muscle Repair for Repair Ventral Hernias: Case Report. </w:t>
      </w:r>
      <w:r>
        <w:rPr>
          <w:rFonts w:ascii="Book Antiqua" w:hAnsi="Book Antiqua"/>
          <w:i/>
        </w:rPr>
        <w:t>Med Res Arch</w:t>
      </w:r>
      <w:r>
        <w:rPr>
          <w:rFonts w:ascii="Book Antiqua" w:hAnsi="Book Antiqua"/>
        </w:rPr>
        <w:t xml:space="preserve"> 2023; </w:t>
      </w:r>
      <w:r>
        <w:rPr>
          <w:rFonts w:ascii="Book Antiqua" w:hAnsi="Book Antiqua"/>
          <w:b/>
        </w:rPr>
        <w:t>11:</w:t>
      </w:r>
      <w:r>
        <w:rPr>
          <w:rFonts w:ascii="Book Antiqua" w:hAnsi="Book Antiqua"/>
        </w:rPr>
        <w:t xml:space="preserve"> 1-4 </w:t>
      </w:r>
      <w:r>
        <w:rPr>
          <w:rFonts w:ascii="Book Antiqua" w:hAnsi="Book Antiqua"/>
          <w:lang w:eastAsia="zh-CN"/>
        </w:rPr>
        <w:t>[</w:t>
      </w:r>
      <w:r>
        <w:rPr>
          <w:rFonts w:ascii="Book Antiqua" w:hAnsi="Book Antiqua"/>
        </w:rPr>
        <w:t>DOI: 10.18103/mra.v11i9.4515]</w:t>
      </w:r>
    </w:p>
    <w:p>
      <w:pPr>
        <w:spacing w:line="360" w:lineRule="auto"/>
        <w:jc w:val="both"/>
        <w:rPr>
          <w:rFonts w:ascii="Book Antiqua" w:hAnsi="Book Antiqua"/>
        </w:rPr>
      </w:pPr>
      <w:r>
        <w:rPr>
          <w:rFonts w:ascii="Book Antiqua" w:hAnsi="Book Antiqua"/>
        </w:rPr>
        <w:t xml:space="preserve">11 </w:t>
      </w:r>
      <w:r>
        <w:rPr>
          <w:rFonts w:ascii="Book Antiqua" w:hAnsi="Book Antiqua"/>
          <w:b/>
          <w:bCs/>
        </w:rPr>
        <w:t xml:space="preserve">Billroth T. </w:t>
      </w:r>
      <w:r>
        <w:rPr>
          <w:rFonts w:ascii="Book Antiqua" w:hAnsi="Book Antiqua"/>
          <w:bCs/>
        </w:rPr>
        <w:t>The Medical Sciences in the German Universities: A Study in the History of Civilization. New York,</w:t>
      </w:r>
      <w:r>
        <w:rPr>
          <w:rFonts w:ascii="Book Antiqua" w:hAnsi="Book Antiqua"/>
        </w:rPr>
        <w:t xml:space="preserve"> NY, USA: Welch, W. H., Ed.; Macmillan; 1924</w:t>
      </w:r>
    </w:p>
    <w:p>
      <w:pPr>
        <w:spacing w:line="360" w:lineRule="auto"/>
        <w:jc w:val="both"/>
        <w:rPr>
          <w:rFonts w:ascii="Book Antiqua" w:hAnsi="Book Antiqua"/>
        </w:rPr>
      </w:pPr>
      <w:r>
        <w:rPr>
          <w:rFonts w:ascii="Book Antiqua" w:hAnsi="Book Antiqua"/>
        </w:rPr>
        <w:t xml:space="preserve">12 </w:t>
      </w:r>
      <w:r>
        <w:rPr>
          <w:rFonts w:ascii="Book Antiqua" w:hAnsi="Book Antiqua"/>
          <w:b/>
          <w:bCs/>
        </w:rPr>
        <w:t>Baylón K</w:t>
      </w:r>
      <w:r>
        <w:rPr>
          <w:rFonts w:ascii="Book Antiqua" w:hAnsi="Book Antiqua"/>
        </w:rPr>
        <w:t xml:space="preserve">, Rodríguez-Camarillo P, Elías-Zúñiga A, Díaz-Elizondo JA, Gilkerson R, Lozano K. Past, Present and Future of Surgical Meshes: A Review. </w:t>
      </w:r>
      <w:r>
        <w:rPr>
          <w:rFonts w:ascii="Book Antiqua" w:hAnsi="Book Antiqua"/>
          <w:i/>
          <w:iCs/>
        </w:rPr>
        <w:t>Membranes (Basel)</w:t>
      </w:r>
      <w:r>
        <w:rPr>
          <w:rFonts w:ascii="Book Antiqua" w:hAnsi="Book Antiqua"/>
        </w:rPr>
        <w:t xml:space="preserve"> 2017; </w:t>
      </w:r>
      <w:r>
        <w:rPr>
          <w:rFonts w:ascii="Book Antiqua" w:hAnsi="Book Antiqua"/>
          <w:b/>
          <w:bCs/>
        </w:rPr>
        <w:t>7</w:t>
      </w:r>
      <w:r>
        <w:rPr>
          <w:rFonts w:ascii="Book Antiqua" w:hAnsi="Book Antiqua"/>
        </w:rPr>
        <w:t xml:space="preserve"> [PMID: 28829367 DOI: 10.3390/membranes7030047]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Elango S</w:t>
      </w:r>
      <w:r>
        <w:rPr>
          <w:rFonts w:ascii="Book Antiqua" w:hAnsi="Book Antiqua"/>
        </w:rPr>
        <w:t xml:space="preserve">, Perumalsamy S, Ramachandran K, Vadodaria K. Mesh materials and hernia repair. </w:t>
      </w:r>
      <w:r>
        <w:rPr>
          <w:rFonts w:ascii="Book Antiqua" w:hAnsi="Book Antiqua"/>
          <w:i/>
          <w:iCs/>
        </w:rPr>
        <w:t>Biomedicine (Taipei)</w:t>
      </w:r>
      <w:r>
        <w:rPr>
          <w:rFonts w:ascii="Book Antiqua" w:hAnsi="Book Antiqua"/>
        </w:rPr>
        <w:t xml:space="preserve"> 2017; </w:t>
      </w:r>
      <w:r>
        <w:rPr>
          <w:rFonts w:ascii="Book Antiqua" w:hAnsi="Book Antiqua"/>
          <w:b/>
          <w:bCs/>
        </w:rPr>
        <w:t>7</w:t>
      </w:r>
      <w:r>
        <w:rPr>
          <w:rFonts w:ascii="Book Antiqua" w:hAnsi="Book Antiqua"/>
        </w:rPr>
        <w:t>: 16 [PMID: 28840830 DOI: 10.1051/bmdcn/2017070316]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Peralta R</w:t>
      </w:r>
      <w:r>
        <w:rPr>
          <w:rFonts w:ascii="Book Antiqua" w:hAnsi="Book Antiqua"/>
        </w:rPr>
        <w:t xml:space="preserve">, Latifi R. Long-term outcomes of abdominal wall reconstruction. what are the real numbers? </w:t>
      </w:r>
      <w:r>
        <w:rPr>
          <w:rFonts w:ascii="Book Antiqua" w:hAnsi="Book Antiqua"/>
          <w:i/>
          <w:iCs/>
        </w:rPr>
        <w:t>World J Surg</w:t>
      </w:r>
      <w:r>
        <w:rPr>
          <w:rFonts w:ascii="Book Antiqua" w:hAnsi="Book Antiqua"/>
        </w:rPr>
        <w:t xml:space="preserve"> 2012; </w:t>
      </w:r>
      <w:r>
        <w:rPr>
          <w:rFonts w:ascii="Book Antiqua" w:hAnsi="Book Antiqua"/>
          <w:b/>
          <w:bCs/>
        </w:rPr>
        <w:t>36</w:t>
      </w:r>
      <w:r>
        <w:rPr>
          <w:rFonts w:ascii="Book Antiqua" w:hAnsi="Book Antiqua"/>
        </w:rPr>
        <w:t>: 534-538 [PMID: 22311141 DOI: 10.1007/s00268-012-1454-y]</w:t>
      </w:r>
    </w:p>
    <w:p>
      <w:pPr>
        <w:spacing w:line="360" w:lineRule="auto"/>
        <w:jc w:val="both"/>
        <w:rPr>
          <w:rFonts w:ascii="Book Antiqua" w:hAnsi="Book Antiqua"/>
        </w:rPr>
      </w:pPr>
      <w:r>
        <w:rPr>
          <w:rFonts w:ascii="Book Antiqua" w:hAnsi="Book Antiqua"/>
        </w:rPr>
        <w:t>15</w:t>
      </w:r>
      <w:r>
        <w:rPr>
          <w:rFonts w:ascii="Book Antiqua" w:hAnsi="Book Antiqua"/>
          <w:b/>
        </w:rPr>
        <w:t xml:space="preserve"> Dudley H. </w:t>
      </w:r>
      <w:r>
        <w:rPr>
          <w:rFonts w:ascii="Book Antiqua" w:hAnsi="Book Antiqua"/>
        </w:rPr>
        <w:t>Access to the abdomen and lower chest. 2nd ed. London: Butterworths; 1986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Naraynsingh V</w:t>
      </w:r>
      <w:r>
        <w:rPr>
          <w:rFonts w:ascii="Book Antiqua" w:hAnsi="Book Antiqua"/>
        </w:rPr>
        <w:t xml:space="preserve">, Maharaj R, Dan D, Hariharan S. Strong linea alba: myth or reality? </w:t>
      </w:r>
      <w:r>
        <w:rPr>
          <w:rFonts w:ascii="Book Antiqua" w:hAnsi="Book Antiqua"/>
          <w:i/>
          <w:iCs/>
        </w:rPr>
        <w:t>Med Hypotheses</w:t>
      </w:r>
      <w:r>
        <w:rPr>
          <w:rFonts w:ascii="Book Antiqua" w:hAnsi="Book Antiqua"/>
        </w:rPr>
        <w:t xml:space="preserve"> 2012; </w:t>
      </w:r>
      <w:r>
        <w:rPr>
          <w:rFonts w:ascii="Book Antiqua" w:hAnsi="Book Antiqua"/>
          <w:b/>
          <w:bCs/>
        </w:rPr>
        <w:t>78</w:t>
      </w:r>
      <w:r>
        <w:rPr>
          <w:rFonts w:ascii="Book Antiqua" w:hAnsi="Book Antiqua"/>
        </w:rPr>
        <w:t>: 291-292 [PMID: 22137498 DOI: 10.1016/j.mehy.2011.11.004]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Heartsill L</w:t>
      </w:r>
      <w:r>
        <w:rPr>
          <w:rFonts w:ascii="Book Antiqua" w:hAnsi="Book Antiqua"/>
        </w:rPr>
        <w:t xml:space="preserve">, Richards ML, Arfai N, Lee A, Bingener-Casey J, Schwesinger WH, Sirinek KR. Open Rives-Stoppa ventral hernia repair made simple and successful but not for everyone. </w:t>
      </w:r>
      <w:r>
        <w:rPr>
          <w:rFonts w:ascii="Book Antiqua" w:hAnsi="Book Antiqua"/>
          <w:i/>
          <w:iCs/>
        </w:rPr>
        <w:t>Hernia</w:t>
      </w:r>
      <w:r>
        <w:rPr>
          <w:rFonts w:ascii="Book Antiqua" w:hAnsi="Book Antiqua"/>
        </w:rPr>
        <w:t xml:space="preserve"> 2005; </w:t>
      </w:r>
      <w:r>
        <w:rPr>
          <w:rFonts w:ascii="Book Antiqua" w:hAnsi="Book Antiqua"/>
          <w:b/>
          <w:bCs/>
        </w:rPr>
        <w:t>9</w:t>
      </w:r>
      <w:r>
        <w:rPr>
          <w:rFonts w:ascii="Book Antiqua" w:hAnsi="Book Antiqua"/>
        </w:rPr>
        <w:t>: 162-166 [PMID: 15723151 DOI: 10.1007/s10029-005-0319-9]</w:t>
      </w:r>
    </w:p>
    <w:p>
      <w:pPr>
        <w:spacing w:line="360" w:lineRule="auto"/>
        <w:jc w:val="both"/>
        <w:rPr>
          <w:rFonts w:ascii="Book Antiqua" w:hAnsi="Book Antiqua"/>
        </w:rPr>
      </w:pPr>
      <w:r>
        <w:rPr>
          <w:rFonts w:ascii="Book Antiqua" w:hAnsi="Book Antiqua"/>
        </w:rPr>
        <w:t xml:space="preserve">18 </w:t>
      </w:r>
      <w:r>
        <w:rPr>
          <w:rFonts w:ascii="Book Antiqua" w:hAnsi="Book Antiqua"/>
          <w:b/>
          <w:bCs/>
        </w:rPr>
        <w:t>Ríos A</w:t>
      </w:r>
      <w:r>
        <w:rPr>
          <w:rFonts w:ascii="Book Antiqua" w:hAnsi="Book Antiqua"/>
        </w:rPr>
        <w:t xml:space="preserve">, Rodríguez JM, Munitiz V, Alcaraz P, Pérez Flores D, Parrilla P. Antibiotic prophylaxis in incisional hernia repair using a prosthesis. </w:t>
      </w:r>
      <w:r>
        <w:rPr>
          <w:rFonts w:ascii="Book Antiqua" w:hAnsi="Book Antiqua"/>
          <w:i/>
          <w:iCs/>
        </w:rPr>
        <w:t>Hernia</w:t>
      </w:r>
      <w:r>
        <w:rPr>
          <w:rFonts w:ascii="Book Antiqua" w:hAnsi="Book Antiqua"/>
        </w:rPr>
        <w:t xml:space="preserve"> 2001; </w:t>
      </w:r>
      <w:r>
        <w:rPr>
          <w:rFonts w:ascii="Book Antiqua" w:hAnsi="Book Antiqua"/>
          <w:b/>
          <w:bCs/>
        </w:rPr>
        <w:t>5</w:t>
      </w:r>
      <w:r>
        <w:rPr>
          <w:rFonts w:ascii="Book Antiqua" w:hAnsi="Book Antiqua"/>
        </w:rPr>
        <w:t>: 148-152 [PMID: 11759801 DOI: 10.1007/s100290100026]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den Hartog D</w:t>
      </w:r>
      <w:r>
        <w:rPr>
          <w:rFonts w:ascii="Book Antiqua" w:hAnsi="Book Antiqua"/>
        </w:rPr>
        <w:t xml:space="preserve">, Dur AH, Tuinebreijer WE, Kreis RW. Open surgical procedures for incisional hernias. </w:t>
      </w:r>
      <w:r>
        <w:rPr>
          <w:rFonts w:ascii="Book Antiqua" w:hAnsi="Book Antiqua"/>
          <w:i/>
          <w:iCs/>
        </w:rPr>
        <w:t>Cochrane Database Syst Rev</w:t>
      </w:r>
      <w:r>
        <w:rPr>
          <w:rFonts w:ascii="Book Antiqua" w:hAnsi="Book Antiqua"/>
        </w:rPr>
        <w:t xml:space="preserve"> 2008; </w:t>
      </w:r>
      <w:r>
        <w:rPr>
          <w:rFonts w:ascii="Book Antiqua" w:hAnsi="Book Antiqua"/>
          <w:b/>
          <w:bCs/>
        </w:rPr>
        <w:t>2008</w:t>
      </w:r>
      <w:r>
        <w:rPr>
          <w:rFonts w:ascii="Book Antiqua" w:hAnsi="Book Antiqua"/>
        </w:rPr>
        <w:t>: CD006438 [PMID: 18646155 DOI: 10.1002/14651858.CD006438.pub2]</w:t>
      </w:r>
    </w:p>
    <w:p>
      <w:pPr>
        <w:spacing w:line="360" w:lineRule="auto"/>
        <w:jc w:val="both"/>
        <w:rPr>
          <w:rFonts w:ascii="Book Antiqua" w:hAnsi="Book Antiqua"/>
        </w:rPr>
      </w:pPr>
      <w:r>
        <w:rPr>
          <w:rFonts w:ascii="Book Antiqua" w:hAnsi="Book Antiqua"/>
        </w:rPr>
        <w:t xml:space="preserve">20 </w:t>
      </w:r>
      <w:r>
        <w:rPr>
          <w:rFonts w:ascii="Book Antiqua" w:hAnsi="Book Antiqua"/>
          <w:b/>
          <w:bCs/>
        </w:rPr>
        <w:t>Mavros MN</w:t>
      </w:r>
      <w:r>
        <w:rPr>
          <w:rFonts w:ascii="Book Antiqua" w:hAnsi="Book Antiqua"/>
        </w:rPr>
        <w:t xml:space="preserve">, Athanasiou S, Alexiou VG, Mitsikostas PK, Peppas G, Falagas ME. Risk factors for mesh-related infections after hernia repair surgery: a meta-analysis of cohort studies. </w:t>
      </w:r>
      <w:r>
        <w:rPr>
          <w:rFonts w:ascii="Book Antiqua" w:hAnsi="Book Antiqua"/>
          <w:i/>
          <w:iCs/>
        </w:rPr>
        <w:t>World J Surg</w:t>
      </w:r>
      <w:r>
        <w:rPr>
          <w:rFonts w:ascii="Book Antiqua" w:hAnsi="Book Antiqua"/>
        </w:rPr>
        <w:t xml:space="preserve"> 2011; </w:t>
      </w:r>
      <w:r>
        <w:rPr>
          <w:rFonts w:ascii="Book Antiqua" w:hAnsi="Book Antiqua"/>
          <w:b/>
          <w:bCs/>
        </w:rPr>
        <w:t>35</w:t>
      </w:r>
      <w:r>
        <w:rPr>
          <w:rFonts w:ascii="Book Antiqua" w:hAnsi="Book Antiqua"/>
        </w:rPr>
        <w:t>: 2389-2398 [PMID: 21913136 DOI: 10.1007/s00268-011-1266-5]</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Kao AM</w:t>
      </w:r>
      <w:r>
        <w:rPr>
          <w:rFonts w:ascii="Book Antiqua" w:hAnsi="Book Antiqua"/>
        </w:rPr>
        <w:t xml:space="preserve">, Arnold MR, Augenstein VA, Heniford BT. Prevention and Treatment Strategies for Mesh Infection in Abdominal Wall Reconstruction. </w:t>
      </w:r>
      <w:r>
        <w:rPr>
          <w:rFonts w:ascii="Book Antiqua" w:hAnsi="Book Antiqua"/>
          <w:i/>
          <w:iCs/>
        </w:rPr>
        <w:t>Plast Reconstr Surg</w:t>
      </w:r>
      <w:r>
        <w:rPr>
          <w:rFonts w:ascii="Book Antiqua" w:hAnsi="Book Antiqua"/>
        </w:rPr>
        <w:t xml:space="preserve"> 2018; </w:t>
      </w:r>
      <w:r>
        <w:rPr>
          <w:rFonts w:ascii="Book Antiqua" w:hAnsi="Book Antiqua"/>
          <w:b/>
          <w:bCs/>
        </w:rPr>
        <w:t>142</w:t>
      </w:r>
      <w:r>
        <w:rPr>
          <w:rFonts w:ascii="Book Antiqua" w:hAnsi="Book Antiqua"/>
        </w:rPr>
        <w:t>: 149S-155S [PMID: 30138283 DOI: 10.1097/PRS.0000000000004871]</w:t>
      </w:r>
    </w:p>
    <w:p>
      <w:pPr>
        <w:spacing w:line="360" w:lineRule="auto"/>
        <w:jc w:val="both"/>
        <w:rPr>
          <w:rFonts w:ascii="Book Antiqua" w:hAnsi="Book Antiqua"/>
        </w:rPr>
      </w:pPr>
      <w:r>
        <w:rPr>
          <w:rFonts w:ascii="Book Antiqua" w:hAnsi="Book Antiqua"/>
        </w:rPr>
        <w:t xml:space="preserve">22 </w:t>
      </w:r>
      <w:r>
        <w:rPr>
          <w:rFonts w:ascii="Book Antiqua" w:hAnsi="Book Antiqua"/>
          <w:b/>
          <w:bCs/>
        </w:rPr>
        <w:t>Klinge U</w:t>
      </w:r>
      <w:r>
        <w:rPr>
          <w:rFonts w:ascii="Book Antiqua" w:hAnsi="Book Antiqua"/>
        </w:rPr>
        <w:t xml:space="preserve">, Junge K, Spellerberg B, Piroth C, Klosterhalfen B, Schumpelick V. Do multifilament alloplastic meshes increase the infection rate? Analysis of the polymeric surface, the bacteria adherence, and the in vivo consequences in a rat model. </w:t>
      </w:r>
      <w:r>
        <w:rPr>
          <w:rFonts w:ascii="Book Antiqua" w:hAnsi="Book Antiqua"/>
          <w:i/>
          <w:iCs/>
        </w:rPr>
        <w:t>J Biomed Mater Res</w:t>
      </w:r>
      <w:r>
        <w:rPr>
          <w:rFonts w:ascii="Book Antiqua" w:hAnsi="Book Antiqua"/>
        </w:rPr>
        <w:t xml:space="preserve"> 2002; </w:t>
      </w:r>
      <w:r>
        <w:rPr>
          <w:rFonts w:ascii="Book Antiqua" w:hAnsi="Book Antiqua"/>
          <w:b/>
          <w:bCs/>
        </w:rPr>
        <w:t>63</w:t>
      </w:r>
      <w:r>
        <w:rPr>
          <w:rFonts w:ascii="Book Antiqua" w:hAnsi="Book Antiqua"/>
        </w:rPr>
        <w:t>: 765-771 [PMID: 12418022 DOI: 10.1002/jbm.10449]</w:t>
      </w:r>
    </w:p>
    <w:p>
      <w:pPr>
        <w:spacing w:line="360" w:lineRule="auto"/>
        <w:jc w:val="both"/>
        <w:rPr>
          <w:rFonts w:ascii="Book Antiqua" w:hAnsi="Book Antiqua"/>
        </w:rPr>
      </w:pPr>
      <w:r>
        <w:rPr>
          <w:rFonts w:ascii="Book Antiqua" w:hAnsi="Book Antiqua"/>
        </w:rPr>
        <w:t xml:space="preserve">23 </w:t>
      </w:r>
      <w:r>
        <w:rPr>
          <w:rFonts w:ascii="Book Antiqua" w:hAnsi="Book Antiqua"/>
          <w:b/>
          <w:bCs/>
        </w:rPr>
        <w:t>An YH,</w:t>
      </w:r>
      <w:r>
        <w:rPr>
          <w:rFonts w:ascii="Book Antiqua" w:hAnsi="Book Antiqua"/>
        </w:rPr>
        <w:t xml:space="preserve"> Friedman RJ. Concise review of mechanisms of bacterial adhesion to biomaterial surfaces.</w:t>
      </w:r>
      <w:r>
        <w:rPr>
          <w:rFonts w:ascii="Book Antiqua" w:hAnsi="Book Antiqua"/>
          <w:i/>
        </w:rPr>
        <w:t xml:space="preserve"> J Biomed Mater Res</w:t>
      </w:r>
      <w:r>
        <w:rPr>
          <w:rFonts w:ascii="Book Antiqua" w:hAnsi="Book Antiqua"/>
        </w:rPr>
        <w:t xml:space="preserve"> 1998; </w:t>
      </w:r>
      <w:r>
        <w:rPr>
          <w:rFonts w:ascii="Book Antiqua" w:hAnsi="Book Antiqua"/>
          <w:b/>
        </w:rPr>
        <w:t xml:space="preserve">43: </w:t>
      </w:r>
      <w:r>
        <w:rPr>
          <w:rFonts w:ascii="Book Antiqua" w:hAnsi="Book Antiqua"/>
        </w:rPr>
        <w:t>338-348 [DOI: 10.1002/(SICI)1097-4636(199823)43:3&lt;338::AID-JBM16&gt;3.0.CO;2-B]</w:t>
      </w:r>
    </w:p>
    <w:p>
      <w:pPr>
        <w:spacing w:line="360" w:lineRule="auto"/>
        <w:jc w:val="both"/>
        <w:rPr>
          <w:rFonts w:ascii="Book Antiqua" w:hAnsi="Book Antiqua"/>
        </w:rPr>
      </w:pPr>
      <w:r>
        <w:rPr>
          <w:rFonts w:ascii="Book Antiqua" w:hAnsi="Book Antiqua"/>
        </w:rPr>
        <w:t xml:space="preserve">24 </w:t>
      </w:r>
      <w:r>
        <w:rPr>
          <w:rFonts w:ascii="Book Antiqua" w:hAnsi="Book Antiqua"/>
          <w:b/>
          <w:bCs/>
        </w:rPr>
        <w:t>Zinther NB</w:t>
      </w:r>
      <w:r>
        <w:rPr>
          <w:rFonts w:ascii="Book Antiqua" w:hAnsi="Book Antiqua"/>
        </w:rPr>
        <w:t xml:space="preserve">, Fedder J, Friis-Andersen H. Noninvasive detection and mapping of intraabdominal adhesions: a review of the current literature. </w:t>
      </w:r>
      <w:r>
        <w:rPr>
          <w:rFonts w:ascii="Book Antiqua" w:hAnsi="Book Antiqua"/>
          <w:i/>
          <w:iCs/>
        </w:rPr>
        <w:t>Surg Endosc</w:t>
      </w:r>
      <w:r>
        <w:rPr>
          <w:rFonts w:ascii="Book Antiqua" w:hAnsi="Book Antiqua"/>
        </w:rPr>
        <w:t xml:space="preserve"> 2010; </w:t>
      </w:r>
      <w:r>
        <w:rPr>
          <w:rFonts w:ascii="Book Antiqua" w:hAnsi="Book Antiqua"/>
          <w:b/>
          <w:bCs/>
        </w:rPr>
        <w:t>24</w:t>
      </w:r>
      <w:r>
        <w:rPr>
          <w:rFonts w:ascii="Book Antiqua" w:hAnsi="Book Antiqua"/>
        </w:rPr>
        <w:t>: 2681-2686 [PMID: 20512510 DOI: 10.1007/s00464-010-1119-6]</w:t>
      </w:r>
    </w:p>
    <w:p>
      <w:pPr>
        <w:spacing w:line="360" w:lineRule="auto"/>
        <w:jc w:val="both"/>
        <w:rPr>
          <w:rFonts w:ascii="Book Antiqua" w:hAnsi="Book Antiqua"/>
        </w:rPr>
      </w:pPr>
      <w:r>
        <w:rPr>
          <w:rFonts w:ascii="Book Antiqua" w:hAnsi="Book Antiqua"/>
        </w:rPr>
        <w:t xml:space="preserve">25 </w:t>
      </w:r>
      <w:r>
        <w:rPr>
          <w:rFonts w:ascii="Book Antiqua" w:hAnsi="Book Antiqua"/>
          <w:b/>
          <w:bCs/>
        </w:rPr>
        <w:t>Mussack T</w:t>
      </w:r>
      <w:r>
        <w:rPr>
          <w:rFonts w:ascii="Book Antiqua" w:hAnsi="Book Antiqua"/>
        </w:rPr>
        <w:t xml:space="preserve">, Fischer T, Ladurner R, Gangkofer A, Bensler S, Hallfeldt KK, Reiser M, Lienemann A. Cine magnetic resonance imaging vs high-resolution ultrasonography for detection of adhesions after laparoscopic and open incisional hernia repair: a matched pair pilot analysis. </w:t>
      </w:r>
      <w:r>
        <w:rPr>
          <w:rFonts w:ascii="Book Antiqua" w:hAnsi="Book Antiqua"/>
          <w:i/>
          <w:iCs/>
        </w:rPr>
        <w:t>Surg Endosc</w:t>
      </w:r>
      <w:r>
        <w:rPr>
          <w:rFonts w:ascii="Book Antiqua" w:hAnsi="Book Antiqua"/>
        </w:rPr>
        <w:t xml:space="preserve"> 2005; </w:t>
      </w:r>
      <w:r>
        <w:rPr>
          <w:rFonts w:ascii="Book Antiqua" w:hAnsi="Book Antiqua"/>
          <w:b/>
          <w:bCs/>
        </w:rPr>
        <w:t>19</w:t>
      </w:r>
      <w:r>
        <w:rPr>
          <w:rFonts w:ascii="Book Antiqua" w:hAnsi="Book Antiqua"/>
        </w:rPr>
        <w:t>: 1538-1543 [PMID: 16247569 DOI: 10.1007/s00464-005-0092-y]</w:t>
      </w:r>
    </w:p>
    <w:p>
      <w:pPr>
        <w:spacing w:line="360" w:lineRule="auto"/>
        <w:jc w:val="both"/>
        <w:rPr>
          <w:rFonts w:ascii="Book Antiqua" w:hAnsi="Book Antiqua"/>
          <w:lang w:eastAsia="zh-CN"/>
        </w:rPr>
      </w:pPr>
      <w:r>
        <w:rPr>
          <w:rFonts w:hint="eastAsia" w:ascii="Book Antiqua" w:hAnsi="Book Antiqua"/>
          <w:lang w:eastAsia="zh-CN"/>
        </w:rPr>
        <w:t>2</w:t>
      </w:r>
      <w:r>
        <w:rPr>
          <w:rFonts w:ascii="Book Antiqua" w:hAnsi="Book Antiqua"/>
          <w:lang w:eastAsia="zh-CN"/>
        </w:rPr>
        <w:t xml:space="preserve">6 </w:t>
      </w:r>
      <w:r>
        <w:rPr>
          <w:rFonts w:ascii="Book Antiqua" w:hAnsi="Book Antiqua"/>
          <w:b/>
          <w:lang w:eastAsia="zh-CN"/>
        </w:rPr>
        <w:t>Aubé C</w:t>
      </w:r>
      <w:r>
        <w:rPr>
          <w:rFonts w:ascii="Book Antiqua" w:hAnsi="Book Antiqua"/>
          <w:lang w:eastAsia="zh-CN"/>
        </w:rPr>
        <w:t xml:space="preserve">, Pessaux P, Tuech JJ, du Plessis R, Becker P, Caron C, Arnaud JP. Detection of peritoneal adhesions using ultrasound examination for the evaluation of an innovative intraperitoneal mesh. </w:t>
      </w:r>
      <w:r>
        <w:rPr>
          <w:rFonts w:ascii="Book Antiqua" w:hAnsi="Book Antiqua"/>
          <w:i/>
          <w:lang w:eastAsia="zh-CN"/>
        </w:rPr>
        <w:t xml:space="preserve">Surg Endosc </w:t>
      </w:r>
      <w:r>
        <w:rPr>
          <w:rFonts w:ascii="Book Antiqua" w:hAnsi="Book Antiqua"/>
          <w:lang w:eastAsia="zh-CN"/>
        </w:rPr>
        <w:t xml:space="preserve">2004; </w:t>
      </w:r>
      <w:r>
        <w:rPr>
          <w:rFonts w:ascii="Book Antiqua" w:hAnsi="Book Antiqua"/>
          <w:b/>
          <w:lang w:eastAsia="zh-CN"/>
        </w:rPr>
        <w:t xml:space="preserve">18: </w:t>
      </w:r>
      <w:r>
        <w:rPr>
          <w:rFonts w:ascii="Book Antiqua" w:hAnsi="Book Antiqua"/>
          <w:lang w:eastAsia="zh-CN"/>
        </w:rPr>
        <w:t>131-135 [PMID: 14625740 DOI: 10.1007/s00464-003-9056-2]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Liang MK</w:t>
      </w:r>
      <w:r>
        <w:rPr>
          <w:rFonts w:ascii="Book Antiqua" w:hAnsi="Book Antiqua"/>
        </w:rPr>
        <w:t xml:space="preserve">, Clapp M, Li LT, Berger RL, Hicks SC, Awad S. Patient Satisfaction, chronic pain, and functional status following laparoscopic ventral hernia repair. </w:t>
      </w:r>
      <w:r>
        <w:rPr>
          <w:rFonts w:ascii="Book Antiqua" w:hAnsi="Book Antiqua"/>
          <w:i/>
          <w:iCs/>
        </w:rPr>
        <w:t>World J Surg</w:t>
      </w:r>
      <w:r>
        <w:rPr>
          <w:rFonts w:ascii="Book Antiqua" w:hAnsi="Book Antiqua"/>
        </w:rPr>
        <w:t xml:space="preserve"> 2013; </w:t>
      </w:r>
      <w:r>
        <w:rPr>
          <w:rFonts w:ascii="Book Antiqua" w:hAnsi="Book Antiqua"/>
          <w:b/>
          <w:bCs/>
        </w:rPr>
        <w:t>37</w:t>
      </w:r>
      <w:r>
        <w:rPr>
          <w:rFonts w:ascii="Book Antiqua" w:hAnsi="Book Antiqua"/>
        </w:rPr>
        <w:t>: 530-537 [PMID: 23212794 DOI: 10.1007/s00268-012-1873-9]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Paajanen H</w:t>
      </w:r>
      <w:r>
        <w:rPr>
          <w:rFonts w:ascii="Book Antiqua" w:hAnsi="Book Antiqua"/>
        </w:rPr>
        <w:t xml:space="preserve">, Hermunen H. Long-term pain and recurrence after repair of ventral incisional hernias by open mesh: clinical and MRI study. </w:t>
      </w:r>
      <w:r>
        <w:rPr>
          <w:rFonts w:ascii="Book Antiqua" w:hAnsi="Book Antiqua"/>
          <w:i/>
          <w:iCs/>
        </w:rPr>
        <w:t>Langenbecks Arch Surg</w:t>
      </w:r>
      <w:r>
        <w:rPr>
          <w:rFonts w:ascii="Book Antiqua" w:hAnsi="Book Antiqua"/>
        </w:rPr>
        <w:t xml:space="preserve"> 2004; </w:t>
      </w:r>
      <w:r>
        <w:rPr>
          <w:rFonts w:ascii="Book Antiqua" w:hAnsi="Book Antiqua"/>
          <w:b/>
          <w:bCs/>
        </w:rPr>
        <w:t>389</w:t>
      </w:r>
      <w:r>
        <w:rPr>
          <w:rFonts w:ascii="Book Antiqua" w:hAnsi="Book Antiqua"/>
        </w:rPr>
        <w:t>: 366-370 [PMID: 15605167 DOI: 10.1007/s00423-003-0440-0]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Bauer JJ</w:t>
      </w:r>
      <w:r>
        <w:rPr>
          <w:rFonts w:ascii="Book Antiqua" w:hAnsi="Book Antiqua"/>
        </w:rPr>
        <w:t xml:space="preserve">, Harris MT, Kreel I, Gelernt IM. Twelve-year experience with expanded polytetrafluoroethylene in the repair of abdominal wall defects. </w:t>
      </w:r>
      <w:r>
        <w:rPr>
          <w:rFonts w:ascii="Book Antiqua" w:hAnsi="Book Antiqua"/>
          <w:i/>
          <w:iCs/>
        </w:rPr>
        <w:t>Mt Sinai J Med</w:t>
      </w:r>
      <w:r>
        <w:rPr>
          <w:rFonts w:ascii="Book Antiqua" w:hAnsi="Book Antiqua"/>
        </w:rPr>
        <w:t xml:space="preserve"> 1999; </w:t>
      </w:r>
      <w:r>
        <w:rPr>
          <w:rFonts w:ascii="Book Antiqua" w:hAnsi="Book Antiqua"/>
          <w:b/>
          <w:bCs/>
        </w:rPr>
        <w:t>66</w:t>
      </w:r>
      <w:r>
        <w:rPr>
          <w:rFonts w:ascii="Book Antiqua" w:hAnsi="Book Antiqua"/>
        </w:rPr>
        <w:t>: 20-25 [PMID: 9989101]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Molloy RG</w:t>
      </w:r>
      <w:r>
        <w:rPr>
          <w:rFonts w:ascii="Book Antiqua" w:hAnsi="Book Antiqua"/>
        </w:rPr>
        <w:t xml:space="preserve">, Moran KT, Waldron RP, Brady MP, Kirwan WO. Massive incisional hernia: abdominal wall replacement with Marlex mesh. </w:t>
      </w:r>
      <w:r>
        <w:rPr>
          <w:rFonts w:ascii="Book Antiqua" w:hAnsi="Book Antiqua"/>
          <w:i/>
          <w:iCs/>
        </w:rPr>
        <w:t>Br J Surg</w:t>
      </w:r>
      <w:r>
        <w:rPr>
          <w:rFonts w:ascii="Book Antiqua" w:hAnsi="Book Antiqua"/>
        </w:rPr>
        <w:t xml:space="preserve"> 1991; </w:t>
      </w:r>
      <w:r>
        <w:rPr>
          <w:rFonts w:ascii="Book Antiqua" w:hAnsi="Book Antiqua"/>
          <w:b/>
          <w:bCs/>
        </w:rPr>
        <w:t>78</w:t>
      </w:r>
      <w:r>
        <w:rPr>
          <w:rFonts w:ascii="Book Antiqua" w:hAnsi="Book Antiqua"/>
        </w:rPr>
        <w:t>: 242-244 [PMID: 2015485 DOI: 10.1002/bjs.1800780237]</w:t>
      </w:r>
    </w:p>
    <w:p>
      <w:pPr>
        <w:spacing w:line="360" w:lineRule="auto"/>
        <w:jc w:val="both"/>
        <w:rPr>
          <w:rFonts w:ascii="Book Antiqua" w:hAnsi="Book Antiqua"/>
        </w:rPr>
      </w:pPr>
      <w:r>
        <w:rPr>
          <w:rFonts w:ascii="Book Antiqua" w:hAnsi="Book Antiqua"/>
        </w:rPr>
        <w:t>31</w:t>
      </w:r>
      <w:r>
        <w:rPr>
          <w:rFonts w:ascii="Book Antiqua" w:hAnsi="Book Antiqua"/>
          <w:b/>
        </w:rPr>
        <w:t xml:space="preserve"> Drugwatch.</w:t>
      </w:r>
      <w:r>
        <w:rPr>
          <w:rFonts w:ascii="Book Antiqua" w:hAnsi="Book Antiqua"/>
        </w:rPr>
        <w:t xml:space="preserve"> Available from: https://www.drugwatch.com/news/2020/10/26/status-of-bard-ethicon-atrium-hernia-mesh-lawsuits/#sources</w:t>
      </w:r>
    </w:p>
    <w:p>
      <w:pPr>
        <w:spacing w:line="360" w:lineRule="auto"/>
        <w:jc w:val="both"/>
        <w:rPr>
          <w:rFonts w:ascii="Book Antiqua" w:hAnsi="Book Antiqua"/>
        </w:rPr>
      </w:pPr>
      <w:r>
        <w:rPr>
          <w:rFonts w:ascii="Book Antiqua" w:hAnsi="Book Antiqua"/>
        </w:rPr>
        <w:t xml:space="preserve">32 </w:t>
      </w:r>
      <w:r>
        <w:rPr>
          <w:rFonts w:ascii="Book Antiqua" w:hAnsi="Book Antiqua"/>
          <w:b/>
          <w:bCs/>
        </w:rPr>
        <w:t>Plymale MA</w:t>
      </w:r>
      <w:r>
        <w:rPr>
          <w:rFonts w:ascii="Book Antiqua" w:hAnsi="Book Antiqua"/>
        </w:rPr>
        <w:t xml:space="preserve">, Davenport DL, Walsh-Blackmore S, Hess J, Griffiths WS, Plymale MC, Totten CF, Roth JS. Costs and Complications Associated with Infected Mesh for Ventral Hernia Repair. </w:t>
      </w:r>
      <w:r>
        <w:rPr>
          <w:rFonts w:ascii="Book Antiqua" w:hAnsi="Book Antiqua"/>
          <w:i/>
          <w:iCs/>
        </w:rPr>
        <w:t>Surg Infect (Larchmt)</w:t>
      </w:r>
      <w:r>
        <w:rPr>
          <w:rFonts w:ascii="Book Antiqua" w:hAnsi="Book Antiqua"/>
        </w:rPr>
        <w:t xml:space="preserve"> 2020; </w:t>
      </w:r>
      <w:r>
        <w:rPr>
          <w:rFonts w:ascii="Book Antiqua" w:hAnsi="Book Antiqua"/>
          <w:b/>
          <w:bCs/>
        </w:rPr>
        <w:t>21</w:t>
      </w:r>
      <w:r>
        <w:rPr>
          <w:rFonts w:ascii="Book Antiqua" w:hAnsi="Book Antiqua"/>
        </w:rPr>
        <w:t>: 344-349 [PMID: 31816266 DOI: 10.1089/sur.2019.183]</w:t>
      </w:r>
    </w:p>
    <w:p>
      <w:pPr>
        <w:spacing w:line="360" w:lineRule="auto"/>
        <w:jc w:val="both"/>
        <w:rPr>
          <w:rFonts w:ascii="Book Antiqua" w:hAnsi="Book Antiqua"/>
        </w:rPr>
      </w:pPr>
      <w:r>
        <w:rPr>
          <w:rFonts w:ascii="Book Antiqua" w:hAnsi="Book Antiqua"/>
        </w:rPr>
        <w:t xml:space="preserve">33 </w:t>
      </w:r>
      <w:r>
        <w:rPr>
          <w:rFonts w:ascii="Book Antiqua" w:hAnsi="Book Antiqua"/>
          <w:b/>
          <w:bCs/>
        </w:rPr>
        <w:t>Piccoli M</w:t>
      </w:r>
      <w:r>
        <w:rPr>
          <w:rFonts w:ascii="Book Antiqua" w:hAnsi="Book Antiqua"/>
        </w:rPr>
        <w:t xml:space="preserve">, Pecchini F, Vetrone G, Linguerri R, Sarro G, Rivolta U, Elio A, Piccirillo G, Faillace G, Masci E, Guglielminetti D, Santorelli C, Soliani G, Koleva Radica M, Trapani V, Marchi D, Chester J, Leonardi L, Neri S. Predictive factors of recurrence for laparoscopic repair of primary and incisional ventral hernias with single mesh from a multicenter study. </w:t>
      </w:r>
      <w:r>
        <w:rPr>
          <w:rFonts w:ascii="Book Antiqua" w:hAnsi="Book Antiqua"/>
          <w:i/>
          <w:iCs/>
        </w:rPr>
        <w:t>Sci Rep</w:t>
      </w:r>
      <w:r>
        <w:rPr>
          <w:rFonts w:ascii="Book Antiqua" w:hAnsi="Book Antiqua"/>
        </w:rPr>
        <w:t xml:space="preserve"> 2022; </w:t>
      </w:r>
      <w:r>
        <w:rPr>
          <w:rFonts w:ascii="Book Antiqua" w:hAnsi="Book Antiqua"/>
          <w:b/>
          <w:bCs/>
        </w:rPr>
        <w:t>12</w:t>
      </w:r>
      <w:r>
        <w:rPr>
          <w:rFonts w:ascii="Book Antiqua" w:hAnsi="Book Antiqua"/>
        </w:rPr>
        <w:t>: 4215 [PMID: 35273288 DOI: 10.1038/s41598-022-08024-3]</w:t>
      </w:r>
    </w:p>
    <w:p>
      <w:pPr>
        <w:spacing w:line="360" w:lineRule="auto"/>
        <w:jc w:val="both"/>
        <w:rPr>
          <w:rFonts w:ascii="Book Antiqua" w:hAnsi="Book Antiqua"/>
        </w:rPr>
      </w:pPr>
      <w:r>
        <w:rPr>
          <w:rFonts w:ascii="Book Antiqua" w:hAnsi="Book Antiqua"/>
        </w:rPr>
        <w:t xml:space="preserve">34 </w:t>
      </w:r>
      <w:r>
        <w:rPr>
          <w:rFonts w:ascii="Book Antiqua" w:hAnsi="Book Antiqua"/>
          <w:b/>
          <w:bCs/>
        </w:rPr>
        <w:t>Kadakia N,</w:t>
      </w:r>
      <w:r>
        <w:rPr>
          <w:rFonts w:ascii="Book Antiqua" w:hAnsi="Book Antiqua"/>
        </w:rPr>
        <w:t xml:space="preserve"> Mudgway R, Vo J, Vong V, Seto T, Bortz P, Depew A. Long-Term Outcomes of Ventral Hernia Repair: An 11-Year Follow-Up. </w:t>
      </w:r>
      <w:r>
        <w:rPr>
          <w:rFonts w:ascii="Book Antiqua" w:hAnsi="Book Antiqua"/>
          <w:i/>
        </w:rPr>
        <w:t>Cureus</w:t>
      </w:r>
      <w:r>
        <w:rPr>
          <w:rFonts w:ascii="Book Antiqua" w:hAnsi="Book Antiqua"/>
        </w:rPr>
        <w:t xml:space="preserve"> 2020; </w:t>
      </w:r>
      <w:r>
        <w:rPr>
          <w:rFonts w:ascii="Book Antiqua" w:hAnsi="Book Antiqua"/>
          <w:b/>
        </w:rPr>
        <w:t xml:space="preserve">12: </w:t>
      </w:r>
      <w:r>
        <w:rPr>
          <w:rFonts w:ascii="Book Antiqua" w:hAnsi="Book Antiqua"/>
        </w:rPr>
        <w:t>e9523 [DOI: 10.7759/cureus.9523]</w:t>
      </w:r>
    </w:p>
    <w:p>
      <w:pPr>
        <w:spacing w:line="360" w:lineRule="auto"/>
        <w:jc w:val="both"/>
        <w:rPr>
          <w:rFonts w:ascii="Book Antiqua" w:hAnsi="Book Antiqua"/>
        </w:rPr>
      </w:pPr>
      <w:r>
        <w:rPr>
          <w:rFonts w:ascii="Book Antiqua" w:hAnsi="Book Antiqua"/>
        </w:rPr>
        <w:t xml:space="preserve">35 </w:t>
      </w:r>
      <w:r>
        <w:rPr>
          <w:rFonts w:ascii="Book Antiqua" w:hAnsi="Book Antiqua"/>
          <w:b/>
          <w:bCs/>
        </w:rPr>
        <w:t>Henriksen NA</w:t>
      </w:r>
      <w:r>
        <w:rPr>
          <w:rFonts w:ascii="Book Antiqua" w:hAnsi="Book Antiqua"/>
        </w:rPr>
        <w:t xml:space="preserve">, Montgomery A, Kaufmann R, Berrevoet F, East B, Fischer J, Hope W, Klassen D, Lorenz R, Renard Y, Garcia Urena MA, Simons MP; European and Americas Hernia Societies (EHS and AHS). Guidelines for treatment of umbilical and epigastric hernias from the European Hernia Society and Americas Hernia Society. </w:t>
      </w:r>
      <w:r>
        <w:rPr>
          <w:rFonts w:ascii="Book Antiqua" w:hAnsi="Book Antiqua"/>
          <w:i/>
          <w:iCs/>
        </w:rPr>
        <w:t>Br J Surg</w:t>
      </w:r>
      <w:r>
        <w:rPr>
          <w:rFonts w:ascii="Book Antiqua" w:hAnsi="Book Antiqua"/>
        </w:rPr>
        <w:t xml:space="preserve"> 2020; </w:t>
      </w:r>
      <w:r>
        <w:rPr>
          <w:rFonts w:ascii="Book Antiqua" w:hAnsi="Book Antiqua"/>
          <w:b/>
          <w:bCs/>
        </w:rPr>
        <w:t>107</w:t>
      </w:r>
      <w:r>
        <w:rPr>
          <w:rFonts w:ascii="Book Antiqua" w:hAnsi="Book Antiqua"/>
        </w:rPr>
        <w:t>: 171-190 [PMID: 31916607 DOI: 10.1002/bjs.11489]</w:t>
      </w:r>
    </w:p>
    <w:p>
      <w:pPr>
        <w:spacing w:line="360" w:lineRule="auto"/>
        <w:jc w:val="both"/>
        <w:rPr>
          <w:rFonts w:ascii="Book Antiqua" w:hAnsi="Book Antiqua"/>
        </w:rPr>
      </w:pPr>
      <w:r>
        <w:rPr>
          <w:rFonts w:ascii="Book Antiqua" w:hAnsi="Book Antiqua"/>
        </w:rPr>
        <w:t xml:space="preserve">36 </w:t>
      </w:r>
      <w:r>
        <w:rPr>
          <w:rFonts w:ascii="Book Antiqua" w:hAnsi="Book Antiqua"/>
          <w:b/>
          <w:bCs/>
        </w:rPr>
        <w:t>Ramirez OM</w:t>
      </w:r>
      <w:r>
        <w:rPr>
          <w:rFonts w:ascii="Book Antiqua" w:hAnsi="Book Antiqua"/>
        </w:rPr>
        <w:t xml:space="preserve">, Ruas E, Dellon AL. "Components separation" method for closure of abdominal-wall defects: an anatomic and clinical study. </w:t>
      </w:r>
      <w:r>
        <w:rPr>
          <w:rFonts w:ascii="Book Antiqua" w:hAnsi="Book Antiqua"/>
          <w:i/>
          <w:iCs/>
        </w:rPr>
        <w:t>Plast Reconstr Surg</w:t>
      </w:r>
      <w:r>
        <w:rPr>
          <w:rFonts w:ascii="Book Antiqua" w:hAnsi="Book Antiqua"/>
        </w:rPr>
        <w:t xml:space="preserve"> 1990; </w:t>
      </w:r>
      <w:r>
        <w:rPr>
          <w:rFonts w:ascii="Book Antiqua" w:hAnsi="Book Antiqua"/>
          <w:b/>
          <w:bCs/>
        </w:rPr>
        <w:t>86</w:t>
      </w:r>
      <w:r>
        <w:rPr>
          <w:rFonts w:ascii="Book Antiqua" w:hAnsi="Book Antiqua"/>
        </w:rPr>
        <w:t>: 519-526 [PMID: 2143588 DOI: 10.1097/00006534-199009000-00023]</w:t>
      </w:r>
    </w:p>
    <w:p>
      <w:pPr>
        <w:spacing w:line="360" w:lineRule="auto"/>
        <w:jc w:val="both"/>
        <w:rPr>
          <w:rFonts w:ascii="Book Antiqua" w:hAnsi="Book Antiqua"/>
        </w:rPr>
      </w:pPr>
      <w:r>
        <w:rPr>
          <w:rFonts w:ascii="Book Antiqua" w:hAnsi="Book Antiqua"/>
        </w:rPr>
        <w:t xml:space="preserve">37 </w:t>
      </w:r>
      <w:r>
        <w:rPr>
          <w:rFonts w:ascii="Book Antiqua" w:hAnsi="Book Antiqua"/>
          <w:b/>
          <w:bCs/>
        </w:rPr>
        <w:t>Girotto JA</w:t>
      </w:r>
      <w:r>
        <w:rPr>
          <w:rFonts w:ascii="Book Antiqua" w:hAnsi="Book Antiqua"/>
        </w:rPr>
        <w:t xml:space="preserve">, Ko MJ, Redett R, Muehlberger T, Talamini M, Chang B. Closure of chronic abdominal wall defects: a long-term evaluation of the components separation method. </w:t>
      </w:r>
      <w:r>
        <w:rPr>
          <w:rFonts w:ascii="Book Antiqua" w:hAnsi="Book Antiqua"/>
          <w:i/>
          <w:iCs/>
        </w:rPr>
        <w:t>Ann Plast Surg</w:t>
      </w:r>
      <w:r>
        <w:rPr>
          <w:rFonts w:ascii="Book Antiqua" w:hAnsi="Book Antiqua"/>
        </w:rPr>
        <w:t xml:space="preserve"> 1999; </w:t>
      </w:r>
      <w:r>
        <w:rPr>
          <w:rFonts w:ascii="Book Antiqua" w:hAnsi="Book Antiqua"/>
          <w:b/>
          <w:bCs/>
        </w:rPr>
        <w:t>42</w:t>
      </w:r>
      <w:r>
        <w:rPr>
          <w:rFonts w:ascii="Book Antiqua" w:hAnsi="Book Antiqua"/>
        </w:rPr>
        <w:t>: 385-94; discussion 394-5 [PMID: 10213399 DOI: 10.1097/00000637-199904000-00007]</w:t>
      </w:r>
    </w:p>
    <w:p>
      <w:pPr>
        <w:spacing w:line="360" w:lineRule="auto"/>
        <w:jc w:val="both"/>
        <w:rPr>
          <w:rFonts w:ascii="Book Antiqua" w:hAnsi="Book Antiqua"/>
        </w:rPr>
      </w:pPr>
      <w:r>
        <w:rPr>
          <w:rFonts w:ascii="Book Antiqua" w:hAnsi="Book Antiqua"/>
        </w:rPr>
        <w:t xml:space="preserve">38 </w:t>
      </w:r>
      <w:r>
        <w:rPr>
          <w:rFonts w:ascii="Book Antiqua" w:hAnsi="Book Antiqua"/>
          <w:b/>
          <w:bCs/>
        </w:rPr>
        <w:t>Shestak KC</w:t>
      </w:r>
      <w:r>
        <w:rPr>
          <w:rFonts w:ascii="Book Antiqua" w:hAnsi="Book Antiqua"/>
        </w:rPr>
        <w:t xml:space="preserve">, Edington HJ, Johnson RR. The separation of anatomic components technique for the reconstruction of massive midline abdominal wall defects: anatomy, surgical technique, applications, and limitations revisited. </w:t>
      </w:r>
      <w:r>
        <w:rPr>
          <w:rFonts w:ascii="Book Antiqua" w:hAnsi="Book Antiqua"/>
          <w:i/>
          <w:iCs/>
        </w:rPr>
        <w:t>Plast Reconstr Surg</w:t>
      </w:r>
      <w:r>
        <w:rPr>
          <w:rFonts w:ascii="Book Antiqua" w:hAnsi="Book Antiqua"/>
        </w:rPr>
        <w:t xml:space="preserve"> 2000; </w:t>
      </w:r>
      <w:r>
        <w:rPr>
          <w:rFonts w:ascii="Book Antiqua" w:hAnsi="Book Antiqua"/>
          <w:b/>
          <w:bCs/>
        </w:rPr>
        <w:t>105</w:t>
      </w:r>
      <w:r>
        <w:rPr>
          <w:rFonts w:ascii="Book Antiqua" w:hAnsi="Book Antiqua"/>
        </w:rPr>
        <w:t>: 731-8; quiz 739 [PMID: 10697187]</w:t>
      </w:r>
    </w:p>
    <w:bookmarkEnd w:id="101"/>
    <w:bookmarkEnd w:id="102"/>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This study was approved by the local institutional review board (certificate attached).</w:t>
      </w:r>
    </w:p>
    <w:p>
      <w:pPr>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lang w:eastAsia="zh-CN"/>
        </w:rPr>
      </w:pPr>
      <w:r>
        <w:rPr>
          <w:rFonts w:ascii="Book Antiqua" w:hAnsi="Book Antiqua"/>
          <w:b/>
          <w:color w:val="000000"/>
        </w:rPr>
        <w:t>Informed consent statement</w:t>
      </w:r>
      <w:r>
        <w:rPr>
          <w:rFonts w:ascii="Book Antiqua" w:hAnsi="Book Antiqua"/>
          <w:b/>
          <w:bCs/>
          <w:iCs/>
        </w:rPr>
        <w:t xml:space="preserve">: </w:t>
      </w:r>
      <w:r>
        <w:rPr>
          <w:rFonts w:ascii="Book Antiqua" w:hAnsi="Book Antiqua"/>
          <w:bCs/>
          <w:iCs/>
        </w:rPr>
        <w:t>This is to confirm that I give consent to the use of my operation data for publication purposes. Both the pictures of the surgery as well as the clinical findings may be used on the understanding that these will be anonymous and I will not be personally identifiable. Neither my name nor face will be shown.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rPr>
        <w:t>the authors declare that there 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All data are stored by the corresponding author and will be released upon reasonable request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rPr>
        <w:t xml:space="preserve">STROBE statement: </w:t>
      </w:r>
      <w:r>
        <w:rPr>
          <w:rFonts w:ascii="Book Antiqua" w:hAnsi="Book Antiqua"/>
        </w:rPr>
        <w:t>The authors have read the STROBE Statement – checklist of items, and the manuscript was prepared and revised according to the STROBE Statement – 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September 23,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December 19,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Trinidad and Tobago</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Dilek ON, Turkey; Sato M, Japan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u w:val="single"/>
        </w:rPr>
      </w:pPr>
      <w:r>
        <w:rPr>
          <w:rFonts w:ascii="Book Antiqua" w:hAnsi="Book Antiqua" w:eastAsia="Book Antiqua" w:cs="Book Antiqua"/>
          <w:u w:val="single"/>
        </w:rPr>
        <w:drawing>
          <wp:inline distT="0" distB="0" distL="114300" distR="114300">
            <wp:extent cx="3642995" cy="2412365"/>
            <wp:effectExtent l="0" t="0" r="5080" b="6985"/>
            <wp:docPr id="7" name="图片 7" descr="WJSP-13-1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SP-13-14-g001"/>
                    <pic:cNvPicPr>
                      <a:picLocks noChangeAspect="1"/>
                    </pic:cNvPicPr>
                  </pic:nvPicPr>
                  <pic:blipFill>
                    <a:blip r:embed="rId5"/>
                    <a:stretch>
                      <a:fillRect/>
                    </a:stretch>
                  </pic:blipFill>
                  <pic:spPr>
                    <a:xfrm>
                      <a:off x="0" y="0"/>
                      <a:ext cx="3642995" cy="2412365"/>
                    </a:xfrm>
                    <a:prstGeom prst="rect">
                      <a:avLst/>
                    </a:prstGeom>
                  </pic:spPr>
                </pic:pic>
              </a:graphicData>
            </a:graphic>
          </wp:inline>
        </w:drawing>
      </w:r>
    </w:p>
    <w:p>
      <w:pPr>
        <w:spacing w:line="360" w:lineRule="auto"/>
        <w:jc w:val="both"/>
        <w:rPr>
          <w:rFonts w:ascii="Book Antiqua" w:hAnsi="Book Antiqua" w:eastAsia="Book Antiqua" w:cs="Book Antiqua"/>
          <w:bCs/>
          <w:u w:val="single"/>
        </w:rPr>
      </w:pPr>
      <w:r>
        <w:rPr>
          <w:rFonts w:ascii="Book Antiqua" w:hAnsi="Book Antiqua" w:eastAsia="Book Antiqua" w:cs="Book Antiqua"/>
          <w:b/>
        </w:rPr>
        <w:t>Figure 1</w:t>
      </w:r>
      <w:r>
        <w:rPr>
          <w:rFonts w:ascii="Book Antiqua" w:hAnsi="Book Antiqua" w:eastAsia="Book Antiqua" w:cs="Book Antiqua"/>
          <w:b/>
          <w:color w:val="000000"/>
        </w:rPr>
        <w:t xml:space="preserve"> Rectus muscle repair</w:t>
      </w:r>
      <w:r>
        <w:rPr>
          <w:rFonts w:ascii="Book Antiqua" w:hAnsi="Book Antiqua"/>
          <w:b/>
        </w:rPr>
        <w:t xml:space="preserve"> </w:t>
      </w:r>
      <w:r>
        <w:rPr>
          <w:rFonts w:ascii="Book Antiqua" w:hAnsi="Book Antiqua" w:eastAsia="Book Antiqua" w:cs="Book Antiqua"/>
          <w:b/>
          <w:color w:val="000000"/>
        </w:rPr>
        <w:t>technique.</w:t>
      </w:r>
      <w:r>
        <w:rPr>
          <w:rFonts w:ascii="Book Antiqua" w:hAnsi="Book Antiqua" w:cs="Book Antiqua"/>
          <w:b/>
          <w:lang w:eastAsia="zh-CN"/>
        </w:rPr>
        <w:t xml:space="preserve"> </w:t>
      </w:r>
      <w:r>
        <w:rPr>
          <w:rFonts w:ascii="Book Antiqua" w:hAnsi="Book Antiqua" w:eastAsia="Book Antiqua" w:cs="Book Antiqua"/>
          <w:bCs/>
        </w:rPr>
        <w:t xml:space="preserve">A: The suture engages full thickness of rectus abdominis muscle and its anterior and posterior sheaths; B: When pulled together, the recti assume a midline position, inverting the attenuated linea alba and hernia sac. </w:t>
      </w:r>
    </w:p>
    <w:p>
      <w:pPr>
        <w:spacing w:line="360" w:lineRule="auto"/>
        <w:jc w:val="both"/>
        <w:rPr>
          <w:rFonts w:ascii="Book Antiqua" w:hAnsi="Book Antiqua"/>
        </w:rPr>
      </w:pPr>
      <w:r>
        <w:rPr>
          <w:rFonts w:ascii="Book Antiqua" w:hAnsi="Book Antiqua"/>
        </w:rPr>
        <w:drawing>
          <wp:inline distT="0" distB="0" distL="114300" distR="114300">
            <wp:extent cx="5942965" cy="3683635"/>
            <wp:effectExtent l="0" t="0" r="635" b="2540"/>
            <wp:docPr id="8" name="图片 8" descr="WJSP-13-1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SP-13-14-g002"/>
                    <pic:cNvPicPr>
                      <a:picLocks noChangeAspect="1"/>
                    </pic:cNvPicPr>
                  </pic:nvPicPr>
                  <pic:blipFill>
                    <a:blip r:embed="rId6"/>
                    <a:stretch>
                      <a:fillRect/>
                    </a:stretch>
                  </pic:blipFill>
                  <pic:spPr>
                    <a:xfrm>
                      <a:off x="0" y="0"/>
                      <a:ext cx="5942965" cy="36836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2 </w:t>
      </w:r>
      <w:r>
        <w:rPr>
          <w:rFonts w:ascii="Book Antiqua" w:hAnsi="Book Antiqua" w:eastAsia="Book Antiqua" w:cs="Book Antiqua"/>
          <w:b/>
          <w:bCs/>
          <w:color w:val="000000"/>
        </w:rPr>
        <w:t xml:space="preserve">The hernia sac and attenuated linea alba are inverted by placing full-thickness sutures to approximate the rectus abdominis muscles (arrows). </w:t>
      </w:r>
      <w:r>
        <w:rPr>
          <w:rFonts w:ascii="Book Antiqua" w:hAnsi="Book Antiqua" w:eastAsia="Book Antiqua" w:cs="Book Antiqua"/>
          <w:color w:val="000000"/>
        </w:rPr>
        <w:t xml:space="preserve">A: The sutures incorporate the anterior and posterior sheaths en masse including the medial 1-1.5 cm of the muscle; B: All attenuated midline tissues are therefore eliminated (by inverting them). </w:t>
      </w:r>
    </w:p>
    <w:p>
      <w:pPr>
        <w:spacing w:line="360" w:lineRule="auto"/>
        <w:jc w:val="both"/>
        <w:rPr>
          <w:rFonts w:ascii="Book Antiqua" w:hAnsi="Book Antiqua"/>
        </w:rPr>
      </w:pPr>
      <w:bookmarkStart w:id="103" w:name="_GoBack"/>
      <w:r>
        <w:rPr>
          <w:rFonts w:ascii="Book Antiqua" w:hAnsi="Book Antiqua"/>
        </w:rPr>
        <w:drawing>
          <wp:inline distT="0" distB="0" distL="114300" distR="114300">
            <wp:extent cx="2973705" cy="3390900"/>
            <wp:effectExtent l="0" t="0" r="7620" b="0"/>
            <wp:docPr id="9" name="图片 9" descr="WJSP-13-1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SP-13-14-g003"/>
                    <pic:cNvPicPr>
                      <a:picLocks noChangeAspect="1"/>
                    </pic:cNvPicPr>
                  </pic:nvPicPr>
                  <pic:blipFill>
                    <a:blip r:embed="rId7"/>
                    <a:stretch>
                      <a:fillRect/>
                    </a:stretch>
                  </pic:blipFill>
                  <pic:spPr>
                    <a:xfrm>
                      <a:off x="0" y="0"/>
                      <a:ext cx="2973705" cy="3390900"/>
                    </a:xfrm>
                    <a:prstGeom prst="rect">
                      <a:avLst/>
                    </a:prstGeom>
                  </pic:spPr>
                </pic:pic>
              </a:graphicData>
            </a:graphic>
          </wp:inline>
        </w:drawing>
      </w:r>
      <w:bookmarkEnd w:id="103"/>
    </w:p>
    <w:p>
      <w:pPr>
        <w:spacing w:line="360" w:lineRule="auto"/>
        <w:jc w:val="both"/>
        <w:rPr>
          <w:rFonts w:ascii="Book Antiqua" w:hAnsi="Book Antiqua" w:eastAsia="Book Antiqua" w:cs="Book Antiqua"/>
          <w:b/>
          <w:color w:val="000000"/>
        </w:rPr>
      </w:pPr>
      <w:r>
        <w:rPr>
          <w:rFonts w:ascii="Book Antiqua" w:hAnsi="Book Antiqua" w:eastAsia="Book Antiqua" w:cs="Book Antiqua"/>
          <w:b/>
        </w:rPr>
        <w:t xml:space="preserve">Figure 3 </w:t>
      </w:r>
      <w:r>
        <w:rPr>
          <w:rFonts w:ascii="Book Antiqua" w:hAnsi="Book Antiqua" w:eastAsia="Book Antiqua" w:cs="Book Antiqua"/>
          <w:b/>
          <w:color w:val="000000"/>
        </w:rPr>
        <w:t>Relaxing incisions are made in the anterior rectus sheath in order to reduce tension on the suture line.</w:t>
      </w:r>
    </w:p>
    <w:p>
      <w:pPr>
        <w:spacing w:line="360" w:lineRule="auto"/>
        <w:jc w:val="both"/>
        <w:rPr>
          <w:rFonts w:ascii="Book Antiqua" w:hAnsi="Book Antiqua"/>
          <w:b/>
        </w:rPr>
      </w:pPr>
      <w:r>
        <w:rPr>
          <w:rFonts w:ascii="Book Antiqua" w:hAnsi="Book Antiqua" w:eastAsia="Book Antiqua" w:cs="Book Antiqua"/>
          <w:b/>
          <w:color w:val="000000"/>
        </w:rPr>
        <w:br w:type="page"/>
      </w:r>
      <w:r>
        <w:rPr>
          <w:rFonts w:ascii="Book Antiqua" w:hAnsi="Book Antiqua"/>
          <w:b/>
        </w:rPr>
        <w:t>Table 1 Type, size and number of hernias</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3074"/>
        <w:gridCol w:w="308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3085" w:type="dxa"/>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Hernia type</w:t>
            </w:r>
          </w:p>
        </w:tc>
        <w:tc>
          <w:tcPr>
            <w:tcW w:w="3074" w:type="dxa"/>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No.</w:t>
            </w:r>
          </w:p>
        </w:tc>
        <w:tc>
          <w:tcPr>
            <w:tcW w:w="3083" w:type="dxa"/>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 xml:space="preserve">Mean diameter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3085"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Umbilical </w:t>
            </w:r>
          </w:p>
        </w:tc>
        <w:tc>
          <w:tcPr>
            <w:tcW w:w="3074"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15 </w:t>
            </w:r>
          </w:p>
        </w:tc>
        <w:tc>
          <w:tcPr>
            <w:tcW w:w="308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6 cm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3085" w:type="dxa"/>
          </w:tcPr>
          <w:p>
            <w:pPr>
              <w:spacing w:line="360" w:lineRule="auto"/>
              <w:jc w:val="both"/>
              <w:rPr>
                <w:rFonts w:ascii="Book Antiqua" w:hAnsi="Book Antiqua" w:cstheme="minorBidi"/>
              </w:rPr>
            </w:pPr>
            <w:r>
              <w:rPr>
                <w:rFonts w:ascii="Book Antiqua" w:hAnsi="Book Antiqua" w:cstheme="minorBidi"/>
              </w:rPr>
              <w:t>Paraumbilical</w:t>
            </w:r>
          </w:p>
        </w:tc>
        <w:tc>
          <w:tcPr>
            <w:tcW w:w="3074" w:type="dxa"/>
          </w:tcPr>
          <w:p>
            <w:pPr>
              <w:spacing w:line="360" w:lineRule="auto"/>
              <w:jc w:val="both"/>
              <w:rPr>
                <w:rFonts w:ascii="Book Antiqua" w:hAnsi="Book Antiqua" w:cstheme="minorBidi"/>
              </w:rPr>
            </w:pPr>
            <w:r>
              <w:rPr>
                <w:rFonts w:ascii="Book Antiqua" w:hAnsi="Book Antiqua" w:cstheme="minorBidi"/>
              </w:rPr>
              <w:t xml:space="preserve">12 </w:t>
            </w:r>
          </w:p>
        </w:tc>
        <w:tc>
          <w:tcPr>
            <w:tcW w:w="3083" w:type="dxa"/>
          </w:tcPr>
          <w:p>
            <w:pPr>
              <w:spacing w:line="360" w:lineRule="auto"/>
              <w:jc w:val="both"/>
              <w:rPr>
                <w:rFonts w:ascii="Book Antiqua" w:hAnsi="Book Antiqua" w:cstheme="minorBidi"/>
              </w:rPr>
            </w:pPr>
            <w:r>
              <w:rPr>
                <w:rFonts w:ascii="Book Antiqua" w:hAnsi="Book Antiqua" w:cstheme="minorBidi"/>
              </w:rPr>
              <w:t xml:space="preserve">7 cm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3085" w:type="dxa"/>
          </w:tcPr>
          <w:p>
            <w:pPr>
              <w:spacing w:line="360" w:lineRule="auto"/>
              <w:jc w:val="both"/>
              <w:rPr>
                <w:rFonts w:ascii="Book Antiqua" w:hAnsi="Book Antiqua" w:cstheme="minorBidi"/>
              </w:rPr>
            </w:pPr>
            <w:r>
              <w:rPr>
                <w:rFonts w:ascii="Book Antiqua" w:hAnsi="Book Antiqua" w:cstheme="minorBidi"/>
              </w:rPr>
              <w:t>Supraumbilical</w:t>
            </w:r>
          </w:p>
        </w:tc>
        <w:tc>
          <w:tcPr>
            <w:tcW w:w="3074" w:type="dxa"/>
          </w:tcPr>
          <w:p>
            <w:pPr>
              <w:spacing w:line="360" w:lineRule="auto"/>
              <w:jc w:val="both"/>
              <w:rPr>
                <w:rFonts w:ascii="Book Antiqua" w:hAnsi="Book Antiqua" w:cstheme="minorBidi"/>
              </w:rPr>
            </w:pPr>
            <w:r>
              <w:rPr>
                <w:rFonts w:ascii="Book Antiqua" w:hAnsi="Book Antiqua" w:cstheme="minorBidi"/>
              </w:rPr>
              <w:t>9</w:t>
            </w:r>
          </w:p>
        </w:tc>
        <w:tc>
          <w:tcPr>
            <w:tcW w:w="3083" w:type="dxa"/>
          </w:tcPr>
          <w:p>
            <w:pPr>
              <w:spacing w:line="360" w:lineRule="auto"/>
              <w:jc w:val="both"/>
              <w:rPr>
                <w:rFonts w:ascii="Book Antiqua" w:hAnsi="Book Antiqua" w:cstheme="minorBidi"/>
              </w:rPr>
            </w:pPr>
            <w:r>
              <w:rPr>
                <w:rFonts w:ascii="Book Antiqua" w:hAnsi="Book Antiqua" w:cstheme="minorBidi"/>
              </w:rPr>
              <w:t xml:space="preserve">9 cm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3085" w:type="dxa"/>
          </w:tcPr>
          <w:p>
            <w:pPr>
              <w:spacing w:line="360" w:lineRule="auto"/>
              <w:jc w:val="both"/>
              <w:rPr>
                <w:rFonts w:ascii="Book Antiqua" w:hAnsi="Book Antiqua" w:cstheme="minorBidi"/>
              </w:rPr>
            </w:pPr>
            <w:r>
              <w:rPr>
                <w:rFonts w:ascii="Book Antiqua" w:hAnsi="Book Antiqua" w:cstheme="minorBidi"/>
              </w:rPr>
              <w:t xml:space="preserve">Incisional </w:t>
            </w:r>
          </w:p>
        </w:tc>
        <w:tc>
          <w:tcPr>
            <w:tcW w:w="3074" w:type="dxa"/>
          </w:tcPr>
          <w:p>
            <w:pPr>
              <w:spacing w:line="360" w:lineRule="auto"/>
              <w:jc w:val="both"/>
              <w:rPr>
                <w:rFonts w:ascii="Book Antiqua" w:hAnsi="Book Antiqua" w:cstheme="minorBidi"/>
              </w:rPr>
            </w:pPr>
            <w:r>
              <w:rPr>
                <w:rFonts w:ascii="Book Antiqua" w:hAnsi="Book Antiqua" w:cstheme="minorBidi"/>
              </w:rPr>
              <w:t xml:space="preserve">12 </w:t>
            </w:r>
          </w:p>
        </w:tc>
        <w:tc>
          <w:tcPr>
            <w:tcW w:w="3083" w:type="dxa"/>
          </w:tcPr>
          <w:p>
            <w:pPr>
              <w:spacing w:line="360" w:lineRule="auto"/>
              <w:jc w:val="both"/>
              <w:rPr>
                <w:rFonts w:ascii="Book Antiqua" w:hAnsi="Book Antiqua" w:cstheme="minorBidi"/>
              </w:rPr>
            </w:pPr>
            <w:r>
              <w:rPr>
                <w:rFonts w:ascii="Book Antiqua" w:hAnsi="Book Antiqua" w:cstheme="minorBidi"/>
              </w:rPr>
              <w:t xml:space="preserve">8 cm </w:t>
            </w:r>
          </w:p>
        </w:tc>
      </w:tr>
    </w:tbl>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693580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1F2F"/>
    <w:rsid w:val="0006120E"/>
    <w:rsid w:val="000651C6"/>
    <w:rsid w:val="000913E5"/>
    <w:rsid w:val="00091738"/>
    <w:rsid w:val="00091EF7"/>
    <w:rsid w:val="00092DB9"/>
    <w:rsid w:val="001021E2"/>
    <w:rsid w:val="001037D9"/>
    <w:rsid w:val="001047B1"/>
    <w:rsid w:val="0011554D"/>
    <w:rsid w:val="00122585"/>
    <w:rsid w:val="001249E1"/>
    <w:rsid w:val="00142BE6"/>
    <w:rsid w:val="00183FA6"/>
    <w:rsid w:val="00195CAD"/>
    <w:rsid w:val="001C07D6"/>
    <w:rsid w:val="001D76AD"/>
    <w:rsid w:val="001E3B92"/>
    <w:rsid w:val="001E664E"/>
    <w:rsid w:val="001F3027"/>
    <w:rsid w:val="001F5040"/>
    <w:rsid w:val="00205BEA"/>
    <w:rsid w:val="00207B04"/>
    <w:rsid w:val="002263E8"/>
    <w:rsid w:val="0025184B"/>
    <w:rsid w:val="00255761"/>
    <w:rsid w:val="00265765"/>
    <w:rsid w:val="002A36E1"/>
    <w:rsid w:val="002B4838"/>
    <w:rsid w:val="002B7F15"/>
    <w:rsid w:val="002C12CB"/>
    <w:rsid w:val="002C677D"/>
    <w:rsid w:val="002E2152"/>
    <w:rsid w:val="0030097C"/>
    <w:rsid w:val="00301B91"/>
    <w:rsid w:val="00301EA4"/>
    <w:rsid w:val="003053D1"/>
    <w:rsid w:val="00316F66"/>
    <w:rsid w:val="00342577"/>
    <w:rsid w:val="00345AF0"/>
    <w:rsid w:val="00382C5D"/>
    <w:rsid w:val="00395BFE"/>
    <w:rsid w:val="003A1ADA"/>
    <w:rsid w:val="003C01BD"/>
    <w:rsid w:val="003C4B92"/>
    <w:rsid w:val="003D300F"/>
    <w:rsid w:val="003D368C"/>
    <w:rsid w:val="003D5C09"/>
    <w:rsid w:val="003D7B71"/>
    <w:rsid w:val="003F7030"/>
    <w:rsid w:val="00417128"/>
    <w:rsid w:val="00420E68"/>
    <w:rsid w:val="00424B87"/>
    <w:rsid w:val="00435DD7"/>
    <w:rsid w:val="00445985"/>
    <w:rsid w:val="00462636"/>
    <w:rsid w:val="00470C8C"/>
    <w:rsid w:val="00471653"/>
    <w:rsid w:val="004A1916"/>
    <w:rsid w:val="004B048D"/>
    <w:rsid w:val="004C4FA2"/>
    <w:rsid w:val="004E68F7"/>
    <w:rsid w:val="005233D0"/>
    <w:rsid w:val="00545E1E"/>
    <w:rsid w:val="00554A67"/>
    <w:rsid w:val="00561375"/>
    <w:rsid w:val="00562340"/>
    <w:rsid w:val="00594C5C"/>
    <w:rsid w:val="005A322C"/>
    <w:rsid w:val="005B6DC4"/>
    <w:rsid w:val="005B72AB"/>
    <w:rsid w:val="00626949"/>
    <w:rsid w:val="00643EE9"/>
    <w:rsid w:val="00647A70"/>
    <w:rsid w:val="0065311A"/>
    <w:rsid w:val="006631F6"/>
    <w:rsid w:val="0067274C"/>
    <w:rsid w:val="006760ED"/>
    <w:rsid w:val="00681E4A"/>
    <w:rsid w:val="00685741"/>
    <w:rsid w:val="00697A46"/>
    <w:rsid w:val="006A61F6"/>
    <w:rsid w:val="006B1F34"/>
    <w:rsid w:val="006B245D"/>
    <w:rsid w:val="006B320A"/>
    <w:rsid w:val="006B3689"/>
    <w:rsid w:val="006C4237"/>
    <w:rsid w:val="006C4F57"/>
    <w:rsid w:val="006D6EFB"/>
    <w:rsid w:val="006F5435"/>
    <w:rsid w:val="006F5723"/>
    <w:rsid w:val="00702BC5"/>
    <w:rsid w:val="0072650A"/>
    <w:rsid w:val="007324CD"/>
    <w:rsid w:val="00746CFC"/>
    <w:rsid w:val="00766547"/>
    <w:rsid w:val="00770091"/>
    <w:rsid w:val="007760D0"/>
    <w:rsid w:val="007826F0"/>
    <w:rsid w:val="0079532E"/>
    <w:rsid w:val="00795917"/>
    <w:rsid w:val="007A7FD8"/>
    <w:rsid w:val="007B2633"/>
    <w:rsid w:val="007D5D9B"/>
    <w:rsid w:val="007E7103"/>
    <w:rsid w:val="008019D9"/>
    <w:rsid w:val="008019E4"/>
    <w:rsid w:val="00801FF1"/>
    <w:rsid w:val="00811FFE"/>
    <w:rsid w:val="008151EF"/>
    <w:rsid w:val="00830056"/>
    <w:rsid w:val="00844DA7"/>
    <w:rsid w:val="00862C22"/>
    <w:rsid w:val="008637C2"/>
    <w:rsid w:val="00871A66"/>
    <w:rsid w:val="00876436"/>
    <w:rsid w:val="00882E70"/>
    <w:rsid w:val="00884B44"/>
    <w:rsid w:val="00886AE5"/>
    <w:rsid w:val="00887397"/>
    <w:rsid w:val="00892103"/>
    <w:rsid w:val="008A3D41"/>
    <w:rsid w:val="008A4687"/>
    <w:rsid w:val="008B10C1"/>
    <w:rsid w:val="008B34AF"/>
    <w:rsid w:val="008C33EE"/>
    <w:rsid w:val="008D2288"/>
    <w:rsid w:val="008D62A4"/>
    <w:rsid w:val="008E6578"/>
    <w:rsid w:val="008F26A3"/>
    <w:rsid w:val="00903875"/>
    <w:rsid w:val="00914365"/>
    <w:rsid w:val="00914731"/>
    <w:rsid w:val="009220DC"/>
    <w:rsid w:val="00943B41"/>
    <w:rsid w:val="0095048F"/>
    <w:rsid w:val="00974737"/>
    <w:rsid w:val="00982B08"/>
    <w:rsid w:val="009B11AB"/>
    <w:rsid w:val="009C104B"/>
    <w:rsid w:val="009C3335"/>
    <w:rsid w:val="009C4025"/>
    <w:rsid w:val="009E221F"/>
    <w:rsid w:val="009E7162"/>
    <w:rsid w:val="009F15E9"/>
    <w:rsid w:val="00A02CC9"/>
    <w:rsid w:val="00A0799C"/>
    <w:rsid w:val="00A23E7E"/>
    <w:rsid w:val="00A5629A"/>
    <w:rsid w:val="00A62A39"/>
    <w:rsid w:val="00A72072"/>
    <w:rsid w:val="00A77B3E"/>
    <w:rsid w:val="00A81523"/>
    <w:rsid w:val="00A92CE2"/>
    <w:rsid w:val="00A94B6E"/>
    <w:rsid w:val="00AA1715"/>
    <w:rsid w:val="00AB5FD9"/>
    <w:rsid w:val="00AD1EA8"/>
    <w:rsid w:val="00AE33EE"/>
    <w:rsid w:val="00B13F0F"/>
    <w:rsid w:val="00B16E73"/>
    <w:rsid w:val="00B20B89"/>
    <w:rsid w:val="00B25104"/>
    <w:rsid w:val="00B27CE6"/>
    <w:rsid w:val="00B319B7"/>
    <w:rsid w:val="00B505D4"/>
    <w:rsid w:val="00B60C6B"/>
    <w:rsid w:val="00B615E6"/>
    <w:rsid w:val="00B767DE"/>
    <w:rsid w:val="00B83E34"/>
    <w:rsid w:val="00BB05F7"/>
    <w:rsid w:val="00BB5F88"/>
    <w:rsid w:val="00BC33F6"/>
    <w:rsid w:val="00BF40E7"/>
    <w:rsid w:val="00C21958"/>
    <w:rsid w:val="00C30A96"/>
    <w:rsid w:val="00C34135"/>
    <w:rsid w:val="00CA2A55"/>
    <w:rsid w:val="00CA3F01"/>
    <w:rsid w:val="00CA6B9B"/>
    <w:rsid w:val="00CA7EE4"/>
    <w:rsid w:val="00CB1E76"/>
    <w:rsid w:val="00CB6ED8"/>
    <w:rsid w:val="00CB79F7"/>
    <w:rsid w:val="00CD32D5"/>
    <w:rsid w:val="00CD6487"/>
    <w:rsid w:val="00CF422B"/>
    <w:rsid w:val="00D025CB"/>
    <w:rsid w:val="00D042FE"/>
    <w:rsid w:val="00D21B03"/>
    <w:rsid w:val="00D32682"/>
    <w:rsid w:val="00D36B7D"/>
    <w:rsid w:val="00D567A5"/>
    <w:rsid w:val="00D849FE"/>
    <w:rsid w:val="00DB70FD"/>
    <w:rsid w:val="00DC7331"/>
    <w:rsid w:val="00DE36D9"/>
    <w:rsid w:val="00DF5A34"/>
    <w:rsid w:val="00E00827"/>
    <w:rsid w:val="00E1319A"/>
    <w:rsid w:val="00E444D7"/>
    <w:rsid w:val="00E67500"/>
    <w:rsid w:val="00E75AF5"/>
    <w:rsid w:val="00E7677E"/>
    <w:rsid w:val="00E81CE6"/>
    <w:rsid w:val="00E920EC"/>
    <w:rsid w:val="00EB73BF"/>
    <w:rsid w:val="00EC6C0C"/>
    <w:rsid w:val="00ED3721"/>
    <w:rsid w:val="00EE2573"/>
    <w:rsid w:val="00F17CB6"/>
    <w:rsid w:val="00F207A1"/>
    <w:rsid w:val="00F33245"/>
    <w:rsid w:val="00F65E74"/>
    <w:rsid w:val="00F71443"/>
    <w:rsid w:val="00F812C4"/>
    <w:rsid w:val="00FA4385"/>
    <w:rsid w:val="00FC5B1F"/>
    <w:rsid w:val="00FF2AF8"/>
    <w:rsid w:val="00FF3CC0"/>
    <w:rsid w:val="0C6A12E9"/>
    <w:rsid w:val="23A80563"/>
    <w:rsid w:val="26892073"/>
    <w:rsid w:val="292A00A3"/>
    <w:rsid w:val="50F902C5"/>
    <w:rsid w:val="59154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2"/>
    <w:unhideWhenUsed/>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4535</Words>
  <Characters>25856</Characters>
  <Lines>215</Lines>
  <Paragraphs>60</Paragraphs>
  <TotalTime>0</TotalTime>
  <ScaleCrop>false</ScaleCrop>
  <LinksUpToDate>false</LinksUpToDate>
  <CharactersWithSpaces>30331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2023-11-23T03:17:00Z</dcterms:created>
  <dc:creator>10436</dc:creator>
  <cp:lastModifiedBy>xzh</cp:lastModifiedBy>
  <dcterms:modified xsi:type="dcterms:W3CDTF">2023-12-26T06:11:53Z</dcterms:modified>
  <cp:revision>213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F8568787B1184D358987BACA7BE01038_12</vt:lpwstr>
  </property>
</Properties>
</file>