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rPr>
        <w:t xml:space="preserve">Name of Journal: </w:t>
      </w:r>
      <w:r>
        <w:rPr>
          <w:rFonts w:ascii="Book Antiqua" w:hAnsi="Book Antiqua" w:eastAsia="Book Antiqua" w:cs="Book Antiqua"/>
          <w:i/>
        </w:rPr>
        <w:t>World Journal of Respirology</w:t>
      </w:r>
    </w:p>
    <w:p>
      <w:pPr>
        <w:spacing w:line="360" w:lineRule="auto"/>
        <w:jc w:val="both"/>
        <w:rPr>
          <w:rFonts w:ascii="Book Antiqua" w:hAnsi="Book Antiqua"/>
        </w:rPr>
      </w:pPr>
      <w:r>
        <w:rPr>
          <w:rFonts w:ascii="Book Antiqua" w:hAnsi="Book Antiqua" w:eastAsia="Book Antiqua" w:cs="Book Antiqua"/>
          <w:b/>
        </w:rPr>
        <w:t xml:space="preserve">Manuscript NO: </w:t>
      </w:r>
      <w:r>
        <w:rPr>
          <w:rFonts w:ascii="Book Antiqua" w:hAnsi="Book Antiqua" w:eastAsia="Book Antiqua" w:cs="Book Antiqua"/>
        </w:rPr>
        <w:t>88524</w:t>
      </w:r>
    </w:p>
    <w:p>
      <w:pPr>
        <w:spacing w:line="360" w:lineRule="auto"/>
        <w:jc w:val="both"/>
        <w:rPr>
          <w:rFonts w:ascii="Book Antiqua" w:hAnsi="Book Antiqua"/>
        </w:rPr>
      </w:pPr>
      <w:r>
        <w:rPr>
          <w:rFonts w:ascii="Book Antiqua" w:hAnsi="Book Antiqua" w:eastAsia="Book Antiqua" w:cs="Book Antiqua"/>
          <w:b/>
        </w:rPr>
        <w:t xml:space="preserve">Manuscript Type: </w:t>
      </w:r>
      <w:r>
        <w:rPr>
          <w:rFonts w:ascii="Book Antiqua" w:hAnsi="Book Antiqua" w:eastAsia="Book Antiqua" w:cs="Book Antiqua"/>
        </w:rPr>
        <w:t>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Pulmonary infarct masquerading as community-acquired pneumonia in the COVID-19 scenario:</w:t>
      </w:r>
      <w:r>
        <w:rPr>
          <w:rFonts w:ascii="Book Antiqua" w:hAnsi="Book Antiqua"/>
        </w:rPr>
        <w:t xml:space="preserve"> </w:t>
      </w:r>
      <w:r>
        <w:rPr>
          <w:rFonts w:ascii="Book Antiqua" w:hAnsi="Book Antiqua" w:eastAsia="Book Antiqua" w:cs="Book Antiqua"/>
          <w:b/>
          <w:color w:val="000000"/>
        </w:rPr>
        <w:t>A 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Mujeeb Rahman KK </w:t>
      </w:r>
      <w:r>
        <w:rPr>
          <w:rFonts w:ascii="Book Antiqua" w:hAnsi="Book Antiqua" w:eastAsia="Book Antiqua" w:cs="Book Antiqua"/>
          <w:i/>
          <w:color w:val="000000"/>
        </w:rPr>
        <w:t>et al</w:t>
      </w:r>
      <w:r>
        <w:rPr>
          <w:rFonts w:ascii="Book Antiqua" w:hAnsi="Book Antiqua" w:eastAsia="Book Antiqua" w:cs="Book Antiqua"/>
          <w:color w:val="000000"/>
        </w:rPr>
        <w:t>. Pulmonary infarct masquerading as pneumonia</w:t>
      </w:r>
    </w:p>
    <w:p>
      <w:pPr>
        <w:spacing w:line="360" w:lineRule="auto"/>
        <w:jc w:val="both"/>
        <w:rPr>
          <w:rFonts w:ascii="Book Antiqua" w:hAnsi="Book Antiqua"/>
        </w:rPr>
      </w:pPr>
    </w:p>
    <w:p>
      <w:pPr>
        <w:spacing w:line="360" w:lineRule="auto"/>
        <w:jc w:val="both"/>
        <w:rPr>
          <w:rFonts w:ascii="Book Antiqua" w:hAnsi="Book Antiqua"/>
          <w:b/>
          <w:bCs/>
        </w:rPr>
      </w:pPr>
      <w:bookmarkStart w:id="0" w:name="OLE_LINK1"/>
      <w:bookmarkStart w:id="1" w:name="OLE_LINK2"/>
      <w:r>
        <w:rPr>
          <w:rFonts w:ascii="Book Antiqua" w:hAnsi="Book Antiqua" w:eastAsia="Book Antiqua" w:cs="Book Antiqua"/>
          <w:b/>
          <w:bCs/>
          <w:color w:val="000000"/>
        </w:rPr>
        <w:t>K K Mujeeb Rahman</w:t>
      </w:r>
      <w:bookmarkEnd w:id="0"/>
      <w:bookmarkEnd w:id="1"/>
      <w:r>
        <w:rPr>
          <w:rFonts w:ascii="Book Antiqua" w:hAnsi="Book Antiqua" w:eastAsia="Book Antiqua" w:cs="Book Antiqua"/>
          <w:b/>
          <w:bCs/>
          <w:color w:val="000000"/>
        </w:rPr>
        <w:t>, Gopal Durgeshwar, Prasanta R Mohapatra, Manoj Kumar Panigrahi, Siladitya Mahanty</w:t>
      </w:r>
    </w:p>
    <w:p>
      <w:pPr>
        <w:spacing w:line="360" w:lineRule="auto"/>
        <w:jc w:val="both"/>
        <w:rPr>
          <w:rFonts w:ascii="Book Antiqua" w:hAnsi="Book Antiqua" w:eastAsia="Book Antiqua" w:cs="Book Antiqua"/>
          <w:b/>
          <w:color w:val="000000"/>
        </w:rPr>
      </w:pPr>
      <w:bookmarkStart w:id="2" w:name="OLE_LINK5"/>
      <w:bookmarkStart w:id="3" w:name="OLE_LINK6"/>
    </w:p>
    <w:p>
      <w:pPr>
        <w:spacing w:line="360" w:lineRule="auto"/>
        <w:jc w:val="both"/>
        <w:rPr>
          <w:rFonts w:ascii="Book Antiqua" w:hAnsi="Book Antiqua" w:eastAsia="Book Antiqua" w:cs="Book Antiqua"/>
          <w:color w:val="000000"/>
        </w:rPr>
      </w:pPr>
      <w:r>
        <w:rPr>
          <w:rFonts w:ascii="Book Antiqua" w:hAnsi="Book Antiqua" w:eastAsia="Book Antiqua" w:cs="Book Antiqua"/>
          <w:b/>
          <w:color w:val="000000"/>
        </w:rPr>
        <w:t>K K</w:t>
      </w:r>
      <w:bookmarkEnd w:id="2"/>
      <w:bookmarkEnd w:id="3"/>
      <w:r>
        <w:rPr>
          <w:rFonts w:ascii="Book Antiqua" w:hAnsi="Book Antiqua" w:eastAsia="Book Antiqua" w:cs="Book Antiqua"/>
          <w:b/>
          <w:color w:val="000000"/>
        </w:rPr>
        <w:t xml:space="preserve"> Mujeeb Rahman</w:t>
      </w:r>
      <w:r>
        <w:rPr>
          <w:rFonts w:ascii="Book Antiqua" w:hAnsi="Book Antiqua" w:eastAsia="Book Antiqua" w:cs="Book Antiqua"/>
          <w:b/>
          <w:bCs/>
          <w:color w:val="000000"/>
        </w:rPr>
        <w:t xml:space="preserve">, Gopal Durgeshwar, Prasanta R Mohapatra, Manoj Kumar Panigrahi, </w:t>
      </w:r>
      <w:bookmarkStart w:id="4" w:name="OLE_LINK7"/>
      <w:r>
        <w:rPr>
          <w:rFonts w:ascii="Book Antiqua" w:hAnsi="Book Antiqua" w:eastAsia="Book Antiqua" w:cs="Book Antiqua"/>
          <w:color w:val="000000"/>
        </w:rPr>
        <w:t>Pulmonary Critical Care and Sleep Medicine</w:t>
      </w:r>
      <w:bookmarkEnd w:id="4"/>
      <w:r>
        <w:rPr>
          <w:rFonts w:ascii="Book Antiqua" w:hAnsi="Book Antiqua" w:eastAsia="Book Antiqua" w:cs="Book Antiqua"/>
          <w:color w:val="000000"/>
        </w:rPr>
        <w:t>, All India Institute of Medical Sciences, Bhubaneswar, Bhubaneswar 751019, India</w:t>
      </w:r>
    </w:p>
    <w:p>
      <w:pPr>
        <w:spacing w:line="360" w:lineRule="auto"/>
        <w:jc w:val="both"/>
        <w:rPr>
          <w:rFonts w:ascii="Book Antiqua" w:hAnsi="Book Antiqua" w:eastAsia="Book Antiqua" w:cs="Book Antiqua"/>
          <w:b/>
          <w:bCs/>
          <w:color w:val="000000"/>
        </w:rPr>
      </w:pPr>
    </w:p>
    <w:p>
      <w:pPr>
        <w:spacing w:line="360" w:lineRule="auto"/>
        <w:jc w:val="both"/>
        <w:rPr>
          <w:rFonts w:ascii="Book Antiqua" w:hAnsi="Book Antiqua"/>
        </w:rPr>
      </w:pPr>
      <w:r>
        <w:rPr>
          <w:rFonts w:ascii="Book Antiqua" w:hAnsi="Book Antiqua" w:eastAsia="Book Antiqua" w:cs="Book Antiqua"/>
          <w:b/>
          <w:bCs/>
          <w:color w:val="000000"/>
        </w:rPr>
        <w:t xml:space="preserve">Siladitya Mahanty, </w:t>
      </w:r>
      <w:r>
        <w:rPr>
          <w:rFonts w:ascii="Book Antiqua" w:hAnsi="Book Antiqua" w:eastAsia="Book Antiqua" w:cs="Book Antiqua"/>
          <w:bCs/>
          <w:color w:val="000000"/>
        </w:rPr>
        <w:t xml:space="preserve">Department of </w:t>
      </w:r>
      <w:r>
        <w:rPr>
          <w:rFonts w:ascii="Book Antiqua" w:hAnsi="Book Antiqua" w:eastAsia="Book Antiqua" w:cs="Book Antiqua"/>
          <w:color w:val="000000"/>
        </w:rPr>
        <w:t>Radiodiagnosis, All India Institute of Medical Sciences, Bhubaneswar 751019, India</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Mujeeb Rahman KK conceptualized the idea and wrote the initial draft; Gopal D, Prasanta RM, and Manoj KP contributed to the writing and critically reviewed the final draft; Mahanty S provided the images and contributed to the writing; All authors approved the final version of the manuscript before submission.</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Corresponding author: K K Mujeeb Rahman, MD, Consultant Physician-Scientist, </w:t>
      </w:r>
      <w:r>
        <w:rPr>
          <w:rFonts w:ascii="Book Antiqua" w:hAnsi="Book Antiqua" w:eastAsia="Book Antiqua" w:cs="Book Antiqua"/>
          <w:color w:val="000000"/>
        </w:rPr>
        <w:t xml:space="preserve">Pulmonary Critical Care and Sleep Medicine, VPS Lakeshore Hospital and Research Centre, Kochi ,682040, India. mujeebrahmantmc@gmail.com.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Received: </w:t>
      </w:r>
      <w:r>
        <w:rPr>
          <w:rFonts w:ascii="Book Antiqua" w:hAnsi="Book Antiqua" w:eastAsia="Book Antiqua" w:cs="Book Antiqua"/>
        </w:rPr>
        <w:t>September 29, 2023</w:t>
      </w:r>
    </w:p>
    <w:p>
      <w:pPr>
        <w:spacing w:line="360" w:lineRule="auto"/>
        <w:jc w:val="both"/>
        <w:rPr>
          <w:rFonts w:ascii="Book Antiqua" w:hAnsi="Book Antiqua"/>
        </w:rPr>
      </w:pPr>
      <w:r>
        <w:rPr>
          <w:rFonts w:ascii="Book Antiqua" w:hAnsi="Book Antiqua" w:eastAsia="Book Antiqua" w:cs="Book Antiqua"/>
          <w:b/>
          <w:bCs/>
        </w:rPr>
        <w:t xml:space="preserve">Revised: </w:t>
      </w:r>
      <w:r>
        <w:rPr>
          <w:rFonts w:ascii="Book Antiqua" w:hAnsi="Book Antiqua" w:eastAsia="Book Antiqua" w:cs="Book Antiqua"/>
          <w:bCs/>
        </w:rPr>
        <w:t>December 12, 2023</w:t>
      </w:r>
    </w:p>
    <w:p>
      <w:pPr>
        <w:spacing w:line="360" w:lineRule="auto"/>
        <w:rPr>
          <w:rFonts w:ascii="Book Antiqua" w:hAnsi="Book Antiqua"/>
        </w:rPr>
      </w:pPr>
      <w:r>
        <w:rPr>
          <w:rFonts w:ascii="Book Antiqua" w:hAnsi="Book Antiqua" w:eastAsia="Book Antiqua" w:cs="Book Antiqua"/>
          <w:b/>
          <w:bCs/>
        </w:rPr>
        <w:t xml:space="preserve">Accepted: </w:t>
      </w:r>
      <w:bookmarkStart w:id="5" w:name="OLE_LINK7882"/>
      <w:bookmarkStart w:id="6" w:name="OLE_LINK7876"/>
      <w:bookmarkStart w:id="7" w:name="OLE_LINK7897"/>
      <w:bookmarkStart w:id="8" w:name="OLE_LINK7979"/>
      <w:bookmarkStart w:id="9" w:name="OLE_LINK7894"/>
      <w:bookmarkStart w:id="10" w:name="OLE_LINK7903"/>
      <w:bookmarkStart w:id="11" w:name="OLE_LINK7896"/>
      <w:bookmarkStart w:id="12" w:name="OLE_LINK7879"/>
      <w:bookmarkStart w:id="13" w:name="OLE_LINK87"/>
      <w:bookmarkStart w:id="14" w:name="OLE_LINK7984"/>
      <w:bookmarkStart w:id="15" w:name="OLE_LINK49"/>
      <w:bookmarkStart w:id="16" w:name="OLE_LINK7910"/>
      <w:bookmarkStart w:id="17" w:name="OLE_LINK60"/>
      <w:bookmarkStart w:id="18" w:name="OLE_LINK29"/>
      <w:bookmarkStart w:id="19" w:name="OLE_LINK100"/>
      <w:bookmarkStart w:id="20" w:name="OLE_LINK7873"/>
      <w:bookmarkStart w:id="21" w:name="OLE_LINK7985"/>
      <w:bookmarkStart w:id="22" w:name="OLE_LINK103"/>
      <w:bookmarkStart w:id="23" w:name="OLE_LINK108"/>
      <w:bookmarkStart w:id="24" w:name="OLE_LINK34"/>
      <w:bookmarkStart w:id="25" w:name="OLE_LINK65"/>
      <w:bookmarkStart w:id="26" w:name="OLE_LINK20"/>
      <w:bookmarkStart w:id="27" w:name="OLE_LINK82"/>
      <w:bookmarkStart w:id="28" w:name="OLE_LINK14"/>
      <w:bookmarkStart w:id="29" w:name="OLE_LINK17"/>
      <w:bookmarkStart w:id="30" w:name="OLE_LINK174"/>
      <w:bookmarkStart w:id="31" w:name="OLE_LINK40"/>
      <w:bookmarkStart w:id="32" w:name="OLE_LINK57"/>
      <w:bookmarkStart w:id="33" w:name="OLE_LINK10"/>
      <w:bookmarkStart w:id="34" w:name="OLE_LINK72"/>
      <w:bookmarkStart w:id="35" w:name="OLE_LINK37"/>
      <w:bookmarkStart w:id="36" w:name="OLE_LINK7977"/>
      <w:bookmarkStart w:id="37" w:name="OLE_LINK41"/>
      <w:bookmarkStart w:id="38" w:name="OLE_LINK46"/>
      <w:bookmarkStart w:id="39" w:name="OLE_LINK11"/>
      <w:bookmarkStart w:id="40" w:name="OLE_LINK54"/>
      <w:bookmarkStart w:id="41" w:name="OLE_LINK7983"/>
      <w:bookmarkStart w:id="42" w:name="OLE_LINK7895"/>
      <w:bookmarkStart w:id="43" w:name="OLE_LINK75"/>
      <w:bookmarkStart w:id="44" w:name="OLE_LINK84"/>
      <w:bookmarkStart w:id="45" w:name="OLE_LINK6812"/>
      <w:bookmarkStart w:id="46" w:name="OLE_LINK7130"/>
      <w:bookmarkStart w:id="47" w:name="OLE_LINK1218"/>
      <w:bookmarkStart w:id="48" w:name="OLE_LINK7119"/>
      <w:bookmarkStart w:id="49" w:name="OLE_LINK1310"/>
      <w:bookmarkStart w:id="50" w:name="OLE_LINK203"/>
      <w:bookmarkStart w:id="51" w:name="OLE_LINK233"/>
      <w:bookmarkStart w:id="52" w:name="OLE_LINK177"/>
      <w:bookmarkStart w:id="53" w:name="OLE_LINK184"/>
      <w:bookmarkStart w:id="54" w:name="OLE_LINK241"/>
      <w:bookmarkStart w:id="55" w:name="OLE_LINK220"/>
      <w:bookmarkStart w:id="56" w:name="OLE_LINK1326"/>
      <w:bookmarkStart w:id="57" w:name="OLE_LINK1198"/>
      <w:bookmarkStart w:id="58" w:name="OLE_LINK1231"/>
      <w:bookmarkStart w:id="59" w:name="OLE_LINK197"/>
      <w:bookmarkStart w:id="60" w:name="OLE_LINK6803"/>
      <w:bookmarkStart w:id="61" w:name="OLE_LINK7145"/>
      <w:bookmarkStart w:id="62" w:name="OLE_LINK1325"/>
      <w:bookmarkStart w:id="63" w:name="OLE_LINK187"/>
      <w:bookmarkStart w:id="64" w:name="OLE_LINK226"/>
      <w:bookmarkStart w:id="65" w:name="OLE_LINK229"/>
      <w:bookmarkStart w:id="66" w:name="OLE_LINK1324"/>
      <w:bookmarkStart w:id="67" w:name="OLE_LINK1223"/>
      <w:bookmarkStart w:id="68" w:name="OLE_LINK7150"/>
      <w:bookmarkStart w:id="69" w:name="OLE_LINK216"/>
      <w:bookmarkStart w:id="70" w:name="OLE_LINK1318"/>
      <w:bookmarkStart w:id="71" w:name="OLE_LINK6816"/>
      <w:bookmarkStart w:id="72" w:name="OLE_LINK208"/>
      <w:bookmarkStart w:id="73" w:name="OLE_LINK219"/>
      <w:bookmarkStart w:id="74" w:name="OLE_LINK192"/>
      <w:bookmarkStart w:id="75" w:name="OLE_LINK200"/>
      <w:bookmarkStart w:id="76" w:name="OLE_LINK236"/>
      <w:bookmarkStart w:id="77" w:name="OLE_LINK7140"/>
      <w:bookmarkStart w:id="78" w:name="OLE_LINK7141"/>
      <w:bookmarkStart w:id="79" w:name="OLE_LINK1224"/>
      <w:bookmarkStart w:id="80" w:name="OLE_LINK6834"/>
      <w:bookmarkStart w:id="81" w:name="OLE_LINK1246"/>
      <w:bookmarkStart w:id="82" w:name="OLE_LINK7125"/>
      <w:bookmarkStart w:id="83" w:name="OLE_LINK7133"/>
      <w:bookmarkStart w:id="84" w:name="OLE_LINK7126"/>
      <w:bookmarkStart w:id="85" w:name="OLE_LINK1242"/>
      <w:bookmarkStart w:id="86" w:name="OLE_LINK7153"/>
      <w:bookmarkStart w:id="87" w:name="OLE_LINK1222"/>
      <w:bookmarkStart w:id="88" w:name="OLE_LINK6798"/>
      <w:bookmarkStart w:id="89" w:name="OLE_LINK1227"/>
      <w:bookmarkStart w:id="90" w:name="OLE_LINK6830"/>
      <w:bookmarkStart w:id="91" w:name="OLE_LINK7122"/>
      <w:bookmarkStart w:id="92" w:name="OLE_LINK7240"/>
      <w:bookmarkStart w:id="93" w:name="OLE_LINK7243"/>
      <w:bookmarkStart w:id="94" w:name="OLE_LINK6827"/>
      <w:bookmarkStart w:id="95" w:name="OLE_LINK7116"/>
      <w:bookmarkStart w:id="96" w:name="OLE_LINK7127"/>
      <w:bookmarkStart w:id="97" w:name="OLE_LINK7228"/>
      <w:bookmarkStart w:id="98" w:name="OLE_LINK7212"/>
      <w:bookmarkStart w:id="99" w:name="OLE_LINK1199"/>
      <w:bookmarkStart w:id="100" w:name="OLE_LINK7235"/>
      <w:bookmarkStart w:id="101" w:name="OLE_LINK7527"/>
      <w:bookmarkStart w:id="102" w:name="OLE_LINK7237"/>
      <w:bookmarkStart w:id="103" w:name="OLE_LINK7223"/>
      <w:bookmarkStart w:id="104" w:name="OLE_LINK7158"/>
      <w:bookmarkStart w:id="105" w:name="OLE_LINK7513"/>
      <w:bookmarkStart w:id="106" w:name="OLE_LINK7530"/>
      <w:bookmarkStart w:id="107" w:name="OLE_LINK7213"/>
      <w:bookmarkStart w:id="108" w:name="OLE_LINK7515"/>
      <w:bookmarkStart w:id="109" w:name="OLE_LINK7522"/>
      <w:bookmarkStart w:id="110" w:name="OLE_LINK7214"/>
      <w:bookmarkStart w:id="111" w:name="OLE_LINK7250"/>
      <w:bookmarkStart w:id="112" w:name="OLE_LINK7655"/>
      <w:bookmarkStart w:id="113" w:name="OLE_LINK7611"/>
      <w:bookmarkStart w:id="114" w:name="OLE_LINK7236"/>
      <w:bookmarkStart w:id="115" w:name="OLE_LINK7587"/>
      <w:bookmarkStart w:id="116" w:name="OLE_LINK7652"/>
      <w:bookmarkStart w:id="117" w:name="OLE_LINK7547"/>
      <w:bookmarkStart w:id="118" w:name="OLE_LINK7625"/>
      <w:bookmarkStart w:id="119" w:name="OLE_LINK7616"/>
      <w:bookmarkStart w:id="120" w:name="OLE_LINK7550"/>
      <w:bookmarkStart w:id="121" w:name="OLE_LINK7633"/>
      <w:bookmarkStart w:id="122" w:name="OLE_LINK7555"/>
      <w:bookmarkStart w:id="123" w:name="OLE_LINK7253"/>
      <w:bookmarkStart w:id="124" w:name="OLE_LINK7215"/>
      <w:bookmarkStart w:id="125" w:name="OLE_LINK7167"/>
      <w:bookmarkStart w:id="126" w:name="OLE_LINK7173"/>
      <w:bookmarkStart w:id="127" w:name="OLE_LINK7610"/>
      <w:bookmarkStart w:id="128" w:name="OLE_LINK7628"/>
      <w:bookmarkStart w:id="129" w:name="OLE_LINK7561"/>
      <w:bookmarkStart w:id="130" w:name="OLE_LINK7574"/>
      <w:bookmarkStart w:id="131" w:name="OLE_LINK7577"/>
      <w:bookmarkStart w:id="132" w:name="OLE_LINK7568"/>
      <w:bookmarkStart w:id="133" w:name="OLE_LINK7559"/>
      <w:bookmarkStart w:id="134" w:name="OLE_LINK7684"/>
      <w:bookmarkStart w:id="135" w:name="OLE_LINK7691"/>
      <w:bookmarkStart w:id="136" w:name="OLE_LINK7703"/>
      <w:bookmarkStart w:id="137" w:name="OLE_LINK7641"/>
      <w:bookmarkStart w:id="138" w:name="OLE_LINK7597"/>
      <w:bookmarkStart w:id="139" w:name="OLE_LINK7583"/>
      <w:bookmarkStart w:id="140" w:name="OLE_LINK7602"/>
      <w:bookmarkStart w:id="141" w:name="OLE_LINK7649"/>
      <w:bookmarkStart w:id="142" w:name="OLE_LINK7690"/>
      <w:bookmarkStart w:id="143" w:name="OLE_LINK7710"/>
      <w:bookmarkStart w:id="144" w:name="OLE_LINK7687"/>
      <w:bookmarkStart w:id="145" w:name="OLE_LINK7629"/>
      <w:bookmarkStart w:id="146" w:name="OLE_LINK7605"/>
      <w:bookmarkStart w:id="147" w:name="OLE_LINK7617"/>
      <w:bookmarkStart w:id="148" w:name="OLE_LINK7606"/>
      <w:bookmarkStart w:id="149" w:name="OLE_LINK7608"/>
      <w:bookmarkStart w:id="150" w:name="OLE_LINK7718"/>
      <w:bookmarkStart w:id="151" w:name="OLE_LINK7709"/>
      <w:bookmarkStart w:id="152" w:name="OLE_LINK7711"/>
      <w:bookmarkStart w:id="153" w:name="OLE_LINK7699"/>
      <w:bookmarkStart w:id="154" w:name="OLE_LINK7706"/>
      <w:bookmarkStart w:id="155" w:name="OLE_LINK7665"/>
      <w:bookmarkStart w:id="156" w:name="OLE_LINK7578"/>
      <w:bookmarkStart w:id="157" w:name="OLE_LINK7571"/>
      <w:bookmarkStart w:id="158" w:name="OLE_LINK7569"/>
      <w:bookmarkStart w:id="159" w:name="OLE_LINK7635"/>
      <w:bookmarkStart w:id="160" w:name="OLE_LINK7620"/>
      <w:bookmarkStart w:id="161" w:name="OLE_LINK7735"/>
      <w:bookmarkStart w:id="162" w:name="OLE_LINK7813"/>
      <w:bookmarkStart w:id="163" w:name="OLE_LINK7730"/>
      <w:bookmarkStart w:id="164" w:name="OLE_LINK7846"/>
      <w:bookmarkStart w:id="165" w:name="OLE_LINK7839"/>
      <w:bookmarkStart w:id="166" w:name="OLE_LINK7734"/>
      <w:bookmarkStart w:id="167" w:name="OLE_LINK7695"/>
      <w:bookmarkStart w:id="168" w:name="OLE_LINK7820"/>
      <w:bookmarkStart w:id="169" w:name="OLE_LINK7837"/>
      <w:bookmarkStart w:id="170" w:name="OLE_LINK7722"/>
      <w:bookmarkStart w:id="171" w:name="OLE_LINK7867"/>
      <w:bookmarkStart w:id="172" w:name="OLE_LINK7843"/>
      <w:bookmarkStart w:id="173" w:name="OLE_LINK7799"/>
      <w:bookmarkStart w:id="174" w:name="OLE_LINK7712"/>
      <w:bookmarkStart w:id="175" w:name="OLE_LINK7809"/>
      <w:bookmarkStart w:id="176" w:name="OLE_LINK7736"/>
      <w:bookmarkStart w:id="177" w:name="OLE_LINK7796"/>
      <w:bookmarkStart w:id="178" w:name="OLE_LINK7738"/>
      <w:bookmarkStart w:id="179" w:name="OLE_LINK7836"/>
      <w:bookmarkStart w:id="180" w:name="OLE_LINK7721"/>
      <w:bookmarkStart w:id="181" w:name="OLE_LINK7737"/>
      <w:bookmarkStart w:id="182" w:name="OLE_LINK7838"/>
      <w:bookmarkStart w:id="183" w:name="OLE_LINK7885"/>
      <w:r>
        <w:rPr>
          <w:rFonts w:ascii="Book Antiqua" w:hAnsi="Book Antiqua"/>
        </w:rPr>
        <w:t>December 27, 2023</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pPr>
        <w:spacing w:line="360" w:lineRule="auto"/>
        <w:jc w:val="both"/>
        <w:rPr>
          <w:rFonts w:ascii="Book Antiqua" w:hAnsi="Book Antiqua"/>
        </w:rPr>
      </w:pPr>
      <w:r>
        <w:rPr>
          <w:rFonts w:ascii="Book Antiqua" w:hAnsi="Book Antiqua" w:eastAsia="Book Antiqua" w:cs="Book Antiqua"/>
          <w:b/>
          <w:bCs/>
        </w:rPr>
        <w:t>Published online:</w:t>
      </w:r>
      <w:r>
        <w:rPr>
          <w:rFonts w:ascii="Book Antiqua" w:hAnsi="Book Antiqua" w:eastAsia="Book Antiqua" w:cs="Book Antiqua"/>
        </w:rPr>
        <w:t xml:space="preserve"> January 26, 2024</w:t>
      </w:r>
    </w:p>
    <w:p>
      <w:pPr>
        <w:rPr>
          <w:rFonts w:ascii="Book Antiqua" w:hAnsi="Book Antiqua" w:eastAsia="Book Antiqua" w:cs="Book Antiqua"/>
          <w:b/>
          <w:color w:val="000000"/>
        </w:rPr>
      </w:pPr>
      <w:r>
        <w:rPr>
          <w:rFonts w:ascii="Book Antiqua" w:hAnsi="Book Antiqua" w:eastAsia="Book Antiqua" w:cs="Book Antiqua"/>
          <w:b/>
          <w:color w:val="000000"/>
        </w:rPr>
        <w:br w:type="page"/>
      </w: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rPr>
        <w:t xml:space="preserve">Pulmonary embolism (PE) requires a high degree of clinical suspicion for its diagnosis and can mimic pneumonia due to its clinical, radiological, and laboratory findings. Co-existence of PE and pneumonia can also </w:t>
      </w:r>
      <w:r>
        <w:rPr>
          <w:rFonts w:ascii="Book Antiqua" w:hAnsi="Book Antiqua" w:eastAsia="Book Antiqua" w:cs="Book Antiqua"/>
          <w:color w:val="000000" w:themeColor="text1"/>
          <w14:textFill>
            <w14:solidFill>
              <w14:schemeClr w14:val="tx1"/>
            </w14:solidFill>
          </w14:textFill>
        </w:rPr>
        <w:t xml:space="preserve">occur, which </w:t>
      </w:r>
      <w:r>
        <w:rPr>
          <w:rFonts w:ascii="Book Antiqua" w:hAnsi="Book Antiqua" w:eastAsia="Book Antiqua" w:cs="Book Antiqua"/>
        </w:rPr>
        <w:t>is surprisingly more common than appreciated.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rPr>
      </w:pPr>
      <w:r>
        <w:rPr>
          <w:rFonts w:ascii="Book Antiqua" w:hAnsi="Book Antiqua" w:eastAsia="Book Antiqua" w:cs="Book Antiqua"/>
        </w:rPr>
        <w:t xml:space="preserve">Here, we report a case of a young male who initially presented during the peak of the coronavirus disease 2019 pandemic with features of pneumonia. He was kept under observation and was later diagnosed and treated for a right main pulmonary artery embolism without any identifiable source of thrombosis.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rPr>
        <w:t>PE and pneumonia share common clinical, radiological, and laboratory findings that may delay the diagnosis of PE. Hypoxia disproportionate to the extent of radiological involvement could be an indicator</w:t>
      </w:r>
      <w:r>
        <w:rPr>
          <w:rFonts w:ascii="Book Antiqua" w:hAnsi="Book Antiqua" w:eastAsia="Book Antiqua" w:cs="Book Antiqua"/>
          <w:color w:val="FF0000"/>
        </w:rPr>
        <w:t xml:space="preserve"> </w:t>
      </w:r>
      <w:r>
        <w:rPr>
          <w:rFonts w:ascii="Book Antiqua" w:hAnsi="Book Antiqua" w:eastAsia="Book Antiqua" w:cs="Book Antiqua"/>
        </w:rPr>
        <w:t>of an underlying PE.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Key Words: </w:t>
      </w:r>
      <w:r>
        <w:rPr>
          <w:rFonts w:ascii="Book Antiqua" w:hAnsi="Book Antiqua" w:eastAsia="Book Antiqua" w:cs="Book Antiqua"/>
        </w:rPr>
        <w:t>Pneumonia; Pulmonary embolism; Deep vein thrombosis; Pulmonary infarct; Case report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4</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ascii="Book Antiqua" w:hAnsi="Book Antiqua" w:eastAsia="Book Antiqua" w:cs="Book Antiqua"/>
        </w:rPr>
      </w:pPr>
      <w:r>
        <w:rPr>
          <w:rFonts w:ascii="Book Antiqua" w:hAnsi="Book Antiqua" w:eastAsia="Book Antiqua" w:cs="Book Antiqua"/>
          <w:b/>
          <w:bCs/>
          <w:color w:val="000000"/>
        </w:rPr>
        <w:t>Citation</w:t>
      </w:r>
      <w:r>
        <w:rPr>
          <w:rFonts w:ascii="Book Antiqua" w:hAnsi="Book Antiqua" w:eastAsia="Book Antiqua" w:cs="Book Antiqua"/>
          <w:color w:val="000000"/>
        </w:rPr>
        <w:t>: Mujeeb Rahman KK</w:t>
      </w:r>
      <w:r>
        <w:rPr>
          <w:rFonts w:ascii="Book Antiqua" w:hAnsi="Book Antiqua" w:eastAsia="Book Antiqua" w:cs="Book Antiqua"/>
        </w:rPr>
        <w:t xml:space="preserve">, Durgeshwar G, Mohapatra PR, Panigrahi MK, Mahanty S. Pulmonary infarct masquerading as community-acquired pneumonia in the COVID-19 scenario: A case report. </w:t>
      </w:r>
      <w:r>
        <w:rPr>
          <w:rFonts w:ascii="Book Antiqua" w:hAnsi="Book Antiqua" w:eastAsia="Book Antiqua" w:cs="Book Antiqua"/>
          <w:i/>
          <w:iCs/>
        </w:rPr>
        <w:t>World J Respirol</w:t>
      </w:r>
      <w:r>
        <w:rPr>
          <w:rFonts w:ascii="Book Antiqua" w:hAnsi="Book Antiqua" w:eastAsia="Book Antiqua" w:cs="Book Antiqua"/>
        </w:rPr>
        <w:t xml:space="preserve"> 2024; 13(1): </w:t>
      </w:r>
      <w:r>
        <w:rPr>
          <w:rFonts w:hint="eastAsia" w:ascii="Book Antiqua" w:hAnsi="Book Antiqua" w:eastAsia="Book Antiqua" w:cs="Book Antiqua"/>
        </w:rPr>
        <w:t>1-6</w:t>
      </w:r>
    </w:p>
    <w:p>
      <w:pPr>
        <w:spacing w:line="360" w:lineRule="auto"/>
        <w:jc w:val="both"/>
        <w:rPr>
          <w:rFonts w:ascii="Book Antiqua" w:hAnsi="Book Antiqua" w:eastAsia="Book Antiqua" w:cs="Book Antiqua"/>
        </w:rPr>
      </w:pPr>
      <w:r>
        <w:rPr>
          <w:rFonts w:ascii="Book Antiqua" w:hAnsi="Book Antiqua" w:eastAsia="Book Antiqua" w:cs="Book Antiqua"/>
          <w:b/>
          <w:bCs/>
        </w:rPr>
        <w:t>URL</w:t>
      </w:r>
      <w:r>
        <w:rPr>
          <w:rFonts w:ascii="Book Antiqua" w:hAnsi="Book Antiqua" w:eastAsia="Book Antiqua" w:cs="Book Antiqua"/>
        </w:rPr>
        <w:t>: https://www.wjgnet.com/2218-6255/full/v13/i1/</w:t>
      </w:r>
      <w:r>
        <w:rPr>
          <w:rFonts w:hint="eastAsia" w:ascii="Book Antiqua" w:hAnsi="Book Antiqua" w:eastAsia="宋体" w:cs="Book Antiqua"/>
          <w:lang w:val="en-US" w:eastAsia="zh-CN"/>
        </w:rPr>
        <w:t>1</w:t>
      </w:r>
      <w:r>
        <w:rPr>
          <w:rFonts w:ascii="Book Antiqua" w:hAnsi="Book Antiqua" w:eastAsia="Book Antiqua" w:cs="Book Antiqua"/>
        </w:rPr>
        <w:t xml:space="preserve">.htm </w:t>
      </w:r>
    </w:p>
    <w:p>
      <w:pPr>
        <w:spacing w:line="360" w:lineRule="auto"/>
        <w:jc w:val="both"/>
        <w:rPr>
          <w:rFonts w:hint="eastAsia" w:ascii="Book Antiqua" w:hAnsi="Book Antiqua" w:eastAsia="宋体"/>
          <w:lang w:eastAsia="zh-CN"/>
        </w:rPr>
      </w:pPr>
      <w:r>
        <w:rPr>
          <w:rFonts w:ascii="Book Antiqua" w:hAnsi="Book Antiqua" w:eastAsia="Book Antiqua" w:cs="Book Antiqua"/>
          <w:b/>
          <w:bCs/>
        </w:rPr>
        <w:t>DOI</w:t>
      </w:r>
      <w:r>
        <w:rPr>
          <w:rFonts w:ascii="Book Antiqua" w:hAnsi="Book Antiqua" w:eastAsia="Book Antiqua" w:cs="Book Antiqua"/>
        </w:rPr>
        <w:t>: https://dx.doi.org/10.5320/wjr.v13.i1.</w:t>
      </w:r>
      <w:r>
        <w:rPr>
          <w:rFonts w:hint="eastAsia" w:ascii="Book Antiqua" w:hAnsi="Book Antiqua" w:eastAsia="宋体" w:cs="Book Antiqua"/>
          <w:lang w:val="en-US" w:eastAsia="zh-CN"/>
        </w:rPr>
        <w:t>1</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Core Tip: </w:t>
      </w:r>
      <w:r>
        <w:rPr>
          <w:rFonts w:ascii="Book Antiqua" w:hAnsi="Book Antiqua" w:eastAsia="Book Antiqua" w:cs="Book Antiqua"/>
        </w:rPr>
        <w:t>Pulmonary embolism can present radiologically as pneumonia with similar clinical symptoms and signs. This case highlights the importance of understanding how a pulmonary infarct can present as pneumonia.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shd w:val="clear" w:color="auto" w:fill="FFFFFF"/>
        </w:rPr>
        <w:t xml:space="preserve">Pulmonary embolism (PE) </w:t>
      </w:r>
      <w:r>
        <w:rPr>
          <w:rFonts w:ascii="Book Antiqua" w:hAnsi="Book Antiqua" w:eastAsia="Book Antiqua" w:cs="Book Antiqua"/>
          <w:color w:val="000000" w:themeColor="text1"/>
          <w:shd w:val="clear" w:color="auto" w:fill="FFFFFF"/>
          <w14:textFill>
            <w14:solidFill>
              <w14:schemeClr w14:val="tx1"/>
            </w14:solidFill>
          </w14:textFill>
        </w:rPr>
        <w:t xml:space="preserve">mimics </w:t>
      </w:r>
      <w:r>
        <w:rPr>
          <w:rFonts w:ascii="Book Antiqua" w:hAnsi="Book Antiqua" w:eastAsia="Book Antiqua" w:cs="Book Antiqua"/>
          <w:color w:val="000000"/>
          <w:shd w:val="clear" w:color="auto" w:fill="FFFFFF"/>
        </w:rPr>
        <w:t xml:space="preserve">pneumonia because of the considerable overlap in their clinical and radiological picture. Moreover, pneumonia may occasionally mask </w:t>
      </w:r>
      <w:r>
        <w:rPr>
          <w:rFonts w:ascii="Book Antiqua" w:hAnsi="Book Antiqua" w:eastAsia="Book Antiqua" w:cs="Book Antiqua"/>
        </w:rPr>
        <w:t>PE</w:t>
      </w:r>
      <w:r>
        <w:rPr>
          <w:rFonts w:ascii="Book Antiqua" w:hAnsi="Book Antiqua" w:eastAsia="Book Antiqua" w:cs="Book Antiqua"/>
          <w:color w:val="000000"/>
          <w:shd w:val="clear" w:color="auto" w:fill="FFFFFF"/>
        </w:rPr>
        <w:t xml:space="preserve">, particularly in patients with predominant systemic symptoms such as fever with no evidence of deep vein thrombosis (DVT) or trauma. Here, we discuss a case of a young male who presented during the peak coronavirus disease 2019 (COVID-19) pandemic with initial signs and symptoms of community-acquired pneumonia and, on further evaluation due to clinical worsening, was </w:t>
      </w:r>
      <w:r>
        <w:rPr>
          <w:rFonts w:ascii="Book Antiqua" w:hAnsi="Book Antiqua" w:eastAsia="Book Antiqua" w:cs="Book Antiqua"/>
          <w:color w:val="000000" w:themeColor="text1"/>
          <w:shd w:val="clear" w:color="auto" w:fill="FFFFFF"/>
          <w14:textFill>
            <w14:solidFill>
              <w14:schemeClr w14:val="tx1"/>
            </w14:solidFill>
          </w14:textFill>
        </w:rPr>
        <w:t xml:space="preserve">found to have </w:t>
      </w:r>
      <w:r>
        <w:rPr>
          <w:rFonts w:ascii="Book Antiqua" w:hAnsi="Book Antiqua" w:eastAsia="Book Antiqua" w:cs="Book Antiqua"/>
          <w:color w:val="000000"/>
          <w:shd w:val="clear" w:color="auto" w:fill="FFFFFF"/>
        </w:rPr>
        <w:t>extensive PE.</w:t>
      </w:r>
    </w:p>
    <w:p>
      <w:pPr>
        <w:spacing w:line="360" w:lineRule="auto"/>
        <w:jc w:val="both"/>
        <w:rPr>
          <w:rFonts w:ascii="Book Antiqua" w:hAnsi="Book Antiqua" w:eastAsia="MS Mincho"/>
          <w:lang w:eastAsia="ja-JP"/>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rPr>
      </w:pPr>
      <w:r>
        <w:rPr>
          <w:rFonts w:ascii="Book Antiqua" w:hAnsi="Book Antiqua" w:eastAsia="Book Antiqua" w:cs="Book Antiqua"/>
        </w:rPr>
        <w:t>A 26-year-old healthy male</w:t>
      </w:r>
      <w:r>
        <w:rPr>
          <w:rFonts w:ascii="Book Antiqua" w:hAnsi="Book Antiqua" w:eastAsia="Book Antiqua" w:cs="Book Antiqua"/>
          <w:color w:val="FF0000"/>
        </w:rPr>
        <w:t xml:space="preserve"> </w:t>
      </w:r>
      <w:r>
        <w:rPr>
          <w:rFonts w:ascii="Book Antiqua" w:hAnsi="Book Antiqua" w:eastAsia="Book Antiqua" w:cs="Book Antiqua"/>
          <w:color w:val="000000"/>
        </w:rPr>
        <w:t xml:space="preserve">presented with fever, cough, progressive exertional dyspnea and vomiting for </w:t>
      </w:r>
      <w:r>
        <w:rPr>
          <w:rFonts w:ascii="Book Antiqua" w:hAnsi="Book Antiqua" w:eastAsia="Book Antiqua" w:cs="Book Antiqua"/>
          <w:color w:val="000000" w:themeColor="text1"/>
          <w14:textFill>
            <w14:solidFill>
              <w14:schemeClr w14:val="tx1"/>
            </w14:solidFill>
          </w14:textFill>
        </w:rPr>
        <w:t>5 d</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rPr>
      </w:pPr>
      <w:r>
        <w:rPr>
          <w:rFonts w:ascii="Book Antiqua" w:hAnsi="Book Antiqua" w:eastAsia="Book Antiqua" w:cs="Book Antiqua"/>
          <w:color w:val="000000"/>
        </w:rPr>
        <w:t>Symptoms started as high-grade fever with a temperature recording of 101 ˚F without rigor or chills and cough noted from the next day. The cough was associated with scanty mucoid sputum, with no history of hemoptysis or copious purulent sputum. Dyspnea progressed slowly over</w:t>
      </w:r>
      <w:r>
        <w:rPr>
          <w:rFonts w:ascii="Book Antiqua" w:hAnsi="Book Antiqua" w:eastAsia="Book Antiqua" w:cs="Book Antiqua"/>
          <w:color w:val="FF0000"/>
        </w:rPr>
        <w:t xml:space="preserve"> </w:t>
      </w:r>
      <w:r>
        <w:rPr>
          <w:rFonts w:ascii="Book Antiqua" w:hAnsi="Book Antiqua" w:eastAsia="Book Antiqua" w:cs="Book Antiqua"/>
          <w:color w:val="000000" w:themeColor="text1"/>
          <w14:textFill>
            <w14:solidFill>
              <w14:schemeClr w14:val="tx1"/>
            </w14:solidFill>
          </w14:textFill>
        </w:rPr>
        <w:t xml:space="preserve">5 d </w:t>
      </w:r>
      <w:r>
        <w:rPr>
          <w:rFonts w:ascii="Book Antiqua" w:hAnsi="Book Antiqua" w:eastAsia="Book Antiqua" w:cs="Book Antiqua"/>
          <w:color w:val="000000"/>
        </w:rPr>
        <w:t>to modified Medical Research Council grade 2. There were no orthopnea</w:t>
      </w:r>
      <w:r>
        <w:rPr>
          <w:rFonts w:ascii="Book Antiqua" w:hAnsi="Book Antiqua" w:eastAsia="Book Antiqua" w:cs="Book Antiqua"/>
          <w:color w:val="000000" w:themeColor="text1"/>
          <w14:textFill>
            <w14:solidFill>
              <w14:schemeClr w14:val="tx1"/>
            </w14:solidFill>
          </w14:textFill>
        </w:rPr>
        <w:t>,</w:t>
      </w:r>
      <w:r>
        <w:rPr>
          <w:rFonts w:ascii="Book Antiqua" w:hAnsi="Book Antiqua" w:eastAsia="Book Antiqua" w:cs="Book Antiqua"/>
          <w:color w:val="000000"/>
        </w:rPr>
        <w:t xml:space="preserve"> paroxysmal nocturnal dyspnea, or angina symptoms. He also had 2-3 vomiting episodes per day after the fever</w:t>
      </w:r>
      <w:r>
        <w:rPr>
          <w:rFonts w:ascii="Book Antiqua" w:hAnsi="Book Antiqua" w:eastAsia="Book Antiqua" w:cs="Book Antiqua"/>
          <w:color w:val="000000" w:themeColor="text1"/>
          <w14:textFill>
            <w14:solidFill>
              <w14:schemeClr w14:val="tx1"/>
            </w14:solidFill>
          </w14:textFill>
        </w:rPr>
        <w:t xml:space="preserve">. </w:t>
      </w:r>
      <w:r>
        <w:rPr>
          <w:rFonts w:ascii="Book Antiqua" w:hAnsi="Book Antiqua" w:eastAsia="Book Antiqua"/>
          <w:color w:val="000000" w:themeColor="text1"/>
          <w14:textFill>
            <w14:solidFill>
              <w14:schemeClr w14:val="tx1"/>
            </w14:solidFill>
          </w14:textFill>
        </w:rPr>
        <w:t>Vomiting</w:t>
      </w:r>
      <w:r>
        <w:rPr>
          <w:rFonts w:ascii="Book Antiqua" w:hAnsi="Book Antiqua" w:eastAsia="Book Antiqua" w:cs="Book Antiqua"/>
          <w:color w:val="000000" w:themeColor="text1"/>
          <w14:textFill>
            <w14:solidFill>
              <w14:schemeClr w14:val="tx1"/>
            </w14:solidFill>
          </w14:textFill>
        </w:rPr>
        <w:t xml:space="preserve"> </w:t>
      </w:r>
      <w:r>
        <w:rPr>
          <w:rFonts w:ascii="Book Antiqua" w:hAnsi="Book Antiqua" w:eastAsia="Book Antiqua" w:cs="Book Antiqua"/>
          <w:color w:val="000000"/>
        </w:rPr>
        <w:t>was nonbilious, and there was no associated abdominal pain, loose stool or blood in the stool. There was no history of any leg pain, calf swelling</w:t>
      </w:r>
      <w:r>
        <w:rPr>
          <w:rFonts w:ascii="Book Antiqua" w:hAnsi="Book Antiqua" w:eastAsia="Book Antiqua" w:cs="Book Antiqua"/>
          <w:color w:val="000000" w:themeColor="text1"/>
          <w14:textFill>
            <w14:solidFill>
              <w14:schemeClr w14:val="tx1"/>
            </w14:solidFill>
          </w14:textFill>
        </w:rPr>
        <w:t>,</w:t>
      </w:r>
      <w:r>
        <w:rPr>
          <w:rFonts w:ascii="Book Antiqua" w:hAnsi="Book Antiqua" w:eastAsia="Book Antiqua" w:cs="Book Antiqua"/>
          <w:color w:val="000000"/>
        </w:rPr>
        <w:t xml:space="preserve"> or prolonged immobilization.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rPr>
      </w:pPr>
      <w:r>
        <w:rPr>
          <w:rFonts w:ascii="Book Antiqua" w:hAnsi="Book Antiqua" w:eastAsia="Book Antiqua" w:cs="Book Antiqua"/>
          <w:color w:val="000000"/>
        </w:rPr>
        <w:t>He had no other comorbidity</w:t>
      </w:r>
      <w:r>
        <w:rPr>
          <w:rFonts w:ascii="Book Antiqua" w:hAnsi="Book Antiqua" w:eastAsia="Book Antiqua"/>
          <w:color w:val="000000" w:themeColor="text1"/>
          <w14:textFill>
            <w14:solidFill>
              <w14:schemeClr w14:val="tx1"/>
            </w14:solidFill>
          </w14:textFill>
        </w:rPr>
        <w:t xml:space="preserve">, </w:t>
      </w:r>
      <w:r>
        <w:rPr>
          <w:rFonts w:ascii="Book Antiqua" w:hAnsi="Book Antiqua" w:eastAsia="Book Antiqua"/>
          <w:i/>
          <w:color w:val="000000" w:themeColor="text1"/>
          <w14:textFill>
            <w14:solidFill>
              <w14:schemeClr w14:val="tx1"/>
            </w14:solidFill>
          </w14:textFill>
        </w:rPr>
        <w:t>i.e.</w:t>
      </w:r>
      <w:r>
        <w:rPr>
          <w:rFonts w:ascii="Book Antiqua" w:hAnsi="Book Antiqua" w:eastAsia="Book Antiqua"/>
          <w:color w:val="000000" w:themeColor="text1"/>
          <w14:textFill>
            <w14:solidFill>
              <w14:schemeClr w14:val="tx1"/>
            </w14:solidFill>
          </w14:textFill>
        </w:rPr>
        <w:t xml:space="preserve"> no</w:t>
      </w:r>
      <w:r>
        <w:rPr>
          <w:rFonts w:ascii="Book Antiqua" w:hAnsi="Book Antiqua" w:eastAsia="Book Antiqua" w:cs="Book Antiqua"/>
          <w:color w:val="000000" w:themeColor="text1"/>
          <w14:textFill>
            <w14:solidFill>
              <w14:schemeClr w14:val="tx1"/>
            </w14:solidFill>
          </w14:textFill>
        </w:rPr>
        <w:t xml:space="preserve"> </w:t>
      </w:r>
      <w:r>
        <w:rPr>
          <w:rFonts w:ascii="Book Antiqua" w:hAnsi="Book Antiqua" w:eastAsia="Book Antiqua" w:cs="Book Antiqua"/>
          <w:color w:val="000000"/>
        </w:rPr>
        <w:t xml:space="preserve">history of previous recurrent respiratory infections, asthma, or frequent hospitalizations. There was no history of recent travel outside his native place.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rPr>
      </w:pPr>
      <w:r>
        <w:rPr>
          <w:rFonts w:ascii="Book Antiqua" w:hAnsi="Book Antiqua" w:eastAsia="Book Antiqua" w:cs="Book Antiqua"/>
          <w:color w:val="000000"/>
        </w:rPr>
        <w:t xml:space="preserve">He </w:t>
      </w:r>
      <w:r>
        <w:rPr>
          <w:rFonts w:ascii="Book Antiqua" w:hAnsi="Book Antiqua" w:eastAsia="Book Antiqua" w:cs="Book Antiqua"/>
          <w:color w:val="000000" w:themeColor="text1"/>
          <w14:textFill>
            <w14:solidFill>
              <w14:schemeClr w14:val="tx1"/>
            </w14:solidFill>
          </w14:textFill>
        </w:rPr>
        <w:t xml:space="preserve">was a </w:t>
      </w:r>
      <w:r>
        <w:rPr>
          <w:rFonts w:ascii="Book Antiqua" w:hAnsi="Book Antiqua" w:eastAsia="Book Antiqua"/>
          <w:color w:val="000000" w:themeColor="text1"/>
          <w14:textFill>
            <w14:solidFill>
              <w14:schemeClr w14:val="tx1"/>
            </w14:solidFill>
          </w14:textFill>
        </w:rPr>
        <w:t>nonsmoker</w:t>
      </w:r>
      <w:r>
        <w:rPr>
          <w:rFonts w:ascii="Book Antiqua" w:hAnsi="Book Antiqua" w:eastAsia="Book Antiqua" w:cs="Book Antiqua"/>
          <w:color w:val="000000" w:themeColor="text1"/>
          <w14:textFill>
            <w14:solidFill>
              <w14:schemeClr w14:val="tx1"/>
            </w14:solidFill>
          </w14:textFill>
        </w:rPr>
        <w:t xml:space="preserve"> </w:t>
      </w:r>
      <w:r>
        <w:rPr>
          <w:rFonts w:ascii="Book Antiqua" w:hAnsi="Book Antiqua" w:eastAsia="Book Antiqua" w:cs="Book Antiqua"/>
          <w:color w:val="000000"/>
        </w:rPr>
        <w:t>and had been engaged in a painting job for the last 2 years.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rPr>
      </w:pPr>
      <w:r>
        <w:rPr>
          <w:rFonts w:ascii="Book Antiqua" w:hAnsi="Book Antiqua" w:eastAsia="Book Antiqua" w:cs="Book Antiqua"/>
          <w:color w:val="000000"/>
        </w:rPr>
        <w:t>On examination, the patient was febrile with a temperature of 100 ˚F, tachypneic with a respiratory rate of 36/min, pulse rate 112/min, blood pressure 110/70 mmHg, and oxygen saturation of 85% at room air. Other respiratory, cardiovascular, neurological, and abdominal examinations were normal.</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rPr>
      </w:pPr>
      <w:r>
        <w:rPr>
          <w:rFonts w:ascii="Book Antiqua" w:hAnsi="Book Antiqua" w:eastAsia="Book Antiqua" w:cs="Book Antiqua"/>
          <w:color w:val="000000"/>
        </w:rPr>
        <w:t xml:space="preserve">His hemogram showed a total white blood cell count of 23090 (neutrophils 88%) </w:t>
      </w:r>
      <w:r>
        <w:rPr>
          <w:rFonts w:ascii="Book Antiqua" w:hAnsi="Book Antiqua" w:eastAsia="Book Antiqua" w:cs="Book Antiqua"/>
          <w:color w:val="000000" w:themeColor="text1"/>
          <w14:textFill>
            <w14:solidFill>
              <w14:schemeClr w14:val="tx1"/>
            </w14:solidFill>
          </w14:textFill>
        </w:rPr>
        <w:t xml:space="preserve">lac </w:t>
      </w:r>
      <w:r>
        <w:rPr>
          <w:rFonts w:ascii="Book Antiqua" w:hAnsi="Book Antiqua"/>
          <w:color w:val="040C28"/>
        </w:rPr>
        <w:t xml:space="preserve">per cubic millimeter </w:t>
      </w:r>
      <w:r>
        <w:rPr>
          <w:rFonts w:ascii="Book Antiqua" w:hAnsi="Book Antiqua" w:eastAsia="Book Antiqua" w:cs="Book Antiqua"/>
          <w:color w:val="000000"/>
        </w:rPr>
        <w:t>and a platelet count of 3.</w:t>
      </w:r>
      <w:r>
        <w:rPr>
          <w:rFonts w:ascii="Book Antiqua" w:hAnsi="Book Antiqua" w:eastAsia="Book Antiqua" w:cs="Book Antiqua"/>
          <w:color w:val="000000" w:themeColor="text1"/>
          <w14:textFill>
            <w14:solidFill>
              <w14:schemeClr w14:val="tx1"/>
            </w14:solidFill>
          </w14:textFill>
        </w:rPr>
        <w:t xml:space="preserve">3 lac </w:t>
      </w:r>
      <w:r>
        <w:rPr>
          <w:rFonts w:ascii="Book Antiqua" w:hAnsi="Book Antiqua"/>
          <w:color w:val="040C28"/>
        </w:rPr>
        <w:t>per cubic millimeter;</w:t>
      </w:r>
      <w:r>
        <w:rPr>
          <w:rFonts w:ascii="Book Antiqua" w:hAnsi="Book Antiqua" w:eastAsia="Book Antiqua" w:cs="Book Antiqua"/>
          <w:color w:val="FF0000"/>
        </w:rPr>
        <w:t xml:space="preserve"> </w:t>
      </w:r>
      <w:r>
        <w:rPr>
          <w:rFonts w:ascii="Book Antiqua" w:hAnsi="Book Antiqua" w:eastAsia="Book Antiqua" w:cs="Book Antiqua"/>
          <w:color w:val="000000"/>
        </w:rPr>
        <w:t>blood urea and creatinine were 43 mg/dL (normal range: 5-20 mg/dL), and 1.5 mg/dL (normal range: 0.7-1.3 mg/dL), respectively. The liver function test was normal. The electrocardiogram showed sinus tachycardia.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color w:val="000000" w:themeColor="text1"/>
          <w14:textFill>
            <w14:solidFill>
              <w14:schemeClr w14:val="tx1"/>
            </w14:solidFill>
          </w14:textFill>
        </w:rPr>
      </w:pPr>
      <w:bookmarkStart w:id="184" w:name="OLE_LINK4"/>
      <w:bookmarkStart w:id="185" w:name="OLE_LINK3"/>
      <w:r>
        <w:rPr>
          <w:rFonts w:ascii="Book Antiqua" w:hAnsi="Book Antiqua" w:eastAsia="Book Antiqua" w:cs="Book Antiqua"/>
          <w:color w:val="000000" w:themeColor="text1"/>
          <w14:textFill>
            <w14:solidFill>
              <w14:schemeClr w14:val="tx1"/>
            </w14:solidFill>
          </w14:textFill>
        </w:rPr>
        <w:t>Chest radiograph showed left upper zone inhomogeneous opacity with an air bronchogram and right lower zone opacity obliterating hemi-diaphragm silhouette (Figure 1A).</w:t>
      </w:r>
      <w:r>
        <w:rPr>
          <w:rFonts w:ascii="Book Antiqua" w:hAnsi="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xml:space="preserve">Repeated chest radiographs documented the resolution of the left upper and right lower zone opacities (Figure 1B). </w:t>
      </w:r>
      <w:bookmarkEnd w:id="184"/>
      <w:bookmarkEnd w:id="185"/>
      <w:r>
        <w:rPr>
          <w:rFonts w:ascii="Book Antiqua" w:hAnsi="Book Antiqua" w:eastAsia="Book Antiqua" w:cs="Book Antiqua"/>
          <w:color w:val="000000" w:themeColor="text1"/>
          <w14:textFill>
            <w14:solidFill>
              <w14:schemeClr w14:val="tx1"/>
            </w14:solidFill>
          </w14:textFill>
        </w:rPr>
        <w:t xml:space="preserve">Computed tomography (CT)-assisted pulmonary angiography (CTPA) was performed. CTPA revealed a thrombus completely occluding the right main pulmonary artery just after bifurcation and a hypodense filling defect of 2.8 cm × 2 cm in the right atrium, suggestive of thrombus (Figure 2).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PE, hypoxic respiratory failure, </w:t>
      </w:r>
      <w:r>
        <w:rPr>
          <w:rFonts w:ascii="Book Antiqua" w:hAnsi="Book Antiqua" w:eastAsia="Book Antiqua" w:cs="Book Antiqua"/>
        </w:rPr>
        <w:t>shock</w:t>
      </w:r>
      <w:r>
        <w:rPr>
          <w:rFonts w:ascii="Book Antiqua" w:hAnsi="Book Antiqua" w:eastAsia="Book Antiqua" w:cs="Book Antiqua"/>
          <w:color w:val="000000"/>
        </w:rPr>
        <w:t xml:space="preserve"> due to massive PE.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rPr>
      </w:pPr>
      <w:r>
        <w:rPr>
          <w:rFonts w:ascii="Book Antiqua" w:hAnsi="Book Antiqua" w:eastAsia="Book Antiqua" w:cs="Book Antiqua"/>
          <w:color w:val="000000"/>
        </w:rPr>
        <w:t xml:space="preserve">Considering the current pandemic, the patient was initially treated as a COVID-19 suspect, and a nasopharyngeal swab test was performed. Empirically, antibiotics (intravenous Co-amoxiclav and oral azithromycin) were initiated with high-flow oxygen at 10 L/min and enoxaparin 40 mg subcutaneously once daily. </w:t>
      </w:r>
      <w:r>
        <w:rPr>
          <w:rFonts w:ascii="Book Antiqua" w:hAnsi="Book Antiqua" w:eastAsia="Book Antiqua" w:cs="Book Antiqua"/>
        </w:rPr>
        <w:t xml:space="preserve">His nasopharyngeal swab </w:t>
      </w:r>
      <w:r>
        <w:rPr>
          <w:rFonts w:ascii="Book Antiqua" w:hAnsi="Book Antiqua" w:eastAsia="Book Antiqua" w:cs="Book Antiqua"/>
          <w:color w:val="000000" w:themeColor="text1"/>
          <w14:textFill>
            <w14:solidFill>
              <w14:schemeClr w14:val="tx1"/>
            </w14:solidFill>
          </w14:textFill>
        </w:rPr>
        <w:t xml:space="preserve">used for </w:t>
      </w:r>
      <w:r>
        <w:rPr>
          <w:rFonts w:ascii="Book Antiqua" w:hAnsi="Book Antiqua" w:eastAsia="Book Antiqua" w:cs="Book Antiqua"/>
        </w:rPr>
        <w:t>reverse transcription polymerase chain reaction (RT-PCR) for COVID-19</w:t>
      </w:r>
      <w:r>
        <w:rPr>
          <w:rFonts w:ascii="Book Antiqua" w:hAnsi="Book Antiqua" w:eastAsia="Book Antiqua" w:cs="Book Antiqua"/>
          <w:color w:val="FF0000"/>
        </w:rPr>
        <w:t xml:space="preserve"> </w:t>
      </w:r>
      <w:r>
        <w:rPr>
          <w:rFonts w:ascii="Book Antiqua" w:hAnsi="Book Antiqua" w:eastAsia="Book Antiqua" w:cs="Book Antiqua"/>
          <w:color w:val="000000" w:themeColor="text1"/>
          <w14:textFill>
            <w14:solidFill>
              <w14:schemeClr w14:val="tx1"/>
            </w14:solidFill>
          </w14:textFill>
        </w:rPr>
        <w:t>was</w:t>
      </w:r>
      <w:r>
        <w:rPr>
          <w:rFonts w:ascii="Book Antiqua" w:hAnsi="Book Antiqua" w:eastAsia="Book Antiqua" w:cs="Book Antiqua"/>
          <w:color w:val="FF0000"/>
        </w:rPr>
        <w:t xml:space="preserve"> </w:t>
      </w:r>
      <w:r>
        <w:rPr>
          <w:rFonts w:ascii="Book Antiqua" w:hAnsi="Book Antiqua" w:eastAsia="Book Antiqua" w:cs="Book Antiqua"/>
          <w:color w:val="000000"/>
        </w:rPr>
        <w:t xml:space="preserve">negative, and he was transferred to the pulmonary ward for further management. Sputum and blood culture were sterile. Sputum for </w:t>
      </w:r>
      <w:r>
        <w:rPr>
          <w:rFonts w:ascii="Book Antiqua" w:hAnsi="Book Antiqua" w:eastAsia="Book Antiqua" w:cs="Book Antiqua"/>
          <w:color w:val="000000" w:themeColor="text1"/>
          <w14:textFill>
            <w14:solidFill>
              <w14:schemeClr w14:val="tx1"/>
            </w14:solidFill>
          </w14:textFill>
        </w:rPr>
        <w:t>Xpert MTB/Rif</w:t>
      </w:r>
      <w:r>
        <w:rPr>
          <w:rFonts w:ascii="Book Antiqua" w:hAnsi="Book Antiqua" w:eastAsia="Book Antiqua" w:cs="Book Antiqua"/>
          <w:color w:val="000000"/>
        </w:rPr>
        <w:t xml:space="preserve"> was negative. He gradually improved clinically, and by day 4, his fever subsided, leukocytosis </w:t>
      </w:r>
      <w:r>
        <w:rPr>
          <w:rFonts w:ascii="Book Antiqua" w:hAnsi="Book Antiqua" w:eastAsia="Book Antiqua" w:cs="Book Antiqua"/>
          <w:color w:val="000000" w:themeColor="text1"/>
          <w14:textFill>
            <w14:solidFill>
              <w14:schemeClr w14:val="tx1"/>
            </w14:solidFill>
          </w14:textFill>
        </w:rPr>
        <w:t xml:space="preserve">decreased, </w:t>
      </w:r>
      <w:r>
        <w:rPr>
          <w:rFonts w:ascii="Book Antiqua" w:hAnsi="Book Antiqua" w:eastAsia="Book Antiqua" w:cs="Book Antiqua"/>
          <w:color w:val="000000"/>
        </w:rPr>
        <w:t>and oxygen requirement reduced to 4 L/min</w:t>
      </w:r>
      <w:r>
        <w:rPr>
          <w:rFonts w:ascii="Book Antiqua" w:hAnsi="Book Antiqua" w:eastAsia="Book Antiqua" w:cs="Book Antiqua"/>
          <w:color w:val="000000" w:themeColor="text1"/>
          <w14:textFill>
            <w14:solidFill>
              <w14:schemeClr w14:val="tx1"/>
            </w14:solidFill>
          </w14:textFill>
        </w:rPr>
        <w:t>. On the 5</w:t>
      </w:r>
      <w:r>
        <w:rPr>
          <w:rFonts w:ascii="Book Antiqua" w:hAnsi="Book Antiqua" w:eastAsia="Book Antiqua" w:cs="Book Antiqua"/>
          <w:color w:val="000000" w:themeColor="text1"/>
          <w:vertAlign w:val="superscript"/>
          <w14:textFill>
            <w14:solidFill>
              <w14:schemeClr w14:val="tx1"/>
            </w14:solidFill>
          </w14:textFill>
        </w:rPr>
        <w:t>th</w:t>
      </w:r>
      <w:r>
        <w:rPr>
          <w:rFonts w:ascii="Book Antiqua" w:hAnsi="Book Antiqua" w:eastAsia="Book Antiqua" w:cs="Book Antiqua"/>
          <w:color w:val="000000" w:themeColor="text1"/>
          <w14:textFill>
            <w14:solidFill>
              <w14:schemeClr w14:val="tx1"/>
            </w14:solidFill>
          </w14:textFill>
        </w:rPr>
        <w:t xml:space="preserve"> d of admission, he had new onset hemoptysis with minimal quantity. Repeated chest radiographs documented the resolution of the opacities in the left upper and right lower zones (Figure 1B). Repeated electrocardiogram</w:t>
      </w:r>
      <w:r>
        <w:rPr>
          <w:rFonts w:ascii="Book Antiqua" w:hAnsi="Book Antiqua" w:eastAsia="MS Mincho" w:cs="Book Antiqua"/>
          <w:color w:val="000000" w:themeColor="text1"/>
          <w:lang w:eastAsia="ja-JP"/>
          <w14:textFill>
            <w14:solidFill>
              <w14:schemeClr w14:val="tx1"/>
            </w14:solidFill>
          </w14:textFill>
        </w:rPr>
        <w:t>s</w:t>
      </w:r>
      <w:r>
        <w:rPr>
          <w:rFonts w:ascii="Book Antiqua" w:hAnsi="Book Antiqua" w:eastAsia="Book Antiqua" w:cs="Book Antiqua"/>
          <w:color w:val="000000" w:themeColor="text1"/>
          <w14:textFill>
            <w14:solidFill>
              <w14:schemeClr w14:val="tx1"/>
            </w14:solidFill>
          </w14:textFill>
        </w:rPr>
        <w:t xml:space="preserve"> showed sinus tachycardia and T wave inversion from V1 to V3. However, Troponin I was negative.</w:t>
      </w:r>
    </w:p>
    <w:p>
      <w:pPr>
        <w:spacing w:line="360" w:lineRule="auto"/>
        <w:ind w:firstLine="480" w:firstLineChars="200"/>
        <w:jc w:val="both"/>
        <w:rPr>
          <w:rFonts w:ascii="Book Antiqua" w:hAnsi="Book Antiqua" w:eastAsia="MS Mincho" w:cs="MS Mincho"/>
          <w:color w:val="000000"/>
          <w:lang w:eastAsia="ja-JP"/>
        </w:rPr>
      </w:pPr>
      <w:r>
        <w:rPr>
          <w:rFonts w:ascii="Book Antiqua" w:hAnsi="Book Antiqua" w:eastAsia="Book Antiqua" w:cs="Book Antiqua"/>
          <w:color w:val="000000"/>
        </w:rPr>
        <w:t xml:space="preserve">In view of persisting hypoxia, radiological opacity, and higher </w:t>
      </w:r>
      <w:r>
        <w:rPr>
          <w:rFonts w:ascii="Book Antiqua" w:hAnsi="Book Antiqua" w:eastAsia="Book Antiqua" w:cs="Book Antiqua"/>
        </w:rPr>
        <w:t>Wells score</w:t>
      </w:r>
      <w:r>
        <w:rPr>
          <w:rFonts w:ascii="Book Antiqua" w:hAnsi="Book Antiqua" w:eastAsia="Book Antiqua" w:cs="Book Antiqua"/>
          <w:color w:val="000000"/>
        </w:rPr>
        <w:t xml:space="preserve">, CTPA was performed. CTPA revealed a thrombus completely occluding the right main pulmonary artery just after bifurcation, with a hypodense filling defect of 2.8 cm × 2 cm in the right atrium, suggestive of a thrombus (Figure 2). Deep vein screening and compression ultrasound </w:t>
      </w:r>
      <w:r>
        <w:rPr>
          <w:rFonts w:ascii="Book Antiqua" w:hAnsi="Book Antiqua" w:eastAsia="Book Antiqua" w:cs="Book Antiqua"/>
          <w:color w:val="000000" w:themeColor="text1"/>
          <w14:textFill>
            <w14:solidFill>
              <w14:schemeClr w14:val="tx1"/>
            </w14:solidFill>
          </w14:textFill>
        </w:rPr>
        <w:t>were normal. Echocardiography revealed the dilatation of the right atrium and right ventricle with increased right ventricular systolic pressure. A PE was confirmed. As the patient was hemodynamically stable, an injection of Enoxaparin 40 mg was initiated subcutaneously twice daily</w:t>
      </w:r>
      <w:r>
        <w:rPr>
          <w:rFonts w:ascii="Book Antiqua" w:hAnsi="Book Antiqua" w:eastAsia="Book Antiqua" w:cs="Book Antiqua"/>
          <w:color w:val="000000"/>
        </w:rPr>
        <w:t>. The antibiotic was escalated to piperacillin and tazobactam</w:t>
      </w:r>
      <w:r>
        <w:rPr>
          <w:rFonts w:ascii="Book Antiqua" w:hAnsi="Book Antiqua" w:eastAsia="Book Antiqua" w:cs="Book Antiqua"/>
        </w:rPr>
        <w:t xml:space="preserve"> </w:t>
      </w:r>
      <w:r>
        <w:rPr>
          <w:rFonts w:ascii="Book Antiqua" w:hAnsi="Book Antiqua" w:eastAsia="Book Antiqua" w:cs="Book Antiqua"/>
          <w:color w:val="000000" w:themeColor="text1"/>
          <w14:textFill>
            <w14:solidFill>
              <w14:schemeClr w14:val="tx1"/>
            </w14:solidFill>
          </w14:textFill>
        </w:rPr>
        <w:t>4.5 gm every six hours and linezolid 600 mg twice daily in view of pulmonary opacity and elevated total white cell count of 21180</w:t>
      </w:r>
      <w:r>
        <w:rPr>
          <w:rFonts w:ascii="Book Antiqua" w:hAnsi="Book Antiqua" w:eastAsia="Book Antiqua"/>
          <w:color w:val="000000" w:themeColor="text1"/>
          <w14:textFill>
            <w14:solidFill>
              <w14:schemeClr w14:val="tx1"/>
            </w14:solidFill>
          </w14:textFill>
        </w:rPr>
        <w:t xml:space="preserve"> </w:t>
      </w:r>
      <w:r>
        <w:rPr>
          <w:rFonts w:ascii="Book Antiqua" w:hAnsi="Book Antiqua"/>
          <w:color w:val="000000" w:themeColor="text1"/>
          <w14:textFill>
            <w14:solidFill>
              <w14:schemeClr w14:val="tx1"/>
            </w14:solidFill>
          </w14:textFill>
        </w:rPr>
        <w:t>cells per cubic millimeter</w:t>
      </w:r>
      <w:r>
        <w:rPr>
          <w:rFonts w:ascii="Book Antiqua" w:hAnsi="Book Antiqua" w:eastAsia="Book Antiqua" w:cs="Book Antiqua"/>
          <w:color w:val="000000" w:themeColor="text1"/>
          <w14:textFill>
            <w14:solidFill>
              <w14:schemeClr w14:val="tx1"/>
            </w14:solidFill>
          </w14:textFill>
        </w:rPr>
        <w:t>. On the 4</w:t>
      </w:r>
      <w:r>
        <w:rPr>
          <w:rFonts w:ascii="Book Antiqua" w:hAnsi="Book Antiqua" w:eastAsia="Book Antiqua" w:cs="Book Antiqua"/>
          <w:color w:val="000000" w:themeColor="text1"/>
          <w:vertAlign w:val="superscript"/>
          <w14:textFill>
            <w14:solidFill>
              <w14:schemeClr w14:val="tx1"/>
            </w14:solidFill>
          </w14:textFill>
        </w:rPr>
        <w:t>th</w:t>
      </w:r>
      <w:r>
        <w:rPr>
          <w:rFonts w:ascii="Book Antiqua" w:hAnsi="Book Antiqua" w:eastAsia="Book Antiqua" w:cs="Book Antiqua"/>
          <w:color w:val="000000" w:themeColor="text1"/>
          <w14:textFill>
            <w14:solidFill>
              <w14:schemeClr w14:val="tx1"/>
            </w14:solidFill>
          </w14:textFill>
        </w:rPr>
        <w:t xml:space="preserve"> d of anticoagulation, the patient had increasing tachypnea, and oxygen requirement increased from 4 L/min to 10 L/min. Over the next six hours, the patient's dyspnea further increased. Therefore, he was intubated and mechanically ventilated due to severe hypoxia despite a high oxygen flow. Finally, he was transferred to the intensive care unit. The patient was initially hemodynamically stable except for sinus tachycardia. However, after 12 h, the patient developed hypotension, requiring fluid resuscitation and noradrenaline support. Therefore, the patient was immediately considered for thrombolysis after counseling on the benefits and risks of thrombolysis. Due to financial constraints, the family could only afford to give him streptokinase treatment. Injection streptokinase 2.5 Lac IU (international unit) loading dose followed by one lac IU per hour was started. After 3 h of thrombolysis, there was a progressive worsening of hypotension, and the patient developed pulmonary edema and refractory shock and passed away on the 14</w:t>
      </w:r>
      <w:r>
        <w:rPr>
          <w:rFonts w:ascii="Book Antiqua" w:hAnsi="Book Antiqua" w:eastAsia="Book Antiqua" w:cs="Book Antiqua"/>
          <w:color w:val="000000" w:themeColor="text1"/>
          <w:vertAlign w:val="superscript"/>
          <w14:textFill>
            <w14:solidFill>
              <w14:schemeClr w14:val="tx1"/>
            </w14:solidFill>
          </w14:textFill>
        </w:rPr>
        <w:t>th</w:t>
      </w:r>
      <w:r>
        <w:rPr>
          <w:rFonts w:ascii="Book Antiqua" w:hAnsi="Book Antiqua" w:eastAsia="Book Antiqua" w:cs="Book Antiqua"/>
          <w:color w:val="000000" w:themeColor="text1"/>
          <w14:textFill>
            <w14:solidFill>
              <w14:schemeClr w14:val="tx1"/>
            </w14:solidFill>
          </w14:textFill>
        </w:rPr>
        <w:t xml:space="preserve"> d of admission</w:t>
      </w:r>
      <w:r>
        <w:rPr>
          <w:rFonts w:ascii="Book Antiqua" w:hAnsi="Book Antiqua" w:eastAsia="Book Antiqua" w:cs="Book Antiqua"/>
          <w:color w:val="000000"/>
        </w:rPr>
        <w:t xml:space="preserv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rPr>
      </w:pPr>
      <w:r>
        <w:rPr>
          <w:rFonts w:ascii="Book Antiqua" w:hAnsi="Book Antiqua" w:eastAsia="Book Antiqua" w:cs="Book Antiqua"/>
          <w:color w:val="000000"/>
        </w:rPr>
        <w:t>Died on 14</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d of admission.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In the present case, a young male admitted with a presumptive diagnosis of COVID-19 pneumonia was later diagnosed with PE. We missed the diagnosis of PE initially in the context of rising COVID-19 cases and time elapsed while waiting for RT-PCR results. The initial clinical diagnosis was non-COVID pneumonia due to the presence of fever, elevated total leukocyte count, and initial clinical improvement with antibiotics. There was the possibility of concomitant PE and pneumonia. PE is often misdiagnosed as pneumonia because of similar clinical presentations. Several retrospective studies have already discussed pneumonia patients who have about 2–3-fold increased risk of venous thrombosis</w:t>
      </w:r>
      <w:r>
        <w:rPr>
          <w:rFonts w:ascii="Book Antiqua" w:hAnsi="Book Antiqua" w:eastAsia="Book Antiqua" w:cs="Book Antiqua"/>
          <w:color w:val="000000" w:themeColor="text1"/>
          <w:vertAlign w:val="superscript"/>
          <w14:textFill>
            <w14:solidFill>
              <w14:schemeClr w14:val="tx1"/>
            </w14:solidFill>
          </w14:textFill>
        </w:rPr>
        <w:t>[1]</w:t>
      </w:r>
      <w:r>
        <w:rPr>
          <w:rFonts w:ascii="Book Antiqua" w:hAnsi="Book Antiqua" w:eastAsia="Book Antiqua" w:cs="Book Antiqua"/>
          <w:color w:val="000000" w:themeColor="text1"/>
          <w14:textFill>
            <w14:solidFill>
              <w14:schemeClr w14:val="tx1"/>
            </w14:solidFill>
          </w14:textFill>
        </w:rPr>
        <w:t xml:space="preserve">. </w:t>
      </w:r>
    </w:p>
    <w:p>
      <w:pPr>
        <w:spacing w:line="360" w:lineRule="auto"/>
        <w:ind w:firstLine="480" w:firstLineChars="200"/>
        <w:jc w:val="both"/>
        <w:rPr>
          <w:rFonts w:ascii="Book Antiqua" w:hAnsi="Book Antiqua"/>
        </w:rPr>
      </w:pPr>
      <w:r>
        <w:rPr>
          <w:rFonts w:ascii="Book Antiqua" w:hAnsi="Book Antiqua" w:eastAsia="Book Antiqua" w:cs="Book Antiqua"/>
          <w:color w:val="000000" w:themeColor="text1"/>
          <w14:textFill>
            <w14:solidFill>
              <w14:schemeClr w14:val="tx1"/>
            </w14:solidFill>
          </w14:textFill>
        </w:rPr>
        <w:t>Due to the lower sensitivity of RT-PCR for COVID-19, our clinical suspicion continued due to the prevailing trend of an ever-increasing COVID pandemic</w:t>
      </w:r>
      <w:r>
        <w:rPr>
          <w:rFonts w:ascii="Book Antiqua" w:hAnsi="Book Antiqua" w:eastAsia="Book Antiqua" w:cs="Book Antiqua"/>
          <w:color w:val="000000" w:themeColor="text1"/>
          <w:vertAlign w:val="superscript"/>
          <w14:textFill>
            <w14:solidFill>
              <w14:schemeClr w14:val="tx1"/>
            </w14:solidFill>
          </w14:textFill>
        </w:rPr>
        <w:t>[2]</w:t>
      </w:r>
      <w:r>
        <w:rPr>
          <w:rFonts w:ascii="Book Antiqua" w:hAnsi="Book Antiqua" w:eastAsia="Book Antiqua" w:cs="Book Antiqua"/>
          <w:color w:val="000000" w:themeColor="text1"/>
          <w14:textFill>
            <w14:solidFill>
              <w14:schemeClr w14:val="tx1"/>
            </w14:solidFill>
          </w14:textFill>
        </w:rPr>
        <w:t>. Fever, leukocytosis, elevated C-reactive protein, and procalcitonin, which are commonly used to differentiate PE from pneumonia, often exist in both conditions</w:t>
      </w:r>
      <w:r>
        <w:rPr>
          <w:rFonts w:ascii="Book Antiqua" w:hAnsi="Book Antiqua" w:eastAsia="Book Antiqua" w:cs="Book Antiqua"/>
          <w:color w:val="000000" w:themeColor="text1"/>
          <w:vertAlign w:val="superscript"/>
          <w14:textFill>
            <w14:solidFill>
              <w14:schemeClr w14:val="tx1"/>
            </w14:solidFill>
          </w14:textFill>
        </w:rPr>
        <w:t>[3]</w:t>
      </w:r>
      <w:r>
        <w:rPr>
          <w:rFonts w:ascii="Book Antiqua" w:hAnsi="Book Antiqua" w:eastAsia="Book Antiqua" w:cs="Book Antiqua"/>
          <w:color w:val="000000" w:themeColor="text1"/>
          <w14:textFill>
            <w14:solidFill>
              <w14:schemeClr w14:val="tx1"/>
            </w14:solidFill>
          </w14:textFill>
        </w:rPr>
        <w:t>. In one study, 80% of angiographically proven PE reported leukocytosis, and two-thirds reported fever</w:t>
      </w:r>
      <w:r>
        <w:rPr>
          <w:rFonts w:ascii="Book Antiqua" w:hAnsi="Book Antiqua" w:eastAsia="Book Antiqua" w:cs="Book Antiqua"/>
          <w:color w:val="000000" w:themeColor="text1"/>
          <w:vertAlign w:val="superscript"/>
          <w14:textFill>
            <w14:solidFill>
              <w14:schemeClr w14:val="tx1"/>
            </w14:solidFill>
          </w14:textFill>
        </w:rPr>
        <w:t>[4]</w:t>
      </w:r>
      <w:r>
        <w:rPr>
          <w:rFonts w:ascii="Book Antiqua" w:hAnsi="Book Antiqua" w:eastAsia="Book Antiqua" w:cs="Book Antiqua"/>
          <w:color w:val="000000" w:themeColor="text1"/>
          <w14:textFill>
            <w14:solidFill>
              <w14:schemeClr w14:val="tx1"/>
            </w14:solidFill>
          </w14:textFill>
        </w:rPr>
        <w:t>. Initial radiological workup like chest radiograph may often help in diagnosing pneumonia. Still, data from ICOPER study, including 2000 PE patients, reported normal chest radiographs in one-quarter of the patients, and patchy infiltrations were present in 17% of patients</w:t>
      </w:r>
      <w:r>
        <w:rPr>
          <w:rFonts w:ascii="Book Antiqua" w:hAnsi="Book Antiqua" w:eastAsia="Book Antiqua" w:cs="Book Antiqua"/>
          <w:color w:val="000000" w:themeColor="text1"/>
          <w:vertAlign w:val="superscript"/>
          <w14:textFill>
            <w14:solidFill>
              <w14:schemeClr w14:val="tx1"/>
            </w14:solidFill>
          </w14:textFill>
        </w:rPr>
        <w:t>[5]</w:t>
      </w:r>
      <w:r>
        <w:rPr>
          <w:rFonts w:ascii="Book Antiqua" w:hAnsi="Book Antiqua" w:eastAsia="Book Antiqua" w:cs="Book Antiqua"/>
          <w:color w:val="000000" w:themeColor="text1"/>
          <w14:textFill>
            <w14:solidFill>
              <w14:schemeClr w14:val="tx1"/>
            </w14:solidFill>
          </w14:textFill>
        </w:rPr>
        <w:t xml:space="preserve">. Radiographic findings of PE have been extensively documented but are frequently nonspecific, </w:t>
      </w:r>
      <w:r>
        <w:rPr>
          <w:rFonts w:ascii="Book Antiqua" w:hAnsi="Book Antiqua" w:eastAsia="Book Antiqua" w:cs="Book Antiqua"/>
          <w:i/>
          <w:color w:val="000000" w:themeColor="text1"/>
          <w14:textFill>
            <w14:solidFill>
              <w14:schemeClr w14:val="tx1"/>
            </w14:solidFill>
          </w14:textFill>
        </w:rPr>
        <w:t>i.e.</w:t>
      </w:r>
      <w:r>
        <w:rPr>
          <w:rFonts w:ascii="Book Antiqua" w:hAnsi="Book Antiqua" w:eastAsia="Book Antiqua" w:cs="Book Antiqua"/>
          <w:color w:val="000000" w:themeColor="text1"/>
          <w14:textFill>
            <w14:solidFill>
              <w14:schemeClr w14:val="tx1"/>
            </w14:solidFill>
          </w14:textFill>
        </w:rPr>
        <w:t xml:space="preserve"> normal findings, focal oligemia, pleural effusion, variable zones of atelectasis, pulmonary consolidations, large hilar vessels, and elevated hemi diaphragm</w:t>
      </w:r>
      <w:r>
        <w:rPr>
          <w:rFonts w:ascii="Book Antiqua" w:hAnsi="Book Antiqua" w:eastAsia="Book Antiqua" w:cs="Book Antiqua"/>
          <w:color w:val="000000" w:themeColor="text1"/>
          <w:vertAlign w:val="superscript"/>
          <w14:textFill>
            <w14:solidFill>
              <w14:schemeClr w14:val="tx1"/>
            </w14:solidFill>
          </w14:textFill>
        </w:rPr>
        <w:t>[6]</w:t>
      </w:r>
      <w:r>
        <w:rPr>
          <w:rFonts w:ascii="Book Antiqua" w:hAnsi="Book Antiqua" w:eastAsia="Book Antiqua" w:cs="Book Antiqua"/>
          <w:color w:val="000000" w:themeColor="text1"/>
          <w14:textFill>
            <w14:solidFill>
              <w14:schemeClr w14:val="tx1"/>
            </w14:solidFill>
          </w14:textFill>
        </w:rPr>
        <w:t xml:space="preserve">. </w:t>
      </w:r>
      <w:r>
        <w:rPr>
          <w:rFonts w:ascii="Book Antiqua" w:hAnsi="Book Antiqua" w:eastAsia="Book Antiqua" w:cs="Book Antiqua"/>
          <w:color w:val="000000"/>
        </w:rPr>
        <w:t xml:space="preserve">Airspace consolidation may result from infarction and actual necrosis of the lung tissue but more commonly occurs from "incomplete infarction" and </w:t>
      </w:r>
      <w:r>
        <w:rPr>
          <w:rFonts w:ascii="Book Antiqua" w:hAnsi="Book Antiqua" w:eastAsia="Book Antiqua" w:cs="Book Antiqua"/>
          <w:color w:val="000000" w:themeColor="text1"/>
          <w14:textFill>
            <w14:solidFill>
              <w14:schemeClr w14:val="tx1"/>
            </w14:solidFill>
          </w14:textFill>
        </w:rPr>
        <w:t>hemorrhage into the air spaces, and the size of infarction can vary from barely perceptible to 10 cm in diameter</w:t>
      </w:r>
      <w:r>
        <w:rPr>
          <w:rFonts w:ascii="Book Antiqua" w:hAnsi="Book Antiqua" w:eastAsia="Book Antiqua" w:cs="Book Antiqua"/>
          <w:color w:val="000000" w:themeColor="text1"/>
          <w:vertAlign w:val="superscript"/>
          <w14:textFill>
            <w14:solidFill>
              <w14:schemeClr w14:val="tx1"/>
            </w14:solidFill>
          </w14:textFill>
        </w:rPr>
        <w:t>[7]</w:t>
      </w:r>
      <w:r>
        <w:rPr>
          <w:rFonts w:ascii="Book Antiqua" w:hAnsi="Book Antiqua" w:eastAsia="Book Antiqua" w:cs="Book Antiqua"/>
          <w:color w:val="000000" w:themeColor="text1"/>
          <w14:textFill>
            <w14:solidFill>
              <w14:schemeClr w14:val="tx1"/>
            </w14:solidFill>
          </w14:textFill>
        </w:rPr>
        <w:t>. Elevated D-dimer with PE probability scoring from the 1</w:t>
      </w:r>
      <w:r>
        <w:rPr>
          <w:rFonts w:ascii="Book Antiqua" w:hAnsi="Book Antiqua" w:eastAsia="Book Antiqua" w:cs="Book Antiqua"/>
          <w:color w:val="000000" w:themeColor="text1"/>
          <w:vertAlign w:val="superscript"/>
          <w14:textFill>
            <w14:solidFill>
              <w14:schemeClr w14:val="tx1"/>
            </w14:solidFill>
          </w14:textFill>
        </w:rPr>
        <w:t>st</w:t>
      </w:r>
      <w:r>
        <w:rPr>
          <w:rFonts w:ascii="Book Antiqua" w:hAnsi="Book Antiqua" w:eastAsia="Book Antiqua" w:cs="Book Antiqua"/>
          <w:color w:val="000000" w:themeColor="text1"/>
          <w14:textFill>
            <w14:solidFill>
              <w14:schemeClr w14:val="tx1"/>
            </w14:solidFill>
          </w14:textFill>
        </w:rPr>
        <w:t xml:space="preserve"> d of treatment may help to make a decision regarding CTPA. But D-dimer can also be elevated in pneumonia and sepsis along with another inflammatory marker. This elevated D-dimer is associated with intensive care unit admission and increased 30-d mortality</w:t>
      </w:r>
      <w:r>
        <w:rPr>
          <w:rFonts w:ascii="Book Antiqua" w:hAnsi="Book Antiqua" w:eastAsia="Book Antiqua" w:cs="Book Antiqua"/>
          <w:color w:val="000000" w:themeColor="text1"/>
          <w:vertAlign w:val="superscript"/>
          <w14:textFill>
            <w14:solidFill>
              <w14:schemeClr w14:val="tx1"/>
            </w14:solidFill>
          </w14:textFill>
        </w:rPr>
        <w:t>[8]</w:t>
      </w:r>
      <w:r>
        <w:rPr>
          <w:rFonts w:ascii="Book Antiqua" w:hAnsi="Book Antiqua" w:eastAsia="Book Antiqua" w:cs="Book Antiqua"/>
          <w:color w:val="000000" w:themeColor="text1"/>
          <w14:textFill>
            <w14:solidFill>
              <w14:schemeClr w14:val="tx1"/>
            </w14:solidFill>
          </w14:textFill>
        </w:rPr>
        <w:t>. ECG changes like right ventricular strain, S1Q3T3 pattern, right bundle branch block, and atrial fibrillation can also be seen in community-acquired pneumonia</w:t>
      </w:r>
      <w:r>
        <w:rPr>
          <w:rFonts w:ascii="Book Antiqua" w:hAnsi="Book Antiqua" w:eastAsia="Book Antiqua" w:cs="Book Antiqua"/>
          <w:color w:val="000000"/>
          <w:vertAlign w:val="superscript"/>
        </w:rPr>
        <w:t>[9]</w:t>
      </w:r>
      <w:r>
        <w:rPr>
          <w:rFonts w:ascii="Book Antiqua" w:hAnsi="Book Antiqua" w:eastAsia="Book Antiqua" w:cs="Book Antiqua"/>
          <w:color w:val="000000"/>
        </w:rPr>
        <w:t xml:space="preserve">. </w:t>
      </w:r>
    </w:p>
    <w:p>
      <w:pPr>
        <w:spacing w:line="360" w:lineRule="auto"/>
        <w:ind w:firstLine="480" w:firstLineChars="200"/>
        <w:jc w:val="both"/>
        <w:rPr>
          <w:rFonts w:ascii="Book Antiqua" w:hAnsi="Book Antiqua" w:eastAsia="Book Antiqua" w:cs="Book Antiqua"/>
          <w:color w:val="C0504D" w:themeColor="accent2"/>
          <w14:textFill>
            <w14:solidFill>
              <w14:schemeClr w14:val="accent2"/>
            </w14:solidFill>
          </w14:textFill>
        </w:rPr>
      </w:pPr>
      <w:r>
        <w:rPr>
          <w:rFonts w:ascii="Book Antiqua" w:hAnsi="Book Antiqua" w:eastAsia="Book Antiqua" w:cs="Book Antiqua"/>
          <w:color w:val="000000" w:themeColor="text1"/>
          <w14:textFill>
            <w14:solidFill>
              <w14:schemeClr w14:val="tx1"/>
            </w14:solidFill>
          </w14:textFill>
        </w:rPr>
        <w:t>In the initial clinical evaluation of this case, there was no sign of DVT, and on the 1</w:t>
      </w:r>
      <w:r>
        <w:rPr>
          <w:rFonts w:ascii="Book Antiqua" w:hAnsi="Book Antiqua" w:eastAsia="Book Antiqua" w:cs="Book Antiqua"/>
          <w:color w:val="000000" w:themeColor="text1"/>
          <w:vertAlign w:val="superscript"/>
          <w14:textFill>
            <w14:solidFill>
              <w14:schemeClr w14:val="tx1"/>
            </w14:solidFill>
          </w14:textFill>
        </w:rPr>
        <w:t>st</w:t>
      </w:r>
      <w:r>
        <w:rPr>
          <w:rFonts w:ascii="Book Antiqua" w:hAnsi="Book Antiqua" w:eastAsia="Book Antiqua" w:cs="Book Antiqua"/>
          <w:color w:val="000000" w:themeColor="text1"/>
          <w14:textFill>
            <w14:solidFill>
              <w14:schemeClr w14:val="tx1"/>
            </w14:solidFill>
          </w14:textFill>
        </w:rPr>
        <w:t xml:space="preserve"> d, Well's score was only 1.5 (low probability for PE). Bedside echocardiography is usually performed and helps to detect early signs of PE like enlarged right ventricular size with reduced functionality, abnormal septal wall movement, and tricuspid regurgitation. Right ventricular thrombi can be visualized in echocardiography, similar to our case, and usually signify a poor prognosis</w:t>
      </w:r>
      <w:r>
        <w:rPr>
          <w:rFonts w:ascii="Book Antiqua" w:hAnsi="Book Antiqua" w:eastAsia="Book Antiqua" w:cs="Book Antiqua"/>
          <w:color w:val="000000" w:themeColor="text1"/>
          <w:vertAlign w:val="superscript"/>
          <w14:textFill>
            <w14:solidFill>
              <w14:schemeClr w14:val="tx1"/>
            </w14:solidFill>
          </w14:textFill>
        </w:rPr>
        <w:t>[10]</w:t>
      </w:r>
      <w:r>
        <w:rPr>
          <w:rFonts w:ascii="Book Antiqua" w:hAnsi="Book Antiqua" w:eastAsia="Book Antiqua" w:cs="Book Antiqua"/>
          <w:color w:val="000000" w:themeColor="text1"/>
          <w14:textFill>
            <w14:solidFill>
              <w14:schemeClr w14:val="tx1"/>
            </w14:solidFill>
          </w14:textFill>
        </w:rPr>
        <w:t xml:space="preserve">. A timely CT pulmonary angiography helps confirm the diagnosis. Secondly, there are large-scale autopsy studies, including 1455 cases, which demonstrated concomitant presentation of PE and pneumonia, and out of 54 patients identified with anatomically major PE at autopsy, only 30% had correct ante-mortem diagnosis. However, the accuracy was more pronounced in postoperative patients. In 80% </w:t>
      </w:r>
      <w:r>
        <w:rPr>
          <w:rFonts w:ascii="Book Antiqua" w:hAnsi="Book Antiqua" w:eastAsia="MS Mincho" w:cs="Book Antiqua"/>
          <w:color w:val="000000" w:themeColor="text1"/>
          <w:lang w:eastAsia="ja-JP"/>
          <w14:textFill>
            <w14:solidFill>
              <w14:schemeClr w14:val="tx1"/>
            </w14:solidFill>
          </w14:textFill>
        </w:rPr>
        <w:t>of</w:t>
      </w:r>
      <w:r>
        <w:rPr>
          <w:rFonts w:ascii="Book Antiqua" w:hAnsi="Book Antiqua" w:eastAsia="Book Antiqua" w:cs="Book Antiqua"/>
          <w:color w:val="000000" w:themeColor="text1"/>
          <w14:textFill>
            <w14:solidFill>
              <w14:schemeClr w14:val="tx1"/>
            </w14:solidFill>
          </w14:textFill>
        </w:rPr>
        <w:t xml:space="preserve"> cases in which lung scanning and pulmonary angiography were examined, there was an increased tendency for a correct diagnosis of PE. Among 21 patients with autopsy-proved major PE who also had pneumonia, PE was not diagnosed before death, indicating the importance of this discussion</w:t>
      </w:r>
      <w:r>
        <w:rPr>
          <w:rFonts w:ascii="Book Antiqua" w:hAnsi="Book Antiqua" w:eastAsia="Book Antiqua" w:cs="Book Antiqua"/>
          <w:color w:val="000000" w:themeColor="text1"/>
          <w:vertAlign w:val="superscript"/>
          <w14:textFill>
            <w14:solidFill>
              <w14:schemeClr w14:val="tx1"/>
            </w14:solidFill>
          </w14:textFill>
        </w:rPr>
        <w:t>[11]</w:t>
      </w:r>
      <w:r>
        <w:rPr>
          <w:rFonts w:ascii="Book Antiqua" w:hAnsi="Book Antiqua" w:eastAsia="Book Antiqua" w:cs="Book Antiqua"/>
          <w:color w:val="000000" w:themeColor="text1"/>
          <w14:textFill>
            <w14:solidFill>
              <w14:schemeClr w14:val="tx1"/>
            </w14:solidFill>
          </w14:textFill>
        </w:rPr>
        <w:t>. Both hereditary and acquired conditions can increase the risk of venous thromboembolism (VTE). Published guidelines of various bodies recommend screening for thrombophilia in some selected patients with unprovoked VTE. Various guidelines and committees recommended not testing thrombophilia in provoked VTE. Compared to provoked, unprovoked VTE has an estimated 30% 5-year recurrence risk when the patient is off anticoagulation</w:t>
      </w:r>
      <w:r>
        <w:rPr>
          <w:rFonts w:ascii="Book Antiqua" w:hAnsi="Book Antiqua" w:eastAsia="Book Antiqua" w:cs="Book Antiqua"/>
          <w:color w:val="000000" w:themeColor="text1"/>
          <w:vertAlign w:val="superscript"/>
          <w14:textFill>
            <w14:solidFill>
              <w14:schemeClr w14:val="tx1"/>
            </w14:solidFill>
          </w14:textFill>
        </w:rPr>
        <w:t>[12]</w:t>
      </w:r>
      <w:r>
        <w:rPr>
          <w:rFonts w:ascii="Book Antiqua" w:hAnsi="Book Antiqua" w:eastAsia="Book Antiqua" w:cs="Book Antiqua"/>
          <w:color w:val="000000" w:themeColor="text1"/>
          <w14:textFill>
            <w14:solidFill>
              <w14:schemeClr w14:val="tx1"/>
            </w14:solidFill>
          </w14:textFill>
        </w:rPr>
        <w:t xml:space="preserve">. Five disorders of anticoagulation system factor: V G1691A "Leiden" mutation (FVL), prothrombin G2021A mutation (PGM), deficiency of natural anticoagulant protein C and protein S (PS), and antithrombin (AT) deficiency have been called the "classic thrombophilias" </w:t>
      </w:r>
      <w:r>
        <w:rPr>
          <w:rFonts w:ascii="Book Antiqua" w:hAnsi="Book Antiqua" w:eastAsia="Book Antiqua" w:cs="Book Antiqua"/>
          <w:color w:val="000000" w:themeColor="text1"/>
          <w:vertAlign w:val="superscript"/>
          <w14:textFill>
            <w14:solidFill>
              <w14:schemeClr w14:val="tx1"/>
            </w14:solidFill>
          </w14:textFill>
        </w:rPr>
        <w:t>[13]</w:t>
      </w:r>
      <w:r>
        <w:rPr>
          <w:rFonts w:ascii="Book Antiqua" w:hAnsi="Book Antiqua" w:eastAsia="Book Antiqua" w:cs="Book Antiqua"/>
          <w:color w:val="000000" w:themeColor="text1"/>
          <w14:textFill>
            <w14:solidFill>
              <w14:schemeClr w14:val="tx1"/>
            </w14:solidFill>
          </w14:textFill>
        </w:rPr>
        <w:t>. In addition to the above-mentioned classic thrombophilia, there are many inherited mutations like homocysteine metabolism, von Willebrand factor, overactivity of factor VIII, abnormal factor IX, XI, and fibrinogen</w:t>
      </w:r>
      <w:r>
        <w:rPr>
          <w:rFonts w:ascii="Book Antiqua" w:hAnsi="Book Antiqua" w:eastAsia="Book Antiqua" w:cs="Book Antiqua"/>
          <w:color w:val="000000" w:themeColor="text1"/>
          <w:vertAlign w:val="superscript"/>
          <w14:textFill>
            <w14:solidFill>
              <w14:schemeClr w14:val="tx1"/>
            </w14:solidFill>
          </w14:textFill>
        </w:rPr>
        <w:t>[14]</w:t>
      </w:r>
      <w:r>
        <w:rPr>
          <w:rFonts w:ascii="Book Antiqua" w:hAnsi="Book Antiqua" w:eastAsia="Book Antiqua" w:cs="Book Antiqua"/>
          <w:color w:val="000000" w:themeColor="text1"/>
          <w14:textFill>
            <w14:solidFill>
              <w14:schemeClr w14:val="tx1"/>
            </w14:solidFill>
          </w14:textFill>
        </w:rPr>
        <w:t>. Performing thrombophilia testing in acute thrombosis and patients already on anticoagulant medication is technically challenging. Loss of function of PS, PC, and AT is influenced by anticoagulation and acute thrombosis</w:t>
      </w:r>
      <w:r>
        <w:rPr>
          <w:rFonts w:ascii="Book Antiqua" w:hAnsi="Book Antiqua" w:eastAsia="Book Antiqua" w:cs="Book Antiqua"/>
          <w:color w:val="000000" w:themeColor="text1"/>
          <w:vertAlign w:val="superscript"/>
          <w14:textFill>
            <w14:solidFill>
              <w14:schemeClr w14:val="tx1"/>
            </w14:solidFill>
          </w14:textFill>
        </w:rPr>
        <w:t>[15]</w:t>
      </w:r>
      <w:r>
        <w:rPr>
          <w:rFonts w:ascii="Book Antiqua" w:hAnsi="Book Antiqua" w:eastAsia="Book Antiqua" w:cs="Book Antiqua"/>
          <w:color w:val="000000" w:themeColor="text1"/>
          <w14:textFill>
            <w14:solidFill>
              <w14:schemeClr w14:val="tx1"/>
            </w14:solidFill>
          </w14:textFill>
        </w:rPr>
        <w:t>. Testing the genotypic abnormality is only available in specific centers and only for a few conditions. In acute VTE situations, due to the possibility of unreliable results, it is best to avoid testing for natural anticoagulation deficiency like AT, PC, and PS. Hereditary thrombophilia testing in large case-controlled registry data has found limited utility in predicting the risk of recurrence of unprovoked VTE</w:t>
      </w:r>
      <w:r>
        <w:rPr>
          <w:rFonts w:ascii="Book Antiqua" w:hAnsi="Book Antiqua" w:eastAsia="Book Antiqua" w:cs="Book Antiqua"/>
          <w:color w:val="000000" w:themeColor="text1"/>
          <w:vertAlign w:val="superscript"/>
          <w14:textFill>
            <w14:solidFill>
              <w14:schemeClr w14:val="tx1"/>
            </w14:solidFill>
          </w14:textFill>
        </w:rPr>
        <w:t>[16]</w:t>
      </w:r>
      <w:r>
        <w:rPr>
          <w:rFonts w:ascii="Book Antiqua" w:hAnsi="Book Antiqua" w:eastAsia="Book Antiqua" w:cs="Book Antiqua"/>
          <w:color w:val="000000" w:themeColor="text1"/>
          <w14:textFill>
            <w14:solidFill>
              <w14:schemeClr w14:val="tx1"/>
            </w14:solidFill>
          </w14:textFill>
        </w:rPr>
        <w:t>. Considering limited data, the 10</w:t>
      </w:r>
      <w:r>
        <w:rPr>
          <w:rFonts w:ascii="Book Antiqua" w:hAnsi="Book Antiqua" w:eastAsia="Book Antiqua" w:cs="Book Antiqua"/>
          <w:color w:val="000000" w:themeColor="text1"/>
          <w:vertAlign w:val="superscript"/>
          <w14:textFill>
            <w14:solidFill>
              <w14:schemeClr w14:val="tx1"/>
            </w14:solidFill>
          </w14:textFill>
        </w:rPr>
        <w:t>th</w:t>
      </w:r>
      <w:r>
        <w:rPr>
          <w:rFonts w:ascii="Book Antiqua" w:hAnsi="Book Antiqua" w:eastAsia="Book Antiqua" w:cs="Book Antiqua"/>
          <w:color w:val="000000" w:themeColor="text1"/>
          <w14:textFill>
            <w14:solidFill>
              <w14:schemeClr w14:val="tx1"/>
            </w14:solidFill>
          </w14:textFill>
        </w:rPr>
        <w:t xml:space="preserve"> American College of Chest Physicians guideline and others recommend extended anticoagulation in all cases unless the risk of bleeding is unacceptably high</w:t>
      </w:r>
      <w:r>
        <w:rPr>
          <w:rFonts w:ascii="Book Antiqua" w:hAnsi="Book Antiqua" w:eastAsia="Book Antiqua" w:cs="Book Antiqua"/>
          <w:color w:val="000000" w:themeColor="text1"/>
          <w:vertAlign w:val="superscript"/>
          <w14:textFill>
            <w14:solidFill>
              <w14:schemeClr w14:val="tx1"/>
            </w14:solidFill>
          </w14:textFill>
        </w:rPr>
        <w:t>[17]</w:t>
      </w:r>
      <w:r>
        <w:rPr>
          <w:rFonts w:ascii="Book Antiqua" w:hAnsi="Book Antiqua" w:eastAsia="Book Antiqua" w:cs="Book Antiqua"/>
          <w:color w:val="000000" w:themeColor="text1"/>
          <w14:textFill>
            <w14:solidFill>
              <w14:schemeClr w14:val="tx1"/>
            </w14:solidFill>
          </w14:textFill>
        </w:rPr>
        <w:t xml:space="preserve">. In situations where thrombophilia testing is required, a two-step approach is better. First-line testing of FVL, PGM, cardiolipin, and beta–2 glycoprotein-1 antibodies are tested before stopping anticoagulation. If these tests are normal, anticoagulation can be discontinued, and remaining thrombophilia tests like Lupus anticoagulant, PC, PS, and AT are performed. Due to limited evidence recommendation, financial limitations, lack of in-house availability, and COVID-19 pandemic logistic issues, we did not test thrombophilia in this case. As the patient had some clinical and radiological improvement with antibiotics, the PE diagnosis was delayed. Hypoxia that is out of proportion to clinical-radiological assessment is the key to early detection of PE, as in the present case.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 xml:space="preserve">PE and pneumonia share common clinical, radiological, and laboratory findings that may delay PE diagnosis. Our case suggests that persisting hypoxia, even after clinical and radiological improvement, even during the peak of the COVID pandemic, and hypoxia disproportionate to the extent of radiological involvement could be an indicator of an underlying PE.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bookmarkStart w:id="186" w:name="OLE_LINK9"/>
      <w:bookmarkStart w:id="187" w:name="OLE_LINK8"/>
      <w:r>
        <w:rPr>
          <w:rFonts w:ascii="Book Antiqua" w:hAnsi="Book Antiqua"/>
        </w:rPr>
        <w:t xml:space="preserve">1 </w:t>
      </w:r>
      <w:r>
        <w:rPr>
          <w:rFonts w:ascii="Book Antiqua" w:hAnsi="Book Antiqua"/>
          <w:b/>
          <w:bCs/>
        </w:rPr>
        <w:t>Smeeth L</w:t>
      </w:r>
      <w:r>
        <w:rPr>
          <w:rFonts w:ascii="Book Antiqua" w:hAnsi="Book Antiqua"/>
        </w:rPr>
        <w:t xml:space="preserve">, Cook C, Thomas S, Hall AJ, Hubbard R, Vallance P. Risk of deep vein thrombosis and pulmonary embolism after acute infection in a community setting. </w:t>
      </w:r>
      <w:r>
        <w:rPr>
          <w:rFonts w:ascii="Book Antiqua" w:hAnsi="Book Antiqua"/>
          <w:i/>
          <w:iCs/>
        </w:rPr>
        <w:t>Lancet</w:t>
      </w:r>
      <w:r>
        <w:rPr>
          <w:rFonts w:ascii="Book Antiqua" w:hAnsi="Book Antiqua"/>
        </w:rPr>
        <w:t xml:space="preserve"> 2006; </w:t>
      </w:r>
      <w:r>
        <w:rPr>
          <w:rFonts w:ascii="Book Antiqua" w:hAnsi="Book Antiqua"/>
          <w:b/>
          <w:bCs/>
        </w:rPr>
        <w:t>367</w:t>
      </w:r>
      <w:r>
        <w:rPr>
          <w:rFonts w:ascii="Book Antiqua" w:hAnsi="Book Antiqua"/>
        </w:rPr>
        <w:t>: 1075-1079 [PMID: 16581406 DOI: 10.1016/S0140-6736(06)68474-2]</w:t>
      </w:r>
    </w:p>
    <w:p>
      <w:pPr>
        <w:spacing w:line="360" w:lineRule="auto"/>
        <w:jc w:val="both"/>
        <w:rPr>
          <w:rFonts w:ascii="Book Antiqua" w:hAnsi="Book Antiqua"/>
        </w:rPr>
      </w:pPr>
      <w:r>
        <w:rPr>
          <w:rFonts w:ascii="Book Antiqua" w:hAnsi="Book Antiqua"/>
        </w:rPr>
        <w:t xml:space="preserve">2 </w:t>
      </w:r>
      <w:r>
        <w:rPr>
          <w:rFonts w:ascii="Book Antiqua" w:hAnsi="Book Antiqua"/>
          <w:b/>
          <w:bCs/>
        </w:rPr>
        <w:t>Jamal AJ,</w:t>
      </w:r>
      <w:r>
        <w:rPr>
          <w:rFonts w:ascii="Book Antiqua" w:hAnsi="Book Antiqua"/>
        </w:rPr>
        <w:t xml:space="preserve"> Mozafarihashjin M, Coomes E, Powis J, Li AX, Paterson A, Anceva-Sami S, Barati S, Crowl G, Faheem A, Farooqi L, Khan S, Prost K, Poutanen S, Taylor M, Yip L, Zhong XZ, McGeer AJ, Mubareka S; Toronto Invasive Bacterial Diseases Network COVID-19 Investigators. Sensitivity of Nasopharyngeal Swabs and Saliva for the Detection of Severe Acute Respiratory Syndrome Coronavirus 2. </w:t>
      </w:r>
      <w:r>
        <w:rPr>
          <w:rFonts w:ascii="Book Antiqua" w:hAnsi="Book Antiqua"/>
          <w:i/>
        </w:rPr>
        <w:t>Clin Infect Dis</w:t>
      </w:r>
      <w:r>
        <w:rPr>
          <w:rFonts w:ascii="Book Antiqua" w:hAnsi="Book Antiqua"/>
        </w:rPr>
        <w:t xml:space="preserve"> 2021;</w:t>
      </w:r>
      <w:r>
        <w:rPr>
          <w:rFonts w:ascii="Book Antiqua" w:hAnsi="Book Antiqua"/>
          <w:b/>
        </w:rPr>
        <w:t xml:space="preserve"> 72: </w:t>
      </w:r>
      <w:r>
        <w:rPr>
          <w:rFonts w:ascii="Book Antiqua" w:hAnsi="Book Antiqua"/>
        </w:rPr>
        <w:t>1064-1066 [DOI: 10.1093/cid/ciaa848]</w:t>
      </w:r>
    </w:p>
    <w:p>
      <w:pPr>
        <w:spacing w:line="360" w:lineRule="auto"/>
        <w:jc w:val="both"/>
        <w:rPr>
          <w:rFonts w:ascii="Book Antiqua" w:hAnsi="Book Antiqua"/>
        </w:rPr>
      </w:pPr>
      <w:r>
        <w:rPr>
          <w:rFonts w:ascii="Book Antiqua" w:hAnsi="Book Antiqua"/>
        </w:rPr>
        <w:t xml:space="preserve">3 </w:t>
      </w:r>
      <w:r>
        <w:rPr>
          <w:rFonts w:ascii="Book Antiqua" w:hAnsi="Book Antiqua"/>
          <w:b/>
          <w:bCs/>
        </w:rPr>
        <w:t>Müller B</w:t>
      </w:r>
      <w:r>
        <w:rPr>
          <w:rFonts w:ascii="Book Antiqua" w:hAnsi="Book Antiqua"/>
        </w:rPr>
        <w:t xml:space="preserve">, Harbarth S, Stolz D, Bingisser R, Mueller C, Leuppi J, Nusbaumer C, Tamm M, Christ-Crain M. Diagnostic and prognostic accuracy of clinical and laboratory parameters in community-acquired pneumonia. </w:t>
      </w:r>
      <w:r>
        <w:rPr>
          <w:rFonts w:ascii="Book Antiqua" w:hAnsi="Book Antiqua"/>
          <w:i/>
          <w:iCs/>
        </w:rPr>
        <w:t>BMC Infect Dis</w:t>
      </w:r>
      <w:r>
        <w:rPr>
          <w:rFonts w:ascii="Book Antiqua" w:hAnsi="Book Antiqua"/>
        </w:rPr>
        <w:t xml:space="preserve"> 2007; </w:t>
      </w:r>
      <w:r>
        <w:rPr>
          <w:rFonts w:ascii="Book Antiqua" w:hAnsi="Book Antiqua"/>
          <w:b/>
          <w:bCs/>
        </w:rPr>
        <w:t>7</w:t>
      </w:r>
      <w:r>
        <w:rPr>
          <w:rFonts w:ascii="Book Antiqua" w:hAnsi="Book Antiqua"/>
        </w:rPr>
        <w:t>: 10 [PMID: 17335562 DOI: 10.1186/1471-2334-7-10]</w:t>
      </w:r>
    </w:p>
    <w:p>
      <w:pPr>
        <w:spacing w:line="360" w:lineRule="auto"/>
        <w:jc w:val="both"/>
        <w:rPr>
          <w:rFonts w:ascii="Book Antiqua" w:hAnsi="Book Antiqua"/>
        </w:rPr>
      </w:pPr>
      <w:r>
        <w:rPr>
          <w:rFonts w:ascii="Book Antiqua" w:hAnsi="Book Antiqua"/>
        </w:rPr>
        <w:t xml:space="preserve">4 </w:t>
      </w:r>
      <w:r>
        <w:rPr>
          <w:rFonts w:ascii="Book Antiqua" w:hAnsi="Book Antiqua"/>
          <w:b/>
          <w:bCs/>
        </w:rPr>
        <w:t>Murray HW</w:t>
      </w:r>
      <w:r>
        <w:rPr>
          <w:rFonts w:ascii="Book Antiqua" w:hAnsi="Book Antiqua"/>
        </w:rPr>
        <w:t xml:space="preserve">, Ellis GC, Blumenthal DS, Sos TA. Fever and pulmonary thromboembolism. </w:t>
      </w:r>
      <w:r>
        <w:rPr>
          <w:rFonts w:ascii="Book Antiqua" w:hAnsi="Book Antiqua"/>
          <w:i/>
          <w:iCs/>
        </w:rPr>
        <w:t>Am J Med</w:t>
      </w:r>
      <w:r>
        <w:rPr>
          <w:rFonts w:ascii="Book Antiqua" w:hAnsi="Book Antiqua"/>
        </w:rPr>
        <w:t xml:space="preserve"> 1979; </w:t>
      </w:r>
      <w:r>
        <w:rPr>
          <w:rFonts w:ascii="Book Antiqua" w:hAnsi="Book Antiqua"/>
          <w:b/>
          <w:bCs/>
        </w:rPr>
        <w:t>67</w:t>
      </w:r>
      <w:r>
        <w:rPr>
          <w:rFonts w:ascii="Book Antiqua" w:hAnsi="Book Antiqua"/>
        </w:rPr>
        <w:t>: 232-235 [PMID: 463928 DOI: 10.1016/0002-9343(79)90396-6]</w:t>
      </w:r>
    </w:p>
    <w:p>
      <w:pPr>
        <w:spacing w:line="360" w:lineRule="auto"/>
        <w:jc w:val="both"/>
        <w:rPr>
          <w:rFonts w:ascii="Book Antiqua" w:hAnsi="Book Antiqua"/>
        </w:rPr>
      </w:pPr>
      <w:r>
        <w:rPr>
          <w:rFonts w:ascii="Book Antiqua" w:hAnsi="Book Antiqua"/>
        </w:rPr>
        <w:t xml:space="preserve">5 </w:t>
      </w:r>
      <w:r>
        <w:rPr>
          <w:rFonts w:ascii="Book Antiqua" w:hAnsi="Book Antiqua"/>
          <w:b/>
          <w:bCs/>
        </w:rPr>
        <w:t>Elliott CG</w:t>
      </w:r>
      <w:r>
        <w:rPr>
          <w:rFonts w:ascii="Book Antiqua" w:hAnsi="Book Antiqua"/>
        </w:rPr>
        <w:t xml:space="preserve">, Goldhaber SZ, Visani L, DeRosa M. Chest radiographs in acute pulmonary embolism. Results from the International Cooperative Pulmonary Embolism Registry. </w:t>
      </w:r>
      <w:r>
        <w:rPr>
          <w:rFonts w:ascii="Book Antiqua" w:hAnsi="Book Antiqua"/>
          <w:i/>
          <w:iCs/>
        </w:rPr>
        <w:t>Chest</w:t>
      </w:r>
      <w:r>
        <w:rPr>
          <w:rFonts w:ascii="Book Antiqua" w:hAnsi="Book Antiqua"/>
        </w:rPr>
        <w:t xml:space="preserve"> 2000; </w:t>
      </w:r>
      <w:r>
        <w:rPr>
          <w:rFonts w:ascii="Book Antiqua" w:hAnsi="Book Antiqua"/>
          <w:b/>
          <w:bCs/>
        </w:rPr>
        <w:t>118</w:t>
      </w:r>
      <w:r>
        <w:rPr>
          <w:rFonts w:ascii="Book Antiqua" w:hAnsi="Book Antiqua"/>
        </w:rPr>
        <w:t>: 33-38 [PMID: 10893356 DOI: 10.1378/chest.118.1.33]</w:t>
      </w:r>
    </w:p>
    <w:p>
      <w:pPr>
        <w:spacing w:line="360" w:lineRule="auto"/>
        <w:jc w:val="both"/>
        <w:rPr>
          <w:rFonts w:ascii="Book Antiqua" w:hAnsi="Book Antiqua"/>
        </w:rPr>
      </w:pPr>
      <w:r>
        <w:rPr>
          <w:rFonts w:ascii="Book Antiqua" w:hAnsi="Book Antiqua"/>
        </w:rPr>
        <w:t xml:space="preserve">6 </w:t>
      </w:r>
      <w:r>
        <w:rPr>
          <w:rFonts w:ascii="Book Antiqua" w:hAnsi="Book Antiqua"/>
          <w:b/>
          <w:bCs/>
        </w:rPr>
        <w:t>Jacoby CG</w:t>
      </w:r>
      <w:r>
        <w:rPr>
          <w:rFonts w:ascii="Book Antiqua" w:hAnsi="Book Antiqua"/>
        </w:rPr>
        <w:t xml:space="preserve">, Mindell HJ. Lobar consolidation in pulmonary embolism. </w:t>
      </w:r>
      <w:r>
        <w:rPr>
          <w:rFonts w:ascii="Book Antiqua" w:hAnsi="Book Antiqua"/>
          <w:i/>
          <w:iCs/>
        </w:rPr>
        <w:t>Radiology</w:t>
      </w:r>
      <w:r>
        <w:rPr>
          <w:rFonts w:ascii="Book Antiqua" w:hAnsi="Book Antiqua"/>
        </w:rPr>
        <w:t xml:space="preserve"> 1976; </w:t>
      </w:r>
      <w:r>
        <w:rPr>
          <w:rFonts w:ascii="Book Antiqua" w:hAnsi="Book Antiqua"/>
          <w:b/>
          <w:bCs/>
        </w:rPr>
        <w:t>118</w:t>
      </w:r>
      <w:r>
        <w:rPr>
          <w:rFonts w:ascii="Book Antiqua" w:hAnsi="Book Antiqua"/>
        </w:rPr>
        <w:t>: 287-290 [PMID: 1250958 DOI: 10.1148/118.2.287]</w:t>
      </w:r>
    </w:p>
    <w:p>
      <w:pPr>
        <w:spacing w:line="360" w:lineRule="auto"/>
        <w:jc w:val="both"/>
        <w:rPr>
          <w:rFonts w:ascii="Book Antiqua" w:hAnsi="Book Antiqua"/>
        </w:rPr>
      </w:pPr>
      <w:r>
        <w:rPr>
          <w:rFonts w:ascii="Book Antiqua" w:hAnsi="Book Antiqua"/>
        </w:rPr>
        <w:t xml:space="preserve">7 </w:t>
      </w:r>
      <w:r>
        <w:rPr>
          <w:rFonts w:ascii="Book Antiqua" w:hAnsi="Book Antiqua"/>
          <w:b/>
          <w:bCs/>
        </w:rPr>
        <w:t>Kearon C</w:t>
      </w:r>
      <w:r>
        <w:rPr>
          <w:rFonts w:ascii="Book Antiqua" w:hAnsi="Book Antiqua"/>
        </w:rPr>
        <w:t xml:space="preserve">, Hirsh J. The diagnosis of pulmonary embolism. </w:t>
      </w:r>
      <w:r>
        <w:rPr>
          <w:rFonts w:ascii="Book Antiqua" w:hAnsi="Book Antiqua"/>
          <w:i/>
          <w:iCs/>
        </w:rPr>
        <w:t>Haemostasis</w:t>
      </w:r>
      <w:r>
        <w:rPr>
          <w:rFonts w:ascii="Book Antiqua" w:hAnsi="Book Antiqua"/>
        </w:rPr>
        <w:t xml:space="preserve"> 1995; </w:t>
      </w:r>
      <w:r>
        <w:rPr>
          <w:rFonts w:ascii="Book Antiqua" w:hAnsi="Book Antiqua"/>
          <w:b/>
          <w:bCs/>
        </w:rPr>
        <w:t>25</w:t>
      </w:r>
      <w:r>
        <w:rPr>
          <w:rFonts w:ascii="Book Antiqua" w:hAnsi="Book Antiqua"/>
        </w:rPr>
        <w:t>: 72-87 [PMID: 7896225 DOI: 10.1159/000217145]</w:t>
      </w:r>
    </w:p>
    <w:p>
      <w:pPr>
        <w:spacing w:line="360" w:lineRule="auto"/>
        <w:jc w:val="both"/>
        <w:rPr>
          <w:rFonts w:ascii="Book Antiqua" w:hAnsi="Book Antiqua"/>
        </w:rPr>
      </w:pPr>
      <w:r>
        <w:rPr>
          <w:rFonts w:ascii="Book Antiqua" w:hAnsi="Book Antiqua"/>
        </w:rPr>
        <w:t xml:space="preserve">8 </w:t>
      </w:r>
      <w:r>
        <w:rPr>
          <w:rFonts w:ascii="Book Antiqua" w:hAnsi="Book Antiqua"/>
          <w:b/>
          <w:bCs/>
        </w:rPr>
        <w:t>Ge YL</w:t>
      </w:r>
      <w:r>
        <w:rPr>
          <w:rFonts w:ascii="Book Antiqua" w:hAnsi="Book Antiqua"/>
        </w:rPr>
        <w:t xml:space="preserve">, Liu CH, Wang N, Xu J, Zhu XY, Su CS, Li HL, Zhang HF, Li ZZ, Li HL, Zhang X, Chen H, Yu HL, Fu AS, Wang HY. Elevated Plasma D-Dimer in Adult Community-Acquired Pneumonia Patients is Associated with an Increased Inflammatory Reaction and Lower Survival. </w:t>
      </w:r>
      <w:r>
        <w:rPr>
          <w:rFonts w:ascii="Book Antiqua" w:hAnsi="Book Antiqua"/>
          <w:i/>
          <w:iCs/>
        </w:rPr>
        <w:t>Clin Lab</w:t>
      </w:r>
      <w:r>
        <w:rPr>
          <w:rFonts w:ascii="Book Antiqua" w:hAnsi="Book Antiqua"/>
        </w:rPr>
        <w:t xml:space="preserve"> 2019; </w:t>
      </w:r>
      <w:r>
        <w:rPr>
          <w:rFonts w:ascii="Book Antiqua" w:hAnsi="Book Antiqua"/>
          <w:b/>
          <w:bCs/>
        </w:rPr>
        <w:t>65</w:t>
      </w:r>
      <w:r>
        <w:rPr>
          <w:rFonts w:ascii="Book Antiqua" w:hAnsi="Book Antiqua"/>
        </w:rPr>
        <w:t xml:space="preserve"> [PMID: 30775898 DOI: 10.7754/Clin.Lab.2018.180720]</w:t>
      </w:r>
    </w:p>
    <w:p>
      <w:pPr>
        <w:spacing w:line="360" w:lineRule="auto"/>
        <w:jc w:val="both"/>
        <w:rPr>
          <w:rFonts w:ascii="Book Antiqua" w:hAnsi="Book Antiqua"/>
        </w:rPr>
      </w:pPr>
      <w:r>
        <w:rPr>
          <w:rFonts w:ascii="Book Antiqua" w:hAnsi="Book Antiqua"/>
        </w:rPr>
        <w:t xml:space="preserve">9 </w:t>
      </w:r>
      <w:r>
        <w:rPr>
          <w:rFonts w:ascii="Book Antiqua" w:hAnsi="Book Antiqua"/>
          <w:b/>
          <w:bCs/>
        </w:rPr>
        <w:t>Stein PD</w:t>
      </w:r>
      <w:r>
        <w:rPr>
          <w:rFonts w:ascii="Book Antiqua" w:hAnsi="Book Antiqua"/>
        </w:rPr>
        <w:t xml:space="preserve">, Matta F, Ekkah M, Saleh T, Janjua M, Patel YR, Khadra H. Electrocardiogram in pneumonia. </w:t>
      </w:r>
      <w:r>
        <w:rPr>
          <w:rFonts w:ascii="Book Antiqua" w:hAnsi="Book Antiqua"/>
          <w:i/>
          <w:iCs/>
        </w:rPr>
        <w:t>Am J Cardiol</w:t>
      </w:r>
      <w:r>
        <w:rPr>
          <w:rFonts w:ascii="Book Antiqua" w:hAnsi="Book Antiqua"/>
        </w:rPr>
        <w:t xml:space="preserve"> 2012; </w:t>
      </w:r>
      <w:r>
        <w:rPr>
          <w:rFonts w:ascii="Book Antiqua" w:hAnsi="Book Antiqua"/>
          <w:b/>
          <w:bCs/>
        </w:rPr>
        <w:t>110</w:t>
      </w:r>
      <w:r>
        <w:rPr>
          <w:rFonts w:ascii="Book Antiqua" w:hAnsi="Book Antiqua"/>
        </w:rPr>
        <w:t>: 1836-1840 [PMID: 23000104 DOI: 10.1016/j.amjcard.2012.08.019]</w:t>
      </w:r>
    </w:p>
    <w:p>
      <w:pPr>
        <w:spacing w:line="360" w:lineRule="auto"/>
        <w:jc w:val="both"/>
        <w:rPr>
          <w:rFonts w:ascii="Book Antiqua" w:hAnsi="Book Antiqua"/>
        </w:rPr>
      </w:pPr>
      <w:r>
        <w:rPr>
          <w:rFonts w:ascii="Book Antiqua" w:hAnsi="Book Antiqua"/>
        </w:rPr>
        <w:t xml:space="preserve">10 </w:t>
      </w:r>
      <w:r>
        <w:rPr>
          <w:rFonts w:ascii="Book Antiqua" w:hAnsi="Book Antiqua"/>
          <w:b/>
          <w:bCs/>
        </w:rPr>
        <w:t>Payus AO</w:t>
      </w:r>
      <w:r>
        <w:rPr>
          <w:rFonts w:ascii="Book Antiqua" w:hAnsi="Book Antiqua"/>
        </w:rPr>
        <w:t xml:space="preserve">, Rajah R, Febriany DC, Mustafa N. Pulmonary Embolism Masquerading as Severe Pneumonia: A Case Report. </w:t>
      </w:r>
      <w:r>
        <w:rPr>
          <w:rFonts w:ascii="Book Antiqua" w:hAnsi="Book Antiqua"/>
          <w:i/>
          <w:iCs/>
        </w:rPr>
        <w:t>Open Access Maced J Med Sci</w:t>
      </w:r>
      <w:r>
        <w:rPr>
          <w:rFonts w:ascii="Book Antiqua" w:hAnsi="Book Antiqua"/>
        </w:rPr>
        <w:t xml:space="preserve"> 2019; </w:t>
      </w:r>
      <w:r>
        <w:rPr>
          <w:rFonts w:ascii="Book Antiqua" w:hAnsi="Book Antiqua"/>
          <w:b/>
          <w:bCs/>
        </w:rPr>
        <w:t>7</w:t>
      </w:r>
      <w:r>
        <w:rPr>
          <w:rFonts w:ascii="Book Antiqua" w:hAnsi="Book Antiqua"/>
        </w:rPr>
        <w:t>: 396-399 [PMID: 30834009 DOI: 10.3889/oamjms.2019.114]</w:t>
      </w:r>
    </w:p>
    <w:p>
      <w:pPr>
        <w:spacing w:line="360" w:lineRule="auto"/>
        <w:jc w:val="both"/>
        <w:rPr>
          <w:rFonts w:ascii="Book Antiqua" w:hAnsi="Book Antiqua"/>
        </w:rPr>
      </w:pPr>
      <w:r>
        <w:rPr>
          <w:rFonts w:ascii="Book Antiqua" w:hAnsi="Book Antiqua"/>
        </w:rPr>
        <w:t xml:space="preserve">11 </w:t>
      </w:r>
      <w:r>
        <w:rPr>
          <w:rFonts w:ascii="Book Antiqua" w:hAnsi="Book Antiqua"/>
          <w:b/>
          <w:bCs/>
        </w:rPr>
        <w:t>Goldhaber SZ</w:t>
      </w:r>
      <w:r>
        <w:rPr>
          <w:rFonts w:ascii="Book Antiqua" w:hAnsi="Book Antiqua"/>
        </w:rPr>
        <w:t xml:space="preserve">, Hennekens CH, Evans DA, Newton EC, Godleski JJ. Factors associated with correct antemortem diagnosis of major pulmonary embolism. </w:t>
      </w:r>
      <w:r>
        <w:rPr>
          <w:rFonts w:ascii="Book Antiqua" w:hAnsi="Book Antiqua"/>
          <w:i/>
          <w:iCs/>
        </w:rPr>
        <w:t>Am J Med</w:t>
      </w:r>
      <w:r>
        <w:rPr>
          <w:rFonts w:ascii="Book Antiqua" w:hAnsi="Book Antiqua"/>
        </w:rPr>
        <w:t xml:space="preserve"> 1982; </w:t>
      </w:r>
      <w:r>
        <w:rPr>
          <w:rFonts w:ascii="Book Antiqua" w:hAnsi="Book Antiqua"/>
          <w:b/>
          <w:bCs/>
        </w:rPr>
        <w:t>73</w:t>
      </w:r>
      <w:r>
        <w:rPr>
          <w:rFonts w:ascii="Book Antiqua" w:hAnsi="Book Antiqua"/>
        </w:rPr>
        <w:t>: 822-826 [PMID: 7148876 DOI: 10.1016/0002-9343(82)90764-1]</w:t>
      </w:r>
    </w:p>
    <w:p>
      <w:pPr>
        <w:spacing w:line="360" w:lineRule="auto"/>
        <w:jc w:val="both"/>
        <w:rPr>
          <w:rFonts w:ascii="Book Antiqua" w:hAnsi="Book Antiqua"/>
        </w:rPr>
      </w:pPr>
      <w:r>
        <w:rPr>
          <w:rFonts w:ascii="Book Antiqua" w:hAnsi="Book Antiqua"/>
        </w:rPr>
        <w:t xml:space="preserve">12 </w:t>
      </w:r>
      <w:r>
        <w:rPr>
          <w:rFonts w:ascii="Book Antiqua" w:hAnsi="Book Antiqua"/>
          <w:b/>
          <w:bCs/>
        </w:rPr>
        <w:t>Boutitie F</w:t>
      </w:r>
      <w:r>
        <w:rPr>
          <w:rFonts w:ascii="Book Antiqua" w:hAnsi="Book Antiqua"/>
        </w:rPr>
        <w:t xml:space="preserve">, Pinede L, Schulman S, Agnelli G, Raskob G, Julian J, Hirsh J, Kearon C. Influence of preceding length of anticoagulant treatment and initial presentation of venous thromboembolism on risk of recurrence after stopping treatment: analysis of individual participants' data from seven trials. </w:t>
      </w:r>
      <w:r>
        <w:rPr>
          <w:rFonts w:ascii="Book Antiqua" w:hAnsi="Book Antiqua"/>
          <w:i/>
          <w:iCs/>
        </w:rPr>
        <w:t>BMJ</w:t>
      </w:r>
      <w:r>
        <w:rPr>
          <w:rFonts w:ascii="Book Antiqua" w:hAnsi="Book Antiqua"/>
        </w:rPr>
        <w:t xml:space="preserve"> 2011; </w:t>
      </w:r>
      <w:r>
        <w:rPr>
          <w:rFonts w:ascii="Book Antiqua" w:hAnsi="Book Antiqua"/>
          <w:b/>
          <w:bCs/>
        </w:rPr>
        <w:t>342</w:t>
      </w:r>
      <w:r>
        <w:rPr>
          <w:rFonts w:ascii="Book Antiqua" w:hAnsi="Book Antiqua"/>
        </w:rPr>
        <w:t>: d3036 [PMID: 21610040 DOI: 10.1136/bmj.d3036]</w:t>
      </w:r>
    </w:p>
    <w:p>
      <w:pPr>
        <w:spacing w:line="360" w:lineRule="auto"/>
        <w:jc w:val="both"/>
        <w:rPr>
          <w:rFonts w:ascii="Book Antiqua" w:hAnsi="Book Antiqua"/>
        </w:rPr>
      </w:pPr>
      <w:r>
        <w:rPr>
          <w:rFonts w:ascii="Book Antiqua" w:hAnsi="Book Antiqua"/>
        </w:rPr>
        <w:t xml:space="preserve">13 </w:t>
      </w:r>
      <w:r>
        <w:rPr>
          <w:rFonts w:ascii="Book Antiqua" w:hAnsi="Book Antiqua"/>
          <w:b/>
          <w:bCs/>
        </w:rPr>
        <w:t>Mannucci PM</w:t>
      </w:r>
      <w:r>
        <w:rPr>
          <w:rFonts w:ascii="Book Antiqua" w:hAnsi="Book Antiqua"/>
        </w:rPr>
        <w:t xml:space="preserve">, Franchini M. Classic thrombophilic gene variants. </w:t>
      </w:r>
      <w:r>
        <w:rPr>
          <w:rFonts w:ascii="Book Antiqua" w:hAnsi="Book Antiqua"/>
          <w:i/>
          <w:iCs/>
        </w:rPr>
        <w:t>Thromb Haemost</w:t>
      </w:r>
      <w:r>
        <w:rPr>
          <w:rFonts w:ascii="Book Antiqua" w:hAnsi="Book Antiqua"/>
        </w:rPr>
        <w:t xml:space="preserve"> 2015; </w:t>
      </w:r>
      <w:r>
        <w:rPr>
          <w:rFonts w:ascii="Book Antiqua" w:hAnsi="Book Antiqua"/>
          <w:b/>
          <w:bCs/>
        </w:rPr>
        <w:t>114</w:t>
      </w:r>
      <w:r>
        <w:rPr>
          <w:rFonts w:ascii="Book Antiqua" w:hAnsi="Book Antiqua"/>
        </w:rPr>
        <w:t>: 885-889 [PMID: 26018405 DOI: 10.1160/TH15-02-0141]</w:t>
      </w:r>
    </w:p>
    <w:p>
      <w:pPr>
        <w:spacing w:line="360" w:lineRule="auto"/>
        <w:jc w:val="both"/>
        <w:rPr>
          <w:rFonts w:ascii="Book Antiqua" w:hAnsi="Book Antiqua"/>
        </w:rPr>
      </w:pPr>
      <w:r>
        <w:rPr>
          <w:rFonts w:ascii="Book Antiqua" w:hAnsi="Book Antiqua"/>
        </w:rPr>
        <w:t xml:space="preserve">14 </w:t>
      </w:r>
      <w:r>
        <w:rPr>
          <w:rFonts w:ascii="Book Antiqua" w:hAnsi="Book Antiqua"/>
          <w:b/>
          <w:bCs/>
        </w:rPr>
        <w:t>Simone B</w:t>
      </w:r>
      <w:r>
        <w:rPr>
          <w:rFonts w:ascii="Book Antiqua" w:hAnsi="Book Antiqua"/>
        </w:rPr>
        <w:t xml:space="preserve">, De Stefano V, Leoncini E, Zacho J, Martinelli I, Emmerich J, Rossi E, Folsom AR, Almawi WY, Scarabin PY, den Heijer M, Cushman M, Penco S, Vaya A, Angchaisuksiri P, Okumus G, Gemmati D, Cima S, Akar N, Oguzulgen KI, Ducros V, Lichy C, Fernandez-Miranda C, Szczeklik A, Nieto JA, Torres JD, Le Cam-Duchez V, Ivanov P, Cantu-Brito C, Shmeleva VM, Stegnar M, Ogunyemi D, Eid SS, Nicolotti N, De Feo E, Ricciardi W, Boccia S. Risk of venous thromboembolism associated with single and combined effects of Factor V Leiden, Prothrombin 20210A and Methylenetethraydrofolate reductase C677T: a meta-analysis involving over 11,000 cases and 21,000 controls. </w:t>
      </w:r>
      <w:r>
        <w:rPr>
          <w:rFonts w:ascii="Book Antiqua" w:hAnsi="Book Antiqua"/>
          <w:i/>
          <w:iCs/>
        </w:rPr>
        <w:t>Eur J Epidemiol</w:t>
      </w:r>
      <w:r>
        <w:rPr>
          <w:rFonts w:ascii="Book Antiqua" w:hAnsi="Book Antiqua"/>
        </w:rPr>
        <w:t xml:space="preserve"> 2013; </w:t>
      </w:r>
      <w:r>
        <w:rPr>
          <w:rFonts w:ascii="Book Antiqua" w:hAnsi="Book Antiqua"/>
          <w:b/>
          <w:bCs/>
        </w:rPr>
        <w:t>28</w:t>
      </w:r>
      <w:r>
        <w:rPr>
          <w:rFonts w:ascii="Book Antiqua" w:hAnsi="Book Antiqua"/>
        </w:rPr>
        <w:t>: 621-647 [PMID: 23900608 DOI: 10.1007/s10654-013-9825-8]</w:t>
      </w:r>
    </w:p>
    <w:p>
      <w:pPr>
        <w:spacing w:line="360" w:lineRule="auto"/>
        <w:jc w:val="both"/>
        <w:rPr>
          <w:rFonts w:ascii="Book Antiqua" w:hAnsi="Book Antiqua" w:cs="Segoe UI"/>
          <w:color w:val="212121"/>
          <w:shd w:val="clear" w:color="auto" w:fill="FFFFFF"/>
        </w:rPr>
      </w:pPr>
      <w:r>
        <w:rPr>
          <w:rFonts w:ascii="Book Antiqua" w:hAnsi="Book Antiqua"/>
        </w:rPr>
        <w:t xml:space="preserve">15 </w:t>
      </w:r>
      <w:r>
        <w:rPr>
          <w:rFonts w:ascii="Book Antiqua" w:hAnsi="Book Antiqua" w:cs="Segoe UI"/>
          <w:b/>
          <w:color w:val="212121"/>
          <w:shd w:val="clear" w:color="auto" w:fill="FFFFFF"/>
        </w:rPr>
        <w:t>Sundquist K</w:t>
      </w:r>
      <w:r>
        <w:rPr>
          <w:rFonts w:ascii="Book Antiqua" w:hAnsi="Book Antiqua" w:cs="Segoe UI"/>
          <w:color w:val="212121"/>
          <w:shd w:val="clear" w:color="auto" w:fill="FFFFFF"/>
        </w:rPr>
        <w:t xml:space="preserve">, Wang X, Svensson PJ, Sundquist J, Hedelius A, Larsson Lönn S, Zöller B, Memon AA. Plasminogen activator inhibitor-1 4G/5G polymorphism, factor V Leiden, prothrombin mutations and the risk of VTE recurrence. </w:t>
      </w:r>
      <w:r>
        <w:rPr>
          <w:rFonts w:ascii="Book Antiqua" w:hAnsi="Book Antiqua" w:cs="Segoe UI"/>
          <w:i/>
          <w:color w:val="212121"/>
          <w:shd w:val="clear" w:color="auto" w:fill="FFFFFF"/>
        </w:rPr>
        <w:t>Thromb Haemost</w:t>
      </w:r>
      <w:r>
        <w:rPr>
          <w:rFonts w:ascii="Book Antiqua" w:hAnsi="Book Antiqua" w:cs="Segoe UI"/>
          <w:color w:val="212121"/>
          <w:shd w:val="clear" w:color="auto" w:fill="FFFFFF"/>
        </w:rPr>
        <w:t xml:space="preserve"> 2015; </w:t>
      </w:r>
      <w:r>
        <w:rPr>
          <w:rFonts w:ascii="Book Antiqua" w:hAnsi="Book Antiqua" w:cs="Segoe UI"/>
          <w:b/>
          <w:color w:val="212121"/>
          <w:shd w:val="clear" w:color="auto" w:fill="FFFFFF"/>
        </w:rPr>
        <w:t>114:</w:t>
      </w:r>
      <w:r>
        <w:rPr>
          <w:rFonts w:ascii="Book Antiqua" w:hAnsi="Book Antiqua" w:cs="Segoe UI"/>
          <w:color w:val="212121"/>
          <w:shd w:val="clear" w:color="auto" w:fill="FFFFFF"/>
        </w:rPr>
        <w:t xml:space="preserve"> 1156-1164 [PMID: 26245493 DOI: 10.1160/TH15-01-0031]</w:t>
      </w:r>
    </w:p>
    <w:p>
      <w:pPr>
        <w:spacing w:line="360" w:lineRule="auto"/>
        <w:jc w:val="both"/>
        <w:rPr>
          <w:rFonts w:ascii="Book Antiqua" w:hAnsi="Book Antiqua"/>
        </w:rPr>
      </w:pPr>
      <w:r>
        <w:rPr>
          <w:rFonts w:ascii="Book Antiqua" w:hAnsi="Book Antiqua"/>
        </w:rPr>
        <w:t xml:space="preserve">16 </w:t>
      </w:r>
      <w:r>
        <w:rPr>
          <w:rFonts w:ascii="Book Antiqua" w:hAnsi="Book Antiqua"/>
          <w:b/>
          <w:bCs/>
        </w:rPr>
        <w:t>Coppens M</w:t>
      </w:r>
      <w:r>
        <w:rPr>
          <w:rFonts w:ascii="Book Antiqua" w:hAnsi="Book Antiqua"/>
        </w:rPr>
        <w:t xml:space="preserve">, Reijnders JH, Middeldorp S, Doggen CJ, Rosendaal FR. Testing for inherited thrombophilia does not reduce the recurrence of venous thrombosis. </w:t>
      </w:r>
      <w:r>
        <w:rPr>
          <w:rFonts w:ascii="Book Antiqua" w:hAnsi="Book Antiqua"/>
          <w:i/>
          <w:iCs/>
        </w:rPr>
        <w:t>J Thromb Haemost</w:t>
      </w:r>
      <w:r>
        <w:rPr>
          <w:rFonts w:ascii="Book Antiqua" w:hAnsi="Book Antiqua"/>
        </w:rPr>
        <w:t xml:space="preserve"> 2008; </w:t>
      </w:r>
      <w:r>
        <w:rPr>
          <w:rFonts w:ascii="Book Antiqua" w:hAnsi="Book Antiqua"/>
          <w:b/>
          <w:bCs/>
        </w:rPr>
        <w:t>6</w:t>
      </w:r>
      <w:r>
        <w:rPr>
          <w:rFonts w:ascii="Book Antiqua" w:hAnsi="Book Antiqua"/>
        </w:rPr>
        <w:t>: 1474-1477 [PMID: 18540999 DOI: 10.1111/j.1538-7836.2008.03055.x]</w:t>
      </w:r>
    </w:p>
    <w:p>
      <w:pPr>
        <w:spacing w:line="360" w:lineRule="auto"/>
        <w:jc w:val="both"/>
        <w:rPr>
          <w:rFonts w:ascii="Book Antiqua" w:hAnsi="Book Antiqua"/>
        </w:rPr>
      </w:pPr>
      <w:r>
        <w:rPr>
          <w:rFonts w:ascii="Book Antiqua" w:hAnsi="Book Antiqua"/>
        </w:rPr>
        <w:t xml:space="preserve">17 </w:t>
      </w:r>
      <w:r>
        <w:rPr>
          <w:rFonts w:ascii="Book Antiqua" w:hAnsi="Book Antiqua"/>
          <w:b/>
          <w:bCs/>
        </w:rPr>
        <w:t>Kearon C</w:t>
      </w:r>
      <w:r>
        <w:rPr>
          <w:rFonts w:ascii="Book Antiqua" w:hAnsi="Book Antiqua"/>
        </w:rPr>
        <w:t xml:space="preserve">, Akl EA, Ornelas J, Blaivas A, Jimenez D, Bounameaux H, Huisman M, King CS, Morris TA, Sood N, Stevens SM, Vintch JRE, Wells P, Woller SC, Moores L. Antithrombotic Therapy for VTE Disease: CHEST Guideline and Expert Panel Report. </w:t>
      </w:r>
      <w:r>
        <w:rPr>
          <w:rFonts w:ascii="Book Antiqua" w:hAnsi="Book Antiqua"/>
          <w:i/>
          <w:iCs/>
        </w:rPr>
        <w:t>Chest</w:t>
      </w:r>
      <w:r>
        <w:rPr>
          <w:rFonts w:ascii="Book Antiqua" w:hAnsi="Book Antiqua"/>
        </w:rPr>
        <w:t xml:space="preserve"> 2016; </w:t>
      </w:r>
      <w:r>
        <w:rPr>
          <w:rFonts w:ascii="Book Antiqua" w:hAnsi="Book Antiqua"/>
          <w:b/>
          <w:bCs/>
        </w:rPr>
        <w:t>149</w:t>
      </w:r>
      <w:r>
        <w:rPr>
          <w:rFonts w:ascii="Book Antiqua" w:hAnsi="Book Antiqua"/>
        </w:rPr>
        <w:t>: 315-352 [PMID: 26867832 DOI: 10.1016/j.chest.2015.11.026]</w:t>
      </w:r>
    </w:p>
    <w:p>
      <w:pPr>
        <w:spacing w:line="360" w:lineRule="auto"/>
        <w:jc w:val="both"/>
        <w:rPr>
          <w:rFonts w:ascii="Book Antiqua" w:hAnsi="Book Antiqua"/>
          <w:color w:val="FF0000"/>
        </w:rPr>
        <w:sectPr>
          <w:footerReference r:id="rId3" w:type="default"/>
          <w:pgSz w:w="12240" w:h="15840"/>
          <w:pgMar w:top="1440" w:right="1440" w:bottom="1440" w:left="1440" w:header="720" w:footer="720" w:gutter="0"/>
          <w:cols w:space="720" w:num="1"/>
          <w:docGrid w:linePitch="360" w:charSpace="0"/>
        </w:sectPr>
      </w:pPr>
    </w:p>
    <w:bookmarkEnd w:id="186"/>
    <w:bookmarkEnd w:id="187"/>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rPr>
        <w:t xml:space="preserve">Informed consent statement: </w:t>
      </w:r>
      <w:r>
        <w:rPr>
          <w:rFonts w:ascii="Book Antiqua" w:hAnsi="Book Antiqua" w:eastAsia="Book Antiqua" w:cs="Book Antiqua"/>
        </w:rPr>
        <w:t>The</w:t>
      </w:r>
      <w:r>
        <w:rPr>
          <w:rFonts w:ascii="Book Antiqua" w:hAnsi="Book Antiqua" w:eastAsia="Book Antiqua" w:cs="Book Antiqua"/>
          <w:b/>
          <w:bCs/>
        </w:rPr>
        <w:t xml:space="preserve"> </w:t>
      </w:r>
      <w:r>
        <w:rPr>
          <w:rFonts w:ascii="Book Antiqua" w:hAnsi="Book Antiqua" w:eastAsia="Book Antiqua" w:cs="Book Antiqua"/>
          <w:color w:val="000000"/>
          <w:shd w:val="clear" w:color="auto" w:fill="FFFFFF"/>
        </w:rPr>
        <w:t>study participant's wife provided informed written consent.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Conflict-of-interest statement: </w:t>
      </w:r>
      <w:r>
        <w:rPr>
          <w:rFonts w:ascii="Book Antiqua" w:hAnsi="Book Antiqua" w:eastAsia="Book Antiqua" w:cs="Book Antiqua"/>
        </w:rPr>
        <w:t>The authors declare that they have no conflicts of interest.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CARE Checklist (2016) statement: </w:t>
      </w:r>
      <w:r>
        <w:rPr>
          <w:rFonts w:ascii="Book Antiqua" w:hAnsi="Book Antiqua" w:eastAsia="Book Antiqua" w:cs="Book Antiqua"/>
        </w:rPr>
        <w:t>The authors have read the CARE Checklist (2016), and the manuscript was prepared and revised according to the CARE Checklist (2016).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Open-Access: </w:t>
      </w:r>
      <w:r>
        <w:rPr>
          <w:rFonts w:ascii="Book Antiqua" w:hAnsi="Book Antiqua" w:eastAsia="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rPr>
        <w:t>Unsolicited article; Externally peer reviewed.</w:t>
      </w:r>
    </w:p>
    <w:p>
      <w:pPr>
        <w:spacing w:line="360" w:lineRule="auto"/>
        <w:jc w:val="both"/>
        <w:rPr>
          <w:rFonts w:ascii="Book Antiqua" w:hAnsi="Book Antiqua" w:eastAsia="Book Antiqua" w:cs="Book Antiqua"/>
        </w:rPr>
      </w:pPr>
      <w:r>
        <w:rPr>
          <w:rFonts w:ascii="Book Antiqua" w:hAnsi="Book Antiqua" w:eastAsia="Book Antiqua" w:cs="Book Antiqua"/>
          <w:b/>
          <w:color w:val="000000"/>
        </w:rPr>
        <w:t xml:space="preserve">Peer-review model: </w:t>
      </w:r>
      <w:r>
        <w:rPr>
          <w:rFonts w:ascii="Book Antiqua" w:hAnsi="Book Antiqua" w:eastAsia="Book Antiqua" w:cs="Book Antiqua"/>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Corresponding Author's Membership in Professional Societies: </w:t>
      </w:r>
      <w:r>
        <w:rPr>
          <w:rFonts w:ascii="Book Antiqua" w:hAnsi="Book Antiqua" w:eastAsia="Book Antiqua" w:cs="Book Antiqua"/>
        </w:rPr>
        <w:t>ERS-European Respiratory Society, No. 360284; Indian Chest Society.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rPr>
        <w:t>September 29, 2023</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rPr>
        <w:t>October 9, 2023</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rPr>
        <w:t>December 27, 2023</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rPr>
        <w:t>Respiratory system</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rPr>
        <w:t>India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rPr>
        <w:t>Grade A (Excellent): 0</w:t>
      </w:r>
    </w:p>
    <w:p>
      <w:pPr>
        <w:spacing w:line="360" w:lineRule="auto"/>
        <w:jc w:val="both"/>
        <w:rPr>
          <w:rFonts w:ascii="Book Antiqua" w:hAnsi="Book Antiqua"/>
        </w:rPr>
      </w:pPr>
      <w:r>
        <w:rPr>
          <w:rFonts w:ascii="Book Antiqua" w:hAnsi="Book Antiqua" w:eastAsia="Book Antiqua" w:cs="Book Antiqua"/>
        </w:rPr>
        <w:t>Grade B (Very good): B</w:t>
      </w:r>
    </w:p>
    <w:p>
      <w:pPr>
        <w:spacing w:line="360" w:lineRule="auto"/>
        <w:jc w:val="both"/>
        <w:rPr>
          <w:rFonts w:ascii="Book Antiqua" w:hAnsi="Book Antiqua"/>
        </w:rPr>
      </w:pPr>
      <w:r>
        <w:rPr>
          <w:rFonts w:ascii="Book Antiqua" w:hAnsi="Book Antiqua" w:eastAsia="Book Antiqua" w:cs="Book Antiqua"/>
        </w:rPr>
        <w:t>Grade C (Good): 0</w:t>
      </w:r>
    </w:p>
    <w:p>
      <w:pPr>
        <w:spacing w:line="360" w:lineRule="auto"/>
        <w:jc w:val="both"/>
        <w:rPr>
          <w:rFonts w:ascii="Book Antiqua" w:hAnsi="Book Antiqua"/>
        </w:rPr>
      </w:pPr>
      <w:r>
        <w:rPr>
          <w:rFonts w:ascii="Book Antiqua" w:hAnsi="Book Antiqua" w:eastAsia="Book Antiqua" w:cs="Book Antiqua"/>
        </w:rPr>
        <w:t>Grade D (Fair): D</w:t>
      </w:r>
    </w:p>
    <w:p>
      <w:pPr>
        <w:spacing w:line="360" w:lineRule="auto"/>
        <w:jc w:val="both"/>
        <w:rPr>
          <w:rFonts w:ascii="Book Antiqua" w:hAnsi="Book Antiqua"/>
        </w:rPr>
      </w:pPr>
      <w:r>
        <w:rPr>
          <w:rFonts w:ascii="Book Antiqua" w:hAnsi="Book Antiqua" w:eastAsia="Book Antiqua" w:cs="Book Antiqua"/>
        </w:rPr>
        <w:t>Grade E (Poor): 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P-Reviewer: </w:t>
      </w:r>
      <w:r>
        <w:rPr>
          <w:rFonts w:ascii="Book Antiqua" w:hAnsi="Book Antiqua" w:eastAsia="Book Antiqua" w:cs="Book Antiqua"/>
        </w:rPr>
        <w:t>Pan L, China; Yamaguchi K, Japan</w:t>
      </w:r>
      <w:r>
        <w:rPr>
          <w:rFonts w:ascii="Book Antiqua" w:hAnsi="Book Antiqua" w:eastAsia="Book Antiqua" w:cs="Book Antiqua"/>
          <w:b/>
          <w:color w:val="000000"/>
        </w:rPr>
        <w:t xml:space="preserve"> S-Editor: </w:t>
      </w:r>
      <w:r>
        <w:rPr>
          <w:rFonts w:ascii="Book Antiqua" w:hAnsi="Book Antiqua" w:eastAsia="Book Antiqua" w:cs="Book Antiqua"/>
          <w:color w:val="000000"/>
        </w:rPr>
        <w:t>Liu JH</w:t>
      </w:r>
      <w:r>
        <w:rPr>
          <w:rFonts w:ascii="Book Antiqua" w:hAnsi="Book Antiqua" w:eastAsia="Book Antiqua" w:cs="Book Antiqua"/>
          <w:b/>
          <w:color w:val="000000"/>
        </w:rPr>
        <w:t xml:space="preserve"> L-Editor: </w:t>
      </w:r>
      <w:r>
        <w:rPr>
          <w:rFonts w:ascii="Book Antiqua" w:hAnsi="Book Antiqua" w:eastAsia="Book Antiqua" w:cs="Book Antiqua"/>
          <w:color w:val="000000"/>
        </w:rPr>
        <w:t>Filipodia</w:t>
      </w:r>
      <w:r>
        <w:rPr>
          <w:rFonts w:ascii="Book Antiqua" w:hAnsi="Book Antiqua" w:eastAsia="Book Antiqua" w:cs="Book Antiqua"/>
          <w:b/>
          <w:color w:val="000000"/>
        </w:rPr>
        <w:t xml:space="preserve"> P-Editor: </w:t>
      </w:r>
      <w:r>
        <w:rPr>
          <w:rFonts w:ascii="Book Antiqua" w:hAnsi="Book Antiqua" w:eastAsia="Book Antiqua" w:cs="Book Antiqua"/>
          <w:bCs/>
          <w:color w:val="000000"/>
        </w:rPr>
        <w:t>Zhao S</w:t>
      </w:r>
    </w:p>
    <w:p>
      <w:pPr>
        <w:spacing w:line="360" w:lineRule="auto"/>
        <w:rPr>
          <w:rFonts w:ascii="Book Antiqua" w:hAnsi="Book Antiqua"/>
        </w:rPr>
        <w:sectPr>
          <w:pgSz w:w="12240" w:h="15840"/>
          <w:pgMar w:top="1440" w:right="1440" w:bottom="1440" w:left="1440" w:header="720" w:footer="720" w:gutter="0"/>
          <w:cols w:space="720" w:num="1"/>
        </w:sectPr>
      </w:pPr>
    </w:p>
    <w:p>
      <w:pPr>
        <w:spacing w:line="360" w:lineRule="auto"/>
        <w:jc w:val="both"/>
        <w:rPr>
          <w:rFonts w:ascii="Book Antiqua" w:hAnsi="Book Antiqua"/>
        </w:rPr>
      </w:pPr>
      <w:r>
        <w:rPr>
          <w:rFonts w:ascii="Book Antiqua" w:hAnsi="Book Antiqua" w:eastAsia="Book Antiqua" w:cs="Book Antiqua"/>
          <w:b/>
          <w:color w:val="000000"/>
        </w:rPr>
        <w:t>Figure Legends</w:t>
      </w:r>
    </w:p>
    <w:p>
      <w:pPr>
        <w:spacing w:line="360" w:lineRule="auto"/>
        <w:jc w:val="both"/>
        <w:rPr>
          <w:rFonts w:hint="eastAsia" w:ascii="Book Antiqua" w:hAnsi="Book Antiqua" w:eastAsia="宋体" w:cs="Book Antiqua"/>
          <w:lang w:eastAsia="zh-CN"/>
        </w:rPr>
      </w:pPr>
      <w:r>
        <w:rPr>
          <w:rFonts w:hint="eastAsia" w:ascii="Book Antiqua" w:hAnsi="Book Antiqua" w:eastAsia="宋体" w:cs="Book Antiqua"/>
          <w:lang w:eastAsia="zh-CN"/>
        </w:rPr>
        <w:drawing>
          <wp:inline distT="0" distB="0" distL="114300" distR="114300">
            <wp:extent cx="5874385" cy="2518410"/>
            <wp:effectExtent l="0" t="0" r="8255" b="11430"/>
            <wp:docPr id="3" name="图片 3" descr="WJR-13-1-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R-13-1-g001"/>
                    <pic:cNvPicPr>
                      <a:picLocks noChangeAspect="1"/>
                    </pic:cNvPicPr>
                  </pic:nvPicPr>
                  <pic:blipFill>
                    <a:blip r:embed="rId5"/>
                    <a:stretch>
                      <a:fillRect/>
                    </a:stretch>
                  </pic:blipFill>
                  <pic:spPr>
                    <a:xfrm>
                      <a:off x="0" y="0"/>
                      <a:ext cx="5874385" cy="2518410"/>
                    </a:xfrm>
                    <a:prstGeom prst="rect">
                      <a:avLst/>
                    </a:prstGeom>
                  </pic:spPr>
                </pic:pic>
              </a:graphicData>
            </a:graphic>
          </wp:inline>
        </w:drawing>
      </w:r>
    </w:p>
    <w:p>
      <w:pPr>
        <w:spacing w:line="360" w:lineRule="auto"/>
        <w:jc w:val="both"/>
        <w:rPr>
          <w:rFonts w:ascii="Book Antiqua" w:hAnsi="Book Antiqua" w:cs="Book Antiqua"/>
          <w:lang w:eastAsia="zh-CN"/>
        </w:rPr>
      </w:pPr>
      <w:r>
        <w:rPr>
          <w:rFonts w:ascii="Book Antiqua" w:hAnsi="Book Antiqua" w:eastAsia="Book Antiqua" w:cs="Book Antiqua"/>
          <w:b/>
        </w:rPr>
        <w:t>Figure 1 Chest X-ray.</w:t>
      </w:r>
      <w:r>
        <w:rPr>
          <w:rFonts w:ascii="Book Antiqua" w:hAnsi="Book Antiqua" w:eastAsia="Book Antiqua" w:cs="Book Antiqua"/>
        </w:rPr>
        <w:t xml:space="preserve"> A: Left upper zone non homogenous opacity with air bronchogram and right lower zone opacity; B: Resolved left upper zone opacity and non-homogenous right lower zone opacity</w:t>
      </w:r>
      <w:r>
        <w:rPr>
          <w:rFonts w:hint="eastAsia" w:ascii="Book Antiqua" w:hAnsi="Book Antiqua" w:cs="Book Antiqua"/>
          <w:lang w:eastAsia="zh-CN"/>
        </w:rPr>
        <w:t>.</w:t>
      </w:r>
    </w:p>
    <w:p>
      <w:pPr>
        <w:spacing w:line="360" w:lineRule="auto"/>
        <w:jc w:val="both"/>
        <w:rPr>
          <w:rFonts w:ascii="Book Antiqua" w:hAnsi="Book Antiqua" w:eastAsia="Book Antiqua" w:cs="Book Antiqua"/>
        </w:rPr>
      </w:pPr>
      <w:r>
        <w:rPr>
          <w:rFonts w:ascii="Book Antiqua" w:hAnsi="Book Antiqua" w:eastAsia="Book Antiqua" w:cs="Book Antiqua"/>
        </w:rPr>
        <w:br w:type="page"/>
      </w:r>
    </w:p>
    <w:p>
      <w:pPr>
        <w:spacing w:line="360" w:lineRule="auto"/>
        <w:jc w:val="both"/>
        <w:rPr>
          <w:rFonts w:hint="eastAsia" w:ascii="Book Antiqua" w:hAnsi="Book Antiqua" w:eastAsia="宋体" w:cs="Book Antiqua"/>
          <w:lang w:eastAsia="zh-CN"/>
        </w:rPr>
      </w:pPr>
      <w:r>
        <w:rPr>
          <w:rFonts w:hint="eastAsia" w:ascii="Book Antiqua" w:hAnsi="Book Antiqua" w:eastAsia="宋体" w:cs="Book Antiqua"/>
          <w:lang w:eastAsia="zh-CN"/>
        </w:rPr>
        <w:drawing>
          <wp:inline distT="0" distB="0" distL="114300" distR="114300">
            <wp:extent cx="5942330" cy="1748790"/>
            <wp:effectExtent l="0" t="0" r="1270" b="3810"/>
            <wp:docPr id="4" name="图片 4" descr="WJR-13-1-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R-13-1-g002"/>
                    <pic:cNvPicPr>
                      <a:picLocks noChangeAspect="1"/>
                    </pic:cNvPicPr>
                  </pic:nvPicPr>
                  <pic:blipFill>
                    <a:blip r:embed="rId6"/>
                    <a:stretch>
                      <a:fillRect/>
                    </a:stretch>
                  </pic:blipFill>
                  <pic:spPr>
                    <a:xfrm>
                      <a:off x="0" y="0"/>
                      <a:ext cx="5942330" cy="1748790"/>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rPr>
        <w:t>Figure 2 Computed tomography pulmonary angiography</w:t>
      </w:r>
      <w:r>
        <w:rPr>
          <w:rFonts w:hint="eastAsia" w:ascii="Book Antiqua" w:hAnsi="Book Antiqua" w:cs="Book Antiqua"/>
          <w:b/>
          <w:lang w:eastAsia="zh-CN"/>
        </w:rPr>
        <w:t>.</w:t>
      </w:r>
      <w:r>
        <w:rPr>
          <w:rFonts w:ascii="Book Antiqua" w:hAnsi="Book Antiqua" w:eastAsia="Book Antiqua" w:cs="Book Antiqua"/>
          <w:b/>
        </w:rPr>
        <w:t xml:space="preserve"> </w:t>
      </w:r>
      <w:r>
        <w:rPr>
          <w:rFonts w:ascii="Book Antiqua" w:hAnsi="Book Antiqua" w:eastAsia="Book Antiqua" w:cs="Book Antiqua"/>
        </w:rPr>
        <w:t>A: Right lower lobe wedge shaped peripheral opacity suggestive of pulmonary infarct; B: Thrombus completely occluded and dilated right main pulmonary artery; C: Thrombus extending to right atrium.</w:t>
      </w:r>
    </w:p>
    <w:p>
      <w:pPr>
        <w:spacing w:line="360" w:lineRule="auto"/>
        <w:jc w:val="both"/>
        <w:rPr>
          <w:rFonts w:ascii="Book Antiqua" w:hAnsi="Book Antiqua"/>
        </w:rPr>
      </w:pP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bookmarkStart w:id="188" w:name="_GoBack"/>
      <w:bookmarkEnd w:id="188"/>
    </w:p>
    <w:p>
      <w:pPr>
        <w:rPr>
          <w:rFonts w:ascii="Book Antiqua" w:hAnsi="Book Antiqua"/>
        </w:rPr>
      </w:pPr>
    </w:p>
    <w:p>
      <w:pPr>
        <w:widowControl/>
        <w:snapToGrid w:val="0"/>
        <w:ind w:left="240" w:leftChars="100"/>
        <w:jc w:val="center"/>
        <w:rPr>
          <w:rFonts w:ascii="Book Antiqua" w:hAnsi="Book Antiqua"/>
        </w:rPr>
      </w:pPr>
    </w:p>
    <w:p>
      <w:pPr>
        <w:widowControl/>
        <w:snapToGrid w:val="0"/>
        <w:ind w:left="240" w:leftChars="100"/>
        <w:jc w:val="center"/>
        <w:rPr>
          <w:rFonts w:ascii="Book Antiqua" w:hAnsi="Book Antiqua"/>
        </w:rPr>
      </w:pPr>
    </w:p>
    <w:p>
      <w:pPr>
        <w:widowControl/>
        <w:snapToGrid w:val="0"/>
        <w:ind w:left="240" w:leftChars="100"/>
        <w:jc w:val="center"/>
        <w:rPr>
          <w:rFonts w:ascii="Book Antiqua" w:hAnsi="Book Antiqua"/>
        </w:rPr>
      </w:pPr>
    </w:p>
    <w:p>
      <w:pPr>
        <w:widowControl/>
        <w:snapToGrid w:val="0"/>
        <w:ind w:left="240" w:leftChars="100"/>
        <w:jc w:val="center"/>
        <w:rPr>
          <w:rFonts w:ascii="Book Antiqua" w:hAnsi="Book Antiqua"/>
        </w:rPr>
      </w:pPr>
    </w:p>
    <w:p>
      <w:pPr>
        <w:widowControl/>
        <w:snapToGrid w:val="0"/>
        <w:ind w:left="240" w:leftChars="100"/>
        <w:jc w:val="center"/>
        <w:rPr>
          <w:rFonts w:ascii="Book Antiqua" w:hAnsi="Book Antiqua"/>
        </w:rPr>
      </w:pPr>
      <w:r>
        <w:rPr>
          <w:rFonts w:ascii="Book Antiqua" w:hAnsi="Book Antiqua"/>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widowControl/>
        <w:snapToGrid w:val="0"/>
        <w:ind w:left="240" w:leftChars="100"/>
        <w:jc w:val="center"/>
        <w:rPr>
          <w:rFonts w:ascii="Book Antiqua" w:hAnsi="Book Antiqua"/>
        </w:rPr>
      </w:pPr>
    </w:p>
    <w:p>
      <w:pPr>
        <w:widowControl/>
        <w:autoSpaceDE w:val="0"/>
        <w:autoSpaceDN w:val="0"/>
        <w:adjustRightInd w:val="0"/>
        <w:snapToGrid w:val="0"/>
        <w:spacing w:line="240" w:lineRule="atLeast"/>
        <w:ind w:left="240" w:leftChars="100"/>
        <w:jc w:val="center"/>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widowControl/>
        <w:autoSpaceDE w:val="0"/>
        <w:autoSpaceDN w:val="0"/>
        <w:adjustRightInd w:val="0"/>
        <w:snapToGrid w:val="0"/>
        <w:ind w:left="240" w:leftChars="100"/>
        <w:jc w:val="center"/>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widowControl/>
        <w:autoSpaceDE w:val="0"/>
        <w:autoSpaceDN w:val="0"/>
        <w:adjustRightInd w:val="0"/>
        <w:snapToGrid w:val="0"/>
        <w:ind w:left="240" w:leftChars="100"/>
        <w:jc w:val="center"/>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widowControl/>
        <w:autoSpaceDE w:val="0"/>
        <w:autoSpaceDN w:val="0"/>
        <w:adjustRightInd w:val="0"/>
        <w:snapToGrid w:val="0"/>
        <w:ind w:left="240" w:leftChars="100"/>
        <w:jc w:val="center"/>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office@baishideng.com</w:t>
      </w:r>
    </w:p>
    <w:p>
      <w:pPr>
        <w:widowControl/>
        <w:autoSpaceDE w:val="0"/>
        <w:autoSpaceDN w:val="0"/>
        <w:adjustRightInd w:val="0"/>
        <w:snapToGrid w:val="0"/>
        <w:ind w:left="240" w:leftChars="100"/>
        <w:jc w:val="center"/>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widowControl/>
        <w:snapToGrid w:val="0"/>
        <w:ind w:left="240" w:leftChars="100"/>
        <w:jc w:val="center"/>
        <w:rPr>
          <w:rFonts w:ascii="Book Antiqua" w:hAnsi="Book Antiqua"/>
        </w:rPr>
      </w:pPr>
      <w:r>
        <w:rPr>
          <w:rFonts w:ascii="Book Antiqua" w:hAnsi="Book Antiqua" w:eastAsia="TimesNewRomanPSMT" w:cs="Garamond"/>
          <w:color w:val="D56400"/>
          <w:sz w:val="28"/>
          <w:szCs w:val="28"/>
        </w:rPr>
        <w:t>https://www.wjgnet.com</w:t>
      </w:r>
    </w:p>
    <w:p>
      <w:pPr>
        <w:widowControl/>
        <w:snapToGrid w:val="0"/>
        <w:ind w:left="240" w:leftChars="100"/>
        <w:jc w:val="center"/>
        <w:rPr>
          <w:rFonts w:ascii="Book Antiqua" w:hAnsi="Book Antiqua"/>
        </w:rPr>
      </w:pPr>
    </w:p>
    <w:p>
      <w:pPr>
        <w:widowControl/>
        <w:snapToGrid w:val="0"/>
        <w:ind w:left="240" w:leftChars="100"/>
        <w:jc w:val="center"/>
        <w:rPr>
          <w:rFonts w:ascii="Book Antiqua" w:hAnsi="Book Antiqua"/>
        </w:rPr>
      </w:pPr>
    </w:p>
    <w:p>
      <w:pPr>
        <w:widowControl/>
        <w:snapToGrid w:val="0"/>
        <w:ind w:left="240" w:leftChars="100"/>
        <w:jc w:val="center"/>
        <w:rPr>
          <w:rFonts w:ascii="Book Antiqua" w:hAnsi="Book Antiqua"/>
        </w:rPr>
      </w:pPr>
    </w:p>
    <w:p>
      <w:pPr>
        <w:widowControl/>
        <w:snapToGrid w:val="0"/>
        <w:ind w:left="240" w:leftChars="100"/>
        <w:jc w:val="center"/>
        <w:rPr>
          <w:rFonts w:ascii="Book Antiqua" w:hAnsi="Book Antiqua"/>
        </w:rPr>
      </w:pPr>
      <w:r>
        <w:rPr>
          <w:rFonts w:ascii="Book Antiqua" w:hAnsi="Book Antiqua"/>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widowControl/>
        <w:snapToGrid w:val="0"/>
        <w:ind w:left="240" w:leftChars="100"/>
        <w:jc w:val="center"/>
        <w:rPr>
          <w:rFonts w:ascii="Book Antiqua" w:hAnsi="Book Antiqua"/>
        </w:rPr>
      </w:pPr>
    </w:p>
    <w:p>
      <w:pPr>
        <w:widowControl/>
        <w:snapToGrid w:val="0"/>
        <w:ind w:left="240" w:leftChars="100"/>
        <w:jc w:val="center"/>
        <w:rPr>
          <w:rFonts w:ascii="Book Antiqua" w:hAnsi="Book Antiqua"/>
        </w:rPr>
      </w:pPr>
    </w:p>
    <w:p>
      <w:pPr>
        <w:widowControl/>
        <w:snapToGrid w:val="0"/>
        <w:ind w:left="240" w:leftChars="100"/>
        <w:jc w:val="center"/>
        <w:rPr>
          <w:rFonts w:ascii="Book Antiqua" w:hAnsi="Book Antiqua"/>
        </w:rPr>
      </w:pPr>
    </w:p>
    <w:p>
      <w:pPr>
        <w:widowControl/>
        <w:snapToGrid w:val="0"/>
        <w:ind w:left="240" w:leftChars="100"/>
        <w:jc w:val="center"/>
        <w:rPr>
          <w:rFonts w:ascii="Book Antiqua" w:hAnsi="Book Antiqua"/>
        </w:rPr>
      </w:pPr>
    </w:p>
    <w:p>
      <w:pPr>
        <w:widowControl/>
        <w:snapToGrid w:val="0"/>
        <w:ind w:left="240" w:leftChars="100"/>
        <w:jc w:val="center"/>
        <w:rPr>
          <w:rFonts w:ascii="Book Antiqua" w:hAnsi="Book Antiqua"/>
        </w:rPr>
      </w:pPr>
    </w:p>
    <w:p>
      <w:pPr>
        <w:widowControl/>
        <w:snapToGrid w:val="0"/>
        <w:ind w:left="240" w:leftChars="100"/>
        <w:jc w:val="center"/>
        <w:rPr>
          <w:rFonts w:ascii="Book Antiqua" w:hAnsi="Book Antiqua"/>
        </w:rPr>
      </w:pPr>
    </w:p>
    <w:p>
      <w:pPr>
        <w:widowControl/>
        <w:snapToGrid w:val="0"/>
        <w:ind w:left="240" w:leftChars="100"/>
        <w:jc w:val="center"/>
        <w:rPr>
          <w:rFonts w:ascii="Book Antiqua" w:hAnsi="Book Antiqua"/>
        </w:rPr>
      </w:pPr>
    </w:p>
    <w:p>
      <w:pPr>
        <w:widowControl/>
        <w:snapToGrid w:val="0"/>
        <w:ind w:left="240" w:leftChars="100"/>
        <w:jc w:val="center"/>
        <w:rPr>
          <w:rFonts w:ascii="Book Antiqua" w:hAnsi="Book Antiqua"/>
        </w:rPr>
      </w:pPr>
    </w:p>
    <w:p>
      <w:pPr>
        <w:widowControl/>
        <w:snapToGrid w:val="0"/>
        <w:ind w:left="240" w:leftChars="100"/>
        <w:jc w:val="center"/>
        <w:rPr>
          <w:rFonts w:ascii="Book Antiqua" w:hAnsi="Book Antiqua"/>
        </w:rPr>
      </w:pPr>
    </w:p>
    <w:p>
      <w:pPr>
        <w:widowControl/>
        <w:snapToGrid w:val="0"/>
        <w:ind w:left="240" w:leftChars="100"/>
        <w:jc w:val="right"/>
        <w:rPr>
          <w:rFonts w:ascii="Book Antiqua" w:hAnsi="Book Antiqua"/>
          <w:color w:val="000000" w:themeColor="text1"/>
          <w14:textFill>
            <w14:solidFill>
              <w14:schemeClr w14:val="tx1"/>
            </w14:solidFill>
          </w14:textFill>
        </w:rPr>
      </w:pPr>
    </w:p>
    <w:p>
      <w:pPr>
        <w:widowControl/>
        <w:snapToGrid w:val="0"/>
        <w:jc w:val="center"/>
        <w:rPr>
          <w:rFonts w:ascii="Book Antiqua" w:hAnsi="Book Antiqua"/>
          <w:shd w:val="clear" w:color="auto" w:fill="FFFFFF"/>
        </w:rPr>
      </w:pPr>
      <w:r>
        <w:rPr>
          <w:rFonts w:ascii="Book Antiqua" w:hAnsi="Book Antiqua" w:eastAsia="BookAntiqua-Bold" w:cs="BookAntiqua-Bold"/>
          <w:b/>
          <w:bCs/>
          <w:color w:val="000000" w:themeColor="text1"/>
          <w14:textFill>
            <w14:solidFill>
              <w14:schemeClr w14:val="tx1"/>
            </w14:solidFill>
          </w14:textFill>
        </w:rPr>
        <w:t>© 202</w:t>
      </w:r>
      <w:r>
        <w:rPr>
          <w:rFonts w:ascii="Book Antiqua" w:hAnsi="Book Antiqua" w:cs="BookAntiqua-Bold"/>
          <w:b/>
          <w:bCs/>
          <w:color w:val="000000" w:themeColor="text1"/>
          <w14:textFill>
            <w14:solidFill>
              <w14:schemeClr w14:val="tx1"/>
            </w14:solidFill>
          </w14:textFill>
        </w:rPr>
        <w:t>4</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ascii="Book Antiqua" w:hAnsi="Book Antiqua" w:cs="Book Antiqua"/>
          <w:b/>
          <w:bCs/>
          <w:color w:val="000000"/>
        </w:rPr>
      </w:pPr>
    </w:p>
    <w:p>
      <w:pPr>
        <w:spacing w:line="360" w:lineRule="auto"/>
        <w:jc w:val="both"/>
        <w:rPr>
          <w:rFonts w:ascii="Book Antiqua" w:hAnsi="Book Antiqu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MS Mincho">
    <w:altName w:val="Yu Gothic UI"/>
    <w:panose1 w:val="02020609040205080304"/>
    <w:charset w:val="80"/>
    <w:family w:val="modern"/>
    <w:pitch w:val="default"/>
    <w:sig w:usb0="00000000" w:usb1="00000000" w:usb2="08000012" w:usb3="00000000" w:csb0="0002009F" w:csb1="00000000"/>
  </w:font>
  <w:font w:name="Segoe UI">
    <w:panose1 w:val="020B0502040204020203"/>
    <w:charset w:val="00"/>
    <w:family w:val="swiss"/>
    <w:pitch w:val="default"/>
    <w:sig w:usb0="E4002EFF" w:usb1="C000E47F" w:usb2="00000009" w:usb3="00000000" w:csb0="200001FF" w:csb1="0000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13395998"/>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 xml:space="preserve">PAGE</w:instrText>
            </w:r>
            <w:r>
              <w:rPr>
                <w:rFonts w:ascii="Book Antiqua" w:hAnsi="Book Antiqua"/>
                <w:sz w:val="24"/>
                <w:szCs w:val="24"/>
              </w:rPr>
              <w:fldChar w:fldCharType="separate"/>
            </w:r>
            <w:r>
              <w:rPr>
                <w:rFonts w:ascii="Book Antiqua" w:hAnsi="Book Antiqua"/>
                <w:sz w:val="24"/>
                <w:szCs w:val="24"/>
              </w:rPr>
              <w:t>16</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 xml:space="preserve">NUMPAGES</w:instrText>
            </w:r>
            <w:r>
              <w:rPr>
                <w:rFonts w:ascii="Book Antiqua" w:hAnsi="Book Antiqua"/>
                <w:sz w:val="24"/>
                <w:szCs w:val="24"/>
              </w:rPr>
              <w:fldChar w:fldCharType="separate"/>
            </w:r>
            <w:r>
              <w:rPr>
                <w:rFonts w:ascii="Book Antiqua" w:hAnsi="Book Antiqua"/>
                <w:sz w:val="24"/>
                <w:szCs w:val="24"/>
              </w:rPr>
              <w:t>16</w:t>
            </w:r>
            <w:r>
              <w:rPr>
                <w:rFonts w:ascii="Book Antiqua" w:hAnsi="Book Antiqua"/>
                <w:sz w:val="24"/>
                <w:szCs w:val="24"/>
              </w:rPr>
              <w:fldChar w:fldCharType="end"/>
            </w:r>
          </w:p>
        </w:sdtContent>
      </w:sdt>
    </w:sdtContent>
  </w:sdt>
  <w:p>
    <w:pPr>
      <w:pStyle w:val="4"/>
      <w:rPr>
        <w:rFonts w:ascii="Book Antiqua" w:hAnsi="Book Antiqua"/>
        <w:sz w:val="24"/>
        <w:szCs w:val="24"/>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MTeyNDQwtjQ0NDMztLBU0lEKTi0uzszPAykwrAUAENk4KSwAAAA="/>
    <w:docVar w:name="commondata" w:val="eyJoZGlkIjoiNzQxMjQ0YTQ0ZmU3OTI5ZWNhNzI4MzQxYjA4YWJlOTIifQ=="/>
  </w:docVars>
  <w:rsids>
    <w:rsidRoot w:val="00A77B3E"/>
    <w:rsid w:val="0001433A"/>
    <w:rsid w:val="00021064"/>
    <w:rsid w:val="00025918"/>
    <w:rsid w:val="00031D7E"/>
    <w:rsid w:val="00033150"/>
    <w:rsid w:val="00034330"/>
    <w:rsid w:val="000376B4"/>
    <w:rsid w:val="000401EB"/>
    <w:rsid w:val="00046A79"/>
    <w:rsid w:val="000545C9"/>
    <w:rsid w:val="00072EC5"/>
    <w:rsid w:val="00075445"/>
    <w:rsid w:val="00090556"/>
    <w:rsid w:val="00096C71"/>
    <w:rsid w:val="00097285"/>
    <w:rsid w:val="000A7877"/>
    <w:rsid w:val="000A7C50"/>
    <w:rsid w:val="000C0551"/>
    <w:rsid w:val="000C06A2"/>
    <w:rsid w:val="000C0D14"/>
    <w:rsid w:val="000C42CD"/>
    <w:rsid w:val="000D5DDD"/>
    <w:rsid w:val="000F0F7C"/>
    <w:rsid w:val="000F393F"/>
    <w:rsid w:val="00101C9B"/>
    <w:rsid w:val="001036A6"/>
    <w:rsid w:val="00105122"/>
    <w:rsid w:val="001127D0"/>
    <w:rsid w:val="001213F0"/>
    <w:rsid w:val="00130F9B"/>
    <w:rsid w:val="001335B2"/>
    <w:rsid w:val="00140883"/>
    <w:rsid w:val="001453AA"/>
    <w:rsid w:val="001474B7"/>
    <w:rsid w:val="001539D2"/>
    <w:rsid w:val="001553E6"/>
    <w:rsid w:val="001627B4"/>
    <w:rsid w:val="001655CD"/>
    <w:rsid w:val="00181F7C"/>
    <w:rsid w:val="001873E6"/>
    <w:rsid w:val="001914C8"/>
    <w:rsid w:val="0019268C"/>
    <w:rsid w:val="001B21AC"/>
    <w:rsid w:val="001B32D3"/>
    <w:rsid w:val="001C4881"/>
    <w:rsid w:val="001D4765"/>
    <w:rsid w:val="001E4C07"/>
    <w:rsid w:val="0021172E"/>
    <w:rsid w:val="00212B7B"/>
    <w:rsid w:val="002141FF"/>
    <w:rsid w:val="00214ABB"/>
    <w:rsid w:val="002172F9"/>
    <w:rsid w:val="00223766"/>
    <w:rsid w:val="00227FB9"/>
    <w:rsid w:val="002348DD"/>
    <w:rsid w:val="00235874"/>
    <w:rsid w:val="00237A19"/>
    <w:rsid w:val="002407C3"/>
    <w:rsid w:val="00245CF5"/>
    <w:rsid w:val="00246E55"/>
    <w:rsid w:val="00256B3E"/>
    <w:rsid w:val="002676A9"/>
    <w:rsid w:val="00282586"/>
    <w:rsid w:val="0028748F"/>
    <w:rsid w:val="00295A89"/>
    <w:rsid w:val="002A4F0D"/>
    <w:rsid w:val="002B172F"/>
    <w:rsid w:val="002C5BE7"/>
    <w:rsid w:val="002D046C"/>
    <w:rsid w:val="002E1D63"/>
    <w:rsid w:val="002E44B6"/>
    <w:rsid w:val="002E7BAD"/>
    <w:rsid w:val="002E7F20"/>
    <w:rsid w:val="002F3EBB"/>
    <w:rsid w:val="00312087"/>
    <w:rsid w:val="00323905"/>
    <w:rsid w:val="00326F11"/>
    <w:rsid w:val="003279EA"/>
    <w:rsid w:val="00332F1C"/>
    <w:rsid w:val="00334074"/>
    <w:rsid w:val="003478B3"/>
    <w:rsid w:val="00355906"/>
    <w:rsid w:val="00363894"/>
    <w:rsid w:val="003644EB"/>
    <w:rsid w:val="00364DFC"/>
    <w:rsid w:val="003759CC"/>
    <w:rsid w:val="00384A1A"/>
    <w:rsid w:val="00395517"/>
    <w:rsid w:val="00397BA2"/>
    <w:rsid w:val="003A0C30"/>
    <w:rsid w:val="003C2CE6"/>
    <w:rsid w:val="003C7829"/>
    <w:rsid w:val="003D5C05"/>
    <w:rsid w:val="003E30EA"/>
    <w:rsid w:val="003E368F"/>
    <w:rsid w:val="003E43CF"/>
    <w:rsid w:val="003E5C66"/>
    <w:rsid w:val="003F2D05"/>
    <w:rsid w:val="00420402"/>
    <w:rsid w:val="00430176"/>
    <w:rsid w:val="00437E3D"/>
    <w:rsid w:val="00446813"/>
    <w:rsid w:val="004505B4"/>
    <w:rsid w:val="00451B7F"/>
    <w:rsid w:val="004648A1"/>
    <w:rsid w:val="004710C4"/>
    <w:rsid w:val="00494327"/>
    <w:rsid w:val="004A116E"/>
    <w:rsid w:val="004A34B8"/>
    <w:rsid w:val="004B7784"/>
    <w:rsid w:val="004C3D93"/>
    <w:rsid w:val="004C6ABB"/>
    <w:rsid w:val="004D180A"/>
    <w:rsid w:val="004D1A28"/>
    <w:rsid w:val="004D5A46"/>
    <w:rsid w:val="004E1949"/>
    <w:rsid w:val="004E30F7"/>
    <w:rsid w:val="004E46D0"/>
    <w:rsid w:val="004F4F72"/>
    <w:rsid w:val="004F590A"/>
    <w:rsid w:val="004F6905"/>
    <w:rsid w:val="0050031B"/>
    <w:rsid w:val="00516857"/>
    <w:rsid w:val="00521162"/>
    <w:rsid w:val="005517E9"/>
    <w:rsid w:val="00552E2D"/>
    <w:rsid w:val="00553DC5"/>
    <w:rsid w:val="00563AE3"/>
    <w:rsid w:val="005719D1"/>
    <w:rsid w:val="005743D8"/>
    <w:rsid w:val="00585117"/>
    <w:rsid w:val="00587631"/>
    <w:rsid w:val="005876E6"/>
    <w:rsid w:val="00592E3C"/>
    <w:rsid w:val="00595298"/>
    <w:rsid w:val="00596A06"/>
    <w:rsid w:val="005A2BB8"/>
    <w:rsid w:val="005A2FB8"/>
    <w:rsid w:val="005A64E9"/>
    <w:rsid w:val="005B7E51"/>
    <w:rsid w:val="005C2BB3"/>
    <w:rsid w:val="005C5307"/>
    <w:rsid w:val="005D030D"/>
    <w:rsid w:val="005D08FF"/>
    <w:rsid w:val="005E1720"/>
    <w:rsid w:val="005E41E2"/>
    <w:rsid w:val="005F7254"/>
    <w:rsid w:val="00602C6B"/>
    <w:rsid w:val="00612B89"/>
    <w:rsid w:val="006203F8"/>
    <w:rsid w:val="00621A40"/>
    <w:rsid w:val="00623256"/>
    <w:rsid w:val="00626504"/>
    <w:rsid w:val="0063051F"/>
    <w:rsid w:val="00631446"/>
    <w:rsid w:val="0064218A"/>
    <w:rsid w:val="0065709E"/>
    <w:rsid w:val="00670F1F"/>
    <w:rsid w:val="006724E7"/>
    <w:rsid w:val="006737F3"/>
    <w:rsid w:val="00682280"/>
    <w:rsid w:val="006842D4"/>
    <w:rsid w:val="006866F9"/>
    <w:rsid w:val="006A5C0F"/>
    <w:rsid w:val="006A6942"/>
    <w:rsid w:val="006B0D11"/>
    <w:rsid w:val="006B4304"/>
    <w:rsid w:val="006B6F62"/>
    <w:rsid w:val="006B7B13"/>
    <w:rsid w:val="006C1C69"/>
    <w:rsid w:val="006C2F85"/>
    <w:rsid w:val="006D2ABC"/>
    <w:rsid w:val="00703C5A"/>
    <w:rsid w:val="00705203"/>
    <w:rsid w:val="00716659"/>
    <w:rsid w:val="00717773"/>
    <w:rsid w:val="00721E8C"/>
    <w:rsid w:val="0072680F"/>
    <w:rsid w:val="00731510"/>
    <w:rsid w:val="007424B6"/>
    <w:rsid w:val="00752F4D"/>
    <w:rsid w:val="007575B2"/>
    <w:rsid w:val="007671BB"/>
    <w:rsid w:val="00777466"/>
    <w:rsid w:val="007812EA"/>
    <w:rsid w:val="007827F0"/>
    <w:rsid w:val="00784B83"/>
    <w:rsid w:val="007859ED"/>
    <w:rsid w:val="00786D98"/>
    <w:rsid w:val="00787ECA"/>
    <w:rsid w:val="00792C9E"/>
    <w:rsid w:val="00794DB0"/>
    <w:rsid w:val="007A4972"/>
    <w:rsid w:val="007B1796"/>
    <w:rsid w:val="007B4F61"/>
    <w:rsid w:val="007C010A"/>
    <w:rsid w:val="007C3642"/>
    <w:rsid w:val="007C4B36"/>
    <w:rsid w:val="007C7DE5"/>
    <w:rsid w:val="007D28C7"/>
    <w:rsid w:val="007D47D9"/>
    <w:rsid w:val="007F1DAD"/>
    <w:rsid w:val="007F2D9F"/>
    <w:rsid w:val="0080174F"/>
    <w:rsid w:val="008070F3"/>
    <w:rsid w:val="0081650F"/>
    <w:rsid w:val="00824EB8"/>
    <w:rsid w:val="008302AF"/>
    <w:rsid w:val="00832A83"/>
    <w:rsid w:val="00835051"/>
    <w:rsid w:val="008354A4"/>
    <w:rsid w:val="008450BB"/>
    <w:rsid w:val="008623B8"/>
    <w:rsid w:val="00864A66"/>
    <w:rsid w:val="00865502"/>
    <w:rsid w:val="00874C40"/>
    <w:rsid w:val="008773A2"/>
    <w:rsid w:val="0088580A"/>
    <w:rsid w:val="00887693"/>
    <w:rsid w:val="00891366"/>
    <w:rsid w:val="00891EB8"/>
    <w:rsid w:val="00896A3D"/>
    <w:rsid w:val="008A1843"/>
    <w:rsid w:val="008A343E"/>
    <w:rsid w:val="008A40CE"/>
    <w:rsid w:val="008B0939"/>
    <w:rsid w:val="008C332F"/>
    <w:rsid w:val="008C66D1"/>
    <w:rsid w:val="008C71C3"/>
    <w:rsid w:val="008C771B"/>
    <w:rsid w:val="008D1D1F"/>
    <w:rsid w:val="008D3529"/>
    <w:rsid w:val="008E093A"/>
    <w:rsid w:val="008E7E21"/>
    <w:rsid w:val="008F1A95"/>
    <w:rsid w:val="008F3B80"/>
    <w:rsid w:val="009013CB"/>
    <w:rsid w:val="00904C27"/>
    <w:rsid w:val="00910E37"/>
    <w:rsid w:val="00915E76"/>
    <w:rsid w:val="00917379"/>
    <w:rsid w:val="009333A2"/>
    <w:rsid w:val="00933E95"/>
    <w:rsid w:val="0095697A"/>
    <w:rsid w:val="009634A8"/>
    <w:rsid w:val="00964768"/>
    <w:rsid w:val="009673A8"/>
    <w:rsid w:val="009710FF"/>
    <w:rsid w:val="00975A61"/>
    <w:rsid w:val="00980F25"/>
    <w:rsid w:val="00987A8C"/>
    <w:rsid w:val="009C23CB"/>
    <w:rsid w:val="009C455F"/>
    <w:rsid w:val="009C52D0"/>
    <w:rsid w:val="009C5A0B"/>
    <w:rsid w:val="009D43F6"/>
    <w:rsid w:val="009D4FDF"/>
    <w:rsid w:val="009D5040"/>
    <w:rsid w:val="009D7543"/>
    <w:rsid w:val="009E652D"/>
    <w:rsid w:val="009F15CD"/>
    <w:rsid w:val="009F1717"/>
    <w:rsid w:val="00A14629"/>
    <w:rsid w:val="00A3524C"/>
    <w:rsid w:val="00A3556F"/>
    <w:rsid w:val="00A3628A"/>
    <w:rsid w:val="00A45D94"/>
    <w:rsid w:val="00A70C67"/>
    <w:rsid w:val="00A71892"/>
    <w:rsid w:val="00A730C9"/>
    <w:rsid w:val="00A77B3E"/>
    <w:rsid w:val="00A86EEE"/>
    <w:rsid w:val="00A87C9C"/>
    <w:rsid w:val="00A9646C"/>
    <w:rsid w:val="00A972FB"/>
    <w:rsid w:val="00AA152F"/>
    <w:rsid w:val="00AB0433"/>
    <w:rsid w:val="00AB70EC"/>
    <w:rsid w:val="00AD21E1"/>
    <w:rsid w:val="00AD48FF"/>
    <w:rsid w:val="00AD549B"/>
    <w:rsid w:val="00AE3E76"/>
    <w:rsid w:val="00AF1C9A"/>
    <w:rsid w:val="00AF66ED"/>
    <w:rsid w:val="00AF7142"/>
    <w:rsid w:val="00AF77AA"/>
    <w:rsid w:val="00B0242A"/>
    <w:rsid w:val="00B04DC7"/>
    <w:rsid w:val="00B06C8F"/>
    <w:rsid w:val="00B17CF4"/>
    <w:rsid w:val="00B21192"/>
    <w:rsid w:val="00B2602B"/>
    <w:rsid w:val="00B272FD"/>
    <w:rsid w:val="00B27F08"/>
    <w:rsid w:val="00B3084E"/>
    <w:rsid w:val="00B31C29"/>
    <w:rsid w:val="00B32EC4"/>
    <w:rsid w:val="00B367F2"/>
    <w:rsid w:val="00B441A3"/>
    <w:rsid w:val="00B553C7"/>
    <w:rsid w:val="00B554A2"/>
    <w:rsid w:val="00B60EAC"/>
    <w:rsid w:val="00B71722"/>
    <w:rsid w:val="00B729DD"/>
    <w:rsid w:val="00B75CE5"/>
    <w:rsid w:val="00B7786F"/>
    <w:rsid w:val="00B80CD3"/>
    <w:rsid w:val="00B953F1"/>
    <w:rsid w:val="00BA0AD4"/>
    <w:rsid w:val="00BC40EA"/>
    <w:rsid w:val="00BC54A6"/>
    <w:rsid w:val="00BC7168"/>
    <w:rsid w:val="00BD6114"/>
    <w:rsid w:val="00BE0522"/>
    <w:rsid w:val="00BE2E9F"/>
    <w:rsid w:val="00BE5893"/>
    <w:rsid w:val="00BE771A"/>
    <w:rsid w:val="00BF02E5"/>
    <w:rsid w:val="00BF0EFA"/>
    <w:rsid w:val="00BF5284"/>
    <w:rsid w:val="00C168C4"/>
    <w:rsid w:val="00C1752A"/>
    <w:rsid w:val="00C220BE"/>
    <w:rsid w:val="00C231DA"/>
    <w:rsid w:val="00C24BC9"/>
    <w:rsid w:val="00C40687"/>
    <w:rsid w:val="00C52430"/>
    <w:rsid w:val="00C52976"/>
    <w:rsid w:val="00C708D5"/>
    <w:rsid w:val="00C70DE6"/>
    <w:rsid w:val="00C7199C"/>
    <w:rsid w:val="00C74565"/>
    <w:rsid w:val="00C77C49"/>
    <w:rsid w:val="00C844EA"/>
    <w:rsid w:val="00C85884"/>
    <w:rsid w:val="00C875AF"/>
    <w:rsid w:val="00C8799C"/>
    <w:rsid w:val="00C91FFE"/>
    <w:rsid w:val="00CA2A55"/>
    <w:rsid w:val="00CA4C80"/>
    <w:rsid w:val="00CB3475"/>
    <w:rsid w:val="00CB38DA"/>
    <w:rsid w:val="00CB43BC"/>
    <w:rsid w:val="00CB60FD"/>
    <w:rsid w:val="00CC1642"/>
    <w:rsid w:val="00CC60BE"/>
    <w:rsid w:val="00CD40C4"/>
    <w:rsid w:val="00CE591A"/>
    <w:rsid w:val="00CF0F9F"/>
    <w:rsid w:val="00D02ED0"/>
    <w:rsid w:val="00D0511B"/>
    <w:rsid w:val="00D06F5B"/>
    <w:rsid w:val="00D07DF7"/>
    <w:rsid w:val="00D1284B"/>
    <w:rsid w:val="00D14F8E"/>
    <w:rsid w:val="00D158D2"/>
    <w:rsid w:val="00D24A73"/>
    <w:rsid w:val="00D260F0"/>
    <w:rsid w:val="00D32E7A"/>
    <w:rsid w:val="00D3385A"/>
    <w:rsid w:val="00D352D5"/>
    <w:rsid w:val="00D4296D"/>
    <w:rsid w:val="00D434FA"/>
    <w:rsid w:val="00D449F1"/>
    <w:rsid w:val="00D70B8A"/>
    <w:rsid w:val="00D7145B"/>
    <w:rsid w:val="00D74003"/>
    <w:rsid w:val="00D7583A"/>
    <w:rsid w:val="00D85ADB"/>
    <w:rsid w:val="00D86819"/>
    <w:rsid w:val="00D87A6C"/>
    <w:rsid w:val="00D903E0"/>
    <w:rsid w:val="00DA1AC7"/>
    <w:rsid w:val="00DA54F9"/>
    <w:rsid w:val="00DB32D3"/>
    <w:rsid w:val="00DC507A"/>
    <w:rsid w:val="00DC7991"/>
    <w:rsid w:val="00DC7F4F"/>
    <w:rsid w:val="00DD6E1A"/>
    <w:rsid w:val="00DD7313"/>
    <w:rsid w:val="00DE1375"/>
    <w:rsid w:val="00DE58C5"/>
    <w:rsid w:val="00E30118"/>
    <w:rsid w:val="00E33BD7"/>
    <w:rsid w:val="00E45BCA"/>
    <w:rsid w:val="00E5375C"/>
    <w:rsid w:val="00E61C60"/>
    <w:rsid w:val="00E8621A"/>
    <w:rsid w:val="00E875F8"/>
    <w:rsid w:val="00EA7C51"/>
    <w:rsid w:val="00EC55E7"/>
    <w:rsid w:val="00ED4A72"/>
    <w:rsid w:val="00ED7D0F"/>
    <w:rsid w:val="00EE0520"/>
    <w:rsid w:val="00EE5F54"/>
    <w:rsid w:val="00F037D9"/>
    <w:rsid w:val="00F0403A"/>
    <w:rsid w:val="00F1069E"/>
    <w:rsid w:val="00F13BC9"/>
    <w:rsid w:val="00F15271"/>
    <w:rsid w:val="00F15EC2"/>
    <w:rsid w:val="00F20C1C"/>
    <w:rsid w:val="00F218DC"/>
    <w:rsid w:val="00F24257"/>
    <w:rsid w:val="00F27023"/>
    <w:rsid w:val="00F33F7D"/>
    <w:rsid w:val="00F43B3B"/>
    <w:rsid w:val="00F44829"/>
    <w:rsid w:val="00F44AF3"/>
    <w:rsid w:val="00F47D50"/>
    <w:rsid w:val="00F47DE1"/>
    <w:rsid w:val="00F5049C"/>
    <w:rsid w:val="00F518B4"/>
    <w:rsid w:val="00F54D3F"/>
    <w:rsid w:val="00F54FE3"/>
    <w:rsid w:val="00F6461E"/>
    <w:rsid w:val="00F65530"/>
    <w:rsid w:val="00F73C7D"/>
    <w:rsid w:val="00F77947"/>
    <w:rsid w:val="00F841F1"/>
    <w:rsid w:val="00F853D8"/>
    <w:rsid w:val="00F86CD6"/>
    <w:rsid w:val="00F963B9"/>
    <w:rsid w:val="00F967B9"/>
    <w:rsid w:val="00FA1275"/>
    <w:rsid w:val="00FA679E"/>
    <w:rsid w:val="00FA6B1D"/>
    <w:rsid w:val="00FD4257"/>
    <w:rsid w:val="00FD6916"/>
    <w:rsid w:val="00FE0130"/>
    <w:rsid w:val="00FE1959"/>
    <w:rsid w:val="00FF2718"/>
    <w:rsid w:val="00FF2974"/>
    <w:rsid w:val="00FF36D6"/>
    <w:rsid w:val="00FF66AB"/>
    <w:rsid w:val="00FF730F"/>
    <w:rsid w:val="163C7A2B"/>
    <w:rsid w:val="1B2E7761"/>
    <w:rsid w:val="3068332D"/>
    <w:rsid w:val="631D56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semiHidden="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semiHidden/>
    <w:unhideWhenUsed/>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2">
    <w:name w:val="annotation text"/>
    <w:basedOn w:val="1"/>
    <w:link w:val="11"/>
    <w:autoRedefine/>
    <w:unhideWhenUsed/>
    <w:qFormat/>
    <w:uiPriority w:val="0"/>
  </w:style>
  <w:style w:type="paragraph" w:styleId="3">
    <w:name w:val="Balloon Text"/>
    <w:basedOn w:val="1"/>
    <w:link w:val="13"/>
    <w:autoRedefine/>
    <w:semiHidden/>
    <w:unhideWhenUsed/>
    <w:qFormat/>
    <w:uiPriority w:val="0"/>
    <w:rPr>
      <w:sz w:val="18"/>
      <w:szCs w:val="18"/>
    </w:rPr>
  </w:style>
  <w:style w:type="paragraph" w:styleId="4">
    <w:name w:val="footer"/>
    <w:basedOn w:val="1"/>
    <w:link w:val="15"/>
    <w:autoRedefine/>
    <w:unhideWhenUsed/>
    <w:qFormat/>
    <w:uiPriority w:val="99"/>
    <w:pPr>
      <w:tabs>
        <w:tab w:val="center" w:pos="4153"/>
        <w:tab w:val="right" w:pos="8306"/>
      </w:tabs>
      <w:snapToGrid w:val="0"/>
    </w:pPr>
    <w:rPr>
      <w:sz w:val="18"/>
      <w:szCs w:val="18"/>
    </w:rPr>
  </w:style>
  <w:style w:type="paragraph" w:styleId="5">
    <w:name w:val="header"/>
    <w:basedOn w:val="1"/>
    <w:link w:val="14"/>
    <w:autoRedefine/>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2"/>
    <w:autoRedefine/>
    <w:semiHidden/>
    <w:unhideWhenUsed/>
    <w:qFormat/>
    <w:uiPriority w:val="0"/>
    <w:rPr>
      <w:b/>
      <w:bCs/>
    </w:rPr>
  </w:style>
  <w:style w:type="character" w:styleId="9">
    <w:name w:val="Hyperlink"/>
    <w:basedOn w:val="8"/>
    <w:autoRedefine/>
    <w:unhideWhenUsed/>
    <w:qFormat/>
    <w:uiPriority w:val="0"/>
    <w:rPr>
      <w:color w:val="0000FF" w:themeColor="hyperlink"/>
      <w:u w:val="single"/>
      <w14:textFill>
        <w14:solidFill>
          <w14:schemeClr w14:val="hlink"/>
        </w14:solidFill>
      </w14:textFill>
    </w:rPr>
  </w:style>
  <w:style w:type="character" w:styleId="10">
    <w:name w:val="annotation reference"/>
    <w:basedOn w:val="8"/>
    <w:autoRedefine/>
    <w:semiHidden/>
    <w:unhideWhenUsed/>
    <w:uiPriority w:val="0"/>
    <w:rPr>
      <w:sz w:val="21"/>
      <w:szCs w:val="21"/>
    </w:rPr>
  </w:style>
  <w:style w:type="character" w:customStyle="1" w:styleId="11">
    <w:name w:val="批注文字 字符"/>
    <w:basedOn w:val="8"/>
    <w:link w:val="2"/>
    <w:autoRedefine/>
    <w:qFormat/>
    <w:uiPriority w:val="0"/>
    <w:rPr>
      <w:sz w:val="24"/>
      <w:szCs w:val="24"/>
    </w:rPr>
  </w:style>
  <w:style w:type="character" w:customStyle="1" w:styleId="12">
    <w:name w:val="批注主题 字符"/>
    <w:basedOn w:val="11"/>
    <w:link w:val="6"/>
    <w:semiHidden/>
    <w:uiPriority w:val="0"/>
    <w:rPr>
      <w:b/>
      <w:bCs/>
      <w:sz w:val="24"/>
      <w:szCs w:val="24"/>
    </w:rPr>
  </w:style>
  <w:style w:type="character" w:customStyle="1" w:styleId="13">
    <w:name w:val="批注框文本 字符"/>
    <w:basedOn w:val="8"/>
    <w:link w:val="3"/>
    <w:semiHidden/>
    <w:uiPriority w:val="0"/>
    <w:rPr>
      <w:sz w:val="18"/>
      <w:szCs w:val="18"/>
    </w:rPr>
  </w:style>
  <w:style w:type="character" w:customStyle="1" w:styleId="14">
    <w:name w:val="页眉 字符"/>
    <w:basedOn w:val="8"/>
    <w:link w:val="5"/>
    <w:autoRedefine/>
    <w:qFormat/>
    <w:uiPriority w:val="0"/>
    <w:rPr>
      <w:sz w:val="18"/>
      <w:szCs w:val="18"/>
    </w:rPr>
  </w:style>
  <w:style w:type="character" w:customStyle="1" w:styleId="15">
    <w:name w:val="页脚 字符"/>
    <w:basedOn w:val="8"/>
    <w:link w:val="4"/>
    <w:autoRedefine/>
    <w:qFormat/>
    <w:uiPriority w:val="99"/>
    <w:rPr>
      <w:sz w:val="18"/>
      <w:szCs w:val="18"/>
    </w:rPr>
  </w:style>
  <w:style w:type="paragraph" w:customStyle="1" w:styleId="16">
    <w:name w:val="Revision"/>
    <w:autoRedefine/>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7FCD40-3273-4121-B0E9-EFBEEE065811}">
  <ds:schemaRefs/>
</ds:datastoreItem>
</file>

<file path=docProps/app.xml><?xml version="1.0" encoding="utf-8"?>
<Properties xmlns="http://schemas.openxmlformats.org/officeDocument/2006/extended-properties" xmlns:vt="http://schemas.openxmlformats.org/officeDocument/2006/docPropsVTypes">
  <Template>Normal</Template>
  <Pages>16</Pages>
  <Words>3315</Words>
  <Characters>18897</Characters>
  <Lines>157</Lines>
  <Paragraphs>44</Paragraphs>
  <TotalTime>0</TotalTime>
  <ScaleCrop>false</ScaleCrop>
  <LinksUpToDate>false</LinksUpToDate>
  <CharactersWithSpaces>22168</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2024-01-16T17:13:00Z</dcterms:created>
  <dc:creator>yamaguchi2</dc:creator>
  <cp:lastModifiedBy>晓晨</cp:lastModifiedBy>
  <cp:lastPrinted>2023-11-19T07:16:00Z</cp:lastPrinted>
  <dcterms:modified xsi:type="dcterms:W3CDTF">2024-01-25T07:06:22Z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494503e6decbec9d1e820ba9ef23935657c34250c38c306d8bed31ad1b0f8d20</vt:lpwstr>
  </property>
  <property fmtid="{D5CDD505-2E9C-101B-9397-08002B2CF9AE}" pid="3" name="KSOProductBuildVer">
    <vt:lpwstr>2052-12.1.0.16120</vt:lpwstr>
  </property>
  <property fmtid="{D5CDD505-2E9C-101B-9397-08002B2CF9AE}" pid="4" name="ICV">
    <vt:lpwstr>93BA3F3955674927914AFD71C3AB6D54_12</vt:lpwstr>
  </property>
</Properties>
</file>