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Surgical Procedures</w:t>
      </w:r>
    </w:p>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Manuscript NO: </w:t>
      </w:r>
      <w:r>
        <w:rPr>
          <w:rFonts w:ascii="Book Antiqua" w:hAnsi="Book Antiqua" w:eastAsia="Book Antiqua" w:cs="Book Antiqua"/>
        </w:rPr>
        <w:t>88888</w:t>
      </w:r>
    </w:p>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Endoscopic </w:t>
      </w:r>
      <w:r>
        <w:rPr>
          <w:rFonts w:hint="eastAsia" w:ascii="Book Antiqua" w:hAnsi="Book Antiqua" w:eastAsia="宋体" w:cs="Book Antiqua"/>
          <w:b/>
          <w:color w:val="000000"/>
          <w:lang w:eastAsia="zh-CN"/>
        </w:rPr>
        <w:t>i</w:t>
      </w:r>
      <w:r>
        <w:rPr>
          <w:rFonts w:ascii="Book Antiqua" w:hAnsi="Book Antiqua" w:eastAsia="Book Antiqua" w:cs="Book Antiqua"/>
          <w:b/>
          <w:color w:val="000000"/>
        </w:rPr>
        <w:t>ntermuscular dissection for locally advanced rectal cancer: A case report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Sekra</w:t>
      </w:r>
      <w:r>
        <w:rPr>
          <w:rFonts w:hint="eastAsia" w:ascii="Book Antiqua" w:hAnsi="Book Antiqua" w:eastAsia="宋体" w:cs="Book Antiqua"/>
          <w:color w:val="000000"/>
          <w:lang w:eastAsia="zh-CN"/>
        </w:rPr>
        <w:t xml:space="preserve"> A </w:t>
      </w:r>
      <w:r>
        <w:rPr>
          <w:rFonts w:hint="eastAsia" w:ascii="Book Antiqua" w:hAnsi="Book Antiqua" w:eastAsia="宋体" w:cs="Book Antiqua"/>
          <w:i/>
          <w:iCs/>
          <w:color w:val="000000"/>
          <w:lang w:eastAsia="zh-CN"/>
        </w:rPr>
        <w:t>et al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EID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Anurag Sekra, Tracy Tan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Anurag Sekra, </w:t>
      </w:r>
      <w:r>
        <w:rPr>
          <w:rFonts w:ascii="Book Antiqua" w:hAnsi="Book Antiqua" w:eastAsia="Book Antiqua" w:cs="Book Antiqua"/>
          <w:color w:val="000000"/>
        </w:rPr>
        <w:t xml:space="preserve">Department of Gastroenterology and </w:t>
      </w:r>
      <w:r>
        <w:rPr>
          <w:rFonts w:hint="eastAsia" w:ascii="Book Antiqua" w:hAnsi="Book Antiqua" w:eastAsia="宋体" w:cs="Book Antiqua"/>
          <w:color w:val="000000"/>
          <w:lang w:eastAsia="zh-CN"/>
        </w:rPr>
        <w:t>H</w:t>
      </w:r>
      <w:r>
        <w:rPr>
          <w:rFonts w:ascii="Book Antiqua" w:hAnsi="Book Antiqua" w:eastAsia="Book Antiqua" w:cs="Book Antiqua"/>
          <w:color w:val="000000"/>
        </w:rPr>
        <w:t>epatology, Te Whatu Ora, Counties Manukau Health, Auckland 2025, New Zealand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Tracy Tan, </w:t>
      </w:r>
      <w:r>
        <w:rPr>
          <w:rFonts w:ascii="Book Antiqua" w:hAnsi="Book Antiqua" w:eastAsia="Book Antiqua" w:cs="Book Antiqua"/>
          <w:color w:val="000000"/>
        </w:rPr>
        <w:t>Department of Pathology, Te Whatu Ora, Counties Manukau Health, Auckland 2025, New Zealand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宋体" w:cs="Book Antiqua"/>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Sekra A performed the procedure and wrote the manuscript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Tan T reported the pathology and described the pathology figure in the manuscript</w:t>
      </w:r>
      <w:r>
        <w:rPr>
          <w:rFonts w:hint="eastAsia" w:ascii="Book Antiqua" w:hAnsi="Book Antiqua" w:eastAsia="宋体" w:cs="Book Antiqua"/>
          <w:color w:val="000000"/>
          <w:lang w:eastAsia="zh-CN"/>
        </w:rPr>
        <w: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Corresponding author: Anurag Sekra, FRACP, MBBS, MD, Doctor, </w:t>
      </w:r>
      <w:r>
        <w:rPr>
          <w:rFonts w:ascii="Book Antiqua" w:hAnsi="Book Antiqua" w:eastAsia="Book Antiqua" w:cs="Book Antiqua"/>
          <w:color w:val="000000"/>
        </w:rPr>
        <w:t xml:space="preserve">Department of Gastroenterology and </w:t>
      </w:r>
      <w:r>
        <w:rPr>
          <w:rFonts w:hint="eastAsia" w:ascii="Book Antiqua" w:hAnsi="Book Antiqua" w:eastAsia="宋体" w:cs="Book Antiqua"/>
          <w:color w:val="000000"/>
          <w:lang w:eastAsia="zh-CN"/>
        </w:rPr>
        <w:t>H</w:t>
      </w:r>
      <w:r>
        <w:rPr>
          <w:rFonts w:ascii="Book Antiqua" w:hAnsi="Book Antiqua" w:eastAsia="Book Antiqua" w:cs="Book Antiqua"/>
          <w:color w:val="000000"/>
        </w:rPr>
        <w:t xml:space="preserve">epatology, Te Whatu Ora, Counties Manukau Health, </w:t>
      </w:r>
      <w:r>
        <w:rPr>
          <w:rFonts w:hint="eastAsia" w:ascii="Book Antiqua" w:hAnsi="Book Antiqua" w:eastAsia="宋体" w:cs="Book Antiqua"/>
          <w:color w:val="000000"/>
          <w:lang w:eastAsia="zh-CN"/>
        </w:rPr>
        <w:t xml:space="preserve">No. </w:t>
      </w:r>
      <w:r>
        <w:rPr>
          <w:rFonts w:ascii="Book Antiqua" w:hAnsi="Book Antiqua" w:eastAsia="Book Antiqua" w:cs="Book Antiqua"/>
          <w:color w:val="000000"/>
        </w:rPr>
        <w:t>100 Hospital Road, Otahuhu, Auckland 2025, New Zealand. doctorsekra@gmail.com</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Received: </w:t>
      </w:r>
      <w:r>
        <w:rPr>
          <w:rFonts w:ascii="Book Antiqua" w:hAnsi="Book Antiqua" w:eastAsia="Book Antiqua" w:cs="Book Antiqua"/>
        </w:rPr>
        <w:t>October 13,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Revised: </w:t>
      </w:r>
      <w:r>
        <w:rPr>
          <w:rFonts w:ascii="Book Antiqua" w:hAnsi="Book Antiqua" w:eastAsia="Book Antiqua" w:cs="Book Antiqua"/>
        </w:rPr>
        <w:t>November 8,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Accepted: </w:t>
      </w:r>
      <w:r>
        <w:rPr>
          <w:rFonts w:ascii="Book Antiqua" w:hAnsi="Book Antiqua" w:eastAsia="Book Antiqua" w:cs="Book Antiqua"/>
        </w:rPr>
        <w:t>November 21,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December 28, 2023</w:t>
      </w:r>
    </w:p>
    <w:p>
      <w:pPr>
        <w:adjustRightInd w:val="0"/>
        <w:snapToGrid w:val="0"/>
        <w:spacing w:line="360" w:lineRule="auto"/>
        <w:jc w:val="both"/>
        <w:rPr>
          <w:rFonts w:ascii="Book Antiqua" w:hAnsi="Book Antiqua" w:cs="Book Antiqua"/>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333333"/>
        </w:rPr>
        <w:t xml:space="preserve">Endoscopic </w:t>
      </w:r>
      <w:r>
        <w:rPr>
          <w:rFonts w:hint="eastAsia" w:ascii="Book Antiqua" w:hAnsi="Book Antiqua" w:eastAsia="宋体" w:cs="Book Antiqua"/>
          <w:color w:val="333333"/>
          <w:lang w:eastAsia="zh-CN"/>
        </w:rPr>
        <w:t>s</w:t>
      </w:r>
      <w:r>
        <w:rPr>
          <w:rFonts w:ascii="Book Antiqua" w:hAnsi="Book Antiqua" w:eastAsia="Book Antiqua" w:cs="Book Antiqua"/>
          <w:color w:val="333333"/>
        </w:rPr>
        <w:t xml:space="preserve">ubmucosal </w:t>
      </w:r>
      <w:r>
        <w:rPr>
          <w:rFonts w:hint="eastAsia" w:ascii="Book Antiqua" w:hAnsi="Book Antiqua" w:eastAsia="宋体" w:cs="Book Antiqua"/>
          <w:color w:val="333333"/>
          <w:lang w:eastAsia="zh-CN"/>
        </w:rPr>
        <w:t>d</w:t>
      </w:r>
      <w:r>
        <w:rPr>
          <w:rFonts w:ascii="Book Antiqua" w:hAnsi="Book Antiqua" w:eastAsia="Book Antiqua" w:cs="Book Antiqua"/>
          <w:color w:val="333333"/>
        </w:rPr>
        <w:t>issection</w:t>
      </w:r>
      <w:r>
        <w:rPr>
          <w:rFonts w:hint="eastAsia" w:ascii="Book Antiqua" w:hAnsi="Book Antiqua" w:eastAsia="宋体" w:cs="Book Antiqua"/>
          <w:color w:val="333333"/>
          <w:lang w:eastAsia="zh-CN"/>
        </w:rPr>
        <w:t xml:space="preserve"> </w:t>
      </w:r>
      <w:r>
        <w:rPr>
          <w:rFonts w:ascii="Book Antiqua" w:hAnsi="Book Antiqua" w:eastAsia="Book Antiqua" w:cs="Book Antiqua"/>
          <w:color w:val="333333"/>
        </w:rPr>
        <w:t>is considered curative for patients with early rectal cancer when</w:t>
      </w:r>
      <w:r>
        <w:rPr>
          <w:rFonts w:hint="eastAsia" w:ascii="Book Antiqua" w:hAnsi="Book Antiqua" w:eastAsia="宋体" w:cs="Book Antiqua"/>
          <w:color w:val="333333"/>
          <w:lang w:eastAsia="zh-CN"/>
        </w:rPr>
        <w:t xml:space="preserve"> </w:t>
      </w:r>
      <w:r>
        <w:rPr>
          <w:rFonts w:ascii="Book Antiqua" w:hAnsi="Book Antiqua" w:eastAsia="Book Antiqua" w:cs="Book Antiqua"/>
          <w:color w:val="333333"/>
        </w:rPr>
        <w:t>level of submucosal invasion is</w:t>
      </w:r>
      <w:r>
        <w:rPr>
          <w:rFonts w:hint="eastAsia" w:ascii="Book Antiqua" w:hAnsi="Book Antiqua" w:eastAsia="宋体" w:cs="Book Antiqua"/>
          <w:color w:val="333333"/>
          <w:lang w:eastAsia="zh-CN"/>
        </w:rPr>
        <w:t xml:space="preserve"> </w:t>
      </w:r>
      <w:r>
        <w:rPr>
          <w:rFonts w:ascii="Book Antiqua" w:hAnsi="Book Antiqua" w:eastAsia="Book Antiqua" w:cs="Book Antiqua"/>
          <w:color w:val="333333"/>
        </w:rPr>
        <w:t>&lt; 1000 microns with favourable histopathological features. Recent data suggests even deeper submucosal invasion can potentially be curative if R0 resection can be achieved and when no high-risk histopathological features are seen in the resected specimen.</w:t>
      </w:r>
      <w:r>
        <w:rPr>
          <w:rFonts w:hint="eastAsia" w:ascii="Book Antiqua" w:hAnsi="Book Antiqua" w:eastAsia="宋体" w:cs="Book Antiqua"/>
          <w:color w:val="333333"/>
          <w:lang w:eastAsia="zh-CN"/>
        </w:rPr>
        <w:t xml:space="preserve"> </w:t>
      </w:r>
      <w:r>
        <w:rPr>
          <w:rFonts w:ascii="Book Antiqua" w:hAnsi="Book Antiqua" w:eastAsia="Book Antiqua" w:cs="Book Antiqua"/>
          <w:color w:val="333333"/>
        </w:rPr>
        <w:t>To achieve R0 resection, deeper dissection is required.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CASE SUMMARY</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A 66 year old </w:t>
      </w:r>
      <w:r>
        <w:rPr>
          <w:rFonts w:ascii="Book Antiqua" w:hAnsi="Book Antiqua" w:eastAsia="Book Antiqua" w:cs="Book Antiqua"/>
          <w:color w:val="000000"/>
        </w:rPr>
        <w:t>New Zealand</w:t>
      </w:r>
      <w:r>
        <w:rPr>
          <w:rFonts w:ascii="Book Antiqua" w:hAnsi="Book Antiqua" w:eastAsia="Book Antiqua" w:cs="Book Antiqua"/>
        </w:rPr>
        <w:t xml:space="preserve"> European male presented with 3 mo history of per rectal bleeding. He was referred for a colonoscopy test to investigate this further. This revealed a malignant appearing lesion in the rectum. Biopsies however showed high grade dysplasia only. Given endoscopic appearances suspicious for deep submucosal invasion, patient was consented for endoscopic intermuscular dissection</w:t>
      </w:r>
      <w:r>
        <w:rPr>
          <w:rFonts w:ascii="Book Antiqua" w:hAnsi="Book Antiqua" w:eastAsia="Book Antiqua" w:cs="Book Antiqua"/>
          <w:color w:val="000000"/>
        </w:rPr>
        <w:t xml:space="preserve"> (EID)</w:t>
      </w:r>
      <w:r>
        <w:rPr>
          <w:rFonts w:ascii="Book Antiqua" w:hAnsi="Book Antiqua" w:eastAsia="Book Antiqua" w:cs="Book Antiqua"/>
        </w:rPr>
        <w:t>.</w:t>
      </w:r>
      <w:r>
        <w:rPr>
          <w:rFonts w:hint="eastAsia" w:ascii="Book Antiqua" w:hAnsi="Book Antiqua" w:eastAsia="宋体" w:cs="Book Antiqua"/>
          <w:lang w:val="en-US" w:eastAsia="zh-CN"/>
        </w:rPr>
        <w:t xml:space="preserve"> </w:t>
      </w:r>
      <w:r>
        <w:rPr>
          <w:rFonts w:ascii="Book Antiqua" w:hAnsi="Book Antiqua" w:eastAsia="Book Antiqua" w:cs="Book Antiqua"/>
          <w:color w:val="333333"/>
        </w:rPr>
        <w:t>The case was successfully performed, and the presence of muscularis propria was confirmed in the resected specimen. There were no complications and total procedure time was 124 min. Lesion was clear of radial margins however deep margins were positive confirming it was at least a pT2 cancer. Patient was recommended to have further treatment but could not have radical surgery due to comorbidities and instead was referred for long course chemoradiotherapy.</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EID</w:t>
      </w:r>
      <w:r>
        <w:rPr>
          <w:rFonts w:ascii="Book Antiqua" w:hAnsi="Book Antiqua" w:eastAsia="Book Antiqua" w:cs="Book Antiqua"/>
        </w:rPr>
        <w:t xml:space="preserve"> is a safe and feasible option for management of rectal cancer in highly selected patients.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Key Words: </w:t>
      </w:r>
      <w:r>
        <w:rPr>
          <w:rFonts w:ascii="Book Antiqua" w:hAnsi="Book Antiqua" w:eastAsia="Book Antiqua" w:cs="Book Antiqua"/>
        </w:rPr>
        <w:t>Endoscopic intermuscular dissection; Endoscopic submucosal dissection; Rectal cancer; Interventional endoscopy; Case report</w:t>
      </w:r>
    </w:p>
    <w:p>
      <w:pPr>
        <w:adjustRightInd w:val="0"/>
        <w:snapToGrid w:val="0"/>
        <w:spacing w:line="360" w:lineRule="auto"/>
        <w:jc w:val="both"/>
        <w:rPr>
          <w:rFonts w:ascii="Book Antiqua" w:hAnsi="Book Antiqua" w:cs="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cs="Book Antiqua"/>
        </w:rPr>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Sekra A, Tan T. </w:t>
      </w:r>
      <w:r>
        <w:rPr>
          <w:rFonts w:hint="eastAsia" w:ascii="Book Antiqua" w:hAnsi="Book Antiqua" w:eastAsia="Book Antiqua" w:cs="Book Antiqua"/>
        </w:rPr>
        <w:t>Endoscopic intermuscular dissection for locally advanced rectal cancer: A case report</w:t>
      </w:r>
      <w:r>
        <w:rPr>
          <w:rFonts w:ascii="Book Antiqua" w:hAnsi="Book Antiqua" w:eastAsia="Book Antiqua" w:cs="Book Antiqua"/>
        </w:rPr>
        <w:t xml:space="preserve">. </w:t>
      </w:r>
      <w:r>
        <w:rPr>
          <w:rFonts w:ascii="Book Antiqua" w:hAnsi="Book Antiqua" w:eastAsia="Book Antiqua" w:cs="Book Antiqua"/>
          <w:i/>
          <w:iCs/>
        </w:rPr>
        <w:t>World J Surg Proced</w:t>
      </w:r>
      <w:r>
        <w:rPr>
          <w:rFonts w:ascii="Book Antiqua" w:hAnsi="Book Antiqua" w:eastAsia="Book Antiqua" w:cs="Book Antiqua"/>
        </w:rPr>
        <w:t xml:space="preserve"> 2023; </w:t>
      </w:r>
      <w:r>
        <w:rPr>
          <w:rFonts w:hint="eastAsia" w:ascii="Book Antiqua" w:hAnsi="Book Antiqua" w:eastAsia="Book Antiqua" w:cs="Book Antiqua"/>
        </w:rPr>
        <w:t>13(</w:t>
      </w:r>
      <w:r>
        <w:rPr>
          <w:rFonts w:hint="eastAsia" w:ascii="Book Antiqua" w:hAnsi="Book Antiqua" w:eastAsia="宋体" w:cs="Book Antiqua"/>
          <w:lang w:val="en-US" w:eastAsia="zh-CN"/>
        </w:rPr>
        <w:t>3</w:t>
      </w:r>
      <w:r>
        <w:rPr>
          <w:rFonts w:hint="eastAsia" w:ascii="Book Antiqua" w:hAnsi="Book Antiqua" w:eastAsia="Book Antiqua" w:cs="Book Antiqua"/>
        </w:rPr>
        <w:t xml:space="preserve">): </w:t>
      </w:r>
      <w:r>
        <w:rPr>
          <w:rStyle w:val="15"/>
          <w:rFonts w:hint="default" w:ascii="Book Antiqua" w:hAnsi="Book Antiqua" w:eastAsia="宋体" w:cs="Book Antiqua"/>
          <w:sz w:val="24"/>
          <w:szCs w:val="24"/>
          <w:lang w:val="en-US" w:eastAsia="zh-CN" w:bidi="ar"/>
        </w:rPr>
        <w:t>22-28</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https://www.wjgnet.com/2219-2832/full/v13/i</w:t>
      </w:r>
      <w:r>
        <w:rPr>
          <w:rFonts w:hint="eastAsia" w:ascii="Book Antiqua" w:hAnsi="Book Antiqua" w:eastAsia="宋体" w:cs="Book Antiqua"/>
          <w:lang w:val="en-US" w:eastAsia="zh-CN"/>
        </w:rPr>
        <w:t>3</w:t>
      </w:r>
      <w:r>
        <w:rPr>
          <w:rFonts w:hint="eastAsia" w:ascii="Book Antiqua" w:hAnsi="Book Antiqua" w:eastAsia="Book Antiqua" w:cs="Book Antiqua"/>
        </w:rPr>
        <w:t>/</w:t>
      </w:r>
      <w:r>
        <w:rPr>
          <w:rStyle w:val="15"/>
          <w:rFonts w:hint="default" w:ascii="Book Antiqua" w:hAnsi="Book Antiqua" w:eastAsia="宋体" w:cs="Book Antiqua"/>
          <w:sz w:val="24"/>
          <w:szCs w:val="24"/>
          <w:lang w:val="en-US" w:eastAsia="zh-CN" w:bidi="ar"/>
        </w:rPr>
        <w:t>22</w:t>
      </w:r>
      <w:r>
        <w:rPr>
          <w:rFonts w:hint="eastAsia" w:ascii="Book Antiqua" w:hAnsi="Book Antiqua" w:eastAsia="Book Antiqua" w:cs="Book Antiqua"/>
        </w:rPr>
        <w:t xml:space="preserve">.htm </w:t>
      </w:r>
    </w:p>
    <w:p>
      <w:pPr>
        <w:adjustRightInd w:val="0"/>
        <w:snapToGrid w:val="0"/>
        <w:spacing w:line="360" w:lineRule="auto"/>
        <w:jc w:val="both"/>
        <w:rPr>
          <w:rFonts w:ascii="Book Antiqua" w:hAnsi="Book Antiqua" w:cs="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https://dx.doi.org/10.5412/wjsp.v13.i</w:t>
      </w:r>
      <w:r>
        <w:rPr>
          <w:rFonts w:hint="eastAsia" w:ascii="Book Antiqua" w:hAnsi="Book Antiqua" w:eastAsia="宋体" w:cs="Book Antiqua"/>
          <w:lang w:val="en-US" w:eastAsia="zh-CN"/>
        </w:rPr>
        <w:t>3</w:t>
      </w:r>
      <w:r>
        <w:rPr>
          <w:rFonts w:hint="eastAsia" w:ascii="Book Antiqua" w:hAnsi="Book Antiqua" w:eastAsia="Book Antiqua" w:cs="Book Antiqua"/>
        </w:rPr>
        <w:t>.</w:t>
      </w:r>
      <w:r>
        <w:rPr>
          <w:rStyle w:val="15"/>
          <w:rFonts w:hint="default" w:ascii="Book Antiqua" w:hAnsi="Book Antiqua" w:eastAsia="宋体" w:cs="Book Antiqua"/>
          <w:sz w:val="24"/>
          <w:szCs w:val="24"/>
          <w:lang w:val="en-US" w:eastAsia="zh-CN" w:bidi="ar"/>
        </w:rPr>
        <w:t>22</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Core Tip: </w:t>
      </w:r>
      <w:r>
        <w:rPr>
          <w:rFonts w:ascii="Book Antiqua" w:hAnsi="Book Antiqua" w:eastAsia="Book Antiqua" w:cs="Book Antiqua"/>
        </w:rPr>
        <w:t>Endoscopic intermuscular dissection is a novel technique for management of locally advanced rectal cancer especially for patients who are not fit for oncological surgery or chemoradiotherapy. This technique ensures local resection of the tumour which is safe and feasible with minimal recovery times.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Endoscopic submucosal dissection (ESD), for early rectal cancer, is considered a curative option for patients. It is an organ preserving surgery with higher rates of en bloc resection and lower risk of local recurrence compared with endoscopic mucosal resection</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w:t>
      </w:r>
      <w:r>
        <w:rPr>
          <w:rFonts w:ascii="Book Antiqua" w:hAnsi="Book Antiqua" w:eastAsia="Book Antiqua" w:cs="Book Antiqua"/>
          <w:color w:val="000000"/>
          <w:vertAlign w:val="superscript"/>
        </w:rPr>
        <w:t>]</w:t>
      </w:r>
      <w:r>
        <w:rPr>
          <w:rFonts w:ascii="Book Antiqua" w:hAnsi="Book Antiqua" w:eastAsia="Book Antiqua" w:cs="Book Antiqua"/>
          <w:color w:val="000000"/>
        </w:rPr>
        <w:t>. It is significantly cheaper than radical surgery, with significantly fewer days in hospital and has lower morbidity and mortality</w:t>
      </w:r>
      <w:r>
        <w:rPr>
          <w:rFonts w:ascii="Book Antiqua" w:hAnsi="Book Antiqua" w:eastAsia="Book Antiqua" w:cs="Book Antiqua"/>
          <w:color w:val="000000"/>
          <w:vertAlign w:val="superscript"/>
        </w:rPr>
        <w:t>[2-4]</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Early rectal cancer is defined as T1 cancer with invasion &lt;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1000 microns into the submucosa (SM) or SM1 Kikuchi levels, as the risk of nodal metastasis is close to 0%. ESD is considered curative for these lesions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5</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 xml:space="preserve">Recent </w:t>
      </w:r>
      <w:r>
        <w:rPr>
          <w:rFonts w:hint="eastAsia" w:ascii="Book Antiqua" w:hAnsi="Book Antiqua" w:eastAsia="Book Antiqua" w:cs="Book Antiqua"/>
          <w:color w:val="000000"/>
        </w:rPr>
        <w:t>European Society of Gastrointestinal Endoscopy</w:t>
      </w:r>
      <w:r>
        <w:rPr>
          <w:rFonts w:ascii="Book Antiqua" w:hAnsi="Book Antiqua" w:eastAsia="Book Antiqua" w:cs="Book Antiqua"/>
          <w:color w:val="000000"/>
        </w:rPr>
        <w:t xml:space="preserve"> guidelines also recommend that an en bloc R0 resection of a superficial lesion with histology no more advanced than well-differentiated adenocarcinoma (G1/G2), sm1 (&lt;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mm SM invasion) with no lymphovascular invasion (LVI), would be considered curative. Surgery, on the other hand, is recommended when LVI (deeper infiltration than SM1), positive/ non evaluable vertical margins, or poorly differentiated tumour with SM invasion is diagnosed</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6</w:t>
      </w:r>
      <w:r>
        <w:rPr>
          <w:rFonts w:ascii="Book Antiqua" w:hAnsi="Book Antiqua" w:eastAsia="Book Antiqua" w:cs="Book Antiqua"/>
          <w:color w:val="000000"/>
          <w:vertAlign w:val="superscript"/>
        </w:rPr>
        <w:t>]</w:t>
      </w:r>
      <w:r>
        <w:rPr>
          <w:rFonts w:ascii="Book Antiqua" w:hAnsi="Book Antiqua" w:eastAsia="Book Antiqua" w:cs="Book Antiqua"/>
          <w:color w:val="000000"/>
        </w:rPr>
        <w:t>. However, more recent data suggests that the depth of SM invasion is not an independent risk factor for lymph node metastasis (LNM) in T1 colorectal cancer (CRC)</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7</w:t>
      </w:r>
      <w:r>
        <w:rPr>
          <w:rFonts w:ascii="Book Antiqua" w:hAnsi="Book Antiqua" w:eastAsia="Book Antiqua" w:cs="Book Antiqua"/>
          <w:color w:val="000000"/>
          <w:vertAlign w:val="superscript"/>
        </w:rPr>
        <w:t>]</w:t>
      </w:r>
      <w:r>
        <w:rPr>
          <w:rFonts w:ascii="Book Antiqua" w:hAnsi="Book Antiqua" w:eastAsia="Book Antiqua" w:cs="Book Antiqua"/>
          <w:color w:val="000000"/>
        </w:rPr>
        <w:t>. Several studies have shown that in the absence of adverse histopathological risk factors, such as; poor differentiation, high tumour budding, LVI, and perineural invasion, the risk of LNM (regardless of depth of SM invasion) is extremely low</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8-11</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With ESD the dissection plane is limited to SM. As a result, the vertical margins are more likely to be positive if the lesions invade deeper into the SM</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12</w:t>
      </w:r>
      <w:r>
        <w:rPr>
          <w:rFonts w:ascii="Book Antiqua" w:hAnsi="Book Antiqua" w:eastAsia="Book Antiqua" w:cs="Book Antiqua"/>
          <w:color w:val="000000"/>
          <w:vertAlign w:val="superscript"/>
        </w:rPr>
        <w:t>]</w:t>
      </w:r>
      <w:r>
        <w:rPr>
          <w:rFonts w:ascii="Book Antiqua" w:hAnsi="Book Antiqua" w:eastAsia="Book Antiqua" w:cs="Book Antiqua"/>
          <w:color w:val="000000"/>
        </w:rPr>
        <w:t>. More recently, endoscopic intermuscular dissection (EID) technique has been described to achieve R0 resection for the management of lesions with deeper submucosal invasion</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13,14</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EID technique has evolved from ESD. The principle of ESD is based on the dissection of the submucosal plane. EID, on the other hand, focuses on the dissection of the superficial circular muscle layer of the rectum, allowing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longitudinal layer to remain intact. This essentially means that the EID can achieve a deeper dissection compared to ESD.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CASE PRESENTATION</w:t>
      </w: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Chief complaints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A 66 year old New Zealand European male presented with </w:t>
      </w:r>
      <w:r>
        <w:rPr>
          <w:rFonts w:hint="eastAsia" w:ascii="Book Antiqua" w:hAnsi="Book Antiqua" w:eastAsia="宋体" w:cs="Book Antiqua"/>
          <w:color w:val="000000"/>
          <w:lang w:eastAsia="zh-CN"/>
        </w:rPr>
        <w:t>p</w:t>
      </w:r>
      <w:r>
        <w:rPr>
          <w:rFonts w:ascii="Book Antiqua" w:hAnsi="Book Antiqua" w:eastAsia="Book Antiqua" w:cs="Book Antiqua"/>
          <w:color w:val="000000"/>
        </w:rPr>
        <w:t>er rectal bleeding.</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History of present illness</w:t>
      </w:r>
    </w:p>
    <w:p>
      <w:pPr>
        <w:adjustRightInd w:val="0"/>
        <w:snapToGrid w:val="0"/>
        <w:spacing w:line="360" w:lineRule="auto"/>
        <w:jc w:val="both"/>
        <w:rPr>
          <w:rFonts w:ascii="Book Antiqua" w:hAnsi="Book Antiqua" w:eastAsia="宋体" w:cs="Book Antiqua"/>
          <w:lang w:eastAsia="zh-CN"/>
        </w:rPr>
      </w:pPr>
      <w:r>
        <w:rPr>
          <w:rFonts w:ascii="Book Antiqua" w:hAnsi="Book Antiqua" w:eastAsia="Book Antiqua" w:cs="Book Antiqua"/>
          <w:color w:val="000000"/>
        </w:rPr>
        <w:t>Patient presented with 3 mo history of intermittent per rectal bleeding. He reported that the blood was often mixed in the stools. He did not report any history of of changes in bowel habits or weight loss.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History of past illness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Patient has known history of ischaemic heart disease and he underwent a previous angioplasty. He has known congestive heart failure from ischaemic cardiomyopathy. He also had poorly controlled type 2 diabetes mellitus and is on insulin.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Personal and family history</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There was no known personal or family history of bowel cancer.</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Physical examination</w:t>
      </w:r>
    </w:p>
    <w:p>
      <w:pPr>
        <w:adjustRightInd w:val="0"/>
        <w:snapToGrid w:val="0"/>
        <w:spacing w:line="360" w:lineRule="auto"/>
        <w:jc w:val="both"/>
        <w:rPr>
          <w:rFonts w:ascii="Book Antiqua" w:hAnsi="Book Antiqua" w:eastAsia="宋体" w:cs="Book Antiqua"/>
          <w:lang w:eastAsia="zh-CN"/>
        </w:rPr>
      </w:pPr>
      <w:r>
        <w:rPr>
          <w:rFonts w:ascii="Book Antiqua" w:hAnsi="Book Antiqua" w:eastAsia="Book Antiqua" w:cs="Book Antiqua"/>
          <w:color w:val="000000"/>
        </w:rPr>
        <w:t>A physical exam including a digital rectal exam was completely normal.</w:t>
      </w:r>
      <w:r>
        <w:rPr>
          <w:rFonts w:hint="eastAsia" w:ascii="Book Antiqua" w:hAnsi="Book Antiqua" w:eastAsia="宋体" w:cs="Book Antiqua"/>
          <w:color w:val="000000"/>
          <w:lang w:eastAsia="zh-CN"/>
        </w:rPr>
        <w:t xml:space="preserve"> </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Laboratory examinations</w:t>
      </w:r>
    </w:p>
    <w:p>
      <w:pPr>
        <w:adjustRightInd w:val="0"/>
        <w:snapToGrid w:val="0"/>
        <w:spacing w:line="360" w:lineRule="auto"/>
        <w:jc w:val="both"/>
        <w:rPr>
          <w:rFonts w:ascii="Book Antiqua" w:hAnsi="Book Antiqua" w:eastAsia="宋体" w:cs="Book Antiqua"/>
          <w:lang w:eastAsia="zh-CN"/>
        </w:rPr>
      </w:pPr>
      <w:r>
        <w:rPr>
          <w:rFonts w:ascii="Book Antiqua" w:hAnsi="Book Antiqua" w:eastAsia="Book Antiqua" w:cs="Book Antiqua"/>
          <w:color w:val="000000"/>
        </w:rPr>
        <w:t>Patient's full blood count, iron studies, and carcinoembryonic antigen were all normal.</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Imaging examinations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The colonoscopy revealed a 30</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mm rectal tumour, located 10 cm from anal verge, at the posterior wall of the rectum. The lesion was IIc/IIa lesion as per Paris classification (</w:t>
      </w:r>
      <w:r>
        <w:rPr>
          <w:rFonts w:hint="eastAsia" w:ascii="Book Antiqua" w:hAnsi="Book Antiqua" w:eastAsia="宋体" w:cs="Book Antiqua"/>
          <w:color w:val="000000"/>
          <w:lang w:eastAsia="zh-CN"/>
        </w:rPr>
        <w:t>F</w:t>
      </w:r>
      <w:r>
        <w:rPr>
          <w:rFonts w:ascii="Book Antiqua" w:hAnsi="Book Antiqua" w:eastAsia="Book Antiqua" w:cs="Book Antiqua"/>
          <w:color w:val="000000"/>
        </w:rPr>
        <w:t>igure 1</w:t>
      </w:r>
      <w:r>
        <w:rPr>
          <w:rFonts w:hint="eastAsia" w:ascii="Book Antiqua" w:hAnsi="Book Antiqua" w:eastAsia="宋体" w:cs="Book Antiqua"/>
          <w:color w:val="000000"/>
          <w:lang w:eastAsia="zh-CN"/>
        </w:rPr>
        <w:t>A</w:t>
      </w:r>
      <w:r>
        <w:rPr>
          <w:rFonts w:ascii="Book Antiqua" w:hAnsi="Book Antiqua" w:eastAsia="Book Antiqua" w:cs="Book Antiqua"/>
          <w:color w:val="000000"/>
        </w:rPr>
        <w:t xml:space="preserve">). There was a type Vn Kudo pit pattern in the area of the depression. Magnification virtual chromoendoscopy revealed a Narrow Band Imaging International Colorectal Endoscopic classification 3, Japan Narrow Band Imaging Expert Team classification 3 </w:t>
      </w:r>
      <w:r>
        <w:rPr>
          <w:rFonts w:hint="eastAsia" w:ascii="Book Antiqua" w:hAnsi="Book Antiqua" w:eastAsia="宋体" w:cs="Book Antiqua"/>
          <w:color w:val="000000"/>
          <w:lang w:eastAsia="zh-CN"/>
        </w:rPr>
        <w:t>l</w:t>
      </w:r>
      <w:r>
        <w:rPr>
          <w:rFonts w:ascii="Book Antiqua" w:hAnsi="Book Antiqua" w:eastAsia="Book Antiqua" w:cs="Book Antiqua"/>
          <w:color w:val="000000"/>
        </w:rPr>
        <w:t>esion (</w:t>
      </w:r>
      <w:r>
        <w:rPr>
          <w:rFonts w:hint="eastAsia" w:ascii="Book Antiqua" w:hAnsi="Book Antiqua" w:eastAsia="宋体" w:cs="Book Antiqua"/>
          <w:color w:val="000000"/>
          <w:lang w:eastAsia="zh-CN"/>
        </w:rPr>
        <w:t>F</w:t>
      </w:r>
      <w:r>
        <w:rPr>
          <w:rFonts w:ascii="Book Antiqua" w:hAnsi="Book Antiqua" w:eastAsia="Book Antiqua" w:cs="Book Antiqua"/>
          <w:color w:val="000000"/>
        </w:rPr>
        <w:t>igure 1</w:t>
      </w:r>
      <w:r>
        <w:rPr>
          <w:rFonts w:hint="eastAsia" w:ascii="Book Antiqua" w:hAnsi="Book Antiqua" w:eastAsia="宋体" w:cs="Book Antiqua"/>
          <w:color w:val="000000"/>
          <w:lang w:eastAsia="zh-CN"/>
        </w:rPr>
        <w:t>B</w:t>
      </w:r>
      <w:r>
        <w:rPr>
          <w:rFonts w:ascii="Book Antiqua" w:hAnsi="Book Antiqua" w:eastAsia="Book Antiqua" w:cs="Book Antiqua"/>
          <w:color w:val="000000"/>
        </w:rPr>
        <w:t>). Biopsies taken from the lesion showed high grade dysplasia only. The patient underwent a staging computed tomography scan which did not shown any evidence of metastatic disease. Magnetic resonance imaging showed a T2N0M0 rectal lesion at the posterior wall.</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An invasive cancer was suspected based on the endoscopic features. Consequently, the patient was referred to the colorectal surgeons for further management. Since initial biopsies had shown high grade dysplasia only, the patient underwent a second biopsy, which again showed high grade dysplasia. Due to the clinical suspicion of invasive cancer, the patient was then considered for radical surgery. Unfortunately, he had significant comorbidities and was therefore deemed an unsuitable candidate for radical surgery. He was further evaluated for a transanal minimally invasive surgery for accurate staging and diagnosis, but was deemed extremely high risk to even receive a general anaesthesia.</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MULTIDISCIPLINARY EXPERT CONSULTATION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The case was discussed in the multidisciplinary team meeting and the consensus was to perform an endoscopic resection with a view to; confirm the diagnosis, accurately stage the disease, and to attempt a curative resection. Because a deep invasion was suspected, the patient was consented for an EID under conscious sedation.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FINAL DIAGNOSIS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Invasive rectal cancer.</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TREATMENT</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Patient underwent EID procedure. The procedure was performed under conscious sedation with midazolam and fentanyl. A standard gastroscope (Olympus GIF-HQ190, Olympus, Tokyo, Japan) with a transparent hood (Olympus, Tokyo, Japan) was used. Submucosal lifting was performed with a mixture of adrenaline, methylene blue, and hydroethyl starch (</w:t>
      </w:r>
      <w:r>
        <w:rPr>
          <w:rFonts w:hint="eastAsia" w:ascii="Book Antiqua" w:hAnsi="Book Antiqua" w:eastAsia="宋体" w:cs="Book Antiqua"/>
          <w:color w:val="000000"/>
          <w:lang w:val="en-US" w:eastAsia="zh-CN"/>
        </w:rPr>
        <w:t>V</w:t>
      </w:r>
      <w:r>
        <w:rPr>
          <w:rFonts w:ascii="Book Antiqua" w:hAnsi="Book Antiqua" w:eastAsia="Book Antiqua" w:cs="Book Antiqua"/>
          <w:color w:val="000000"/>
        </w:rPr>
        <w:t>oluven</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6%). A 1.5 mm dual knife J (Olympus, America) was used, with an endocut mode of the ERBE VIO 300D (ERBE Elektromedizin, </w:t>
      </w:r>
      <w:r>
        <w:rPr>
          <w:rFonts w:ascii="Book Antiqua" w:hAnsi="Book Antiqua" w:eastAsia="Book Antiqua" w:cs="Book Antiqua"/>
          <w:color w:val="000000"/>
          <w:shd w:val="clear" w:color="auto" w:fill="FFFFFF"/>
        </w:rPr>
        <w:t>Tübingen</w:t>
      </w:r>
      <w:r>
        <w:rPr>
          <w:rFonts w:ascii="Book Antiqua" w:hAnsi="Book Antiqua" w:eastAsia="Book Antiqua" w:cs="Book Antiqua"/>
          <w:color w:val="000000"/>
        </w:rPr>
        <w:t>, Germany).</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Firstly, a mucosal incision was created at the anal side of the lesion. Submucosal dissection was then performed in the same area.</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This was, however, stopped due to poor access and visualisation of the submucosal space. An incision was then made at the oral side and the circumferential incision was completed. The scope was entered into the submucosal space using the transparent hood. Significant fibrosis was encountered at this point. The fibrotic area was dissected (</w:t>
      </w:r>
      <w:r>
        <w:rPr>
          <w:rFonts w:hint="eastAsia" w:ascii="Book Antiqua" w:hAnsi="Book Antiqua" w:eastAsia="宋体" w:cs="Book Antiqua"/>
          <w:color w:val="000000"/>
          <w:lang w:eastAsia="zh-CN"/>
        </w:rPr>
        <w:t>F</w:t>
      </w:r>
      <w:r>
        <w:rPr>
          <w:rFonts w:ascii="Book Antiqua" w:hAnsi="Book Antiqua" w:eastAsia="Book Antiqua" w:cs="Book Antiqua"/>
          <w:color w:val="000000"/>
        </w:rPr>
        <w:t>igure 2</w:t>
      </w:r>
      <w:r>
        <w:rPr>
          <w:rFonts w:hint="eastAsia" w:ascii="Book Antiqua" w:hAnsi="Book Antiqua" w:eastAsia="宋体" w:cs="Book Antiqua"/>
          <w:color w:val="000000"/>
          <w:lang w:eastAsia="zh-CN"/>
        </w:rPr>
        <w:t>A</w:t>
      </w:r>
      <w:r>
        <w:rPr>
          <w:rFonts w:ascii="Book Antiqua" w:hAnsi="Book Antiqua" w:eastAsia="Book Antiqua" w:cs="Book Antiqua"/>
          <w:color w:val="000000"/>
        </w:rPr>
        <w:t>). The inner circular layer was visible at this point. An attempt was made to inject just above the muscle layer; however, this could not be achieved due to fibrosis. The inner circular layer was then dissected from the oral side to the anal side of the lesion, managing to keep the outer longitudinal layer intact (</w:t>
      </w:r>
      <w:r>
        <w:rPr>
          <w:rFonts w:hint="eastAsia" w:ascii="Book Antiqua" w:hAnsi="Book Antiqua" w:eastAsia="宋体" w:cs="Book Antiqua"/>
          <w:color w:val="000000"/>
          <w:lang w:eastAsia="zh-CN"/>
        </w:rPr>
        <w:t>F</w:t>
      </w:r>
      <w:r>
        <w:rPr>
          <w:rFonts w:ascii="Book Antiqua" w:hAnsi="Book Antiqua" w:eastAsia="Book Antiqua" w:cs="Book Antiqua"/>
          <w:color w:val="000000"/>
        </w:rPr>
        <w:t>igure 2</w:t>
      </w:r>
      <w:r>
        <w:rPr>
          <w:rFonts w:hint="eastAsia" w:ascii="Book Antiqua" w:hAnsi="Book Antiqua" w:eastAsia="宋体" w:cs="Book Antiqua"/>
          <w:color w:val="000000"/>
          <w:lang w:eastAsia="zh-CN"/>
        </w:rPr>
        <w:t>B</w:t>
      </w:r>
      <w:r>
        <w:rPr>
          <w:rFonts w:ascii="Book Antiqua" w:hAnsi="Book Antiqua" w:eastAsia="Book Antiqua" w:cs="Book Antiqua"/>
          <w:color w:val="000000"/>
        </w:rPr>
        <w:t>). The tumour was finally released from the muscle layer and was resected en bloc. The lesion was pinned on the cork and then submitted for histology (</w:t>
      </w:r>
      <w:r>
        <w:rPr>
          <w:rFonts w:hint="eastAsia" w:ascii="Book Antiqua" w:hAnsi="Book Antiqua" w:eastAsia="宋体" w:cs="Book Antiqua"/>
          <w:color w:val="000000"/>
          <w:lang w:eastAsia="zh-CN"/>
        </w:rPr>
        <w:t>F</w:t>
      </w:r>
      <w:r>
        <w:rPr>
          <w:rFonts w:ascii="Book Antiqua" w:hAnsi="Book Antiqua" w:eastAsia="Book Antiqua" w:cs="Book Antiqua"/>
          <w:color w:val="000000"/>
        </w:rPr>
        <w:t>igure 2</w:t>
      </w:r>
      <w:r>
        <w:rPr>
          <w:rFonts w:hint="eastAsia" w:ascii="Book Antiqua" w:hAnsi="Book Antiqua" w:eastAsia="宋体" w:cs="Book Antiqua"/>
          <w:color w:val="000000"/>
          <w:lang w:eastAsia="zh-CN"/>
        </w:rPr>
        <w:t>C</w:t>
      </w:r>
      <w:r>
        <w:rPr>
          <w:rFonts w:ascii="Book Antiqua" w:hAnsi="Book Antiqua" w:eastAsia="Book Antiqua" w:cs="Book Antiqua"/>
          <w:color w:val="000000"/>
        </w:rPr>
        <w:t>). The total procedure time was 124 min. The patient was given IV antibiotics intraoperatively and was discharged home after 2 h of observation.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He received a one-week course of oral antibiotics. There were no immediate or delayed complications noted.</w:t>
      </w:r>
    </w:p>
    <w:p>
      <w:pPr>
        <w:adjustRightInd w:val="0"/>
        <w:snapToGrid w:val="0"/>
        <w:spacing w:line="360" w:lineRule="auto"/>
        <w:ind w:firstLine="480" w:firstLineChars="200"/>
        <w:jc w:val="both"/>
        <w:rPr>
          <w:rFonts w:ascii="Book Antiqua" w:hAnsi="Book Antiqua" w:cs="Book Antiqua"/>
        </w:rPr>
      </w:pP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Figure 2</w:t>
      </w:r>
      <w:r>
        <w:rPr>
          <w:rFonts w:hint="eastAsia" w:ascii="Book Antiqua" w:hAnsi="Book Antiqua" w:eastAsia="宋体" w:cs="Book Antiqua"/>
          <w:color w:val="000000"/>
          <w:lang w:eastAsia="zh-CN"/>
        </w:rPr>
        <w:t>A</w:t>
      </w:r>
      <w:r>
        <w:rPr>
          <w:rFonts w:ascii="Book Antiqua" w:hAnsi="Book Antiqua" w:eastAsia="Book Antiqua" w:cs="Book Antiqua"/>
          <w:color w:val="000000"/>
        </w:rPr>
        <w:t xml:space="preserve"> shows the significance of the fibrosis encountered during Endoscopic Intermuscular Dissection. After dissecting the fibrotic area, the inner muscle layer was dissected, keeping the outer longitudinal layer intact, as shown in </w:t>
      </w:r>
      <w:r>
        <w:rPr>
          <w:rFonts w:hint="eastAsia" w:ascii="Book Antiqua" w:hAnsi="Book Antiqua" w:eastAsia="宋体" w:cs="Book Antiqua"/>
          <w:color w:val="000000"/>
          <w:lang w:eastAsia="zh-CN"/>
        </w:rPr>
        <w:t>F</w:t>
      </w:r>
      <w:r>
        <w:rPr>
          <w:rFonts w:ascii="Book Antiqua" w:hAnsi="Book Antiqua" w:eastAsia="Book Antiqua" w:cs="Book Antiqua"/>
          <w:color w:val="000000"/>
        </w:rPr>
        <w:t>igure 2</w:t>
      </w:r>
      <w:r>
        <w:rPr>
          <w:rFonts w:hint="eastAsia" w:ascii="Book Antiqua" w:hAnsi="Book Antiqua" w:eastAsia="宋体" w:cs="Book Antiqua"/>
          <w:color w:val="000000"/>
          <w:lang w:eastAsia="zh-CN"/>
        </w:rPr>
        <w:t>B</w:t>
      </w:r>
      <w:r>
        <w:rPr>
          <w:rFonts w:ascii="Book Antiqua" w:hAnsi="Book Antiqua" w:eastAsia="Book Antiqua" w:cs="Book Antiqua"/>
          <w:color w:val="000000"/>
        </w:rPr>
        <w:t>. The tumour was released from the muscle layer and pinned on the cork board and submitted for histological analysis (</w:t>
      </w:r>
      <w:r>
        <w:rPr>
          <w:rFonts w:hint="eastAsia" w:ascii="Book Antiqua" w:hAnsi="Book Antiqua" w:eastAsia="宋体" w:cs="Book Antiqua"/>
          <w:color w:val="000000"/>
          <w:lang w:eastAsia="zh-CN"/>
        </w:rPr>
        <w:t>F</w:t>
      </w:r>
      <w:r>
        <w:rPr>
          <w:rFonts w:ascii="Book Antiqua" w:hAnsi="Book Antiqua" w:eastAsia="Book Antiqua" w:cs="Book Antiqua"/>
          <w:color w:val="000000"/>
        </w:rPr>
        <w:t>igure 2</w:t>
      </w:r>
      <w:r>
        <w:rPr>
          <w:rFonts w:hint="eastAsia" w:ascii="Book Antiqua" w:hAnsi="Book Antiqua" w:eastAsia="宋体" w:cs="Book Antiqua"/>
          <w:color w:val="000000"/>
          <w:lang w:eastAsia="zh-CN"/>
        </w:rPr>
        <w:t>C</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The histology confirmed the presence of muscularis propria in the specimen. This is a low-grade adenocarcinoma, with absent LVI, absent perineural invasion and low tumour budding. The lesion was clear of peripheral margins by 7</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mm. Vertical margins, however, confirmed infiltration of the tumour into the muscularis propria and were positive.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This confirmed it as at least a pT2 </w:t>
      </w:r>
      <w:r>
        <w:rPr>
          <w:rFonts w:hint="eastAsia" w:ascii="Book Antiqua" w:hAnsi="Book Antiqua" w:eastAsia="宋体" w:cs="Book Antiqua"/>
          <w:color w:val="000000"/>
          <w:lang w:eastAsia="zh-CN"/>
        </w:rPr>
        <w:t>l</w:t>
      </w:r>
      <w:r>
        <w:rPr>
          <w:rFonts w:ascii="Book Antiqua" w:hAnsi="Book Antiqua" w:eastAsia="Book Antiqua" w:cs="Book Antiqua"/>
          <w:color w:val="000000"/>
        </w:rPr>
        <w:t>esion (</w:t>
      </w:r>
      <w:r>
        <w:rPr>
          <w:rFonts w:hint="eastAsia" w:ascii="Book Antiqua" w:hAnsi="Book Antiqua" w:eastAsia="宋体" w:cs="Book Antiqua"/>
          <w:color w:val="000000"/>
          <w:lang w:eastAsia="zh-CN"/>
        </w:rPr>
        <w:t>F</w:t>
      </w:r>
      <w:r>
        <w:rPr>
          <w:rFonts w:ascii="Book Antiqua" w:hAnsi="Book Antiqua" w:eastAsia="Book Antiqua" w:cs="Book Antiqua"/>
          <w:color w:val="000000"/>
        </w:rPr>
        <w:t>igure 3).</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OUTCOME AND FOLLOW-UP</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This histology was again discussed in a multidisciplinary meeting, and it was concluded that the patient will require additional treatment. He was referred for long course chemoradiotherapy, which he successfully completed without any side effects. A follow up colonoscopy, 6 mo after the resection, showed no residual disease. An MRI scan of the rectum was performed 9 mo after the resection and showed no recurrence of disease. After 9 mo of follow up, the patient had remained well, with no symptoms and no delayed complications from the EID procedure.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EID was first described by Rahni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13</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for resection of rectal lesions with significant fibrosis. It is a new technique where a dissection is carried out of the inner circular muscle layer in the intermuscular plane, while keeping the outer longitudinal layer in the rectum intact. A recent case series of 67 patients described this technique for resection of rectal cancers with suspected invasion beyond the SM1 </w:t>
      </w:r>
      <w:r>
        <w:rPr>
          <w:rFonts w:hint="eastAsia" w:ascii="Book Antiqua" w:hAnsi="Book Antiqua" w:eastAsia="宋体" w:cs="Book Antiqua"/>
          <w:color w:val="000000"/>
          <w:lang w:eastAsia="zh-CN"/>
        </w:rPr>
        <w:t>l</w:t>
      </w:r>
      <w:r>
        <w:rPr>
          <w:rFonts w:ascii="Book Antiqua" w:hAnsi="Book Antiqua" w:eastAsia="Book Antiqua" w:cs="Book Antiqua"/>
          <w:color w:val="000000"/>
        </w:rPr>
        <w:t>ayer. This series concluded that EID is a feasible technique, with a technical success of 96% and a safe procedure requiring no surgery in EID related complications. 12% of patients had minor adverse events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14</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The case discussed above, was the first such procedure to be performed in New Zealand. Although the patient did not have R0 resection and ideally should have had radical surgery, his comorbidities meant that such surgery was prohibitive. Radical surgery can still be safely performed in low risk patients who have non curative ESD</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15</w:t>
      </w:r>
      <w:r>
        <w:rPr>
          <w:rFonts w:ascii="Book Antiqua" w:hAnsi="Book Antiqua" w:eastAsia="Book Antiqua" w:cs="Book Antiqua"/>
          <w:color w:val="000000"/>
          <w:vertAlign w:val="superscript"/>
        </w:rPr>
        <w:t>]</w:t>
      </w:r>
      <w:r>
        <w:rPr>
          <w:rFonts w:ascii="Book Antiqua" w:hAnsi="Book Antiqua" w:eastAsia="Book Antiqua" w:cs="Book Antiqua"/>
          <w:color w:val="000000"/>
        </w:rPr>
        <w:t>. Our patient underwent long course chemoradiotherapy instead, with no disease recurrence after 9 mo of follow up.</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There is preliminary data to suggest that patients who undergo local resection, followed by adjuvant chemoradiotherapy, can preserve their rectum and have better QoL</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16</w:t>
      </w:r>
      <w:r>
        <w:rPr>
          <w:rFonts w:ascii="Book Antiqua" w:hAnsi="Book Antiqua" w:eastAsia="Book Antiqua" w:cs="Book Antiqua"/>
          <w:color w:val="000000"/>
          <w:vertAlign w:val="superscript"/>
        </w:rPr>
        <w:t>]</w:t>
      </w:r>
      <w:r>
        <w:rPr>
          <w:rFonts w:ascii="Book Antiqua" w:hAnsi="Book Antiqua" w:eastAsia="Book Antiqua" w:cs="Book Antiqua"/>
          <w:color w:val="000000"/>
        </w:rPr>
        <w:t>. A large, randomized trial (TESAR trial) is underway and results are awaited with interest</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17</w:t>
      </w:r>
      <w:r>
        <w:rPr>
          <w:rFonts w:ascii="Book Antiqua" w:hAnsi="Book Antiqua" w:eastAsia="Book Antiqua" w:cs="Book Antiqua"/>
          <w:color w:val="000000"/>
          <w:vertAlign w:val="superscript"/>
        </w:rPr>
        <w:t>]</w:t>
      </w:r>
      <w:r>
        <w:rPr>
          <w:rFonts w:ascii="Book Antiqua" w:hAnsi="Book Antiqua" w:eastAsia="Book Antiqua" w:cs="Book Antiqua"/>
          <w:color w:val="000000"/>
        </w:rPr>
        <w:t>. This trial will consider this issue and, if positive, radical surgery might be avoidable for high risk patients in future.</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 xml:space="preserve">A recent study evaluated the clinical outcome of non-curative ESD for early CRC. This study included 207 non-curative ESD cases and showed the tumour recurrence and disease specific survival rates were similar in patients who had radical surgery </w:t>
      </w:r>
      <w:r>
        <w:rPr>
          <w:rFonts w:ascii="Book Antiqua" w:hAnsi="Book Antiqua" w:eastAsia="Book Antiqua" w:cs="Book Antiqua"/>
          <w:i/>
          <w:iCs/>
          <w:color w:val="000000"/>
        </w:rPr>
        <w:t>vs</w:t>
      </w:r>
      <w:r>
        <w:rPr>
          <w:rFonts w:ascii="Book Antiqua" w:hAnsi="Book Antiqua" w:eastAsia="Book Antiqua" w:cs="Book Antiqua"/>
          <w:color w:val="000000"/>
        </w:rPr>
        <w:t xml:space="preserve"> those who were followed up by endoscopy (after a median follow-up of 30 mo)</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18</w:t>
      </w:r>
      <w:r>
        <w:rPr>
          <w:rFonts w:ascii="Book Antiqua" w:hAnsi="Book Antiqua" w:eastAsia="Book Antiqua" w:cs="Book Antiqua"/>
          <w:color w:val="000000"/>
          <w:vertAlign w:val="superscript"/>
        </w:rPr>
        <w:t>]</w:t>
      </w:r>
      <w:r>
        <w:rPr>
          <w:rFonts w:ascii="Book Antiqua" w:hAnsi="Book Antiqua" w:eastAsia="Book Antiqua" w:cs="Book Antiqua"/>
          <w:color w:val="000000"/>
        </w:rPr>
        <w:t>. Additional treatment decisions are often based on patient comorbidities and risks of additional treatment should be carefully weighed against the benefits. The patient discussed above was considered fit enough for long course chemoradiotherapy, with the aim to treat both the local residual disease and LNM if present.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This groundbreaking EID case, the first to be performed in New Zealand, highlights that this technique is an option worth considering for some patients. It is feasible and can be performed successfully, without any major complications, in highly selected lesions and patient groups. It can potentially offer curative local resection of rectal cancer despite deep submucosal invasion, showing favourable histopathological features in carefully selected patients.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REFERENCES</w:t>
      </w:r>
    </w:p>
    <w:p>
      <w:pPr>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Wang J</w:t>
      </w:r>
      <w:r>
        <w:rPr>
          <w:rFonts w:ascii="Book Antiqua" w:hAnsi="Book Antiqua" w:cs="Book Antiqua"/>
        </w:rPr>
        <w:t xml:space="preserve">, Zhang XH, Ge J, Yang CM, Liu JY, Zhao SL. Endoscopic submucosal dissection vs endoscopic mucosal resection for colorectal tumors: a meta-analysis. </w:t>
      </w:r>
      <w:r>
        <w:rPr>
          <w:rFonts w:ascii="Book Antiqua" w:hAnsi="Book Antiqua" w:cs="Book Antiqua"/>
          <w:i/>
          <w:iCs/>
        </w:rPr>
        <w:t>World J Gastroenterol</w:t>
      </w:r>
      <w:r>
        <w:rPr>
          <w:rFonts w:ascii="Book Antiqua" w:hAnsi="Book Antiqua" w:cs="Book Antiqua"/>
        </w:rPr>
        <w:t xml:space="preserve"> 2014; </w:t>
      </w:r>
      <w:r>
        <w:rPr>
          <w:rFonts w:ascii="Book Antiqua" w:hAnsi="Book Antiqua" w:cs="Book Antiqua"/>
          <w:b/>
          <w:bCs/>
        </w:rPr>
        <w:t>20</w:t>
      </w:r>
      <w:r>
        <w:rPr>
          <w:rFonts w:ascii="Book Antiqua" w:hAnsi="Book Antiqua" w:cs="Book Antiqua"/>
        </w:rPr>
        <w:t>: 8282-8287 [PMID: 25009404 DOI: 10.3748/wjg.v20.i25.8282]</w:t>
      </w:r>
    </w:p>
    <w:p>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Arthursson V</w:t>
      </w:r>
      <w:r>
        <w:rPr>
          <w:rFonts w:ascii="Book Antiqua" w:hAnsi="Book Antiqua" w:cs="Book Antiqua"/>
        </w:rPr>
        <w:t xml:space="preserve">, Rosén R, Norlin JM, Gralén K, Toth E, Syk I, Thorlacius H, Rönnow CF. Cost comparisons of endoscopic and surgical resection of stage T1 rectal cancer. </w:t>
      </w:r>
      <w:r>
        <w:rPr>
          <w:rFonts w:ascii="Book Antiqua" w:hAnsi="Book Antiqua" w:cs="Book Antiqua"/>
          <w:i/>
          <w:iCs/>
        </w:rPr>
        <w:t>Endosc Int Open</w:t>
      </w:r>
      <w:r>
        <w:rPr>
          <w:rFonts w:ascii="Book Antiqua" w:hAnsi="Book Antiqua" w:cs="Book Antiqua"/>
        </w:rPr>
        <w:t xml:space="preserve"> 2021; </w:t>
      </w:r>
      <w:r>
        <w:rPr>
          <w:rFonts w:ascii="Book Antiqua" w:hAnsi="Book Antiqua" w:cs="Book Antiqua"/>
          <w:b/>
          <w:bCs/>
        </w:rPr>
        <w:t>9</w:t>
      </w:r>
      <w:r>
        <w:rPr>
          <w:rFonts w:ascii="Book Antiqua" w:hAnsi="Book Antiqua" w:cs="Book Antiqua"/>
        </w:rPr>
        <w:t>: E1512-E1519 [PMID: 34540543 DOI: 10.1055/a-1522-8762]</w:t>
      </w:r>
    </w:p>
    <w:p>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Steele SR</w:t>
      </w:r>
      <w:r>
        <w:rPr>
          <w:rFonts w:ascii="Book Antiqua" w:hAnsi="Book Antiqua" w:cs="Book Antiqua"/>
        </w:rPr>
        <w:t xml:space="preserve">, Bleier J, Champagne B, Hassan I, Russ A, Senagore AJ, Sylla P, Pigazzi A. Improving outcomes and cost-effectiveness of colorectal surgery. </w:t>
      </w:r>
      <w:r>
        <w:rPr>
          <w:rFonts w:ascii="Book Antiqua" w:hAnsi="Book Antiqua" w:cs="Book Antiqua"/>
          <w:i/>
          <w:iCs/>
        </w:rPr>
        <w:t>J Gastrointest Surg</w:t>
      </w:r>
      <w:r>
        <w:rPr>
          <w:rFonts w:ascii="Book Antiqua" w:hAnsi="Book Antiqua" w:cs="Book Antiqua"/>
        </w:rPr>
        <w:t xml:space="preserve"> 2014; </w:t>
      </w:r>
      <w:r>
        <w:rPr>
          <w:rFonts w:ascii="Book Antiqua" w:hAnsi="Book Antiqua" w:cs="Book Antiqua"/>
          <w:b/>
          <w:bCs/>
        </w:rPr>
        <w:t>18</w:t>
      </w:r>
      <w:r>
        <w:rPr>
          <w:rFonts w:ascii="Book Antiqua" w:hAnsi="Book Antiqua" w:cs="Book Antiqua"/>
        </w:rPr>
        <w:t>: 1944-1956 [PMID: 25205538 DOI: 10.1007/s11605-014-2643-9]</w:t>
      </w:r>
    </w:p>
    <w:p>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Lee CM</w:t>
      </w:r>
      <w:r>
        <w:rPr>
          <w:rFonts w:ascii="Book Antiqua" w:hAnsi="Book Antiqua" w:cs="Book Antiqua"/>
        </w:rPr>
        <w:t xml:space="preserve">, Huh JW, Yun SH, Kim HC, Lee WY, Park YA, Cho YB, Chun HK. Laparoscopic versus open reintervention for anastomotic leakage following minimally invasive colorectal surgery. </w:t>
      </w:r>
      <w:r>
        <w:rPr>
          <w:rFonts w:ascii="Book Antiqua" w:hAnsi="Book Antiqua" w:cs="Book Antiqua"/>
          <w:i/>
          <w:iCs/>
        </w:rPr>
        <w:t>Surg Endosc</w:t>
      </w:r>
      <w:r>
        <w:rPr>
          <w:rFonts w:ascii="Book Antiqua" w:hAnsi="Book Antiqua" w:cs="Book Antiqua"/>
        </w:rPr>
        <w:t xml:space="preserve"> 2015; </w:t>
      </w:r>
      <w:r>
        <w:rPr>
          <w:rFonts w:ascii="Book Antiqua" w:hAnsi="Book Antiqua" w:cs="Book Antiqua"/>
          <w:b/>
          <w:bCs/>
        </w:rPr>
        <w:t>29</w:t>
      </w:r>
      <w:r>
        <w:rPr>
          <w:rFonts w:ascii="Book Antiqua" w:hAnsi="Book Antiqua" w:cs="Book Antiqua"/>
        </w:rPr>
        <w:t>: 931-936 [PMID: 25060688 DOI: 10.1007/s00464-014-3755-8]</w:t>
      </w:r>
    </w:p>
    <w:p>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Eleftheriadis N,</w:t>
      </w:r>
      <w:r>
        <w:rPr>
          <w:rFonts w:ascii="Book Antiqua" w:hAnsi="Book Antiqua" w:cs="Book Antiqua"/>
        </w:rPr>
        <w:t xml:space="preserve"> Inoue H, Ikeda H, Onimaru M, Yoshida A, Maselli R, Santi G, Kudo S. Definition and staging of early esophageal, gastric, and Colorectal Cancer</w:t>
      </w:r>
      <w:r>
        <w:rPr>
          <w:rFonts w:hint="eastAsia" w:ascii="Book Antiqua" w:hAnsi="Book Antiqua" w:eastAsia="宋体" w:cs="Book Antiqua"/>
          <w:lang w:eastAsia="zh-CN"/>
        </w:rPr>
        <w:t>.</w:t>
      </w:r>
      <w:r>
        <w:rPr>
          <w:rFonts w:ascii="Book Antiqua" w:hAnsi="Book Antiqua" w:cs="Book Antiqua"/>
        </w:rPr>
        <w:t xml:space="preserve"> </w:t>
      </w:r>
      <w:r>
        <w:rPr>
          <w:rFonts w:ascii="Book Antiqua" w:hAnsi="Book Antiqua" w:cs="Book Antiqua"/>
          <w:i/>
          <w:iCs/>
        </w:rPr>
        <w:t>Journal of tumour</w:t>
      </w:r>
      <w:r>
        <w:rPr>
          <w:rFonts w:hint="eastAsia" w:ascii="Book Antiqua" w:hAnsi="Book Antiqua" w:eastAsia="宋体" w:cs="Book Antiqua"/>
          <w:lang w:eastAsia="zh-CN"/>
        </w:rPr>
        <w:t xml:space="preserve"> </w:t>
      </w:r>
      <w:r>
        <w:rPr>
          <w:rFonts w:ascii="Book Antiqua" w:hAnsi="Book Antiqua" w:cs="Book Antiqua"/>
        </w:rPr>
        <w:t xml:space="preserve">2014; </w:t>
      </w:r>
      <w:r>
        <w:rPr>
          <w:rFonts w:ascii="Book Antiqua" w:hAnsi="Book Antiqua" w:cs="Book Antiqua"/>
          <w:b/>
          <w:bCs/>
        </w:rPr>
        <w:t>18</w:t>
      </w:r>
      <w:r>
        <w:rPr>
          <w:rFonts w:hint="eastAsia" w:ascii="Book Antiqua" w:hAnsi="Book Antiqua" w:eastAsia="宋体" w:cs="Book Antiqua"/>
          <w:lang w:eastAsia="zh-CN"/>
        </w:rPr>
        <w:t>:</w:t>
      </w:r>
      <w:r>
        <w:rPr>
          <w:rFonts w:ascii="Book Antiqua" w:hAnsi="Book Antiqua" w:cs="Book Antiqua"/>
        </w:rPr>
        <w:t xml:space="preserve"> 161-178</w:t>
      </w:r>
    </w:p>
    <w:p>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Pimentel-Nunes P</w:t>
      </w:r>
      <w:r>
        <w:rPr>
          <w:rFonts w:ascii="Book Antiqua" w:hAnsi="Book Antiqua" w:cs="Book Antiqua"/>
        </w:rPr>
        <w:t xml:space="preserve">, Dinis-Ribeiro M, Ponchon T, Repici A, Vieth M, De Ceglie A, Amato A, Berr F, Bhandari P, Bialek A, Conio M, Haringsma J, Langner C, Meisner S, Messmann H, Morino M, Neuhaus H, Piessevaux H, Rugge M, Saunders BP, Robaszkiewicz M, Seewald S, Kashin S, Dumonceau JM, Hassan C, Deprez PH. Endoscopic submucosal dissection: European Society of Gastrointestinal Endoscopy (ESGE) Guideline. </w:t>
      </w:r>
      <w:r>
        <w:rPr>
          <w:rFonts w:ascii="Book Antiqua" w:hAnsi="Book Antiqua" w:cs="Book Antiqua"/>
          <w:i/>
          <w:iCs/>
        </w:rPr>
        <w:t>Endoscopy</w:t>
      </w:r>
      <w:r>
        <w:rPr>
          <w:rFonts w:ascii="Book Antiqua" w:hAnsi="Book Antiqua" w:cs="Book Antiqua"/>
        </w:rPr>
        <w:t xml:space="preserve"> 2015; </w:t>
      </w:r>
      <w:r>
        <w:rPr>
          <w:rFonts w:ascii="Book Antiqua" w:hAnsi="Book Antiqua" w:cs="Book Antiqua"/>
          <w:b/>
          <w:bCs/>
        </w:rPr>
        <w:t>47</w:t>
      </w:r>
      <w:r>
        <w:rPr>
          <w:rFonts w:ascii="Book Antiqua" w:hAnsi="Book Antiqua" w:cs="Book Antiqua"/>
        </w:rPr>
        <w:t>: 829-854 [PMID: 26317585 DOI: 10.1055/s-0034-1392882]</w:t>
      </w:r>
    </w:p>
    <w:p>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Rönnow CF</w:t>
      </w:r>
      <w:r>
        <w:rPr>
          <w:rFonts w:ascii="Book Antiqua" w:hAnsi="Book Antiqua" w:cs="Book Antiqua"/>
        </w:rPr>
        <w:t xml:space="preserve">, Arthursson V, Toth E, Krarup PM, Syk I, Thorlacius H. Lymphovascular Infiltration, Not Depth of Invasion, is the Critical Risk Factor of Metastases in Early Colorectal Cancer: Retrospective Population-based Cohort Study on Prospectively Collected Data, Including Validation. </w:t>
      </w:r>
      <w:r>
        <w:rPr>
          <w:rFonts w:ascii="Book Antiqua" w:hAnsi="Book Antiqua" w:cs="Book Antiqua"/>
          <w:i/>
          <w:iCs/>
        </w:rPr>
        <w:t>Ann Surg</w:t>
      </w:r>
      <w:r>
        <w:rPr>
          <w:rFonts w:ascii="Book Antiqua" w:hAnsi="Book Antiqua" w:cs="Book Antiqua"/>
        </w:rPr>
        <w:t xml:space="preserve"> 2022; </w:t>
      </w:r>
      <w:r>
        <w:rPr>
          <w:rFonts w:ascii="Book Antiqua" w:hAnsi="Book Antiqua" w:cs="Book Antiqua"/>
          <w:b/>
          <w:bCs/>
        </w:rPr>
        <w:t>275</w:t>
      </w:r>
      <w:r>
        <w:rPr>
          <w:rFonts w:ascii="Book Antiqua" w:hAnsi="Book Antiqua" w:cs="Book Antiqua"/>
        </w:rPr>
        <w:t>: e148-e154 [PMID: 32187031 DOI: 10.1097/SLA.0000000000003854]</w:t>
      </w:r>
    </w:p>
    <w:p>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Kitajima K</w:t>
      </w:r>
      <w:r>
        <w:rPr>
          <w:rFonts w:ascii="Book Antiqua" w:hAnsi="Book Antiqua" w:cs="Book Antiqua"/>
        </w:rPr>
        <w:t xml:space="preserve">, Fujimori T, Fujii S, Takeda J, Ohkura Y, Kawamata H, Kumamoto T, Ishiguro S, Kato Y, Shimoda T, Iwashita A, Ajioka Y, Watanabe H, Watanabe T, Muto T, Nagasako K. Correlations between lymph node metastasis and depth of submucosal invasion in submucosal invasive colorectal carcinoma: a Japanese collaborative study. </w:t>
      </w:r>
      <w:r>
        <w:rPr>
          <w:rFonts w:ascii="Book Antiqua" w:hAnsi="Book Antiqua" w:cs="Book Antiqua"/>
          <w:i/>
          <w:iCs/>
        </w:rPr>
        <w:t>J Gastroenterol</w:t>
      </w:r>
      <w:r>
        <w:rPr>
          <w:rFonts w:ascii="Book Antiqua" w:hAnsi="Book Antiqua" w:cs="Book Antiqua"/>
        </w:rPr>
        <w:t xml:space="preserve"> 2004; </w:t>
      </w:r>
      <w:r>
        <w:rPr>
          <w:rFonts w:ascii="Book Antiqua" w:hAnsi="Book Antiqua" w:cs="Book Antiqua"/>
          <w:b/>
          <w:bCs/>
        </w:rPr>
        <w:t>39</w:t>
      </w:r>
      <w:r>
        <w:rPr>
          <w:rFonts w:ascii="Book Antiqua" w:hAnsi="Book Antiqua" w:cs="Book Antiqua"/>
        </w:rPr>
        <w:t>: 534-543 [PMID: 15235870 DOI: 10.1007/s00535-004-1339-4]</w:t>
      </w:r>
    </w:p>
    <w:p>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Nakadoi K</w:t>
      </w:r>
      <w:r>
        <w:rPr>
          <w:rFonts w:ascii="Book Antiqua" w:hAnsi="Book Antiqua" w:cs="Book Antiqua"/>
        </w:rPr>
        <w:t xml:space="preserve">, Tanaka S, Kanao H, Terasaki M, Takata S, Oka S, Yoshida S, Arihiro K, Chayama K. Management of T1 colorectal carcinoma with special reference to criteria for curative endoscopic resection. </w:t>
      </w:r>
      <w:r>
        <w:rPr>
          <w:rFonts w:ascii="Book Antiqua" w:hAnsi="Book Antiqua" w:cs="Book Antiqua"/>
          <w:i/>
          <w:iCs/>
        </w:rPr>
        <w:t>J Gastroenterol Hepatol</w:t>
      </w:r>
      <w:r>
        <w:rPr>
          <w:rFonts w:ascii="Book Antiqua" w:hAnsi="Book Antiqua" w:cs="Book Antiqua"/>
        </w:rPr>
        <w:t xml:space="preserve"> 2012; </w:t>
      </w:r>
      <w:r>
        <w:rPr>
          <w:rFonts w:ascii="Book Antiqua" w:hAnsi="Book Antiqua" w:cs="Book Antiqua"/>
          <w:b/>
          <w:bCs/>
        </w:rPr>
        <w:t>27</w:t>
      </w:r>
      <w:r>
        <w:rPr>
          <w:rFonts w:ascii="Book Antiqua" w:hAnsi="Book Antiqua" w:cs="Book Antiqua"/>
        </w:rPr>
        <w:t>: 1057-1062 [PMID: 22142484 DOI: 10.1111/j.1440-1746.2011.07041.x]</w:t>
      </w:r>
    </w:p>
    <w:p>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Sohn DK</w:t>
      </w:r>
      <w:r>
        <w:rPr>
          <w:rFonts w:ascii="Book Antiqua" w:hAnsi="Book Antiqua" w:cs="Book Antiqua"/>
        </w:rPr>
        <w:t xml:space="preserve">, Chang HJ, Park JW, Choi DH, Han KS, Hong CW, Jung KH, Kim DY, Lim SB, Choi HS, Jeong SY. Histopathological risk factors for lymph node metastasis in submucosal invasive colorectal carcinoma of pedunculated or semipedunculated type. </w:t>
      </w:r>
      <w:r>
        <w:rPr>
          <w:rFonts w:ascii="Book Antiqua" w:hAnsi="Book Antiqua" w:cs="Book Antiqua"/>
          <w:i/>
          <w:iCs/>
        </w:rPr>
        <w:t>J Clin Pathol</w:t>
      </w:r>
      <w:r>
        <w:rPr>
          <w:rFonts w:ascii="Book Antiqua" w:hAnsi="Book Antiqua" w:cs="Book Antiqua"/>
        </w:rPr>
        <w:t xml:space="preserve"> 2007; </w:t>
      </w:r>
      <w:r>
        <w:rPr>
          <w:rFonts w:ascii="Book Antiqua" w:hAnsi="Book Antiqua" w:cs="Book Antiqua"/>
          <w:b/>
          <w:bCs/>
        </w:rPr>
        <w:t>60</w:t>
      </w:r>
      <w:r>
        <w:rPr>
          <w:rFonts w:ascii="Book Antiqua" w:hAnsi="Book Antiqua" w:cs="Book Antiqua"/>
        </w:rPr>
        <w:t>: 912-915 [PMID: 16997919 DOI: 10.1136/jcp.2006.043539]</w:t>
      </w:r>
    </w:p>
    <w:p>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Oka S</w:t>
      </w:r>
      <w:r>
        <w:rPr>
          <w:rFonts w:ascii="Book Antiqua" w:hAnsi="Book Antiqua" w:cs="Book Antiqua"/>
        </w:rPr>
        <w:t xml:space="preserve">, Tanaka S, Nakadoi K, Kanao H, Chayama K. Risk analysis of submucosal invasive rectal carcinomas for lymph node metastasis to expand indication criteria for endoscopic resection. </w:t>
      </w:r>
      <w:r>
        <w:rPr>
          <w:rFonts w:ascii="Book Antiqua" w:hAnsi="Book Antiqua" w:cs="Book Antiqua"/>
          <w:i/>
          <w:iCs/>
        </w:rPr>
        <w:t>Dig Endosc</w:t>
      </w:r>
      <w:r>
        <w:rPr>
          <w:rFonts w:ascii="Book Antiqua" w:hAnsi="Book Antiqua" w:cs="Book Antiqua"/>
        </w:rPr>
        <w:t xml:space="preserve"> 2013; </w:t>
      </w:r>
      <w:r>
        <w:rPr>
          <w:rFonts w:ascii="Book Antiqua" w:hAnsi="Book Antiqua" w:cs="Book Antiqua"/>
          <w:b/>
          <w:bCs/>
        </w:rPr>
        <w:t>25 Suppl 2</w:t>
      </w:r>
      <w:r>
        <w:rPr>
          <w:rFonts w:ascii="Book Antiqua" w:hAnsi="Book Antiqua" w:cs="Book Antiqua"/>
        </w:rPr>
        <w:t>: 21-25 [PMID: 23617644 DOI: 10.1111/den.12089]</w:t>
      </w:r>
    </w:p>
    <w:p>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Watanabe D</w:t>
      </w:r>
      <w:r>
        <w:rPr>
          <w:rFonts w:ascii="Book Antiqua" w:hAnsi="Book Antiqua" w:cs="Book Antiqua"/>
        </w:rPr>
        <w:t xml:space="preserve">, Toyonaga T, Ooi M, Yoshizaki T, Ohara Y, Tanaka S, Kawara F, Ishida T, Morita Y, Umegaki E, Matsuda T, Sumi Y, Nishio M, Yokozaki H, Azuma T. Clinical outcomes of deep invasive submucosal colorectal cancer after ESD. </w:t>
      </w:r>
      <w:r>
        <w:rPr>
          <w:rFonts w:ascii="Book Antiqua" w:hAnsi="Book Antiqua" w:cs="Book Antiqua"/>
          <w:i/>
          <w:iCs/>
        </w:rPr>
        <w:t>Surg Endosc</w:t>
      </w:r>
      <w:r>
        <w:rPr>
          <w:rFonts w:ascii="Book Antiqua" w:hAnsi="Book Antiqua" w:cs="Book Antiqua"/>
        </w:rPr>
        <w:t xml:space="preserve"> 2018; </w:t>
      </w:r>
      <w:r>
        <w:rPr>
          <w:rFonts w:ascii="Book Antiqua" w:hAnsi="Book Antiqua" w:cs="Book Antiqua"/>
          <w:b/>
          <w:bCs/>
        </w:rPr>
        <w:t>32</w:t>
      </w:r>
      <w:r>
        <w:rPr>
          <w:rFonts w:ascii="Book Antiqua" w:hAnsi="Book Antiqua" w:cs="Book Antiqua"/>
        </w:rPr>
        <w:t>: 2123-2130 [PMID: 29098429 DOI: 10.1007/s00464-017-5910-5]</w:t>
      </w:r>
    </w:p>
    <w:p>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Rahni DO</w:t>
      </w:r>
      <w:r>
        <w:rPr>
          <w:rFonts w:ascii="Book Antiqua" w:hAnsi="Book Antiqua" w:cs="Book Antiqua"/>
        </w:rPr>
        <w:t xml:space="preserve">, Toyonaga T, Ohara Y, Lombardo F, Baba S, Takihara H, Tanaka S, Kawara F, Azuma T. First reported case of per anal endoscopic myectomy (PAEM): A novel endoscopic technique for resection of lesions with severe fibrosis in the rectum. </w:t>
      </w:r>
      <w:r>
        <w:rPr>
          <w:rFonts w:ascii="Book Antiqua" w:hAnsi="Book Antiqua" w:cs="Book Antiqua"/>
          <w:i/>
          <w:iCs/>
        </w:rPr>
        <w:t>Endosc Int Open</w:t>
      </w:r>
      <w:r>
        <w:rPr>
          <w:rFonts w:ascii="Book Antiqua" w:hAnsi="Book Antiqua" w:cs="Book Antiqua"/>
        </w:rPr>
        <w:t xml:space="preserve"> 2017; </w:t>
      </w:r>
      <w:r>
        <w:rPr>
          <w:rFonts w:ascii="Book Antiqua" w:hAnsi="Book Antiqua" w:cs="Book Antiqua"/>
          <w:b/>
          <w:bCs/>
        </w:rPr>
        <w:t>5</w:t>
      </w:r>
      <w:r>
        <w:rPr>
          <w:rFonts w:ascii="Book Antiqua" w:hAnsi="Book Antiqua" w:cs="Book Antiqua"/>
        </w:rPr>
        <w:t>: E146-E150 [PMID: 28337484 DOI: 10.1055/s-0042-122965]</w:t>
      </w:r>
    </w:p>
    <w:p>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Moons LMG</w:t>
      </w:r>
      <w:r>
        <w:rPr>
          <w:rFonts w:ascii="Book Antiqua" w:hAnsi="Book Antiqua" w:cs="Book Antiqua"/>
        </w:rPr>
        <w:t xml:space="preserve">, Bastiaansen BAJ, Richir MC, Hazen WL, Tuynman J, Elias SG, Schrauwen RWM, Vleggaar FP, Dekker E, Bos P, Fariña Sarasqueta A, Lacle M, Hompes R, Didden P. Endoscopic intermuscular dissection for deep submucosal invasive cancer in the rectum: a new endoscopic approach. </w:t>
      </w:r>
      <w:r>
        <w:rPr>
          <w:rFonts w:ascii="Book Antiqua" w:hAnsi="Book Antiqua" w:cs="Book Antiqua"/>
          <w:i/>
          <w:iCs/>
        </w:rPr>
        <w:t>Endoscopy</w:t>
      </w:r>
      <w:r>
        <w:rPr>
          <w:rFonts w:ascii="Book Antiqua" w:hAnsi="Book Antiqua" w:cs="Book Antiqua"/>
        </w:rPr>
        <w:t xml:space="preserve"> 2022; </w:t>
      </w:r>
      <w:r>
        <w:rPr>
          <w:rFonts w:ascii="Book Antiqua" w:hAnsi="Book Antiqua" w:cs="Book Antiqua"/>
          <w:b/>
          <w:bCs/>
        </w:rPr>
        <w:t>54</w:t>
      </w:r>
      <w:r>
        <w:rPr>
          <w:rFonts w:ascii="Book Antiqua" w:hAnsi="Book Antiqua" w:cs="Book Antiqua"/>
        </w:rPr>
        <w:t>: 993-998 [PMID: 35073588 DOI: 10.1055/a-1748-8573]</w:t>
      </w:r>
    </w:p>
    <w:p>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Chen T</w:t>
      </w:r>
      <w:r>
        <w:rPr>
          <w:rFonts w:ascii="Book Antiqua" w:hAnsi="Book Antiqua" w:cs="Book Antiqua"/>
        </w:rPr>
        <w:t xml:space="preserve">, Zhang YQ, Chen WF, Hou YY, Yao LQ, Zhong YS, Xu MD, Zhou PH. Efficacy and safety of additional surgery after non-curative endoscopic submucosal dissection for early colorectal cancer. </w:t>
      </w:r>
      <w:r>
        <w:rPr>
          <w:rFonts w:ascii="Book Antiqua" w:hAnsi="Book Antiqua" w:cs="Book Antiqua"/>
          <w:i/>
          <w:iCs/>
        </w:rPr>
        <w:t>BMC Gastroenterol</w:t>
      </w:r>
      <w:r>
        <w:rPr>
          <w:rFonts w:ascii="Book Antiqua" w:hAnsi="Book Antiqua" w:cs="Book Antiqua"/>
        </w:rPr>
        <w:t xml:space="preserve"> 2017; </w:t>
      </w:r>
      <w:r>
        <w:rPr>
          <w:rFonts w:ascii="Book Antiqua" w:hAnsi="Book Antiqua" w:cs="Book Antiqua"/>
          <w:b/>
          <w:bCs/>
        </w:rPr>
        <w:t>17</w:t>
      </w:r>
      <w:r>
        <w:rPr>
          <w:rFonts w:ascii="Book Antiqua" w:hAnsi="Book Antiqua" w:cs="Book Antiqua"/>
        </w:rPr>
        <w:t>: 134 [PMID: 29183272 DOI: 10.1186/s12876-017-0701-y]</w:t>
      </w:r>
    </w:p>
    <w:p>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Coco C</w:t>
      </w:r>
      <w:r>
        <w:rPr>
          <w:rFonts w:ascii="Book Antiqua" w:hAnsi="Book Antiqua" w:cs="Book Antiqua"/>
        </w:rPr>
        <w:t xml:space="preserve">, Magistrelli P, Netri G, Cogliandolo S, Carbone L, Morganti AG, Ziccarelli L, Valentini V. Combined modality therapy in low risk (T2N0) rectal cancer. </w:t>
      </w:r>
      <w:r>
        <w:rPr>
          <w:rFonts w:ascii="Book Antiqua" w:hAnsi="Book Antiqua" w:cs="Book Antiqua"/>
          <w:i/>
          <w:iCs/>
        </w:rPr>
        <w:t>Rays</w:t>
      </w:r>
      <w:r>
        <w:rPr>
          <w:rFonts w:ascii="Book Antiqua" w:hAnsi="Book Antiqua" w:cs="Book Antiqua"/>
        </w:rPr>
        <w:t xml:space="preserve"> 1995; </w:t>
      </w:r>
      <w:r>
        <w:rPr>
          <w:rFonts w:ascii="Book Antiqua" w:hAnsi="Book Antiqua" w:cs="Book Antiqua"/>
          <w:b/>
          <w:bCs/>
        </w:rPr>
        <w:t>20</w:t>
      </w:r>
      <w:r>
        <w:rPr>
          <w:rFonts w:ascii="Book Antiqua" w:hAnsi="Book Antiqua" w:cs="Book Antiqua"/>
        </w:rPr>
        <w:t>: 156-164 [PMID: 7480864]</w:t>
      </w:r>
    </w:p>
    <w:p>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Borstlap WA</w:t>
      </w:r>
      <w:r>
        <w:rPr>
          <w:rFonts w:ascii="Book Antiqua" w:hAnsi="Book Antiqua" w:cs="Book Antiqua"/>
        </w:rPr>
        <w:t xml:space="preserve">, Tanis PJ, Koedam TW, Marijnen CA, Cunningham C, Dekker E, van Leerdam ME, Meijer G, van Grieken N, Nagtegaal ID, Punt CJ, Dijkgraaf MG, De Wilt JH, Beets G, de Graaf EJ, van Geloven AA, Gerhards MF, van Westreenen HL, van de Ven AW, van Duijvendijk P, de Hingh IH, Leijtens JW, Sietses C, Spillenaar-Bilgen EJ, Vuylsteke RJ, Hoff C, Burger JW, van Grevenstein WM, Pronk A, Bosker RJ, Prins H, Smits AB, Bruin S, Zimmerman DD, Stassen LP, Dunker MS, Westerterp M, Coene PP, Stoot J, Bemelman WA, Tuynman JB. A multi-centred randomised trial of radical surgery versus adjuvant chemoradiotherapy after local excision for early rectal cancer. </w:t>
      </w:r>
      <w:r>
        <w:rPr>
          <w:rFonts w:ascii="Book Antiqua" w:hAnsi="Book Antiqua" w:cs="Book Antiqua"/>
          <w:i/>
          <w:iCs/>
        </w:rPr>
        <w:t>BMC Cancer</w:t>
      </w:r>
      <w:r>
        <w:rPr>
          <w:rFonts w:ascii="Book Antiqua" w:hAnsi="Book Antiqua" w:cs="Book Antiqua"/>
        </w:rPr>
        <w:t xml:space="preserve"> 2016; </w:t>
      </w:r>
      <w:r>
        <w:rPr>
          <w:rFonts w:ascii="Book Antiqua" w:hAnsi="Book Antiqua" w:cs="Book Antiqua"/>
          <w:b/>
          <w:bCs/>
        </w:rPr>
        <w:t>16</w:t>
      </w:r>
      <w:r>
        <w:rPr>
          <w:rFonts w:ascii="Book Antiqua" w:hAnsi="Book Antiqua" w:cs="Book Antiqua"/>
        </w:rPr>
        <w:t>: 513 [PMID: 27439975 DOI: 10.1186/s12885-016-2557-x]</w:t>
      </w:r>
    </w:p>
    <w:p>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Spadaccini M</w:t>
      </w:r>
      <w:r>
        <w:rPr>
          <w:rFonts w:ascii="Book Antiqua" w:hAnsi="Book Antiqua" w:cs="Book Antiqua"/>
        </w:rPr>
        <w:t xml:space="preserve">, Bourke MJ, Maselli R, Pioche M, Bhandari P, Jacques J, Haji A, Yang D, Albéniz E, Kaminski MF, Messmann H, Herreros de Tejada A, Sferrazza S, Pekarek B, Rivory J, Geyl S, Gulati S, Draganov P, Shahidi N, Hossain E, Fleischmann C, Vespa E, Iannone A, Alkandari A, Hassan C, Repici A; ESD Western Alliance (EWA). Clinical outcome of non-curative endoscopic submucosal dissection for early colorectal cancer. </w:t>
      </w:r>
      <w:r>
        <w:rPr>
          <w:rFonts w:ascii="Book Antiqua" w:hAnsi="Book Antiqua" w:cs="Book Antiqua"/>
          <w:i/>
          <w:iCs/>
        </w:rPr>
        <w:t>Gut</w:t>
      </w:r>
      <w:r>
        <w:rPr>
          <w:rFonts w:ascii="Book Antiqua" w:hAnsi="Book Antiqua" w:cs="Book Antiqua"/>
        </w:rPr>
        <w:t xml:space="preserve"> 2022 [PMID: 35058275 DOI: 10.1136/gutjnl-2020-323897]</w:t>
      </w:r>
    </w:p>
    <w:p>
      <w:pPr>
        <w:adjustRightInd w:val="0"/>
        <w:snapToGrid w:val="0"/>
        <w:spacing w:line="360" w:lineRule="auto"/>
        <w:jc w:val="both"/>
        <w:rPr>
          <w:rFonts w:ascii="Book Antiqua" w:hAnsi="Book Antiqua" w:cs="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Footnotes</w:t>
      </w:r>
    </w:p>
    <w:p>
      <w:pPr>
        <w:spacing w:line="360" w:lineRule="auto"/>
        <w:jc w:val="both"/>
        <w:rPr>
          <w:rFonts w:ascii="Book Antiqua" w:hAnsi="Book Antiqua" w:cs="Book Antiqua"/>
          <w:b/>
          <w:bCs/>
        </w:rPr>
      </w:pPr>
      <w:r>
        <w:rPr>
          <w:rFonts w:ascii="Book Antiqua" w:hAnsi="Book Antiqua" w:cs="Book Antiqua"/>
          <w:b/>
          <w:bCs/>
        </w:rPr>
        <w:t xml:space="preserve">Informed consent statement: </w:t>
      </w:r>
      <w:r>
        <w:rPr>
          <w:rFonts w:ascii="Book Antiqua" w:hAnsi="Book Antiqua" w:cs="Book Antiqua"/>
        </w:rPr>
        <w:t>Informed written consent was obtained from the patient for publication of this report and any accompanying images.</w:t>
      </w:r>
    </w:p>
    <w:p>
      <w:pPr>
        <w:spacing w:line="360" w:lineRule="auto"/>
        <w:jc w:val="both"/>
        <w:rPr>
          <w:rFonts w:ascii="Book Antiqua" w:hAnsi="Book Antiqua" w:cs="Book Antiqua"/>
          <w:b/>
          <w:bCs/>
        </w:rPr>
      </w:pPr>
    </w:p>
    <w:p>
      <w:pPr>
        <w:spacing w:line="360" w:lineRule="auto"/>
        <w:jc w:val="both"/>
        <w:rPr>
          <w:rFonts w:ascii="Book Antiqua" w:hAnsi="Book Antiqua" w:cs="Book Antiqua"/>
        </w:rPr>
      </w:pPr>
      <w:r>
        <w:rPr>
          <w:rFonts w:ascii="Book Antiqua" w:hAnsi="Book Antiqua" w:cs="Book Antiqua"/>
          <w:b/>
          <w:bCs/>
        </w:rPr>
        <w:t xml:space="preserve">Conflict-of-interest statement: </w:t>
      </w:r>
      <w:r>
        <w:rPr>
          <w:rFonts w:ascii="Book Antiqua" w:hAnsi="Book Antiqua" w:cs="Book Antiqua"/>
        </w:rPr>
        <w:t>The authors declare that they have no conflict of interest.</w:t>
      </w:r>
    </w:p>
    <w:p>
      <w:pPr>
        <w:spacing w:line="360" w:lineRule="auto"/>
        <w:jc w:val="both"/>
        <w:rPr>
          <w:rFonts w:ascii="Book Antiqua" w:hAnsi="Book Antiqua" w:cs="Book Antiqua"/>
          <w:b/>
          <w:bCs/>
        </w:rPr>
      </w:pPr>
    </w:p>
    <w:p>
      <w:pPr>
        <w:spacing w:line="360" w:lineRule="auto"/>
        <w:jc w:val="both"/>
        <w:rPr>
          <w:rFonts w:ascii="Book Antiqua" w:hAnsi="Book Antiqua" w:cs="Book Antiqua"/>
        </w:rPr>
      </w:pPr>
      <w:r>
        <w:rPr>
          <w:rFonts w:ascii="Book Antiqua" w:hAnsi="Book Antiqua" w:cs="Book Antiqua"/>
          <w:b/>
          <w:bCs/>
        </w:rPr>
        <w:t xml:space="preserve">CARE Checklist (2016) statement: </w:t>
      </w:r>
      <w:r>
        <w:rPr>
          <w:rFonts w:ascii="Book Antiqua" w:hAnsi="Book Antiqua" w:cs="Book Antiqua"/>
        </w:rPr>
        <w:t>The authors have read the CARE Checklist (2016), and the manuscript was prepared and revised according to the CARE Checklist (2016).</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October 14,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October 24,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November 21, 2023</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Surgery</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New Zealand</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A (Excellent):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B (Very good):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C (Good): C</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D (Fair):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E (Poor): 0</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Li JJ, China</w:t>
      </w:r>
      <w:r>
        <w:rPr>
          <w:rFonts w:ascii="Book Antiqua" w:hAnsi="Book Antiqua" w:eastAsia="Book Antiqua" w:cs="Book Antiqua"/>
          <w:b/>
          <w:color w:val="000000"/>
        </w:rPr>
        <w:t xml:space="preserve"> S-Editor: </w:t>
      </w:r>
      <w:r>
        <w:rPr>
          <w:rFonts w:hint="eastAsia" w:ascii="Book Antiqua" w:hAnsi="Book Antiqua" w:eastAsia="宋体" w:cs="Book Antiqua"/>
          <w:bCs/>
          <w:color w:val="000000"/>
          <w:lang w:eastAsia="zh-CN"/>
        </w:rPr>
        <w:t>Qu XL</w:t>
      </w:r>
      <w:r>
        <w:rPr>
          <w:rFonts w:ascii="Book Antiqua" w:hAnsi="Book Antiqua" w:eastAsia="Book Antiqua" w:cs="Book Antiqua"/>
          <w:b/>
          <w:color w:val="000000"/>
        </w:rPr>
        <w:t xml:space="preserve"> L-Editor: </w:t>
      </w:r>
      <w:r>
        <w:rPr>
          <w:rFonts w:hint="eastAsia" w:ascii="Book Antiqua" w:hAnsi="Book Antiqua" w:eastAsia="宋体" w:cs="Book Antiqua"/>
          <w:b w:val="0"/>
          <w:bCs/>
          <w:color w:val="000000"/>
          <w:lang w:val="en-US" w:eastAsia="zh-CN"/>
        </w:rPr>
        <w:t>A</w:t>
      </w:r>
      <w:r>
        <w:rPr>
          <w:rFonts w:ascii="Book Antiqua" w:hAnsi="Book Antiqua" w:eastAsia="Book Antiqua" w:cs="Book Antiqua"/>
          <w:b/>
          <w:color w:val="000000"/>
        </w:rPr>
        <w:t xml:space="preserve"> P-Editor: </w:t>
      </w:r>
      <w:r>
        <w:rPr>
          <w:rFonts w:hint="eastAsia" w:ascii="Book Antiqua" w:hAnsi="Book Antiqua" w:eastAsia="宋体" w:cs="Book Antiqua"/>
          <w:bCs/>
          <w:color w:val="000000"/>
          <w:lang w:eastAsia="zh-CN"/>
        </w:rPr>
        <w:t>Qu XL</w:t>
      </w: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drawing>
          <wp:inline distT="0" distB="0" distL="114300" distR="114300">
            <wp:extent cx="4039870" cy="1854200"/>
            <wp:effectExtent l="0" t="0" r="8255" b="3175"/>
            <wp:docPr id="7" name="图片 7" descr="WJSP-13-2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SP-13-22-g001"/>
                    <pic:cNvPicPr>
                      <a:picLocks noChangeAspect="1"/>
                    </pic:cNvPicPr>
                  </pic:nvPicPr>
                  <pic:blipFill>
                    <a:blip r:embed="rId5"/>
                    <a:stretch>
                      <a:fillRect/>
                    </a:stretch>
                  </pic:blipFill>
                  <pic:spPr>
                    <a:xfrm>
                      <a:off x="0" y="0"/>
                      <a:ext cx="4039870" cy="1854200"/>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b/>
          <w:bCs/>
        </w:rPr>
        <w:t>Figure 1</w:t>
      </w:r>
      <w:r>
        <w:rPr>
          <w:rFonts w:hint="eastAsia" w:ascii="Book Antiqua" w:hAnsi="Book Antiqua" w:eastAsia="Book Antiqua" w:cs="Book Antiqua"/>
          <w:b/>
          <w:bCs/>
          <w:lang w:eastAsia="zh-CN"/>
        </w:rPr>
        <w:t xml:space="preserve"> </w:t>
      </w:r>
      <w:r>
        <w:rPr>
          <w:rFonts w:hint="eastAsia" w:ascii="Book Antiqua" w:hAnsi="Book Antiqua" w:eastAsia="Book Antiqua" w:cs="Book Antiqua"/>
          <w:b/>
          <w:bCs/>
        </w:rPr>
        <w:t>Endoscopic image of the lesion</w:t>
      </w:r>
      <w:r>
        <w:rPr>
          <w:rFonts w:hint="eastAsia" w:ascii="Book Antiqua" w:hAnsi="Book Antiqua" w:eastAsia="Book Antiqua" w:cs="Book Antiqua"/>
          <w:b/>
          <w:bCs/>
          <w:lang w:eastAsia="zh-CN"/>
        </w:rPr>
        <w:t>.</w:t>
      </w:r>
      <w:r>
        <w:rPr>
          <w:rFonts w:hint="eastAsia" w:ascii="Book Antiqua" w:hAnsi="Book Antiqua" w:eastAsia="Book Antiqua" w:cs="Book Antiqua"/>
          <w:lang w:eastAsia="zh-CN"/>
        </w:rPr>
        <w:t xml:space="preserve"> A</w:t>
      </w:r>
      <w:r>
        <w:rPr>
          <w:rFonts w:ascii="Book Antiqua" w:hAnsi="Book Antiqua" w:eastAsia="Book Antiqua" w:cs="Book Antiqua"/>
        </w:rPr>
        <w:t xml:space="preserve">: </w:t>
      </w:r>
      <w:r>
        <w:rPr>
          <w:rFonts w:hint="eastAsia" w:ascii="Book Antiqua" w:hAnsi="Book Antiqua" w:eastAsia="宋体" w:cs="Book Antiqua"/>
          <w:lang w:eastAsia="zh-CN"/>
        </w:rPr>
        <w:t>L</w:t>
      </w:r>
      <w:r>
        <w:rPr>
          <w:rFonts w:ascii="Book Antiqua" w:hAnsi="Book Antiqua" w:eastAsia="Book Antiqua" w:cs="Book Antiqua"/>
        </w:rPr>
        <w:t>esion in white light. There is a central depression with Paris classification IIc/IIa</w:t>
      </w:r>
      <w:r>
        <w:rPr>
          <w:rFonts w:hint="eastAsia" w:ascii="Book Antiqua" w:hAnsi="Book Antiqua" w:eastAsia="宋体"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eastAsia="zh-CN"/>
        </w:rPr>
        <w:t>B</w:t>
      </w:r>
      <w:r>
        <w:rPr>
          <w:rFonts w:ascii="Book Antiqua" w:hAnsi="Book Antiqua" w:eastAsia="Book Antiqua" w:cs="Book Antiqua"/>
        </w:rPr>
        <w:t xml:space="preserve">: Vn type pit pattern corresponds to Narrow Band Imaging International Colorectal Endoscopic classification 3, Japan Narrow Band Imaging Expert Team classification 3 </w:t>
      </w:r>
      <w:r>
        <w:rPr>
          <w:rFonts w:hint="eastAsia" w:ascii="Book Antiqua" w:hAnsi="Book Antiqua" w:eastAsia="宋体" w:cs="Book Antiqua"/>
          <w:lang w:eastAsia="zh-CN"/>
        </w:rPr>
        <w:t>l</w:t>
      </w:r>
      <w:r>
        <w:rPr>
          <w:rFonts w:ascii="Book Antiqua" w:hAnsi="Book Antiqua" w:eastAsia="Book Antiqua" w:cs="Book Antiqua"/>
        </w:rPr>
        <w:t>esion.</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rPr>
        <w:drawing>
          <wp:inline distT="0" distB="0" distL="114300" distR="114300">
            <wp:extent cx="5938520" cy="1646555"/>
            <wp:effectExtent l="0" t="0" r="5080" b="1270"/>
            <wp:docPr id="8" name="图片 8" descr="WJSP-13-2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SP-13-22-g002"/>
                    <pic:cNvPicPr>
                      <a:picLocks noChangeAspect="1"/>
                    </pic:cNvPicPr>
                  </pic:nvPicPr>
                  <pic:blipFill>
                    <a:blip r:embed="rId6"/>
                    <a:stretch>
                      <a:fillRect/>
                    </a:stretch>
                  </pic:blipFill>
                  <pic:spPr>
                    <a:xfrm>
                      <a:off x="0" y="0"/>
                      <a:ext cx="5938520" cy="1646555"/>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b/>
          <w:bCs/>
        </w:rPr>
        <w:t>Figure 2</w:t>
      </w:r>
      <w:r>
        <w:rPr>
          <w:rFonts w:hint="eastAsia" w:ascii="Book Antiqua" w:hAnsi="Book Antiqua" w:eastAsia="宋体" w:cs="Book Antiqua"/>
          <w:b/>
          <w:bCs/>
          <w:lang w:eastAsia="zh-CN"/>
        </w:rPr>
        <w:t xml:space="preserve"> </w:t>
      </w:r>
      <w:r>
        <w:rPr>
          <w:rFonts w:hint="eastAsia" w:ascii="Book Antiqua" w:hAnsi="Book Antiqua" w:eastAsia="Book Antiqua" w:cs="Book Antiqua"/>
          <w:b/>
          <w:bCs/>
        </w:rPr>
        <w:t>Lesion during dissection and after removal</w:t>
      </w:r>
      <w:r>
        <w:rPr>
          <w:rFonts w:hint="eastAsia" w:ascii="Book Antiqua" w:hAnsi="Book Antiqua" w:eastAsia="宋体" w:cs="Book Antiqua"/>
          <w:b/>
          <w:bCs/>
          <w:lang w:eastAsia="zh-CN"/>
        </w:rPr>
        <w:t>.</w:t>
      </w:r>
      <w:r>
        <w:rPr>
          <w:rFonts w:hint="eastAsia" w:ascii="Book Antiqua" w:hAnsi="Book Antiqua" w:eastAsia="宋体" w:cs="Book Antiqua"/>
          <w:lang w:eastAsia="zh-CN"/>
        </w:rPr>
        <w:t xml:space="preserve"> A:</w:t>
      </w:r>
      <w:r>
        <w:rPr>
          <w:rFonts w:ascii="Book Antiqua" w:hAnsi="Book Antiqua" w:eastAsia="Book Antiqua" w:cs="Book Antiqua"/>
        </w:rPr>
        <w:t xml:space="preserve"> </w:t>
      </w:r>
      <w:r>
        <w:rPr>
          <w:rFonts w:ascii="Book Antiqua" w:hAnsi="Book Antiqua" w:eastAsia="宋体" w:cs="Book Antiqua"/>
          <w:lang w:eastAsia="zh-CN"/>
        </w:rPr>
        <w:t>Significant</w:t>
      </w:r>
      <w:r>
        <w:rPr>
          <w:rFonts w:ascii="Book Antiqua" w:hAnsi="Book Antiqua" w:eastAsia="Book Antiqua" w:cs="Book Antiqua"/>
        </w:rPr>
        <w:t xml:space="preserve"> fibrosis encountered during </w:t>
      </w:r>
      <w:r>
        <w:rPr>
          <w:rFonts w:hint="eastAsia" w:ascii="Book Antiqua" w:hAnsi="Book Antiqua" w:eastAsia="宋体" w:cs="Book Antiqua"/>
          <w:lang w:eastAsia="zh-CN"/>
        </w:rPr>
        <w:t>e</w:t>
      </w:r>
      <w:r>
        <w:rPr>
          <w:rFonts w:ascii="Book Antiqua" w:hAnsi="Book Antiqua" w:eastAsia="Book Antiqua" w:cs="Book Antiqua"/>
        </w:rPr>
        <w:t xml:space="preserve">ndoscopic </w:t>
      </w:r>
      <w:r>
        <w:rPr>
          <w:rFonts w:hint="eastAsia" w:ascii="Book Antiqua" w:hAnsi="Book Antiqua" w:eastAsia="宋体" w:cs="Book Antiqua"/>
          <w:lang w:eastAsia="zh-CN"/>
        </w:rPr>
        <w:t>i</w:t>
      </w:r>
      <w:r>
        <w:rPr>
          <w:rFonts w:ascii="Book Antiqua" w:hAnsi="Book Antiqua" w:eastAsia="Book Antiqua" w:cs="Book Antiqua"/>
        </w:rPr>
        <w:t xml:space="preserve">ntermuscular </w:t>
      </w:r>
      <w:r>
        <w:rPr>
          <w:rFonts w:hint="eastAsia" w:ascii="Book Antiqua" w:hAnsi="Book Antiqua" w:eastAsia="宋体" w:cs="Book Antiqua"/>
          <w:lang w:eastAsia="zh-CN"/>
        </w:rPr>
        <w:t>d</w:t>
      </w:r>
      <w:r>
        <w:rPr>
          <w:rFonts w:ascii="Book Antiqua" w:hAnsi="Book Antiqua" w:eastAsia="Book Antiqua" w:cs="Book Antiqua"/>
        </w:rPr>
        <w:t>issection</w:t>
      </w:r>
      <w:r>
        <w:rPr>
          <w:rFonts w:hint="eastAsia" w:ascii="Book Antiqua" w:hAnsi="Book Antiqua" w:eastAsia="宋体"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eastAsia="zh-CN"/>
        </w:rPr>
        <w:t xml:space="preserve">B: </w:t>
      </w:r>
      <w:r>
        <w:rPr>
          <w:rFonts w:ascii="Book Antiqua" w:hAnsi="Book Antiqua" w:eastAsia="Book Antiqua" w:cs="Book Antiqua"/>
        </w:rPr>
        <w:t>After dissecting the fibrotic area, the inner muscle layer was dissected, keeping the outer longitudinal layer intact</w:t>
      </w:r>
      <w:r>
        <w:rPr>
          <w:rFonts w:hint="eastAsia" w:ascii="Book Antiqua" w:hAnsi="Book Antiqua" w:eastAsia="宋体"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eastAsia="zh-CN"/>
        </w:rPr>
        <w:t xml:space="preserve">C: </w:t>
      </w:r>
      <w:r>
        <w:rPr>
          <w:rFonts w:ascii="Book Antiqua" w:hAnsi="Book Antiqua" w:eastAsia="Book Antiqua" w:cs="Book Antiqua"/>
        </w:rPr>
        <w:t>The tumour was released from the muscle layer and pinned on the cork board and submitted for histological analysis.</w:t>
      </w:r>
    </w:p>
    <w:p>
      <w:pPr>
        <w:adjustRightInd w:val="0"/>
        <w:snapToGrid w:val="0"/>
        <w:spacing w:line="360" w:lineRule="auto"/>
        <w:jc w:val="both"/>
        <w:rPr>
          <w:rFonts w:hint="eastAsia" w:eastAsia="宋体"/>
          <w:lang w:eastAsia="zh-CN"/>
        </w:rPr>
      </w:pPr>
      <w:bookmarkStart w:id="0" w:name="_GoBack"/>
      <w:r>
        <w:rPr>
          <w:rFonts w:hint="eastAsia" w:eastAsia="宋体"/>
          <w:lang w:eastAsia="zh-CN"/>
        </w:rPr>
        <w:drawing>
          <wp:inline distT="0" distB="0" distL="114300" distR="114300">
            <wp:extent cx="5133340" cy="5958205"/>
            <wp:effectExtent l="0" t="0" r="635" b="4445"/>
            <wp:docPr id="9" name="图片 9" descr="WJSP-13-2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SP-13-22-g003"/>
                    <pic:cNvPicPr>
                      <a:picLocks noChangeAspect="1"/>
                    </pic:cNvPicPr>
                  </pic:nvPicPr>
                  <pic:blipFill>
                    <a:blip r:embed="rId7"/>
                    <a:stretch>
                      <a:fillRect/>
                    </a:stretch>
                  </pic:blipFill>
                  <pic:spPr>
                    <a:xfrm>
                      <a:off x="0" y="0"/>
                      <a:ext cx="5133340" cy="5958205"/>
                    </a:xfrm>
                    <a:prstGeom prst="rect">
                      <a:avLst/>
                    </a:prstGeom>
                  </pic:spPr>
                </pic:pic>
              </a:graphicData>
            </a:graphic>
          </wp:inline>
        </w:drawing>
      </w:r>
      <w:bookmarkEnd w:id="0"/>
    </w:p>
    <w:p>
      <w:pPr>
        <w:adjustRightInd w:val="0"/>
        <w:snapToGrid w:val="0"/>
        <w:spacing w:line="360" w:lineRule="auto"/>
        <w:jc w:val="both"/>
      </w:pPr>
    </w:p>
    <w:p>
      <w:pPr>
        <w:adjustRightInd w:val="0"/>
        <w:snapToGrid w:val="0"/>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rPr>
        <w:t>Figure 3</w:t>
      </w:r>
      <w:r>
        <w:rPr>
          <w:rFonts w:hint="eastAsia" w:ascii="Book Antiqua" w:hAnsi="Book Antiqua" w:eastAsia="宋体" w:cs="Book Antiqua"/>
          <w:b/>
          <w:bCs/>
          <w:lang w:eastAsia="zh-CN"/>
        </w:rPr>
        <w:t xml:space="preserve"> </w:t>
      </w:r>
      <w:r>
        <w:rPr>
          <w:rFonts w:hint="eastAsia" w:ascii="Book Antiqua" w:hAnsi="Book Antiqua" w:eastAsia="Book Antiqua" w:cs="Book Antiqua"/>
          <w:b/>
          <w:bCs/>
        </w:rPr>
        <w:t>Pathological analysis of the lesion</w:t>
      </w:r>
      <w:r>
        <w:rPr>
          <w:rFonts w:hint="eastAsia" w:ascii="Book Antiqua" w:hAnsi="Book Antiqua" w:eastAsia="宋体" w:cs="Book Antiqua"/>
          <w:b/>
          <w:bCs/>
          <w:lang w:eastAsia="zh-CN"/>
        </w:rPr>
        <w:t xml:space="preserve">. </w:t>
      </w:r>
      <w:r>
        <w:rPr>
          <w:rFonts w:hint="eastAsia" w:ascii="Book Antiqua" w:hAnsi="Book Antiqua" w:eastAsia="宋体" w:cs="Book Antiqua"/>
          <w:lang w:eastAsia="zh-CN"/>
        </w:rPr>
        <w:t>A</w:t>
      </w:r>
      <w:r>
        <w:rPr>
          <w:rFonts w:ascii="Book Antiqua" w:hAnsi="Book Antiqua" w:eastAsia="Book Antiqua" w:cs="Book Antiqua"/>
        </w:rPr>
        <w:t>: Endoscopic intermuscular dissection specimen, including muscularis propria. A low-grade adenocarcinoma invading into the muscularis propria as shown at the inked deep margin (at least pT2)</w:t>
      </w:r>
      <w:r>
        <w:rPr>
          <w:rFonts w:hint="eastAsia" w:ascii="Book Antiqua" w:hAnsi="Book Antiqua" w:eastAsia="宋体"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eastAsia="zh-CN"/>
        </w:rPr>
        <w:t>B:</w:t>
      </w:r>
      <w:r>
        <w:rPr>
          <w:rFonts w:ascii="Book Antiqua" w:hAnsi="Book Antiqua" w:eastAsia="Book Antiqua" w:cs="Book Antiqua"/>
        </w:rPr>
        <w:t xml:space="preserve"> </w:t>
      </w:r>
      <w:r>
        <w:rPr>
          <w:rFonts w:hint="eastAsia" w:ascii="Book Antiqua" w:hAnsi="Book Antiqua" w:eastAsia="宋体" w:cs="Book Antiqua"/>
          <w:lang w:eastAsia="zh-CN"/>
        </w:rPr>
        <w:t>E</w:t>
      </w:r>
      <w:r>
        <w:rPr>
          <w:rFonts w:ascii="Book Antiqua" w:hAnsi="Book Antiqua" w:eastAsia="Book Antiqua" w:cs="Book Antiqua"/>
        </w:rPr>
        <w:t>nlarged image of tumour invasion into muscularis propria.</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eastAsia="Book Antiqua" w:cs="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8917847"/>
    </w:sdtPr>
    <w:sdtEndPr>
      <w:rPr>
        <w:rFonts w:ascii="Book Antiqua" w:hAnsi="Book Antiqua"/>
        <w:sz w:val="24"/>
        <w:szCs w:val="24"/>
      </w:rPr>
    </w:sdtEndPr>
    <w:sdtContent>
      <w:sdt>
        <w:sdtPr>
          <w:id w:val="860082579"/>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15</w:t>
            </w:r>
            <w:r>
              <w:rPr>
                <w:rFonts w:ascii="Book Antiqua" w:hAnsi="Book Antiqua"/>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37BDA"/>
    <w:rsid w:val="003A30E8"/>
    <w:rsid w:val="003F429A"/>
    <w:rsid w:val="006B7106"/>
    <w:rsid w:val="0078015F"/>
    <w:rsid w:val="007D4AAB"/>
    <w:rsid w:val="00A77B3E"/>
    <w:rsid w:val="00B90C0F"/>
    <w:rsid w:val="00B90C53"/>
    <w:rsid w:val="00CA2A55"/>
    <w:rsid w:val="00D0070E"/>
    <w:rsid w:val="00D15C6C"/>
    <w:rsid w:val="00D3736F"/>
    <w:rsid w:val="00DC2608"/>
    <w:rsid w:val="00E949B5"/>
    <w:rsid w:val="00F52A8D"/>
    <w:rsid w:val="00FE5CA2"/>
    <w:rsid w:val="011473B7"/>
    <w:rsid w:val="01A60003"/>
    <w:rsid w:val="031F3DF1"/>
    <w:rsid w:val="04D74871"/>
    <w:rsid w:val="051E0804"/>
    <w:rsid w:val="05BB6053"/>
    <w:rsid w:val="05F477B7"/>
    <w:rsid w:val="066E1317"/>
    <w:rsid w:val="06D05B2E"/>
    <w:rsid w:val="074E2EF7"/>
    <w:rsid w:val="076B3AA9"/>
    <w:rsid w:val="0790350F"/>
    <w:rsid w:val="097F55EA"/>
    <w:rsid w:val="0A6C3DC0"/>
    <w:rsid w:val="0B0C7351"/>
    <w:rsid w:val="0C3C77C2"/>
    <w:rsid w:val="0CF62067"/>
    <w:rsid w:val="0D4E59FF"/>
    <w:rsid w:val="0DA970D9"/>
    <w:rsid w:val="0E320E7D"/>
    <w:rsid w:val="102E1B18"/>
    <w:rsid w:val="1131366D"/>
    <w:rsid w:val="12176D07"/>
    <w:rsid w:val="12843C71"/>
    <w:rsid w:val="12957C2C"/>
    <w:rsid w:val="12CD1ABC"/>
    <w:rsid w:val="140E413A"/>
    <w:rsid w:val="14681A9C"/>
    <w:rsid w:val="149F2FE4"/>
    <w:rsid w:val="152359C3"/>
    <w:rsid w:val="15535B76"/>
    <w:rsid w:val="16B20DAC"/>
    <w:rsid w:val="16B9038D"/>
    <w:rsid w:val="178D5376"/>
    <w:rsid w:val="18574301"/>
    <w:rsid w:val="193E101D"/>
    <w:rsid w:val="19597C05"/>
    <w:rsid w:val="197B5DCD"/>
    <w:rsid w:val="1A310B82"/>
    <w:rsid w:val="1A701A29"/>
    <w:rsid w:val="1ACF215C"/>
    <w:rsid w:val="1ADA2FC8"/>
    <w:rsid w:val="1C7134B8"/>
    <w:rsid w:val="1C9C6787"/>
    <w:rsid w:val="1CE7377A"/>
    <w:rsid w:val="1D44297A"/>
    <w:rsid w:val="1D790876"/>
    <w:rsid w:val="1EAF02C7"/>
    <w:rsid w:val="1FBC0EEE"/>
    <w:rsid w:val="1FCD6C57"/>
    <w:rsid w:val="20036B1D"/>
    <w:rsid w:val="200A3A07"/>
    <w:rsid w:val="200F101E"/>
    <w:rsid w:val="20605D1D"/>
    <w:rsid w:val="20E97AC1"/>
    <w:rsid w:val="213056EF"/>
    <w:rsid w:val="213F1DD6"/>
    <w:rsid w:val="216058A9"/>
    <w:rsid w:val="21AD6D40"/>
    <w:rsid w:val="21DF2C72"/>
    <w:rsid w:val="221B63A0"/>
    <w:rsid w:val="22266AF2"/>
    <w:rsid w:val="233D0598"/>
    <w:rsid w:val="235A6A54"/>
    <w:rsid w:val="23E9602A"/>
    <w:rsid w:val="244F2331"/>
    <w:rsid w:val="246B4C91"/>
    <w:rsid w:val="25007ACF"/>
    <w:rsid w:val="25893620"/>
    <w:rsid w:val="261E645E"/>
    <w:rsid w:val="26492DAF"/>
    <w:rsid w:val="271B474C"/>
    <w:rsid w:val="275163C0"/>
    <w:rsid w:val="27F21951"/>
    <w:rsid w:val="28CB3F50"/>
    <w:rsid w:val="28FE60D3"/>
    <w:rsid w:val="29A053DC"/>
    <w:rsid w:val="2AA333D6"/>
    <w:rsid w:val="2ACB46DB"/>
    <w:rsid w:val="2B0025D7"/>
    <w:rsid w:val="2B083239"/>
    <w:rsid w:val="2C9C1E8B"/>
    <w:rsid w:val="2D300825"/>
    <w:rsid w:val="2D55028C"/>
    <w:rsid w:val="2D8E211C"/>
    <w:rsid w:val="2DB256DE"/>
    <w:rsid w:val="2DD90EBD"/>
    <w:rsid w:val="2E7251CA"/>
    <w:rsid w:val="2EBA2A9C"/>
    <w:rsid w:val="2ED2428A"/>
    <w:rsid w:val="2F2443BA"/>
    <w:rsid w:val="2F963509"/>
    <w:rsid w:val="2FDE6C5E"/>
    <w:rsid w:val="30D37E45"/>
    <w:rsid w:val="31FC517A"/>
    <w:rsid w:val="33437504"/>
    <w:rsid w:val="34142C4F"/>
    <w:rsid w:val="3434509F"/>
    <w:rsid w:val="34D462F3"/>
    <w:rsid w:val="3523534B"/>
    <w:rsid w:val="35A65B28"/>
    <w:rsid w:val="3619454C"/>
    <w:rsid w:val="36FF7BE6"/>
    <w:rsid w:val="370A0339"/>
    <w:rsid w:val="37D72911"/>
    <w:rsid w:val="37FC5ED4"/>
    <w:rsid w:val="38170F5F"/>
    <w:rsid w:val="382611A3"/>
    <w:rsid w:val="39294C83"/>
    <w:rsid w:val="39E11825"/>
    <w:rsid w:val="3A3A0F35"/>
    <w:rsid w:val="3A7D27B9"/>
    <w:rsid w:val="3B201ED9"/>
    <w:rsid w:val="3B2F5784"/>
    <w:rsid w:val="3B3D2A8B"/>
    <w:rsid w:val="3BED5A28"/>
    <w:rsid w:val="3CAF79B9"/>
    <w:rsid w:val="3D3B124C"/>
    <w:rsid w:val="3DD0408A"/>
    <w:rsid w:val="3E0B50C2"/>
    <w:rsid w:val="3E110AD0"/>
    <w:rsid w:val="3F732F1F"/>
    <w:rsid w:val="3FC1012F"/>
    <w:rsid w:val="4001677D"/>
    <w:rsid w:val="405F5252"/>
    <w:rsid w:val="41270465"/>
    <w:rsid w:val="414F52C6"/>
    <w:rsid w:val="41B17D2F"/>
    <w:rsid w:val="42755200"/>
    <w:rsid w:val="42E3216A"/>
    <w:rsid w:val="42FE51F6"/>
    <w:rsid w:val="430A3B9B"/>
    <w:rsid w:val="43D877F5"/>
    <w:rsid w:val="452B429C"/>
    <w:rsid w:val="46236D21"/>
    <w:rsid w:val="46445615"/>
    <w:rsid w:val="47637D1D"/>
    <w:rsid w:val="48E7672C"/>
    <w:rsid w:val="492D2391"/>
    <w:rsid w:val="49F42EAF"/>
    <w:rsid w:val="4BE551A5"/>
    <w:rsid w:val="4C60482B"/>
    <w:rsid w:val="4C650094"/>
    <w:rsid w:val="4CF60CEC"/>
    <w:rsid w:val="4D671BE9"/>
    <w:rsid w:val="4D7A191D"/>
    <w:rsid w:val="4D7A36CB"/>
    <w:rsid w:val="4DCD7C9F"/>
    <w:rsid w:val="4E372EB3"/>
    <w:rsid w:val="4EE74D90"/>
    <w:rsid w:val="4F376B26"/>
    <w:rsid w:val="50F419E6"/>
    <w:rsid w:val="52854FEC"/>
    <w:rsid w:val="534327B1"/>
    <w:rsid w:val="53591FD4"/>
    <w:rsid w:val="54102FDB"/>
    <w:rsid w:val="5429409D"/>
    <w:rsid w:val="54501629"/>
    <w:rsid w:val="55006BAB"/>
    <w:rsid w:val="55C37BD9"/>
    <w:rsid w:val="565076BF"/>
    <w:rsid w:val="565D3B8A"/>
    <w:rsid w:val="569A6B8C"/>
    <w:rsid w:val="5717642E"/>
    <w:rsid w:val="57911D3D"/>
    <w:rsid w:val="58A261CC"/>
    <w:rsid w:val="594554D5"/>
    <w:rsid w:val="59BE0DE3"/>
    <w:rsid w:val="59FC1604"/>
    <w:rsid w:val="5A955FE8"/>
    <w:rsid w:val="5A9D30EE"/>
    <w:rsid w:val="5B3E21DC"/>
    <w:rsid w:val="5B70610D"/>
    <w:rsid w:val="5B7756EE"/>
    <w:rsid w:val="5B962018"/>
    <w:rsid w:val="5B9B13DC"/>
    <w:rsid w:val="5C164F06"/>
    <w:rsid w:val="5C806824"/>
    <w:rsid w:val="5D080CF3"/>
    <w:rsid w:val="5D1A6C78"/>
    <w:rsid w:val="5D573A29"/>
    <w:rsid w:val="5DED7EE9"/>
    <w:rsid w:val="5E0F60B1"/>
    <w:rsid w:val="5E174F66"/>
    <w:rsid w:val="5E9367AF"/>
    <w:rsid w:val="5EE412EC"/>
    <w:rsid w:val="5F1C2834"/>
    <w:rsid w:val="5F812FDF"/>
    <w:rsid w:val="60B13450"/>
    <w:rsid w:val="61023CAB"/>
    <w:rsid w:val="614147D4"/>
    <w:rsid w:val="61840B64"/>
    <w:rsid w:val="61EA6C19"/>
    <w:rsid w:val="620677CB"/>
    <w:rsid w:val="62465E1A"/>
    <w:rsid w:val="62854B94"/>
    <w:rsid w:val="62AA0157"/>
    <w:rsid w:val="63C45248"/>
    <w:rsid w:val="643A375C"/>
    <w:rsid w:val="645111D2"/>
    <w:rsid w:val="64744EC0"/>
    <w:rsid w:val="64B67287"/>
    <w:rsid w:val="64C66D2B"/>
    <w:rsid w:val="64C858B0"/>
    <w:rsid w:val="650A5824"/>
    <w:rsid w:val="65A73073"/>
    <w:rsid w:val="65BE2AA5"/>
    <w:rsid w:val="6692162D"/>
    <w:rsid w:val="674F5770"/>
    <w:rsid w:val="67515045"/>
    <w:rsid w:val="685F3791"/>
    <w:rsid w:val="6897117D"/>
    <w:rsid w:val="697D0373"/>
    <w:rsid w:val="69DF4B8A"/>
    <w:rsid w:val="69E748B9"/>
    <w:rsid w:val="6A3C1FDC"/>
    <w:rsid w:val="6A3F7D1E"/>
    <w:rsid w:val="6A521800"/>
    <w:rsid w:val="6A5A06B4"/>
    <w:rsid w:val="6A8D2838"/>
    <w:rsid w:val="6D317DF2"/>
    <w:rsid w:val="6D321474"/>
    <w:rsid w:val="6D5B6C1D"/>
    <w:rsid w:val="6D8223FC"/>
    <w:rsid w:val="6E296D1B"/>
    <w:rsid w:val="6EDD18B4"/>
    <w:rsid w:val="6FC0720B"/>
    <w:rsid w:val="6FFF1655"/>
    <w:rsid w:val="70645DE9"/>
    <w:rsid w:val="709366CE"/>
    <w:rsid w:val="70C94DEE"/>
    <w:rsid w:val="720D24B0"/>
    <w:rsid w:val="72CB03A1"/>
    <w:rsid w:val="73EF00BF"/>
    <w:rsid w:val="740610E5"/>
    <w:rsid w:val="743401C8"/>
    <w:rsid w:val="747E1443"/>
    <w:rsid w:val="759C6025"/>
    <w:rsid w:val="75B570E6"/>
    <w:rsid w:val="75FC4D15"/>
    <w:rsid w:val="761756AB"/>
    <w:rsid w:val="76FD6F97"/>
    <w:rsid w:val="779939B6"/>
    <w:rsid w:val="78850FF2"/>
    <w:rsid w:val="78B2790D"/>
    <w:rsid w:val="78C95383"/>
    <w:rsid w:val="78F35E85"/>
    <w:rsid w:val="7AA339B1"/>
    <w:rsid w:val="7ADB75EF"/>
    <w:rsid w:val="7C3074C7"/>
    <w:rsid w:val="7C647170"/>
    <w:rsid w:val="7C790E6E"/>
    <w:rsid w:val="7CA26617"/>
    <w:rsid w:val="7CB225D2"/>
    <w:rsid w:val="7D16490F"/>
    <w:rsid w:val="7D5176F5"/>
    <w:rsid w:val="7F17496E"/>
    <w:rsid w:val="7F8007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qFormat/>
    <w:uiPriority w:val="0"/>
  </w:style>
  <w:style w:type="paragraph" w:styleId="3">
    <w:name w:val="footer"/>
    <w:basedOn w:val="1"/>
    <w:link w:val="10"/>
    <w:qFormat/>
    <w:uiPriority w:val="99"/>
    <w:pPr>
      <w:tabs>
        <w:tab w:val="center" w:pos="4153"/>
        <w:tab w:val="right" w:pos="8306"/>
      </w:tabs>
      <w:snapToGrid w:val="0"/>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3"/>
    <w:qFormat/>
    <w:uiPriority w:val="0"/>
    <w:rPr>
      <w:b/>
      <w:bCs/>
      <w:sz w:val="20"/>
      <w:szCs w:val="20"/>
    </w:rPr>
  </w:style>
  <w:style w:type="character" w:styleId="8">
    <w:name w:val="annotation reference"/>
    <w:basedOn w:val="7"/>
    <w:qFormat/>
    <w:uiPriority w:val="0"/>
    <w:rPr>
      <w:sz w:val="16"/>
      <w:szCs w:val="16"/>
    </w:rPr>
  </w:style>
  <w:style w:type="character" w:customStyle="1" w:styleId="9">
    <w:name w:val="页眉 字符"/>
    <w:basedOn w:val="7"/>
    <w:link w:val="4"/>
    <w:qFormat/>
    <w:uiPriority w:val="0"/>
    <w:rPr>
      <w:rFonts w:eastAsia="Times New Roman"/>
      <w:sz w:val="18"/>
      <w:szCs w:val="18"/>
      <w:lang w:eastAsia="en-US"/>
    </w:rPr>
  </w:style>
  <w:style w:type="character" w:customStyle="1" w:styleId="10">
    <w:name w:val="页脚 字符"/>
    <w:basedOn w:val="7"/>
    <w:link w:val="3"/>
    <w:qFormat/>
    <w:uiPriority w:val="99"/>
    <w:rPr>
      <w:rFonts w:eastAsia="Times New Roman"/>
      <w:sz w:val="18"/>
      <w:szCs w:val="18"/>
      <w:lang w:eastAsia="en-US"/>
    </w:rPr>
  </w:style>
  <w:style w:type="paragraph" w:customStyle="1" w:styleId="11">
    <w:name w:val="修订1"/>
    <w:hidden/>
    <w:unhideWhenUsed/>
    <w:qFormat/>
    <w:uiPriority w:val="99"/>
    <w:rPr>
      <w:rFonts w:ascii="Times New Roman" w:hAnsi="Times New Roman" w:eastAsia="Times New Roman" w:cs="Times New Roman"/>
      <w:sz w:val="24"/>
      <w:szCs w:val="24"/>
      <w:lang w:val="en-US" w:eastAsia="en-US" w:bidi="ar-SA"/>
    </w:rPr>
  </w:style>
  <w:style w:type="character" w:customStyle="1" w:styleId="12">
    <w:name w:val="批注文字 字符"/>
    <w:basedOn w:val="7"/>
    <w:link w:val="2"/>
    <w:qFormat/>
    <w:uiPriority w:val="0"/>
    <w:rPr>
      <w:rFonts w:eastAsia="Times New Roman"/>
      <w:sz w:val="24"/>
      <w:szCs w:val="24"/>
      <w:lang w:val="en-US" w:eastAsia="en-US"/>
    </w:rPr>
  </w:style>
  <w:style w:type="character" w:customStyle="1" w:styleId="13">
    <w:name w:val="批注主题 字符"/>
    <w:basedOn w:val="12"/>
    <w:link w:val="5"/>
    <w:qFormat/>
    <w:uiPriority w:val="0"/>
    <w:rPr>
      <w:rFonts w:eastAsia="Times New Roman"/>
      <w:b/>
      <w:bCs/>
      <w:sz w:val="24"/>
      <w:szCs w:val="24"/>
      <w:lang w:val="en-US" w:eastAsia="en-US"/>
    </w:rPr>
  </w:style>
  <w:style w:type="paragraph" w:customStyle="1" w:styleId="14">
    <w:name w:val="Revision"/>
    <w:hidden/>
    <w:unhideWhenUsed/>
    <w:qFormat/>
    <w:uiPriority w:val="99"/>
    <w:rPr>
      <w:rFonts w:ascii="Times New Roman" w:hAnsi="Times New Roman" w:eastAsia="Times New Roman" w:cs="Times New Roman"/>
      <w:sz w:val="24"/>
      <w:szCs w:val="24"/>
      <w:lang w:val="en-US" w:eastAsia="en-US" w:bidi="ar-SA"/>
    </w:rPr>
  </w:style>
  <w:style w:type="character" w:customStyle="1" w:styleId="15">
    <w:name w:val="font31"/>
    <w:basedOn w:val="7"/>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1</Pages>
  <Words>3299</Words>
  <Characters>18807</Characters>
  <Lines>156</Lines>
  <Paragraphs>44</Paragraphs>
  <TotalTime>17</TotalTime>
  <ScaleCrop>false</ScaleCrop>
  <LinksUpToDate>false</LinksUpToDate>
  <CharactersWithSpaces>22062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2023-11-13T10:35:00Z</dcterms:created>
  <dc:creator>ASUS</dc:creator>
  <cp:lastModifiedBy>xzh</cp:lastModifiedBy>
  <dcterms:modified xsi:type="dcterms:W3CDTF">2023-12-26T06:12:34Z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9C79FDBEF0B344268569357A0DCE90F7_12</vt:lpwstr>
  </property>
</Properties>
</file>