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06543"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Surgical Procedures</w:t>
      </w:r>
    </w:p>
    <w:p w14:paraId="3F49ABA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88888</w:t>
      </w:r>
    </w:p>
    <w:p w14:paraId="084B30AA"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47969B0F" w14:textId="77777777" w:rsidR="00037BDA" w:rsidRDefault="00037BDA">
      <w:pPr>
        <w:adjustRightInd w:val="0"/>
        <w:snapToGrid w:val="0"/>
        <w:spacing w:line="360" w:lineRule="auto"/>
        <w:jc w:val="both"/>
        <w:rPr>
          <w:rFonts w:ascii="Book Antiqua" w:hAnsi="Book Antiqua" w:cs="Book Antiqua"/>
        </w:rPr>
      </w:pPr>
    </w:p>
    <w:p w14:paraId="77C77C37"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Endoscopic </w:t>
      </w:r>
      <w:r>
        <w:rPr>
          <w:rFonts w:ascii="Book Antiqua" w:eastAsia="宋体" w:hAnsi="Book Antiqua" w:cs="Book Antiqua" w:hint="eastAsia"/>
          <w:b/>
          <w:color w:val="000000"/>
          <w:lang w:eastAsia="zh-CN"/>
        </w:rPr>
        <w:t>i</w:t>
      </w:r>
      <w:r>
        <w:rPr>
          <w:rFonts w:ascii="Book Antiqua" w:eastAsia="Book Antiqua" w:hAnsi="Book Antiqua" w:cs="Book Antiqua"/>
          <w:b/>
          <w:color w:val="000000"/>
        </w:rPr>
        <w:t>ntermuscular dissection for locally advanced rectal cancer: A case report</w:t>
      </w:r>
    </w:p>
    <w:p w14:paraId="3AF54E28" w14:textId="77777777" w:rsidR="00037BDA" w:rsidRDefault="00037BDA">
      <w:pPr>
        <w:adjustRightInd w:val="0"/>
        <w:snapToGrid w:val="0"/>
        <w:spacing w:line="360" w:lineRule="auto"/>
        <w:jc w:val="both"/>
        <w:rPr>
          <w:rFonts w:ascii="Book Antiqua" w:hAnsi="Book Antiqua" w:cs="Book Antiqua"/>
        </w:rPr>
      </w:pPr>
    </w:p>
    <w:p w14:paraId="6FC417E4"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Sekra</w:t>
      </w:r>
      <w:r>
        <w:rPr>
          <w:rFonts w:ascii="Book Antiqua" w:eastAsia="宋体" w:hAnsi="Book Antiqua" w:cs="Book Antiqua" w:hint="eastAsia"/>
          <w:color w:val="000000"/>
          <w:lang w:eastAsia="zh-CN"/>
        </w:rPr>
        <w:t xml:space="preserve"> A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EID</w:t>
      </w:r>
    </w:p>
    <w:p w14:paraId="50D56AFB" w14:textId="77777777" w:rsidR="00037BDA" w:rsidRDefault="00037BDA">
      <w:pPr>
        <w:adjustRightInd w:val="0"/>
        <w:snapToGrid w:val="0"/>
        <w:spacing w:line="360" w:lineRule="auto"/>
        <w:jc w:val="both"/>
        <w:rPr>
          <w:rFonts w:ascii="Book Antiqua" w:hAnsi="Book Antiqua" w:cs="Book Antiqua"/>
        </w:rPr>
      </w:pPr>
    </w:p>
    <w:p w14:paraId="2676016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Anurag Sekra, Tracy Tan</w:t>
      </w:r>
    </w:p>
    <w:p w14:paraId="18211E5F" w14:textId="77777777" w:rsidR="00037BDA" w:rsidRDefault="00037BDA">
      <w:pPr>
        <w:adjustRightInd w:val="0"/>
        <w:snapToGrid w:val="0"/>
        <w:spacing w:line="360" w:lineRule="auto"/>
        <w:jc w:val="both"/>
        <w:rPr>
          <w:rFonts w:ascii="Book Antiqua" w:hAnsi="Book Antiqua" w:cs="Book Antiqua"/>
        </w:rPr>
      </w:pPr>
    </w:p>
    <w:p w14:paraId="4996D457"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Anurag Sekra, </w:t>
      </w:r>
      <w:r>
        <w:rPr>
          <w:rFonts w:ascii="Book Antiqua" w:eastAsia="Book Antiqua" w:hAnsi="Book Antiqua" w:cs="Book Antiqua"/>
          <w:color w:val="000000"/>
        </w:rPr>
        <w:t xml:space="preserve">Department of 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 Te Whatu Ora, Counties Manukau Health, Auckland 2025, New Zealand</w:t>
      </w:r>
    </w:p>
    <w:p w14:paraId="3A5CDF6E" w14:textId="77777777" w:rsidR="00037BDA" w:rsidRDefault="00037BDA">
      <w:pPr>
        <w:adjustRightInd w:val="0"/>
        <w:snapToGrid w:val="0"/>
        <w:spacing w:line="360" w:lineRule="auto"/>
        <w:jc w:val="both"/>
        <w:rPr>
          <w:rFonts w:ascii="Book Antiqua" w:hAnsi="Book Antiqua" w:cs="Book Antiqua"/>
        </w:rPr>
      </w:pPr>
    </w:p>
    <w:p w14:paraId="17F43FED"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Tracy Tan, </w:t>
      </w:r>
      <w:r>
        <w:rPr>
          <w:rFonts w:ascii="Book Antiqua" w:eastAsia="Book Antiqua" w:hAnsi="Book Antiqua" w:cs="Book Antiqua"/>
          <w:color w:val="000000"/>
        </w:rPr>
        <w:t>Department of Pathology, Te Whatu Ora, Counties Manukau Health, Auckland 2025, New Zealand</w:t>
      </w:r>
    </w:p>
    <w:p w14:paraId="10452D15" w14:textId="77777777" w:rsidR="00037BDA" w:rsidRDefault="00037BDA">
      <w:pPr>
        <w:adjustRightInd w:val="0"/>
        <w:snapToGrid w:val="0"/>
        <w:spacing w:line="360" w:lineRule="auto"/>
        <w:jc w:val="both"/>
        <w:rPr>
          <w:rFonts w:ascii="Book Antiqua" w:hAnsi="Book Antiqua" w:cs="Book Antiqua"/>
        </w:rPr>
      </w:pPr>
    </w:p>
    <w:p w14:paraId="48DF4B21" w14:textId="77777777" w:rsidR="00037BD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Sekra A performed the procedure and wrote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Tan T reported the pathology and described the pathology figure in the manuscript</w:t>
      </w:r>
      <w:r>
        <w:rPr>
          <w:rFonts w:ascii="Book Antiqua" w:eastAsia="宋体" w:hAnsi="Book Antiqua" w:cs="Book Antiqua" w:hint="eastAsia"/>
          <w:color w:val="000000"/>
          <w:lang w:eastAsia="zh-CN"/>
        </w:rPr>
        <w:t>.</w:t>
      </w:r>
    </w:p>
    <w:p w14:paraId="39521C49" w14:textId="77777777" w:rsidR="00037BDA" w:rsidRDefault="00037BDA">
      <w:pPr>
        <w:adjustRightInd w:val="0"/>
        <w:snapToGrid w:val="0"/>
        <w:spacing w:line="360" w:lineRule="auto"/>
        <w:jc w:val="both"/>
        <w:rPr>
          <w:rFonts w:ascii="Book Antiqua" w:hAnsi="Book Antiqua" w:cs="Book Antiqua"/>
        </w:rPr>
      </w:pPr>
    </w:p>
    <w:p w14:paraId="1E13FA8F"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Anurag Sekra, FRACP, MBBS, MD, Doctor, </w:t>
      </w:r>
      <w:r>
        <w:rPr>
          <w:rFonts w:ascii="Book Antiqua" w:eastAsia="Book Antiqua" w:hAnsi="Book Antiqua" w:cs="Book Antiqua"/>
          <w:color w:val="000000"/>
        </w:rPr>
        <w:t xml:space="preserve">Department of 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epatology, Te Whatu Ora, Counties Manukau Health,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100 Hospital Road, Otahuhu, Auckland 2025, New Zealand. doctorsekra@gmail.com</w:t>
      </w:r>
    </w:p>
    <w:p w14:paraId="7F7FF1D9" w14:textId="77777777" w:rsidR="00037BDA" w:rsidRDefault="00037BDA">
      <w:pPr>
        <w:adjustRightInd w:val="0"/>
        <w:snapToGrid w:val="0"/>
        <w:spacing w:line="360" w:lineRule="auto"/>
        <w:jc w:val="both"/>
        <w:rPr>
          <w:rFonts w:ascii="Book Antiqua" w:hAnsi="Book Antiqua" w:cs="Book Antiqua"/>
        </w:rPr>
      </w:pPr>
    </w:p>
    <w:p w14:paraId="6A6E10FC"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13, 2023</w:t>
      </w:r>
    </w:p>
    <w:p w14:paraId="1B8E76D4"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8, 2023</w:t>
      </w:r>
    </w:p>
    <w:p w14:paraId="43717057" w14:textId="49A607F3"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11-21T15:35:00Z">
        <w:r w:rsidR="00B90C53" w:rsidRPr="00B90C53">
          <w:rPr>
            <w:rFonts w:ascii="Book Antiqua" w:eastAsia="Book Antiqua" w:hAnsi="Book Antiqua" w:cs="Book Antiqua"/>
          </w:rPr>
          <w:t>November 21, 2023</w:t>
        </w:r>
      </w:ins>
    </w:p>
    <w:p w14:paraId="71EFA4D3"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1933016" w14:textId="77777777" w:rsidR="00037BDA" w:rsidRDefault="00037BDA">
      <w:pPr>
        <w:adjustRightInd w:val="0"/>
        <w:snapToGrid w:val="0"/>
        <w:spacing w:line="360" w:lineRule="auto"/>
        <w:jc w:val="both"/>
        <w:rPr>
          <w:rFonts w:ascii="Book Antiqua" w:hAnsi="Book Antiqua" w:cs="Book Antiqua"/>
        </w:rPr>
        <w:sectPr w:rsidR="00037BDA">
          <w:footerReference w:type="default" r:id="rId6"/>
          <w:pgSz w:w="12240" w:h="15840"/>
          <w:pgMar w:top="1440" w:right="1440" w:bottom="1440" w:left="1440" w:header="720" w:footer="720" w:gutter="0"/>
          <w:cols w:space="720"/>
          <w:docGrid w:linePitch="360"/>
        </w:sectPr>
      </w:pPr>
    </w:p>
    <w:p w14:paraId="56A8722A"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7309B9D"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3ECE8E2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333333"/>
        </w:rPr>
        <w:t xml:space="preserve">Endoscopic </w:t>
      </w:r>
      <w:r>
        <w:rPr>
          <w:rFonts w:ascii="Book Antiqua" w:eastAsia="宋体" w:hAnsi="Book Antiqua" w:cs="Book Antiqua" w:hint="eastAsia"/>
          <w:color w:val="333333"/>
          <w:lang w:eastAsia="zh-CN"/>
        </w:rPr>
        <w:t>s</w:t>
      </w:r>
      <w:r>
        <w:rPr>
          <w:rFonts w:ascii="Book Antiqua" w:eastAsia="Book Antiqua" w:hAnsi="Book Antiqua" w:cs="Book Antiqua"/>
          <w:color w:val="333333"/>
        </w:rPr>
        <w:t xml:space="preserve">ubmucosal </w:t>
      </w:r>
      <w:r>
        <w:rPr>
          <w:rFonts w:ascii="Book Antiqua" w:eastAsia="宋体" w:hAnsi="Book Antiqua" w:cs="Book Antiqua" w:hint="eastAsia"/>
          <w:color w:val="333333"/>
          <w:lang w:eastAsia="zh-CN"/>
        </w:rPr>
        <w:t>d</w:t>
      </w:r>
      <w:r>
        <w:rPr>
          <w:rFonts w:ascii="Book Antiqua" w:eastAsia="Book Antiqua" w:hAnsi="Book Antiqua" w:cs="Book Antiqua"/>
          <w:color w:val="333333"/>
        </w:rPr>
        <w:t>issection</w:t>
      </w:r>
      <w:r>
        <w:rPr>
          <w:rFonts w:ascii="Book Antiqua" w:eastAsia="宋体" w:hAnsi="Book Antiqua" w:cs="Book Antiqua" w:hint="eastAsia"/>
          <w:color w:val="333333"/>
          <w:lang w:eastAsia="zh-CN"/>
        </w:rPr>
        <w:t xml:space="preserve"> </w:t>
      </w:r>
      <w:r>
        <w:rPr>
          <w:rFonts w:ascii="Book Antiqua" w:eastAsia="Book Antiqua" w:hAnsi="Book Antiqua" w:cs="Book Antiqua"/>
          <w:color w:val="333333"/>
        </w:rPr>
        <w:t>is considered curative for patients with early rectal cancer when</w:t>
      </w:r>
      <w:r>
        <w:rPr>
          <w:rFonts w:ascii="Book Antiqua" w:eastAsia="宋体" w:hAnsi="Book Antiqua" w:cs="Book Antiqua" w:hint="eastAsia"/>
          <w:color w:val="333333"/>
          <w:lang w:eastAsia="zh-CN"/>
        </w:rPr>
        <w:t xml:space="preserve"> </w:t>
      </w:r>
      <w:r>
        <w:rPr>
          <w:rFonts w:ascii="Book Antiqua" w:eastAsia="Book Antiqua" w:hAnsi="Book Antiqua" w:cs="Book Antiqua"/>
          <w:color w:val="333333"/>
        </w:rPr>
        <w:t>level of submucosal invasion is</w:t>
      </w:r>
      <w:r>
        <w:rPr>
          <w:rFonts w:ascii="Book Antiqua" w:eastAsia="宋体" w:hAnsi="Book Antiqua" w:cs="Book Antiqua" w:hint="eastAsia"/>
          <w:color w:val="333333"/>
          <w:lang w:eastAsia="zh-CN"/>
        </w:rPr>
        <w:t xml:space="preserve"> </w:t>
      </w:r>
      <w:r>
        <w:rPr>
          <w:rFonts w:ascii="Book Antiqua" w:eastAsia="Book Antiqua" w:hAnsi="Book Antiqua" w:cs="Book Antiqua"/>
          <w:color w:val="333333"/>
        </w:rPr>
        <w:t>&lt; 1000 microns with favourable histopathological features. Recent data suggests even deeper submucosal invasion can potentially be curative if R0 resection can be achieved and when no high-risk histopathological features are seen in the resected specimen.</w:t>
      </w:r>
      <w:r>
        <w:rPr>
          <w:rFonts w:ascii="Book Antiqua" w:eastAsia="宋体" w:hAnsi="Book Antiqua" w:cs="Book Antiqua" w:hint="eastAsia"/>
          <w:color w:val="333333"/>
          <w:lang w:eastAsia="zh-CN"/>
        </w:rPr>
        <w:t xml:space="preserve"> </w:t>
      </w:r>
      <w:r>
        <w:rPr>
          <w:rFonts w:ascii="Book Antiqua" w:eastAsia="Book Antiqua" w:hAnsi="Book Antiqua" w:cs="Book Antiqua"/>
          <w:color w:val="333333"/>
        </w:rPr>
        <w:t>To achieve R0 resection, deeper dissection is required.</w:t>
      </w:r>
    </w:p>
    <w:p w14:paraId="1530703F" w14:textId="77777777" w:rsidR="00037BDA" w:rsidRDefault="00037BDA">
      <w:pPr>
        <w:adjustRightInd w:val="0"/>
        <w:snapToGrid w:val="0"/>
        <w:spacing w:line="360" w:lineRule="auto"/>
        <w:jc w:val="both"/>
        <w:rPr>
          <w:rFonts w:ascii="Book Antiqua" w:hAnsi="Book Antiqua" w:cs="Book Antiqua"/>
        </w:rPr>
      </w:pPr>
    </w:p>
    <w:p w14:paraId="7E4EE0F2"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3318AFB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A 66 year old </w:t>
      </w:r>
      <w:r>
        <w:rPr>
          <w:rFonts w:ascii="Book Antiqua" w:eastAsia="Book Antiqua" w:hAnsi="Book Antiqua" w:cs="Book Antiqua"/>
          <w:color w:val="000000"/>
        </w:rPr>
        <w:t>New Zealand</w:t>
      </w:r>
      <w:r>
        <w:rPr>
          <w:rFonts w:ascii="Book Antiqua" w:eastAsia="Book Antiqua" w:hAnsi="Book Antiqua" w:cs="Book Antiqua"/>
        </w:rPr>
        <w:t xml:space="preserve"> European male presented with 3 mo history of per rectal bleeding. He was referred for a colonoscopy test to investigate this further. This revealed a malignant appearing lesion in the rectum. Biopsies however showed high grade dysplasia only. Given endoscopic appearances suspicious for deep submucosal invasion, patient was consented for endoscopic intermuscular dissection</w:t>
      </w:r>
      <w:r>
        <w:rPr>
          <w:rFonts w:ascii="Book Antiqua" w:eastAsia="Book Antiqua" w:hAnsi="Book Antiqua" w:cs="Book Antiqua"/>
          <w:color w:val="000000"/>
        </w:rPr>
        <w:t xml:space="preserve"> (EID)</w:t>
      </w:r>
      <w:r>
        <w:rPr>
          <w:rFonts w:ascii="Book Antiqua" w:eastAsia="Book Antiqua" w:hAnsi="Book Antiqua" w:cs="Book Antiqua"/>
        </w:rPr>
        <w:t>.</w:t>
      </w:r>
    </w:p>
    <w:p w14:paraId="551A70AC"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333333"/>
        </w:rPr>
        <w:t>The case was successfully performed, and the presence of muscularis propria was confirmed in the resected specimen. There were no complications and total procedure time was 124 min. Lesion was clear of radial margins however deep margins were positive confirming it was at least a pT2 cancer. Patient was recommended to have further treatment but could not have radical surgery due to comorbidities and instead was referred for long course chemoradiotherapy.</w:t>
      </w:r>
    </w:p>
    <w:p w14:paraId="72616B38" w14:textId="77777777" w:rsidR="00037BDA" w:rsidRDefault="00037BDA">
      <w:pPr>
        <w:adjustRightInd w:val="0"/>
        <w:snapToGrid w:val="0"/>
        <w:spacing w:line="360" w:lineRule="auto"/>
        <w:jc w:val="both"/>
        <w:rPr>
          <w:rFonts w:ascii="Book Antiqua" w:hAnsi="Book Antiqua" w:cs="Book Antiqua"/>
        </w:rPr>
      </w:pPr>
    </w:p>
    <w:p w14:paraId="1E5B436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2E3563DE"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EID</w:t>
      </w:r>
      <w:r>
        <w:rPr>
          <w:rFonts w:ascii="Book Antiqua" w:eastAsia="Book Antiqua" w:hAnsi="Book Antiqua" w:cs="Book Antiqua"/>
        </w:rPr>
        <w:t xml:space="preserve"> is a safe and feasible option for management of rectal cancer in highly selected patients.</w:t>
      </w:r>
    </w:p>
    <w:p w14:paraId="5144FDE2" w14:textId="77777777" w:rsidR="00037BDA" w:rsidRDefault="00037BDA">
      <w:pPr>
        <w:adjustRightInd w:val="0"/>
        <w:snapToGrid w:val="0"/>
        <w:spacing w:line="360" w:lineRule="auto"/>
        <w:jc w:val="both"/>
        <w:rPr>
          <w:rFonts w:ascii="Book Antiqua" w:hAnsi="Book Antiqua" w:cs="Book Antiqua"/>
        </w:rPr>
      </w:pPr>
    </w:p>
    <w:p w14:paraId="5ECCB6D1"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Endoscopic intermuscular dissection; Endoscopic submucosal dissection; Rectal cancer; Interventional endoscopy; Case report</w:t>
      </w:r>
    </w:p>
    <w:p w14:paraId="6E8E6975" w14:textId="77777777" w:rsidR="00037BDA" w:rsidRDefault="00037BDA">
      <w:pPr>
        <w:adjustRightInd w:val="0"/>
        <w:snapToGrid w:val="0"/>
        <w:spacing w:line="360" w:lineRule="auto"/>
        <w:jc w:val="both"/>
        <w:rPr>
          <w:rFonts w:ascii="Book Antiqua" w:hAnsi="Book Antiqua" w:cs="Book Antiqua"/>
        </w:rPr>
      </w:pPr>
    </w:p>
    <w:p w14:paraId="68709F2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Sekra A, Tan T. </w:t>
      </w:r>
      <w:r>
        <w:rPr>
          <w:rFonts w:ascii="Book Antiqua" w:eastAsia="Book Antiqua" w:hAnsi="Book Antiqua" w:cs="Book Antiqua" w:hint="eastAsia"/>
        </w:rPr>
        <w:t>Endoscopic intermuscular dissection for locally advanced rectal cancer: A case report</w:t>
      </w:r>
      <w:r>
        <w:rPr>
          <w:rFonts w:ascii="Book Antiqua" w:eastAsia="Book Antiqua" w:hAnsi="Book Antiqua" w:cs="Book Antiqua"/>
        </w:rPr>
        <w:t xml:space="preserve">. </w:t>
      </w:r>
      <w:r>
        <w:rPr>
          <w:rFonts w:ascii="Book Antiqua" w:eastAsia="Book Antiqua" w:hAnsi="Book Antiqua" w:cs="Book Antiqua"/>
          <w:i/>
          <w:iCs/>
        </w:rPr>
        <w:t>World J Surg Proced</w:t>
      </w:r>
      <w:r>
        <w:rPr>
          <w:rFonts w:ascii="Book Antiqua" w:eastAsia="Book Antiqua" w:hAnsi="Book Antiqua" w:cs="Book Antiqua"/>
        </w:rPr>
        <w:t xml:space="preserve"> 2023; In press</w:t>
      </w:r>
    </w:p>
    <w:p w14:paraId="43972397" w14:textId="77777777" w:rsidR="00037BDA" w:rsidRDefault="00037BDA">
      <w:pPr>
        <w:adjustRightInd w:val="0"/>
        <w:snapToGrid w:val="0"/>
        <w:spacing w:line="360" w:lineRule="auto"/>
        <w:jc w:val="both"/>
        <w:rPr>
          <w:rFonts w:ascii="Book Antiqua" w:hAnsi="Book Antiqua" w:cs="Book Antiqua"/>
        </w:rPr>
      </w:pPr>
    </w:p>
    <w:p w14:paraId="183D3212"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Endoscopic intermuscular dissection is a novel technique for management of locally advanced rectal cancer especially for patients who are not fit for oncological surgery or chemoradiotherapy. This technique ensures local resection of the tumour which is safe and feasible with minimal recovery times.</w:t>
      </w:r>
    </w:p>
    <w:p w14:paraId="7EB6AAB0" w14:textId="77777777" w:rsidR="00037BDA" w:rsidRDefault="00037BDA">
      <w:pPr>
        <w:adjustRightInd w:val="0"/>
        <w:snapToGrid w:val="0"/>
        <w:spacing w:line="360" w:lineRule="auto"/>
        <w:jc w:val="both"/>
        <w:rPr>
          <w:rFonts w:ascii="Book Antiqua" w:hAnsi="Book Antiqua" w:cs="Book Antiqua"/>
        </w:rPr>
      </w:pPr>
    </w:p>
    <w:p w14:paraId="40BF0D1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7C65D53D"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Endoscopic submucosal dissection (ESD), for early rectal cancer, is considered a curative option for patients. It is an organ preserving surgery with higher rates of en bloc resection and lower risk of local recurrence compared with endoscopic mucosal resection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It is significantly cheaper than radical surgery, with significantly fewer days in hospital and has lower morbidity and mortality</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69B2739A"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Early rectal cancer is defined as T1 cancer with invasion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1000 microns into the submucosa (SM) or SM1 Kikuchi levels, as the risk of nodal metastasis is close to 0%. ESD is considered curative for these lesions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E09D141"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Recent </w:t>
      </w:r>
      <w:r>
        <w:rPr>
          <w:rFonts w:ascii="Book Antiqua" w:eastAsia="Book Antiqua" w:hAnsi="Book Antiqua" w:cs="Book Antiqua" w:hint="eastAsia"/>
          <w:color w:val="000000"/>
        </w:rPr>
        <w:t>European Society of Gastrointestinal Endoscopy</w:t>
      </w:r>
      <w:r>
        <w:rPr>
          <w:rFonts w:ascii="Book Antiqua" w:eastAsia="Book Antiqua" w:hAnsi="Book Antiqua" w:cs="Book Antiqua"/>
          <w:color w:val="000000"/>
        </w:rPr>
        <w:t xml:space="preserve"> guidelines also recommend that an en bloc R0 resection of a superficial lesion with histology no more advanced than well-differentiated adenocarcinoma (G1/G2), sm1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SM invasion) with no lymphovascular invasion (LVI), would be considered curative. Surgery, on the other hand, is recommended when LVI (deeper infiltration than SM1), positive/ non evaluable vertical margins, or poorly differentiated tumour with SM invasion is diagnosed</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more recent data suggests that the depth of SM invasion is not an independent risk factor for lymph node metastasis (LNM) in T1 colorectal cancer (CRC)</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Several studies have shown that in the absence of adverse histopathological risk factors, such as; poor differentiation, high tumour budding, LVI, and perineural invasion, the risk of LNM (regardless of depth of SM invasion) is extremely low</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8-11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9ADA38C"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With ESD the dissection plane is limited to SM. As a result, the vertical margins are more likely to be positive if the lesions invade deeper into the SM</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More recently, endoscopic intermuscular dissection (EID) technique has been described to achieve R0 resection for the management of lesions with deeper submucosal invasion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13,14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568124A"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EID technique has evolved from ESD. The principle of ESD is based on the dissection of the submucosal plane. EID, on the other hand, focuses on the dissection of the superficial circular muscle layer of the rectum, allowing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longitudinal layer to remain intact. This essentially means that the EID can achieve a deeper dissection compared to ESD.</w:t>
      </w:r>
    </w:p>
    <w:p w14:paraId="34929852" w14:textId="77777777" w:rsidR="00037BDA" w:rsidRDefault="00037BDA">
      <w:pPr>
        <w:adjustRightInd w:val="0"/>
        <w:snapToGrid w:val="0"/>
        <w:spacing w:line="360" w:lineRule="auto"/>
        <w:jc w:val="both"/>
        <w:rPr>
          <w:rFonts w:ascii="Book Antiqua" w:hAnsi="Book Antiqua" w:cs="Book Antiqua"/>
        </w:rPr>
      </w:pPr>
    </w:p>
    <w:p w14:paraId="76EA49F1"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15239FAF"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12B1BD3E"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66 year old New Zealand European male presented with </w:t>
      </w:r>
      <w:r>
        <w:rPr>
          <w:rFonts w:ascii="Book Antiqua" w:eastAsia="宋体" w:hAnsi="Book Antiqua" w:cs="Book Antiqua" w:hint="eastAsia"/>
          <w:color w:val="000000"/>
          <w:lang w:eastAsia="zh-CN"/>
        </w:rPr>
        <w:t>p</w:t>
      </w:r>
      <w:r>
        <w:rPr>
          <w:rFonts w:ascii="Book Antiqua" w:eastAsia="Book Antiqua" w:hAnsi="Book Antiqua" w:cs="Book Antiqua"/>
          <w:color w:val="000000"/>
        </w:rPr>
        <w:t>er rectal bleeding.</w:t>
      </w:r>
    </w:p>
    <w:p w14:paraId="47B59DA2" w14:textId="77777777" w:rsidR="00037BDA" w:rsidRDefault="00037BDA">
      <w:pPr>
        <w:adjustRightInd w:val="0"/>
        <w:snapToGrid w:val="0"/>
        <w:spacing w:line="360" w:lineRule="auto"/>
        <w:jc w:val="both"/>
        <w:rPr>
          <w:rFonts w:ascii="Book Antiqua" w:hAnsi="Book Antiqua" w:cs="Book Antiqua"/>
        </w:rPr>
      </w:pPr>
    </w:p>
    <w:p w14:paraId="1D6D2CD7"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005DF78C" w14:textId="77777777" w:rsidR="00037BD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Patient presented with 3 mo history of intermittent per rectal bleeding. He reported that the blood was often mixed in the stools. He did not report any history of of changes in bowel habits or weight loss.</w:t>
      </w:r>
    </w:p>
    <w:p w14:paraId="2FEE5541" w14:textId="77777777" w:rsidR="00037BDA" w:rsidRDefault="00037BDA">
      <w:pPr>
        <w:adjustRightInd w:val="0"/>
        <w:snapToGrid w:val="0"/>
        <w:spacing w:line="360" w:lineRule="auto"/>
        <w:jc w:val="both"/>
        <w:rPr>
          <w:rFonts w:ascii="Book Antiqua" w:hAnsi="Book Antiqua" w:cs="Book Antiqua"/>
        </w:rPr>
      </w:pPr>
    </w:p>
    <w:p w14:paraId="65497C93"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4F3CF31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Patient has known history of ischaemic heart disease and he underwent a previous angioplasty. He has known congestive heart failure from ischaemic cardiomyopathy. He also had poorly controlled type 2 diabetes mellitus and is on insulin.</w:t>
      </w:r>
    </w:p>
    <w:p w14:paraId="70466B1B" w14:textId="77777777" w:rsidR="00037BDA" w:rsidRDefault="00037BDA">
      <w:pPr>
        <w:adjustRightInd w:val="0"/>
        <w:snapToGrid w:val="0"/>
        <w:spacing w:line="360" w:lineRule="auto"/>
        <w:jc w:val="both"/>
        <w:rPr>
          <w:rFonts w:ascii="Book Antiqua" w:hAnsi="Book Antiqua" w:cs="Book Antiqua"/>
        </w:rPr>
      </w:pPr>
    </w:p>
    <w:p w14:paraId="5887DC0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6F10BDB3"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There was no known personal or family history of bowel cancer.</w:t>
      </w:r>
    </w:p>
    <w:p w14:paraId="704A6EF7" w14:textId="77777777" w:rsidR="00037BDA" w:rsidRDefault="00037BDA">
      <w:pPr>
        <w:adjustRightInd w:val="0"/>
        <w:snapToGrid w:val="0"/>
        <w:spacing w:line="360" w:lineRule="auto"/>
        <w:jc w:val="both"/>
        <w:rPr>
          <w:rFonts w:ascii="Book Antiqua" w:hAnsi="Book Antiqua" w:cs="Book Antiqua"/>
        </w:rPr>
      </w:pPr>
    </w:p>
    <w:p w14:paraId="728FEC25"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16632F5F" w14:textId="77777777" w:rsidR="00037BD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A physical exam including a digital rectal exam was completely normal.</w:t>
      </w:r>
      <w:r>
        <w:rPr>
          <w:rFonts w:ascii="Book Antiqua" w:eastAsia="宋体" w:hAnsi="Book Antiqua" w:cs="Book Antiqua" w:hint="eastAsia"/>
          <w:color w:val="000000"/>
          <w:lang w:eastAsia="zh-CN"/>
        </w:rPr>
        <w:t xml:space="preserve"> </w:t>
      </w:r>
    </w:p>
    <w:p w14:paraId="761D0096" w14:textId="77777777" w:rsidR="00037BDA" w:rsidRDefault="00037BDA">
      <w:pPr>
        <w:adjustRightInd w:val="0"/>
        <w:snapToGrid w:val="0"/>
        <w:spacing w:line="360" w:lineRule="auto"/>
        <w:jc w:val="both"/>
        <w:rPr>
          <w:rFonts w:ascii="Book Antiqua" w:hAnsi="Book Antiqua" w:cs="Book Antiqua"/>
        </w:rPr>
      </w:pPr>
    </w:p>
    <w:p w14:paraId="51AC79B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60C6722A" w14:textId="77777777" w:rsidR="00037BDA"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Patient's full blood count, iron studies, and carcinoembryonic antigen were all normal.</w:t>
      </w:r>
    </w:p>
    <w:p w14:paraId="3816ABCC" w14:textId="77777777" w:rsidR="00037BDA" w:rsidRDefault="00037BDA">
      <w:pPr>
        <w:adjustRightInd w:val="0"/>
        <w:snapToGrid w:val="0"/>
        <w:spacing w:line="360" w:lineRule="auto"/>
        <w:jc w:val="both"/>
        <w:rPr>
          <w:rFonts w:ascii="Book Antiqua" w:hAnsi="Book Antiqua" w:cs="Book Antiqua"/>
        </w:rPr>
      </w:pPr>
    </w:p>
    <w:p w14:paraId="58C97239"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32FC8A0"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colonoscopy revealed a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rectal tumour, located 10 cm from anal verge, at the posterior wall of the rectum. The lesion was IIc/IIa lesion as per Paris classification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There was a type Vn Kudo pit pattern in the area of the depression. Magnification virtual chromoendoscopy revealed a Narrow Band Imaging International Colorectal Endoscopic classification 3, Japan Narrow Band Imaging Expert Team classification 3 </w:t>
      </w:r>
      <w:r>
        <w:rPr>
          <w:rFonts w:ascii="Book Antiqua" w:eastAsia="宋体" w:hAnsi="Book Antiqua" w:cs="Book Antiqua" w:hint="eastAsia"/>
          <w:color w:val="000000"/>
          <w:lang w:eastAsia="zh-CN"/>
        </w:rPr>
        <w:t>l</w:t>
      </w:r>
      <w:r>
        <w:rPr>
          <w:rFonts w:ascii="Book Antiqua" w:eastAsia="Book Antiqua" w:hAnsi="Book Antiqua" w:cs="Book Antiqua"/>
          <w:color w:val="000000"/>
        </w:rPr>
        <w:t>esion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1</w:t>
      </w:r>
      <w:r>
        <w:rPr>
          <w:rFonts w:ascii="Book Antiqua" w:eastAsia="宋体" w:hAnsi="Book Antiqua" w:cs="Book Antiqua" w:hint="eastAsia"/>
          <w:color w:val="000000"/>
          <w:lang w:eastAsia="zh-CN"/>
        </w:rPr>
        <w:t>B</w:t>
      </w:r>
      <w:r>
        <w:rPr>
          <w:rFonts w:ascii="Book Antiqua" w:eastAsia="Book Antiqua" w:hAnsi="Book Antiqua" w:cs="Book Antiqua"/>
          <w:color w:val="000000"/>
        </w:rPr>
        <w:t>). Biopsies taken from the lesion showed high grade dysplasia only. The patient underwent a staging computed tomography scan which did not shown any evidence of metastatic disease. Magnetic resonance imaging showed a T2N0M0 rectal lesion at the posterior wall.</w:t>
      </w:r>
    </w:p>
    <w:p w14:paraId="1B308CC0" w14:textId="77777777" w:rsidR="00037BDA"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An invasive cancer was suspected based on the endoscopic features. Consequently, the patient was referred to the colorectal surgeons for further management. Since initial biopsies had shown high grade dysplasia only, the patient underwent a second biopsy, which again showed high grade dysplasia. Due to the clinical suspicion of invasive cancer, the patient was then considered for radical surgery. Unfortunately, he had significant comorbidities and was therefore deemed an unsuitable candidate for radical surgery. He was further evaluated for a transanal minimally invasive surgery for accurate staging and diagnosis, but was deemed extremely high risk to even receive a general anaesthesia.</w:t>
      </w:r>
    </w:p>
    <w:p w14:paraId="3094676F" w14:textId="77777777" w:rsidR="00037BDA" w:rsidRDefault="00037BDA">
      <w:pPr>
        <w:adjustRightInd w:val="0"/>
        <w:snapToGrid w:val="0"/>
        <w:spacing w:line="360" w:lineRule="auto"/>
        <w:jc w:val="both"/>
        <w:rPr>
          <w:rFonts w:ascii="Book Antiqua" w:eastAsia="Book Antiqua" w:hAnsi="Book Antiqua" w:cs="Book Antiqua"/>
          <w:color w:val="000000"/>
        </w:rPr>
      </w:pPr>
    </w:p>
    <w:p w14:paraId="4850E451"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MULTIDISCIPLINARY EXPERT CONSULTATION</w:t>
      </w:r>
    </w:p>
    <w:p w14:paraId="6253CCD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case was discussed in the multidisciplinary team meeting and the consensus was to perform an endoscopic resection with a view to; confirm the diagnosis, accurately stage the disease, and to attempt a curative resection. Because a deep invasion was suspected, the patient was consented for an EID under conscious sedation.</w:t>
      </w:r>
    </w:p>
    <w:p w14:paraId="43E65701" w14:textId="77777777" w:rsidR="00037BDA" w:rsidRDefault="00037BDA">
      <w:pPr>
        <w:adjustRightInd w:val="0"/>
        <w:snapToGrid w:val="0"/>
        <w:spacing w:line="360" w:lineRule="auto"/>
        <w:jc w:val="both"/>
        <w:rPr>
          <w:rFonts w:ascii="Book Antiqua" w:hAnsi="Book Antiqua" w:cs="Book Antiqua"/>
        </w:rPr>
      </w:pPr>
    </w:p>
    <w:p w14:paraId="76A4A7B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25C2F5F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Invasive rectal cancer.</w:t>
      </w:r>
    </w:p>
    <w:p w14:paraId="4362E085" w14:textId="77777777" w:rsidR="00037BDA" w:rsidRDefault="00037BDA">
      <w:pPr>
        <w:adjustRightInd w:val="0"/>
        <w:snapToGrid w:val="0"/>
        <w:spacing w:line="360" w:lineRule="auto"/>
        <w:jc w:val="both"/>
        <w:rPr>
          <w:rFonts w:ascii="Book Antiqua" w:hAnsi="Book Antiqua" w:cs="Book Antiqua"/>
        </w:rPr>
      </w:pPr>
    </w:p>
    <w:p w14:paraId="434C1559"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58DBD8AA"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Patient underwent EID procedure. The procedure was performed under conscious sedation with midazolam and fentanyl. A standard gastroscope (Olympus GIF-HQ190, Olympus, Tokyo, Japan) with a transparent hood (Olympus, Tokyo, Japan) was used. Submucosal lifting was performed with a mixture of adrenaline, methylene blue, and hydroethyl starch (voluven ® 6%). A 1.5 mm dual knife J (Olympus, America) was used, with an endocut mode of the ERBE VIO 300D (ERBE Elektromedizin, </w:t>
      </w:r>
      <w:r>
        <w:rPr>
          <w:rFonts w:ascii="Book Antiqua" w:eastAsia="Book Antiqua" w:hAnsi="Book Antiqua" w:cs="Book Antiqua"/>
          <w:color w:val="000000"/>
          <w:shd w:val="clear" w:color="auto" w:fill="FFFFFF"/>
        </w:rPr>
        <w:t>Tübingen</w:t>
      </w:r>
      <w:r>
        <w:rPr>
          <w:rFonts w:ascii="Book Antiqua" w:eastAsia="Book Antiqua" w:hAnsi="Book Antiqua" w:cs="Book Antiqua"/>
          <w:color w:val="000000"/>
        </w:rPr>
        <w:t>, Germany).</w:t>
      </w:r>
    </w:p>
    <w:p w14:paraId="0513C9BA"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Firstly, a mucosal incision was created at the anal side of the lesion. Submucosal dissection was then performed in the same area.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was, however, stopped due to poor access and visualisation of the submucosal space. An incision was then made at the oral side and the circumferential incision was completed. The scope was entered into the submucosal space using the transparent hood. Significant fibrosis was encountered at this point. The fibrotic area was dissected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Pr>
          <w:rFonts w:ascii="Book Antiqua" w:eastAsia="宋体" w:hAnsi="Book Antiqua" w:cs="Book Antiqua" w:hint="eastAsia"/>
          <w:color w:val="000000"/>
          <w:lang w:eastAsia="zh-CN"/>
        </w:rPr>
        <w:t>A</w:t>
      </w:r>
      <w:r>
        <w:rPr>
          <w:rFonts w:ascii="Book Antiqua" w:eastAsia="Book Antiqua" w:hAnsi="Book Antiqua" w:cs="Book Antiqua"/>
          <w:color w:val="000000"/>
        </w:rPr>
        <w:t>). The inner circular layer was visible at this point. An attempt was made to inject just above the muscle layer; however, this could not be achieved due to fibrosis. The inner circular layer was then dissected from the oral side to the anal side of the lesion, managing to keep the outer longitudinal layer intact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Pr>
          <w:rFonts w:ascii="Book Antiqua" w:eastAsia="宋体" w:hAnsi="Book Antiqua" w:cs="Book Antiqua" w:hint="eastAsia"/>
          <w:color w:val="000000"/>
          <w:lang w:eastAsia="zh-CN"/>
        </w:rPr>
        <w:t>B</w:t>
      </w:r>
      <w:r>
        <w:rPr>
          <w:rFonts w:ascii="Book Antiqua" w:eastAsia="Book Antiqua" w:hAnsi="Book Antiqua" w:cs="Book Antiqua"/>
          <w:color w:val="000000"/>
        </w:rPr>
        <w:t>). The tumour was finally released from the muscle layer and was resected en bloc. The lesion was pinned on the cork and then submitted for histology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Pr>
          <w:rFonts w:ascii="Book Antiqua" w:eastAsia="宋体" w:hAnsi="Book Antiqua" w:cs="Book Antiqua" w:hint="eastAsia"/>
          <w:color w:val="000000"/>
          <w:lang w:eastAsia="zh-CN"/>
        </w:rPr>
        <w:t>C</w:t>
      </w:r>
      <w:r>
        <w:rPr>
          <w:rFonts w:ascii="Book Antiqua" w:eastAsia="Book Antiqua" w:hAnsi="Book Antiqua" w:cs="Book Antiqua"/>
          <w:color w:val="000000"/>
        </w:rPr>
        <w:t>). The total procedure time was 124 min. The patient was given IV antibiotics intraoperatively and was discharged home after 2 h of observation.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 received a one-week course of oral antibiotics. There were no immediate or delayed complications noted.</w:t>
      </w:r>
    </w:p>
    <w:p w14:paraId="632EA17C" w14:textId="77777777" w:rsidR="00037BDA" w:rsidRDefault="00037BDA">
      <w:pPr>
        <w:adjustRightInd w:val="0"/>
        <w:snapToGrid w:val="0"/>
        <w:spacing w:line="360" w:lineRule="auto"/>
        <w:ind w:firstLineChars="200" w:firstLine="480"/>
        <w:jc w:val="both"/>
        <w:rPr>
          <w:rFonts w:ascii="Book Antiqua" w:hAnsi="Book Antiqua" w:cs="Book Antiqua"/>
        </w:rPr>
      </w:pPr>
    </w:p>
    <w:p w14:paraId="0EF605BD"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Figure 2</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shows the significance of the fibrosis encountered during Endoscopic Intermuscular Dissection. After dissecting the fibrotic area, the inner muscle layer was dissected, keeping the outer longitudinal layer intact, as shown in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Pr>
          <w:rFonts w:ascii="Book Antiqua" w:eastAsia="宋体" w:hAnsi="Book Antiqua" w:cs="Book Antiqua" w:hint="eastAsia"/>
          <w:color w:val="000000"/>
          <w:lang w:eastAsia="zh-CN"/>
        </w:rPr>
        <w:t>B</w:t>
      </w:r>
      <w:r>
        <w:rPr>
          <w:rFonts w:ascii="Book Antiqua" w:eastAsia="Book Antiqua" w:hAnsi="Book Antiqua" w:cs="Book Antiqua"/>
          <w:color w:val="000000"/>
        </w:rPr>
        <w:t>. The tumour was released from the muscle layer and pinned on the cork board and submitted for histological analysis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Pr>
          <w:rFonts w:ascii="Book Antiqua" w:eastAsia="宋体" w:hAnsi="Book Antiqua" w:cs="Book Antiqua" w:hint="eastAsia"/>
          <w:color w:val="000000"/>
          <w:lang w:eastAsia="zh-CN"/>
        </w:rPr>
        <w:t>C</w:t>
      </w:r>
      <w:r>
        <w:rPr>
          <w:rFonts w:ascii="Book Antiqua" w:eastAsia="Book Antiqua" w:hAnsi="Book Antiqua" w:cs="Book Antiqua"/>
          <w:color w:val="000000"/>
        </w:rPr>
        <w:t>).</w:t>
      </w:r>
    </w:p>
    <w:p w14:paraId="0F46E886"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histology confirmed the presence of muscularis propria in the specimen. This is a low-grade adenocarcinoma, with absent LVI, absent perineural invasion and low tumour budding. The lesion was clear of peripheral margins by 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Vertical margins, however, confirmed infiltration of the tumour into the muscularis propria and were positive.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This confirmed it as at least a pT2 </w:t>
      </w:r>
      <w:r>
        <w:rPr>
          <w:rFonts w:ascii="Book Antiqua" w:eastAsia="宋体" w:hAnsi="Book Antiqua" w:cs="Book Antiqua" w:hint="eastAsia"/>
          <w:color w:val="000000"/>
          <w:lang w:eastAsia="zh-CN"/>
        </w:rPr>
        <w:t>l</w:t>
      </w:r>
      <w:r>
        <w:rPr>
          <w:rFonts w:ascii="Book Antiqua" w:eastAsia="Book Antiqua" w:hAnsi="Book Antiqua" w:cs="Book Antiqua"/>
          <w:color w:val="000000"/>
        </w:rPr>
        <w:t>esion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3).</w:t>
      </w:r>
    </w:p>
    <w:p w14:paraId="2E530D62" w14:textId="77777777" w:rsidR="00037BDA" w:rsidRDefault="00037BDA">
      <w:pPr>
        <w:adjustRightInd w:val="0"/>
        <w:snapToGrid w:val="0"/>
        <w:spacing w:line="360" w:lineRule="auto"/>
        <w:jc w:val="both"/>
        <w:rPr>
          <w:rFonts w:ascii="Book Antiqua" w:hAnsi="Book Antiqua" w:cs="Book Antiqua"/>
        </w:rPr>
      </w:pPr>
    </w:p>
    <w:p w14:paraId="433544FD"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DA47653"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histology was again discussed in a multidisciplinary meeting, and it was concluded that the patient will require additional treatment. He was referred for long course chemoradiotherapy, which he successfully completed without any side effects. A follow up colonoscopy, 6 mo after the resection, showed no residual disease. An MRI scan of the rectum was performed 9 mo after the resection and showed no recurrence of disease. After 9 mo of follow up, the patient had remained well, with no symptoms and no delayed complications from the EID procedure.</w:t>
      </w:r>
    </w:p>
    <w:p w14:paraId="595C34E1" w14:textId="77777777" w:rsidR="00037BDA" w:rsidRDefault="00037BDA">
      <w:pPr>
        <w:adjustRightInd w:val="0"/>
        <w:snapToGrid w:val="0"/>
        <w:spacing w:line="360" w:lineRule="auto"/>
        <w:jc w:val="both"/>
        <w:rPr>
          <w:rFonts w:ascii="Book Antiqua" w:hAnsi="Book Antiqua" w:cs="Book Antiqua"/>
        </w:rPr>
      </w:pPr>
    </w:p>
    <w:p w14:paraId="416576C7"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6C8A7E5E"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EID was first described by Rahni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resection of rectal lesions with significant fibrosis. It is a new technique where a dissection is carried out of the inner circular muscle layer in the intermuscular plane, while keeping the outer longitudinal layer in the rectum intact. A recent case series of 67 patients described this technique for resection of rectal cancers with suspected invasion beyond the SM1 </w:t>
      </w:r>
      <w:r>
        <w:rPr>
          <w:rFonts w:ascii="Book Antiqua" w:eastAsia="宋体" w:hAnsi="Book Antiqua" w:cs="Book Antiqua" w:hint="eastAsia"/>
          <w:color w:val="000000"/>
          <w:lang w:eastAsia="zh-CN"/>
        </w:rPr>
        <w:t>l</w:t>
      </w:r>
      <w:r>
        <w:rPr>
          <w:rFonts w:ascii="Book Antiqua" w:eastAsia="Book Antiqua" w:hAnsi="Book Antiqua" w:cs="Book Antiqua"/>
          <w:color w:val="000000"/>
        </w:rPr>
        <w:t>ayer. This series concluded that EID is a feasible technique, with a technical success of 96% and a safe procedure requiring no surgery in EID related complications. 12% of patients had minor adverse events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81EC055"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The case discussed above, was the first such procedure to be performed in New Zealand. Although the patient did not have R0 resection and ideally should have had radical surgery, his comorbidities meant that such surgery was prohibitive. Radical surgery can still be safely performed in low risk patients who have non curative ESD</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Our patient underwent long course chemoradiotherapy instead, with no disease recurrence after 9 mo of follow up.</w:t>
      </w:r>
    </w:p>
    <w:p w14:paraId="6EC52ACF"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There is preliminary data to suggest that patients who undergo local resection, followed by adjuvant chemoradiotherapy, can preserve their rectum and have better QoL</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A large, randomized trial (TESAR trial) is underway and results are awaited with interest</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This trial will consider this issue and, if positive, radical surgery might be avoidable for high risk patients in future.</w:t>
      </w:r>
    </w:p>
    <w:p w14:paraId="1D082E4E" w14:textId="77777777" w:rsidR="00037BDA"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recent study evaluated the clinical outcome of non-curative ESD for early CRC. This study included 207 non-curative ESD cases and showed the tumour recurrence and disease specific survival rates were similar in patients who had radical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those who were followed up by endoscopy (after a median follow-up of 30 mo)</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Additional treatment decisions are often based on patient comorbidities and risks of additional treatment should be carefully weighed against the benefits. The patient discussed above was considered fit enough for long course chemoradiotherapy, with the aim to treat both the local residual disease and LNM if present.</w:t>
      </w:r>
    </w:p>
    <w:p w14:paraId="5DE5176A" w14:textId="77777777" w:rsidR="00037BDA" w:rsidRDefault="00037BDA">
      <w:pPr>
        <w:adjustRightInd w:val="0"/>
        <w:snapToGrid w:val="0"/>
        <w:spacing w:line="360" w:lineRule="auto"/>
        <w:jc w:val="both"/>
        <w:rPr>
          <w:rFonts w:ascii="Book Antiqua" w:hAnsi="Book Antiqua" w:cs="Book Antiqua"/>
        </w:rPr>
      </w:pPr>
    </w:p>
    <w:p w14:paraId="38C01660"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C2724B0"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groundbreaking EID case, the first to be performed in New Zealand, highlights that this technique is an option worth considering for some patients. It is feasible and can be performed successfully, without any major complications, in highly selected lesions and patient groups. It can potentially offer curative local resection of rectal cancer despite deep submucosal invasion, showing favourable histopathological features in carefully selected patients.</w:t>
      </w:r>
    </w:p>
    <w:p w14:paraId="44B7362D" w14:textId="77777777" w:rsidR="00037BDA" w:rsidRDefault="00037BDA">
      <w:pPr>
        <w:adjustRightInd w:val="0"/>
        <w:snapToGrid w:val="0"/>
        <w:spacing w:line="360" w:lineRule="auto"/>
        <w:jc w:val="both"/>
        <w:rPr>
          <w:rFonts w:ascii="Book Antiqua" w:hAnsi="Book Antiqua" w:cs="Book Antiqua"/>
        </w:rPr>
      </w:pPr>
    </w:p>
    <w:p w14:paraId="43A625B4"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58013D8F" w14:textId="77777777" w:rsidR="00037BDA" w:rsidRDefault="00000000">
      <w:pPr>
        <w:spacing w:line="360" w:lineRule="auto"/>
        <w:jc w:val="both"/>
        <w:rPr>
          <w:rFonts w:ascii="Book Antiqua" w:hAnsi="Book Antiqua" w:cs="Book Antiqua"/>
        </w:rPr>
      </w:pPr>
      <w:r>
        <w:rPr>
          <w:rFonts w:ascii="Book Antiqua" w:hAnsi="Book Antiqua" w:cs="Book Antiqua"/>
        </w:rPr>
        <w:lastRenderedPageBreak/>
        <w:t xml:space="preserve">1 </w:t>
      </w:r>
      <w:r>
        <w:rPr>
          <w:rFonts w:ascii="Book Antiqua" w:hAnsi="Book Antiqua" w:cs="Book Antiqua"/>
          <w:b/>
          <w:bCs/>
        </w:rPr>
        <w:t>Wang J</w:t>
      </w:r>
      <w:r>
        <w:rPr>
          <w:rFonts w:ascii="Book Antiqua" w:hAnsi="Book Antiqua" w:cs="Book Antiqua"/>
        </w:rPr>
        <w:t xml:space="preserve">, Zhang XH, Ge J, Yang CM, Liu JY, Zhao SL. Endoscopic submucosal dissection vs endoscopic mucosal resection for colorectal tumors: a meta-analysis. </w:t>
      </w:r>
      <w:r>
        <w:rPr>
          <w:rFonts w:ascii="Book Antiqua" w:hAnsi="Book Antiqua" w:cs="Book Antiqua"/>
          <w:i/>
          <w:iCs/>
        </w:rPr>
        <w:t>World J Gastroenterol</w:t>
      </w:r>
      <w:r>
        <w:rPr>
          <w:rFonts w:ascii="Book Antiqua" w:hAnsi="Book Antiqua" w:cs="Book Antiqua"/>
        </w:rPr>
        <w:t xml:space="preserve"> 2014; </w:t>
      </w:r>
      <w:r>
        <w:rPr>
          <w:rFonts w:ascii="Book Antiqua" w:hAnsi="Book Antiqua" w:cs="Book Antiqua"/>
          <w:b/>
          <w:bCs/>
        </w:rPr>
        <w:t>20</w:t>
      </w:r>
      <w:r>
        <w:rPr>
          <w:rFonts w:ascii="Book Antiqua" w:hAnsi="Book Antiqua" w:cs="Book Antiqua"/>
        </w:rPr>
        <w:t>: 8282-8287 [PMID: 25009404 DOI: 10.3748/wjg.v20.i25.8282]</w:t>
      </w:r>
    </w:p>
    <w:p w14:paraId="42A3889E" w14:textId="77777777" w:rsidR="00037BDA"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Arthursson V</w:t>
      </w:r>
      <w:r>
        <w:rPr>
          <w:rFonts w:ascii="Book Antiqua" w:hAnsi="Book Antiqua" w:cs="Book Antiqua"/>
        </w:rPr>
        <w:t xml:space="preserve">, Rosén R, Norlin JM, Gralén K, Toth E, Syk I, Thorlacius H, Rönnow CF. Cost comparisons of endoscopic and surgical resection of stage T1 rectal cancer. </w:t>
      </w:r>
      <w:r>
        <w:rPr>
          <w:rFonts w:ascii="Book Antiqua" w:hAnsi="Book Antiqua" w:cs="Book Antiqua"/>
          <w:i/>
          <w:iCs/>
        </w:rPr>
        <w:t>Endosc Int Open</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E1512-E1519 [PMID: 34540543 DOI: 10.1055/a-1522-8762]</w:t>
      </w:r>
    </w:p>
    <w:p w14:paraId="16BCDDEF" w14:textId="77777777" w:rsidR="00037BDA"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Steele SR</w:t>
      </w:r>
      <w:r>
        <w:rPr>
          <w:rFonts w:ascii="Book Antiqua" w:hAnsi="Book Antiqua" w:cs="Book Antiqua"/>
        </w:rPr>
        <w:t xml:space="preserve">, Bleier J, Champagne B, Hassan I, Russ A, Senagore AJ, Sylla P, Pigazzi A. Improving outcomes and cost-effectiveness of colorectal surgery. </w:t>
      </w:r>
      <w:r>
        <w:rPr>
          <w:rFonts w:ascii="Book Antiqua" w:hAnsi="Book Antiqua" w:cs="Book Antiqua"/>
          <w:i/>
          <w:iCs/>
        </w:rPr>
        <w:t>J Gastrointest Surg</w:t>
      </w:r>
      <w:r>
        <w:rPr>
          <w:rFonts w:ascii="Book Antiqua" w:hAnsi="Book Antiqua" w:cs="Book Antiqua"/>
        </w:rPr>
        <w:t xml:space="preserve"> 2014; </w:t>
      </w:r>
      <w:r>
        <w:rPr>
          <w:rFonts w:ascii="Book Antiqua" w:hAnsi="Book Antiqua" w:cs="Book Antiqua"/>
          <w:b/>
          <w:bCs/>
        </w:rPr>
        <w:t>18</w:t>
      </w:r>
      <w:r>
        <w:rPr>
          <w:rFonts w:ascii="Book Antiqua" w:hAnsi="Book Antiqua" w:cs="Book Antiqua"/>
        </w:rPr>
        <w:t>: 1944-1956 [PMID: 25205538 DOI: 10.1007/s11605-014-2643-9]</w:t>
      </w:r>
    </w:p>
    <w:p w14:paraId="669AC6B4" w14:textId="77777777" w:rsidR="00037BDA"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Lee CM</w:t>
      </w:r>
      <w:r>
        <w:rPr>
          <w:rFonts w:ascii="Book Antiqua" w:hAnsi="Book Antiqua" w:cs="Book Antiqua"/>
        </w:rPr>
        <w:t xml:space="preserve">, Huh JW, Yun SH, Kim HC, Lee WY, Park YA, Cho YB, Chun HK. Laparoscopic versus open reintervention for anastomotic leakage following minimally invasive colorectal surgery. </w:t>
      </w:r>
      <w:r>
        <w:rPr>
          <w:rFonts w:ascii="Book Antiqua" w:hAnsi="Book Antiqua" w:cs="Book Antiqua"/>
          <w:i/>
          <w:iCs/>
        </w:rPr>
        <w:t>Surg Endosc</w:t>
      </w:r>
      <w:r>
        <w:rPr>
          <w:rFonts w:ascii="Book Antiqua" w:hAnsi="Book Antiqua" w:cs="Book Antiqua"/>
        </w:rPr>
        <w:t xml:space="preserve"> 2015; </w:t>
      </w:r>
      <w:r>
        <w:rPr>
          <w:rFonts w:ascii="Book Antiqua" w:hAnsi="Book Antiqua" w:cs="Book Antiqua"/>
          <w:b/>
          <w:bCs/>
        </w:rPr>
        <w:t>29</w:t>
      </w:r>
      <w:r>
        <w:rPr>
          <w:rFonts w:ascii="Book Antiqua" w:hAnsi="Book Antiqua" w:cs="Book Antiqua"/>
        </w:rPr>
        <w:t>: 931-936 [PMID: 25060688 DOI: 10.1007/s00464-014-3755-8]</w:t>
      </w:r>
    </w:p>
    <w:p w14:paraId="5AC5E006" w14:textId="77777777" w:rsidR="00037BDA"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Eleftheriadis N,</w:t>
      </w:r>
      <w:r>
        <w:rPr>
          <w:rFonts w:ascii="Book Antiqua" w:hAnsi="Book Antiqua" w:cs="Book Antiqua"/>
        </w:rPr>
        <w:t xml:space="preserve"> Inoue H, Ikeda H, Onimaru M, Yoshida A, Maselli R, Santi G, Kudo S. Definition and staging of early esophageal, gastric, and Colorectal Cancer</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i/>
          <w:iCs/>
        </w:rPr>
        <w:t>Journal of tumour</w:t>
      </w:r>
      <w:r>
        <w:rPr>
          <w:rFonts w:ascii="Book Antiqua" w:eastAsia="宋体" w:hAnsi="Book Antiqua" w:cs="Book Antiqua" w:hint="eastAsia"/>
          <w:lang w:eastAsia="zh-CN"/>
        </w:rPr>
        <w:t xml:space="preserve"> </w:t>
      </w:r>
      <w:r>
        <w:rPr>
          <w:rFonts w:ascii="Book Antiqua" w:hAnsi="Book Antiqua" w:cs="Book Antiqua"/>
        </w:rPr>
        <w:t xml:space="preserve">2014; </w:t>
      </w:r>
      <w:r>
        <w:rPr>
          <w:rFonts w:ascii="Book Antiqua" w:hAnsi="Book Antiqua" w:cs="Book Antiqua"/>
          <w:b/>
          <w:bCs/>
        </w:rPr>
        <w:t>18</w:t>
      </w:r>
      <w:r>
        <w:rPr>
          <w:rFonts w:ascii="Book Antiqua" w:eastAsia="宋体" w:hAnsi="Book Antiqua" w:cs="Book Antiqua" w:hint="eastAsia"/>
          <w:lang w:eastAsia="zh-CN"/>
        </w:rPr>
        <w:t>:</w:t>
      </w:r>
      <w:r>
        <w:rPr>
          <w:rFonts w:ascii="Book Antiqua" w:hAnsi="Book Antiqua" w:cs="Book Antiqua"/>
        </w:rPr>
        <w:t xml:space="preserve"> 161-178</w:t>
      </w:r>
    </w:p>
    <w:p w14:paraId="743030F3" w14:textId="77777777" w:rsidR="00037BDA"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Pimentel-Nunes P</w:t>
      </w:r>
      <w:r>
        <w:rPr>
          <w:rFonts w:ascii="Book Antiqua" w:hAnsi="Book Antiqua" w:cs="Book Antiqua"/>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Pr>
          <w:rFonts w:ascii="Book Antiqua" w:hAnsi="Book Antiqua" w:cs="Book Antiqua"/>
          <w:i/>
          <w:iCs/>
        </w:rPr>
        <w:t>Endoscopy</w:t>
      </w:r>
      <w:r>
        <w:rPr>
          <w:rFonts w:ascii="Book Antiqua" w:hAnsi="Book Antiqua" w:cs="Book Antiqua"/>
        </w:rPr>
        <w:t xml:space="preserve"> 2015; </w:t>
      </w:r>
      <w:r>
        <w:rPr>
          <w:rFonts w:ascii="Book Antiqua" w:hAnsi="Book Antiqua" w:cs="Book Antiqua"/>
          <w:b/>
          <w:bCs/>
        </w:rPr>
        <w:t>47</w:t>
      </w:r>
      <w:r>
        <w:rPr>
          <w:rFonts w:ascii="Book Antiqua" w:hAnsi="Book Antiqua" w:cs="Book Antiqua"/>
        </w:rPr>
        <w:t>: 829-854 [PMID: 26317585 DOI: 10.1055/s-0034-1392882]</w:t>
      </w:r>
    </w:p>
    <w:p w14:paraId="77D2D442" w14:textId="77777777" w:rsidR="00037BDA"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Rönnow CF</w:t>
      </w:r>
      <w:r>
        <w:rPr>
          <w:rFonts w:ascii="Book Antiqua" w:hAnsi="Book Antiqua" w:cs="Book Antiqua"/>
        </w:rPr>
        <w:t xml:space="preserve">, Arthursson V, Toth E, Krarup PM, Syk I, Thorlacius H. Lymphovascular Infiltration, Not Depth of Invasion, is the Critical Risk Factor of Metastases in Early Colorectal Cancer: Retrospective Population-based Cohort Study on Prospectively Collected Data, Including Validation. </w:t>
      </w:r>
      <w:r>
        <w:rPr>
          <w:rFonts w:ascii="Book Antiqua" w:hAnsi="Book Antiqua" w:cs="Book Antiqua"/>
          <w:i/>
          <w:iCs/>
        </w:rPr>
        <w:t>Ann Surg</w:t>
      </w:r>
      <w:r>
        <w:rPr>
          <w:rFonts w:ascii="Book Antiqua" w:hAnsi="Book Antiqua" w:cs="Book Antiqua"/>
        </w:rPr>
        <w:t xml:space="preserve"> 2022; </w:t>
      </w:r>
      <w:r>
        <w:rPr>
          <w:rFonts w:ascii="Book Antiqua" w:hAnsi="Book Antiqua" w:cs="Book Antiqua"/>
          <w:b/>
          <w:bCs/>
        </w:rPr>
        <w:t>275</w:t>
      </w:r>
      <w:r>
        <w:rPr>
          <w:rFonts w:ascii="Book Antiqua" w:hAnsi="Book Antiqua" w:cs="Book Antiqua"/>
        </w:rPr>
        <w:t>: e148-e154 [PMID: 32187031 DOI: 10.1097/SLA.0000000000003854]</w:t>
      </w:r>
    </w:p>
    <w:p w14:paraId="6E25DD16" w14:textId="77777777" w:rsidR="00037BDA" w:rsidRDefault="00000000">
      <w:pPr>
        <w:spacing w:line="360" w:lineRule="auto"/>
        <w:jc w:val="both"/>
        <w:rPr>
          <w:rFonts w:ascii="Book Antiqua" w:hAnsi="Book Antiqua" w:cs="Book Antiqua"/>
        </w:rPr>
      </w:pPr>
      <w:r>
        <w:rPr>
          <w:rFonts w:ascii="Book Antiqua" w:hAnsi="Book Antiqua" w:cs="Book Antiqua"/>
        </w:rPr>
        <w:lastRenderedPageBreak/>
        <w:t xml:space="preserve">8 </w:t>
      </w:r>
      <w:r>
        <w:rPr>
          <w:rFonts w:ascii="Book Antiqua" w:hAnsi="Book Antiqua" w:cs="Book Antiqua"/>
          <w:b/>
          <w:bCs/>
        </w:rPr>
        <w:t>Kitajima K</w:t>
      </w:r>
      <w:r>
        <w:rPr>
          <w:rFonts w:ascii="Book Antiqua" w:hAnsi="Book Antiqua" w:cs="Book Antiqua"/>
        </w:rPr>
        <w:t xml:space="preserve">,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Pr>
          <w:rFonts w:ascii="Book Antiqua" w:hAnsi="Book Antiqua" w:cs="Book Antiqua"/>
          <w:i/>
          <w:iCs/>
        </w:rPr>
        <w:t>J Gastroenterol</w:t>
      </w:r>
      <w:r>
        <w:rPr>
          <w:rFonts w:ascii="Book Antiqua" w:hAnsi="Book Antiqua" w:cs="Book Antiqua"/>
        </w:rPr>
        <w:t xml:space="preserve"> 2004; </w:t>
      </w:r>
      <w:r>
        <w:rPr>
          <w:rFonts w:ascii="Book Antiqua" w:hAnsi="Book Antiqua" w:cs="Book Antiqua"/>
          <w:b/>
          <w:bCs/>
        </w:rPr>
        <w:t>39</w:t>
      </w:r>
      <w:r>
        <w:rPr>
          <w:rFonts w:ascii="Book Antiqua" w:hAnsi="Book Antiqua" w:cs="Book Antiqua"/>
        </w:rPr>
        <w:t>: 534-543 [PMID: 15235870 DOI: 10.1007/s00535-004-1339-4]</w:t>
      </w:r>
    </w:p>
    <w:p w14:paraId="3D9F9199" w14:textId="77777777" w:rsidR="00037BDA"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Nakadoi K</w:t>
      </w:r>
      <w:r>
        <w:rPr>
          <w:rFonts w:ascii="Book Antiqua" w:hAnsi="Book Antiqua" w:cs="Book Antiqua"/>
        </w:rPr>
        <w:t xml:space="preserve">, Tanaka S, Kanao H, Terasaki M, Takata S, Oka S, Yoshida S, Arihiro K, Chayama K. Management of T1 colorectal carcinoma with special reference to criteria for curative endoscopic resection. </w:t>
      </w:r>
      <w:r>
        <w:rPr>
          <w:rFonts w:ascii="Book Antiqua" w:hAnsi="Book Antiqua" w:cs="Book Antiqua"/>
          <w:i/>
          <w:iCs/>
        </w:rPr>
        <w:t>J Gastroenterol Hepatol</w:t>
      </w:r>
      <w:r>
        <w:rPr>
          <w:rFonts w:ascii="Book Antiqua" w:hAnsi="Book Antiqua" w:cs="Book Antiqua"/>
        </w:rPr>
        <w:t xml:space="preserve"> 2012; </w:t>
      </w:r>
      <w:r>
        <w:rPr>
          <w:rFonts w:ascii="Book Antiqua" w:hAnsi="Book Antiqua" w:cs="Book Antiqua"/>
          <w:b/>
          <w:bCs/>
        </w:rPr>
        <w:t>27</w:t>
      </w:r>
      <w:r>
        <w:rPr>
          <w:rFonts w:ascii="Book Antiqua" w:hAnsi="Book Antiqua" w:cs="Book Antiqua"/>
        </w:rPr>
        <w:t>: 1057-1062 [PMID: 22142484 DOI: 10.1111/j.1440-1746.2011.07041.x]</w:t>
      </w:r>
    </w:p>
    <w:p w14:paraId="2DA1771F" w14:textId="77777777" w:rsidR="00037BDA"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Sohn DK</w:t>
      </w:r>
      <w:r>
        <w:rPr>
          <w:rFonts w:ascii="Book Antiqua" w:hAnsi="Book Antiqua" w:cs="Book Antiqua"/>
        </w:rPr>
        <w:t xml:space="preserve">, Chang HJ, Park JW, Choi DH, Han KS, Hong CW, Jung KH, Kim DY, Lim SB, Choi HS, Jeong SY. Histopathological risk factors for lymph node metastasis in submucosal invasive colorectal carcinoma of pedunculated or semipedunculated type. </w:t>
      </w:r>
      <w:r>
        <w:rPr>
          <w:rFonts w:ascii="Book Antiqua" w:hAnsi="Book Antiqua" w:cs="Book Antiqua"/>
          <w:i/>
          <w:iCs/>
        </w:rPr>
        <w:t>J Clin Pathol</w:t>
      </w:r>
      <w:r>
        <w:rPr>
          <w:rFonts w:ascii="Book Antiqua" w:hAnsi="Book Antiqua" w:cs="Book Antiqua"/>
        </w:rPr>
        <w:t xml:space="preserve"> 2007; </w:t>
      </w:r>
      <w:r>
        <w:rPr>
          <w:rFonts w:ascii="Book Antiqua" w:hAnsi="Book Antiqua" w:cs="Book Antiqua"/>
          <w:b/>
          <w:bCs/>
        </w:rPr>
        <w:t>60</w:t>
      </w:r>
      <w:r>
        <w:rPr>
          <w:rFonts w:ascii="Book Antiqua" w:hAnsi="Book Antiqua" w:cs="Book Antiqua"/>
        </w:rPr>
        <w:t>: 912-915 [PMID: 16997919 DOI: 10.1136/jcp.2006.043539]</w:t>
      </w:r>
    </w:p>
    <w:p w14:paraId="2663A041" w14:textId="77777777" w:rsidR="00037BDA"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Oka S</w:t>
      </w:r>
      <w:r>
        <w:rPr>
          <w:rFonts w:ascii="Book Antiqua" w:hAnsi="Book Antiqua" w:cs="Book Antiqua"/>
        </w:rPr>
        <w:t xml:space="preserve">, Tanaka S, Nakadoi K, Kanao H, Chayama K. Risk analysis of submucosal invasive rectal carcinomas for lymph node metastasis to expand indication criteria for endoscopic resection. </w:t>
      </w:r>
      <w:r>
        <w:rPr>
          <w:rFonts w:ascii="Book Antiqua" w:hAnsi="Book Antiqua" w:cs="Book Antiqua"/>
          <w:i/>
          <w:iCs/>
        </w:rPr>
        <w:t>Dig Endosc</w:t>
      </w:r>
      <w:r>
        <w:rPr>
          <w:rFonts w:ascii="Book Antiqua" w:hAnsi="Book Antiqua" w:cs="Book Antiqua"/>
        </w:rPr>
        <w:t xml:space="preserve"> 2013; </w:t>
      </w:r>
      <w:r>
        <w:rPr>
          <w:rFonts w:ascii="Book Antiqua" w:hAnsi="Book Antiqua" w:cs="Book Antiqua"/>
          <w:b/>
          <w:bCs/>
        </w:rPr>
        <w:t>25 Suppl 2</w:t>
      </w:r>
      <w:r>
        <w:rPr>
          <w:rFonts w:ascii="Book Antiqua" w:hAnsi="Book Antiqua" w:cs="Book Antiqua"/>
        </w:rPr>
        <w:t>: 21-25 [PMID: 23617644 DOI: 10.1111/den.12089]</w:t>
      </w:r>
    </w:p>
    <w:p w14:paraId="570795BC" w14:textId="77777777" w:rsidR="00037BDA"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Watanabe D</w:t>
      </w:r>
      <w:r>
        <w:rPr>
          <w:rFonts w:ascii="Book Antiqua" w:hAnsi="Book Antiqua" w:cs="Book Antiqua"/>
        </w:rPr>
        <w:t xml:space="preserve">, Toyonaga T, Ooi M, Yoshizaki T, Ohara Y, Tanaka S, Kawara F, Ishida T, Morita Y, Umegaki E, Matsuda T, Sumi Y, Nishio M, Yokozaki H, Azuma T. Clinical outcomes of deep invasive submucosal colorectal cancer after ESD. </w:t>
      </w:r>
      <w:r>
        <w:rPr>
          <w:rFonts w:ascii="Book Antiqua" w:hAnsi="Book Antiqua" w:cs="Book Antiqua"/>
          <w:i/>
          <w:iCs/>
        </w:rPr>
        <w:t>Surg Endosc</w:t>
      </w:r>
      <w:r>
        <w:rPr>
          <w:rFonts w:ascii="Book Antiqua" w:hAnsi="Book Antiqua" w:cs="Book Antiqua"/>
        </w:rPr>
        <w:t xml:space="preserve"> 2018; </w:t>
      </w:r>
      <w:r>
        <w:rPr>
          <w:rFonts w:ascii="Book Antiqua" w:hAnsi="Book Antiqua" w:cs="Book Antiqua"/>
          <w:b/>
          <w:bCs/>
        </w:rPr>
        <w:t>32</w:t>
      </w:r>
      <w:r>
        <w:rPr>
          <w:rFonts w:ascii="Book Antiqua" w:hAnsi="Book Antiqua" w:cs="Book Antiqua"/>
        </w:rPr>
        <w:t>: 2123-2130 [PMID: 29098429 DOI: 10.1007/s00464-017-5910-5]</w:t>
      </w:r>
    </w:p>
    <w:p w14:paraId="59082902" w14:textId="77777777" w:rsidR="00037BDA"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Rahni DO</w:t>
      </w:r>
      <w:r>
        <w:rPr>
          <w:rFonts w:ascii="Book Antiqua" w:hAnsi="Book Antiqua" w:cs="Book Antiqua"/>
        </w:rPr>
        <w:t xml:space="preserve">, Toyonaga T, Ohara Y, Lombardo F, Baba S, Takihara H, Tanaka S, Kawara F, Azuma T. First reported case of per anal endoscopic myectomy (PAEM): A novel endoscopic technique for resection of lesions with severe fibrosis in the rectum. </w:t>
      </w:r>
      <w:r>
        <w:rPr>
          <w:rFonts w:ascii="Book Antiqua" w:hAnsi="Book Antiqua" w:cs="Book Antiqua"/>
          <w:i/>
          <w:iCs/>
        </w:rPr>
        <w:t>Endosc Int Open</w:t>
      </w:r>
      <w:r>
        <w:rPr>
          <w:rFonts w:ascii="Book Antiqua" w:hAnsi="Book Antiqua" w:cs="Book Antiqua"/>
        </w:rPr>
        <w:t xml:space="preserve"> 2017; </w:t>
      </w:r>
      <w:r>
        <w:rPr>
          <w:rFonts w:ascii="Book Antiqua" w:hAnsi="Book Antiqua" w:cs="Book Antiqua"/>
          <w:b/>
          <w:bCs/>
        </w:rPr>
        <w:t>5</w:t>
      </w:r>
      <w:r>
        <w:rPr>
          <w:rFonts w:ascii="Book Antiqua" w:hAnsi="Book Antiqua" w:cs="Book Antiqua"/>
        </w:rPr>
        <w:t>: E146-E150 [PMID: 28337484 DOI: 10.1055/s-0042-122965]</w:t>
      </w:r>
    </w:p>
    <w:p w14:paraId="291A1828" w14:textId="77777777" w:rsidR="00037BDA"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Moons LMG</w:t>
      </w:r>
      <w:r>
        <w:rPr>
          <w:rFonts w:ascii="Book Antiqua" w:hAnsi="Book Antiqua" w:cs="Book Antiqua"/>
        </w:rPr>
        <w:t xml:space="preserve">, Bastiaansen BAJ, Richir MC, Hazen WL, Tuynman J, Elias SG, Schrauwen RWM, Vleggaar FP, Dekker E, Bos P, Fariña Sarasqueta A, Lacle M, Hompes R, Didden P. Endoscopic intermuscular dissection for deep submucosal invasive cancer </w:t>
      </w:r>
      <w:r>
        <w:rPr>
          <w:rFonts w:ascii="Book Antiqua" w:hAnsi="Book Antiqua" w:cs="Book Antiqua"/>
        </w:rPr>
        <w:lastRenderedPageBreak/>
        <w:t xml:space="preserve">in the rectum: a new endoscopic approach. </w:t>
      </w:r>
      <w:r>
        <w:rPr>
          <w:rFonts w:ascii="Book Antiqua" w:hAnsi="Book Antiqua" w:cs="Book Antiqua"/>
          <w:i/>
          <w:iCs/>
        </w:rPr>
        <w:t>Endoscopy</w:t>
      </w:r>
      <w:r>
        <w:rPr>
          <w:rFonts w:ascii="Book Antiqua" w:hAnsi="Book Antiqua" w:cs="Book Antiqua"/>
        </w:rPr>
        <w:t xml:space="preserve"> 2022; </w:t>
      </w:r>
      <w:r>
        <w:rPr>
          <w:rFonts w:ascii="Book Antiqua" w:hAnsi="Book Antiqua" w:cs="Book Antiqua"/>
          <w:b/>
          <w:bCs/>
        </w:rPr>
        <w:t>54</w:t>
      </w:r>
      <w:r>
        <w:rPr>
          <w:rFonts w:ascii="Book Antiqua" w:hAnsi="Book Antiqua" w:cs="Book Antiqua"/>
        </w:rPr>
        <w:t>: 993-998 [PMID: 35073588 DOI: 10.1055/a-1748-8573]</w:t>
      </w:r>
    </w:p>
    <w:p w14:paraId="691D759E" w14:textId="77777777" w:rsidR="00037BDA"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Chen T</w:t>
      </w:r>
      <w:r>
        <w:rPr>
          <w:rFonts w:ascii="Book Antiqua" w:hAnsi="Book Antiqua" w:cs="Book Antiqua"/>
        </w:rPr>
        <w:t xml:space="preserve">, Zhang YQ, Chen WF, Hou YY, Yao LQ, Zhong YS, Xu MD, Zhou PH. Efficacy and safety of additional surgery after non-curative endoscopic submucosal dissection for early colorectal cancer. </w:t>
      </w:r>
      <w:r>
        <w:rPr>
          <w:rFonts w:ascii="Book Antiqua" w:hAnsi="Book Antiqua" w:cs="Book Antiqua"/>
          <w:i/>
          <w:iCs/>
        </w:rPr>
        <w:t>BMC Gastroenterol</w:t>
      </w:r>
      <w:r>
        <w:rPr>
          <w:rFonts w:ascii="Book Antiqua" w:hAnsi="Book Antiqua" w:cs="Book Antiqua"/>
        </w:rPr>
        <w:t xml:space="preserve"> 2017; </w:t>
      </w:r>
      <w:r>
        <w:rPr>
          <w:rFonts w:ascii="Book Antiqua" w:hAnsi="Book Antiqua" w:cs="Book Antiqua"/>
          <w:b/>
          <w:bCs/>
        </w:rPr>
        <w:t>17</w:t>
      </w:r>
      <w:r>
        <w:rPr>
          <w:rFonts w:ascii="Book Antiqua" w:hAnsi="Book Antiqua" w:cs="Book Antiqua"/>
        </w:rPr>
        <w:t>: 134 [PMID: 29183272 DOI: 10.1186/s12876-017-0701-y]</w:t>
      </w:r>
    </w:p>
    <w:p w14:paraId="2A362C5B" w14:textId="77777777" w:rsidR="00037BDA"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Coco C</w:t>
      </w:r>
      <w:r>
        <w:rPr>
          <w:rFonts w:ascii="Book Antiqua" w:hAnsi="Book Antiqua" w:cs="Book Antiqua"/>
        </w:rPr>
        <w:t xml:space="preserve">, Magistrelli P, Netri G, Cogliandolo S, Carbone L, Morganti AG, Ziccarelli L, Valentini V. Combined modality therapy in low risk (T2N0) rectal cancer. </w:t>
      </w:r>
      <w:r>
        <w:rPr>
          <w:rFonts w:ascii="Book Antiqua" w:hAnsi="Book Antiqua" w:cs="Book Antiqua"/>
          <w:i/>
          <w:iCs/>
        </w:rPr>
        <w:t>Rays</w:t>
      </w:r>
      <w:r>
        <w:rPr>
          <w:rFonts w:ascii="Book Antiqua" w:hAnsi="Book Antiqua" w:cs="Book Antiqua"/>
        </w:rPr>
        <w:t xml:space="preserve"> 1995; </w:t>
      </w:r>
      <w:r>
        <w:rPr>
          <w:rFonts w:ascii="Book Antiqua" w:hAnsi="Book Antiqua" w:cs="Book Antiqua"/>
          <w:b/>
          <w:bCs/>
        </w:rPr>
        <w:t>20</w:t>
      </w:r>
      <w:r>
        <w:rPr>
          <w:rFonts w:ascii="Book Antiqua" w:hAnsi="Book Antiqua" w:cs="Book Antiqua"/>
        </w:rPr>
        <w:t>: 156-164 [PMID: 7480864]</w:t>
      </w:r>
    </w:p>
    <w:p w14:paraId="7B505F7E" w14:textId="77777777" w:rsidR="00037BDA"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Borstlap WA</w:t>
      </w:r>
      <w:r>
        <w:rPr>
          <w:rFonts w:ascii="Book Antiqua" w:hAnsi="Book Antiqua" w:cs="Book Antiqua"/>
        </w:rPr>
        <w:t xml:space="preserve">, Tanis PJ, Koedam TW, Marijnen CA, Cunningham C, Dekker E, van Leerdam ME, Meijer G, van Grieken N, Nagtegaal ID, Punt CJ, Dijkgraaf MG, De Wilt JH, Beets G, de Graaf EJ, van Geloven AA, Gerhards MF, van Westreenen HL, van de Ven AW, van Duijvendijk P, de Hingh IH, Leijtens JW, Sietses C, Spillenaar-Bilgen EJ, Vuylsteke RJ, Hoff C, Burger JW, van Grevenstein WM, Pronk A, Bosker RJ, Prins H, Smits AB, Bruin S, Zimmerman DD, Stassen LP, Dunker MS, Westerterp M, Coene PP, Stoot J, Bemelman WA, Tuynman JB. A multi-centred randomised trial of radical surgery versus adjuvant chemoradiotherapy after local excision for early rectal cancer. </w:t>
      </w:r>
      <w:r>
        <w:rPr>
          <w:rFonts w:ascii="Book Antiqua" w:hAnsi="Book Antiqua" w:cs="Book Antiqua"/>
          <w:i/>
          <w:iCs/>
        </w:rPr>
        <w:t>BMC Cancer</w:t>
      </w:r>
      <w:r>
        <w:rPr>
          <w:rFonts w:ascii="Book Antiqua" w:hAnsi="Book Antiqua" w:cs="Book Antiqua"/>
        </w:rPr>
        <w:t xml:space="preserve"> 2016; </w:t>
      </w:r>
      <w:r>
        <w:rPr>
          <w:rFonts w:ascii="Book Antiqua" w:hAnsi="Book Antiqua" w:cs="Book Antiqua"/>
          <w:b/>
          <w:bCs/>
        </w:rPr>
        <w:t>16</w:t>
      </w:r>
      <w:r>
        <w:rPr>
          <w:rFonts w:ascii="Book Antiqua" w:hAnsi="Book Antiqua" w:cs="Book Antiqua"/>
        </w:rPr>
        <w:t>: 513 [PMID: 27439975 DOI: 10.1186/s12885-016-2557-x]</w:t>
      </w:r>
    </w:p>
    <w:p w14:paraId="556C6D11" w14:textId="77777777" w:rsidR="00037BDA"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Spadaccini M</w:t>
      </w:r>
      <w:r>
        <w:rPr>
          <w:rFonts w:ascii="Book Antiqua" w:hAnsi="Book Antiqua" w:cs="Book Antiqua"/>
        </w:rPr>
        <w:t xml:space="preserve">, Bourke MJ, Maselli R, Pioche M, Bhandari P, Jacques J, Haji A, Yang D, Albéniz E, Kaminski MF, Messmann H, Herreros de Tejada A, Sferrazza S, Pekarek B, Rivory J, Geyl S, Gulati S, Draganov P, Shahidi N, Hossain E, Fleischmann C, Vespa E, Iannone A, Alkandari A, Hassan C, Repici A; ESD Western Alliance (EWA). Clinical outcome of non-curative endoscopic submucosal dissection for early colorectal cancer. </w:t>
      </w:r>
      <w:r>
        <w:rPr>
          <w:rFonts w:ascii="Book Antiqua" w:hAnsi="Book Antiqua" w:cs="Book Antiqua"/>
          <w:i/>
          <w:iCs/>
        </w:rPr>
        <w:t>Gut</w:t>
      </w:r>
      <w:r>
        <w:rPr>
          <w:rFonts w:ascii="Book Antiqua" w:hAnsi="Book Antiqua" w:cs="Book Antiqua"/>
        </w:rPr>
        <w:t xml:space="preserve"> 2022 [PMID: 35058275 DOI: 10.1136/gutjnl-2020-323897]</w:t>
      </w:r>
    </w:p>
    <w:p w14:paraId="3BA10E9A" w14:textId="77777777" w:rsidR="00037BDA" w:rsidRDefault="00037BDA">
      <w:pPr>
        <w:adjustRightInd w:val="0"/>
        <w:snapToGrid w:val="0"/>
        <w:spacing w:line="360" w:lineRule="auto"/>
        <w:jc w:val="both"/>
        <w:rPr>
          <w:rFonts w:ascii="Book Antiqua" w:hAnsi="Book Antiqua" w:cs="Book Antiqua"/>
        </w:rPr>
        <w:sectPr w:rsidR="00037BDA">
          <w:pgSz w:w="12240" w:h="15840"/>
          <w:pgMar w:top="1440" w:right="1440" w:bottom="1440" w:left="1440" w:header="720" w:footer="720" w:gutter="0"/>
          <w:cols w:space="720"/>
          <w:docGrid w:linePitch="360"/>
        </w:sectPr>
      </w:pPr>
    </w:p>
    <w:p w14:paraId="2CB9F33A"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74B4C445" w14:textId="77777777" w:rsidR="00037BDA" w:rsidRDefault="00000000">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55DA80DA" w14:textId="77777777" w:rsidR="00037BDA" w:rsidRDefault="00037BDA">
      <w:pPr>
        <w:spacing w:line="360" w:lineRule="auto"/>
        <w:jc w:val="both"/>
        <w:rPr>
          <w:rFonts w:ascii="Book Antiqua" w:hAnsi="Book Antiqua" w:cs="Book Antiqua"/>
          <w:b/>
          <w:bCs/>
        </w:rPr>
      </w:pPr>
    </w:p>
    <w:p w14:paraId="3A8E19B7" w14:textId="77777777" w:rsidR="00037BDA" w:rsidRDefault="00000000">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14:paraId="787D583F" w14:textId="77777777" w:rsidR="00037BDA" w:rsidRDefault="00037BDA">
      <w:pPr>
        <w:spacing w:line="360" w:lineRule="auto"/>
        <w:jc w:val="both"/>
        <w:rPr>
          <w:rFonts w:ascii="Book Antiqua" w:hAnsi="Book Antiqua" w:cs="Book Antiqua"/>
          <w:b/>
          <w:bCs/>
        </w:rPr>
      </w:pPr>
    </w:p>
    <w:p w14:paraId="7BAF4FC3" w14:textId="77777777" w:rsidR="00037BDA" w:rsidRDefault="00000000">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14:paraId="0F93D4D1" w14:textId="77777777" w:rsidR="00037BDA" w:rsidRDefault="00037BDA">
      <w:pPr>
        <w:adjustRightInd w:val="0"/>
        <w:snapToGrid w:val="0"/>
        <w:spacing w:line="360" w:lineRule="auto"/>
        <w:jc w:val="both"/>
        <w:rPr>
          <w:rFonts w:ascii="Book Antiqua" w:hAnsi="Book Antiqua" w:cs="Book Antiqua"/>
        </w:rPr>
      </w:pPr>
    </w:p>
    <w:p w14:paraId="35581BD6"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30A647" w14:textId="77777777" w:rsidR="00037BDA" w:rsidRDefault="00037BDA">
      <w:pPr>
        <w:adjustRightInd w:val="0"/>
        <w:snapToGrid w:val="0"/>
        <w:spacing w:line="360" w:lineRule="auto"/>
        <w:jc w:val="both"/>
        <w:rPr>
          <w:rFonts w:ascii="Book Antiqua" w:hAnsi="Book Antiqua" w:cs="Book Antiqua"/>
        </w:rPr>
      </w:pPr>
    </w:p>
    <w:p w14:paraId="3567BAD9" w14:textId="77777777" w:rsidR="00037BD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777F47E" w14:textId="77777777" w:rsidR="00037BDA" w:rsidRDefault="00037BDA">
      <w:pPr>
        <w:adjustRightInd w:val="0"/>
        <w:snapToGrid w:val="0"/>
        <w:spacing w:line="360" w:lineRule="auto"/>
        <w:jc w:val="both"/>
        <w:rPr>
          <w:rFonts w:ascii="Book Antiqua" w:eastAsia="Book Antiqua" w:hAnsi="Book Antiqua" w:cs="Book Antiqua"/>
        </w:rPr>
      </w:pPr>
    </w:p>
    <w:p w14:paraId="7FEB618F"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40A9859" w14:textId="77777777" w:rsidR="00037BDA" w:rsidRDefault="00037BDA">
      <w:pPr>
        <w:adjustRightInd w:val="0"/>
        <w:snapToGrid w:val="0"/>
        <w:spacing w:line="360" w:lineRule="auto"/>
        <w:jc w:val="both"/>
        <w:rPr>
          <w:rFonts w:ascii="Book Antiqua" w:hAnsi="Book Antiqua" w:cs="Book Antiqua"/>
        </w:rPr>
      </w:pPr>
    </w:p>
    <w:p w14:paraId="2583494D"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14, 2023</w:t>
      </w:r>
    </w:p>
    <w:p w14:paraId="389FE6F0"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24, 2023</w:t>
      </w:r>
    </w:p>
    <w:p w14:paraId="696B6877"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89390EB" w14:textId="77777777" w:rsidR="00037BDA" w:rsidRDefault="00037BDA">
      <w:pPr>
        <w:adjustRightInd w:val="0"/>
        <w:snapToGrid w:val="0"/>
        <w:spacing w:line="360" w:lineRule="auto"/>
        <w:jc w:val="both"/>
        <w:rPr>
          <w:rFonts w:ascii="Book Antiqua" w:hAnsi="Book Antiqua" w:cs="Book Antiqua"/>
        </w:rPr>
      </w:pPr>
    </w:p>
    <w:p w14:paraId="302B729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0DD8084A"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New Zealand</w:t>
      </w:r>
    </w:p>
    <w:p w14:paraId="33C2B4E8"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4FA300B2"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3B5E9364"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0</w:t>
      </w:r>
    </w:p>
    <w:p w14:paraId="36493E4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32E78A5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7B386FE"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D4EB87B" w14:textId="77777777" w:rsidR="00037BDA" w:rsidRDefault="00037BDA">
      <w:pPr>
        <w:adjustRightInd w:val="0"/>
        <w:snapToGrid w:val="0"/>
        <w:spacing w:line="360" w:lineRule="auto"/>
        <w:jc w:val="both"/>
        <w:rPr>
          <w:rFonts w:ascii="Book Antiqua" w:hAnsi="Book Antiqua" w:cs="Book Antiqua"/>
        </w:rPr>
      </w:pPr>
    </w:p>
    <w:p w14:paraId="10082A6B" w14:textId="77777777" w:rsidR="00037BDA" w:rsidRDefault="00000000">
      <w:pPr>
        <w:adjustRightInd w:val="0"/>
        <w:snapToGrid w:val="0"/>
        <w:spacing w:line="360" w:lineRule="auto"/>
        <w:jc w:val="both"/>
        <w:rPr>
          <w:rFonts w:ascii="Book Antiqua" w:hAnsi="Book Antiqua" w:cs="Book Antiqua"/>
        </w:rPr>
        <w:sectPr w:rsidR="00037BD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 JJ,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P-Editor: </w:t>
      </w:r>
      <w:r>
        <w:rPr>
          <w:rFonts w:ascii="Book Antiqua" w:eastAsia="宋体" w:hAnsi="Book Antiqua" w:cs="Book Antiqua" w:hint="eastAsia"/>
          <w:bCs/>
          <w:color w:val="000000"/>
          <w:lang w:eastAsia="zh-CN"/>
        </w:rPr>
        <w:t>Qu XL</w:t>
      </w:r>
    </w:p>
    <w:p w14:paraId="244FF548" w14:textId="77777777" w:rsidR="00037BDA"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A819DA7" w14:textId="77777777" w:rsidR="00037BDA"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76E1B8C1" wp14:editId="4C79C66A">
            <wp:extent cx="4792980" cy="214884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92980" cy="2148840"/>
                    </a:xfrm>
                    <a:prstGeom prst="rect">
                      <a:avLst/>
                    </a:prstGeom>
                    <a:noFill/>
                    <a:ln>
                      <a:noFill/>
                    </a:ln>
                  </pic:spPr>
                </pic:pic>
              </a:graphicData>
            </a:graphic>
          </wp:inline>
        </w:drawing>
      </w:r>
    </w:p>
    <w:p w14:paraId="4989E8FB" w14:textId="77777777" w:rsidR="00037BD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hint="eastAsia"/>
          <w:b/>
          <w:bCs/>
          <w:lang w:eastAsia="zh-CN"/>
        </w:rPr>
        <w:t xml:space="preserve"> </w:t>
      </w:r>
      <w:r>
        <w:rPr>
          <w:rFonts w:ascii="Book Antiqua" w:eastAsia="Book Antiqua" w:hAnsi="Book Antiqua" w:cs="Book Antiqua" w:hint="eastAsia"/>
          <w:b/>
          <w:bCs/>
        </w:rPr>
        <w:t>Endoscopic image of the lesion</w:t>
      </w:r>
      <w:r>
        <w:rPr>
          <w:rFonts w:ascii="Book Antiqua" w:eastAsia="Book Antiqua" w:hAnsi="Book Antiqua" w:cs="Book Antiqua" w:hint="eastAsia"/>
          <w:b/>
          <w:bCs/>
          <w:lang w:eastAsia="zh-CN"/>
        </w:rPr>
        <w:t>.</w:t>
      </w:r>
      <w:r>
        <w:rPr>
          <w:rFonts w:ascii="Book Antiqua" w:eastAsia="Book Antiqua" w:hAnsi="Book Antiqua" w:cs="Book Antiqua" w:hint="eastAsia"/>
          <w:lang w:eastAsia="zh-CN"/>
        </w:rPr>
        <w:t xml:space="preserve"> A</w:t>
      </w:r>
      <w:r>
        <w:rPr>
          <w:rFonts w:ascii="Book Antiqua" w:eastAsia="Book Antiqua" w:hAnsi="Book Antiqua" w:cs="Book Antiqua"/>
        </w:rPr>
        <w:t xml:space="preserve">: </w:t>
      </w:r>
      <w:r>
        <w:rPr>
          <w:rFonts w:ascii="Book Antiqua" w:eastAsia="宋体" w:hAnsi="Book Antiqua" w:cs="Book Antiqua" w:hint="eastAsia"/>
          <w:lang w:eastAsia="zh-CN"/>
        </w:rPr>
        <w:t>L</w:t>
      </w:r>
      <w:r>
        <w:rPr>
          <w:rFonts w:ascii="Book Antiqua" w:eastAsia="Book Antiqua" w:hAnsi="Book Antiqua" w:cs="Book Antiqua"/>
        </w:rPr>
        <w:t>esion in white light. There is a central depression with Paris classification IIc/IIa</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B</w:t>
      </w:r>
      <w:r>
        <w:rPr>
          <w:rFonts w:ascii="Book Antiqua" w:eastAsia="Book Antiqua" w:hAnsi="Book Antiqua" w:cs="Book Antiqua"/>
        </w:rPr>
        <w:t xml:space="preserve">: Vn type pit pattern corresponds to Narrow Band Imaging International Colorectal Endoscopic classification 3, Japan Narrow Band Imaging Expert Team classification 3 </w:t>
      </w:r>
      <w:r>
        <w:rPr>
          <w:rFonts w:ascii="Book Antiqua" w:eastAsia="宋体" w:hAnsi="Book Antiqua" w:cs="Book Antiqua" w:hint="eastAsia"/>
          <w:lang w:eastAsia="zh-CN"/>
        </w:rPr>
        <w:t>l</w:t>
      </w:r>
      <w:r>
        <w:rPr>
          <w:rFonts w:ascii="Book Antiqua" w:eastAsia="Book Antiqua" w:hAnsi="Book Antiqua" w:cs="Book Antiqua"/>
        </w:rPr>
        <w:t>esion.</w:t>
      </w:r>
    </w:p>
    <w:p w14:paraId="4ABBD2CE" w14:textId="77777777" w:rsidR="00037BDA" w:rsidRDefault="00037BDA">
      <w:pPr>
        <w:adjustRightInd w:val="0"/>
        <w:snapToGrid w:val="0"/>
        <w:spacing w:line="360" w:lineRule="auto"/>
        <w:jc w:val="both"/>
        <w:rPr>
          <w:rFonts w:ascii="Book Antiqua" w:eastAsia="Book Antiqua" w:hAnsi="Book Antiqua" w:cs="Book Antiqua"/>
        </w:rPr>
      </w:pPr>
    </w:p>
    <w:p w14:paraId="2292F8B6" w14:textId="77777777" w:rsidR="00037BDA" w:rsidRDefault="00000000">
      <w:pPr>
        <w:adjustRightInd w:val="0"/>
        <w:snapToGrid w:val="0"/>
        <w:spacing w:line="360" w:lineRule="auto"/>
        <w:jc w:val="both"/>
        <w:rPr>
          <w:rFonts w:ascii="Book Antiqua" w:eastAsia="Book Antiqua" w:hAnsi="Book Antiqua" w:cs="Book Antiqua"/>
        </w:rPr>
      </w:pPr>
      <w:r>
        <w:rPr>
          <w:noProof/>
          <w:lang w:eastAsia="zh-CN"/>
        </w:rPr>
        <w:drawing>
          <wp:inline distT="0" distB="0" distL="114300" distR="114300" wp14:anchorId="76BDA58C" wp14:editId="6484F247">
            <wp:extent cx="5941060" cy="196405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41060" cy="1964055"/>
                    </a:xfrm>
                    <a:prstGeom prst="rect">
                      <a:avLst/>
                    </a:prstGeom>
                    <a:noFill/>
                    <a:ln>
                      <a:noFill/>
                    </a:ln>
                  </pic:spPr>
                </pic:pic>
              </a:graphicData>
            </a:graphic>
          </wp:inline>
        </w:drawing>
      </w:r>
    </w:p>
    <w:p w14:paraId="7B5C29B7" w14:textId="77777777" w:rsidR="00037BDA"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宋体" w:hAnsi="Book Antiqua" w:cs="Book Antiqua" w:hint="eastAsia"/>
          <w:b/>
          <w:bCs/>
          <w:lang w:eastAsia="zh-CN"/>
        </w:rPr>
        <w:t xml:space="preserve"> </w:t>
      </w:r>
      <w:r>
        <w:rPr>
          <w:rFonts w:ascii="Book Antiqua" w:eastAsia="Book Antiqua" w:hAnsi="Book Antiqua" w:cs="Book Antiqua" w:hint="eastAsia"/>
          <w:b/>
          <w:bCs/>
        </w:rPr>
        <w:t>Lesion during dissection and after removal</w:t>
      </w:r>
      <w:r>
        <w:rPr>
          <w:rFonts w:ascii="Book Antiqua" w:eastAsia="宋体" w:hAnsi="Book Antiqua" w:cs="Book Antiqua" w:hint="eastAsia"/>
          <w:b/>
          <w:bCs/>
          <w:lang w:eastAsia="zh-CN"/>
        </w:rPr>
        <w:t>.</w:t>
      </w:r>
      <w:r>
        <w:rPr>
          <w:rFonts w:ascii="Book Antiqua" w:eastAsia="宋体" w:hAnsi="Book Antiqua" w:cs="Book Antiqua" w:hint="eastAsia"/>
          <w:lang w:eastAsia="zh-CN"/>
        </w:rPr>
        <w:t xml:space="preserve"> A:</w:t>
      </w:r>
      <w:r>
        <w:rPr>
          <w:rFonts w:ascii="Book Antiqua" w:eastAsia="Book Antiqua" w:hAnsi="Book Antiqua" w:cs="Book Antiqua"/>
        </w:rPr>
        <w:t xml:space="preserve"> </w:t>
      </w:r>
      <w:r>
        <w:rPr>
          <w:rFonts w:ascii="Book Antiqua" w:eastAsia="宋体" w:hAnsi="Book Antiqua" w:cs="Book Antiqua"/>
          <w:lang w:eastAsia="zh-CN"/>
        </w:rPr>
        <w:t>Significant</w:t>
      </w:r>
      <w:r>
        <w:rPr>
          <w:rFonts w:ascii="Book Antiqua" w:eastAsia="Book Antiqua" w:hAnsi="Book Antiqua" w:cs="Book Antiqua"/>
        </w:rPr>
        <w:t xml:space="preserve"> fibrosis encountered during </w:t>
      </w:r>
      <w:r>
        <w:rPr>
          <w:rFonts w:ascii="Book Antiqua" w:eastAsia="宋体" w:hAnsi="Book Antiqua" w:cs="Book Antiqua" w:hint="eastAsia"/>
          <w:lang w:eastAsia="zh-CN"/>
        </w:rPr>
        <w:t>e</w:t>
      </w:r>
      <w:r>
        <w:rPr>
          <w:rFonts w:ascii="Book Antiqua" w:eastAsia="Book Antiqua" w:hAnsi="Book Antiqua" w:cs="Book Antiqua"/>
        </w:rPr>
        <w:t xml:space="preserve">ndoscopic </w:t>
      </w:r>
      <w:r>
        <w:rPr>
          <w:rFonts w:ascii="Book Antiqua" w:eastAsia="宋体" w:hAnsi="Book Antiqua" w:cs="Book Antiqua" w:hint="eastAsia"/>
          <w:lang w:eastAsia="zh-CN"/>
        </w:rPr>
        <w:t>i</w:t>
      </w:r>
      <w:r>
        <w:rPr>
          <w:rFonts w:ascii="Book Antiqua" w:eastAsia="Book Antiqua" w:hAnsi="Book Antiqua" w:cs="Book Antiqua"/>
        </w:rPr>
        <w:t xml:space="preserve">ntermuscular </w:t>
      </w:r>
      <w:r>
        <w:rPr>
          <w:rFonts w:ascii="Book Antiqua" w:eastAsia="宋体" w:hAnsi="Book Antiqua" w:cs="Book Antiqua" w:hint="eastAsia"/>
          <w:lang w:eastAsia="zh-CN"/>
        </w:rPr>
        <w:t>d</w:t>
      </w:r>
      <w:r>
        <w:rPr>
          <w:rFonts w:ascii="Book Antiqua" w:eastAsia="Book Antiqua" w:hAnsi="Book Antiqua" w:cs="Book Antiqua"/>
        </w:rPr>
        <w:t>issection</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 xml:space="preserve">B: </w:t>
      </w:r>
      <w:r>
        <w:rPr>
          <w:rFonts w:ascii="Book Antiqua" w:eastAsia="Book Antiqua" w:hAnsi="Book Antiqua" w:cs="Book Antiqua"/>
        </w:rPr>
        <w:t>After dissecting the fibrotic area, the inner muscle layer was dissected, keeping the outer longitudinal layer intact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 xml:space="preserve">C: </w:t>
      </w:r>
      <w:r>
        <w:rPr>
          <w:rFonts w:ascii="Book Antiqua" w:eastAsia="Book Antiqua" w:hAnsi="Book Antiqua" w:cs="Book Antiqua"/>
        </w:rPr>
        <w:t>The tumour was released from the muscle layer and pinned on the cork board and submitted for histological analysis.</w:t>
      </w:r>
    </w:p>
    <w:p w14:paraId="19B95C40" w14:textId="77777777" w:rsidR="00037BDA" w:rsidRDefault="00000000">
      <w:pPr>
        <w:adjustRightInd w:val="0"/>
        <w:snapToGrid w:val="0"/>
        <w:spacing w:line="360" w:lineRule="auto"/>
        <w:jc w:val="both"/>
      </w:pPr>
      <w:r>
        <w:rPr>
          <w:noProof/>
          <w:lang w:eastAsia="zh-CN"/>
        </w:rPr>
        <w:lastRenderedPageBreak/>
        <w:drawing>
          <wp:inline distT="0" distB="0" distL="114300" distR="114300" wp14:anchorId="5B4F88E6" wp14:editId="1543CA1B">
            <wp:extent cx="5372100" cy="315468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372100" cy="3154680"/>
                    </a:xfrm>
                    <a:prstGeom prst="rect">
                      <a:avLst/>
                    </a:prstGeom>
                    <a:noFill/>
                    <a:ln>
                      <a:noFill/>
                    </a:ln>
                  </pic:spPr>
                </pic:pic>
              </a:graphicData>
            </a:graphic>
          </wp:inline>
        </w:drawing>
      </w:r>
    </w:p>
    <w:p w14:paraId="7714C602" w14:textId="77777777" w:rsidR="00037BDA" w:rsidRDefault="00000000">
      <w:pPr>
        <w:adjustRightInd w:val="0"/>
        <w:snapToGrid w:val="0"/>
        <w:spacing w:line="360" w:lineRule="auto"/>
        <w:jc w:val="both"/>
      </w:pPr>
      <w:r>
        <w:rPr>
          <w:noProof/>
          <w:lang w:eastAsia="zh-CN"/>
        </w:rPr>
        <w:drawing>
          <wp:inline distT="0" distB="0" distL="114300" distR="114300" wp14:anchorId="64AD2C86" wp14:editId="6291EBCA">
            <wp:extent cx="5394960" cy="3345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394960" cy="3345180"/>
                    </a:xfrm>
                    <a:prstGeom prst="rect">
                      <a:avLst/>
                    </a:prstGeom>
                    <a:noFill/>
                    <a:ln>
                      <a:noFill/>
                    </a:ln>
                  </pic:spPr>
                </pic:pic>
              </a:graphicData>
            </a:graphic>
          </wp:inline>
        </w:drawing>
      </w:r>
    </w:p>
    <w:p w14:paraId="72FD34DB" w14:textId="77777777" w:rsidR="00037BDA"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Figure 3</w:t>
      </w:r>
      <w:r>
        <w:rPr>
          <w:rFonts w:ascii="Book Antiqua" w:eastAsia="宋体" w:hAnsi="Book Antiqua" w:cs="Book Antiqua" w:hint="eastAsia"/>
          <w:b/>
          <w:bCs/>
          <w:lang w:eastAsia="zh-CN"/>
        </w:rPr>
        <w:t xml:space="preserve"> </w:t>
      </w:r>
      <w:r>
        <w:rPr>
          <w:rFonts w:ascii="Book Antiqua" w:eastAsia="Book Antiqua" w:hAnsi="Book Antiqua" w:cs="Book Antiqua" w:hint="eastAsia"/>
          <w:b/>
          <w:bCs/>
        </w:rPr>
        <w:t>Pathological analysis of the lesion</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A</w:t>
      </w:r>
      <w:r>
        <w:rPr>
          <w:rFonts w:ascii="Book Antiqua" w:eastAsia="Book Antiqua" w:hAnsi="Book Antiqua" w:cs="Book Antiqua"/>
        </w:rPr>
        <w:t>: Endoscopic intermuscular dissection specimen, including muscularis propria. A low-grade adenocarcinoma invading into the muscularis propria as shown at the inked deep margin (at least pT2)</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B:</w:t>
      </w:r>
      <w:r>
        <w:rPr>
          <w:rFonts w:ascii="Book Antiqua" w:eastAsia="Book Antiqua" w:hAnsi="Book Antiqua" w:cs="Book Antiqua"/>
        </w:rPr>
        <w:t xml:space="preserve"> </w:t>
      </w:r>
      <w:r>
        <w:rPr>
          <w:rFonts w:ascii="Book Antiqua" w:eastAsia="宋体" w:hAnsi="Book Antiqua" w:cs="Book Antiqua" w:hint="eastAsia"/>
          <w:lang w:eastAsia="zh-CN"/>
        </w:rPr>
        <w:t>E</w:t>
      </w:r>
      <w:r>
        <w:rPr>
          <w:rFonts w:ascii="Book Antiqua" w:eastAsia="Book Antiqua" w:hAnsi="Book Antiqua" w:cs="Book Antiqua"/>
        </w:rPr>
        <w:t>nlarged image of tumour invasion into muscularis propria.</w:t>
      </w:r>
    </w:p>
    <w:sectPr w:rsidR="00037B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F2F8B" w14:textId="77777777" w:rsidR="00DC2608" w:rsidRDefault="00DC2608">
      <w:r>
        <w:separator/>
      </w:r>
    </w:p>
  </w:endnote>
  <w:endnote w:type="continuationSeparator" w:id="0">
    <w:p w14:paraId="41A74C39" w14:textId="77777777" w:rsidR="00DC2608" w:rsidRDefault="00DC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1784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B5BE9C6" w14:textId="77777777" w:rsidR="00037BD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15</w:t>
            </w:r>
            <w:r>
              <w:rPr>
                <w:rFonts w:ascii="Book Antiqua" w:hAnsi="Book Antiqua"/>
                <w:bCs/>
                <w:sz w:val="24"/>
                <w:szCs w:val="24"/>
              </w:rPr>
              <w:fldChar w:fldCharType="end"/>
            </w:r>
          </w:p>
        </w:sdtContent>
      </w:sdt>
    </w:sdtContent>
  </w:sdt>
  <w:p w14:paraId="00242A40" w14:textId="77777777" w:rsidR="00037BDA" w:rsidRDefault="00037B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55D28" w14:textId="77777777" w:rsidR="00DC2608" w:rsidRDefault="00DC2608">
      <w:r>
        <w:separator/>
      </w:r>
    </w:p>
  </w:footnote>
  <w:footnote w:type="continuationSeparator" w:id="0">
    <w:p w14:paraId="55CD7DBC" w14:textId="77777777" w:rsidR="00DC2608" w:rsidRDefault="00DC26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37BDA"/>
    <w:rsid w:val="003A30E8"/>
    <w:rsid w:val="003F429A"/>
    <w:rsid w:val="006B7106"/>
    <w:rsid w:val="0078015F"/>
    <w:rsid w:val="007D4AAB"/>
    <w:rsid w:val="00A77B3E"/>
    <w:rsid w:val="00B90C0F"/>
    <w:rsid w:val="00B90C53"/>
    <w:rsid w:val="00CA2A55"/>
    <w:rsid w:val="00D0070E"/>
    <w:rsid w:val="00D15C6C"/>
    <w:rsid w:val="00D3736F"/>
    <w:rsid w:val="00DC2608"/>
    <w:rsid w:val="00E949B5"/>
    <w:rsid w:val="00F52A8D"/>
    <w:rsid w:val="00FE5CA2"/>
    <w:rsid w:val="011473B7"/>
    <w:rsid w:val="031F3DF1"/>
    <w:rsid w:val="04D74871"/>
    <w:rsid w:val="051E0804"/>
    <w:rsid w:val="05BB6053"/>
    <w:rsid w:val="05F477B7"/>
    <w:rsid w:val="066E1317"/>
    <w:rsid w:val="06D05B2E"/>
    <w:rsid w:val="074E2EF7"/>
    <w:rsid w:val="076B3AA9"/>
    <w:rsid w:val="0790350F"/>
    <w:rsid w:val="097F55EA"/>
    <w:rsid w:val="0A6C3DC0"/>
    <w:rsid w:val="0B0C7351"/>
    <w:rsid w:val="0C3C77C2"/>
    <w:rsid w:val="0CF62067"/>
    <w:rsid w:val="0D4E59FF"/>
    <w:rsid w:val="0DA970D9"/>
    <w:rsid w:val="0E320E7D"/>
    <w:rsid w:val="102E1B18"/>
    <w:rsid w:val="1131366D"/>
    <w:rsid w:val="12176D07"/>
    <w:rsid w:val="12843C71"/>
    <w:rsid w:val="12957C2C"/>
    <w:rsid w:val="12CD1ABC"/>
    <w:rsid w:val="140E413A"/>
    <w:rsid w:val="14681A9C"/>
    <w:rsid w:val="149F2FE4"/>
    <w:rsid w:val="152359C3"/>
    <w:rsid w:val="15535B76"/>
    <w:rsid w:val="16B20DAC"/>
    <w:rsid w:val="16B9038D"/>
    <w:rsid w:val="178D5376"/>
    <w:rsid w:val="18574301"/>
    <w:rsid w:val="193E101D"/>
    <w:rsid w:val="19597C05"/>
    <w:rsid w:val="197B5DCD"/>
    <w:rsid w:val="1A310B82"/>
    <w:rsid w:val="1A701A29"/>
    <w:rsid w:val="1ACF215C"/>
    <w:rsid w:val="1ADA2FC8"/>
    <w:rsid w:val="1C7134B8"/>
    <w:rsid w:val="1C9C6787"/>
    <w:rsid w:val="1CE7377A"/>
    <w:rsid w:val="1D44297A"/>
    <w:rsid w:val="1D790876"/>
    <w:rsid w:val="1EAF02C7"/>
    <w:rsid w:val="1FBC0EEE"/>
    <w:rsid w:val="1FCD6C57"/>
    <w:rsid w:val="20036B1D"/>
    <w:rsid w:val="200A3A07"/>
    <w:rsid w:val="200F101E"/>
    <w:rsid w:val="20605D1D"/>
    <w:rsid w:val="20E97AC1"/>
    <w:rsid w:val="213056EF"/>
    <w:rsid w:val="213F1DD6"/>
    <w:rsid w:val="216058A9"/>
    <w:rsid w:val="21AD6D40"/>
    <w:rsid w:val="21DF2C72"/>
    <w:rsid w:val="221B63A0"/>
    <w:rsid w:val="22266AF2"/>
    <w:rsid w:val="233D0598"/>
    <w:rsid w:val="235A6A54"/>
    <w:rsid w:val="23E9602A"/>
    <w:rsid w:val="244F2331"/>
    <w:rsid w:val="246B4C91"/>
    <w:rsid w:val="25007ACF"/>
    <w:rsid w:val="25893620"/>
    <w:rsid w:val="261E645E"/>
    <w:rsid w:val="26492DAF"/>
    <w:rsid w:val="271B474C"/>
    <w:rsid w:val="275163C0"/>
    <w:rsid w:val="27F21951"/>
    <w:rsid w:val="28CB3F50"/>
    <w:rsid w:val="28FE60D3"/>
    <w:rsid w:val="29A053DC"/>
    <w:rsid w:val="2AA333D6"/>
    <w:rsid w:val="2ACB46DB"/>
    <w:rsid w:val="2B0025D7"/>
    <w:rsid w:val="2B083239"/>
    <w:rsid w:val="2C9C1E8B"/>
    <w:rsid w:val="2D300825"/>
    <w:rsid w:val="2D55028C"/>
    <w:rsid w:val="2D8E211C"/>
    <w:rsid w:val="2DB256DE"/>
    <w:rsid w:val="2DD90EBD"/>
    <w:rsid w:val="2E7251CA"/>
    <w:rsid w:val="2EBA2A9C"/>
    <w:rsid w:val="2ED2428A"/>
    <w:rsid w:val="2F2443BA"/>
    <w:rsid w:val="2F963509"/>
    <w:rsid w:val="2FDE6C5E"/>
    <w:rsid w:val="30D37E45"/>
    <w:rsid w:val="31FC517A"/>
    <w:rsid w:val="33437504"/>
    <w:rsid w:val="34142C4F"/>
    <w:rsid w:val="3434509F"/>
    <w:rsid w:val="34D462F3"/>
    <w:rsid w:val="3523534B"/>
    <w:rsid w:val="35A65B28"/>
    <w:rsid w:val="3619454C"/>
    <w:rsid w:val="36FF7BE6"/>
    <w:rsid w:val="370A0339"/>
    <w:rsid w:val="37D72911"/>
    <w:rsid w:val="37FC5ED4"/>
    <w:rsid w:val="38170F5F"/>
    <w:rsid w:val="382611A3"/>
    <w:rsid w:val="39294C83"/>
    <w:rsid w:val="39E11825"/>
    <w:rsid w:val="3A3A0F35"/>
    <w:rsid w:val="3B201ED9"/>
    <w:rsid w:val="3B3D2A8B"/>
    <w:rsid w:val="3BED5A28"/>
    <w:rsid w:val="3CAF79B9"/>
    <w:rsid w:val="3D3B124C"/>
    <w:rsid w:val="3DD0408A"/>
    <w:rsid w:val="3E0B50C2"/>
    <w:rsid w:val="3E110AD0"/>
    <w:rsid w:val="3F732F1F"/>
    <w:rsid w:val="3FC1012F"/>
    <w:rsid w:val="4001677D"/>
    <w:rsid w:val="405F5252"/>
    <w:rsid w:val="41270465"/>
    <w:rsid w:val="414F52C6"/>
    <w:rsid w:val="41B17D2F"/>
    <w:rsid w:val="42755200"/>
    <w:rsid w:val="42E3216A"/>
    <w:rsid w:val="42FE51F6"/>
    <w:rsid w:val="430A3B9B"/>
    <w:rsid w:val="43D877F5"/>
    <w:rsid w:val="452B429C"/>
    <w:rsid w:val="46236D21"/>
    <w:rsid w:val="46445615"/>
    <w:rsid w:val="47637D1D"/>
    <w:rsid w:val="48E7672C"/>
    <w:rsid w:val="492D2391"/>
    <w:rsid w:val="49F42EAF"/>
    <w:rsid w:val="4BE551A5"/>
    <w:rsid w:val="4C60482B"/>
    <w:rsid w:val="4C650094"/>
    <w:rsid w:val="4CF60CEC"/>
    <w:rsid w:val="4D671BE9"/>
    <w:rsid w:val="4D7A191D"/>
    <w:rsid w:val="4D7A36CB"/>
    <w:rsid w:val="4DCD7C9F"/>
    <w:rsid w:val="4E372EB3"/>
    <w:rsid w:val="4EE74D90"/>
    <w:rsid w:val="4F376B26"/>
    <w:rsid w:val="50F419E6"/>
    <w:rsid w:val="52854FEC"/>
    <w:rsid w:val="534327B1"/>
    <w:rsid w:val="53591FD4"/>
    <w:rsid w:val="54102FDB"/>
    <w:rsid w:val="5429409D"/>
    <w:rsid w:val="54501629"/>
    <w:rsid w:val="55006BAB"/>
    <w:rsid w:val="55C37BD9"/>
    <w:rsid w:val="565076BF"/>
    <w:rsid w:val="565D3B8A"/>
    <w:rsid w:val="569A6B8C"/>
    <w:rsid w:val="5717642E"/>
    <w:rsid w:val="57911D3D"/>
    <w:rsid w:val="58A261CC"/>
    <w:rsid w:val="594554D5"/>
    <w:rsid w:val="59BE0DE3"/>
    <w:rsid w:val="5A955FE8"/>
    <w:rsid w:val="5A9D30EE"/>
    <w:rsid w:val="5B3E21DC"/>
    <w:rsid w:val="5B70610D"/>
    <w:rsid w:val="5B7756EE"/>
    <w:rsid w:val="5B962018"/>
    <w:rsid w:val="5B9B13DC"/>
    <w:rsid w:val="5C164F06"/>
    <w:rsid w:val="5C806824"/>
    <w:rsid w:val="5D080CF3"/>
    <w:rsid w:val="5D1A6C78"/>
    <w:rsid w:val="5D573A29"/>
    <w:rsid w:val="5DED7EE9"/>
    <w:rsid w:val="5E0F60B1"/>
    <w:rsid w:val="5E174F66"/>
    <w:rsid w:val="5E9367AF"/>
    <w:rsid w:val="5EE412EC"/>
    <w:rsid w:val="5F1C2834"/>
    <w:rsid w:val="5F812FDF"/>
    <w:rsid w:val="60B13450"/>
    <w:rsid w:val="61023CAB"/>
    <w:rsid w:val="614147D4"/>
    <w:rsid w:val="61840B64"/>
    <w:rsid w:val="61EA6C19"/>
    <w:rsid w:val="620677CB"/>
    <w:rsid w:val="62465E1A"/>
    <w:rsid w:val="62854B94"/>
    <w:rsid w:val="62AA0157"/>
    <w:rsid w:val="63C45248"/>
    <w:rsid w:val="643A375C"/>
    <w:rsid w:val="645111D2"/>
    <w:rsid w:val="64744EC0"/>
    <w:rsid w:val="64B67287"/>
    <w:rsid w:val="64C66D2B"/>
    <w:rsid w:val="64C858B0"/>
    <w:rsid w:val="650A5824"/>
    <w:rsid w:val="65A73073"/>
    <w:rsid w:val="65BE2AA5"/>
    <w:rsid w:val="6692162D"/>
    <w:rsid w:val="674F5770"/>
    <w:rsid w:val="67515045"/>
    <w:rsid w:val="685F3791"/>
    <w:rsid w:val="6897117D"/>
    <w:rsid w:val="697D0373"/>
    <w:rsid w:val="69DF4B8A"/>
    <w:rsid w:val="69E748B9"/>
    <w:rsid w:val="6A3C1FDC"/>
    <w:rsid w:val="6A3F7D1E"/>
    <w:rsid w:val="6A521800"/>
    <w:rsid w:val="6A5A06B4"/>
    <w:rsid w:val="6A8D2838"/>
    <w:rsid w:val="6D317DF2"/>
    <w:rsid w:val="6D321474"/>
    <w:rsid w:val="6D5B6C1D"/>
    <w:rsid w:val="6D8223FC"/>
    <w:rsid w:val="6E296D1B"/>
    <w:rsid w:val="6EDD18B4"/>
    <w:rsid w:val="6FC0720B"/>
    <w:rsid w:val="6FFF1655"/>
    <w:rsid w:val="70645DE9"/>
    <w:rsid w:val="709366CE"/>
    <w:rsid w:val="70C94DEE"/>
    <w:rsid w:val="720D24B0"/>
    <w:rsid w:val="72CB03A1"/>
    <w:rsid w:val="73EF00BF"/>
    <w:rsid w:val="740610E5"/>
    <w:rsid w:val="743401C8"/>
    <w:rsid w:val="747E1443"/>
    <w:rsid w:val="759C6025"/>
    <w:rsid w:val="75B570E6"/>
    <w:rsid w:val="75FC4D15"/>
    <w:rsid w:val="761756AB"/>
    <w:rsid w:val="76FD6F97"/>
    <w:rsid w:val="78850FF2"/>
    <w:rsid w:val="78B2790D"/>
    <w:rsid w:val="78C95383"/>
    <w:rsid w:val="78F35E85"/>
    <w:rsid w:val="7AA339B1"/>
    <w:rsid w:val="7ADB75EF"/>
    <w:rsid w:val="7C3074C7"/>
    <w:rsid w:val="7C647170"/>
    <w:rsid w:val="7C790E6E"/>
    <w:rsid w:val="7CA26617"/>
    <w:rsid w:val="7CB225D2"/>
    <w:rsid w:val="7D16490F"/>
    <w:rsid w:val="7D5176F5"/>
    <w:rsid w:val="7F17496E"/>
    <w:rsid w:val="7F80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F1F62C"/>
  <w15:docId w15:val="{59A46D81-EE64-4E65-A4CA-25A983E8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character" w:styleId="ab">
    <w:name w:val="annotation reference"/>
    <w:basedOn w:val="a0"/>
    <w:qFormat/>
    <w:rPr>
      <w:sz w:val="16"/>
      <w:szCs w:val="16"/>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a">
    <w:name w:val="批注主题 字符"/>
    <w:basedOn w:val="a4"/>
    <w:link w:val="a9"/>
    <w:qFormat/>
    <w:rPr>
      <w:rFonts w:eastAsia="Times New Roman"/>
      <w:b/>
      <w:bCs/>
      <w:sz w:val="24"/>
      <w:szCs w:val="24"/>
      <w:lang w:val="en-US" w:eastAsia="en-US"/>
    </w:rPr>
  </w:style>
  <w:style w:type="paragraph" w:styleId="ac">
    <w:name w:val="Revision"/>
    <w:hidden/>
    <w:uiPriority w:val="99"/>
    <w:unhideWhenUsed/>
    <w:rsid w:val="00B90C5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3299</Words>
  <Characters>18807</Characters>
  <Application>Microsoft Office Word</Application>
  <DocSecurity>0</DocSecurity>
  <Lines>156</Lines>
  <Paragraphs>44</Paragraphs>
  <ScaleCrop>false</ScaleCrop>
  <Company>HP</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10</cp:revision>
  <dcterms:created xsi:type="dcterms:W3CDTF">2023-11-13T10:35:00Z</dcterms:created>
  <dcterms:modified xsi:type="dcterms:W3CDTF">2023-11-21T07:36:00Z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9C79FDBEF0B344268569357A0DCE90F7_12</vt:lpwstr>
  </property>
</Properties>
</file>