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Stem Cells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89244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Basic Study</w:t>
      </w:r>
    </w:p>
    <w:p>
      <w:pPr>
        <w:spacing w:line="360" w:lineRule="auto"/>
        <w:jc w:val="both"/>
        <w:rPr>
          <w:rFonts w:ascii="Book Antiqua" w:hAnsi="Book Antiqua"/>
        </w:rPr>
      </w:pPr>
      <w:bookmarkStart w:id="0" w:name="_Hlk157845863"/>
      <w:r>
        <w:rPr>
          <w:rFonts w:ascii="Book Antiqua" w:hAnsi="Book Antiqua" w:eastAsia="Book Antiqua" w:cs="Book Antiqua"/>
          <w:b/>
          <w:bCs/>
          <w:color w:val="000000"/>
        </w:rPr>
        <w:t xml:space="preserve">Low-intensity pulsed ultrasound reduces alveolar bone resorption during orthodontic treatment </w:t>
      </w:r>
      <w:r>
        <w:rPr>
          <w:rFonts w:ascii="Book Antiqua" w:hAnsi="Book Antiqua" w:eastAsia="Book Antiqua" w:cs="Book Antiqua"/>
          <w:b/>
          <w:bCs/>
          <w:i/>
          <w:iCs/>
          <w:color w:val="000000"/>
        </w:rPr>
        <w:t>via</w:t>
      </w:r>
      <w:r>
        <w:rPr>
          <w:rFonts w:ascii="Book Antiqua" w:hAnsi="Book Antiqua" w:eastAsia="Book Antiqua" w:cs="Book Antiqua"/>
          <w:b/>
          <w:bCs/>
          <w:color w:val="000000"/>
        </w:rPr>
        <w:t xml:space="preserve"> Lamin A/C-</w:t>
      </w:r>
      <w:r>
        <w:rPr>
          <w:rFonts w:hint="eastAsia" w:ascii="Book Antiqua" w:hAnsi="Book Antiqua" w:eastAsia="宋体" w:cs="Book Antiqua"/>
          <w:b/>
          <w:bCs/>
          <w:color w:val="000000"/>
          <w:lang w:eastAsia="zh-CN"/>
        </w:rPr>
        <w:t>Y</w:t>
      </w:r>
      <w:r>
        <w:rPr>
          <w:rFonts w:ascii="Book Antiqua" w:hAnsi="Book Antiqua" w:eastAsia="Book Antiqua" w:cs="Book Antiqua"/>
          <w:b/>
          <w:bCs/>
          <w:color w:val="000000"/>
        </w:rPr>
        <w:t>es-associated protein axis in stem cells</w:t>
      </w:r>
      <w:bookmarkEnd w:id="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Wu T</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LIPUS reduces bone resorption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Tong Wu, Fu Zheng, Hong-Yi Tang, Hua-Zhi Li, Xin-Yu Cui, Shuai Ding, Duo Liu, Cui-Ying Li, Jiu-Hui Jiang, Rui-Li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Tong Wu, Fu Zheng, Hong-Yi Tang, Hua-Zhi Li, Xin-Yu Cui, Shuai Ding, Duo Liu, Jiu-Hui Jiang, Rui-Li Yang, </w:t>
      </w:r>
      <w:r>
        <w:rPr>
          <w:rFonts w:ascii="Book Antiqua" w:hAnsi="Book Antiqua" w:eastAsia="Book Antiqua" w:cs="Book Antiqua"/>
          <w:color w:val="000000"/>
        </w:rPr>
        <w:t>Department of Orthodontics, Peking University School and Hospital of Stomatology, National Engineering Laboratory for Digital and Material Technology of Stomatology, Beijing Key Laboratory of Digital Stomatology, Beijing 100081,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Cui-Ying Li, </w:t>
      </w:r>
      <w:r>
        <w:rPr>
          <w:rFonts w:ascii="Book Antiqua" w:hAnsi="Book Antiqua" w:eastAsia="Book Antiqua" w:cs="Book Antiqua"/>
          <w:color w:val="000000"/>
        </w:rPr>
        <w:t>Department of Central Laboratory, Peking University School and Hospital of Stomatology, National Clinical Research Center for Oral Diseases &amp; National Engineering Laboratory for Digital and Material Technology of Stomatology, Beijing Key Laboratory of Digital Stomatology, Beijing 100081,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Tong Wu and Fu Zheng.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Co-corresponding authors: </w:t>
      </w:r>
      <w:r>
        <w:rPr>
          <w:rFonts w:ascii="Book Antiqua" w:hAnsi="Book Antiqua" w:eastAsia="Book Antiqua" w:cs="Book Antiqua"/>
          <w:color w:val="000000"/>
        </w:rPr>
        <w:t>Jiu-Hui Jiang and Rui-Li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 CY, Jiang JH, and Yang RL were responsible for the study design and conduction; Jiang JH and Yang RL made equal contributions to the determination of study directions and the design of experimental methods,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they are the co-corresponding author</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of this </w:t>
      </w:r>
      <w:r>
        <w:rPr>
          <w:rFonts w:hint="eastAsia" w:ascii="Book Antiqua" w:hAnsi="Book Antiqua" w:eastAsia="宋体" w:cs="Book Antiqua"/>
          <w:color w:val="000000"/>
          <w:lang w:eastAsia="zh-CN"/>
        </w:rPr>
        <w:t>paper</w:t>
      </w:r>
      <w:r>
        <w:rPr>
          <w:rFonts w:ascii="Book Antiqua" w:hAnsi="Book Antiqua" w:eastAsia="Book Antiqua" w:cs="Book Antiqua"/>
          <w:color w:val="000000"/>
        </w:rPr>
        <w:t>; Wu T and Zheng F contributed to the experimental implementation, data analysis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manuscript writing equally; Tang HY, Li HZ, Cui XY, Ding S, and Liu D participated in some of the experiments; all authors approved the final version for submission.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Science and Technology Major Project of the Ministry of Science and Technology of China, No. 2022YFA1105800; the National Natural Science Foundation of China, No. 81970940</w:t>
      </w:r>
      <w:bookmarkStart w:id="1" w:name="_Hlk157024122"/>
      <w:r>
        <w:rPr>
          <w:rFonts w:ascii="Book Antiqua" w:hAnsi="Book Antiqua" w:eastAsia="Book Antiqua" w:cs="Book Antiqua"/>
          <w:color w:val="000000"/>
        </w:rPr>
        <w:t>.</w:t>
      </w:r>
      <w:bookmarkEnd w:id="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Rui-Li Yang, PhD, Professor, </w:t>
      </w:r>
      <w:r>
        <w:rPr>
          <w:rFonts w:ascii="Book Antiqua" w:hAnsi="Book Antiqua" w:eastAsia="Book Antiqua" w:cs="Book Antiqua"/>
          <w:color w:val="000000"/>
        </w:rPr>
        <w:t>Department of Orthodontics, Peking University School and Hospital of Stomatology, National Engineering Laboratory for Digital and Material Technology of Stomatology, Beijing Key Laboratory of Digital Stomatology, No. 22 Zhongguancun South Avenue, Beijing 100081, China. ruiliyangabc@163.com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26,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30, 2023</w:t>
      </w:r>
    </w:p>
    <w:p>
      <w:pPr>
        <w:spacing w:line="360" w:lineRule="auto"/>
        <w:rPr>
          <w:rFonts w:ascii="Book Antiqua" w:hAnsi="Book Antiqua"/>
        </w:rPr>
      </w:pPr>
      <w:r>
        <w:rPr>
          <w:rFonts w:ascii="Book Antiqua" w:hAnsi="Book Antiqua" w:eastAsia="Book Antiqua" w:cs="Book Antiqua"/>
          <w:b/>
          <w:bCs/>
        </w:rPr>
        <w:t xml:space="preserve">Accepted: </w:t>
      </w:r>
      <w:bookmarkStart w:id="2" w:name="OLE_LINK1322"/>
      <w:bookmarkStart w:id="3" w:name="OLE_LINK1319"/>
      <w:bookmarkStart w:id="4" w:name="OLE_LINK3"/>
      <w:bookmarkStart w:id="5" w:name="OLE_LINK7234"/>
      <w:bookmarkStart w:id="6" w:name="OLE_LINK1262"/>
      <w:bookmarkStart w:id="7" w:name="OLE_LINK1305"/>
      <w:bookmarkStart w:id="8" w:name="OLE_LINK1352"/>
      <w:bookmarkStart w:id="9" w:name="OLE_LINK7229"/>
      <w:bookmarkStart w:id="10" w:name="OLE_LINK7244"/>
      <w:bookmarkStart w:id="11" w:name="OLE_LINK1301"/>
      <w:bookmarkStart w:id="12" w:name="OLE_LINK1251"/>
      <w:bookmarkStart w:id="13" w:name="OLE_LINK1276"/>
      <w:bookmarkStart w:id="14" w:name="OLE_LINK1297"/>
      <w:bookmarkStart w:id="15" w:name="OLE_LINK1292"/>
      <w:bookmarkStart w:id="16" w:name="OLE_LINK7224"/>
      <w:bookmarkStart w:id="17" w:name="OLE_LINK1237"/>
      <w:bookmarkStart w:id="18" w:name="OLE_LINK1225"/>
      <w:bookmarkStart w:id="19" w:name="OLE_LINK23"/>
      <w:bookmarkStart w:id="20" w:name="OLE_LINK1244"/>
      <w:bookmarkStart w:id="21" w:name="OLE_LINK7241"/>
      <w:bookmarkStart w:id="22" w:name="OLE_LINK1250"/>
      <w:bookmarkStart w:id="23" w:name="OLE_LINK15"/>
      <w:bookmarkStart w:id="24" w:name="OLE_LINK1312"/>
      <w:bookmarkStart w:id="25" w:name="OLE_LINK1273"/>
      <w:bookmarkStart w:id="26" w:name="OLE_LINK1283"/>
      <w:bookmarkStart w:id="27" w:name="OLE_LINK1256"/>
      <w:bookmarkStart w:id="28" w:name="OLE_LINK7274"/>
      <w:bookmarkStart w:id="29" w:name="OLE_LINK7300"/>
      <w:bookmarkStart w:id="30" w:name="OLE_LINK7305"/>
      <w:bookmarkStart w:id="31" w:name="OLE_LINK7682"/>
      <w:bookmarkStart w:id="32" w:name="OLE_LINK7630"/>
      <w:bookmarkStart w:id="33" w:name="OLE_LINK7288"/>
      <w:bookmarkStart w:id="34" w:name="OLE_LINK7268"/>
      <w:bookmarkStart w:id="35" w:name="OLE_LINK7279"/>
      <w:bookmarkStart w:id="36" w:name="OLE_LINK7259"/>
      <w:bookmarkStart w:id="37" w:name="OLE_LINK7301"/>
      <w:bookmarkStart w:id="38" w:name="OLE_LINK7666"/>
      <w:bookmarkStart w:id="39" w:name="OLE_LINK7670"/>
      <w:bookmarkStart w:id="40" w:name="OLE_LINK7623"/>
      <w:bookmarkStart w:id="41" w:name="OLE_LINK7264"/>
      <w:bookmarkStart w:id="42" w:name="OLE_LINK7295"/>
      <w:bookmarkStart w:id="43" w:name="OLE_LINK7290"/>
      <w:bookmarkStart w:id="44" w:name="OLE_LINK7675"/>
      <w:bookmarkStart w:id="45" w:name="OLE_LINK7308"/>
      <w:bookmarkStart w:id="46" w:name="OLE_LINK7681"/>
      <w:bookmarkStart w:id="47" w:name="OLE_LINK7650"/>
      <w:bookmarkStart w:id="48" w:name="OLE_LINK7800"/>
      <w:bookmarkStart w:id="49" w:name="OLE_LINK7761"/>
      <w:bookmarkStart w:id="50" w:name="OLE_LINK7254"/>
      <w:bookmarkStart w:id="51" w:name="OLE_LINK7791"/>
      <w:bookmarkStart w:id="52" w:name="OLE_LINK7810"/>
      <w:bookmarkStart w:id="53" w:name="OLE_LINK7654"/>
      <w:bookmarkStart w:id="54" w:name="OLE_LINK7644"/>
      <w:bookmarkStart w:id="55" w:name="OLE_LINK7794"/>
      <w:bookmarkStart w:id="56" w:name="OLE_LINK7815"/>
      <w:bookmarkStart w:id="57" w:name="OLE_LINK7639"/>
      <w:bookmarkStart w:id="58" w:name="OLE_LINK7724"/>
      <w:bookmarkStart w:id="59" w:name="OLE_LINK7618"/>
      <w:bookmarkStart w:id="60" w:name="OLE_LINK7744"/>
      <w:bookmarkStart w:id="61" w:name="OLE_LINK7302"/>
      <w:bookmarkStart w:id="62" w:name="OLE_LINK7811"/>
      <w:bookmarkStart w:id="63" w:name="OLE_LINK7700"/>
      <w:bookmarkStart w:id="64" w:name="OLE_LINK7753"/>
      <w:bookmarkStart w:id="65" w:name="OLE_LINK7238"/>
      <w:bookmarkStart w:id="66" w:name="OLE_LINK7765"/>
      <w:bookmarkStart w:id="67" w:name="OLE_LINK7245"/>
      <w:bookmarkStart w:id="68" w:name="OLE_LINK7803"/>
      <w:bookmarkStart w:id="69" w:name="OLE_LINK7806"/>
      <w:bookmarkStart w:id="70" w:name="OLE_LINK7769"/>
      <w:bookmarkStart w:id="71" w:name="OLE_LINK7403"/>
      <w:bookmarkStart w:id="72" w:name="OLE_LINK7788"/>
      <w:bookmarkStart w:id="73" w:name="OLE_LINK7727"/>
      <w:bookmarkStart w:id="74" w:name="OLE_LINK7426"/>
      <w:bookmarkStart w:id="75" w:name="OLE_LINK7775"/>
      <w:bookmarkStart w:id="76" w:name="OLE_LINK7785"/>
      <w:bookmarkStart w:id="77" w:name="OLE_LINK7526"/>
      <w:bookmarkStart w:id="78" w:name="OLE_LINK7693"/>
      <w:bookmarkStart w:id="79" w:name="OLE_LINK7688"/>
      <w:bookmarkStart w:id="80" w:name="OLE_LINK7772"/>
      <w:bookmarkStart w:id="81" w:name="OLE_LINK7779"/>
      <w:bookmarkStart w:id="82" w:name="OLE_LINK7260"/>
      <w:bookmarkStart w:id="83" w:name="OLE_LINK7523"/>
      <w:bookmarkStart w:id="84" w:name="OLE_LINK7533"/>
      <w:bookmarkStart w:id="85" w:name="OLE_LINK7307"/>
      <w:bookmarkStart w:id="86" w:name="OLE_LINK7440"/>
      <w:bookmarkStart w:id="87" w:name="OLE_LINK7538"/>
      <w:bookmarkStart w:id="88" w:name="OLE_LINK7534"/>
      <w:bookmarkStart w:id="89" w:name="OLE_LINK7732"/>
      <w:bookmarkStart w:id="90" w:name="OLE_LINK7432"/>
      <w:bookmarkStart w:id="91" w:name="OLE_LINK197"/>
      <w:bookmarkStart w:id="92" w:name="OLE_LINK1310"/>
      <w:bookmarkStart w:id="93" w:name="OLE_LINK208"/>
      <w:bookmarkStart w:id="94" w:name="OLE_LINK19"/>
      <w:bookmarkStart w:id="95" w:name="OLE_LINK30"/>
      <w:bookmarkStart w:id="96" w:name="OLE_LINK26"/>
      <w:bookmarkStart w:id="97" w:name="OLE_LINK236"/>
      <w:bookmarkStart w:id="98" w:name="OLE_LINK200"/>
      <w:bookmarkStart w:id="99" w:name="OLE_LINK12"/>
      <w:bookmarkStart w:id="100" w:name="OLE_LINK216"/>
      <w:bookmarkStart w:id="101" w:name="OLE_LINK184"/>
      <w:bookmarkStart w:id="102" w:name="OLE_LINK233"/>
      <w:bookmarkStart w:id="103" w:name="OLE_LINK241"/>
      <w:bookmarkStart w:id="104" w:name="OLE_LINK1318"/>
      <w:bookmarkStart w:id="105" w:name="OLE_LINK192"/>
      <w:bookmarkStart w:id="106" w:name="OLE_LINK203"/>
      <w:bookmarkStart w:id="107" w:name="OLE_LINK177"/>
      <w:bookmarkStart w:id="108" w:name="OLE_LINK1326"/>
      <w:bookmarkStart w:id="109" w:name="OLE_LINK187"/>
      <w:bookmarkStart w:id="110" w:name="OLE_LINK229"/>
      <w:bookmarkStart w:id="111" w:name="OLE_LINK1325"/>
      <w:bookmarkStart w:id="112" w:name="OLE_LINK108"/>
      <w:bookmarkStart w:id="113" w:name="OLE_LINK1324"/>
      <w:bookmarkStart w:id="114" w:name="OLE_LINK226"/>
      <w:bookmarkStart w:id="115" w:name="OLE_LINK220"/>
      <w:bookmarkStart w:id="116" w:name="OLE_LINK174"/>
      <w:bookmarkStart w:id="117" w:name="OLE_LINK1233"/>
      <w:bookmarkStart w:id="118" w:name="OLE_LINK1282"/>
      <w:bookmarkStart w:id="119" w:name="OLE_LINK61"/>
      <w:bookmarkStart w:id="120" w:name="OLE_LINK1220"/>
      <w:bookmarkStart w:id="121" w:name="OLE_LINK219"/>
      <w:bookmarkStart w:id="122" w:name="OLE_LINK1299"/>
      <w:bookmarkStart w:id="123" w:name="OLE_LINK1232"/>
      <w:bookmarkStart w:id="124" w:name="OLE_LINK1241"/>
      <w:bookmarkStart w:id="125" w:name="OLE_LINK66"/>
      <w:bookmarkStart w:id="126" w:name="OLE_LINK1267"/>
      <w:bookmarkStart w:id="127" w:name="OLE_LINK1236"/>
      <w:bookmarkStart w:id="128" w:name="OLE_LINK1290"/>
      <w:bookmarkStart w:id="129" w:name="OLE_LINK74"/>
      <w:bookmarkStart w:id="130" w:name="OLE_LINK1303"/>
      <w:bookmarkStart w:id="131" w:name="OLE_LINK1247"/>
      <w:bookmarkStart w:id="132" w:name="OLE_LINK78"/>
      <w:bookmarkStart w:id="133" w:name="OLE_LINK51"/>
      <w:bookmarkStart w:id="134" w:name="OLE_LINK1261"/>
      <w:bookmarkStart w:id="135" w:name="OLE_LINK6"/>
      <w:bookmarkStart w:id="136" w:name="OLE_LINK1219"/>
      <w:bookmarkStart w:id="137" w:name="OLE_LINK1269"/>
      <w:bookmarkStart w:id="138" w:name="OLE_LINK1255"/>
      <w:bookmarkStart w:id="139" w:name="OLE_LINK1272"/>
      <w:bookmarkStart w:id="140" w:name="OLE_LINK1286"/>
      <w:bookmarkStart w:id="141" w:name="OLE_LINK42"/>
      <w:bookmarkStart w:id="142" w:name="OLE_LINK1291"/>
      <w:bookmarkStart w:id="143" w:name="OLE_LINK36"/>
      <w:bookmarkStart w:id="144" w:name="OLE_LINK1295"/>
      <w:bookmarkStart w:id="145" w:name="OLE_LINK1307"/>
      <w:bookmarkStart w:id="146" w:name="OLE_LINK1327"/>
      <w:bookmarkStart w:id="147" w:name="OLE_LINK1311"/>
      <w:bookmarkStart w:id="148" w:name="OLE_LINK1340"/>
      <w:bookmarkStart w:id="149" w:name="OLE_LINK1334"/>
      <w:bookmarkStart w:id="150" w:name="OLE_LINK1342"/>
      <w:bookmarkStart w:id="151" w:name="OLE_LINK1315"/>
      <w:bookmarkStart w:id="152" w:name="OLE_LINK1346"/>
      <w:bookmarkStart w:id="153" w:name="OLE_LINK7816"/>
      <w:bookmarkStart w:id="154" w:name="OLE_LINK7889"/>
      <w:bookmarkStart w:id="155" w:name="OLE_LINK1356"/>
      <w:bookmarkStart w:id="156" w:name="OLE_LINK7804"/>
      <w:bookmarkStart w:id="157" w:name="OLE_LINK1365"/>
      <w:bookmarkStart w:id="158" w:name="OLE_LINK7906"/>
      <w:bookmarkStart w:id="159" w:name="OLE_LINK1335"/>
      <w:bookmarkStart w:id="160" w:name="OLE_LINK7841"/>
      <w:bookmarkStart w:id="161" w:name="OLE_LINK7900"/>
      <w:bookmarkStart w:id="162" w:name="OLE_LINK7909"/>
      <w:bookmarkStart w:id="163" w:name="OLE_LINK1353"/>
      <w:bookmarkStart w:id="164" w:name="OLE_LINK1344"/>
      <w:bookmarkStart w:id="165" w:name="OLE_LINK7916"/>
      <w:bookmarkStart w:id="166" w:name="OLE_LINK7913"/>
      <w:bookmarkStart w:id="167" w:name="OLE_LINK7866"/>
      <w:bookmarkStart w:id="168" w:name="OLE_LINK1343"/>
      <w:bookmarkStart w:id="169" w:name="OLE_LINK1371"/>
      <w:bookmarkStart w:id="170" w:name="OLE_LINK1375"/>
      <w:bookmarkStart w:id="171" w:name="OLE_LINK1387"/>
      <w:bookmarkStart w:id="172" w:name="OLE_LINK1348"/>
      <w:bookmarkStart w:id="173" w:name="OLE_LINK1379"/>
      <w:bookmarkStart w:id="174" w:name="OLE_LINK7848"/>
      <w:bookmarkStart w:id="175" w:name="OLE_LINK1384"/>
      <w:bookmarkStart w:id="176" w:name="OLE_LINK1364"/>
      <w:bookmarkStart w:id="177" w:name="OLE_LINK1361"/>
      <w:bookmarkStart w:id="178" w:name="OLE_LINK7745"/>
      <w:bookmarkStart w:id="179" w:name="OLE_LINK1477"/>
      <w:bookmarkStart w:id="180" w:name="OLE_LINK1402"/>
      <w:bookmarkStart w:id="181" w:name="OLE_LINK1490"/>
      <w:bookmarkStart w:id="182" w:name="OLE_LINK7755"/>
      <w:bookmarkStart w:id="183" w:name="OLE_LINK1429"/>
      <w:bookmarkStart w:id="184" w:name="OLE_LINK1508"/>
      <w:bookmarkStart w:id="185" w:name="OLE_LINK7714"/>
      <w:bookmarkStart w:id="186" w:name="OLE_LINK7936"/>
      <w:bookmarkStart w:id="187" w:name="OLE_LINK1496"/>
      <w:bookmarkStart w:id="188" w:name="OLE_LINK7725"/>
      <w:bookmarkStart w:id="189" w:name="OLE_LINK1436"/>
      <w:bookmarkStart w:id="190" w:name="OLE_LINK7674"/>
      <w:bookmarkStart w:id="191" w:name="OLE_LINK1466"/>
      <w:bookmarkStart w:id="192" w:name="OLE_LINK7731"/>
      <w:bookmarkStart w:id="193" w:name="OLE_LINK7740"/>
      <w:bookmarkStart w:id="194" w:name="OLE_LINK7704"/>
      <w:bookmarkStart w:id="195" w:name="OLE_LINK1499"/>
      <w:bookmarkStart w:id="196" w:name="OLE_LINK1474"/>
      <w:bookmarkStart w:id="197" w:name="OLE_LINK1452"/>
      <w:bookmarkStart w:id="198" w:name="OLE_LINK1503"/>
      <w:bookmarkStart w:id="199" w:name="OLE_LINK1484"/>
      <w:bookmarkStart w:id="200" w:name="OLE_LINK1449"/>
      <w:bookmarkStart w:id="201" w:name="OLE_LINK1433"/>
      <w:bookmarkStart w:id="202" w:name="OLE_LINK1478"/>
      <w:bookmarkStart w:id="203" w:name="OLE_LINK1412"/>
      <w:bookmarkStart w:id="204" w:name="OLE_LINK7683"/>
      <w:bookmarkStart w:id="205" w:name="OLE_LINK1457"/>
      <w:bookmarkStart w:id="206" w:name="OLE_LINK1492"/>
      <w:bookmarkStart w:id="207" w:name="OLE_LINK8015"/>
      <w:bookmarkStart w:id="208" w:name="OLE_LINK7884"/>
      <w:bookmarkStart w:id="209" w:name="OLE_LINK7952"/>
      <w:bookmarkStart w:id="210" w:name="OLE_LINK8011"/>
      <w:bookmarkStart w:id="211" w:name="OLE_LINK7902"/>
      <w:bookmarkStart w:id="212" w:name="OLE_LINK8012"/>
      <w:bookmarkStart w:id="213" w:name="OLE_LINK7762"/>
      <w:bookmarkStart w:id="214" w:name="OLE_LINK7780"/>
      <w:bookmarkStart w:id="215" w:name="OLE_LINK7960"/>
      <w:bookmarkStart w:id="216" w:name="OLE_LINK7933"/>
      <w:bookmarkStart w:id="217" w:name="OLE_LINK8026"/>
      <w:bookmarkStart w:id="218" w:name="OLE_LINK7766"/>
      <w:bookmarkStart w:id="219" w:name="OLE_LINK7907"/>
      <w:bookmarkStart w:id="220" w:name="OLE_LINK7851"/>
      <w:bookmarkStart w:id="221" w:name="OLE_LINK8148"/>
      <w:bookmarkStart w:id="222" w:name="OLE_LINK7868"/>
      <w:bookmarkStart w:id="223" w:name="OLE_LINK7923"/>
      <w:bookmarkStart w:id="224" w:name="OLE_LINK7947"/>
      <w:bookmarkStart w:id="225" w:name="OLE_LINK8188"/>
      <w:bookmarkStart w:id="226" w:name="OLE_LINK7920"/>
      <w:bookmarkStart w:id="227" w:name="OLE_LINK7842"/>
      <w:bookmarkStart w:id="228" w:name="OLE_LINK8010"/>
      <w:bookmarkStart w:id="229" w:name="OLE_LINK8023"/>
      <w:bookmarkStart w:id="230" w:name="OLE_LINK7938"/>
      <w:bookmarkStart w:id="231" w:name="OLE_LINK7797"/>
      <w:bookmarkStart w:id="232" w:name="OLE_LINK7917"/>
      <w:bookmarkStart w:id="233" w:name="OLE_LINK8192"/>
      <w:bookmarkStart w:id="234" w:name="OLE_LINK8059"/>
      <w:bookmarkStart w:id="235" w:name="OLE_LINK7927"/>
      <w:bookmarkStart w:id="236" w:name="OLE_LINK7807"/>
      <w:bookmarkStart w:id="237" w:name="OLE_LINK7859"/>
      <w:bookmarkStart w:id="238" w:name="OLE_LINK7817"/>
      <w:bookmarkStart w:id="239" w:name="OLE_LINK8175"/>
      <w:bookmarkStart w:id="240" w:name="OLE_LINK8055"/>
      <w:bookmarkStart w:id="241" w:name="OLE_LINK8072"/>
      <w:bookmarkStart w:id="242" w:name="OLE_LINK8049"/>
      <w:bookmarkStart w:id="243" w:name="OLE_LINK8027"/>
      <w:bookmarkStart w:id="244" w:name="OLE_LINK8078"/>
      <w:bookmarkStart w:id="245" w:name="OLE_LINK8166"/>
      <w:bookmarkStart w:id="246" w:name="OLE_LINK8160"/>
      <w:bookmarkStart w:id="247" w:name="OLE_LINK8157"/>
      <w:bookmarkStart w:id="248" w:name="OLE_LINK8037"/>
      <w:bookmarkStart w:id="249" w:name="OLE_LINK8081"/>
      <w:bookmarkStart w:id="250" w:name="OLE_LINK8153"/>
      <w:bookmarkStart w:id="251" w:name="OLE_LINK8064"/>
      <w:bookmarkStart w:id="252" w:name="OLE_LINK8185"/>
      <w:bookmarkStart w:id="253" w:name="OLE_LINK8141"/>
      <w:bookmarkStart w:id="254" w:name="OLE_LINK8171"/>
      <w:bookmarkStart w:id="255" w:name="OLE_LINK8139"/>
      <w:bookmarkStart w:id="256" w:name="OLE_LINK8066"/>
      <w:bookmarkStart w:id="257" w:name="OLE_LINK8144"/>
      <w:bookmarkStart w:id="258" w:name="OLE_LINK8089"/>
      <w:bookmarkStart w:id="259" w:name="OLE_LINK8138"/>
      <w:bookmarkStart w:id="260" w:name="OLE_LINK8137"/>
      <w:bookmarkStart w:id="261" w:name="OLE_LINK8046"/>
      <w:bookmarkStart w:id="262" w:name="OLE_LINK8134"/>
      <w:bookmarkStart w:id="263" w:name="OLE_LINK1434"/>
      <w:bookmarkStart w:id="264" w:name="OLE_LINK7925"/>
      <w:bookmarkStart w:id="265" w:name="OLE_LINK1397"/>
      <w:bookmarkStart w:id="266" w:name="OLE_LINK8219"/>
      <w:bookmarkStart w:id="267" w:name="OLE_LINK8177"/>
      <w:bookmarkStart w:id="268" w:name="OLE_LINK7845"/>
      <w:bookmarkStart w:id="269" w:name="OLE_LINK1414"/>
      <w:bookmarkStart w:id="270" w:name="OLE_LINK1407"/>
      <w:bookmarkStart w:id="271" w:name="OLE_LINK1424"/>
      <w:bookmarkStart w:id="272" w:name="OLE_LINK8179"/>
      <w:bookmarkStart w:id="273" w:name="OLE_LINK1419"/>
      <w:bookmarkStart w:id="274" w:name="OLE_LINK8222"/>
      <w:bookmarkStart w:id="275" w:name="OLE_LINK1357"/>
      <w:bookmarkStart w:id="276" w:name="OLE_LINK8226"/>
      <w:bookmarkStart w:id="277" w:name="OLE_LINK8194"/>
      <w:bookmarkStart w:id="278" w:name="OLE_LINK8206"/>
      <w:bookmarkStart w:id="279" w:name="OLE_LINK8203"/>
      <w:bookmarkStart w:id="280" w:name="OLE_LINK8235"/>
      <w:bookmarkStart w:id="281" w:name="OLE_LINK8212"/>
      <w:bookmarkStart w:id="282" w:name="OLE_LINK1382"/>
      <w:bookmarkStart w:id="283" w:name="OLE_LINK8232"/>
      <w:bookmarkStart w:id="284" w:name="OLE_LINK1372"/>
      <w:bookmarkStart w:id="285" w:name="OLE_LINK8229"/>
      <w:bookmarkStart w:id="286" w:name="OLE_LINK8209"/>
      <w:bookmarkStart w:id="287" w:name="OLE_LINK1381"/>
      <w:bookmarkStart w:id="288" w:name="OLE_LINK8239"/>
      <w:bookmarkStart w:id="289" w:name="OLE_LINK8199"/>
      <w:bookmarkStart w:id="290" w:name="OLE_LINK8230"/>
      <w:bookmarkStart w:id="291" w:name="OLE_LINK8034"/>
      <w:bookmarkStart w:id="292" w:name="OLE_LINK7953"/>
      <w:bookmarkStart w:id="293" w:name="OLE_LINK8217"/>
      <w:bookmarkStart w:id="294" w:name="OLE_LINK7944"/>
      <w:bookmarkStart w:id="295" w:name="OLE_LINK7918"/>
      <w:bookmarkStart w:id="296" w:name="OLE_LINK8393"/>
      <w:bookmarkStart w:id="297" w:name="OLE_LINK7890"/>
      <w:bookmarkStart w:id="298" w:name="OLE_LINK1441"/>
      <w:bookmarkStart w:id="299" w:name="OLE_LINK8245"/>
      <w:bookmarkStart w:id="300" w:name="OLE_LINK8248"/>
      <w:bookmarkStart w:id="301" w:name="OLE_LINK7860"/>
      <w:bookmarkStart w:id="302" w:name="OLE_LINK8323"/>
      <w:bookmarkStart w:id="303" w:name="OLE_LINK8213"/>
      <w:bookmarkStart w:id="304" w:name="OLE_LINK8328"/>
      <w:bookmarkStart w:id="305" w:name="OLE_LINK8418"/>
      <w:bookmarkStart w:id="306" w:name="OLE_LINK8422"/>
      <w:bookmarkStart w:id="307" w:name="OLE_LINK8272"/>
      <w:bookmarkStart w:id="308" w:name="OLE_LINK8241"/>
      <w:bookmarkStart w:id="309" w:name="OLE_LINK8224"/>
      <w:bookmarkStart w:id="310" w:name="OLE_LINK8200"/>
      <w:bookmarkStart w:id="311" w:name="OLE_LINK7932"/>
      <w:bookmarkStart w:id="312" w:name="OLE_LINK8432"/>
      <w:bookmarkStart w:id="313" w:name="OLE_LINK7914"/>
      <w:bookmarkStart w:id="314" w:name="OLE_LINK7929"/>
      <w:bookmarkStart w:id="315" w:name="OLE_LINK7939"/>
      <w:bookmarkStart w:id="316" w:name="OLE_LINK8214"/>
      <w:bookmarkStart w:id="317" w:name="OLE_LINK8186"/>
      <w:bookmarkStart w:id="318" w:name="OLE_LINK8227"/>
      <w:bookmarkStart w:id="319" w:name="OLE_LINK8254"/>
      <w:bookmarkStart w:id="320" w:name="OLE_LINK8439"/>
      <w:bookmarkStart w:id="321" w:name="OLE_LINK8406"/>
      <w:bookmarkStart w:id="322" w:name="OLE_LINK8305"/>
      <w:bookmarkStart w:id="323" w:name="OLE_LINK8319"/>
      <w:bookmarkStart w:id="324" w:name="OLE_LINK8262"/>
      <w:bookmarkStart w:id="325" w:name="OLE_LINK8438"/>
      <w:bookmarkStart w:id="326" w:name="OLE_LINK8283"/>
      <w:bookmarkStart w:id="327" w:name="OLE_LINK8316"/>
      <w:bookmarkStart w:id="328" w:name="OLE_LINK8399"/>
      <w:bookmarkStart w:id="329" w:name="OLE_LINK8426"/>
      <w:bookmarkStart w:id="330" w:name="OLE_LINK8276"/>
      <w:bookmarkStart w:id="331" w:name="OLE_LINK8267"/>
      <w:bookmarkStart w:id="332" w:name="OLE_LINK8404"/>
      <w:bookmarkStart w:id="333" w:name="OLE_LINK8402"/>
      <w:bookmarkStart w:id="334" w:name="OLE_LINK8403"/>
      <w:bookmarkStart w:id="335" w:name="OLE_LINK8410"/>
      <w:bookmarkStart w:id="336" w:name="OLE_LINK8297"/>
      <w:bookmarkStart w:id="337" w:name="OLE_LINK8293"/>
      <w:bookmarkStart w:id="338" w:name="OLE_LINK8311"/>
      <w:bookmarkStart w:id="339" w:name="OLE_LINK8435"/>
      <w:bookmarkStart w:id="340" w:name="OLE_LINK8303"/>
      <w:bookmarkStart w:id="341" w:name="OLE_LINK1392"/>
      <w:bookmarkStart w:id="342" w:name="OLE_LINK8444"/>
      <w:bookmarkStart w:id="343" w:name="OLE_LINK8558"/>
      <w:bookmarkStart w:id="344" w:name="OLE_LINK8586"/>
      <w:bookmarkStart w:id="345" w:name="OLE_LINK8462"/>
      <w:bookmarkStart w:id="346" w:name="OLE_LINK8584"/>
      <w:bookmarkStart w:id="347" w:name="OLE_LINK8549"/>
      <w:bookmarkStart w:id="348" w:name="OLE_LINK8443"/>
      <w:bookmarkStart w:id="349" w:name="OLE_LINK8475"/>
      <w:bookmarkStart w:id="350" w:name="OLE_LINK8490"/>
      <w:bookmarkStart w:id="351" w:name="OLE_LINK8565"/>
      <w:bookmarkStart w:id="352" w:name="OLE_LINK8485"/>
      <w:bookmarkStart w:id="353" w:name="OLE_LINK1426"/>
      <w:bookmarkStart w:id="354" w:name="OLE_LINK8548"/>
      <w:bookmarkStart w:id="355" w:name="OLE_LINK8575"/>
      <w:bookmarkStart w:id="356" w:name="OLE_LINK8466"/>
      <w:bookmarkStart w:id="357" w:name="OLE_LINK8555"/>
      <w:bookmarkStart w:id="358" w:name="OLE_LINK8470"/>
      <w:bookmarkStart w:id="359" w:name="OLE_LINK8467"/>
      <w:bookmarkStart w:id="360" w:name="OLE_LINK8471"/>
      <w:bookmarkStart w:id="361" w:name="OLE_LINK8579"/>
      <w:bookmarkStart w:id="362" w:name="OLE_LINK8498"/>
      <w:bookmarkStart w:id="363" w:name="OLE_LINK8448"/>
      <w:bookmarkStart w:id="364" w:name="OLE_LINK8564"/>
      <w:bookmarkStart w:id="365" w:name="OLE_LINK8390"/>
      <w:bookmarkStart w:id="366" w:name="OLE_LINK8495"/>
      <w:bookmarkStart w:id="367" w:name="OLE_LINK5"/>
      <w:bookmarkStart w:id="368" w:name="OLE_LINK8510"/>
      <w:bookmarkStart w:id="369" w:name="OLE_LINK8451"/>
      <w:bookmarkStart w:id="370" w:name="OLE_LINK8455"/>
      <w:bookmarkStart w:id="371" w:name="OLE_LINK1218"/>
      <w:bookmarkStart w:id="372" w:name="OLE_LINK1347"/>
      <w:bookmarkStart w:id="373" w:name="OLE_LINK1198"/>
      <w:bookmarkStart w:id="374" w:name="OLE_LINK1199"/>
      <w:bookmarkStart w:id="375" w:name="OLE_LINK7133"/>
      <w:bookmarkStart w:id="376" w:name="OLE_LINK1242"/>
      <w:bookmarkStart w:id="377" w:name="OLE_LINK1366"/>
      <w:bookmarkStart w:id="378" w:name="OLE_LINK1222"/>
      <w:bookmarkStart w:id="379" w:name="OLE_LINK1339"/>
      <w:bookmarkStart w:id="380" w:name="OLE_LINK1227"/>
      <w:bookmarkStart w:id="381" w:name="OLE_LINK6803"/>
      <w:bookmarkStart w:id="382" w:name="OLE_LINK1376"/>
      <w:bookmarkStart w:id="383" w:name="OLE_LINK24"/>
      <w:bookmarkStart w:id="384" w:name="OLE_LINK8587"/>
      <w:bookmarkStart w:id="385" w:name="OLE_LINK1224"/>
      <w:bookmarkStart w:id="386" w:name="OLE_LINK1413"/>
      <w:bookmarkStart w:id="387" w:name="OLE_LINK1417"/>
      <w:bookmarkStart w:id="388" w:name="OLE_LINK1408"/>
      <w:bookmarkStart w:id="389" w:name="OLE_LINK1223"/>
      <w:bookmarkStart w:id="390" w:name="OLE_LINK1401"/>
      <w:bookmarkStart w:id="391" w:name="OLE_LINK1246"/>
      <w:bookmarkStart w:id="392" w:name="OLE_LINK6798"/>
      <w:bookmarkStart w:id="393" w:name="OLE_LINK1380"/>
      <w:bookmarkStart w:id="394" w:name="OLE_LINK1358"/>
      <w:bookmarkStart w:id="395" w:name="OLE_LINK28"/>
      <w:bookmarkStart w:id="396" w:name="OLE_LINK1231"/>
      <w:bookmarkStart w:id="397" w:name="OLE_LINK7126"/>
      <w:bookmarkStart w:id="398" w:name="OLE_LINK7140"/>
      <w:bookmarkStart w:id="399" w:name="OLE_LINK7158"/>
      <w:bookmarkStart w:id="400" w:name="OLE_LINK6827"/>
      <w:bookmarkStart w:id="401" w:name="OLE_LINK6834"/>
      <w:bookmarkStart w:id="402" w:name="OLE_LINK7243"/>
      <w:bookmarkStart w:id="403" w:name="OLE_LINK7236"/>
      <w:bookmarkStart w:id="404" w:name="OLE_LINK6816"/>
      <w:bookmarkStart w:id="405" w:name="OLE_LINK7125"/>
      <w:bookmarkStart w:id="406" w:name="OLE_LINK7223"/>
      <w:bookmarkStart w:id="407" w:name="OLE_LINK7130"/>
      <w:bookmarkStart w:id="408" w:name="OLE_LINK7127"/>
      <w:bookmarkStart w:id="409" w:name="OLE_LINK7237"/>
      <w:bookmarkStart w:id="410" w:name="OLE_LINK7235"/>
      <w:bookmarkStart w:id="411" w:name="OLE_LINK6812"/>
      <w:bookmarkStart w:id="412" w:name="OLE_LINK7122"/>
      <w:bookmarkStart w:id="413" w:name="OLE_LINK7153"/>
      <w:bookmarkStart w:id="414" w:name="OLE_LINK7212"/>
      <w:bookmarkStart w:id="415" w:name="OLE_LINK7240"/>
      <w:bookmarkStart w:id="416" w:name="OLE_LINK7119"/>
      <w:bookmarkStart w:id="417" w:name="OLE_LINK7173"/>
      <w:bookmarkStart w:id="418" w:name="OLE_LINK7150"/>
      <w:bookmarkStart w:id="419" w:name="OLE_LINK7215"/>
      <w:bookmarkStart w:id="420" w:name="OLE_LINK7228"/>
      <w:bookmarkStart w:id="421" w:name="OLE_LINK6830"/>
      <w:bookmarkStart w:id="422" w:name="OLE_LINK7116"/>
      <w:bookmarkStart w:id="423" w:name="OLE_LINK7167"/>
      <w:bookmarkStart w:id="424" w:name="OLE_LINK7214"/>
      <w:bookmarkStart w:id="425" w:name="OLE_LINK7213"/>
      <w:bookmarkStart w:id="426" w:name="OLE_LINK7141"/>
      <w:bookmarkStart w:id="427" w:name="OLE_LINK7253"/>
      <w:bookmarkStart w:id="428" w:name="OLE_LINK7515"/>
      <w:bookmarkStart w:id="429" w:name="OLE_LINK7587"/>
      <w:bookmarkStart w:id="430" w:name="OLE_LINK7550"/>
      <w:bookmarkStart w:id="431" w:name="OLE_LINK7602"/>
      <w:bookmarkStart w:id="432" w:name="OLE_LINK7574"/>
      <w:bookmarkStart w:id="433" w:name="OLE_LINK7605"/>
      <w:bookmarkStart w:id="434" w:name="OLE_LINK7641"/>
      <w:bookmarkStart w:id="435" w:name="OLE_LINK7527"/>
      <w:bookmarkStart w:id="436" w:name="OLE_LINK7522"/>
      <w:bookmarkStart w:id="437" w:name="OLE_LINK7547"/>
      <w:bookmarkStart w:id="438" w:name="OLE_LINK7633"/>
      <w:bookmarkStart w:id="439" w:name="OLE_LINK7555"/>
      <w:bookmarkStart w:id="440" w:name="OLE_LINK7568"/>
      <w:bookmarkStart w:id="441" w:name="OLE_LINK7628"/>
      <w:bookmarkStart w:id="442" w:name="OLE_LINK7569"/>
      <w:bookmarkStart w:id="443" w:name="OLE_LINK7513"/>
      <w:bookmarkStart w:id="444" w:name="OLE_LINK7611"/>
      <w:bookmarkStart w:id="445" w:name="OLE_LINK7571"/>
      <w:bookmarkStart w:id="446" w:name="OLE_LINK7577"/>
      <w:bookmarkStart w:id="447" w:name="OLE_LINK7629"/>
      <w:bookmarkStart w:id="448" w:name="OLE_LINK7578"/>
      <w:bookmarkStart w:id="449" w:name="OLE_LINK7608"/>
      <w:bookmarkStart w:id="450" w:name="OLE_LINK7597"/>
      <w:bookmarkStart w:id="451" w:name="OLE_LINK7559"/>
      <w:bookmarkStart w:id="452" w:name="OLE_LINK7561"/>
      <w:bookmarkStart w:id="453" w:name="OLE_LINK7145"/>
      <w:bookmarkStart w:id="454" w:name="OLE_LINK7250"/>
      <w:bookmarkStart w:id="455" w:name="OLE_LINK7583"/>
      <w:bookmarkStart w:id="456" w:name="OLE_LINK7616"/>
      <w:bookmarkStart w:id="457" w:name="OLE_LINK7530"/>
      <w:bookmarkStart w:id="458" w:name="OLE_LINK7691"/>
      <w:bookmarkStart w:id="459" w:name="OLE_LINK7610"/>
      <w:bookmarkStart w:id="460" w:name="OLE_LINK7721"/>
      <w:bookmarkStart w:id="461" w:name="OLE_LINK7620"/>
      <w:bookmarkStart w:id="462" w:name="OLE_LINK7625"/>
      <w:bookmarkStart w:id="463" w:name="OLE_LINK7649"/>
      <w:bookmarkStart w:id="464" w:name="OLE_LINK7606"/>
      <w:bookmarkStart w:id="465" w:name="OLE_LINK7617"/>
      <w:bookmarkStart w:id="466" w:name="OLE_LINK7718"/>
      <w:bookmarkStart w:id="467" w:name="OLE_LINK7722"/>
      <w:bookmarkStart w:id="468" w:name="OLE_LINK7730"/>
      <w:bookmarkStart w:id="469" w:name="OLE_LINK7687"/>
      <w:bookmarkStart w:id="470" w:name="OLE_LINK7655"/>
      <w:bookmarkStart w:id="471" w:name="OLE_LINK7706"/>
      <w:bookmarkStart w:id="472" w:name="OLE_LINK7684"/>
      <w:bookmarkStart w:id="473" w:name="OLE_LINK7635"/>
      <w:bookmarkStart w:id="474" w:name="OLE_LINK7709"/>
      <w:bookmarkStart w:id="475" w:name="OLE_LINK7735"/>
      <w:bookmarkStart w:id="476" w:name="OLE_LINK7703"/>
      <w:bookmarkStart w:id="477" w:name="OLE_LINK7736"/>
      <w:bookmarkStart w:id="478" w:name="OLE_LINK7712"/>
      <w:bookmarkStart w:id="479" w:name="OLE_LINK7652"/>
      <w:bookmarkStart w:id="480" w:name="OLE_LINK7710"/>
      <w:bookmarkStart w:id="481" w:name="OLE_LINK7665"/>
      <w:bookmarkStart w:id="482" w:name="OLE_LINK7690"/>
      <w:bookmarkStart w:id="483" w:name="OLE_LINK7734"/>
      <w:bookmarkStart w:id="484" w:name="OLE_LINK7873"/>
      <w:bookmarkStart w:id="485" w:name="OLE_LINK7903"/>
      <w:bookmarkStart w:id="486" w:name="OLE_LINK7839"/>
      <w:bookmarkStart w:id="487" w:name="OLE_LINK7838"/>
      <w:bookmarkStart w:id="488" w:name="OLE_LINK7837"/>
      <w:bookmarkStart w:id="489" w:name="OLE_LINK7711"/>
      <w:bookmarkStart w:id="490" w:name="OLE_LINK7813"/>
      <w:bookmarkStart w:id="491" w:name="OLE_LINK7695"/>
      <w:bookmarkStart w:id="492" w:name="OLE_LINK7737"/>
      <w:bookmarkStart w:id="493" w:name="OLE_LINK7867"/>
      <w:bookmarkStart w:id="494" w:name="OLE_LINK7836"/>
      <w:bookmarkStart w:id="495" w:name="OLE_LINK7796"/>
      <w:bookmarkStart w:id="496" w:name="OLE_LINK7809"/>
      <w:bookmarkStart w:id="497" w:name="OLE_LINK7879"/>
      <w:bookmarkStart w:id="498" w:name="OLE_LINK7895"/>
      <w:bookmarkStart w:id="499" w:name="OLE_LINK7699"/>
      <w:bookmarkStart w:id="500" w:name="OLE_LINK7876"/>
      <w:bookmarkStart w:id="501" w:name="OLE_LINK7882"/>
      <w:bookmarkStart w:id="502" w:name="OLE_LINK7885"/>
      <w:bookmarkStart w:id="503" w:name="OLE_LINK7896"/>
      <w:bookmarkStart w:id="504" w:name="OLE_LINK7846"/>
      <w:bookmarkStart w:id="505" w:name="OLE_LINK7894"/>
      <w:bookmarkStart w:id="506" w:name="OLE_LINK7977"/>
      <w:bookmarkStart w:id="507" w:name="OLE_LINK7738"/>
      <w:bookmarkStart w:id="508" w:name="OLE_LINK7799"/>
      <w:bookmarkStart w:id="509" w:name="OLE_LINK7910"/>
      <w:bookmarkStart w:id="510" w:name="OLE_LINK46"/>
      <w:bookmarkStart w:id="511" w:name="OLE_LINK7820"/>
      <w:bookmarkStart w:id="512" w:name="OLE_LINK10"/>
      <w:bookmarkStart w:id="513" w:name="OLE_LINK7"/>
      <w:bookmarkStart w:id="514" w:name="OLE_LINK17"/>
      <w:bookmarkStart w:id="515" w:name="OLE_LINK60"/>
      <w:bookmarkStart w:id="516" w:name="OLE_LINK7979"/>
      <w:bookmarkStart w:id="517" w:name="OLE_LINK57"/>
      <w:bookmarkStart w:id="518" w:name="OLE_LINK7897"/>
      <w:bookmarkStart w:id="519" w:name="OLE_LINK4"/>
      <w:bookmarkStart w:id="520" w:name="OLE_LINK11"/>
      <w:bookmarkStart w:id="521" w:name="OLE_LINK37"/>
      <w:bookmarkStart w:id="522" w:name="OLE_LINK7843"/>
      <w:bookmarkStart w:id="523" w:name="OLE_LINK41"/>
      <w:bookmarkStart w:id="524" w:name="OLE_LINK65"/>
      <w:bookmarkStart w:id="525" w:name="OLE_LINK82"/>
      <w:bookmarkStart w:id="526" w:name="OLE_LINK87"/>
      <w:bookmarkStart w:id="527" w:name="OLE_LINK72"/>
      <w:bookmarkStart w:id="528" w:name="OLE_LINK14"/>
      <w:bookmarkStart w:id="529" w:name="OLE_LINK1"/>
      <w:bookmarkStart w:id="530" w:name="OLE_LINK54"/>
      <w:bookmarkStart w:id="531" w:name="OLE_LINK103"/>
      <w:bookmarkStart w:id="532" w:name="OLE_LINK84"/>
      <w:bookmarkStart w:id="533" w:name="OLE_LINK75"/>
      <w:bookmarkStart w:id="534" w:name="OLE_LINK7985"/>
      <w:bookmarkStart w:id="535" w:name="OLE_LINK7983"/>
      <w:bookmarkStart w:id="536" w:name="OLE_LINK29"/>
      <w:bookmarkStart w:id="537" w:name="OLE_LINK40"/>
      <w:bookmarkStart w:id="538" w:name="OLE_LINK34"/>
      <w:bookmarkStart w:id="539" w:name="OLE_LINK49"/>
      <w:bookmarkStart w:id="540" w:name="OLE_LINK2"/>
      <w:bookmarkStart w:id="541" w:name="OLE_LINK7984"/>
      <w:bookmarkStart w:id="542" w:name="OLE_LINK100"/>
      <w:bookmarkStart w:id="543" w:name="OLE_LINK7386"/>
      <w:bookmarkStart w:id="544" w:name="OLE_LINK7394"/>
      <w:bookmarkStart w:id="545" w:name="OLE_LINK7389"/>
      <w:bookmarkStart w:id="546" w:name="OLE_LINK7303"/>
      <w:bookmarkStart w:id="547" w:name="OLE_LINK7422"/>
      <w:bookmarkStart w:id="548" w:name="OLE_LINK7548"/>
      <w:bookmarkStart w:id="549" w:name="OLE_LINK7282"/>
      <w:bookmarkStart w:id="550" w:name="OLE_LINK7296"/>
      <w:bookmarkStart w:id="551" w:name="OLE_LINK7263"/>
      <w:bookmarkStart w:id="552" w:name="OLE_LINK7322"/>
      <w:bookmarkStart w:id="553" w:name="OLE_LINK7265"/>
      <w:bookmarkStart w:id="554" w:name="OLE_LINK7376"/>
      <w:bookmarkStart w:id="555" w:name="OLE_LINK7272"/>
      <w:bookmarkStart w:id="556" w:name="OLE_LINK7379"/>
      <w:bookmarkStart w:id="557" w:name="OLE_LINK7266"/>
      <w:bookmarkStart w:id="558" w:name="OLE_LINK7292"/>
      <w:bookmarkStart w:id="559" w:name="OLE_LINK7326"/>
      <w:bookmarkStart w:id="560" w:name="OLE_LINK7383"/>
      <w:bookmarkStart w:id="561" w:name="OLE_LINK7317"/>
      <w:bookmarkStart w:id="562" w:name="OLE_LINK7572"/>
      <w:bookmarkStart w:id="563" w:name="OLE_LINK7642"/>
      <w:bookmarkStart w:id="564" w:name="OLE_LINK7646"/>
      <w:bookmarkStart w:id="565" w:name="OLE_LINK7313"/>
      <w:bookmarkStart w:id="566" w:name="OLE_LINK7619"/>
      <w:bookmarkStart w:id="567" w:name="OLE_LINK7287"/>
      <w:bookmarkStart w:id="568" w:name="OLE_LINK7552"/>
      <w:bookmarkStart w:id="569" w:name="OLE_LINK7588"/>
      <w:bookmarkStart w:id="570" w:name="OLE_LINK7573"/>
      <w:bookmarkStart w:id="571" w:name="OLE_LINK7648"/>
      <w:bookmarkStart w:id="572" w:name="OLE_LINK7593"/>
      <w:bookmarkStart w:id="573" w:name="OLE_LINK7631"/>
      <w:bookmarkStart w:id="574" w:name="OLE_LINK7579"/>
      <w:bookmarkStart w:id="575" w:name="OLE_LINK7562"/>
      <w:bookmarkStart w:id="576" w:name="OLE_LINK7793"/>
      <w:bookmarkStart w:id="577" w:name="OLE_LINK7864"/>
      <w:bookmarkStart w:id="578" w:name="OLE_LINK7901"/>
      <w:bookmarkStart w:id="579" w:name="OLE_LINK7255"/>
      <w:bookmarkStart w:id="580" w:name="OLE_LINK7844"/>
      <w:bookmarkStart w:id="581" w:name="OLE_LINK7805"/>
      <w:bookmarkStart w:id="582" w:name="OLE_LINK7834"/>
      <w:bookmarkStart w:id="583" w:name="OLE_LINK7658"/>
      <w:bookmarkStart w:id="584" w:name="OLE_LINK7840"/>
      <w:bookmarkStart w:id="585" w:name="OLE_LINK7863"/>
      <w:bookmarkStart w:id="586" w:name="OLE_LINK7801"/>
      <w:bookmarkStart w:id="587" w:name="OLE_LINK7822"/>
      <w:bookmarkStart w:id="588" w:name="OLE_LINK7814"/>
      <w:bookmarkStart w:id="589" w:name="OLE_LINK7853"/>
      <w:bookmarkStart w:id="590" w:name="OLE_LINK7825"/>
      <w:bookmarkStart w:id="591" w:name="OLE_LINK7858"/>
      <w:bookmarkStart w:id="592" w:name="OLE_LINK7850"/>
      <w:bookmarkStart w:id="593" w:name="OLE_LINK7818"/>
      <w:bookmarkStart w:id="594" w:name="OLE_LINK7749"/>
      <w:bookmarkStart w:id="595" w:name="OLE_LINK7877"/>
      <w:bookmarkStart w:id="596" w:name="OLE_LINK7743"/>
      <w:bookmarkStart w:id="597" w:name="OLE_LINK7739"/>
      <w:bookmarkStart w:id="598" w:name="OLE_LINK7862"/>
      <w:bookmarkStart w:id="599" w:name="OLE_LINK7756"/>
      <w:bookmarkStart w:id="600" w:name="OLE_LINK7883"/>
      <w:bookmarkStart w:id="601" w:name="OLE_LINK7888"/>
      <w:bookmarkStart w:id="602" w:name="OLE_LINK7898"/>
      <w:bookmarkStart w:id="603" w:name="OLE_LINK7871"/>
      <w:bookmarkStart w:id="604" w:name="OLE_LINK7786"/>
      <w:bookmarkStart w:id="605" w:name="OLE_LINK7314"/>
      <w:bookmarkStart w:id="606" w:name="OLE_LINK7335"/>
      <w:bookmarkStart w:id="607" w:name="OLE_LINK7304"/>
      <w:bookmarkStart w:id="608" w:name="OLE_LINK7340"/>
      <w:bookmarkStart w:id="609" w:name="OLE_LINK7330"/>
      <w:bookmarkStart w:id="610" w:name="OLE_LINK7293"/>
      <w:bookmarkStart w:id="611" w:name="OLE_LINK7269"/>
      <w:bookmarkStart w:id="612" w:name="OLE_LINK7343"/>
      <w:bookmarkStart w:id="613" w:name="OLE_LINK7306"/>
      <w:bookmarkStart w:id="614" w:name="OLE_LINK7261"/>
      <w:bookmarkStart w:id="615" w:name="OLE_LINK7280"/>
      <w:bookmarkStart w:id="616" w:name="OLE_LINK7275"/>
      <w:bookmarkStart w:id="617" w:name="OLE_LINK7286"/>
      <w:bookmarkStart w:id="618" w:name="OLE_LINK7324"/>
      <w:bookmarkStart w:id="619" w:name="OLE_LINK7348"/>
      <w:bookmarkStart w:id="620" w:name="OLE_LINK7372"/>
      <w:bookmarkStart w:id="621" w:name="OLE_LINK7395"/>
      <w:bookmarkStart w:id="622" w:name="OLE_LINK7667"/>
      <w:bookmarkStart w:id="623" w:name="OLE_LINK7357"/>
      <w:bookmarkStart w:id="624" w:name="OLE_LINK7378"/>
      <w:bookmarkStart w:id="625" w:name="OLE_LINK7418"/>
      <w:bookmarkStart w:id="626" w:name="OLE_LINK7689"/>
      <w:bookmarkStart w:id="627" w:name="OLE_LINK7407"/>
      <w:bookmarkStart w:id="628" w:name="OLE_LINK7368"/>
      <w:bookmarkStart w:id="629" w:name="OLE_LINK7361"/>
      <w:bookmarkStart w:id="630" w:name="OLE_LINK7685"/>
      <w:bookmarkStart w:id="631" w:name="OLE_LINK7360"/>
      <w:bookmarkStart w:id="632" w:name="OLE_LINK7424"/>
      <w:bookmarkStart w:id="633" w:name="OLE_LINK7344"/>
      <w:bookmarkStart w:id="634" w:name="OLE_LINK7676"/>
      <w:bookmarkStart w:id="635" w:name="OLE_LINK7384"/>
      <w:bookmarkStart w:id="636" w:name="OLE_LINK7351"/>
      <w:bookmarkStart w:id="637" w:name="OLE_LINK7729"/>
      <w:bookmarkStart w:id="638" w:name="OLE_LINK7777"/>
      <w:bookmarkStart w:id="639" w:name="OLE_LINK7404"/>
      <w:bookmarkStart w:id="640" w:name="OLE_LINK7415"/>
      <w:bookmarkStart w:id="641" w:name="OLE_LINK7411"/>
      <w:bookmarkStart w:id="642" w:name="OLE_LINK7787"/>
      <w:bookmarkStart w:id="643" w:name="OLE_LINK7754"/>
      <w:bookmarkStart w:id="644" w:name="OLE_LINK7795"/>
      <w:bookmarkStart w:id="645" w:name="OLE_LINK7720"/>
      <w:bookmarkStart w:id="646" w:name="OLE_LINK7708"/>
      <w:bookmarkStart w:id="647" w:name="OLE_LINK7776"/>
      <w:bookmarkStart w:id="648" w:name="OLE_LINK7789"/>
      <w:bookmarkStart w:id="649" w:name="OLE_LINK7771"/>
      <w:bookmarkStart w:id="650" w:name="OLE_LINK7701"/>
      <w:bookmarkStart w:id="651" w:name="OLE_LINK7747"/>
      <w:bookmarkStart w:id="652" w:name="OLE_LINK7781"/>
      <w:bookmarkStart w:id="653" w:name="OLE_LINK1399"/>
      <w:bookmarkStart w:id="654" w:name="OLE_LINK7854"/>
      <w:bookmarkStart w:id="655" w:name="OLE_LINK7878"/>
      <w:bookmarkStart w:id="656" w:name="OLE_LINK1395"/>
      <w:bookmarkStart w:id="657" w:name="OLE_LINK1391"/>
      <w:r>
        <w:rPr>
          <w:rFonts w:ascii="Book Antiqua" w:hAnsi="Book Antiqua"/>
        </w:rPr>
        <w:t>February 1, 2024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The bone remodeling </w:t>
      </w:r>
      <w:r>
        <w:rPr>
          <w:rFonts w:hint="eastAsia" w:ascii="Book Antiqua" w:hAnsi="Book Antiqua" w:eastAsia="宋体" w:cs="Book Antiqua"/>
          <w:lang w:eastAsia="zh-CN"/>
        </w:rPr>
        <w:t>during</w:t>
      </w:r>
      <w:r>
        <w:rPr>
          <w:rFonts w:ascii="Book Antiqua" w:hAnsi="Book Antiqua" w:eastAsia="Book Antiqua" w:cs="Book Antiqua"/>
        </w:rPr>
        <w:t xml:space="preserve"> orthodontic treatment for malocclusion often requires a long duration </w:t>
      </w:r>
      <w:r>
        <w:rPr>
          <w:rFonts w:hint="eastAsia" w:ascii="Book Antiqua" w:hAnsi="Book Antiqua" w:eastAsia="宋体" w:cs="Book Antiqua"/>
          <w:lang w:eastAsia="zh-CN"/>
        </w:rPr>
        <w:t xml:space="preserve">of </w:t>
      </w:r>
      <w:r>
        <w:rPr>
          <w:rFonts w:ascii="Book Antiqua" w:hAnsi="Book Antiqua" w:eastAsia="Book Antiqua" w:cs="Book Antiqua"/>
        </w:rPr>
        <w:t xml:space="preserve">around two to three years, which also may lead to some complications such as alveolar bone resorption or tooth root resorption. </w:t>
      </w:r>
      <w:bookmarkStart w:id="658" w:name="_Hlk156838499"/>
      <w:r>
        <w:rPr>
          <w:rFonts w:ascii="Book Antiqua" w:hAnsi="Book Antiqua" w:eastAsia="Book Antiqua" w:cs="Book Antiqua"/>
        </w:rPr>
        <w:t>Low-intensity pulsed ultrasound</w:t>
      </w:r>
      <w:bookmarkEnd w:id="658"/>
      <w:r>
        <w:rPr>
          <w:rFonts w:ascii="Book Antiqua" w:hAnsi="Book Antiqua" w:eastAsia="Book Antiqua" w:cs="Book Antiqua"/>
        </w:rPr>
        <w:t xml:space="preserve"> (LIPUS), a noninvasive physical therapy, has been shown to promote bone fracture healing. </w:t>
      </w:r>
      <w:bookmarkStart w:id="659" w:name="_Hlk157846091"/>
      <w:r>
        <w:rPr>
          <w:rFonts w:ascii="Book Antiqua" w:hAnsi="Book Antiqua" w:eastAsia="Book Antiqua" w:cs="Book Antiqua"/>
        </w:rPr>
        <w:t>It</w:t>
      </w:r>
      <w:r>
        <w:rPr>
          <w:rFonts w:hint="eastAsia" w:ascii="Book Antiqua" w:hAnsi="Book Antiqua" w:eastAsia="宋体" w:cs="Book Antiqua"/>
          <w:lang w:eastAsia="zh-CN"/>
        </w:rPr>
        <w:t xml:space="preserve"> i</w:t>
      </w:r>
      <w:r>
        <w:rPr>
          <w:rFonts w:ascii="Book Antiqua" w:hAnsi="Book Antiqua" w:eastAsia="Book Antiqua" w:cs="Book Antiqua"/>
        </w:rPr>
        <w:t>s also reported that LIPUS could reduce the duration of orthodontic treatment</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h</w:t>
      </w:r>
      <w:r>
        <w:rPr>
          <w:rFonts w:ascii="Book Antiqua" w:hAnsi="Book Antiqua" w:eastAsia="Book Antiqua" w:cs="Book Antiqua"/>
        </w:rPr>
        <w:t xml:space="preserve">owever, how LIPUS regulates the bone metabolism during </w:t>
      </w:r>
      <w:r>
        <w:rPr>
          <w:rFonts w:hint="eastAsia" w:ascii="Book Antiqua" w:hAnsi="Book Antiqua" w:eastAsia="宋体" w:cs="Book Antiqua"/>
          <w:lang w:eastAsia="zh-CN"/>
        </w:rPr>
        <w:t xml:space="preserve">the </w:t>
      </w:r>
      <w:r>
        <w:rPr>
          <w:rFonts w:ascii="Book Antiqua" w:hAnsi="Book Antiqua" w:eastAsia="Book Antiqua" w:cs="Book Antiqua"/>
        </w:rPr>
        <w:t>orthodontic treatment process is still unclear.</w:t>
      </w:r>
      <w:bookmarkEnd w:id="659"/>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 xml:space="preserve">To investigate the effects of LIPUS on bone remodeling in </w:t>
      </w:r>
      <w:r>
        <w:rPr>
          <w:rFonts w:hint="eastAsia" w:ascii="Book Antiqua" w:hAnsi="Book Antiqua" w:eastAsia="宋体" w:cs="Book Antiqua"/>
          <w:lang w:eastAsia="zh-CN"/>
        </w:rPr>
        <w:t xml:space="preserve">an </w:t>
      </w:r>
      <w:r>
        <w:rPr>
          <w:rFonts w:ascii="Book Antiqua" w:hAnsi="Book Antiqua" w:eastAsia="Book Antiqua" w:cs="Book Antiqua"/>
        </w:rPr>
        <w:t>orthodontic tooth movement (OTM) model and explore the underlying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 rat model of OTM was established, and alveolar bone remodeling and tooth movement rate were evaluated </w:t>
      </w:r>
      <w:r>
        <w:rPr>
          <w:rFonts w:ascii="Book Antiqua" w:hAnsi="Book Antiqua" w:eastAsia="Book Antiqua" w:cs="Book Antiqua"/>
          <w:i/>
          <w:iCs/>
        </w:rPr>
        <w:t>via</w:t>
      </w:r>
      <w:r>
        <w:rPr>
          <w:rFonts w:ascii="Book Antiqua" w:hAnsi="Book Antiqua" w:eastAsia="Book Antiqua" w:cs="Book Antiqua"/>
        </w:rPr>
        <w:t xml:space="preserve"> micro-</w:t>
      </w:r>
      <w:bookmarkStart w:id="660" w:name="_Hlk156843593"/>
      <w:r>
        <w:rPr>
          <w:rFonts w:ascii="Book Antiqua" w:hAnsi="Book Antiqua" w:eastAsia="Book Antiqua" w:cs="Book Antiqua"/>
        </w:rPr>
        <w:t>computed tomography</w:t>
      </w:r>
      <w:bookmarkEnd w:id="660"/>
      <w:r>
        <w:rPr>
          <w:rFonts w:ascii="Book Antiqua" w:hAnsi="Book Antiqua" w:eastAsia="Book Antiqua" w:cs="Book Antiqua"/>
        </w:rPr>
        <w:t xml:space="preserve"> and staining of tissue sections. </w:t>
      </w:r>
      <w:r>
        <w:rPr>
          <w:rFonts w:ascii="Book Antiqua" w:hAnsi="Book Antiqua" w:eastAsia="Book Antiqua" w:cs="Book Antiqua"/>
          <w:i/>
          <w:iCs/>
        </w:rPr>
        <w:t>In vitro</w:t>
      </w:r>
      <w:r>
        <w:rPr>
          <w:rFonts w:ascii="Book Antiqua" w:hAnsi="Book Antiqua" w:eastAsia="Book Antiqua" w:cs="Book Antiqua"/>
        </w:rPr>
        <w:t xml:space="preserve">, human </w:t>
      </w:r>
      <w:bookmarkStart w:id="661" w:name="_Hlk156838006"/>
      <w:r>
        <w:rPr>
          <w:rFonts w:ascii="Book Antiqua" w:hAnsi="Book Antiqua" w:eastAsia="Book Antiqua" w:cs="Book Antiqua"/>
        </w:rPr>
        <w:t>bone marrow mesenchymal stem cell</w:t>
      </w:r>
      <w:bookmarkEnd w:id="661"/>
      <w:r>
        <w:rPr>
          <w:rFonts w:ascii="Book Antiqua" w:hAnsi="Book Antiqua" w:eastAsia="Book Antiqua" w:cs="Book Antiqua"/>
        </w:rPr>
        <w:t xml:space="preserve">s (hBMSCs) were isolated to detect their osteogenic differentiation potential under compression and LIPUS stimulation by </w:t>
      </w:r>
      <w:r>
        <w:rPr>
          <w:rFonts w:ascii="Book Antiqua" w:hAnsi="Book Antiqua" w:eastAsia="Book Antiqua" w:cs="Book Antiqua"/>
          <w:color w:val="000000"/>
        </w:rPr>
        <w:t>quantitative reverse transcription</w:t>
      </w:r>
      <w:r>
        <w:rPr>
          <w:rFonts w:hint="eastAsia" w:ascii="Book Antiqua" w:hAnsi="Book Antiqua" w:eastAsia="宋体" w:cs="Book Antiqua"/>
          <w:color w:val="000000"/>
          <w:lang w:eastAsia="zh-CN"/>
        </w:rPr>
        <w:t>-</w:t>
      </w:r>
      <w:r>
        <w:rPr>
          <w:rFonts w:ascii="Book Antiqua" w:hAnsi="Book Antiqua" w:eastAsia="Book Antiqua" w:cs="Book Antiqua"/>
          <w:color w:val="000000"/>
        </w:rPr>
        <w:t>polymerase chain reaction</w:t>
      </w:r>
      <w:r>
        <w:rPr>
          <w:rFonts w:ascii="Book Antiqua" w:hAnsi="Book Antiqua" w:eastAsia="Book Antiqua" w:cs="Book Antiqua"/>
        </w:rPr>
        <w:t xml:space="preserve">, </w:t>
      </w:r>
      <w:r>
        <w:rPr>
          <w:rFonts w:hint="eastAsia" w:ascii="Book Antiqua" w:hAnsi="Book Antiqua" w:eastAsia="宋体" w:cs="Book Antiqua"/>
          <w:lang w:eastAsia="zh-CN"/>
        </w:rPr>
        <w:t>W</w:t>
      </w:r>
      <w:r>
        <w:rPr>
          <w:rFonts w:ascii="Book Antiqua" w:hAnsi="Book Antiqua" w:eastAsia="Book Antiqua" w:cs="Book Antiqua"/>
        </w:rPr>
        <w:t>estern blot, alkaline phosphatase (ALP) staining</w:t>
      </w:r>
      <w:r>
        <w:rPr>
          <w:rFonts w:hint="eastAsia" w:ascii="Book Antiqua" w:hAnsi="Book Antiqua" w:eastAsia="宋体" w:cs="Book Antiqua"/>
          <w:lang w:eastAsia="zh-CN"/>
        </w:rPr>
        <w:t>,</w:t>
      </w:r>
      <w:r>
        <w:rPr>
          <w:rFonts w:ascii="Book Antiqua" w:hAnsi="Book Antiqua" w:eastAsia="Book Antiqua" w:cs="Book Antiqua"/>
        </w:rPr>
        <w:t xml:space="preserve"> and </w:t>
      </w:r>
      <w:bookmarkStart w:id="662" w:name="_Hlk156842546"/>
      <w:r>
        <w:rPr>
          <w:rFonts w:ascii="Book Antiqua" w:hAnsi="Book Antiqua" w:eastAsia="Book Antiqua" w:cs="Book Antiqua"/>
        </w:rPr>
        <w:t>Alizarin red staining</w:t>
      </w:r>
      <w:bookmarkEnd w:id="662"/>
      <w:r>
        <w:rPr>
          <w:rFonts w:ascii="Book Antiqua" w:hAnsi="Book Antiqua" w:eastAsia="Book Antiqua" w:cs="Book Antiqua"/>
        </w:rPr>
        <w:t xml:space="preserve">. The expression of </w:t>
      </w:r>
      <w:r>
        <w:rPr>
          <w:rFonts w:hint="eastAsia" w:ascii="Book Antiqua" w:hAnsi="Book Antiqua" w:eastAsia="宋体" w:cs="Book Antiqua"/>
          <w:lang w:eastAsia="zh-CN"/>
        </w:rPr>
        <w:t>Y</w:t>
      </w:r>
      <w:r>
        <w:rPr>
          <w:rFonts w:ascii="Book Antiqua" w:hAnsi="Book Antiqua" w:eastAsia="Book Antiqua" w:cs="Book Antiqua"/>
        </w:rPr>
        <w:t xml:space="preserve">es-associated protein (YAP1), the actin cytoskeleton, and the Lamin A/C nucleoskeleton were detected with or without YAP1 small interfering RNA (siRNA) application </w:t>
      </w:r>
      <w:r>
        <w:rPr>
          <w:rFonts w:ascii="Book Antiqua" w:hAnsi="Book Antiqua" w:eastAsia="Book Antiqua" w:cs="Book Antiqua"/>
          <w:i/>
          <w:iCs/>
        </w:rPr>
        <w:t>via</w:t>
      </w:r>
      <w:r>
        <w:rPr>
          <w:rFonts w:ascii="Book Antiqua" w:hAnsi="Book Antiqua" w:eastAsia="Book Antiqua" w:cs="Book Antiqua"/>
        </w:rPr>
        <w:t xml:space="preserve"> immunofluorescence.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The force treatment inhibited the osteogenic differentiation potential of hBMSCs; moreover, the expression of osteogenesis markers, such as type 1 collagen (COL1), runt-related transcription factor 2, </w:t>
      </w:r>
      <w:bookmarkStart w:id="663" w:name="_Hlk156838180"/>
      <w:r>
        <w:rPr>
          <w:rFonts w:ascii="Book Antiqua" w:hAnsi="Book Antiqua" w:eastAsia="Book Antiqua" w:cs="Book Antiqua"/>
        </w:rPr>
        <w:t>ALP</w:t>
      </w:r>
      <w:bookmarkEnd w:id="663"/>
      <w:r>
        <w:rPr>
          <w:rFonts w:hint="eastAsia" w:ascii="Book Antiqua" w:hAnsi="Book Antiqua" w:eastAsia="宋体" w:cs="Book Antiqua"/>
          <w:lang w:eastAsia="zh-CN"/>
        </w:rPr>
        <w:t>,</w:t>
      </w:r>
      <w:r>
        <w:rPr>
          <w:rFonts w:ascii="Book Antiqua" w:hAnsi="Book Antiqua" w:eastAsia="Book Antiqua" w:cs="Book Antiqua"/>
        </w:rPr>
        <w:t xml:space="preserve"> and osteocalcin (OCN)</w:t>
      </w:r>
      <w:r>
        <w:rPr>
          <w:rFonts w:hint="eastAsia" w:ascii="Book Antiqua" w:hAnsi="Book Antiqua" w:eastAsia="宋体" w:cs="Book Antiqua"/>
          <w:lang w:eastAsia="zh-CN"/>
        </w:rPr>
        <w:t xml:space="preserve">, </w:t>
      </w:r>
      <w:r>
        <w:rPr>
          <w:rFonts w:ascii="Book Antiqua" w:hAnsi="Book Antiqua" w:eastAsia="Book Antiqua" w:cs="Book Antiqua"/>
        </w:rPr>
        <w:t>decreased. LIPUS could rescue the osteogenic differentiation of hBMSCs with increased expression of osteogenic marker inhibited by force. Mechanically, the expression of LaminA/C, F-actin</w:t>
      </w:r>
      <w:r>
        <w:rPr>
          <w:rFonts w:hint="eastAsia" w:ascii="Book Antiqua" w:hAnsi="Book Antiqua" w:eastAsia="宋体" w:cs="Book Antiqua"/>
          <w:lang w:eastAsia="zh-CN"/>
        </w:rPr>
        <w:t>,</w:t>
      </w:r>
      <w:r>
        <w:rPr>
          <w:rFonts w:ascii="Book Antiqua" w:hAnsi="Book Antiqua" w:eastAsia="Book Antiqua" w:cs="Book Antiqua"/>
        </w:rPr>
        <w:t xml:space="preserve"> and YAP1 was downregulated after force treatment, which could be rescued by LIPUS. Moreover, the osteogenic differentiation of hBMSCs increased by LIPUS could be attenuated by YAP siRNA treatment.</w:t>
      </w:r>
      <w:r>
        <w:rPr>
          <w:rFonts w:ascii="Book Antiqua" w:hAnsi="Book Antiqua" w:eastAsia="Book Antiqua" w:cs="Book Antiqua"/>
          <w:i/>
          <w:iCs/>
        </w:rPr>
        <w:t xml:space="preserve"> </w:t>
      </w:r>
      <w:r>
        <w:rPr>
          <w:rFonts w:ascii="Book Antiqua" w:hAnsi="Book Antiqua" w:eastAsia="Book Antiqua" w:cs="Book Antiqua"/>
        </w:rPr>
        <w:t xml:space="preserve">Consistently, LIPUS increased alveolar bone density and decreased vertical bone absorption </w:t>
      </w:r>
      <w:r>
        <w:rPr>
          <w:rFonts w:ascii="Book Antiqua" w:hAnsi="Book Antiqua" w:eastAsia="Book Antiqua" w:cs="Book Antiqua"/>
          <w:i/>
          <w:iCs/>
        </w:rPr>
        <w:t>in vivo.</w:t>
      </w:r>
      <w:r>
        <w:rPr>
          <w:rFonts w:ascii="Book Antiqua" w:hAnsi="Book Antiqua" w:eastAsia="Book Antiqua" w:cs="Book Antiqua"/>
        </w:rPr>
        <w:t xml:space="preserve"> The decreased expression of COL1, OCN</w:t>
      </w:r>
      <w:r>
        <w:rPr>
          <w:rFonts w:hint="eastAsia" w:ascii="Book Antiqua" w:hAnsi="Book Antiqua" w:eastAsia="宋体" w:cs="Book Antiqua"/>
          <w:lang w:eastAsia="zh-CN"/>
        </w:rPr>
        <w:t>,</w:t>
      </w:r>
      <w:r>
        <w:rPr>
          <w:rFonts w:ascii="Book Antiqua" w:hAnsi="Book Antiqua" w:eastAsia="Book Antiqua" w:cs="Book Antiqua"/>
        </w:rPr>
        <w:t xml:space="preserve"> and YAP1 on the compression side of the alveolar bone was partially rescued by LIPUS.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LIPUS can accelerate tooth movement and reduce</w:t>
      </w:r>
      <w:r>
        <w:rPr>
          <w:rFonts w:hint="eastAsia" w:ascii="Book Antiqua" w:hAnsi="Book Antiqua" w:eastAsia="宋体" w:cs="Book Antiqua"/>
          <w:lang w:eastAsia="zh-CN"/>
        </w:rPr>
        <w:t xml:space="preserve"> </w:t>
      </w:r>
      <w:r>
        <w:rPr>
          <w:rFonts w:ascii="Book Antiqua" w:hAnsi="Book Antiqua" w:eastAsia="Book Antiqua" w:cs="Book Antiqua"/>
        </w:rPr>
        <w:t xml:space="preserve">alveolar bone resorption by modulating the cytoskeleton-Lamin A/C-YAP axis, which may be a promising strategy to reduce </w:t>
      </w:r>
      <w:r>
        <w:rPr>
          <w:rFonts w:hint="eastAsia" w:ascii="Book Antiqua" w:hAnsi="Book Antiqua" w:eastAsia="宋体" w:cs="Book Antiqua"/>
          <w:lang w:eastAsia="zh-CN"/>
        </w:rPr>
        <w:t xml:space="preserve">the </w:t>
      </w:r>
      <w:r>
        <w:rPr>
          <w:rFonts w:ascii="Book Antiqua" w:hAnsi="Book Antiqua" w:eastAsia="Book Antiqua" w:cs="Book Antiqua"/>
        </w:rPr>
        <w:t>orthodontic treatment process.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Low</w:t>
      </w:r>
      <w:r>
        <w:rPr>
          <w:rFonts w:hint="eastAsia" w:ascii="Book Antiqua" w:hAnsi="Book Antiqua" w:eastAsia="宋体" w:cs="Book Antiqua"/>
          <w:lang w:eastAsia="zh-CN"/>
        </w:rPr>
        <w:t>-</w:t>
      </w:r>
      <w:r>
        <w:rPr>
          <w:rFonts w:ascii="Book Antiqua" w:hAnsi="Book Antiqua" w:eastAsia="Book Antiqua" w:cs="Book Antiqua"/>
        </w:rPr>
        <w:t>intensity pulsed ultrasound; Bone resorption; Osteogenesis; Cytoskeleton-Lamin A/C-</w:t>
      </w:r>
      <w:r>
        <w:rPr>
          <w:rFonts w:hint="eastAsia" w:ascii="Book Antiqua" w:hAnsi="Book Antiqua" w:eastAsia="宋体" w:cs="Book Antiqua"/>
          <w:lang w:eastAsia="zh-CN"/>
        </w:rPr>
        <w:t>Y</w:t>
      </w:r>
      <w:r>
        <w:rPr>
          <w:rFonts w:ascii="Book Antiqua" w:hAnsi="Book Antiqua" w:eastAsia="Book Antiqua" w:cs="Book Antiqua"/>
        </w:rPr>
        <w:t>es-associated protein axis; Bone marrow mesenchymal stem cells; Orthodontic tooth movement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Wu T, Zheng F, Tang HY, Li HZ, Cui XY, Ding S, Liu D, Li CY, Jiang JH, Yang RL. Low-intensity pulsed ultrasound reduces alveolar bone resorption during orthodontic treatment </w:t>
      </w:r>
      <w:r>
        <w:rPr>
          <w:rFonts w:ascii="Book Antiqua" w:hAnsi="Book Antiqua" w:eastAsia="Book Antiqua" w:cs="Book Antiqua"/>
          <w:i/>
          <w:iCs/>
        </w:rPr>
        <w:t>via</w:t>
      </w:r>
      <w:r>
        <w:rPr>
          <w:rFonts w:ascii="Book Antiqua" w:hAnsi="Book Antiqua" w:eastAsia="Book Antiqua" w:cs="Book Antiqua"/>
        </w:rPr>
        <w:t xml:space="preserve"> Lamin A/C-</w:t>
      </w:r>
      <w:r>
        <w:rPr>
          <w:rFonts w:hint="eastAsia" w:ascii="Book Antiqua" w:hAnsi="Book Antiqua" w:eastAsia="宋体" w:cs="Book Antiqua"/>
          <w:lang w:eastAsia="zh-CN"/>
        </w:rPr>
        <w:t>Y</w:t>
      </w:r>
      <w:r>
        <w:rPr>
          <w:rFonts w:ascii="Book Antiqua" w:hAnsi="Book Antiqua" w:eastAsia="Book Antiqua" w:cs="Book Antiqua"/>
        </w:rPr>
        <w:t xml:space="preserve">es-associated protein axis in stem cells. </w:t>
      </w:r>
      <w:r>
        <w:rPr>
          <w:rFonts w:ascii="Book Antiqua" w:hAnsi="Book Antiqua" w:eastAsia="Book Antiqua" w:cs="Book Antiqua"/>
          <w:i/>
          <w:iCs/>
        </w:rPr>
        <w:t>World J Stem Cells</w:t>
      </w:r>
      <w:r>
        <w:rPr>
          <w:rFonts w:ascii="Book Antiqua" w:hAnsi="Book Antiqua" w:eastAsia="Book Antiqua" w:cs="Book Antiqua"/>
        </w:rPr>
        <w:t xml:space="preserve"> 2024; In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 xml:space="preserve">Low-intensity pulsed ultrasound </w:t>
      </w:r>
      <w:r>
        <w:rPr>
          <w:rFonts w:ascii="Book Antiqua" w:hAnsi="Book Antiqua" w:eastAsia="Book Antiqua" w:cs="Book Antiqua"/>
        </w:rPr>
        <w:t>can promote local alveolar bone remodeling and reduce vertical alveolar bone resorption and consequent gingival recession by regulating the osteogenic ability of bone marrow mesenchymal stem cell</w:t>
      </w:r>
      <w:r>
        <w:rPr>
          <w:rFonts w:hint="eastAsia" w:ascii="Book Antiqua" w:hAnsi="Book Antiqua" w:eastAsia="宋体" w:cs="Book Antiqua"/>
          <w:lang w:eastAsia="zh-CN"/>
        </w:rPr>
        <w:t>s</w:t>
      </w:r>
      <w:r>
        <w:rPr>
          <w:rFonts w:ascii="Book Antiqua" w:hAnsi="Book Antiqua" w:eastAsia="Book Antiqua" w:cs="Book Antiqua"/>
        </w:rPr>
        <w:t xml:space="preserve"> by upregulating the expression and nuclear translocation of </w:t>
      </w:r>
      <w:r>
        <w:rPr>
          <w:rFonts w:hint="eastAsia" w:ascii="Book Antiqua" w:hAnsi="Book Antiqua" w:eastAsia="宋体" w:cs="Book Antiqua"/>
          <w:lang w:eastAsia="zh-CN"/>
        </w:rPr>
        <w:t>Y</w:t>
      </w:r>
      <w:r>
        <w:rPr>
          <w:rFonts w:ascii="Book Antiqua" w:hAnsi="Book Antiqua" w:eastAsia="Book Antiqua" w:cs="Book Antiqua"/>
        </w:rPr>
        <w:t xml:space="preserve">es-associated protein decreased by mechanical stress </w:t>
      </w:r>
      <w:r>
        <w:rPr>
          <w:rFonts w:ascii="Book Antiqua" w:hAnsi="Book Antiqua" w:eastAsia="Book Antiqua" w:cs="Book Antiqua"/>
          <w:i/>
          <w:iCs/>
        </w:rPr>
        <w:t>via</w:t>
      </w:r>
      <w:r>
        <w:rPr>
          <w:rFonts w:ascii="Book Antiqua" w:hAnsi="Book Antiqua" w:eastAsia="Book Antiqua" w:cs="Book Antiqua"/>
        </w:rPr>
        <w:t xml:space="preserve"> affecting the cytoskeleton and nuclear skeleton.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Orthodontic treatment for malocclusion usually lasts 2-3 years, which brings great challenges to patient compliance and increases the risk of many complications, such as alveolar bone resorption, gingivitis, and other destructive diseases of the periodontal supporting tissue</w:t>
      </w:r>
      <w:r>
        <w:rPr>
          <w:rFonts w:ascii="Book Antiqua" w:hAnsi="Book Antiqua" w:eastAsia="Book Antiqua" w:cs="Book Antiqua"/>
          <w:color w:val="000000"/>
          <w:vertAlign w:val="superscript"/>
        </w:rPr>
        <w:t>[1]</w:t>
      </w:r>
      <w:r>
        <w:rPr>
          <w:rFonts w:ascii="Book Antiqua" w:hAnsi="Book Antiqua" w:eastAsia="Book Antiqua" w:cs="Book Antiqua"/>
          <w:color w:val="000000"/>
        </w:rPr>
        <w:t>. The alveolar bone loss caused by long-term orthodontic treatment may be due to imbalanced osteogenic and osteoclast activity.</w:t>
      </w:r>
    </w:p>
    <w:p>
      <w:pPr>
        <w:spacing w:line="360" w:lineRule="auto"/>
        <w:ind w:firstLine="240"/>
        <w:jc w:val="both"/>
        <w:rPr>
          <w:rFonts w:ascii="Book Antiqua" w:hAnsi="Book Antiqua"/>
        </w:rPr>
      </w:pPr>
      <w:r>
        <w:rPr>
          <w:rFonts w:ascii="Book Antiqua" w:hAnsi="Book Antiqua" w:eastAsia="Book Antiqua" w:cs="Book Antiqua"/>
          <w:color w:val="000000"/>
        </w:rPr>
        <w:t>Low-intensity pulsed ultrasound (LIPUS) usually refers to a pulse-emitted ultrasonic wave with an intensity between 30 and 100 mW/cm</w:t>
      </w:r>
      <w:r>
        <w:rPr>
          <w:rFonts w:ascii="Book Antiqua" w:hAnsi="Book Antiqua" w:eastAsia="Book Antiqua" w:cs="Book Antiqua"/>
          <w:color w:val="000000"/>
          <w:vertAlign w:val="superscript"/>
        </w:rPr>
        <w:t>2</w:t>
      </w:r>
      <w:r>
        <w:rPr>
          <w:rFonts w:ascii="Book Antiqua" w:hAnsi="Book Antiqua" w:eastAsia="Book Antiqua" w:cs="Book Antiqua"/>
          <w:color w:val="000000"/>
        </w:rPr>
        <w:t>, which is a noninvasive physical mechanical energy source</w:t>
      </w:r>
      <w:r>
        <w:rPr>
          <w:rFonts w:ascii="Book Antiqua" w:hAnsi="Book Antiqua" w:eastAsia="Book Antiqua" w:cs="Book Antiqua"/>
          <w:color w:val="000000"/>
          <w:vertAlign w:val="superscript"/>
        </w:rPr>
        <w:t>[2]</w:t>
      </w:r>
      <w:r>
        <w:rPr>
          <w:rFonts w:ascii="Book Antiqua" w:hAnsi="Book Antiqua" w:eastAsia="Book Antiqua" w:cs="Book Antiqua"/>
          <w:color w:val="000000"/>
        </w:rPr>
        <w:t>. It is delivered in the form of an acoustic wave and applied to tissue and cells to regulate biochemical functions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As revealed by several clinical trials and animal experiments </w:t>
      </w:r>
      <w:r>
        <w:rPr>
          <w:rFonts w:ascii="Book Antiqua" w:hAnsi="Book Antiqua" w:eastAsia="Book Antiqua" w:cs="Book Antiqua"/>
          <w:i/>
          <w:iCs/>
          <w:color w:val="000000"/>
        </w:rPr>
        <w:t>in vivo</w:t>
      </w:r>
      <w:r>
        <w:rPr>
          <w:rFonts w:ascii="Book Antiqua" w:hAnsi="Book Antiqua" w:eastAsia="Book Antiqua" w:cs="Book Antiqua"/>
          <w:color w:val="000000"/>
        </w:rPr>
        <w:t>, LIPUS can reduce the fracture healing time</w:t>
      </w:r>
      <w:r>
        <w:rPr>
          <w:rFonts w:ascii="Book Antiqua" w:hAnsi="Book Antiqua" w:eastAsia="Book Antiqua" w:cs="Book Antiqua"/>
          <w:color w:val="000000"/>
          <w:vertAlign w:val="superscript"/>
        </w:rPr>
        <w:t>[4]</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effectively treat delayed fracture union</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and bone nonunion</w:t>
      </w:r>
      <w:r>
        <w:rPr>
          <w:rFonts w:ascii="Book Antiqua" w:hAnsi="Book Antiqua" w:eastAsia="Book Antiqua" w:cs="Book Antiqua"/>
          <w:color w:val="000000"/>
          <w:vertAlign w:val="superscript"/>
        </w:rPr>
        <w:t>[6]</w:t>
      </w:r>
      <w:r>
        <w:rPr>
          <w:rFonts w:ascii="Book Antiqua" w:hAnsi="Book Antiqua" w:eastAsia="Book Antiqua" w:cs="Book Antiqua"/>
          <w:color w:val="000000"/>
        </w:rPr>
        <w:t>, and is safer and noninvasive than other treatments.</w:t>
      </w:r>
    </w:p>
    <w:p>
      <w:pPr>
        <w:spacing w:line="360" w:lineRule="auto"/>
        <w:ind w:firstLine="240"/>
        <w:jc w:val="both"/>
        <w:rPr>
          <w:rFonts w:ascii="Book Antiqua" w:hAnsi="Book Antiqua"/>
        </w:rPr>
      </w:pPr>
      <w:r>
        <w:rPr>
          <w:rFonts w:ascii="Book Antiqua" w:hAnsi="Book Antiqua" w:eastAsia="Book Antiqua" w:cs="Book Antiqua"/>
          <w:color w:val="000000"/>
        </w:rPr>
        <w:t xml:space="preserve">LIPUS has also gained attention in the field of orthodontics. </w:t>
      </w:r>
      <w:r>
        <w:rPr>
          <w:rFonts w:ascii="Book Antiqua" w:hAnsi="Book Antiqua" w:eastAsia="Book Antiqua" w:cs="Book Antiqua"/>
          <w:i/>
          <w:iCs/>
          <w:color w:val="000000"/>
        </w:rPr>
        <w:t>In vivo</w:t>
      </w:r>
      <w:r>
        <w:rPr>
          <w:rFonts w:ascii="Book Antiqua" w:hAnsi="Book Antiqua" w:eastAsia="Book Antiqua" w:cs="Book Antiqua"/>
          <w:color w:val="000000"/>
        </w:rPr>
        <w:t>, LIPUS can increase the distance of the teeth movement</w:t>
      </w:r>
      <w:r>
        <w:rPr>
          <w:rFonts w:ascii="Book Antiqua" w:hAnsi="Book Antiqua" w:eastAsia="Book Antiqua" w:cs="Book Antiqua"/>
          <w:color w:val="000000"/>
          <w:vertAlign w:val="superscript"/>
        </w:rPr>
        <w:t>[7]</w:t>
      </w:r>
      <w:r>
        <w:rPr>
          <w:rFonts w:ascii="Book Antiqua" w:hAnsi="Book Antiqua" w:eastAsia="Book Antiqua" w:cs="Book Antiqua"/>
          <w:color w:val="000000"/>
        </w:rPr>
        <w:t>; a retrospective clinical study also showed that LIPUS reduced the duration of invisible treatment by an average of 49%</w:t>
      </w:r>
      <w:r>
        <w:rPr>
          <w:rFonts w:ascii="Book Antiqua" w:hAnsi="Book Antiqua" w:eastAsia="Book Antiqua" w:cs="Book Antiqua"/>
          <w:color w:val="000000"/>
          <w:vertAlign w:val="superscript"/>
        </w:rPr>
        <w:t>[8]</w:t>
      </w:r>
      <w:r>
        <w:rPr>
          <w:rFonts w:ascii="Book Antiqua" w:hAnsi="Book Antiqua" w:eastAsia="Book Antiqua" w:cs="Book Antiqua"/>
          <w:color w:val="000000"/>
        </w:rPr>
        <w:t>. In a clinical study, buccal alveolar bone thickness and height did not respond to LIPUS during maxillary arch expansion</w:t>
      </w:r>
      <w:r>
        <w:rPr>
          <w:rFonts w:ascii="Book Antiqua" w:hAnsi="Book Antiqua" w:eastAsia="Book Antiqua" w:cs="Book Antiqua"/>
          <w:color w:val="000000"/>
          <w:vertAlign w:val="superscript"/>
        </w:rPr>
        <w:t>[9]</w:t>
      </w:r>
      <w:r>
        <w:rPr>
          <w:rFonts w:ascii="Book Antiqua" w:hAnsi="Book Antiqua" w:eastAsia="Book Antiqua" w:cs="Book Antiqua"/>
          <w:color w:val="000000"/>
        </w:rPr>
        <w:t>. In a tooth movement model in rats, LIPUS application increased the number of osteoclasts on the compression side</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The increased osteoclasts may lead to alveolar bone resorption and periodontal supporting tissue destruction. </w:t>
      </w:r>
      <w:bookmarkStart w:id="664" w:name="_Hlk157846726"/>
      <w:r>
        <w:rPr>
          <w:rFonts w:ascii="Book Antiqua" w:hAnsi="Book Antiqua" w:eastAsia="Book Antiqua" w:cs="Book Antiqua"/>
          <w:color w:val="000000"/>
        </w:rPr>
        <w:t>It</w:t>
      </w:r>
      <w:r>
        <w:rPr>
          <w:rFonts w:hint="eastAsia" w:ascii="Book Antiqua" w:hAnsi="Book Antiqua" w:eastAsia="宋体" w:cs="Book Antiqua"/>
          <w:color w:val="000000"/>
          <w:lang w:eastAsia="zh-CN"/>
        </w:rPr>
        <w:t xml:space="preserve"> i</w:t>
      </w:r>
      <w:r>
        <w:rPr>
          <w:rFonts w:ascii="Book Antiqua" w:hAnsi="Book Antiqua" w:eastAsia="Book Antiqua" w:cs="Book Antiqua"/>
          <w:color w:val="000000"/>
        </w:rPr>
        <w:t>s unclear whether LIPUS regulates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alveolar bone remodeling.</w:t>
      </w:r>
      <w:bookmarkEnd w:id="664"/>
    </w:p>
    <w:p>
      <w:pPr>
        <w:spacing w:line="360" w:lineRule="auto"/>
        <w:ind w:firstLine="240"/>
        <w:jc w:val="both"/>
        <w:rPr>
          <w:rFonts w:ascii="Book Antiqua" w:hAnsi="Book Antiqua"/>
        </w:rPr>
      </w:pPr>
      <w:r>
        <w:rPr>
          <w:rFonts w:ascii="Book Antiqua" w:hAnsi="Book Antiqua" w:eastAsia="Book Antiqua" w:cs="Book Antiqua"/>
          <w:color w:val="000000"/>
        </w:rPr>
        <w:t>Bone marrow mesenchymal stem cells (BMSCs), as bone marrow-derived stem cells, exhibit self-renewal capacity and multiple differentiation potential and can differentiate into multiple types of cells, tissues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organs under </w:t>
      </w:r>
      <w:r>
        <w:rPr>
          <w:rFonts w:hint="eastAsia" w:ascii="Book Antiqua" w:hAnsi="Book Antiqua" w:eastAsia="宋体" w:cs="Book Antiqua"/>
          <w:color w:val="000000"/>
          <w:lang w:eastAsia="zh-CN"/>
        </w:rPr>
        <w:t>proper</w:t>
      </w:r>
      <w:r>
        <w:rPr>
          <w:rFonts w:ascii="Book Antiqua" w:hAnsi="Book Antiqua" w:eastAsia="Book Antiqua" w:cs="Book Antiqua"/>
          <w:color w:val="000000"/>
        </w:rPr>
        <w:t xml:space="preserve"> conditions</w:t>
      </w:r>
      <w:r>
        <w:rPr>
          <w:rFonts w:ascii="Book Antiqua" w:hAnsi="Book Antiqua" w:eastAsia="Book Antiqua" w:cs="Book Antiqua"/>
          <w:color w:val="000000"/>
          <w:vertAlign w:val="superscript"/>
        </w:rPr>
        <w:t>[11]</w:t>
      </w:r>
      <w:r>
        <w:rPr>
          <w:rFonts w:ascii="Book Antiqua" w:hAnsi="Book Antiqua" w:eastAsia="Book Antiqua" w:cs="Book Antiqua"/>
          <w:color w:val="000000"/>
        </w:rPr>
        <w:t>. LIPUS could regulate MSC growth</w:t>
      </w:r>
      <w:r>
        <w:rPr>
          <w:rFonts w:ascii="Book Antiqua" w:hAnsi="Book Antiqua" w:eastAsia="Book Antiqua" w:cs="Book Antiqua"/>
          <w:color w:val="000000"/>
          <w:vertAlign w:val="superscript"/>
        </w:rPr>
        <w:t>[12]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promote chondrogenesis of MSCs seeded on </w:t>
      </w:r>
      <w:r>
        <w:rPr>
          <w:rFonts w:hint="eastAsia" w:ascii="Book Antiqua" w:hAnsi="Book Antiqua" w:eastAsia="Book Antiqua" w:cs="Book Antiqua"/>
          <w:color w:val="000000"/>
        </w:rPr>
        <w:t>three</w:t>
      </w:r>
      <w:r>
        <w:rPr>
          <w:rFonts w:hint="eastAsia" w:ascii="Book Antiqua" w:hAnsi="Book Antiqua" w:eastAsia="宋体" w:cs="Book Antiqua"/>
          <w:color w:val="000000"/>
          <w:lang w:eastAsia="zh-CN"/>
        </w:rPr>
        <w:t>-</w:t>
      </w:r>
      <w:r>
        <w:rPr>
          <w:rFonts w:hint="eastAsia" w:ascii="Book Antiqua" w:hAnsi="Book Antiqua" w:eastAsia="Book Antiqua" w:cs="Book Antiqua"/>
          <w:color w:val="000000"/>
        </w:rPr>
        <w:t>dimensionally</w:t>
      </w:r>
      <w:r>
        <w:rPr>
          <w:rFonts w:hint="eastAsia" w:ascii="Book Antiqua" w:hAnsi="Book Antiqua" w:eastAsia="宋体" w:cs="Book Antiqua"/>
          <w:color w:val="000000"/>
          <w:lang w:eastAsia="zh-CN"/>
        </w:rPr>
        <w:t xml:space="preserve"> (3D)</w:t>
      </w:r>
      <w:r>
        <w:rPr>
          <w:rFonts w:ascii="Book Antiqua" w:hAnsi="Book Antiqua" w:eastAsia="Book Antiqua" w:cs="Book Antiqua"/>
          <w:color w:val="000000"/>
        </w:rPr>
        <w:t xml:space="preserve"> printed scaffolds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t>
      </w:r>
      <w:bookmarkStart w:id="665" w:name="_Hlk157846608"/>
      <w:r>
        <w:rPr>
          <w:rFonts w:ascii="Book Antiqua" w:hAnsi="Book Antiqua" w:eastAsia="Book Antiqua" w:cs="Book Antiqua"/>
          <w:color w:val="000000"/>
        </w:rPr>
        <w:t>Besides, MSCs encapsulated in hydrogels of certain stiffness show enhanced osteogenesis ability under LIPUS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bookmarkEnd w:id="665"/>
      <w:r>
        <w:rPr>
          <w:rFonts w:ascii="Book Antiqua" w:hAnsi="Book Antiqua" w:eastAsia="Book Antiqua" w:cs="Book Antiqua"/>
          <w:color w:val="000000"/>
        </w:rPr>
        <w:t xml:space="preserve"> Few </w:t>
      </w:r>
      <w:r>
        <w:rPr>
          <w:rFonts w:hint="eastAsia" w:ascii="Book Antiqua" w:hAnsi="Book Antiqua" w:eastAsia="宋体" w:cs="Book Antiqua"/>
          <w:color w:val="000000"/>
          <w:lang w:eastAsia="zh-CN"/>
        </w:rPr>
        <w:t>studies have</w:t>
      </w:r>
      <w:r>
        <w:rPr>
          <w:rFonts w:ascii="Book Antiqua" w:hAnsi="Book Antiqua" w:eastAsia="Book Antiqua" w:cs="Book Antiqua"/>
          <w:color w:val="000000"/>
        </w:rPr>
        <w:t xml:space="preserve"> reported the effect of LIPUS on cells loaded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compression. Whether LIPUS could regulate the property of MSCs under compression force to control the alveolar bone remodeling during orthodontic treatment and the underlying mechanism need to be investigated.</w:t>
      </w:r>
    </w:p>
    <w:p>
      <w:pPr>
        <w:spacing w:line="360" w:lineRule="auto"/>
        <w:ind w:firstLine="240"/>
        <w:jc w:val="both"/>
        <w:rPr>
          <w:rFonts w:ascii="Book Antiqua" w:hAnsi="Book Antiqua"/>
        </w:rPr>
      </w:pPr>
      <w:r>
        <w:rPr>
          <w:rFonts w:ascii="Book Antiqua" w:hAnsi="Book Antiqua" w:eastAsia="Book Antiqua" w:cs="Book Antiqua"/>
          <w:color w:val="000000"/>
        </w:rPr>
        <w:t xml:space="preserve">Here, we show that LIPUS could accelerate the orthodontic tooth movement (OTM) and increase alveolar bone density and decreased vertical bone absorption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Lamin A/C-</w:t>
      </w:r>
      <w:r>
        <w:rPr>
          <w:rFonts w:hint="eastAsia" w:ascii="Book Antiqua" w:hAnsi="Book Antiqua" w:eastAsia="宋体" w:cs="Book Antiqua"/>
          <w:lang w:eastAsia="zh-CN"/>
        </w:rPr>
        <w:t>Y</w:t>
      </w:r>
      <w:r>
        <w:rPr>
          <w:rFonts w:ascii="Book Antiqua" w:hAnsi="Book Antiqua" w:eastAsia="Book Antiqua" w:cs="Book Antiqua"/>
        </w:rPr>
        <w:t>es-associated protein</w:t>
      </w:r>
      <w:r>
        <w:rPr>
          <w:rFonts w:ascii="Book Antiqua" w:hAnsi="Book Antiqua" w:eastAsia="Book Antiqua" w:cs="Book Antiqua"/>
          <w:color w:val="000000"/>
        </w:rPr>
        <w:t xml:space="preserve"> (YAP) axis</w:t>
      </w:r>
      <w:r>
        <w:rPr>
          <w:rFonts w:hint="eastAsia" w:ascii="Book Antiqua" w:hAnsi="Book Antiqua" w:eastAsia="宋体" w:cs="Book Antiqua"/>
          <w:color w:val="000000"/>
          <w:lang w:eastAsia="zh-CN"/>
        </w:rPr>
        <w:t xml:space="preserve">, suggesting that </w:t>
      </w:r>
      <w:r>
        <w:rPr>
          <w:rFonts w:ascii="Book Antiqua" w:hAnsi="Book Antiqua" w:eastAsia="Book Antiqua" w:cs="Book Antiqua"/>
          <w:color w:val="000000"/>
        </w:rPr>
        <w:t xml:space="preserve">LIPUS is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promising strategy to accelerate the orthodontic treatment with little side effects.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Cell culture</w:t>
      </w:r>
    </w:p>
    <w:p>
      <w:pPr>
        <w:spacing w:line="360" w:lineRule="auto"/>
        <w:jc w:val="both"/>
        <w:rPr>
          <w:rFonts w:ascii="Book Antiqua" w:hAnsi="Book Antiqua"/>
          <w:color w:val="000000"/>
        </w:rPr>
      </w:pPr>
      <w:bookmarkStart w:id="666" w:name="_Hlk157952098"/>
      <w:bookmarkStart w:id="667" w:name="_Hlk157954927"/>
      <w:bookmarkStart w:id="668" w:name="_Hlk157950646"/>
      <w:r>
        <w:rPr>
          <w:rFonts w:ascii="Book Antiqua" w:hAnsi="Book Antiqua" w:eastAsia="Book Antiqua" w:cs="Book Antiqua"/>
          <w:color w:val="000000"/>
        </w:rPr>
        <w:t>The human jawbone tissue sampling protocol gained approval from the Ethical Guidelines of Hospital of Stomatology, Peking University (No. PKUSSIRB-202385020) and was carried out after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informed consent</w:t>
      </w:r>
      <w:r>
        <w:rPr>
          <w:rFonts w:hint="eastAsia" w:ascii="Book Antiqua" w:hAnsi="Book Antiqua" w:eastAsia="宋体" w:cs="Book Antiqua"/>
          <w:color w:val="000000"/>
          <w:lang w:eastAsia="zh-CN"/>
        </w:rPr>
        <w:t xml:space="preserve"> was obtained</w:t>
      </w:r>
      <w:r>
        <w:rPr>
          <w:rFonts w:ascii="Book Antiqua" w:hAnsi="Book Antiqua" w:eastAsia="Book Antiqua" w:cs="Book Antiqua"/>
          <w:color w:val="000000"/>
        </w:rPr>
        <w:t xml:space="preserve">. </w:t>
      </w:r>
      <w:bookmarkStart w:id="669" w:name="_Hlk157963412"/>
      <w:r>
        <w:rPr>
          <w:rFonts w:ascii="Book Antiqua" w:hAnsi="Book Antiqua" w:eastAsia="Book Antiqua" w:cs="Book Antiqua"/>
          <w:color w:val="000000"/>
        </w:rPr>
        <w:t>BMSCs were isolated and cultured following the previously reported protocol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Briefly, we obtained a small piece of cortical bone located above the </w:t>
      </w:r>
      <w:r>
        <w:rPr>
          <w:rFonts w:hint="eastAsia" w:ascii="Book Antiqua" w:hAnsi="Book Antiqua" w:eastAsia="Book Antiqua" w:cs="Book Antiqua"/>
          <w:color w:val="000000"/>
        </w:rPr>
        <w:t>tooth</w:t>
      </w:r>
      <w:r>
        <w:rPr>
          <w:rFonts w:ascii="Book Antiqua" w:hAnsi="Book Antiqua" w:eastAsia="Book Antiqua" w:cs="Book Antiqua"/>
          <w:color w:val="000000"/>
        </w:rPr>
        <w:t xml:space="preserve"> </w:t>
      </w:r>
      <w:r>
        <w:rPr>
          <w:rFonts w:hint="eastAsia" w:ascii="Book Antiqua" w:hAnsi="Book Antiqua" w:eastAsia="Book Antiqua" w:cs="Book Antiqua"/>
          <w:color w:val="000000"/>
        </w:rPr>
        <w:t>crown</w:t>
      </w:r>
      <w:r>
        <w:rPr>
          <w:rFonts w:ascii="Book Antiqua" w:hAnsi="Book Antiqua" w:eastAsia="Book Antiqua" w:cs="Book Antiqua"/>
          <w:color w:val="000000"/>
        </w:rPr>
        <w:t>, which required removal during the extraction of the donor’s impacted third molars. The bone was carefully sectioned using a scalpel and subsequently digested</w:t>
      </w:r>
      <w:bookmarkEnd w:id="666"/>
      <w:r>
        <w:rPr>
          <w:rFonts w:ascii="Book Antiqua" w:hAnsi="Book Antiqua" w:eastAsia="Book Antiqua" w:cs="Book Antiqua"/>
          <w:color w:val="000000"/>
        </w:rPr>
        <w:t xml:space="preserve"> using collagenase type I (2 mg/mL; Worthington Biochem, Lakewood, NJ, United States) and dispase II (4 mg/mL; Roche Diagnostic, Indianapolis, IN, United States) for an hour at 37 °C. Single-cell suspensions from the jaw bone were subsequently acquired using 70-</w:t>
      </w:r>
      <w:r>
        <w:rPr>
          <w:rFonts w:ascii="Book Antiqua" w:hAnsi="Book Antiqua" w:cs="Book Antiqua"/>
          <w:color w:val="000000"/>
          <w:lang w:eastAsia="zh-CN"/>
        </w:rPr>
        <w:t>μm</w:t>
      </w:r>
      <w:r>
        <w:rPr>
          <w:rFonts w:ascii="Book Antiqua" w:hAnsi="Book Antiqua" w:eastAsia="Book Antiqua" w:cs="Book Antiqua"/>
          <w:color w:val="000000"/>
        </w:rPr>
        <w:t xml:space="preserve"> cell strainers (BD Bioscience, United States). </w:t>
      </w:r>
      <w:bookmarkEnd w:id="669"/>
      <w:r>
        <w:rPr>
          <w:rFonts w:ascii="Book Antiqua" w:hAnsi="Book Antiqua" w:eastAsia="Book Antiqua" w:cs="Book Antiqua"/>
          <w:color w:val="000000"/>
        </w:rPr>
        <w:t>Then, single cells were seeded onto 100-mm dishes at 1 to 1.5 × 10</w:t>
      </w:r>
      <w:r>
        <w:rPr>
          <w:rFonts w:ascii="Book Antiqua" w:hAnsi="Book Antiqua" w:eastAsia="Book Antiqua" w:cs="Book Antiqua"/>
          <w:color w:val="000000"/>
          <w:vertAlign w:val="superscript"/>
        </w:rPr>
        <w:t xml:space="preserve">6 </w:t>
      </w:r>
      <w:r>
        <w:rPr>
          <w:rFonts w:ascii="Book Antiqua" w:hAnsi="Book Antiqua" w:eastAsia="Book Antiqua" w:cs="Book Antiqua"/>
          <w:color w:val="000000"/>
        </w:rPr>
        <w:t>cells/mL.</w:t>
      </w:r>
      <w:bookmarkEnd w:id="667"/>
      <w:r>
        <w:rPr>
          <w:rFonts w:ascii="Book Antiqua" w:hAnsi="Book Antiqua" w:eastAsia="Book Antiqua" w:cs="Book Antiqua"/>
          <w:color w:val="000000"/>
        </w:rPr>
        <w:t xml:space="preserve"> BMSCs were isolated and cultured following the previously reported protocol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w:t>
      </w:r>
      <w:bookmarkEnd w:id="668"/>
      <w:bookmarkStart w:id="670" w:name="_Hlk157950935"/>
      <w:r>
        <w:rPr>
          <w:rFonts w:ascii="Book Antiqua" w:hAnsi="Book Antiqua" w:eastAsia="Book Antiqua" w:cs="Book Antiqua"/>
          <w:color w:val="000000"/>
        </w:rPr>
        <w:t>BMSCs were cultivated in Minimum Essential Medium α (VivaCell, Shanghai, China) supplemented with 15% fetal bovine serum (Gibco, Grand Island, NY, United States) and 1% penicillin-streptomycin solution (Cytiva, Shanghai, China) at 37 °C with 5%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and the medium was changed at 3-d intervals. The </w:t>
      </w:r>
      <w:r>
        <w:rPr>
          <w:rFonts w:hint="eastAsia" w:ascii="Book Antiqua" w:hAnsi="Book Antiqua" w:eastAsia="Book Antiqua" w:cs="Book Antiqua"/>
          <w:color w:val="000000"/>
        </w:rPr>
        <w:t>expression</w:t>
      </w:r>
      <w:r>
        <w:rPr>
          <w:rFonts w:ascii="Book Antiqua" w:hAnsi="Book Antiqua" w:eastAsia="Book Antiqua" w:cs="Book Antiqua"/>
          <w:color w:val="000000"/>
        </w:rPr>
        <w:t xml:space="preserve"> </w:t>
      </w:r>
      <w:r>
        <w:rPr>
          <w:rFonts w:hint="eastAsia" w:ascii="Book Antiqua" w:hAnsi="Book Antiqua" w:eastAsia="Book Antiqua" w:cs="Book Antiqua"/>
          <w:color w:val="000000"/>
        </w:rPr>
        <w:t>of</w:t>
      </w:r>
      <w:r>
        <w:rPr>
          <w:rFonts w:ascii="Book Antiqua" w:hAnsi="Book Antiqua" w:eastAsia="Book Antiqua" w:cs="Book Antiqua"/>
          <w:color w:val="000000"/>
        </w:rPr>
        <w:t xml:space="preserve"> </w:t>
      </w:r>
      <w:r>
        <w:rPr>
          <w:rFonts w:hint="eastAsia" w:ascii="Book Antiqua" w:hAnsi="Book Antiqua" w:eastAsia="Book Antiqua" w:cs="Book Antiqua"/>
          <w:color w:val="000000"/>
        </w:rPr>
        <w:t>stem</w:t>
      </w:r>
      <w:r>
        <w:rPr>
          <w:rFonts w:ascii="Book Antiqua" w:hAnsi="Book Antiqua" w:eastAsia="Book Antiqua" w:cs="Book Antiqua"/>
          <w:color w:val="000000"/>
        </w:rPr>
        <w:t xml:space="preserve"> </w:t>
      </w:r>
      <w:r>
        <w:rPr>
          <w:rFonts w:hint="eastAsia" w:ascii="Book Antiqua" w:hAnsi="Book Antiqua" w:eastAsia="Book Antiqua" w:cs="Book Antiqua"/>
          <w:color w:val="000000"/>
        </w:rPr>
        <w:t>cell</w:t>
      </w:r>
      <w:r>
        <w:rPr>
          <w:rFonts w:ascii="Book Antiqua" w:hAnsi="Book Antiqua" w:eastAsia="Book Antiqua" w:cs="Book Antiqua"/>
          <w:color w:val="000000"/>
        </w:rPr>
        <w:t xml:space="preserve"> </w:t>
      </w:r>
      <w:r>
        <w:rPr>
          <w:rFonts w:hint="eastAsia" w:ascii="Book Antiqua" w:hAnsi="Book Antiqua" w:eastAsia="Book Antiqua" w:cs="Book Antiqua"/>
          <w:color w:val="000000"/>
        </w:rPr>
        <w:t>surface</w:t>
      </w:r>
      <w:r>
        <w:rPr>
          <w:rFonts w:ascii="Book Antiqua" w:hAnsi="Book Antiqua" w:eastAsia="Book Antiqua" w:cs="Book Antiqua"/>
          <w:color w:val="000000"/>
        </w:rPr>
        <w:t xml:space="preserve"> </w:t>
      </w:r>
      <w:r>
        <w:rPr>
          <w:rFonts w:hint="eastAsia" w:ascii="Book Antiqua" w:hAnsi="Book Antiqua" w:eastAsia="Book Antiqua" w:cs="Book Antiqua"/>
          <w:color w:val="000000"/>
        </w:rPr>
        <w:t>markers</w:t>
      </w:r>
      <w:r>
        <w:rPr>
          <w:rFonts w:ascii="Book Antiqua" w:hAnsi="Book Antiqua" w:eastAsia="Book Antiqua" w:cs="Book Antiqua"/>
          <w:color w:val="000000"/>
        </w:rPr>
        <w:t xml:space="preserve"> </w:t>
      </w:r>
      <w:r>
        <w:rPr>
          <w:rFonts w:hint="eastAsia" w:ascii="Book Antiqua" w:hAnsi="Book Antiqua" w:eastAsia="Book Antiqua" w:cs="Book Antiqua"/>
          <w:color w:val="000000"/>
        </w:rPr>
        <w:t>in</w:t>
      </w:r>
      <w:r>
        <w:rPr>
          <w:rFonts w:ascii="Book Antiqua" w:hAnsi="Book Antiqua" w:eastAsia="Book Antiqua" w:cs="Book Antiqua"/>
          <w:color w:val="000000"/>
        </w:rPr>
        <w:t xml:space="preserve"> BMSC</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w</w:t>
      </w:r>
      <w:r>
        <w:rPr>
          <w:rFonts w:hint="eastAsia" w:ascii="Book Antiqua" w:hAnsi="Book Antiqua" w:eastAsia="宋体" w:cs="Book Antiqua"/>
          <w:color w:val="000000"/>
          <w:lang w:eastAsia="zh-CN"/>
        </w:rPr>
        <w:t>as</w:t>
      </w:r>
      <w:r>
        <w:rPr>
          <w:rFonts w:ascii="Book Antiqua" w:hAnsi="Book Antiqua" w:eastAsia="Book Antiqua" w:cs="Book Antiqua"/>
          <w:color w:val="000000"/>
        </w:rPr>
        <w:t xml:space="preserve"> characterized by flow cytometry according to the manufacturer’s protocol (BD Bioscience).</w:t>
      </w:r>
      <w:bookmarkEnd w:id="67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Transfection of small interfering RNA</w:t>
      </w:r>
    </w:p>
    <w:p>
      <w:pPr>
        <w:spacing w:line="360" w:lineRule="auto"/>
        <w:jc w:val="both"/>
        <w:rPr>
          <w:rFonts w:ascii="Book Antiqua" w:hAnsi="Book Antiqua"/>
        </w:rPr>
      </w:pPr>
      <w:r>
        <w:rPr>
          <w:rFonts w:ascii="Book Antiqua" w:hAnsi="Book Antiqua" w:eastAsia="Book Antiqua" w:cs="Book Antiqua"/>
          <w:color w:val="000000"/>
        </w:rPr>
        <w:t xml:space="preserve">Before transfection, the cell culture medium was changed to standard conditions without penicillin-streptomycin solution. The cells were then transfected with control small interfering RNA (siRNA) or YAP1 siRNA (Ribobio, Guangzhou, China) </w:t>
      </w:r>
      <w:r>
        <w:rPr>
          <w:rFonts w:ascii="Book Antiqua" w:hAnsi="Book Antiqua" w:eastAsia="Book Antiqua" w:cs="Book Antiqua"/>
          <w:i/>
          <w:iCs/>
          <w:color w:val="000000"/>
        </w:rPr>
        <w:t>via</w:t>
      </w:r>
      <w:r>
        <w:rPr>
          <w:rFonts w:ascii="Book Antiqua" w:hAnsi="Book Antiqua" w:eastAsia="Book Antiqua" w:cs="Book Antiqua"/>
          <w:color w:val="000000"/>
        </w:rPr>
        <w:t xml:space="preserve"> a ribo</w:t>
      </w:r>
      <w:r>
        <w:rPr>
          <w:rFonts w:ascii="Book Antiqua" w:hAnsi="Book Antiqua" w:eastAsia="Book Antiqua" w:cs="Book Antiqua"/>
          <w:i/>
          <w:iCs/>
          <w:color w:val="000000"/>
        </w:rPr>
        <w:t>FECT</w:t>
      </w:r>
      <w:r>
        <w:rPr>
          <w:rFonts w:ascii="Book Antiqua" w:hAnsi="Book Antiqua" w:eastAsia="Book Antiqua" w:cs="Book Antiqua"/>
          <w:color w:val="000000"/>
        </w:rPr>
        <w:t xml:space="preserve">™ CP Transfection Kit (Ribobio) in accordance with the manufacturer’s instructions. </w:t>
      </w:r>
      <w:bookmarkStart w:id="671" w:name="_Hlk156842213"/>
      <w:r>
        <w:rPr>
          <w:rFonts w:ascii="Book Antiqua" w:hAnsi="Book Antiqua" w:eastAsia="Book Antiqua" w:cs="Book Antiqua"/>
          <w:color w:val="000000"/>
        </w:rPr>
        <w:t>Quantitative reverse transcription</w:t>
      </w:r>
      <w:r>
        <w:rPr>
          <w:rFonts w:hint="eastAsia" w:ascii="Book Antiqua" w:hAnsi="Book Antiqua" w:eastAsia="宋体" w:cs="Book Antiqua"/>
          <w:color w:val="000000"/>
          <w:lang w:eastAsia="zh-CN"/>
        </w:rPr>
        <w:t>-</w:t>
      </w:r>
      <w:r>
        <w:rPr>
          <w:rFonts w:ascii="Book Antiqua" w:hAnsi="Book Antiqua" w:eastAsia="Book Antiqua" w:cs="Book Antiqua"/>
          <w:color w:val="000000"/>
        </w:rPr>
        <w:t>polymerase chain reaction</w:t>
      </w:r>
      <w:bookmarkEnd w:id="671"/>
      <w:r>
        <w:rPr>
          <w:rFonts w:ascii="Book Antiqua" w:hAnsi="Book Antiqua" w:eastAsia="Book Antiqua" w:cs="Book Antiqua"/>
          <w:color w:val="000000"/>
        </w:rPr>
        <w:t xml:space="preserve"> (</w:t>
      </w:r>
      <w:bookmarkStart w:id="672" w:name="_Hlk156839116"/>
      <w:r>
        <w:rPr>
          <w:rFonts w:ascii="Book Antiqua" w:hAnsi="Book Antiqua" w:eastAsia="Book Antiqua" w:cs="Book Antiqua"/>
          <w:color w:val="000000"/>
        </w:rPr>
        <w:t>qRT-PCR</w:t>
      </w:r>
      <w:bookmarkEnd w:id="672"/>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W</w:t>
      </w:r>
      <w:r>
        <w:rPr>
          <w:rFonts w:ascii="Book Antiqua" w:hAnsi="Book Antiqua" w:eastAsia="Book Antiqua" w:cs="Book Antiqua"/>
          <w:color w:val="000000"/>
        </w:rPr>
        <w:t>estern blotting</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immunofluorescence staining were subsequently performed to measure the knockdown 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Osteogenic differentiation, alkaline phosphatase activity</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 xml:space="preserve"> and alizarin red staining</w:t>
      </w:r>
    </w:p>
    <w:p>
      <w:pPr>
        <w:spacing w:line="360" w:lineRule="auto"/>
        <w:jc w:val="both"/>
        <w:rPr>
          <w:rFonts w:ascii="Book Antiqua" w:hAnsi="Book Antiqua"/>
        </w:rPr>
      </w:pPr>
      <w:r>
        <w:rPr>
          <w:rFonts w:ascii="Book Antiqua" w:hAnsi="Book Antiqua" w:eastAsia="Book Antiqua" w:cs="Book Antiqua"/>
          <w:color w:val="000000"/>
        </w:rPr>
        <w:t>BMSCs (1 × 10</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/mL) were seeded onto 6-well plates and cultured until the cell confluence reached 70%-80% before the medium was changed to osteogenic differentiation medium supplemented with </w:t>
      </w:r>
      <w:r>
        <w:rPr>
          <w:rFonts w:hint="eastAsia" w:ascii="Book Antiqua" w:hAnsi="Book Antiqua" w:eastAsia="宋体" w:cs="Book Antiqua"/>
          <w:color w:val="000000"/>
          <w:lang w:eastAsia="zh-CN"/>
        </w:rPr>
        <w:t>L</w:t>
      </w:r>
      <w:r>
        <w:rPr>
          <w:rFonts w:ascii="Book Antiqua" w:hAnsi="Book Antiqua" w:eastAsia="Book Antiqua" w:cs="Book Antiqua"/>
          <w:color w:val="000000"/>
        </w:rPr>
        <w:t>-ascorbic acid (50 μg/mL; Sigma, Missouri, United States), β-glycerophosphate (10 mmol/L; Sigma)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dexamethasone (0.1 μM; Sigma). During osteogenic induction of stem cells, the induction differentiation medium was changed every 3 d.</w:t>
      </w:r>
    </w:p>
    <w:p>
      <w:pPr>
        <w:spacing w:line="360" w:lineRule="auto"/>
        <w:ind w:firstLine="240"/>
        <w:jc w:val="both"/>
        <w:rPr>
          <w:rFonts w:ascii="Book Antiqua" w:hAnsi="Book Antiqua"/>
        </w:rPr>
      </w:pPr>
      <w:r>
        <w:rPr>
          <w:rFonts w:ascii="Book Antiqua" w:hAnsi="Book Antiqua" w:eastAsia="Book Antiqua" w:cs="Book Antiqua"/>
          <w:color w:val="000000"/>
        </w:rPr>
        <w:t>After induction for 14</w:t>
      </w:r>
      <w:r>
        <w:rPr>
          <w:rFonts w:hint="eastAsia" w:ascii="MS Mincho" w:hAnsi="MS Mincho" w:eastAsia="MS Mincho" w:cs="MS Mincho"/>
          <w:color w:val="000000"/>
        </w:rPr>
        <w:t> </w:t>
      </w:r>
      <w:r>
        <w:rPr>
          <w:rFonts w:ascii="Book Antiqua" w:hAnsi="Book Antiqua" w:eastAsia="Book Antiqua" w:cs="Book Antiqua"/>
          <w:color w:val="000000"/>
        </w:rPr>
        <w:t xml:space="preserve">d, alkaline phosphatase (ALP) staining (Beyotime, Shanghai, China) were conducted in accordance with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protocol, and so </w:t>
      </w:r>
      <w:r>
        <w:rPr>
          <w:rFonts w:hint="eastAsia" w:ascii="Book Antiqua" w:hAnsi="Book Antiqua" w:eastAsia="宋体" w:cs="Book Antiqua"/>
          <w:color w:val="000000"/>
          <w:lang w:eastAsia="zh-CN"/>
        </w:rPr>
        <w:t>did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lizarin </w:t>
      </w:r>
      <w:r>
        <w:rPr>
          <w:rFonts w:hint="eastAsia" w:ascii="Book Antiqua" w:hAnsi="Book Antiqua" w:eastAsia="宋体" w:cs="Book Antiqua"/>
          <w:color w:val="000000"/>
          <w:lang w:eastAsia="zh-CN"/>
        </w:rPr>
        <w:t>r</w:t>
      </w:r>
      <w:r>
        <w:rPr>
          <w:rFonts w:ascii="Book Antiqua" w:hAnsi="Book Antiqua" w:eastAsia="Book Antiqua" w:cs="Book Antiqua"/>
          <w:color w:val="000000"/>
        </w:rPr>
        <w:t>ed staining (Sigma) after induction for 21 d. For the quantification of mineralization, we dissolved red matrix sediment in 10% cetyl-pyridinium chloride (Macklin, Shanghai, China), and the absorbance of the solution was measured to determine the degree of mineralization quantitatively</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Application of a compression force</w:t>
      </w:r>
    </w:p>
    <w:p>
      <w:pPr>
        <w:spacing w:line="360" w:lineRule="auto"/>
        <w:jc w:val="both"/>
        <w:rPr>
          <w:rFonts w:ascii="Book Antiqua" w:hAnsi="Book Antiqua"/>
        </w:rPr>
      </w:pPr>
      <w:bookmarkStart w:id="673" w:name="_Hlk157848956"/>
      <w:r>
        <w:rPr>
          <w:rFonts w:ascii="Book Antiqua" w:hAnsi="Book Antiqua" w:eastAsia="Book Antiqua" w:cs="Book Antiqua"/>
          <w:color w:val="000000"/>
        </w:rPr>
        <w:t>Compression force was applied to the BMSCs to mimic stress during orthodontic movement</w:t>
      </w:r>
      <w:r>
        <w:rPr>
          <w:rFonts w:ascii="Book Antiqua" w:hAnsi="Book Antiqua" w:eastAsia="Book Antiqua" w:cs="Book Antiqua"/>
          <w:color w:val="000000"/>
          <w:vertAlign w:val="superscript"/>
        </w:rPr>
        <w:t>[17]</w:t>
      </w:r>
      <w:bookmarkEnd w:id="673"/>
      <w:r>
        <w:rPr>
          <w:rFonts w:ascii="Book Antiqua" w:hAnsi="Book Antiqua" w:eastAsia="Book Antiqua" w:cs="Book Antiqua"/>
          <w:color w:val="000000"/>
        </w:rPr>
        <w:t>. Briefly, a rounded glass sheet (30 mm in diameter) was placed over cell layers close to confluence in a 6-well plate. Stainless steel beads were placed above the glass sheet to adjust the static pressure to 1 g/cm</w:t>
      </w:r>
      <w:r>
        <w:rPr>
          <w:rFonts w:ascii="Book Antiqua" w:hAnsi="Book Antiqua" w:eastAsia="Book Antiqua" w:cs="Book Antiqua"/>
          <w:color w:val="000000"/>
          <w:vertAlign w:val="superscript"/>
        </w:rPr>
        <w:t>2</w:t>
      </w:r>
      <w:r>
        <w:rPr>
          <w:rFonts w:ascii="Book Antiqua" w:hAnsi="Book Antiqua" w:eastAsia="Book Antiqua" w:cs="Book Antiqua"/>
          <w:color w:val="000000"/>
        </w:rPr>
        <w:t>. The cells were under static compression for 24 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LIPUS treatment</w:t>
      </w:r>
    </w:p>
    <w:p>
      <w:pPr>
        <w:spacing w:line="360" w:lineRule="auto"/>
        <w:jc w:val="both"/>
        <w:rPr>
          <w:rFonts w:ascii="Book Antiqua" w:hAnsi="Book Antiqua"/>
        </w:rPr>
      </w:pPr>
      <w:r>
        <w:rPr>
          <w:rFonts w:ascii="Book Antiqua" w:hAnsi="Book Antiqua" w:eastAsia="Book Antiqua" w:cs="Book Antiqua"/>
          <w:color w:val="000000"/>
        </w:rPr>
        <w:t>In this study, the LIPUS device was obtained from the Institute of Acoustics (Chinese Academy of Sciences, Beijing, China). The device has circular transducers with an area of 9.07 cm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to match the area of a well in a 6-well plate. </w:t>
      </w:r>
      <w:bookmarkStart w:id="674" w:name="_Hlk157850381"/>
      <w:r>
        <w:rPr>
          <w:rFonts w:ascii="Book Antiqua" w:hAnsi="Book Antiqua" w:eastAsia="Book Antiqua" w:cs="Book Antiqua"/>
          <w:color w:val="000000"/>
        </w:rPr>
        <w:t>The cells were stimulated with LIPUS following the following specifications: 1.5 MHz frequency, 0.2 pulse duration ratio, 30 mW/cm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incident intensity, and 1.0 kHz repetition rate. Stimulation was applied for 20 min every day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in vitro </w:t>
      </w:r>
      <w:r>
        <w:rPr>
          <w:rFonts w:ascii="Book Antiqua" w:hAnsi="Book Antiqua" w:eastAsia="Book Antiqua" w:cs="Book Antiqua"/>
          <w:color w:val="000000"/>
        </w:rPr>
        <w:t xml:space="preserve">until the rats and cells were harvested, and the control group and force group were treated </w:t>
      </w:r>
      <w:r>
        <w:rPr>
          <w:rFonts w:hint="eastAsia" w:ascii="Book Antiqua" w:hAnsi="Book Antiqua" w:eastAsia="宋体" w:cs="Book Antiqua"/>
          <w:color w:val="000000"/>
          <w:lang w:eastAsia="zh-CN"/>
        </w:rPr>
        <w:t>by</w:t>
      </w:r>
      <w:r>
        <w:rPr>
          <w:rFonts w:ascii="Book Antiqua" w:hAnsi="Book Antiqua" w:eastAsia="Book Antiqua" w:cs="Book Antiqua"/>
          <w:color w:val="000000"/>
        </w:rPr>
        <w:t xml:space="preserve"> pseudo-LIPUS.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the rats under anesthesia were placed at a constant location, after which the transducer was pressed against the side of the cheek closest to the maxillary first molar. </w:t>
      </w:r>
      <w:r>
        <w:rPr>
          <w:rFonts w:ascii="Book Antiqua" w:hAnsi="Book Antiqua" w:eastAsia="Book Antiqua" w:cs="Book Antiqua"/>
          <w:i/>
          <w:iCs/>
          <w:color w:val="000000"/>
        </w:rPr>
        <w:t>In vitro</w:t>
      </w:r>
      <w:r>
        <w:rPr>
          <w:rFonts w:ascii="Book Antiqua" w:hAnsi="Book Antiqua" w:eastAsia="Book Antiqua" w:cs="Book Antiqua"/>
          <w:color w:val="000000"/>
        </w:rPr>
        <w:t>, we attached the transducer to the bottom of the plate corresponding to the well</w:t>
      </w:r>
      <w:r>
        <w:rPr>
          <w:rFonts w:ascii="Book Antiqua" w:hAnsi="Book Antiqua" w:eastAsia="Book Antiqua" w:cs="Book Antiqua"/>
          <w:color w:val="000000"/>
          <w:vertAlign w:val="superscript"/>
        </w:rPr>
        <w:t>[18]</w:t>
      </w:r>
      <w:bookmarkEnd w:id="674"/>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qRT-PCR</w:t>
      </w:r>
    </w:p>
    <w:p>
      <w:pPr>
        <w:spacing w:line="360" w:lineRule="auto"/>
        <w:jc w:val="both"/>
        <w:rPr>
          <w:rFonts w:ascii="Book Antiqua" w:hAnsi="Book Antiqua"/>
        </w:rPr>
      </w:pPr>
      <w:r>
        <w:rPr>
          <w:rFonts w:ascii="Book Antiqua" w:hAnsi="Book Antiqua" w:eastAsia="Book Antiqua" w:cs="Book Antiqua"/>
          <w:color w:val="000000"/>
        </w:rPr>
        <w:t xml:space="preserve">After 7 d of osteogenic induction, we utilized TRIzol reagent (Invitrogen, California, United States) to extract total cellular RNA following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previous protocol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Table 1 displays all the primers used. cDNA synthesis kits (Takara Bio, Tokyo, Japan) were used to prepare first-strand cDNA from RNA through reverse transcription in accordance with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protocol. A Viia</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7 Real-time PCR System (Applied Biosystems, Washington, Rhode Island, United States) was used for qRT-PCR, which was carried out in triplicate.</w:t>
      </w:r>
    </w:p>
    <w:p>
      <w:pPr>
        <w:spacing w:line="360" w:lineRule="auto"/>
        <w:jc w:val="both"/>
        <w:rPr>
          <w:rFonts w:ascii="Book Antiqua" w:hAnsi="Book Antiqua"/>
        </w:rPr>
      </w:pPr>
    </w:p>
    <w:p>
      <w:pPr>
        <w:spacing w:line="360" w:lineRule="auto"/>
        <w:jc w:val="both"/>
        <w:rPr>
          <w:rFonts w:ascii="Book Antiqua" w:hAnsi="Book Antiqua" w:eastAsia="宋体"/>
          <w:lang w:eastAsia="zh-CN"/>
        </w:rPr>
      </w:pPr>
      <w:r>
        <w:rPr>
          <w:rFonts w:ascii="Book Antiqua" w:hAnsi="Book Antiqua" w:eastAsia="Book Antiqua" w:cs="Book Antiqua"/>
          <w:b/>
          <w:bCs/>
          <w:i/>
          <w:iCs/>
          <w:color w:val="000000"/>
        </w:rPr>
        <w:t>Western blot</w:t>
      </w:r>
      <w:r>
        <w:rPr>
          <w:rFonts w:hint="eastAsia" w:ascii="Book Antiqua" w:hAnsi="Book Antiqua" w:eastAsia="宋体" w:cs="Book Antiqua"/>
          <w:b/>
          <w:bCs/>
          <w:i/>
          <w:iCs/>
          <w:color w:val="000000"/>
          <w:lang w:eastAsia="zh-CN"/>
        </w:rPr>
        <w:t xml:space="preserve"> analysis</w:t>
      </w:r>
    </w:p>
    <w:p>
      <w:pPr>
        <w:spacing w:line="360" w:lineRule="auto"/>
        <w:jc w:val="both"/>
        <w:rPr>
          <w:rFonts w:ascii="Book Antiqua" w:hAnsi="Book Antiqua"/>
        </w:rPr>
      </w:pPr>
      <w:r>
        <w:rPr>
          <w:rFonts w:ascii="Book Antiqua" w:hAnsi="Book Antiqua" w:eastAsia="Book Antiqua" w:cs="Book Antiqua"/>
          <w:color w:val="000000"/>
        </w:rPr>
        <w:t>After 7 d of osteogenic induction, RIPA buffer containing 1</w:t>
      </w:r>
      <w:r>
        <w:rPr>
          <w:rFonts w:hint="eastAsia" w:ascii="MS Mincho" w:hAnsi="MS Mincho" w:eastAsia="MS Mincho" w:cs="MS Mincho"/>
          <w:color w:val="000000"/>
        </w:rPr>
        <w:t> </w:t>
      </w:r>
      <w:r>
        <w:rPr>
          <w:rFonts w:ascii="Book Antiqua" w:hAnsi="Book Antiqua" w:eastAsia="Book Antiqua" w:cs="Book Antiqua"/>
          <w:color w:val="000000"/>
        </w:rPr>
        <w:t xml:space="preserve">mM phenylmethanesulfonyl fluoride (Solarbio, Beijing, China) was added for cell lysis, followed by centrifugation at 12000 × </w:t>
      </w:r>
      <w:r>
        <w:rPr>
          <w:rFonts w:ascii="Book Antiqua" w:hAnsi="Book Antiqua" w:eastAsia="Book Antiqua" w:cs="Book Antiqua"/>
          <w:i/>
          <w:iCs/>
          <w:color w:val="000000"/>
        </w:rPr>
        <w:t>g</w:t>
      </w:r>
      <w:r>
        <w:rPr>
          <w:rFonts w:ascii="Book Antiqua" w:hAnsi="Book Antiqua" w:eastAsia="Book Antiqua" w:cs="Book Antiqua"/>
          <w:color w:val="000000"/>
        </w:rPr>
        <w:t xml:space="preserve"> for 20 min at 4 °C. Thereafter, the supernatant was quantified with a BCA assay (Beyotime). Total protein was added to loading buffer, and the mixture was subsequently boiled for 10 min at 100 °C. Thereafter, the samples were stored at -20 °C. Equal amounts of total protein (30 μg) were loaded on sodium dodecyl sulfate-polyacrylamide gels and separated prior to electroblotting onto polyvinylidene difluoride membranes (Millipore, Billerica, Massachusetts, United States). After blocking with 5% </w:t>
      </w:r>
      <w:r>
        <w:rPr>
          <w:rFonts w:hint="eastAsia" w:ascii="Book Antiqua" w:hAnsi="Book Antiqua" w:eastAsia="宋体" w:cs="Book Antiqua"/>
          <w:color w:val="000000"/>
          <w:lang w:eastAsia="zh-CN"/>
        </w:rPr>
        <w:t>bovine serum albumin</w:t>
      </w:r>
      <w:r>
        <w:rPr>
          <w:rFonts w:ascii="Book Antiqua" w:hAnsi="Book Antiqua" w:eastAsia="Book Antiqua" w:cs="Book Antiqua"/>
          <w:color w:val="000000"/>
        </w:rPr>
        <w:t>, the membranes were incubated overnight on a shaker at 4 °C. The primary antibodies used were rabbit anti-</w:t>
      </w:r>
      <w:r>
        <w:rPr>
          <w:rFonts w:ascii="Book Antiqua" w:hAnsi="Book Antiqua" w:eastAsia="Book Antiqua" w:cs="Book Antiqua"/>
        </w:rPr>
        <w:t>type 1 collagen</w:t>
      </w:r>
      <w:r>
        <w:rPr>
          <w:rFonts w:ascii="Book Antiqua" w:hAnsi="Book Antiqua" w:eastAsia="Book Antiqua" w:cs="Book Antiqua"/>
          <w:color w:val="000000"/>
        </w:rPr>
        <w:t xml:space="preserve"> (COL1) and anti-</w:t>
      </w:r>
      <w:r>
        <w:rPr>
          <w:rFonts w:ascii="Book Antiqua" w:hAnsi="Book Antiqua" w:eastAsia="Book Antiqua" w:cs="Book Antiqua"/>
        </w:rPr>
        <w:t>osteocalcin</w:t>
      </w:r>
      <w:r>
        <w:rPr>
          <w:rFonts w:ascii="Book Antiqua" w:hAnsi="Book Antiqua" w:eastAsia="Book Antiqua" w:cs="Book Antiqua"/>
          <w:color w:val="000000"/>
        </w:rPr>
        <w:t xml:space="preserve"> (OCN) (1:500; Abcam, Cambridge, Massachusetts, United States), rabbit anti-ALP (1:500; Invitrogen), and mouse anti-GAPDH (1:1000; ProteinTech, Cook, Illinois, United States). Finally, HRP-labeled secondary antibodies (Zsgb-Bio, Beijing, China) were added for another 1-h incubation, followed by visualization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enhanced chemiluminescence (NCM Biotech, Suzhou, China). ImageJ software was used for band intensity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Immunofluorescence staining</w:t>
      </w:r>
    </w:p>
    <w:p>
      <w:pPr>
        <w:spacing w:line="360" w:lineRule="auto"/>
        <w:jc w:val="both"/>
        <w:rPr>
          <w:rFonts w:ascii="Book Antiqua" w:hAnsi="Book Antiqua"/>
        </w:rPr>
      </w:pPr>
      <w:r>
        <w:rPr>
          <w:rFonts w:ascii="Book Antiqua" w:hAnsi="Book Antiqua" w:eastAsia="Book Antiqua" w:cs="Book Antiqua"/>
          <w:color w:val="000000"/>
        </w:rPr>
        <w:t>After 7 d of osteogenic induction, 4% paraformaldehyde (PFA) was added for 15 min to fix the cells, after which the cells were rinsed with phosphate buffered saline (PBS) three times prior to 10 min of permeabilization with 0.5% Triton X-100 and washing with PBS. Thereafter, 5% BSA was added to the block cells for an hour before they were incubated with primary antibodies (1:200; Abcam) against YAP1, Lamin A/C</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F-actin at 4 °C overnight. The cells were washed with PBS before further incubation with Alexa Fluor 488- and Alexa Fluor 594-labeled antibodies (1:200; Invitrogen) for one hour. Finally, medium containing DAPI was added to the mount cells after washing. Images were captured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an inverted confocal microscope (Olympus, Tokyo,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Rat model of OTM</w:t>
      </w:r>
    </w:p>
    <w:p>
      <w:pPr>
        <w:spacing w:line="360" w:lineRule="auto"/>
        <w:jc w:val="both"/>
        <w:rPr>
          <w:rFonts w:ascii="Book Antiqua" w:hAnsi="Book Antiqua"/>
        </w:rPr>
      </w:pPr>
      <w:r>
        <w:rPr>
          <w:rFonts w:ascii="Book Antiqua" w:hAnsi="Book Antiqua" w:eastAsia="Book Antiqua" w:cs="Book Antiqua"/>
          <w:color w:val="000000"/>
        </w:rPr>
        <w:t xml:space="preserve">Male SD rats (6 wk old) weighing 200 ± 20 g were obtained from </w:t>
      </w:r>
      <w:bookmarkStart w:id="675" w:name="_Hlk157850965"/>
      <w:r>
        <w:rPr>
          <w:rFonts w:ascii="Book Antiqua" w:hAnsi="Book Antiqua" w:eastAsia="Book Antiqua" w:cs="Book Antiqua"/>
          <w:color w:val="000000"/>
        </w:rPr>
        <w:t>Beijing Vital River Laboratory Animal Technology Co., Ltd. (Beijing, China)</w:t>
      </w:r>
      <w:bookmarkEnd w:id="675"/>
      <w:r>
        <w:rPr>
          <w:rFonts w:ascii="Book Antiqua" w:hAnsi="Book Antiqua" w:eastAsia="Book Antiqua" w:cs="Book Antiqua"/>
          <w:color w:val="000000"/>
        </w:rPr>
        <w:t xml:space="preserve"> and housed under laboratory conditions (12 h light/dark cycle, 21 ± 2 °C, 50% humidity, </w:t>
      </w:r>
      <w:r>
        <w:rPr>
          <w:rFonts w:ascii="Book Antiqua" w:hAnsi="Book Antiqua" w:eastAsia="Book Antiqua" w:cs="Book Antiqua"/>
          <w:i/>
          <w:iCs/>
          <w:color w:val="000000"/>
        </w:rPr>
        <w:t>ad libitum</w:t>
      </w:r>
      <w:r>
        <w:rPr>
          <w:rFonts w:ascii="Book Antiqua" w:hAnsi="Book Antiqua" w:eastAsia="Book Antiqua" w:cs="Book Antiqua"/>
          <w:color w:val="000000"/>
        </w:rPr>
        <w:t xml:space="preserve"> access to food and water). All animal protocols utilized in the present work were approved by the Ethics Committee for Animal Experiments at Peking University Health Science Center (No. LA2022288) and were designed to minimize </w:t>
      </w:r>
      <w:r>
        <w:rPr>
          <w:rFonts w:hint="eastAsia" w:ascii="Book Antiqua" w:hAnsi="Book Antiqua" w:eastAsia="宋体" w:cs="Book Antiqua"/>
          <w:color w:val="000000"/>
          <w:lang w:eastAsia="zh-CN"/>
        </w:rPr>
        <w:t xml:space="preserve">animal </w:t>
      </w:r>
      <w:r>
        <w:rPr>
          <w:rFonts w:ascii="Book Antiqua" w:hAnsi="Book Antiqua" w:eastAsia="Book Antiqua" w:cs="Book Antiqua"/>
          <w:color w:val="000000"/>
        </w:rPr>
        <w:t>pain or discomfort.</w:t>
      </w:r>
    </w:p>
    <w:p>
      <w:pPr>
        <w:spacing w:line="360" w:lineRule="auto"/>
        <w:ind w:firstLine="240" w:firstLineChars="100"/>
        <w:jc w:val="both"/>
        <w:rPr>
          <w:rFonts w:ascii="Book Antiqua" w:hAnsi="Book Antiqua"/>
        </w:rPr>
      </w:pPr>
      <w:bookmarkStart w:id="676" w:name="_Hlk157948767"/>
      <w:bookmarkStart w:id="677" w:name="_Hlk157851055"/>
      <w:r>
        <w:rPr>
          <w:rFonts w:ascii="Book Antiqua" w:hAnsi="Book Antiqua" w:eastAsia="Book Antiqua" w:cs="Book Antiqua"/>
          <w:color w:val="000000"/>
        </w:rPr>
        <w:t>In total, 27 male rats were randomized to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control (</w:t>
      </w:r>
      <w:r>
        <w:rPr>
          <w:rFonts w:ascii="Book Antiqua" w:hAnsi="Book Antiqua" w:eastAsia="Book Antiqua" w:cs="Book Antiqua"/>
          <w:i/>
          <w:iCs/>
          <w:color w:val="000000"/>
        </w:rPr>
        <w:t>n</w:t>
      </w:r>
      <w:r>
        <w:rPr>
          <w:rFonts w:ascii="Book Antiqua" w:hAnsi="Book Antiqua" w:eastAsia="Book Antiqua" w:cs="Book Antiqua"/>
          <w:color w:val="000000"/>
        </w:rPr>
        <w:t xml:space="preserve"> = 3), force (day 7 and day 14) (</w:t>
      </w:r>
      <w:r>
        <w:rPr>
          <w:rFonts w:ascii="Book Antiqua" w:hAnsi="Book Antiqua" w:eastAsia="Book Antiqua" w:cs="Book Antiqua"/>
          <w:i/>
          <w:iCs/>
          <w:color w:val="000000"/>
        </w:rPr>
        <w:t>n</w:t>
      </w:r>
      <w:r>
        <w:rPr>
          <w:rFonts w:ascii="Book Antiqua" w:hAnsi="Book Antiqua" w:eastAsia="Book Antiqua" w:cs="Book Antiqua"/>
          <w:color w:val="000000"/>
        </w:rPr>
        <w:t xml:space="preserve"> = 6 per group)</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or force + LIPUS group (day 7 and day 14) (</w:t>
      </w:r>
      <w:r>
        <w:rPr>
          <w:rFonts w:ascii="Book Antiqua" w:hAnsi="Book Antiqua" w:eastAsia="Book Antiqua" w:cs="Book Antiqua"/>
          <w:i/>
          <w:iCs/>
          <w:color w:val="000000"/>
        </w:rPr>
        <w:t>n</w:t>
      </w:r>
      <w:r>
        <w:rPr>
          <w:rFonts w:ascii="Book Antiqua" w:hAnsi="Book Antiqua" w:eastAsia="Book Antiqua" w:cs="Book Antiqua"/>
          <w:color w:val="000000"/>
        </w:rPr>
        <w:t xml:space="preserve"> = 6 per group).</w:t>
      </w:r>
      <w:bookmarkEnd w:id="676"/>
      <w:r>
        <w:rPr>
          <w:rFonts w:ascii="Book Antiqua" w:hAnsi="Book Antiqua" w:eastAsia="Book Antiqua" w:cs="Book Antiqua"/>
          <w:color w:val="000000"/>
        </w:rPr>
        <w:t xml:space="preserve"> Before establishing the experimental OTM model, each rat was administered pentobarbital sodium (40 mg/kg of body weight) for anesthesia.</w:t>
      </w:r>
      <w:bookmarkEnd w:id="677"/>
      <w:r>
        <w:rPr>
          <w:rFonts w:ascii="Book Antiqua" w:hAnsi="Book Antiqua" w:eastAsia="Book Antiqua" w:cs="Book Antiqua"/>
          <w:color w:val="000000"/>
        </w:rPr>
        <w:t xml:space="preserve"> In those latter two groups, the OTM model was established as described in our previous </w:t>
      </w:r>
      <w:r>
        <w:rPr>
          <w:rFonts w:hint="eastAsia" w:ascii="Book Antiqua" w:hAnsi="Book Antiqua" w:eastAsia="宋体" w:cs="Book Antiqua"/>
          <w:color w:val="000000"/>
          <w:lang w:eastAsia="zh-CN"/>
        </w:rPr>
        <w:t>study</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A stainless steel ligation wire (0.025 mm in diameter; Tomy International, Inc., Tokyo, Japan) was used to ligate a closed-coil spring (Tomy International, Inc., Tokyo, Japan) to the maxillary first molar and incisor neck. The spring offers 50 g of force to move the maxillary first molar mesially. To enhance the retaining force and prevent the device from falling off, a 0.5 mm deep groove was made by a slow speed mill near the gingival margin of the maxillary incisor to accommodate the ligature wire, which was subsequently filled with flowing resin (3 M, Minnesota, United States). All animals were sacrificed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an overdose of pentobarbital sodium (150 mg/kg) for tissue collection.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Micro-</w:t>
      </w:r>
      <w:bookmarkStart w:id="678" w:name="_Hlk156842508"/>
      <w:r>
        <w:rPr>
          <w:rFonts w:ascii="Book Antiqua" w:hAnsi="Book Antiqua" w:eastAsia="Book Antiqua" w:cs="Book Antiqua"/>
          <w:b/>
          <w:bCs/>
          <w:i/>
          <w:iCs/>
          <w:color w:val="000000"/>
        </w:rPr>
        <w:t>computed tomography</w:t>
      </w:r>
      <w:bookmarkEnd w:id="678"/>
      <w:r>
        <w:rPr>
          <w:rFonts w:ascii="Book Antiqua" w:hAnsi="Book Antiqua" w:eastAsia="Book Antiqua" w:cs="Book Antiqua"/>
          <w:b/>
          <w:bCs/>
          <w:i/>
          <w:iCs/>
          <w:color w:val="000000"/>
        </w:rPr>
        <w:t xml:space="preserve"> imaging and measurements</w:t>
      </w:r>
    </w:p>
    <w:p>
      <w:pPr>
        <w:spacing w:line="360" w:lineRule="auto"/>
        <w:jc w:val="both"/>
        <w:rPr>
          <w:rFonts w:ascii="Book Antiqua" w:hAnsi="Book Antiqua"/>
        </w:rPr>
      </w:pPr>
      <w:r>
        <w:rPr>
          <w:rFonts w:ascii="Book Antiqua" w:hAnsi="Book Antiqua" w:eastAsia="Book Antiqua" w:cs="Book Antiqua"/>
          <w:color w:val="000000"/>
        </w:rPr>
        <w:t>A microcomputed tomography scanner was used to scan maxillary samples at 8.82 μm resolution, 500 μA tube current, 60 kV tube voltage, and 1500 ms exposure time. Inveon Research Workplace software (Siemens, Munich, Germany) together with Mimics Research 21.0 software (Materialise, Leuven, Belgium) was used for raw data reconstruction. With respect to the reconstructed 3D model, the shortest distance from the first to second molar crown was considered the tooth movement distance (Figure 1B). A straight plane was made at the cementum-enamel boundary (CEJ) on the first molar’s distal buccal side, and the farthest distance between it and the parallel line tangent to alveolar crest resorption was measured to assess the reduction in alveolar bone height. In addition, Inveon Research Workplace software was used to evaluate the BV/TV, Tb.Th, Tb.N, Tb.Sp</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BS/BV in the chosen </w:t>
      </w:r>
      <w:r>
        <w:rPr>
          <w:rFonts w:ascii="Book Antiqua" w:hAnsi="Book Antiqua" w:eastAsia="Book Antiqua" w:cs="Book Antiqua"/>
        </w:rPr>
        <w:t>region</w:t>
      </w:r>
      <w:r>
        <w:rPr>
          <w:rFonts w:hint="eastAsia" w:ascii="Book Antiqua" w:hAnsi="Book Antiqua" w:eastAsia="宋体" w:cs="Book Antiqua"/>
          <w:lang w:eastAsia="zh-CN"/>
        </w:rPr>
        <w:t>s</w:t>
      </w:r>
      <w:r>
        <w:rPr>
          <w:rFonts w:ascii="Book Antiqua" w:hAnsi="Book Antiqua" w:eastAsia="Book Antiqua" w:cs="Book Antiqua"/>
        </w:rPr>
        <w:t xml:space="preserve"> of interest (ROIs)</w:t>
      </w:r>
      <w:r>
        <w:rPr>
          <w:rFonts w:ascii="Book Antiqua" w:hAnsi="Book Antiqua" w:eastAsia="Book Antiqua" w:cs="Book Antiqua"/>
          <w:color w:val="000000"/>
        </w:rPr>
        <w:t xml:space="preserve"> (Figure 1C) by the reviewer, who was blinded to the groupings. All the samples were analyzed thrice to obtain the means.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Tissue processing</w:t>
      </w:r>
    </w:p>
    <w:p>
      <w:pPr>
        <w:spacing w:line="360" w:lineRule="auto"/>
        <w:jc w:val="both"/>
        <w:rPr>
          <w:rFonts w:ascii="Book Antiqua" w:hAnsi="Book Antiqua"/>
        </w:rPr>
      </w:pPr>
      <w:r>
        <w:rPr>
          <w:rFonts w:ascii="Book Antiqua" w:hAnsi="Book Antiqua" w:eastAsia="Book Antiqua" w:cs="Book Antiqua"/>
          <w:color w:val="000000"/>
        </w:rPr>
        <w:t xml:space="preserve">We set the experimental period at 7 and 14 d following the establishment of the tooth movement device. The rats were sacrificed with an overdose of pentobarbital sodium, after which the maxilla was dissected and immersed in 4% </w:t>
      </w:r>
      <w:r>
        <w:rPr>
          <w:rFonts w:hint="eastAsia" w:ascii="Book Antiqua" w:hAnsi="Book Antiqua" w:eastAsia="Book Antiqua" w:cs="Book Antiqua"/>
          <w:color w:val="000000"/>
        </w:rPr>
        <w:t>paraformaladehyde</w:t>
      </w:r>
      <w:r>
        <w:rPr>
          <w:rFonts w:ascii="Book Antiqua" w:hAnsi="Book Antiqua" w:eastAsia="Book Antiqua" w:cs="Book Antiqua"/>
          <w:color w:val="000000"/>
        </w:rPr>
        <w:t>. For hematoxylin and eosin (HE), tartrate-resistant acid phosphatase (TRAP)</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immunohistochemical staining, the trimmed tissues were decalcified with 5% ethylenediaminetetraacetic acid</w:t>
      </w:r>
      <w:r>
        <w:rPr>
          <w:rFonts w:hint="eastAsia" w:ascii="Book Antiqua" w:hAnsi="Book Antiqua" w:eastAsia="宋体" w:cs="Book Antiqua"/>
          <w:color w:val="000000"/>
          <w:lang w:eastAsia="zh-CN"/>
        </w:rPr>
        <w:t xml:space="preserve"> </w:t>
      </w:r>
      <w:r>
        <w:rPr>
          <w:rFonts w:hint="eastAsia" w:ascii="Book Antiqua" w:hAnsi="Book Antiqua" w:eastAsia="Book Antiqua" w:cs="Book Antiqua"/>
          <w:color w:val="000000"/>
        </w:rPr>
        <w:t>disodium</w:t>
      </w:r>
      <w:r>
        <w:rPr>
          <w:rFonts w:ascii="Book Antiqua" w:hAnsi="Book Antiqua" w:eastAsia="Book Antiqua" w:cs="Book Antiqua"/>
          <w:color w:val="000000"/>
        </w:rPr>
        <w:t xml:space="preserve"> for 15 d, followed by ethanol dehydration and paraffin embedding. Thereafter, the samples were cut into 5-μm vertical serial sections with a rotary microtome (RM2125RT, Leica, Heidelberger, Germany).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HE, TRAP</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 xml:space="preserve"> and immunohistochemical staining</w:t>
      </w:r>
    </w:p>
    <w:p>
      <w:pPr>
        <w:spacing w:line="360" w:lineRule="auto"/>
        <w:jc w:val="both"/>
        <w:rPr>
          <w:rFonts w:ascii="Book Antiqua" w:hAnsi="Book Antiqua"/>
        </w:rPr>
      </w:pPr>
      <w:r>
        <w:rPr>
          <w:rFonts w:ascii="Book Antiqua" w:hAnsi="Book Antiqua" w:eastAsia="Book Antiqua" w:cs="Book Antiqua"/>
          <w:color w:val="000000"/>
        </w:rPr>
        <w:t xml:space="preserve">Sections were stained with an HE staining kit (Sigma, Missouri, United States) or a TRAP staining kit (Solarbio, Beijing, China) following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protocols. Immunohistochemical staining was performed as follows. After xylene deparaffinization and ethanol rehydration, 0.125% trypsin and 20 μg/mL proteinase K solution were added to the sections, which were incubated at 37 °C for a 30-min period. Endogenous peroxidase activity was blocked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3%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for a 30-min period at room temperature. The sections were subsequently washed with PBS, blocked with 5% BSA for an hour</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incubated with polyclonal anti-rabbit COL1 and OCN antibodies (1:200; Abcam) overnight at 4 °C, followed by another 1-h incubation with HRP-labeled secondary goat anti-rabbit IgG (Zsgb-Bio, Beijing, China) at room temperature. Diaminobenzidine (Zsgb-Bio) was used for visualization in accordance with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protocol. After hematoxylin counterstaining, gradient ethanol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xylene dehydration, the sections were mounted using neutral resins.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data are presented as the mean ± SD and were analyzed with GraphPad Prism 7 software (GraphPad, Inc., La Jolla, CA, United States). Every assay was carried out thrice.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was used to evaluate intergroup differences, while one-way analysis of variance (ANOVA) with multiple comparisons was used to evaluate differences among multiple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indicated statistical significance.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Orthodontic force treatment decrease</w:t>
      </w:r>
      <w:r>
        <w:rPr>
          <w:rFonts w:hint="eastAsia" w:ascii="Book Antiqua" w:hAnsi="Book Antiqua" w:eastAsia="宋体" w:cs="Book Antiqua"/>
          <w:b/>
          <w:bCs/>
          <w:i/>
          <w:iCs/>
          <w:color w:val="000000"/>
          <w:lang w:eastAsia="zh-CN"/>
        </w:rPr>
        <w:t xml:space="preserve">s </w:t>
      </w:r>
      <w:r>
        <w:rPr>
          <w:rFonts w:ascii="Book Antiqua" w:hAnsi="Book Antiqua" w:eastAsia="Book Antiqua" w:cs="Book Antiqua"/>
          <w:b/>
          <w:bCs/>
          <w:i/>
          <w:iCs/>
          <w:color w:val="000000"/>
        </w:rPr>
        <w:t>alveolar bone height on the compression side</w:t>
      </w:r>
    </w:p>
    <w:p>
      <w:pPr>
        <w:spacing w:line="360" w:lineRule="auto"/>
        <w:jc w:val="both"/>
        <w:rPr>
          <w:rFonts w:ascii="Book Antiqua" w:hAnsi="Book Antiqua"/>
        </w:rPr>
      </w:pPr>
      <w:r>
        <w:rPr>
          <w:rFonts w:ascii="Book Antiqua" w:hAnsi="Book Antiqua" w:eastAsia="Book Antiqua" w:cs="Book Antiqua"/>
          <w:color w:val="000000"/>
        </w:rPr>
        <w:t>We detected the movement distance of the maxillary first molars on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and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after force appli</w:t>
      </w:r>
      <w:r>
        <w:rPr>
          <w:rFonts w:hint="eastAsia" w:ascii="Book Antiqua" w:hAnsi="Book Antiqua" w:eastAsia="宋体" w:cs="Book Antiqua"/>
          <w:color w:val="000000"/>
          <w:lang w:eastAsia="zh-CN"/>
        </w:rPr>
        <w:t>cation</w:t>
      </w:r>
      <w:r>
        <w:rPr>
          <w:rFonts w:ascii="Book Antiqua" w:hAnsi="Book Antiqua" w:eastAsia="Book Antiqua" w:cs="Book Antiqua"/>
          <w:color w:val="000000"/>
        </w:rPr>
        <w:t xml:space="preserve"> and found that the movement distance increased with time under the effect of 50 g of force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t>
      </w:r>
      <w:r>
        <w:rPr>
          <w:rFonts w:ascii="Book Antiqua" w:hAnsi="Book Antiqua" w:eastAsia="Book Antiqua" w:cs="Book Antiqua"/>
          <w:i/>
          <w:iCs/>
          <w:color w:val="000000"/>
        </w:rPr>
        <w:t>n</w:t>
      </w:r>
      <w:r>
        <w:rPr>
          <w:rFonts w:ascii="Book Antiqua" w:hAnsi="Book Antiqua" w:eastAsia="Book Antiqua" w:cs="Book Antiqua"/>
          <w:color w:val="000000"/>
        </w:rPr>
        <w:t xml:space="preserve"> = 3) (Figure 1A), suggesting that the rat OTM model was successfully constructed. Moreover, the distance between the alveolar crest and CEJ significantly increased on day 7 and day 14, showing that orthodontic force led to vertical resorption of alveolar bone beginning on day 7 (Figure 1B). We selected the alveolar bone mesial to the medial 1/3 of the first molar’s distal buccal root with a certain thickness as the ROI (Figure 1C). Micro-computed tomography results showed that at 7 and 14 d of tooth movement, the alveolar bone BV/TV and Tb.Th decreased after force appli</w:t>
      </w:r>
      <w:r>
        <w:rPr>
          <w:rFonts w:hint="eastAsia" w:ascii="Book Antiqua" w:hAnsi="Book Antiqua" w:eastAsia="宋体" w:cs="Book Antiqua"/>
          <w:color w:val="000000"/>
          <w:lang w:eastAsia="zh-CN"/>
        </w:rPr>
        <w:t>cation</w:t>
      </w:r>
      <w:r>
        <w:rPr>
          <w:rFonts w:ascii="Book Antiqua" w:hAnsi="Book Antiqua" w:eastAsia="Book Antiqua" w:cs="Book Antiqua"/>
          <w:color w:val="000000"/>
        </w:rPr>
        <w:t>, while the BS/BV and Tb.Sp increased after force appli</w:t>
      </w:r>
      <w:r>
        <w:rPr>
          <w:rFonts w:hint="eastAsia" w:ascii="Book Antiqua" w:hAnsi="Book Antiqua" w:eastAsia="宋体" w:cs="Book Antiqua"/>
          <w:color w:val="000000"/>
          <w:lang w:eastAsia="zh-CN"/>
        </w:rPr>
        <w:t>cation</w:t>
      </w:r>
      <w:r>
        <w:rPr>
          <w:rFonts w:ascii="Book Antiqua" w:hAnsi="Book Antiqua" w:eastAsia="Book Antiqua" w:cs="Book Antiqua"/>
          <w:color w:val="000000"/>
        </w:rPr>
        <w:t xml:space="preserve"> (Figure 1C). This result showed that the bone density decreased on the compression side after orthodontic force treatment. HE staining and immunohistochemical staining revealed a decreased number of cells positive for the osteogenic markers COL1 and OCN in alveolar bone on the pressure side (Figure 1D and E), with a greater number of TRAP-positive cells on the pressure side near the alveolar bone edge (Figure 1F).</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bCs/>
          <w:i/>
          <w:iCs/>
          <w:color w:val="000000"/>
          <w:lang w:val="en-US" w:eastAsia="zh-CN"/>
        </w:rPr>
        <w:t>O</w:t>
      </w:r>
      <w:r>
        <w:rPr>
          <w:rFonts w:ascii="Book Antiqua" w:hAnsi="Book Antiqua" w:eastAsia="Book Antiqua" w:cs="Book Antiqua"/>
          <w:b/>
          <w:bCs/>
          <w:i/>
          <w:iCs/>
          <w:color w:val="000000"/>
        </w:rPr>
        <w:t xml:space="preserve">steogenic differentiation of BMSCs </w:t>
      </w:r>
      <w:r>
        <w:rPr>
          <w:rFonts w:hint="eastAsia" w:ascii="Book Antiqua" w:hAnsi="Book Antiqua" w:eastAsia="宋体" w:cs="Book Antiqua"/>
          <w:b/>
          <w:bCs/>
          <w:i/>
          <w:iCs/>
          <w:color w:val="000000"/>
          <w:lang w:eastAsia="zh-CN"/>
        </w:rPr>
        <w:t>is</w:t>
      </w:r>
      <w:r>
        <w:rPr>
          <w:rFonts w:ascii="Book Antiqua" w:hAnsi="Book Antiqua" w:eastAsia="Book Antiqua" w:cs="Book Antiqua"/>
          <w:b/>
          <w:bCs/>
          <w:i/>
          <w:iCs/>
          <w:color w:val="000000"/>
        </w:rPr>
        <w:t xml:space="preserve"> inhibited by force treatment</w:t>
      </w:r>
    </w:p>
    <w:p>
      <w:pPr>
        <w:spacing w:line="360" w:lineRule="auto"/>
        <w:jc w:val="both"/>
        <w:rPr>
          <w:rFonts w:ascii="Book Antiqua" w:hAnsi="Book Antiqua"/>
        </w:rPr>
      </w:pPr>
      <w:bookmarkStart w:id="679" w:name="_Hlk157953716"/>
      <w:r>
        <w:rPr>
          <w:rFonts w:ascii="Book Antiqua" w:hAnsi="Book Antiqua" w:eastAsia="Book Antiqua" w:cs="Book Antiqua"/>
          <w:color w:val="000000"/>
        </w:rPr>
        <w:t xml:space="preserve">Static pressure was used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to simulate alveolar bone on the pressurized side. Compared to those in the control group, the osteogenic differentiation of the BMSCs in the force group was decreased, as evidenced by the ALP and alizarin red staining results (Supplementary Figure 1</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Figure 2A-D)</w:t>
      </w:r>
      <w:bookmarkEnd w:id="679"/>
      <w:r>
        <w:rPr>
          <w:rFonts w:ascii="Book Antiqua" w:hAnsi="Book Antiqua" w:eastAsia="Book Antiqua" w:cs="Book Antiqua"/>
          <w:color w:val="000000"/>
        </w:rPr>
        <w:t xml:space="preserve">. Correspondingly, the expression levels of the osteogenesis-related markers ALP, COL1, </w:t>
      </w:r>
      <w:r>
        <w:rPr>
          <w:rFonts w:ascii="Book Antiqua" w:hAnsi="Book Antiqua" w:eastAsia="Book Antiqua" w:cs="Book Antiqua"/>
        </w:rPr>
        <w:t>runt-related transcription factor 2 (RUNX2)</w:t>
      </w:r>
      <w:r>
        <w:rPr>
          <w:rFonts w:hint="eastAsia" w:ascii="Book Antiqua" w:hAnsi="Book Antiqua" w:eastAsia="宋体" w:cs="Book Antiqua"/>
          <w:lang w:eastAsia="zh-CN"/>
        </w:rPr>
        <w:t>,</w:t>
      </w:r>
      <w:r>
        <w:rPr>
          <w:rFonts w:ascii="Book Antiqua" w:hAnsi="Book Antiqua" w:eastAsia="Book Antiqua" w:cs="Book Antiqua"/>
          <w:color w:val="000000"/>
        </w:rPr>
        <w:t xml:space="preserve"> and OCN in the force group significantly decreased (Figure 2E and F) compared to the control ones, </w:t>
      </w:r>
      <w:r>
        <w:rPr>
          <w:rFonts w:hint="eastAsia" w:ascii="Book Antiqua" w:hAnsi="Book Antiqua" w:eastAsia="宋体" w:cs="Book Antiqua"/>
          <w:color w:val="000000"/>
          <w:lang w:eastAsia="zh-CN"/>
        </w:rPr>
        <w:t xml:space="preserve">as </w:t>
      </w:r>
      <w:r>
        <w:rPr>
          <w:rFonts w:ascii="Book Antiqua" w:hAnsi="Book Antiqua" w:eastAsia="Book Antiqua" w:cs="Book Antiqua"/>
          <w:color w:val="000000"/>
        </w:rPr>
        <w:t xml:space="preserve">detected by qRT-PCR and </w:t>
      </w:r>
      <w:r>
        <w:rPr>
          <w:rFonts w:hint="eastAsia" w:ascii="Book Antiqua" w:hAnsi="Book Antiqua" w:eastAsia="宋体" w:cs="Book Antiqua"/>
          <w:color w:val="000000"/>
          <w:lang w:eastAsia="zh-CN"/>
        </w:rPr>
        <w:t>W</w:t>
      </w:r>
      <w:r>
        <w:rPr>
          <w:rFonts w:ascii="Book Antiqua" w:hAnsi="Book Antiqua" w:eastAsia="Book Antiqua" w:cs="Book Antiqua"/>
          <w:color w:val="000000"/>
        </w:rPr>
        <w:t>estern blot.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LIPUS </w:t>
      </w:r>
      <w:r>
        <w:rPr>
          <w:rFonts w:hint="eastAsia" w:ascii="Book Antiqua" w:hAnsi="Book Antiqua" w:eastAsia="宋体" w:cs="Book Antiqua"/>
          <w:b/>
          <w:bCs/>
          <w:i/>
          <w:iCs/>
          <w:color w:val="000000"/>
          <w:lang w:eastAsia="zh-CN"/>
        </w:rPr>
        <w:t>induces</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osteogenic differentiation of BMSCs</w:t>
      </w:r>
    </w:p>
    <w:p>
      <w:pPr>
        <w:spacing w:line="360" w:lineRule="auto"/>
        <w:jc w:val="both"/>
        <w:rPr>
          <w:rFonts w:ascii="Book Antiqua" w:hAnsi="Book Antiqua"/>
        </w:rPr>
      </w:pPr>
      <w:r>
        <w:rPr>
          <w:rFonts w:ascii="Book Antiqua" w:hAnsi="Book Antiqua" w:eastAsia="Book Antiqua" w:cs="Book Antiqua"/>
          <w:color w:val="000000"/>
        </w:rPr>
        <w:t xml:space="preserve">The force treatment decreased the osteogenic differentiation of BMSCs, while LIPUS could rescue the impaired osteogenic differentiation of BMSCs caused by force treatment (Figure 3A-D), </w:t>
      </w:r>
      <w:r>
        <w:rPr>
          <w:rFonts w:hint="eastAsia" w:ascii="Book Antiqua" w:hAnsi="Book Antiqua" w:eastAsia="宋体" w:cs="Book Antiqua"/>
          <w:color w:val="000000"/>
          <w:lang w:eastAsia="zh-CN"/>
        </w:rPr>
        <w:t>as shown</w:t>
      </w:r>
      <w:r>
        <w:rPr>
          <w:rFonts w:ascii="Book Antiqua" w:hAnsi="Book Antiqua" w:eastAsia="Book Antiqua" w:cs="Book Antiqua"/>
          <w:color w:val="000000"/>
        </w:rPr>
        <w:t xml:space="preserve"> by ALP and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lizarin </w:t>
      </w:r>
      <w:r>
        <w:rPr>
          <w:rFonts w:hint="eastAsia" w:ascii="Book Antiqua" w:hAnsi="Book Antiqua" w:eastAsia="宋体" w:cs="Book Antiqua"/>
          <w:color w:val="000000"/>
          <w:lang w:eastAsia="zh-CN"/>
        </w:rPr>
        <w:t>r</w:t>
      </w:r>
      <w:r>
        <w:rPr>
          <w:rFonts w:ascii="Book Antiqua" w:hAnsi="Book Antiqua" w:eastAsia="Book Antiqua" w:cs="Book Antiqua"/>
          <w:color w:val="000000"/>
        </w:rPr>
        <w:t>ed staining. Moreover, the expression of ALP, COL1, RUNX2</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OCN w</w:t>
      </w:r>
      <w:r>
        <w:rPr>
          <w:rFonts w:hint="eastAsia" w:ascii="Book Antiqua" w:hAnsi="Book Antiqua" w:eastAsia="宋体" w:cs="Book Antiqua"/>
          <w:color w:val="000000"/>
          <w:lang w:eastAsia="zh-CN"/>
        </w:rPr>
        <w:t>as</w:t>
      </w:r>
      <w:r>
        <w:rPr>
          <w:rFonts w:ascii="Book Antiqua" w:hAnsi="Book Antiqua" w:eastAsia="Book Antiqua" w:cs="Book Antiqua"/>
          <w:color w:val="000000"/>
        </w:rPr>
        <w:t xml:space="preserve"> accordingly increased after LIPUS treatment compared with the force group, as assessed by qRT-PCR (Figure 3E) and </w:t>
      </w:r>
      <w:r>
        <w:rPr>
          <w:rFonts w:hint="eastAsia" w:ascii="Book Antiqua" w:hAnsi="Book Antiqua" w:eastAsia="宋体" w:cs="Book Antiqua"/>
          <w:color w:val="000000"/>
          <w:lang w:eastAsia="zh-CN"/>
        </w:rPr>
        <w:t>W</w:t>
      </w:r>
      <w:r>
        <w:rPr>
          <w:rFonts w:ascii="Book Antiqua" w:hAnsi="Book Antiqua" w:eastAsia="Book Antiqua" w:cs="Book Antiqua"/>
          <w:color w:val="000000"/>
        </w:rPr>
        <w:t>estern blot (Figure 3F).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LIPUS decrease</w:t>
      </w:r>
      <w:r>
        <w:rPr>
          <w:rFonts w:hint="eastAsia" w:ascii="Book Antiqua" w:hAnsi="Book Antiqua" w:eastAsia="宋体" w:cs="Book Antiqua"/>
          <w:b/>
          <w:bCs/>
          <w:i/>
          <w:iCs/>
          <w:color w:val="000000"/>
          <w:lang w:eastAsia="zh-CN"/>
        </w:rPr>
        <w:t>s</w:t>
      </w:r>
      <w:r>
        <w:rPr>
          <w:rFonts w:ascii="Book Antiqua" w:hAnsi="Book Antiqua" w:eastAsia="Book Antiqua" w:cs="Book Antiqua"/>
          <w:b/>
          <w:bCs/>
          <w:i/>
          <w:iCs/>
          <w:color w:val="000000"/>
        </w:rPr>
        <w:t xml:space="preserve"> alveolar bone resorption in vivo</w:t>
      </w:r>
    </w:p>
    <w:p>
      <w:pPr>
        <w:spacing w:line="360" w:lineRule="auto"/>
        <w:jc w:val="both"/>
        <w:rPr>
          <w:rFonts w:ascii="Book Antiqua" w:hAnsi="Book Antiqua"/>
        </w:rPr>
      </w:pPr>
      <w:r>
        <w:rPr>
          <w:rFonts w:ascii="Book Antiqua" w:hAnsi="Book Antiqua" w:eastAsia="Book Antiqua" w:cs="Book Antiqua"/>
          <w:color w:val="000000"/>
        </w:rPr>
        <w:t xml:space="preserve">The movement distance of the first molar in the force + LIPUS group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greater than that </w:t>
      </w:r>
      <w:r>
        <w:rPr>
          <w:rFonts w:hint="eastAsia" w:ascii="Book Antiqua" w:hAnsi="Book Antiqua" w:eastAsia="宋体" w:cs="Book Antiqua"/>
          <w:color w:val="000000"/>
          <w:lang w:eastAsia="zh-CN"/>
        </w:rPr>
        <w:t>of</w:t>
      </w:r>
      <w:r>
        <w:rPr>
          <w:rFonts w:ascii="Book Antiqua" w:hAnsi="Book Antiqua" w:eastAsia="Book Antiqua" w:cs="Book Antiqua"/>
          <w:color w:val="000000"/>
        </w:rPr>
        <w:t xml:space="preserve"> the force group on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and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after force appli</w:t>
      </w:r>
      <w:r>
        <w:rPr>
          <w:rFonts w:hint="eastAsia" w:ascii="Book Antiqua" w:hAnsi="Book Antiqua" w:eastAsia="宋体" w:cs="Book Antiqua"/>
          <w:color w:val="000000"/>
          <w:lang w:eastAsia="zh-CN"/>
        </w:rPr>
        <w:t>cation</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(Figure 4A-D). Moreover, the height of alveolar bone resorption was also reduced in the LIPUS treatment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(Figure 4E and F). ROI measurements of the corresponding sites indicated that the BV/TV and Tb.Th of the force + LIPUS group were higher than those of the force group, while the BS/BV and Tb.Sp were decreased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i/>
          <w:iCs/>
          <w:color w:val="000000"/>
        </w:rPr>
        <w:t>n</w:t>
      </w:r>
      <w:r>
        <w:rPr>
          <w:rFonts w:ascii="Book Antiqua" w:hAnsi="Book Antiqua" w:eastAsia="Book Antiqua" w:cs="Book Antiqua"/>
          <w:color w:val="000000"/>
        </w:rPr>
        <w:t xml:space="preserve"> = 3) (Figure 4G-I), indicating that LIPUS promoted alveolar bone formation. Furthermore, the expression of COL1 and OCN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w:t>
      </w:r>
      <w:r>
        <w:rPr>
          <w:rFonts w:hint="eastAsia" w:ascii="Book Antiqua" w:hAnsi="Book Antiqua" w:eastAsia="宋体" w:cs="Book Antiqua"/>
          <w:color w:val="000000"/>
          <w:lang w:eastAsia="zh-CN"/>
        </w:rPr>
        <w:t>as</w:t>
      </w:r>
      <w:r>
        <w:rPr>
          <w:rFonts w:ascii="Book Antiqua" w:hAnsi="Book Antiqua" w:eastAsia="Book Antiqua" w:cs="Book Antiqua"/>
          <w:color w:val="000000"/>
        </w:rPr>
        <w:t xml:space="preserve"> increased on the compressed side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LIPUS treatment group compared with the force group (Figure 5A-D). However, no significant differences in TRAP-positive cell numbers were observed between the force group and the force + LIPUS group (Figure 5B and 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LIPUS activate</w:t>
      </w:r>
      <w:r>
        <w:rPr>
          <w:rFonts w:hint="eastAsia" w:ascii="Book Antiqua" w:hAnsi="Book Antiqua" w:eastAsia="宋体" w:cs="Book Antiqua"/>
          <w:b/>
          <w:bCs/>
          <w:i/>
          <w:iCs/>
          <w:color w:val="000000"/>
          <w:lang w:eastAsia="zh-CN"/>
        </w:rPr>
        <w:t>s</w:t>
      </w:r>
      <w:r>
        <w:rPr>
          <w:rFonts w:ascii="Book Antiqua" w:hAnsi="Book Antiqua" w:eastAsia="Book Antiqua" w:cs="Book Antiqua"/>
          <w:b/>
          <w:bCs/>
          <w:i/>
          <w:iCs/>
          <w:color w:val="000000"/>
        </w:rPr>
        <w:t xml:space="preserve"> YAP1 signaling via Lamin A/C</w:t>
      </w:r>
    </w:p>
    <w:p>
      <w:pPr>
        <w:spacing w:line="360" w:lineRule="auto"/>
        <w:jc w:val="both"/>
        <w:rPr>
          <w:rFonts w:ascii="Book Antiqua" w:hAnsi="Book Antiqua"/>
        </w:rPr>
      </w:pPr>
      <w:bookmarkStart w:id="680" w:name="_Hlk157850712"/>
      <w:r>
        <w:rPr>
          <w:rFonts w:ascii="Book Antiqua" w:hAnsi="Book Antiqua" w:eastAsia="Book Antiqua" w:cs="Book Antiqua"/>
          <w:color w:val="000000"/>
        </w:rPr>
        <w:t xml:space="preserve">To explore the role of LIPUS in regulating the cytoskeleton in BMSCs, we performed F-actin and Lamin A/C immunofluorescence co-staining </w:t>
      </w:r>
      <w:r>
        <w:rPr>
          <w:rFonts w:ascii="Book Antiqua" w:hAnsi="Book Antiqua" w:eastAsia="Book Antiqua" w:cs="Book Antiqua"/>
          <w:i/>
          <w:iCs/>
          <w:color w:val="000000"/>
        </w:rPr>
        <w:t>in vitro</w:t>
      </w:r>
      <w:r>
        <w:rPr>
          <w:rFonts w:ascii="Book Antiqua" w:hAnsi="Book Antiqua" w:eastAsia="Book Antiqua" w:cs="Book Antiqua"/>
          <w:color w:val="000000"/>
        </w:rPr>
        <w:t>.</w:t>
      </w:r>
      <w:bookmarkEnd w:id="680"/>
      <w:r>
        <w:rPr>
          <w:rFonts w:ascii="Book Antiqua" w:hAnsi="Book Antiqua" w:eastAsia="Book Antiqua" w:cs="Book Antiqua"/>
          <w:color w:val="000000"/>
        </w:rPr>
        <w:t xml:space="preserve"> The results showed that the compressive force treatment downregulated the expression of F-actin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disrupted the cytoskeleton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inhibited the Lamin A/C ratio in BMSCs, while LIPUS effectively reversed these changes (Figure 6A). Lamin A/C was reported to mediate the YAP1 nuclear localization by regulating nuclear stiffness</w:t>
      </w:r>
      <w:r>
        <w:rPr>
          <w:rFonts w:ascii="Book Antiqua" w:hAnsi="Book Antiqua" w:eastAsia="Book Antiqua" w:cs="Book Antiqua"/>
          <w:color w:val="000000"/>
          <w:vertAlign w:val="superscript"/>
        </w:rPr>
        <w:t>[21,22]</w:t>
      </w:r>
      <w:r>
        <w:rPr>
          <w:rFonts w:ascii="Book Antiqua" w:hAnsi="Book Antiqua" w:eastAsia="Book Antiqua" w:cs="Book Antiqua"/>
          <w:color w:val="000000"/>
        </w:rPr>
        <w:t>. Next, we analyzed the expression of YAP1</w:t>
      </w:r>
      <w:r>
        <w:rPr>
          <w:rFonts w:hint="eastAsia" w:ascii="Book Antiqua" w:hAnsi="Book Antiqua" w:eastAsia="宋体" w:cs="Book Antiqua"/>
          <w:color w:val="000000"/>
          <w:lang w:eastAsia="zh-CN"/>
        </w:rPr>
        <w:t>. T</w:t>
      </w:r>
      <w:r>
        <w:rPr>
          <w:rFonts w:ascii="Book Antiqua" w:hAnsi="Book Antiqua" w:eastAsia="Book Antiqua" w:cs="Book Antiqua"/>
          <w:color w:val="000000"/>
        </w:rPr>
        <w:t xml:space="preserve">he results showed that the expression of YAP1 was decreased by force treatment, whereas LIPUS restored the expression of YAP1 and increased the nuclear localization of YAP1, </w:t>
      </w:r>
      <w:r>
        <w:rPr>
          <w:rFonts w:hint="eastAsia" w:ascii="Book Antiqua" w:hAnsi="Book Antiqua" w:eastAsia="宋体" w:cs="Book Antiqua"/>
          <w:color w:val="000000"/>
          <w:lang w:eastAsia="zh-CN"/>
        </w:rPr>
        <w:t>as shown</w:t>
      </w:r>
      <w:r>
        <w:rPr>
          <w:rFonts w:ascii="Book Antiqua" w:hAnsi="Book Antiqua" w:eastAsia="Book Antiqua" w:cs="Book Antiqua"/>
          <w:color w:val="000000"/>
        </w:rPr>
        <w:t xml:space="preserve"> by immunofluorescence staining and </w:t>
      </w:r>
      <w:r>
        <w:rPr>
          <w:rFonts w:hint="eastAsia" w:ascii="Book Antiqua" w:hAnsi="Book Antiqua" w:eastAsia="宋体" w:cs="Book Antiqua"/>
          <w:color w:val="000000"/>
          <w:lang w:eastAsia="zh-CN"/>
        </w:rPr>
        <w:t>W</w:t>
      </w:r>
      <w:r>
        <w:rPr>
          <w:rFonts w:ascii="Book Antiqua" w:hAnsi="Book Antiqua" w:eastAsia="Book Antiqua" w:cs="Book Antiqua"/>
          <w:color w:val="000000"/>
        </w:rPr>
        <w:t>estern blot (Figure 6B and C). Consistently, the expression of YAP1 w</w:t>
      </w:r>
      <w:r>
        <w:rPr>
          <w:rFonts w:hint="eastAsia" w:ascii="Book Antiqua" w:hAnsi="Book Antiqua" w:eastAsia="宋体" w:cs="Book Antiqua"/>
          <w:color w:val="000000"/>
          <w:lang w:eastAsia="zh-CN"/>
        </w:rPr>
        <w:t>as</w:t>
      </w:r>
      <w:r>
        <w:rPr>
          <w:rFonts w:ascii="Book Antiqua" w:hAnsi="Book Antiqua" w:eastAsia="Book Antiqua" w:cs="Book Antiqua"/>
          <w:color w:val="000000"/>
        </w:rPr>
        <w:t xml:space="preserve"> decreased in the force group, while its expression was increased in the LIPUS treatment group </w:t>
      </w:r>
      <w:r>
        <w:rPr>
          <w:rFonts w:ascii="Book Antiqua" w:hAnsi="Book Antiqua" w:eastAsia="Book Antiqua" w:cs="Book Antiqua"/>
          <w:i/>
          <w:iCs/>
          <w:color w:val="000000"/>
        </w:rPr>
        <w:t>in vivo</w:t>
      </w:r>
      <w:r>
        <w:rPr>
          <w:rFonts w:hint="eastAsia" w:ascii="Book Antiqua" w:hAnsi="Book Antiqua" w:eastAsia="宋体" w:cs="Book Antiqua"/>
          <w:i/>
          <w:iCs/>
          <w:color w:val="000000"/>
          <w:lang w:eastAsia="zh-CN"/>
        </w:rPr>
        <w:t>,</w:t>
      </w:r>
      <w:r>
        <w:rPr>
          <w:rFonts w:ascii="Book Antiqua" w:hAnsi="Book Antiqua" w:eastAsia="Book Antiqua" w:cs="Book Antiqua"/>
          <w:i/>
          <w:iCs/>
          <w:color w:val="000000"/>
        </w:rPr>
        <w:t xml:space="preserve"> </w:t>
      </w:r>
      <w:r>
        <w:rPr>
          <w:rFonts w:hint="eastAsia" w:ascii="Book Antiqua" w:hAnsi="Book Antiqua" w:eastAsia="宋体" w:cs="Book Antiqua"/>
          <w:i/>
          <w:iCs/>
          <w:color w:val="000000"/>
          <w:lang w:eastAsia="zh-CN"/>
        </w:rPr>
        <w:t xml:space="preserve">as </w:t>
      </w:r>
      <w:r>
        <w:rPr>
          <w:rFonts w:ascii="Book Antiqua" w:hAnsi="Book Antiqua" w:eastAsia="Book Antiqua" w:cs="Book Antiqua"/>
          <w:color w:val="000000"/>
        </w:rPr>
        <w:t>analyzed by immunochemical staining (Figure 6D).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Knockdown of YAP1 block</w:t>
      </w:r>
      <w:r>
        <w:rPr>
          <w:rFonts w:hint="eastAsia" w:ascii="Book Antiqua" w:hAnsi="Book Antiqua" w:eastAsia="宋体" w:cs="Book Antiqua"/>
          <w:b/>
          <w:bCs/>
          <w:i/>
          <w:iCs/>
          <w:color w:val="000000"/>
          <w:lang w:eastAsia="zh-CN"/>
        </w:rPr>
        <w:t>s</w:t>
      </w:r>
      <w:r>
        <w:rPr>
          <w:rFonts w:hint="eastAsia" w:ascii="Book Antiqua" w:hAnsi="Book Antiqua" w:eastAsia="宋体" w:cs="Book Antiqua"/>
          <w:b/>
          <w:bCs/>
          <w:i/>
          <w:iCs/>
          <w:color w:val="000000"/>
          <w:lang w:val="en-US" w:eastAsia="zh-CN"/>
        </w:rPr>
        <w:t xml:space="preserve"> </w:t>
      </w:r>
      <w:r>
        <w:rPr>
          <w:rFonts w:ascii="Book Antiqua" w:hAnsi="Book Antiqua" w:eastAsia="Book Antiqua" w:cs="Book Antiqua"/>
          <w:b/>
          <w:bCs/>
          <w:i/>
          <w:iCs/>
          <w:color w:val="000000"/>
        </w:rPr>
        <w:t>osteogenic differentiation of BMSC</w:t>
      </w:r>
      <w:r>
        <w:rPr>
          <w:rFonts w:hint="eastAsia" w:ascii="Book Antiqua" w:hAnsi="Book Antiqua" w:eastAsia="宋体" w:cs="Book Antiqua"/>
          <w:b/>
          <w:bCs/>
          <w:i/>
          <w:iCs/>
          <w:color w:val="000000"/>
          <w:lang w:eastAsia="zh-CN"/>
        </w:rPr>
        <w:t>s</w:t>
      </w:r>
      <w:r>
        <w:rPr>
          <w:rFonts w:ascii="Book Antiqua" w:hAnsi="Book Antiqua" w:eastAsia="Book Antiqua" w:cs="Book Antiqua"/>
          <w:b/>
          <w:bCs/>
          <w:i/>
          <w:iCs/>
          <w:color w:val="000000"/>
        </w:rPr>
        <w:t xml:space="preserve"> induced by LIPUS</w:t>
      </w:r>
    </w:p>
    <w:p>
      <w:pPr>
        <w:spacing w:line="360" w:lineRule="auto"/>
        <w:jc w:val="both"/>
        <w:rPr>
          <w:rFonts w:ascii="Book Antiqua" w:hAnsi="Book Antiqua"/>
        </w:rPr>
      </w:pPr>
      <w:r>
        <w:rPr>
          <w:rFonts w:ascii="Book Antiqua" w:hAnsi="Book Antiqua" w:eastAsia="Book Antiqua" w:cs="Book Antiqua"/>
          <w:color w:val="000000"/>
        </w:rPr>
        <w:t>To verify the role of YAP1 on the property of BMSCs, we used YAP1 siRNA to treat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BMSCs (Figure 7A)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the results showed that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expression of osteogenic differentiation-related marker</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ALP, COL1, RUNX2 and OCN increased by LIPUS treatment could be blocked by YAP1 siRNA treatment (Figure 7B and C). The osteogenic differentiation of BMSCs increased by LIPUS treatment could also be inhibited by YAP1 siRNA treatment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as assessed by ALP and </w:t>
      </w:r>
      <w:r>
        <w:rPr>
          <w:rFonts w:hint="eastAsia" w:ascii="Book Antiqua" w:hAnsi="Book Antiqua" w:eastAsia="宋体" w:cs="Book Antiqua"/>
          <w:color w:val="000000"/>
          <w:lang w:eastAsia="zh-CN"/>
        </w:rPr>
        <w:t>a</w:t>
      </w:r>
      <w:r>
        <w:rPr>
          <w:rFonts w:ascii="Book Antiqua" w:hAnsi="Book Antiqua" w:eastAsia="Book Antiqua" w:cs="Book Antiqua"/>
          <w:color w:val="000000"/>
        </w:rPr>
        <w:t>lizarin red staining (Figure 7D and E). Our results demonstrated that LIPUS can accelerate tooth movement and reduce alveolar bone resorption by modulating the cytoskeleton-Lamin A/C-YAP axis (Figure 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process of orthodontic treatment is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bone remodeling process. The force applied to drive tooth movement in some extent led to some adverse reactions, such as root resorption and bone mineral density decline. LIPUS has been reported </w:t>
      </w:r>
      <w:r>
        <w:rPr>
          <w:rFonts w:hint="eastAsia" w:ascii="Book Antiqua" w:hAnsi="Book Antiqua" w:eastAsia="宋体" w:cs="Book Antiqua"/>
          <w:color w:val="000000"/>
          <w:lang w:eastAsia="zh-CN"/>
        </w:rPr>
        <w:t xml:space="preserve">to </w:t>
      </w:r>
      <w:r>
        <w:rPr>
          <w:rFonts w:ascii="Book Antiqua" w:hAnsi="Book Antiqua" w:eastAsia="Book Antiqua" w:cs="Book Antiqua"/>
          <w:color w:val="000000"/>
        </w:rPr>
        <w:t>alleviat</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 chondrocyte damage in temporomandibular disorders</w:t>
      </w:r>
      <w:r>
        <w:rPr>
          <w:rFonts w:ascii="Book Antiqua" w:hAnsi="Book Antiqua" w:eastAsia="Book Antiqua" w:cs="Book Antiqua"/>
          <w:color w:val="000000"/>
          <w:vertAlign w:val="superscript"/>
        </w:rPr>
        <w:t>[23]</w:t>
      </w:r>
      <w:r>
        <w:rPr>
          <w:rFonts w:ascii="Book Antiqua" w:hAnsi="Book Antiqua" w:eastAsia="Book Antiqua" w:cs="Book Antiqua"/>
          <w:color w:val="000000"/>
        </w:rPr>
        <w:t>, reduc</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 root resorption</w:t>
      </w:r>
      <w:r>
        <w:rPr>
          <w:rFonts w:ascii="Book Antiqua" w:hAnsi="Book Antiqua" w:eastAsia="Book Antiqua" w:cs="Book Antiqua"/>
          <w:color w:val="000000"/>
          <w:vertAlign w:val="superscript"/>
        </w:rPr>
        <w:t>[24]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enhanc</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 bone remodeling</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However, there is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lack of research on the effect of LIPUS on the aesthetic problem of gingival recession due to the loss of alveolar bone height during orthodontic treatment. Changes in alveolar bone morphology affect the aesthetic effect, safety, and stability</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of orthodontic treatment. Clinical studies have shown that alveolar bone height loss often leads to insufficient periodontal supporting tissue, decreased dental stability, and aesthetic problems in the anterior teeth</w:t>
      </w:r>
      <w:r>
        <w:rPr>
          <w:rFonts w:ascii="Book Antiqua" w:hAnsi="Book Antiqua" w:eastAsia="Book Antiqua" w:cs="Book Antiqua"/>
          <w:color w:val="000000"/>
          <w:vertAlign w:val="superscript"/>
        </w:rPr>
        <w:t>[26]</w:t>
      </w:r>
      <w:r>
        <w:rPr>
          <w:rFonts w:ascii="Book Antiqua" w:hAnsi="Book Antiqua" w:eastAsia="Book Antiqua" w:cs="Book Antiqua"/>
          <w:color w:val="000000"/>
        </w:rPr>
        <w:t>. Our experiments showed that LIPUS could effectively ameliorate the aesthetic and health problems caused by alveolar bone height loss by reducing vertical alveolar bone resorption and improving the morphology of alveolar bone remodeling, and filled the research gap in the relevant field.</w:t>
      </w:r>
    </w:p>
    <w:p>
      <w:pPr>
        <w:spacing w:line="360" w:lineRule="auto"/>
        <w:ind w:firstLine="240"/>
        <w:jc w:val="both"/>
        <w:rPr>
          <w:rFonts w:ascii="Book Antiqua" w:hAnsi="Book Antiqua"/>
        </w:rPr>
      </w:pPr>
      <w:r>
        <w:rPr>
          <w:rFonts w:ascii="Book Antiqua" w:hAnsi="Book Antiqua" w:eastAsia="Book Antiqua" w:cs="Book Antiqua"/>
          <w:color w:val="000000"/>
        </w:rPr>
        <w:t xml:space="preserve">Clinical studies have used </w:t>
      </w:r>
      <w:r>
        <w:rPr>
          <w:rFonts w:hint="eastAsia" w:ascii="Book Antiqua" w:hAnsi="Book Antiqua" w:eastAsia="Book Antiqua" w:cs="Book Antiqua"/>
          <w:color w:val="000000"/>
        </w:rPr>
        <w:t>cone beam computed tomography</w:t>
      </w:r>
      <w:r>
        <w:rPr>
          <w:rFonts w:ascii="Book Antiqua" w:hAnsi="Book Antiqua" w:eastAsia="Book Antiqua" w:cs="Book Antiqua"/>
          <w:color w:val="000000"/>
        </w:rPr>
        <w:t xml:space="preserve"> to assess changes in periodontal bone mineral density during orthodontic treatment. On average, the alveolar bone mineral density decreases by 24% after 7 mo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orthodontic treatment, while the region with the largest reduction in bone mineral density seems to be related to the direction of tooth movement</w:t>
      </w:r>
      <w:r>
        <w:rPr>
          <w:rFonts w:ascii="Book Antiqua" w:hAnsi="Book Antiqua" w:eastAsia="Book Antiqua" w:cs="Book Antiqua"/>
          <w:color w:val="000000"/>
          <w:vertAlign w:val="superscript"/>
        </w:rPr>
        <w:t>[27,28]</w:t>
      </w:r>
      <w:r>
        <w:rPr>
          <w:rFonts w:ascii="Book Antiqua" w:hAnsi="Book Antiqua" w:eastAsia="Book Antiqua" w:cs="Book Antiqua"/>
          <w:color w:val="000000"/>
        </w:rPr>
        <w:t>. Consistently, in the present study, we found that bone mineral density decreased at 7 and 14 d after stress. Mechanical stress can modulate osteoclasts and osteoblasts, thereby promoting bone reconstruction</w:t>
      </w:r>
      <w:r>
        <w:rPr>
          <w:rFonts w:ascii="Book Antiqua" w:hAnsi="Book Antiqua" w:eastAsia="Book Antiqua" w:cs="Book Antiqua"/>
          <w:color w:val="000000"/>
          <w:vertAlign w:val="superscript"/>
        </w:rPr>
        <w:t>[29,30]</w:t>
      </w:r>
      <w:r>
        <w:rPr>
          <w:rFonts w:ascii="Book Antiqua" w:hAnsi="Book Antiqua" w:eastAsia="Book Antiqua" w:cs="Book Antiqua"/>
          <w:color w:val="000000"/>
        </w:rPr>
        <w:t>. Excessive compressive force can cause stem cell apoptosis</w:t>
      </w:r>
      <w:r>
        <w:rPr>
          <w:rFonts w:ascii="Book Antiqua" w:hAnsi="Book Antiqua" w:eastAsia="Book Antiqua" w:cs="Book Antiqua"/>
          <w:color w:val="000000"/>
          <w:vertAlign w:val="superscript"/>
        </w:rPr>
        <w:t>[31]</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aggravate mitochondrial dysfunction, ATP consumption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oxidative stress in stem cells</w:t>
      </w:r>
      <w:r>
        <w:rPr>
          <w:rFonts w:ascii="Book Antiqua" w:hAnsi="Book Antiqua" w:eastAsia="Book Antiqua" w:cs="Book Antiqua"/>
          <w:color w:val="000000"/>
          <w:vertAlign w:val="superscript"/>
        </w:rPr>
        <w:t>[32]</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inhibit the proliferation, colony formation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migration of stem cells</w:t>
      </w:r>
      <w:r>
        <w:rPr>
          <w:rFonts w:ascii="Book Antiqua" w:hAnsi="Book Antiqua" w:eastAsia="Book Antiqua" w:cs="Book Antiqua"/>
          <w:color w:val="000000"/>
          <w:vertAlign w:val="superscript"/>
        </w:rPr>
        <w:t>[33]</w:t>
      </w:r>
      <w:r>
        <w:rPr>
          <w:rFonts w:ascii="Book Antiqua" w:hAnsi="Book Antiqua" w:eastAsia="Book Antiqua" w:cs="Book Antiqua"/>
          <w:color w:val="000000"/>
        </w:rPr>
        <w:t>. Bone mineral density is positively correlated with OCN protein level</w:t>
      </w:r>
      <w:r>
        <w:rPr>
          <w:rFonts w:ascii="Book Antiqua" w:hAnsi="Book Antiqua" w:eastAsia="Book Antiqua" w:cs="Book Antiqua"/>
          <w:color w:val="000000"/>
          <w:vertAlign w:val="superscript"/>
        </w:rPr>
        <w:t>[34]</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In our study, static pressure on BMSCs inhibited the mRNA and protein expression of osteogenic differentiation markers such as COL1 and OCN, which partly explained the reduction in alveolar bone mineral density around moving teeth under orthodontic force.</w:t>
      </w:r>
    </w:p>
    <w:p>
      <w:pPr>
        <w:spacing w:line="360" w:lineRule="auto"/>
        <w:ind w:firstLine="240"/>
        <w:jc w:val="both"/>
        <w:rPr>
          <w:rFonts w:ascii="Book Antiqua" w:hAnsi="Book Antiqua"/>
        </w:rPr>
      </w:pPr>
      <w:r>
        <w:rPr>
          <w:rFonts w:ascii="Book Antiqua" w:hAnsi="Book Antiqua" w:eastAsia="Book Antiqua" w:cs="Book Antiqua"/>
          <w:color w:val="000000"/>
        </w:rPr>
        <w:t>Previous studies have shown that LIPUS plays a role in bone metabolism and remodeling by regulating osteogenic and osteoclast activity</w:t>
      </w:r>
      <w:r>
        <w:rPr>
          <w:rFonts w:ascii="Book Antiqua" w:hAnsi="Book Antiqua" w:eastAsia="Book Antiqua" w:cs="Book Antiqua"/>
          <w:color w:val="000000"/>
          <w:vertAlign w:val="superscript"/>
        </w:rPr>
        <w:t>[35-37]</w:t>
      </w:r>
      <w:r>
        <w:rPr>
          <w:rFonts w:ascii="Book Antiqua" w:hAnsi="Book Antiqua" w:eastAsia="Book Antiqua" w:cs="Book Antiqua"/>
          <w:color w:val="000000"/>
        </w:rPr>
        <w:t>. In our study, on day 7 and day 14, the number of osteoclasts in the force group was not significantly different from that in the force + LIPUS group, indicating that LIPUS may promote bone remodeling by promoting osteoclast activity but not by increasing the number of osteoclasts. As shown in numerous clinical trials and animal studies, LIPUS promotes osteogenesis, resulting in improved and quicker fracture healing</w:t>
      </w:r>
      <w:r>
        <w:rPr>
          <w:rFonts w:ascii="Book Antiqua" w:hAnsi="Book Antiqua" w:eastAsia="Book Antiqua" w:cs="Book Antiqua"/>
          <w:color w:val="000000"/>
          <w:vertAlign w:val="superscript"/>
        </w:rPr>
        <w:t>[38,39]</w:t>
      </w:r>
      <w:r>
        <w:rPr>
          <w:rFonts w:ascii="Book Antiqua" w:hAnsi="Book Antiqua" w:eastAsia="Book Antiqua" w:cs="Book Antiqua"/>
          <w:color w:val="000000"/>
        </w:rPr>
        <w:t>. It can also stimulate condylar growth and increase mandibular ramus height in rabbits</w:t>
      </w:r>
      <w:r>
        <w:rPr>
          <w:rFonts w:ascii="Book Antiqua" w:hAnsi="Book Antiqua" w:eastAsia="Book Antiqua" w:cs="Book Antiqua"/>
          <w:color w:val="000000"/>
          <w:vertAlign w:val="superscript"/>
        </w:rPr>
        <w:t>[40,41]</w:t>
      </w:r>
      <w:r>
        <w:rPr>
          <w:rFonts w:ascii="Book Antiqua" w:hAnsi="Book Antiqua" w:eastAsia="Book Antiqua" w:cs="Book Antiqua"/>
          <w:color w:val="000000"/>
        </w:rPr>
        <w:t>. LIPUS is effective in various cell processes, such as growth, differentiation</w:t>
      </w:r>
      <w:r>
        <w:rPr>
          <w:rFonts w:ascii="Book Antiqua" w:hAnsi="Book Antiqua" w:eastAsia="Book Antiqua" w:cs="Book Antiqua"/>
          <w:color w:val="000000"/>
          <w:vertAlign w:val="superscript"/>
        </w:rPr>
        <w:t>[42,43]</w:t>
      </w:r>
      <w:r>
        <w:rPr>
          <w:rFonts w:ascii="Book Antiqua" w:hAnsi="Book Antiqua" w:eastAsia="Book Antiqua" w:cs="Book Antiqua"/>
          <w:color w:val="000000"/>
        </w:rPr>
        <w:t>, extracellular matrix formation, and mineralization of osteoblasts</w:t>
      </w:r>
      <w:r>
        <w:rPr>
          <w:rFonts w:ascii="Book Antiqua" w:hAnsi="Book Antiqua" w:eastAsia="Book Antiqua" w:cs="Book Antiqua"/>
          <w:color w:val="000000"/>
          <w:vertAlign w:val="superscript"/>
        </w:rPr>
        <w:t>[44]</w:t>
      </w:r>
      <w:r>
        <w:rPr>
          <w:rFonts w:ascii="Book Antiqua" w:hAnsi="Book Antiqua" w:eastAsia="Book Antiqua" w:cs="Book Antiqua"/>
          <w:color w:val="000000"/>
        </w:rPr>
        <w:t>, and involves multiple signaling pathways, such as the hedgehog and TRPM7 pathways</w:t>
      </w:r>
      <w:r>
        <w:rPr>
          <w:rFonts w:ascii="Book Antiqua" w:hAnsi="Book Antiqua" w:eastAsia="Book Antiqua" w:cs="Book Antiqua"/>
          <w:color w:val="000000"/>
          <w:vertAlign w:val="superscript"/>
        </w:rPr>
        <w:t>[45,46]</w:t>
      </w:r>
      <w:r>
        <w:rPr>
          <w:rFonts w:ascii="Book Antiqua" w:hAnsi="Book Antiqua" w:eastAsia="Book Antiqua" w:cs="Book Antiqua"/>
          <w:color w:val="000000"/>
        </w:rPr>
        <w:t xml:space="preserve">. In addition to osteoblasts, LIPUS can promote </w:t>
      </w:r>
      <w:r>
        <w:rPr>
          <w:rFonts w:hint="eastAsia" w:ascii="Book Antiqua" w:hAnsi="Book Antiqua" w:eastAsia="宋体" w:cs="Book Antiqua"/>
          <w:color w:val="000000"/>
          <w:lang w:eastAsia="zh-CN"/>
        </w:rPr>
        <w:t xml:space="preserve">the differentiation of </w:t>
      </w:r>
      <w:r>
        <w:rPr>
          <w:rFonts w:ascii="Book Antiqua" w:hAnsi="Book Antiqua" w:eastAsia="Book Antiqua" w:cs="Book Antiqua"/>
          <w:color w:val="000000"/>
        </w:rPr>
        <w:t>adipose-derived stromal cells</w:t>
      </w:r>
      <w:r>
        <w:rPr>
          <w:rFonts w:ascii="Book Antiqua" w:hAnsi="Book Antiqua" w:eastAsia="Book Antiqua" w:cs="Book Antiqua"/>
          <w:color w:val="000000"/>
          <w:vertAlign w:val="superscript"/>
        </w:rPr>
        <w:t>[47]</w:t>
      </w:r>
      <w:r>
        <w:rPr>
          <w:rFonts w:ascii="Book Antiqua" w:hAnsi="Book Antiqua" w:eastAsia="Book Antiqua" w:cs="Book Antiqua"/>
          <w:color w:val="000000"/>
        </w:rPr>
        <w:t>, mesenchymal stem cells</w:t>
      </w:r>
      <w:r>
        <w:rPr>
          <w:rFonts w:ascii="Book Antiqua" w:hAnsi="Book Antiqua" w:eastAsia="Book Antiqua" w:cs="Book Antiqua"/>
          <w:color w:val="000000"/>
          <w:vertAlign w:val="superscript"/>
        </w:rPr>
        <w:t>[48]</w:t>
      </w:r>
      <w:r>
        <w:rPr>
          <w:rFonts w:ascii="Book Antiqua" w:hAnsi="Book Antiqua" w:eastAsia="Book Antiqua" w:cs="Book Antiqua"/>
          <w:color w:val="000000"/>
        </w:rPr>
        <w:t>, periodontal ligament stem cells</w:t>
      </w:r>
      <w:r>
        <w:rPr>
          <w:rFonts w:ascii="Book Antiqua" w:hAnsi="Book Antiqua" w:eastAsia="Book Antiqua" w:cs="Book Antiqua"/>
          <w:color w:val="000000"/>
          <w:vertAlign w:val="superscript"/>
        </w:rPr>
        <w:t>[49]</w:t>
      </w:r>
      <w:r>
        <w:rPr>
          <w:rFonts w:ascii="Book Antiqua" w:hAnsi="Book Antiqua" w:eastAsia="Book Antiqua" w:cs="Book Antiqua"/>
          <w:color w:val="000000"/>
        </w:rPr>
        <w:t>, and rat osteosarcoma cell lines</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and increase the expression of RUNX2 and COL1. LIPUS stimulation of BMSCs can enhance cell activity, promote osteogenic differentiation, and increase COL1 and OCN gene expression</w:t>
      </w:r>
      <w:r>
        <w:rPr>
          <w:rFonts w:ascii="Book Antiqua" w:hAnsi="Book Antiqua" w:eastAsia="Book Antiqua" w:cs="Book Antiqua"/>
          <w:color w:val="000000"/>
          <w:vertAlign w:val="superscript"/>
        </w:rPr>
        <w:t>[51]</w:t>
      </w:r>
      <w:r>
        <w:rPr>
          <w:rFonts w:ascii="Book Antiqua" w:hAnsi="Book Antiqua" w:eastAsia="Book Antiqua" w:cs="Book Antiqua"/>
          <w:color w:val="000000"/>
        </w:rPr>
        <w:t>. To date, few reports have focused on the role of LIPUS in cellular functions under loading conditions. In our study, LIPUS increased COL1, RUNX2</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OCN expression at the mRNA and protein levels</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rescued the inhibitory effect of compression force on the osteoblastic differentiation of BMSCs, demonstrating a positive effect on alveolar bone remodeling during orthodontic processing at the cellular level.</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way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 xml:space="preserve">mechanical signals can be transmitted from the plasma membrane to the nucleus directly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cytoskeleton is considered to be an important mechanical signal transduction pathway</w:t>
      </w:r>
      <w:r>
        <w:rPr>
          <w:rFonts w:ascii="Book Antiqua" w:hAnsi="Book Antiqua" w:eastAsia="Book Antiqua" w:cs="Book Antiqua"/>
          <w:color w:val="000000"/>
          <w:vertAlign w:val="superscript"/>
        </w:rPr>
        <w:t>[52]</w:t>
      </w:r>
      <w:r>
        <w:rPr>
          <w:rFonts w:ascii="Book Antiqua" w:hAnsi="Book Antiqua" w:eastAsia="Book Antiqua" w:cs="Book Antiqua"/>
          <w:color w:val="000000"/>
        </w:rPr>
        <w:t>. The nucleus is considered a key mechanoreceptor that can directly influence chromatin organization, epigenetic modifications, and gene expression</w:t>
      </w:r>
      <w:r>
        <w:rPr>
          <w:rFonts w:ascii="Book Antiqua" w:hAnsi="Book Antiqua" w:eastAsia="Book Antiqua" w:cs="Book Antiqua"/>
          <w:color w:val="000000"/>
          <w:vertAlign w:val="superscript"/>
        </w:rPr>
        <w:t>[53]</w:t>
      </w:r>
      <w:r>
        <w:rPr>
          <w:rFonts w:ascii="Book Antiqua" w:hAnsi="Book Antiqua" w:eastAsia="Book Antiqua" w:cs="Book Antiqua"/>
          <w:color w:val="000000"/>
        </w:rPr>
        <w:t>. Lamin A/C, as LMNA-encoded Lamin proteins, participate in nuclear mechanics</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and the transduction of mechanical signals</w:t>
      </w:r>
      <w:r>
        <w:rPr>
          <w:rFonts w:ascii="Book Antiqua" w:hAnsi="Book Antiqua" w:eastAsia="Book Antiqua" w:cs="Book Antiqua"/>
          <w:color w:val="000000"/>
          <w:vertAlign w:val="superscript"/>
        </w:rPr>
        <w:t>[55,56]</w:t>
      </w:r>
      <w:r>
        <w:rPr>
          <w:rFonts w:ascii="Book Antiqua" w:hAnsi="Book Antiqua" w:eastAsia="Book Antiqua" w:cs="Book Antiqua"/>
          <w:color w:val="000000"/>
        </w:rPr>
        <w:t xml:space="preserve">, thereby regulating the fate of stem cells. The lincRNAs (linkers of cytoskeleton and nucleoskeleton) complex links Lamin A/C to the cytoskeleton, thereby mediating the transmission of mechanical signals from the cytoskeleton to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nucle</w:t>
      </w:r>
      <w:r>
        <w:rPr>
          <w:rFonts w:hint="eastAsia" w:ascii="Book Antiqua" w:hAnsi="Book Antiqua" w:eastAsia="宋体" w:cs="Book Antiqua"/>
          <w:color w:val="000000"/>
          <w:lang w:eastAsia="zh-CN"/>
        </w:rPr>
        <w:t>us</w:t>
      </w:r>
      <w:r>
        <w:rPr>
          <w:rFonts w:ascii="Book Antiqua" w:hAnsi="Book Antiqua" w:eastAsia="Book Antiqua" w:cs="Book Antiqua"/>
          <w:color w:val="000000"/>
          <w:vertAlign w:val="superscript"/>
        </w:rPr>
        <w:t>[57]</w:t>
      </w:r>
      <w:r>
        <w:rPr>
          <w:rFonts w:ascii="Book Antiqua" w:hAnsi="Book Antiqua" w:eastAsia="Book Antiqua" w:cs="Book Antiqua"/>
          <w:color w:val="000000"/>
        </w:rPr>
        <w:t>. The Lamin A level is known to increase during osteogenic differentiation of MSCs but decrease during adipogenic differentiation</w:t>
      </w:r>
      <w:r>
        <w:rPr>
          <w:rFonts w:ascii="Book Antiqua" w:hAnsi="Book Antiqua" w:eastAsia="Book Antiqua" w:cs="Book Antiqua"/>
          <w:color w:val="000000"/>
          <w:vertAlign w:val="superscript"/>
        </w:rPr>
        <w:t>[58,59]</w:t>
      </w:r>
      <w:r>
        <w:rPr>
          <w:rFonts w:ascii="Book Antiqua" w:hAnsi="Book Antiqua" w:eastAsia="Book Antiqua" w:cs="Book Antiqua"/>
          <w:color w:val="000000"/>
        </w:rPr>
        <w:t>. In our study, Lamin A/C and F-actin were consistently downregulated after compression force application, and the cytoskeleton was more disordered under compression. To our knowledge, our study is the first to show that LIPUS increases Lamin A/C and F-actin expression and reorders the cytoskeleton under compression, thus reversing the decrease in osteogenesis of BMSCs induced by static force.</w:t>
      </w:r>
    </w:p>
    <w:p>
      <w:pPr>
        <w:spacing w:line="360" w:lineRule="auto"/>
        <w:ind w:firstLine="240"/>
        <w:jc w:val="both"/>
        <w:rPr>
          <w:rFonts w:ascii="Book Antiqua" w:hAnsi="Book Antiqua"/>
        </w:rPr>
      </w:pPr>
      <w:r>
        <w:rPr>
          <w:rFonts w:ascii="Book Antiqua" w:hAnsi="Book Antiqua" w:eastAsia="Book Antiqua" w:cs="Book Antiqua"/>
          <w:color w:val="000000"/>
        </w:rPr>
        <w:t>As a transcriptional coactivator protein, YAP1 is closely associated with changes in the mechanical state of cellular microenvironments</w:t>
      </w:r>
      <w:r>
        <w:rPr>
          <w:rFonts w:ascii="Book Antiqua" w:hAnsi="Book Antiqua" w:eastAsia="Book Antiqua" w:cs="Book Antiqua"/>
          <w:color w:val="000000"/>
          <w:vertAlign w:val="superscript"/>
        </w:rPr>
        <w:t>[60]</w:t>
      </w:r>
      <w:r>
        <w:rPr>
          <w:rFonts w:ascii="Book Antiqua" w:hAnsi="Book Antiqua" w:eastAsia="Book Antiqua" w:cs="Book Antiqua"/>
          <w:color w:val="000000"/>
        </w:rPr>
        <w:t>. YAP1 can relocate to the nucleus from the cytoplasm, interact with the TEA domain</w:t>
      </w:r>
      <w:r>
        <w:rPr>
          <w:rFonts w:ascii="Book Antiqua" w:hAnsi="Book Antiqua" w:eastAsia="Book Antiqua" w:cs="Book Antiqua"/>
          <w:color w:val="000000"/>
          <w:vertAlign w:val="superscript"/>
        </w:rPr>
        <w:t>[61]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promote transcription. In mechanical transduction, it is also a downstream signal for the assembly and contraction of actin filaments</w:t>
      </w:r>
      <w:r>
        <w:rPr>
          <w:rFonts w:ascii="Book Antiqua" w:hAnsi="Book Antiqua" w:eastAsia="Book Antiqua" w:cs="Book Antiqua"/>
          <w:color w:val="000000"/>
          <w:vertAlign w:val="superscript"/>
        </w:rPr>
        <w:t>[62]</w:t>
      </w:r>
      <w:r>
        <w:rPr>
          <w:rFonts w:ascii="Book Antiqua" w:hAnsi="Book Antiqua" w:eastAsia="Book Antiqua" w:cs="Book Antiqua"/>
          <w:color w:val="000000"/>
        </w:rPr>
        <w:t>. Pressure can promote F-actin depolymerization and lead to cytoplasmic translocation of YAP1</w:t>
      </w:r>
      <w:r>
        <w:rPr>
          <w:rFonts w:ascii="Book Antiqua" w:hAnsi="Book Antiqua" w:eastAsia="Book Antiqua" w:cs="Book Antiqua"/>
          <w:color w:val="000000"/>
          <w:vertAlign w:val="superscript"/>
        </w:rPr>
        <w:t>[63]</w:t>
      </w:r>
      <w:r>
        <w:rPr>
          <w:rFonts w:ascii="Book Antiqua" w:hAnsi="Book Antiqua" w:eastAsia="Book Antiqua" w:cs="Book Antiqua"/>
          <w:color w:val="000000"/>
        </w:rPr>
        <w:t>. YAP1 was found to participate in multiple cellular activities. For example, YAP1 was reported to be activated during inflammation in endothelial cells induced by lipopolysaccharide</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and was essential for epithelial cell proliferation</w:t>
      </w:r>
      <w:r>
        <w:rPr>
          <w:rFonts w:ascii="Book Antiqua" w:hAnsi="Book Antiqua" w:eastAsia="Book Antiqua" w:cs="Book Antiqua"/>
          <w:color w:val="000000"/>
          <w:vertAlign w:val="superscript"/>
        </w:rPr>
        <w:t>[65]</w:t>
      </w:r>
      <w:r>
        <w:rPr>
          <w:rFonts w:ascii="Book Antiqua" w:hAnsi="Book Antiqua" w:eastAsia="Book Antiqua" w:cs="Book Antiqua"/>
          <w:color w:val="000000"/>
        </w:rPr>
        <w:t>. In the inflammatory microenvironment in periodontitis, YAP1 expression and nuclear translocation are decreased</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In the force group, the YAP1 level decreased, while in the force + LIPUS group, the YAP1 level increased both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suggesting that YAP1 exerts a crucial effect on the regulation of BMSC osteogenesis by mechanical force and LIPUS and might be a downstream effector of the cytoskeleton and nuclear skeleton.</w:t>
      </w:r>
    </w:p>
    <w:p>
      <w:pPr>
        <w:spacing w:line="360" w:lineRule="auto"/>
        <w:ind w:firstLine="240"/>
        <w:jc w:val="both"/>
        <w:rPr>
          <w:rFonts w:ascii="Book Antiqua" w:hAnsi="Book Antiqua"/>
        </w:rPr>
      </w:pPr>
      <w:r>
        <w:rPr>
          <w:rFonts w:ascii="Book Antiqua" w:hAnsi="Book Antiqua" w:eastAsia="Book Antiqua" w:cs="Book Antiqua"/>
          <w:color w:val="000000"/>
        </w:rPr>
        <w:t>This study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has some limitations. Osteoblasts and osteoclasts jointly participate in the process of bone metabolism. This study mainly focused on the effect of LIPUS on the osteogenic function of stem cells,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whether LIPUS could regulate the crosstalk of osteoclast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and osteoblast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is unclear, which need</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further investigation. In addition, the underlying mechanism of how LIPUS controls cytoskeleton changes remain</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unclear.</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summary, LIPUS can promote local alveolar bone remodeling, increase bone mineral density,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reduce vertical alveolar bone resorption and consequent gingival recession by regulating the osteogenic ability of BMSCs. In terms of mechanism, LIPUS upregulate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the expression and nuclear translocation of YAP, which </w:t>
      </w:r>
      <w:r>
        <w:rPr>
          <w:rFonts w:hint="eastAsia" w:ascii="Book Antiqua" w:hAnsi="Book Antiqua" w:eastAsia="宋体" w:cs="Book Antiqua"/>
          <w:color w:val="000000"/>
          <w:lang w:eastAsia="zh-CN"/>
        </w:rPr>
        <w:t>i</w:t>
      </w:r>
      <w:r>
        <w:rPr>
          <w:rFonts w:ascii="Book Antiqua" w:hAnsi="Book Antiqua" w:eastAsia="Book Antiqua" w:cs="Book Antiqua"/>
          <w:color w:val="000000"/>
        </w:rPr>
        <w:t>s decreased by mechanical stress through effects on the cytoskeleton and nuclear skeleton, thereby affecting the osteogenic differentiation of BMSCs.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The bone remodeling </w:t>
      </w:r>
      <w:r>
        <w:rPr>
          <w:rFonts w:hint="eastAsia" w:ascii="Book Antiqua" w:hAnsi="Book Antiqua" w:eastAsia="宋体" w:cs="Book Antiqua"/>
          <w:color w:val="000000"/>
          <w:lang w:eastAsia="zh-CN"/>
        </w:rPr>
        <w:t>during</w:t>
      </w:r>
      <w:r>
        <w:rPr>
          <w:rFonts w:ascii="Book Antiqua" w:hAnsi="Book Antiqua" w:eastAsia="Book Antiqua" w:cs="Book Antiqua"/>
          <w:color w:val="000000"/>
        </w:rPr>
        <w:t xml:space="preserve"> orthodontic treatment for malocclusion often requires a long duration, which also may lead to some complications such as alveolar bone resorption. Low-intensity pulsed ultrasound (LIPUS), a noninvasive physical therapy, has been shown to promote bone fracture healing and reduce the duration of orthodontic treatment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however, how LIPUS regulates the bone metabolism during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orthodontic treatment process is still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How to shorten the orthodontic treatment duration and reduce the side effects caused by orthodontic treatment such as alveolar bone resorption has become a very important clinical problem. LIPUS, as a non-invasive physical therapy, has been reported </w:t>
      </w:r>
      <w:r>
        <w:rPr>
          <w:rFonts w:hint="eastAsia" w:ascii="Book Antiqua" w:hAnsi="Book Antiqua" w:eastAsia="宋体" w:cs="Book Antiqua"/>
          <w:color w:val="000000"/>
          <w:lang w:eastAsia="zh-CN"/>
        </w:rPr>
        <w:t xml:space="preserve">to </w:t>
      </w:r>
      <w:r>
        <w:rPr>
          <w:rFonts w:ascii="Book Antiqua" w:hAnsi="Book Antiqua" w:eastAsia="Book Antiqua" w:cs="Book Antiqua"/>
          <w:color w:val="000000"/>
        </w:rPr>
        <w:t>promot</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fracture healing process, and may also play a good role in orthodontic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This study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to investigate the effects of LIPUS on bone remodeling in </w:t>
      </w:r>
      <w:r>
        <w:rPr>
          <w:rFonts w:hint="eastAsia" w:ascii="Book Antiqua" w:hAnsi="Book Antiqua" w:eastAsia="宋体" w:cs="Book Antiqua"/>
          <w:color w:val="000000"/>
          <w:lang w:eastAsia="zh-CN"/>
        </w:rPr>
        <w:t xml:space="preserve">an </w:t>
      </w:r>
      <w:r>
        <w:rPr>
          <w:rFonts w:ascii="Book Antiqua" w:hAnsi="Book Antiqua" w:eastAsia="Book Antiqua" w:cs="Book Antiqua"/>
          <w:color w:val="000000"/>
        </w:rPr>
        <w:t>orthodontic tooth movement (OTM) model and explore the underlying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established a rat model of OTM, and alveolar bone remodeling and tooth movement rate were evaluated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micro-</w:t>
      </w:r>
      <w:r>
        <w:rPr>
          <w:rFonts w:ascii="Book Antiqua" w:hAnsi="Book Antiqua" w:eastAsia="Book Antiqua" w:cs="Book Antiqua"/>
        </w:rPr>
        <w:t>computed tomography</w:t>
      </w:r>
      <w:r>
        <w:rPr>
          <w:rFonts w:ascii="Book Antiqua" w:hAnsi="Book Antiqua" w:eastAsia="Book Antiqua" w:cs="Book Antiqua"/>
          <w:color w:val="000000"/>
        </w:rPr>
        <w:t xml:space="preserve"> and staining of tissue sections.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human bone marrow mesenchymal stem cells (hBMSCs) were isolated to detect their osteogenic differentiation potential under compression and LIPUS stimulation and to investigate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underlying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force treatment inhibited the expression of osteogenesis markers and osteogenic differentiation potential of hBMSCs, which could be rescued by LIPUS treatment. Mechanically, the expression of LaminA/C, F-actin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eastAsia="宋体" w:cs="Book Antiqua"/>
          <w:lang w:eastAsia="zh-CN"/>
        </w:rPr>
        <w:t>Y</w:t>
      </w:r>
      <w:r>
        <w:rPr>
          <w:rFonts w:ascii="Book Antiqua" w:hAnsi="Book Antiqua" w:eastAsia="Book Antiqua" w:cs="Book Antiqua"/>
        </w:rPr>
        <w:t>es-associated protein (YAP1)</w:t>
      </w:r>
      <w:r>
        <w:rPr>
          <w:rFonts w:ascii="Book Antiqua" w:hAnsi="Book Antiqua" w:eastAsia="Book Antiqua" w:cs="Book Antiqua"/>
          <w:color w:val="000000"/>
        </w:rPr>
        <w:t xml:space="preserve"> was downregulated after force application, which could be rescued by LIPUS treatment. Moreover, the osteogenic differentiation of MSCs increased by LIPUS treatment could be attenuated by YAP small interfering RNA treatment.</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Consistently, LIPUS increased alveolar bone density and decreased vertical bone absorption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The decreased expression of </w:t>
      </w:r>
      <w:r>
        <w:rPr>
          <w:rFonts w:ascii="Book Antiqua" w:hAnsi="Book Antiqua" w:eastAsia="Book Antiqua" w:cs="Book Antiqua"/>
        </w:rPr>
        <w:t>type 1 collagen</w:t>
      </w:r>
      <w:r>
        <w:rPr>
          <w:rFonts w:ascii="Book Antiqua" w:hAnsi="Book Antiqua" w:eastAsia="Book Antiqua" w:cs="Book Antiqua"/>
          <w:color w:val="000000"/>
        </w:rPr>
        <w:t xml:space="preserve">, </w:t>
      </w:r>
      <w:r>
        <w:rPr>
          <w:rFonts w:ascii="Book Antiqua" w:hAnsi="Book Antiqua" w:eastAsia="Book Antiqua" w:cs="Book Antiqua"/>
        </w:rPr>
        <w:t>osteocalcin</w:t>
      </w:r>
      <w:r>
        <w:rPr>
          <w:rFonts w:hint="eastAsia" w:ascii="Book Antiqua" w:hAnsi="Book Antiqua" w:eastAsia="宋体" w:cs="Book Antiqua"/>
          <w:lang w:eastAsia="zh-CN"/>
        </w:rPr>
        <w:t>,</w:t>
      </w:r>
      <w:r>
        <w:rPr>
          <w:rFonts w:ascii="Book Antiqua" w:hAnsi="Book Antiqua" w:eastAsia="Book Antiqua" w:cs="Book Antiqua"/>
          <w:color w:val="000000"/>
        </w:rPr>
        <w:t xml:space="preserve"> and YAP1 on the compression side of the alveolar bone was partially rescued by the LIPUS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By regulating the cytoskeleton-Lamin A/C-YAP axis, LIPUS can effectively accelerate tooth movement and reduce bone resorption. Therefore, LIPUS can be used as an effective auxiliary method for orthodontic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These results may provide an adjunctive treatment strategy for orthodontic treatment and enrich the theoretical basis for LIPUS application.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681" w:name="OLE_LINK1428"/>
      <w:bookmarkStart w:id="682" w:name="OLE_LINK1427"/>
      <w:r>
        <w:rPr>
          <w:rFonts w:ascii="Book Antiqua" w:hAnsi="Book Antiqua"/>
        </w:rPr>
        <w:t xml:space="preserve">1 </w:t>
      </w:r>
      <w:r>
        <w:rPr>
          <w:rFonts w:ascii="Book Antiqua" w:hAnsi="Book Antiqua"/>
          <w:b/>
          <w:bCs/>
        </w:rPr>
        <w:t>Kirschneck C</w:t>
      </w:r>
      <w:r>
        <w:rPr>
          <w:rFonts w:ascii="Book Antiqua" w:hAnsi="Book Antiqua"/>
        </w:rPr>
        <w:t xml:space="preserve">, Fanghänel J, Wahlmann U, Wolf M, Roldán JC, Proff P. Interactive effects of periodontitis and orthodontic tooth movement on dental root resorption, tooth movement velocity and alveolar bone loss in a rat model. </w:t>
      </w:r>
      <w:r>
        <w:rPr>
          <w:rFonts w:ascii="Book Antiqua" w:hAnsi="Book Antiqua"/>
          <w:i/>
          <w:iCs/>
        </w:rPr>
        <w:t>Ann Anat</w:t>
      </w:r>
      <w:r>
        <w:rPr>
          <w:rFonts w:ascii="Book Antiqua" w:hAnsi="Book Antiqua"/>
        </w:rPr>
        <w:t xml:space="preserve"> 2017; </w:t>
      </w:r>
      <w:r>
        <w:rPr>
          <w:rFonts w:ascii="Book Antiqua" w:hAnsi="Book Antiqua"/>
          <w:b/>
          <w:bCs/>
        </w:rPr>
        <w:t>210</w:t>
      </w:r>
      <w:r>
        <w:rPr>
          <w:rFonts w:ascii="Book Antiqua" w:hAnsi="Book Antiqua"/>
        </w:rPr>
        <w:t>: 32-43 [PMID: 27838559 DOI: 10.1016/j.aanat.2016.10.004]</w:t>
      </w:r>
    </w:p>
    <w:p>
      <w:pPr>
        <w:spacing w:line="360" w:lineRule="auto"/>
        <w:jc w:val="both"/>
        <w:rPr>
          <w:rFonts w:ascii="Book Antiqua" w:hAnsi="Book Antiqua"/>
        </w:rPr>
      </w:pPr>
      <w:r>
        <w:rPr>
          <w:rFonts w:ascii="Book Antiqua" w:hAnsi="Book Antiqua"/>
        </w:rPr>
        <w:t xml:space="preserve">2 </w:t>
      </w:r>
      <w:r>
        <w:rPr>
          <w:rFonts w:ascii="Book Antiqua" w:hAnsi="Book Antiqua"/>
          <w:b/>
          <w:bCs/>
        </w:rPr>
        <w:t>Hu B</w:t>
      </w:r>
      <w:r>
        <w:rPr>
          <w:rFonts w:ascii="Book Antiqua" w:hAnsi="Book Antiqua"/>
        </w:rPr>
        <w:t xml:space="preserve">, Zhang Y, Zhou J, Li J, Deng F, Wang Z, Song J. Low-intensity pulsed ultrasound stimulation facilitates osteogenic differentiation of human periodontal ligament cells.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e95168 [PMID: 24743551 DOI: 10.1371/journal.pone.0095168]</w:t>
      </w:r>
    </w:p>
    <w:p>
      <w:pPr>
        <w:spacing w:line="360" w:lineRule="auto"/>
        <w:jc w:val="both"/>
        <w:rPr>
          <w:rFonts w:ascii="Book Antiqua" w:hAnsi="Book Antiqua"/>
        </w:rPr>
      </w:pPr>
      <w:r>
        <w:rPr>
          <w:rFonts w:ascii="Book Antiqua" w:hAnsi="Book Antiqua"/>
        </w:rPr>
        <w:t xml:space="preserve">3 </w:t>
      </w:r>
      <w:r>
        <w:rPr>
          <w:rFonts w:ascii="Book Antiqua" w:hAnsi="Book Antiqua"/>
          <w:b/>
          <w:bCs/>
        </w:rPr>
        <w:t>Liu Z</w:t>
      </w:r>
      <w:r>
        <w:rPr>
          <w:rFonts w:ascii="Book Antiqua" w:hAnsi="Book Antiqua"/>
        </w:rPr>
        <w:t xml:space="preserve">, Xu J, E L, Wang D. Ultrasound enhances the healing of orthodontically induced root resorption in rats. </w:t>
      </w:r>
      <w:r>
        <w:rPr>
          <w:rFonts w:ascii="Book Antiqua" w:hAnsi="Book Antiqua"/>
          <w:i/>
          <w:iCs/>
        </w:rPr>
        <w:t>Angle Orthod</w:t>
      </w:r>
      <w:r>
        <w:rPr>
          <w:rFonts w:ascii="Book Antiqua" w:hAnsi="Book Antiqua"/>
        </w:rPr>
        <w:t xml:space="preserve"> 2012; </w:t>
      </w:r>
      <w:r>
        <w:rPr>
          <w:rFonts w:ascii="Book Antiqua" w:hAnsi="Book Antiqua"/>
          <w:b/>
          <w:bCs/>
        </w:rPr>
        <w:t>82</w:t>
      </w:r>
      <w:r>
        <w:rPr>
          <w:rFonts w:ascii="Book Antiqua" w:hAnsi="Book Antiqua"/>
        </w:rPr>
        <w:t>: 48-55 [PMID: 21787199 DOI: 10.2319/030711-164.1]</w:t>
      </w:r>
    </w:p>
    <w:p>
      <w:pPr>
        <w:spacing w:line="360" w:lineRule="auto"/>
        <w:jc w:val="both"/>
        <w:rPr>
          <w:rFonts w:ascii="Book Antiqua" w:hAnsi="Book Antiqua"/>
        </w:rPr>
      </w:pPr>
      <w:r>
        <w:rPr>
          <w:rFonts w:ascii="Book Antiqua" w:hAnsi="Book Antiqua"/>
        </w:rPr>
        <w:t xml:space="preserve">4 </w:t>
      </w:r>
      <w:r>
        <w:rPr>
          <w:rFonts w:ascii="Book Antiqua" w:hAnsi="Book Antiqua"/>
          <w:b/>
          <w:bCs/>
        </w:rPr>
        <w:t>Chung SL</w:t>
      </w:r>
      <w:r>
        <w:rPr>
          <w:rFonts w:ascii="Book Antiqua" w:hAnsi="Book Antiqua"/>
        </w:rPr>
        <w:t xml:space="preserve">, Pounder NM, de Ana FJ, Qin L, Sui Leung K, Cheung WH. Fracture healing enhancement with low intensity pulsed ultrasound at a critical application angle. </w:t>
      </w:r>
      <w:r>
        <w:rPr>
          <w:rFonts w:ascii="Book Antiqua" w:hAnsi="Book Antiqua"/>
          <w:i/>
          <w:iCs/>
        </w:rPr>
        <w:t>Ultrasound Med Biol</w:t>
      </w:r>
      <w:r>
        <w:rPr>
          <w:rFonts w:ascii="Book Antiqua" w:hAnsi="Book Antiqua"/>
        </w:rPr>
        <w:t xml:space="preserve"> 2011; </w:t>
      </w:r>
      <w:r>
        <w:rPr>
          <w:rFonts w:ascii="Book Antiqua" w:hAnsi="Book Antiqua"/>
          <w:b/>
          <w:bCs/>
        </w:rPr>
        <w:t>37</w:t>
      </w:r>
      <w:r>
        <w:rPr>
          <w:rFonts w:ascii="Book Antiqua" w:hAnsi="Book Antiqua"/>
        </w:rPr>
        <w:t>: 1120-1133 [PMID: 21640476 DOI: 10.1016/j.ultrasmedbio.2011.04.017]</w:t>
      </w:r>
    </w:p>
    <w:p>
      <w:pPr>
        <w:spacing w:line="360" w:lineRule="auto"/>
        <w:jc w:val="both"/>
        <w:rPr>
          <w:rFonts w:ascii="Book Antiqua" w:hAnsi="Book Antiqua"/>
        </w:rPr>
      </w:pPr>
      <w:r>
        <w:rPr>
          <w:rFonts w:ascii="Book Antiqua" w:hAnsi="Book Antiqua"/>
        </w:rPr>
        <w:t xml:space="preserve">5 </w:t>
      </w:r>
      <w:r>
        <w:rPr>
          <w:rFonts w:ascii="Book Antiqua" w:hAnsi="Book Antiqua"/>
          <w:b/>
          <w:bCs/>
        </w:rPr>
        <w:t>Naruse K</w:t>
      </w:r>
      <w:r>
        <w:rPr>
          <w:rFonts w:ascii="Book Antiqua" w:hAnsi="Book Antiqua"/>
        </w:rPr>
        <w:t xml:space="preserve">, Uchino M, Hirakawa N, Toyama M, Miyajima G, Mukai M, Urabe K, Uchida K, Itoman M. 4. The Low-Intensity Pulsed Ultrasound (LIPUS) Mechanism and the Effect of Teriparatide on Fracture Healing. </w:t>
      </w:r>
      <w:r>
        <w:rPr>
          <w:rFonts w:ascii="Book Antiqua" w:hAnsi="Book Antiqua"/>
          <w:i/>
          <w:iCs/>
        </w:rPr>
        <w:t>J Orthop Trauma</w:t>
      </w:r>
      <w:r>
        <w:rPr>
          <w:rFonts w:ascii="Book Antiqua" w:hAnsi="Book Antiqua"/>
        </w:rPr>
        <w:t xml:space="preserve"> 2016; </w:t>
      </w:r>
      <w:r>
        <w:rPr>
          <w:rFonts w:ascii="Book Antiqua" w:hAnsi="Book Antiqua"/>
          <w:b/>
          <w:bCs/>
        </w:rPr>
        <w:t>30</w:t>
      </w:r>
      <w:r>
        <w:rPr>
          <w:rFonts w:ascii="Book Antiqua" w:hAnsi="Book Antiqua"/>
        </w:rPr>
        <w:t>: S3 [PMID: 27441765 DOI: 10.1097/01.bot.0000489989.28108.21]</w:t>
      </w:r>
    </w:p>
    <w:p>
      <w:pPr>
        <w:spacing w:line="360" w:lineRule="auto"/>
        <w:jc w:val="both"/>
        <w:rPr>
          <w:rFonts w:ascii="Book Antiqua" w:hAnsi="Book Antiqua"/>
        </w:rPr>
      </w:pPr>
      <w:r>
        <w:rPr>
          <w:rFonts w:ascii="Book Antiqua" w:hAnsi="Book Antiqua"/>
        </w:rPr>
        <w:t xml:space="preserve">6 </w:t>
      </w:r>
      <w:r>
        <w:rPr>
          <w:rFonts w:ascii="Book Antiqua" w:hAnsi="Book Antiqua"/>
          <w:b/>
          <w:bCs/>
        </w:rPr>
        <w:t>Zura R</w:t>
      </w:r>
      <w:r>
        <w:rPr>
          <w:rFonts w:ascii="Book Antiqua" w:hAnsi="Book Antiqua"/>
        </w:rPr>
        <w:t xml:space="preserve">, Della Rocca GJ, Mehta S, Harrison A, Brodie C, Jones J, Steen RG. Treatment of chronic (&gt;1 year) fracture nonunion: heal rate in a cohort of 767 patients treated with low-intensity pulsed ultrasound (LIPUS). </w:t>
      </w:r>
      <w:r>
        <w:rPr>
          <w:rFonts w:ascii="Book Antiqua" w:hAnsi="Book Antiqua"/>
          <w:i/>
          <w:iCs/>
        </w:rPr>
        <w:t>Injury</w:t>
      </w:r>
      <w:r>
        <w:rPr>
          <w:rFonts w:ascii="Book Antiqua" w:hAnsi="Book Antiqua"/>
        </w:rPr>
        <w:t xml:space="preserve"> 2015; </w:t>
      </w:r>
      <w:r>
        <w:rPr>
          <w:rFonts w:ascii="Book Antiqua" w:hAnsi="Book Antiqua"/>
          <w:b/>
          <w:bCs/>
        </w:rPr>
        <w:t>46</w:t>
      </w:r>
      <w:r>
        <w:rPr>
          <w:rFonts w:ascii="Book Antiqua" w:hAnsi="Book Antiqua"/>
        </w:rPr>
        <w:t>: 2036-2041 [PMID: 26052056 DOI: 10.1016/j.injury.2015.05.042]</w:t>
      </w:r>
    </w:p>
    <w:p>
      <w:pPr>
        <w:spacing w:line="360" w:lineRule="auto"/>
        <w:jc w:val="both"/>
        <w:rPr>
          <w:rFonts w:ascii="Book Antiqua" w:hAnsi="Book Antiqua"/>
        </w:rPr>
      </w:pPr>
      <w:r>
        <w:rPr>
          <w:rFonts w:ascii="Book Antiqua" w:hAnsi="Book Antiqua"/>
        </w:rPr>
        <w:t xml:space="preserve">7 </w:t>
      </w:r>
      <w:r>
        <w:rPr>
          <w:rFonts w:ascii="Book Antiqua" w:hAnsi="Book Antiqua"/>
          <w:b/>
          <w:bCs/>
        </w:rPr>
        <w:t>Alazzawi MMJ</w:t>
      </w:r>
      <w:r>
        <w:rPr>
          <w:rFonts w:ascii="Book Antiqua" w:hAnsi="Book Antiqua"/>
        </w:rPr>
        <w:t xml:space="preserve">, Husein A, Alam MK, Hassan R, Shaari R, Azlina A, Salzihan MS. Effect of low level laser and low intensity pulsed ultrasound therapy on bone remodeling during orthodontic tooth movement in rats. </w:t>
      </w:r>
      <w:r>
        <w:rPr>
          <w:rFonts w:ascii="Book Antiqua" w:hAnsi="Book Antiqua"/>
          <w:i/>
          <w:iCs/>
        </w:rPr>
        <w:t>Prog Orthod</w:t>
      </w:r>
      <w:r>
        <w:rPr>
          <w:rFonts w:ascii="Book Antiqua" w:hAnsi="Book Antiqua"/>
        </w:rPr>
        <w:t xml:space="preserve"> 2018; </w:t>
      </w:r>
      <w:r>
        <w:rPr>
          <w:rFonts w:ascii="Book Antiqua" w:hAnsi="Book Antiqua"/>
          <w:b/>
          <w:bCs/>
        </w:rPr>
        <w:t>19</w:t>
      </w:r>
      <w:r>
        <w:rPr>
          <w:rFonts w:ascii="Book Antiqua" w:hAnsi="Book Antiqua"/>
        </w:rPr>
        <w:t>: 10 [PMID: 29658096 DOI: 10.1186/s40510-018-0208-2]</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Kaur H</w:t>
      </w:r>
      <w:r>
        <w:rPr>
          <w:rFonts w:ascii="Book Antiqua" w:hAnsi="Book Antiqua"/>
        </w:rPr>
        <w:t xml:space="preserve">, El-Bialy T. Shortening of Overall Orthodontic Treatment Duration with Low-Intensity Pulsed Ultrasound (LIPUS). </w:t>
      </w:r>
      <w:r>
        <w:rPr>
          <w:rFonts w:ascii="Book Antiqua" w:hAnsi="Book Antiqua"/>
          <w:i/>
          <w:iCs/>
        </w:rPr>
        <w:t>J Clin Med</w:t>
      </w:r>
      <w:r>
        <w:rPr>
          <w:rFonts w:ascii="Book Antiqua" w:hAnsi="Book Antiqua"/>
        </w:rPr>
        <w:t xml:space="preserve"> 2020; </w:t>
      </w:r>
      <w:r>
        <w:rPr>
          <w:rFonts w:ascii="Book Antiqua" w:hAnsi="Book Antiqua"/>
          <w:b/>
          <w:bCs/>
        </w:rPr>
        <w:t>9</w:t>
      </w:r>
      <w:r>
        <w:rPr>
          <w:rFonts w:ascii="Book Antiqua" w:hAnsi="Book Antiqua"/>
        </w:rPr>
        <w:t xml:space="preserve"> [PMID: 32370099 DOI: 10.3390/jcm9051303]</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Bahammam M</w:t>
      </w:r>
      <w:r>
        <w:rPr>
          <w:rFonts w:ascii="Book Antiqua" w:hAnsi="Book Antiqua"/>
        </w:rPr>
        <w:t xml:space="preserve">, El-Bialy T. Effect of Low-Intensity Pulsed Ultrasound (LIPUS) on Alveolar Bone during Maxillary Expansion Using Clear Aligners. </w:t>
      </w:r>
      <w:r>
        <w:rPr>
          <w:rFonts w:ascii="Book Antiqua" w:hAnsi="Book Antiqua"/>
          <w:i/>
          <w:iCs/>
        </w:rPr>
        <w:t>Biomed Res Int</w:t>
      </w:r>
      <w:r>
        <w:rPr>
          <w:rFonts w:ascii="Book Antiqua" w:hAnsi="Book Antiqua"/>
        </w:rPr>
        <w:t xml:space="preserve"> 2022; </w:t>
      </w:r>
      <w:r>
        <w:rPr>
          <w:rFonts w:ascii="Book Antiqua" w:hAnsi="Book Antiqua"/>
          <w:b/>
          <w:bCs/>
        </w:rPr>
        <w:t>2022</w:t>
      </w:r>
      <w:r>
        <w:rPr>
          <w:rFonts w:ascii="Book Antiqua" w:hAnsi="Book Antiqua"/>
        </w:rPr>
        <w:t>: 4505063 [PMID: 35528174 DOI: 10.1155/2022/4505063]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Arai C</w:t>
      </w:r>
      <w:r>
        <w:rPr>
          <w:rFonts w:ascii="Book Antiqua" w:hAnsi="Book Antiqua"/>
        </w:rPr>
        <w:t xml:space="preserve">, Kawai N, Nomura Y, Tsuge A, Nakamura Y, Tanaka E. Low-intensity pulsed ultrasound enhances the rate of lateral tooth movement and compensatory bone formation in rats. </w:t>
      </w:r>
      <w:r>
        <w:rPr>
          <w:rFonts w:ascii="Book Antiqua" w:hAnsi="Book Antiqua"/>
          <w:i/>
          <w:iCs/>
        </w:rPr>
        <w:t>Am J Orthod Dentofacial Orthop</w:t>
      </w:r>
      <w:r>
        <w:rPr>
          <w:rFonts w:ascii="Book Antiqua" w:hAnsi="Book Antiqua"/>
        </w:rPr>
        <w:t xml:space="preserve"> 2020; </w:t>
      </w:r>
      <w:r>
        <w:rPr>
          <w:rFonts w:ascii="Book Antiqua" w:hAnsi="Book Antiqua"/>
          <w:b/>
          <w:bCs/>
        </w:rPr>
        <w:t>157</w:t>
      </w:r>
      <w:r>
        <w:rPr>
          <w:rFonts w:ascii="Book Antiqua" w:hAnsi="Book Antiqua"/>
        </w:rPr>
        <w:t>: 59-66 [PMID: 31901282 DOI: 10.1016/j.ajodo.2019.01.027]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Berebichez-Fridman R</w:t>
      </w:r>
      <w:r>
        <w:rPr>
          <w:rFonts w:ascii="Book Antiqua" w:hAnsi="Book Antiqua"/>
        </w:rPr>
        <w:t xml:space="preserve">, Montero-Olvera PR. Sources and Clinical Applications of Mesenchymal Stem Cells: State-of-the-art review. </w:t>
      </w:r>
      <w:r>
        <w:rPr>
          <w:rFonts w:ascii="Book Antiqua" w:hAnsi="Book Antiqua"/>
          <w:i/>
          <w:iCs/>
        </w:rPr>
        <w:t>Sultan Qaboos Univ Med J</w:t>
      </w:r>
      <w:r>
        <w:rPr>
          <w:rFonts w:ascii="Book Antiqua" w:hAnsi="Book Antiqua"/>
        </w:rPr>
        <w:t xml:space="preserve"> 2018; </w:t>
      </w:r>
      <w:r>
        <w:rPr>
          <w:rFonts w:ascii="Book Antiqua" w:hAnsi="Book Antiqua"/>
          <w:b/>
          <w:bCs/>
        </w:rPr>
        <w:t>18</w:t>
      </w:r>
      <w:r>
        <w:rPr>
          <w:rFonts w:ascii="Book Antiqua" w:hAnsi="Book Antiqua"/>
        </w:rPr>
        <w:t>: e264-e277 [PMID: 30607265 DOI: 10.18295/squmj.2018.18.03.002]</w:t>
      </w:r>
    </w:p>
    <w:p>
      <w:pPr>
        <w:spacing w:line="360" w:lineRule="auto"/>
        <w:jc w:val="both"/>
        <w:rPr>
          <w:rFonts w:ascii="Book Antiqua" w:hAnsi="Book Antiqua"/>
        </w:rPr>
      </w:pPr>
      <w:r>
        <w:rPr>
          <w:rFonts w:ascii="Book Antiqua" w:hAnsi="Book Antiqua"/>
        </w:rPr>
        <w:t xml:space="preserve">12 </w:t>
      </w:r>
      <w:r>
        <w:rPr>
          <w:rFonts w:ascii="Book Antiqua" w:hAnsi="Book Antiqua"/>
          <w:b/>
          <w:bCs/>
        </w:rPr>
        <w:t>Xie S</w:t>
      </w:r>
      <w:r>
        <w:rPr>
          <w:rFonts w:ascii="Book Antiqua" w:hAnsi="Book Antiqua"/>
        </w:rPr>
        <w:t xml:space="preserve">, Jiang X, Wang R, Xie S, Hua Y, Zhou S, Yang Y, Zhang J. Low-intensity pulsed ultrasound promotes the proliferation of human bone mesenchymal stem cells by activating PI3K/AKt signaling pathways. </w:t>
      </w:r>
      <w:r>
        <w:rPr>
          <w:rFonts w:ascii="Book Antiqua" w:hAnsi="Book Antiqua"/>
          <w:i/>
          <w:iCs/>
        </w:rPr>
        <w:t>J Cell Biochem</w:t>
      </w:r>
      <w:r>
        <w:rPr>
          <w:rFonts w:ascii="Book Antiqua" w:hAnsi="Book Antiqua"/>
        </w:rPr>
        <w:t xml:space="preserve"> 2019; </w:t>
      </w:r>
      <w:r>
        <w:rPr>
          <w:rFonts w:ascii="Book Antiqua" w:hAnsi="Book Antiqua"/>
          <w:b/>
          <w:bCs/>
        </w:rPr>
        <w:t>120</w:t>
      </w:r>
      <w:r>
        <w:rPr>
          <w:rFonts w:ascii="Book Antiqua" w:hAnsi="Book Antiqua"/>
        </w:rPr>
        <w:t>: 15823-15833 [PMID: 31090943 DOI: 10.1002/jcb.28853]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Aliabouzar M</w:t>
      </w:r>
      <w:r>
        <w:rPr>
          <w:rFonts w:ascii="Book Antiqua" w:hAnsi="Book Antiqua"/>
        </w:rPr>
        <w:t xml:space="preserve">, Lee SJ, Zhou X, Zhang GL, Sarkar K. Effects of scaffold microstructure and low intensity pulsed ultrasound on chondrogenic differentiation of human mesenchymal stem cells. </w:t>
      </w:r>
      <w:r>
        <w:rPr>
          <w:rFonts w:ascii="Book Antiqua" w:hAnsi="Book Antiqua"/>
          <w:i/>
          <w:iCs/>
        </w:rPr>
        <w:t>Biotechnol Bioeng</w:t>
      </w:r>
      <w:r>
        <w:rPr>
          <w:rFonts w:ascii="Book Antiqua" w:hAnsi="Book Antiqua"/>
        </w:rPr>
        <w:t xml:space="preserve"> 2018; </w:t>
      </w:r>
      <w:r>
        <w:rPr>
          <w:rFonts w:ascii="Book Antiqua" w:hAnsi="Book Antiqua"/>
          <w:b/>
          <w:bCs/>
        </w:rPr>
        <w:t>115</w:t>
      </w:r>
      <w:r>
        <w:rPr>
          <w:rFonts w:ascii="Book Antiqua" w:hAnsi="Book Antiqua"/>
        </w:rPr>
        <w:t>: 495-506 [PMID: 29064570 DOI: 10.1002/bit.26480]</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Assanah F</w:t>
      </w:r>
      <w:r>
        <w:rPr>
          <w:rFonts w:ascii="Book Antiqua" w:hAnsi="Book Antiqua"/>
        </w:rPr>
        <w:t xml:space="preserve">, Grassie K, Anderson H, Xin X, Rowe D, Khan Y. Ultrasound-derived mechanical stimulation of cell-laden collagen hydrogels for bone repair. </w:t>
      </w:r>
      <w:r>
        <w:rPr>
          <w:rFonts w:ascii="Book Antiqua" w:hAnsi="Book Antiqua"/>
          <w:i/>
          <w:iCs/>
        </w:rPr>
        <w:t>J Biomed Mater Res A</w:t>
      </w:r>
      <w:r>
        <w:rPr>
          <w:rFonts w:ascii="Book Antiqua" w:hAnsi="Book Antiqua"/>
        </w:rPr>
        <w:t xml:space="preserve"> 2023; </w:t>
      </w:r>
      <w:r>
        <w:rPr>
          <w:rFonts w:ascii="Book Antiqua" w:hAnsi="Book Antiqua"/>
          <w:b/>
          <w:bCs/>
        </w:rPr>
        <w:t>111</w:t>
      </w:r>
      <w:r>
        <w:rPr>
          <w:rFonts w:ascii="Book Antiqua" w:hAnsi="Book Antiqua"/>
        </w:rPr>
        <w:t>: 1200-1215 [PMID: 36728346 DOI: 10.1002/jbm.a.37508]</w:t>
      </w:r>
    </w:p>
    <w:p>
      <w:pPr>
        <w:spacing w:line="360" w:lineRule="auto"/>
        <w:jc w:val="both"/>
        <w:rPr>
          <w:rFonts w:ascii="Book Antiqua" w:hAnsi="Book Antiqua"/>
        </w:rPr>
      </w:pPr>
      <w:r>
        <w:rPr>
          <w:rFonts w:ascii="Book Antiqua" w:hAnsi="Book Antiqua"/>
        </w:rPr>
        <w:t xml:space="preserve">15 </w:t>
      </w:r>
      <w:bookmarkStart w:id="683" w:name="_Hlk157858582"/>
      <w:r>
        <w:rPr>
          <w:rFonts w:ascii="Book Antiqua" w:hAnsi="Book Antiqua"/>
          <w:b/>
          <w:bCs/>
        </w:rPr>
        <w:t>Pettersson LF</w:t>
      </w:r>
      <w:r>
        <w:rPr>
          <w:rFonts w:ascii="Book Antiqua" w:hAnsi="Book Antiqua"/>
        </w:rPr>
        <w:t xml:space="preserve">, Kingham PJ, Wiberg M, Kelk P. In Vitro Osteogenic Differentiation of Human Mesenchymal Stem Cells from Jawbone Compared with Dental Tissue. </w:t>
      </w:r>
      <w:r>
        <w:rPr>
          <w:rFonts w:ascii="Book Antiqua" w:hAnsi="Book Antiqua"/>
          <w:i/>
          <w:iCs/>
        </w:rPr>
        <w:t>Tissue Eng Regen Med</w:t>
      </w:r>
      <w:r>
        <w:rPr>
          <w:rFonts w:ascii="Book Antiqua" w:hAnsi="Book Antiqua"/>
        </w:rPr>
        <w:t xml:space="preserve"> 2017; </w:t>
      </w:r>
      <w:r>
        <w:rPr>
          <w:rFonts w:ascii="Book Antiqua" w:hAnsi="Book Antiqua"/>
          <w:b/>
          <w:bCs/>
        </w:rPr>
        <w:t>14</w:t>
      </w:r>
      <w:r>
        <w:rPr>
          <w:rFonts w:ascii="Book Antiqua" w:hAnsi="Book Antiqua"/>
        </w:rPr>
        <w:t>: 763-774 [PMID: 30603526 DOI: 10.1007/s13770-017-0071-0]</w:t>
      </w:r>
      <w:bookmarkEnd w:id="683"/>
    </w:p>
    <w:p>
      <w:pPr>
        <w:spacing w:line="360" w:lineRule="auto"/>
        <w:jc w:val="both"/>
        <w:rPr>
          <w:rFonts w:ascii="Book Antiqua" w:hAnsi="Book Antiqua"/>
        </w:rPr>
      </w:pPr>
      <w:r>
        <w:rPr>
          <w:rFonts w:ascii="Book Antiqua" w:hAnsi="Book Antiqua"/>
        </w:rPr>
        <w:t xml:space="preserve">16 </w:t>
      </w:r>
      <w:r>
        <w:rPr>
          <w:rFonts w:ascii="Book Antiqua" w:hAnsi="Book Antiqua"/>
          <w:b/>
          <w:bCs/>
        </w:rPr>
        <w:t>Zhan X</w:t>
      </w:r>
      <w:r>
        <w:rPr>
          <w:rFonts w:ascii="Book Antiqua" w:hAnsi="Book Antiqua"/>
        </w:rPr>
        <w:t xml:space="preserve">, Li S, Cui Y, Tao A, Wang C, Li H, Zhang L, Yu H, Jiang J, Li C. Comparison of the osteoblastic activity of low elastic modulus Ti-24Nb-4Zr-8Sn alloy and pure titanium modified by physical and chemical methods. </w:t>
      </w:r>
      <w:r>
        <w:rPr>
          <w:rFonts w:ascii="Book Antiqua" w:hAnsi="Book Antiqua"/>
          <w:i/>
          <w:iCs/>
        </w:rPr>
        <w:t>Mater Sci Eng C Mater Biol Appl</w:t>
      </w:r>
      <w:r>
        <w:rPr>
          <w:rFonts w:ascii="Book Antiqua" w:hAnsi="Book Antiqua"/>
        </w:rPr>
        <w:t xml:space="preserve"> 2020; </w:t>
      </w:r>
      <w:r>
        <w:rPr>
          <w:rFonts w:ascii="Book Antiqua" w:hAnsi="Book Antiqua"/>
          <w:b/>
          <w:bCs/>
        </w:rPr>
        <w:t>113</w:t>
      </w:r>
      <w:r>
        <w:rPr>
          <w:rFonts w:ascii="Book Antiqua" w:hAnsi="Book Antiqua"/>
        </w:rPr>
        <w:t>: 111018 [PMID: 32487417 DOI: 10.1016/j.msec.2020.111018]</w:t>
      </w:r>
    </w:p>
    <w:p>
      <w:pPr>
        <w:spacing w:line="360" w:lineRule="auto"/>
        <w:jc w:val="both"/>
        <w:rPr>
          <w:rFonts w:ascii="Book Antiqua" w:hAnsi="Book Antiqua"/>
        </w:rPr>
      </w:pPr>
      <w:bookmarkStart w:id="684" w:name="_Hlk157848896"/>
      <w:r>
        <w:rPr>
          <w:rFonts w:ascii="Book Antiqua" w:hAnsi="Book Antiqua"/>
        </w:rPr>
        <w:t xml:space="preserve">17 </w:t>
      </w:r>
      <w:r>
        <w:rPr>
          <w:rFonts w:ascii="Book Antiqua" w:hAnsi="Book Antiqua"/>
          <w:b/>
          <w:bCs/>
        </w:rPr>
        <w:t>Wang J</w:t>
      </w:r>
      <w:r>
        <w:rPr>
          <w:rFonts w:ascii="Book Antiqua" w:hAnsi="Book Antiqua"/>
        </w:rPr>
        <w:t xml:space="preserve">, Jiao D, Huang X, Bai Y. Osteoclastic effects of mBMMSCs under compressive pressure during orthodontic tooth movement. </w:t>
      </w:r>
      <w:r>
        <w:rPr>
          <w:rFonts w:ascii="Book Antiqua" w:hAnsi="Book Antiqua"/>
          <w:i/>
          <w:iCs/>
        </w:rPr>
        <w:t>Stem Cell Res Ther</w:t>
      </w:r>
      <w:r>
        <w:rPr>
          <w:rFonts w:ascii="Book Antiqua" w:hAnsi="Book Antiqua"/>
        </w:rPr>
        <w:t xml:space="preserve"> 2021; </w:t>
      </w:r>
      <w:r>
        <w:rPr>
          <w:rFonts w:ascii="Book Antiqua" w:hAnsi="Book Antiqua"/>
          <w:b/>
          <w:bCs/>
        </w:rPr>
        <w:t>12</w:t>
      </w:r>
      <w:r>
        <w:rPr>
          <w:rFonts w:ascii="Book Antiqua" w:hAnsi="Book Antiqua"/>
        </w:rPr>
        <w:t>: 148 [PMID: 33632323 DOI: 10.1186/s13287-021-02220-0]</w:t>
      </w:r>
    </w:p>
    <w:p>
      <w:pPr>
        <w:spacing w:line="360" w:lineRule="auto"/>
        <w:jc w:val="both"/>
        <w:rPr>
          <w:rFonts w:ascii="Book Antiqua" w:hAnsi="Book Antiqua"/>
          <w:lang w:eastAsia="zh-CN"/>
        </w:rPr>
      </w:pPr>
      <w:bookmarkStart w:id="685" w:name="_Hlk157859142"/>
      <w:r>
        <w:rPr>
          <w:rFonts w:hint="eastAsia" w:ascii="Book Antiqua" w:hAnsi="Book Antiqua"/>
          <w:lang w:eastAsia="zh-CN"/>
        </w:rPr>
        <w:t>1</w:t>
      </w:r>
      <w:r>
        <w:rPr>
          <w:rFonts w:ascii="Book Antiqua" w:hAnsi="Book Antiqua"/>
          <w:lang w:eastAsia="zh-CN"/>
        </w:rPr>
        <w:t xml:space="preserve">8 </w:t>
      </w:r>
      <w:r>
        <w:rPr>
          <w:rFonts w:ascii="Book Antiqua" w:hAnsi="Book Antiqua"/>
          <w:b/>
          <w:bCs/>
          <w:lang w:eastAsia="zh-CN"/>
        </w:rPr>
        <w:t>Zhou J</w:t>
      </w:r>
      <w:r>
        <w:rPr>
          <w:rFonts w:ascii="Book Antiqua" w:hAnsi="Book Antiqua"/>
          <w:lang w:eastAsia="zh-CN"/>
        </w:rPr>
        <w:t xml:space="preserve">, Zhu Y, Ai D, Zhou M, Li H, Fu Y, Song J. Low-intensity pulsed ultrasound regulates osteoblast-osteoclast crosstalk via EphrinB2/EphB4 signaling for orthodontic alveolar bone remodeling. </w:t>
      </w:r>
      <w:r>
        <w:rPr>
          <w:rFonts w:ascii="Book Antiqua" w:hAnsi="Book Antiqua"/>
          <w:i/>
          <w:iCs/>
          <w:lang w:eastAsia="zh-CN"/>
        </w:rPr>
        <w:t>Front Bioeng Biotechnol</w:t>
      </w:r>
      <w:r>
        <w:rPr>
          <w:rFonts w:ascii="Book Antiqua" w:hAnsi="Book Antiqua"/>
          <w:lang w:eastAsia="zh-CN"/>
        </w:rPr>
        <w:t xml:space="preserve"> 2023; </w:t>
      </w:r>
      <w:r>
        <w:rPr>
          <w:rFonts w:ascii="Book Antiqua" w:hAnsi="Book Antiqua"/>
          <w:b/>
          <w:bCs/>
          <w:lang w:eastAsia="zh-CN"/>
        </w:rPr>
        <w:t>11</w:t>
      </w:r>
      <w:r>
        <w:rPr>
          <w:rFonts w:ascii="Book Antiqua" w:hAnsi="Book Antiqua"/>
          <w:lang w:eastAsia="zh-CN"/>
        </w:rPr>
        <w:t>: 1192720 [PMID: 37425367 DOI: 10.3389/fbioe.2023.1192720]</w:t>
      </w:r>
    </w:p>
    <w:bookmarkEnd w:id="684"/>
    <w:bookmarkEnd w:id="685"/>
    <w:p>
      <w:pPr>
        <w:spacing w:line="360" w:lineRule="auto"/>
        <w:jc w:val="both"/>
        <w:rPr>
          <w:rFonts w:ascii="Book Antiqua" w:hAnsi="Book Antiqua"/>
        </w:rPr>
      </w:pPr>
      <w:r>
        <w:rPr>
          <w:rFonts w:ascii="Book Antiqua" w:hAnsi="Book Antiqua"/>
        </w:rPr>
        <w:t xml:space="preserve">19 </w:t>
      </w:r>
      <w:r>
        <w:rPr>
          <w:rFonts w:ascii="Book Antiqua" w:hAnsi="Book Antiqua"/>
          <w:b/>
          <w:bCs/>
        </w:rPr>
        <w:t>Sun Y</w:t>
      </w:r>
      <w:r>
        <w:rPr>
          <w:rFonts w:ascii="Book Antiqua" w:hAnsi="Book Antiqua"/>
        </w:rPr>
        <w:t xml:space="preserve">, Wang H, Li Y, Liu S, Chen J, Ying H. miR-24 and miR-122 Negatively Regulate the Transforming Growth Factor-β/Smad Signaling Pathway in Skeletal Muscle Fibrosis. </w:t>
      </w:r>
      <w:r>
        <w:rPr>
          <w:rFonts w:ascii="Book Antiqua" w:hAnsi="Book Antiqua"/>
          <w:i/>
          <w:iCs/>
        </w:rPr>
        <w:t>Mol Ther Nucleic Acids</w:t>
      </w:r>
      <w:r>
        <w:rPr>
          <w:rFonts w:ascii="Book Antiqua" w:hAnsi="Book Antiqua"/>
        </w:rPr>
        <w:t xml:space="preserve"> 2018; </w:t>
      </w:r>
      <w:r>
        <w:rPr>
          <w:rFonts w:ascii="Book Antiqua" w:hAnsi="Book Antiqua"/>
          <w:b/>
          <w:bCs/>
        </w:rPr>
        <w:t>11</w:t>
      </w:r>
      <w:r>
        <w:rPr>
          <w:rFonts w:ascii="Book Antiqua" w:hAnsi="Book Antiqua"/>
        </w:rPr>
        <w:t>: 528-537 [PMID: 29858088 DOI: 10.1016/j.omtn.2018.04.005]</w:t>
      </w:r>
    </w:p>
    <w:p>
      <w:pPr>
        <w:spacing w:line="360" w:lineRule="auto"/>
        <w:jc w:val="both"/>
        <w:rPr>
          <w:rFonts w:ascii="Book Antiqua" w:hAnsi="Book Antiqua"/>
        </w:rPr>
      </w:pPr>
      <w:r>
        <w:rPr>
          <w:rFonts w:ascii="Book Antiqua" w:hAnsi="Book Antiqua"/>
        </w:rPr>
        <w:t xml:space="preserve">20 </w:t>
      </w:r>
      <w:r>
        <w:rPr>
          <w:rFonts w:ascii="Book Antiqua" w:hAnsi="Book Antiqua"/>
          <w:b/>
          <w:bCs/>
        </w:rPr>
        <w:t>Xin J</w:t>
      </w:r>
      <w:r>
        <w:rPr>
          <w:rFonts w:ascii="Book Antiqua" w:hAnsi="Book Antiqua"/>
        </w:rPr>
        <w:t xml:space="preserve">, Zhan X, Zheng F, Li H, Wang Y, Li C, Jiang J. The effect of low-frequency high-intensity ultrasound combined with aspirin on tooth movement in rats. </w:t>
      </w:r>
      <w:r>
        <w:rPr>
          <w:rFonts w:ascii="Book Antiqua" w:hAnsi="Book Antiqua"/>
          <w:i/>
          <w:iCs/>
        </w:rPr>
        <w:t>BMC Oral Health</w:t>
      </w:r>
      <w:r>
        <w:rPr>
          <w:rFonts w:ascii="Book Antiqua" w:hAnsi="Book Antiqua"/>
        </w:rPr>
        <w:t xml:space="preserve"> 2023; </w:t>
      </w:r>
      <w:r>
        <w:rPr>
          <w:rFonts w:ascii="Book Antiqua" w:hAnsi="Book Antiqua"/>
          <w:b/>
          <w:bCs/>
        </w:rPr>
        <w:t>23</w:t>
      </w:r>
      <w:r>
        <w:rPr>
          <w:rFonts w:ascii="Book Antiqua" w:hAnsi="Book Antiqua"/>
        </w:rPr>
        <w:t>: 642 [PMID: 37670292 DOI: 10.1186/s12903-023-03359-3]</w:t>
      </w:r>
    </w:p>
    <w:p>
      <w:pPr>
        <w:adjustRightInd w:val="0"/>
        <w:snapToGrid w:val="0"/>
        <w:spacing w:line="360" w:lineRule="auto"/>
        <w:jc w:val="both"/>
        <w:rPr>
          <w:rFonts w:hint="default" w:ascii="Book Antiqua" w:hAnsi="Book Antiqua" w:cs="Book Antiqua"/>
          <w:bCs/>
          <w:color w:val="000000" w:themeColor="text1"/>
          <w14:textFill>
            <w14:solidFill>
              <w14:schemeClr w14:val="tx1"/>
            </w14:solidFill>
          </w14:textFill>
        </w:rPr>
      </w:pPr>
      <w:r>
        <w:rPr>
          <w:rFonts w:hint="default" w:ascii="Book Antiqua" w:hAnsi="Book Antiqua" w:cs="Book Antiqua"/>
        </w:rPr>
        <w:t xml:space="preserve">21 </w:t>
      </w:r>
      <w:r>
        <w:rPr>
          <w:rFonts w:hint="default" w:ascii="Book Antiqua" w:hAnsi="Book Antiqua" w:cs="Book Antiqua"/>
          <w:b/>
          <w:bCs/>
        </w:rPr>
        <w:t>Koushki N</w:t>
      </w:r>
      <w:r>
        <w:rPr>
          <w:rFonts w:hint="default" w:ascii="Book Antiqua" w:hAnsi="Book Antiqua" w:cs="Book Antiqua"/>
        </w:rPr>
        <w:t xml:space="preserve">, Ghagre A, Srivastava LK, Molter C, Ehrlicher AJ. Nuclear compression regulates YAP spatiotemporal fluctuations in living cells. </w:t>
      </w:r>
      <w:r>
        <w:rPr>
          <w:rFonts w:hint="default" w:ascii="Book Antiqua" w:hAnsi="Book Antiqua" w:cs="Book Antiqua"/>
          <w:i/>
        </w:rPr>
        <w:t>Proc Natl Acad Sci U S A</w:t>
      </w:r>
      <w:r>
        <w:rPr>
          <w:rFonts w:hint="default" w:ascii="Book Antiqua" w:hAnsi="Book Antiqua" w:cs="Book Antiqua"/>
        </w:rPr>
        <w:t xml:space="preserve"> 2023; </w:t>
      </w:r>
      <w:r>
        <w:rPr>
          <w:rFonts w:hint="default" w:ascii="Book Antiqua" w:hAnsi="Book Antiqua" w:cs="Book Antiqua"/>
          <w:b/>
        </w:rPr>
        <w:t>120(28)</w:t>
      </w:r>
      <w:r>
        <w:rPr>
          <w:rFonts w:hint="default" w:ascii="Book Antiqua" w:hAnsi="Book Antiqua" w:cs="Book Antiqua"/>
        </w:rPr>
        <w:t>:e2301285120. [PMID: 37399392 DOI: 10.1073/pnas.2301285120].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Elosegui-Artola A</w:t>
      </w:r>
      <w:r>
        <w:rPr>
          <w:rFonts w:ascii="Book Antiqua" w:hAnsi="Book Antiqua"/>
        </w:rPr>
        <w:t xml:space="preserve">, Andreu I, Beedle AEM, Lezamiz A, Uroz M, Kosmalska AJ, Oria R, Kechagia JZ, Rico-Lastres P, Le Roux AL, Shanahan CM, Trepat X, Navajas D, Garcia-Manyes S, Roca-Cusachs P. Force Triggers YAP Nuclear Entry by Regulating Transport across Nuclear Pores. </w:t>
      </w:r>
      <w:r>
        <w:rPr>
          <w:rFonts w:ascii="Book Antiqua" w:hAnsi="Book Antiqua"/>
          <w:i/>
          <w:iCs/>
        </w:rPr>
        <w:t>Cell</w:t>
      </w:r>
      <w:r>
        <w:rPr>
          <w:rFonts w:ascii="Book Antiqua" w:hAnsi="Book Antiqua"/>
        </w:rPr>
        <w:t xml:space="preserve"> 2017; </w:t>
      </w:r>
      <w:r>
        <w:rPr>
          <w:rFonts w:ascii="Book Antiqua" w:hAnsi="Book Antiqua"/>
          <w:b/>
          <w:bCs/>
        </w:rPr>
        <w:t>171</w:t>
      </w:r>
      <w:r>
        <w:rPr>
          <w:rFonts w:ascii="Book Antiqua" w:hAnsi="Book Antiqua"/>
        </w:rPr>
        <w:t>: 1397-1410.e14 [PMID: 29107331 DOI: 10.1016/j.cell.2017.10.008]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Yang T</w:t>
      </w:r>
      <w:r>
        <w:rPr>
          <w:rFonts w:ascii="Book Antiqua" w:hAnsi="Book Antiqua"/>
        </w:rPr>
        <w:t xml:space="preserve">, Liang C, Chen L, Li J, Geng W. Low-Intensity Pulsed Ultrasound Alleviates Hypoxia-Induced Chondrocyte Damage in Temporomandibular Disorders by Modulating the Hypoxia-Inducible Factor Pathway.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689 [PMID: 32477144 DOI: 10.3389/fphar.2020.00689]</w:t>
      </w:r>
    </w:p>
    <w:p>
      <w:pPr>
        <w:spacing w:line="360" w:lineRule="auto"/>
        <w:jc w:val="both"/>
        <w:rPr>
          <w:rFonts w:ascii="Book Antiqua" w:hAnsi="Book Antiqua"/>
        </w:rPr>
      </w:pPr>
      <w:r>
        <w:rPr>
          <w:rFonts w:ascii="Book Antiqua" w:hAnsi="Book Antiqua"/>
        </w:rPr>
        <w:t xml:space="preserve">24 </w:t>
      </w:r>
      <w:r>
        <w:rPr>
          <w:rFonts w:ascii="Book Antiqua" w:hAnsi="Book Antiqua"/>
          <w:b/>
          <w:bCs/>
        </w:rPr>
        <w:t>El-Bialy T</w:t>
      </w:r>
      <w:r>
        <w:rPr>
          <w:rFonts w:ascii="Book Antiqua" w:hAnsi="Book Antiqua"/>
        </w:rPr>
        <w:t xml:space="preserve">, Farouk K, Carlyle TD, Wiltshire W, Drummond R, Dumore T, Knowlton K, Tompson B. Effect of Low Intensity Pulsed Ultrasound (LIPUS) on Tooth Movement and Root Resorption: A Prospective Multi-Center Randomized Controlled Trial. </w:t>
      </w:r>
      <w:r>
        <w:rPr>
          <w:rFonts w:ascii="Book Antiqua" w:hAnsi="Book Antiqua"/>
          <w:i/>
          <w:iCs/>
        </w:rPr>
        <w:t>J Clin Med</w:t>
      </w:r>
      <w:r>
        <w:rPr>
          <w:rFonts w:ascii="Book Antiqua" w:hAnsi="Book Antiqua"/>
        </w:rPr>
        <w:t xml:space="preserve"> 2020; </w:t>
      </w:r>
      <w:r>
        <w:rPr>
          <w:rFonts w:ascii="Book Antiqua" w:hAnsi="Book Antiqua"/>
          <w:b/>
          <w:bCs/>
        </w:rPr>
        <w:t>9</w:t>
      </w:r>
      <w:r>
        <w:rPr>
          <w:rFonts w:ascii="Book Antiqua" w:hAnsi="Book Antiqua"/>
        </w:rPr>
        <w:t xml:space="preserve"> [PMID: 32188053 DOI: 10.3390/jcm9030804]</w:t>
      </w:r>
    </w:p>
    <w:p>
      <w:pPr>
        <w:spacing w:line="360" w:lineRule="auto"/>
        <w:jc w:val="both"/>
        <w:rPr>
          <w:rFonts w:ascii="Book Antiqua" w:hAnsi="Book Antiqua"/>
        </w:rPr>
      </w:pPr>
      <w:r>
        <w:rPr>
          <w:rFonts w:ascii="Book Antiqua" w:hAnsi="Book Antiqua"/>
        </w:rPr>
        <w:t xml:space="preserve">25 </w:t>
      </w:r>
      <w:r>
        <w:rPr>
          <w:rFonts w:ascii="Book Antiqua" w:hAnsi="Book Antiqua"/>
          <w:b/>
          <w:bCs/>
        </w:rPr>
        <w:t>Ahn HW</w:t>
      </w:r>
      <w:r>
        <w:rPr>
          <w:rFonts w:ascii="Book Antiqua" w:hAnsi="Book Antiqua"/>
        </w:rPr>
        <w:t xml:space="preserve">, Moon SC, Baek SH. Morphometric evaluation of changes in the alveolar bone and roots of the maxillary anterior teeth before and after en masse retraction using cone-beam computed tomography. </w:t>
      </w:r>
      <w:r>
        <w:rPr>
          <w:rFonts w:ascii="Book Antiqua" w:hAnsi="Book Antiqua"/>
          <w:i/>
          <w:iCs/>
        </w:rPr>
        <w:t>Angle Orthod</w:t>
      </w:r>
      <w:r>
        <w:rPr>
          <w:rFonts w:ascii="Book Antiqua" w:hAnsi="Book Antiqua"/>
        </w:rPr>
        <w:t xml:space="preserve"> 2013; </w:t>
      </w:r>
      <w:r>
        <w:rPr>
          <w:rFonts w:ascii="Book Antiqua" w:hAnsi="Book Antiqua"/>
          <w:b/>
          <w:bCs/>
        </w:rPr>
        <w:t>83</w:t>
      </w:r>
      <w:r>
        <w:rPr>
          <w:rFonts w:ascii="Book Antiqua" w:hAnsi="Book Antiqua"/>
        </w:rPr>
        <w:t>: 212-221 [PMID: 23066654 DOI: 10.2319/041812-325.1]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Zheng Y</w:t>
      </w:r>
      <w:r>
        <w:rPr>
          <w:rFonts w:ascii="Book Antiqua" w:hAnsi="Book Antiqua"/>
        </w:rPr>
        <w:t xml:space="preserve">, Zhu C, Zhu M, Lei L. Difference in the alveolar bone remodeling between the adolescents and adults during upper incisor retraction: a retrospective study. </w:t>
      </w:r>
      <w:r>
        <w:rPr>
          <w:rFonts w:ascii="Book Antiqua" w:hAnsi="Book Antiqua"/>
          <w:i/>
          <w:iCs/>
        </w:rPr>
        <w:t>Sci Rep</w:t>
      </w:r>
      <w:r>
        <w:rPr>
          <w:rFonts w:ascii="Book Antiqua" w:hAnsi="Book Antiqua"/>
        </w:rPr>
        <w:t xml:space="preserve"> 2022; </w:t>
      </w:r>
      <w:r>
        <w:rPr>
          <w:rFonts w:ascii="Book Antiqua" w:hAnsi="Book Antiqua"/>
          <w:b/>
          <w:bCs/>
        </w:rPr>
        <w:t>12</w:t>
      </w:r>
      <w:r>
        <w:rPr>
          <w:rFonts w:ascii="Book Antiqua" w:hAnsi="Book Antiqua"/>
        </w:rPr>
        <w:t>: 9161 [PMID: 35650260 DOI: 10.1038/s41598-022-12967-y]</w:t>
      </w:r>
    </w:p>
    <w:p>
      <w:pPr>
        <w:spacing w:line="360" w:lineRule="auto"/>
        <w:jc w:val="both"/>
        <w:rPr>
          <w:rFonts w:ascii="Book Antiqua" w:hAnsi="Book Antiqua"/>
        </w:rPr>
      </w:pPr>
      <w:r>
        <w:rPr>
          <w:rFonts w:ascii="Book Antiqua" w:hAnsi="Book Antiqua"/>
        </w:rPr>
        <w:t xml:space="preserve">27 </w:t>
      </w:r>
      <w:r>
        <w:rPr>
          <w:rFonts w:ascii="Book Antiqua" w:hAnsi="Book Antiqua"/>
          <w:b/>
          <w:bCs/>
        </w:rPr>
        <w:t>Chang HW</w:t>
      </w:r>
      <w:r>
        <w:rPr>
          <w:rFonts w:ascii="Book Antiqua" w:hAnsi="Book Antiqua"/>
        </w:rPr>
        <w:t xml:space="preserve">, Huang HL, Yu JH, Hsu JT, Li YF, Wu YF. Effects of orthodontic tooth movement on alveolar bone density. </w:t>
      </w:r>
      <w:r>
        <w:rPr>
          <w:rFonts w:ascii="Book Antiqua" w:hAnsi="Book Antiqua"/>
          <w:i/>
          <w:iCs/>
        </w:rPr>
        <w:t>Clin Oral Investig</w:t>
      </w:r>
      <w:r>
        <w:rPr>
          <w:rFonts w:ascii="Book Antiqua" w:hAnsi="Book Antiqua"/>
        </w:rPr>
        <w:t xml:space="preserve"> 2012; </w:t>
      </w:r>
      <w:r>
        <w:rPr>
          <w:rFonts w:ascii="Book Antiqua" w:hAnsi="Book Antiqua"/>
          <w:b/>
          <w:bCs/>
        </w:rPr>
        <w:t>16</w:t>
      </w:r>
      <w:r>
        <w:rPr>
          <w:rFonts w:ascii="Book Antiqua" w:hAnsi="Book Antiqua"/>
        </w:rPr>
        <w:t>: 679-688 [PMID: 21519883 DOI: 10.1007/s00784-011-0552-9]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Hsu JT</w:t>
      </w:r>
      <w:r>
        <w:rPr>
          <w:rFonts w:ascii="Book Antiqua" w:hAnsi="Book Antiqua"/>
        </w:rPr>
        <w:t xml:space="preserve">, Chang HW, Huang HL, Yu JH, Li YF, Tu MG. Bone density changes around teeth during orthodontic treatment. </w:t>
      </w:r>
      <w:r>
        <w:rPr>
          <w:rFonts w:ascii="Book Antiqua" w:hAnsi="Book Antiqua"/>
          <w:i/>
          <w:iCs/>
        </w:rPr>
        <w:t>Clin Oral Investig</w:t>
      </w:r>
      <w:r>
        <w:rPr>
          <w:rFonts w:ascii="Book Antiqua" w:hAnsi="Book Antiqua"/>
        </w:rPr>
        <w:t xml:space="preserve"> 2011; </w:t>
      </w:r>
      <w:r>
        <w:rPr>
          <w:rFonts w:ascii="Book Antiqua" w:hAnsi="Book Antiqua"/>
          <w:b/>
          <w:bCs/>
        </w:rPr>
        <w:t>15</w:t>
      </w:r>
      <w:r>
        <w:rPr>
          <w:rFonts w:ascii="Book Antiqua" w:hAnsi="Book Antiqua"/>
        </w:rPr>
        <w:t>: 511-519 [PMID: 20393863 DOI: 10.1007/s00784-010-0410-1]</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Carter DR</w:t>
      </w:r>
      <w:r>
        <w:rPr>
          <w:rFonts w:ascii="Book Antiqua" w:hAnsi="Book Antiqua"/>
        </w:rPr>
        <w:t xml:space="preserve">. Mechanical loading histories and cortical bone remodeling. </w:t>
      </w:r>
      <w:r>
        <w:rPr>
          <w:rFonts w:ascii="Book Antiqua" w:hAnsi="Book Antiqua"/>
          <w:i/>
          <w:iCs/>
        </w:rPr>
        <w:t>Calcif Tissue Int</w:t>
      </w:r>
      <w:r>
        <w:rPr>
          <w:rFonts w:ascii="Book Antiqua" w:hAnsi="Book Antiqua"/>
        </w:rPr>
        <w:t xml:space="preserve"> 1984; </w:t>
      </w:r>
      <w:r>
        <w:rPr>
          <w:rFonts w:ascii="Book Antiqua" w:hAnsi="Book Antiqua"/>
          <w:b/>
          <w:bCs/>
        </w:rPr>
        <w:t>36</w:t>
      </w:r>
      <w:r>
        <w:rPr>
          <w:rFonts w:ascii="Book Antiqua" w:hAnsi="Book Antiqua"/>
        </w:rPr>
        <w:t xml:space="preserve"> Suppl 1: S19-S24 [PMID: 6430518 DOI: 10.1007/bf02406129]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Nomura S</w:t>
      </w:r>
      <w:r>
        <w:rPr>
          <w:rFonts w:ascii="Book Antiqua" w:hAnsi="Book Antiqua"/>
        </w:rPr>
        <w:t xml:space="preserve">, Takano-Yamamoto T. Molecular events caused by mechanical stress in bone. </w:t>
      </w:r>
      <w:r>
        <w:rPr>
          <w:rFonts w:ascii="Book Antiqua" w:hAnsi="Book Antiqua"/>
          <w:i/>
          <w:iCs/>
        </w:rPr>
        <w:t>Matrix Biol</w:t>
      </w:r>
      <w:r>
        <w:rPr>
          <w:rFonts w:ascii="Book Antiqua" w:hAnsi="Book Antiqua"/>
        </w:rPr>
        <w:t xml:space="preserve"> 2000; </w:t>
      </w:r>
      <w:r>
        <w:rPr>
          <w:rFonts w:ascii="Book Antiqua" w:hAnsi="Book Antiqua"/>
          <w:b/>
          <w:bCs/>
        </w:rPr>
        <w:t>19</w:t>
      </w:r>
      <w:r>
        <w:rPr>
          <w:rFonts w:ascii="Book Antiqua" w:hAnsi="Book Antiqua"/>
        </w:rPr>
        <w:t>: 91-96 [PMID: 10842092 DOI: 10.1016/s0945-053x(00)00050-0]</w:t>
      </w:r>
    </w:p>
    <w:p>
      <w:pPr>
        <w:spacing w:line="360" w:lineRule="auto"/>
        <w:jc w:val="both"/>
        <w:rPr>
          <w:rFonts w:ascii="Book Antiqua" w:hAnsi="Book Antiqua"/>
        </w:rPr>
      </w:pPr>
      <w:r>
        <w:rPr>
          <w:rFonts w:ascii="Book Antiqua" w:hAnsi="Book Antiqua"/>
        </w:rPr>
        <w:t xml:space="preserve">31 </w:t>
      </w:r>
      <w:r>
        <w:rPr>
          <w:rFonts w:ascii="Book Antiqua" w:hAnsi="Book Antiqua"/>
          <w:b/>
          <w:bCs/>
        </w:rPr>
        <w:t>Hu Y</w:t>
      </w:r>
      <w:r>
        <w:rPr>
          <w:rFonts w:ascii="Book Antiqua" w:hAnsi="Book Antiqua"/>
        </w:rPr>
        <w:t xml:space="preserve">, Huang L, Shen M, Liu Y, Liu G, Wu Y, Ding F, Ma K, Wang W, Zhang Y, Shao Z, Cai X, Xiong L. Pioglitazone Protects Compression-Mediated Apoptosis in Nucleus Pulposus Mesenchymal Stem Cells by Suppressing Oxidative Stress.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4764071 [PMID: 31885796 DOI: 10.1155/2019/4764071]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Li Z</w:t>
      </w:r>
      <w:r>
        <w:rPr>
          <w:rFonts w:ascii="Book Antiqua" w:hAnsi="Book Antiqua"/>
        </w:rPr>
        <w:t xml:space="preserve">, Chen S, Ma K, Lv X, Lin H, Hu B, He R, Shao Z. CsA attenuates compression-induced nucleus pulposus mesenchymal stem cells apoptosis via alleviating mitochondrial dysfunction and oxidative stress. </w:t>
      </w:r>
      <w:r>
        <w:rPr>
          <w:rFonts w:ascii="Book Antiqua" w:hAnsi="Book Antiqua"/>
          <w:i/>
          <w:iCs/>
        </w:rPr>
        <w:t>Life Sci</w:t>
      </w:r>
      <w:r>
        <w:rPr>
          <w:rFonts w:ascii="Book Antiqua" w:hAnsi="Book Antiqua"/>
        </w:rPr>
        <w:t xml:space="preserve"> 2018; </w:t>
      </w:r>
      <w:r>
        <w:rPr>
          <w:rFonts w:ascii="Book Antiqua" w:hAnsi="Book Antiqua"/>
          <w:b/>
          <w:bCs/>
        </w:rPr>
        <w:t>205</w:t>
      </w:r>
      <w:r>
        <w:rPr>
          <w:rFonts w:ascii="Book Antiqua" w:hAnsi="Book Antiqua"/>
        </w:rPr>
        <w:t>: 26-37 [PMID: 29746847 DOI: 10.1016/j.lfs.2018.05.014]</w:t>
      </w:r>
    </w:p>
    <w:p>
      <w:pPr>
        <w:spacing w:line="360" w:lineRule="auto"/>
        <w:jc w:val="both"/>
        <w:rPr>
          <w:rFonts w:ascii="Book Antiqua" w:hAnsi="Book Antiqua"/>
        </w:rPr>
      </w:pPr>
      <w:r>
        <w:rPr>
          <w:rFonts w:ascii="Book Antiqua" w:hAnsi="Book Antiqua"/>
        </w:rPr>
        <w:t xml:space="preserve">33 </w:t>
      </w:r>
      <w:r>
        <w:rPr>
          <w:rFonts w:ascii="Book Antiqua" w:hAnsi="Book Antiqua"/>
          <w:b/>
          <w:bCs/>
        </w:rPr>
        <w:t>Liang H</w:t>
      </w:r>
      <w:r>
        <w:rPr>
          <w:rFonts w:ascii="Book Antiqua" w:hAnsi="Book Antiqua"/>
        </w:rPr>
        <w:t xml:space="preserve">, Chen S, Huang D, Deng X, Ma K, Shao Z. Effect of Compression Loading on Human Nucleus Pulposus-Derived Mesenchymal Stem Cells. </w:t>
      </w:r>
      <w:r>
        <w:rPr>
          <w:rFonts w:ascii="Book Antiqua" w:hAnsi="Book Antiqua"/>
          <w:i/>
          <w:iCs/>
        </w:rPr>
        <w:t>Stem Cells Int</w:t>
      </w:r>
      <w:r>
        <w:rPr>
          <w:rFonts w:ascii="Book Antiqua" w:hAnsi="Book Antiqua"/>
        </w:rPr>
        <w:t xml:space="preserve"> 2018; </w:t>
      </w:r>
      <w:r>
        <w:rPr>
          <w:rFonts w:ascii="Book Antiqua" w:hAnsi="Book Antiqua"/>
          <w:b/>
          <w:bCs/>
        </w:rPr>
        <w:t>2018</w:t>
      </w:r>
      <w:r>
        <w:rPr>
          <w:rFonts w:ascii="Book Antiqua" w:hAnsi="Book Antiqua"/>
        </w:rPr>
        <w:t>: 1481243 [PMID: 30402107 DOI: 10.1155/2018/1481243]</w:t>
      </w:r>
    </w:p>
    <w:p>
      <w:pPr>
        <w:spacing w:line="360" w:lineRule="auto"/>
        <w:jc w:val="both"/>
        <w:rPr>
          <w:rFonts w:ascii="Book Antiqua" w:hAnsi="Book Antiqua"/>
        </w:rPr>
      </w:pPr>
      <w:r>
        <w:rPr>
          <w:rFonts w:ascii="Book Antiqua" w:hAnsi="Book Antiqua"/>
        </w:rPr>
        <w:t xml:space="preserve">34 </w:t>
      </w:r>
      <w:r>
        <w:rPr>
          <w:rFonts w:ascii="Book Antiqua" w:hAnsi="Book Antiqua"/>
          <w:b/>
          <w:bCs/>
        </w:rPr>
        <w:t>Roomi AB</w:t>
      </w:r>
      <w:r>
        <w:rPr>
          <w:rFonts w:ascii="Book Antiqua" w:hAnsi="Book Antiqua"/>
        </w:rPr>
        <w:t xml:space="preserve">, Mahdi Salih AH, Noori SD, Nori W, Tariq S. Evaluation of Bone Mineral Density, Serum Osteocalcin, and Osteopontin Levels in Postmenopausal Women with Type 2 Diabetes Mellitus, with/without Osteoporosis. </w:t>
      </w:r>
      <w:r>
        <w:rPr>
          <w:rFonts w:ascii="Book Antiqua" w:hAnsi="Book Antiqua"/>
          <w:i/>
          <w:iCs/>
        </w:rPr>
        <w:t>J Osteoporos</w:t>
      </w:r>
      <w:r>
        <w:rPr>
          <w:rFonts w:ascii="Book Antiqua" w:hAnsi="Book Antiqua"/>
        </w:rPr>
        <w:t xml:space="preserve"> 2022; </w:t>
      </w:r>
      <w:r>
        <w:rPr>
          <w:rFonts w:ascii="Book Antiqua" w:hAnsi="Book Antiqua"/>
          <w:b/>
          <w:bCs/>
        </w:rPr>
        <w:t>2022</w:t>
      </w:r>
      <w:r>
        <w:rPr>
          <w:rFonts w:ascii="Book Antiqua" w:hAnsi="Book Antiqua"/>
        </w:rPr>
        <w:t>: 1437061 [PMID: 35198139 DOI: 10.1155/2022/1437061]</w:t>
      </w:r>
    </w:p>
    <w:p>
      <w:pPr>
        <w:spacing w:line="360" w:lineRule="auto"/>
        <w:jc w:val="both"/>
        <w:rPr>
          <w:rFonts w:ascii="Book Antiqua" w:hAnsi="Book Antiqua"/>
        </w:rPr>
      </w:pPr>
      <w:r>
        <w:rPr>
          <w:rFonts w:ascii="Book Antiqua" w:hAnsi="Book Antiqua"/>
        </w:rPr>
        <w:t xml:space="preserve">35 </w:t>
      </w:r>
      <w:r>
        <w:rPr>
          <w:rFonts w:ascii="Book Antiqua" w:hAnsi="Book Antiqua"/>
          <w:b/>
          <w:bCs/>
        </w:rPr>
        <w:t>Sasaki K</w:t>
      </w:r>
      <w:r>
        <w:rPr>
          <w:rFonts w:ascii="Book Antiqua" w:hAnsi="Book Antiqua"/>
        </w:rPr>
        <w:t xml:space="preserve">, Takeshita N, Fukunaga T, Seiryu M, Sakamoto M, Oyanagi T, Maeda T, Takano-Yamamoto T. Vibration accelerates orthodontic tooth movement by inducing osteoclastogenesis via transforming growth factor-β signalling in osteocytes. </w:t>
      </w:r>
      <w:r>
        <w:rPr>
          <w:rFonts w:ascii="Book Antiqua" w:hAnsi="Book Antiqua"/>
          <w:i/>
          <w:iCs/>
        </w:rPr>
        <w:t>Eur J Orthod</w:t>
      </w:r>
      <w:r>
        <w:rPr>
          <w:rFonts w:ascii="Book Antiqua" w:hAnsi="Book Antiqua"/>
        </w:rPr>
        <w:t xml:space="preserve"> 2022; </w:t>
      </w:r>
      <w:r>
        <w:rPr>
          <w:rFonts w:ascii="Book Antiqua" w:hAnsi="Book Antiqua"/>
          <w:b/>
          <w:bCs/>
        </w:rPr>
        <w:t>44</w:t>
      </w:r>
      <w:r>
        <w:rPr>
          <w:rFonts w:ascii="Book Antiqua" w:hAnsi="Book Antiqua"/>
        </w:rPr>
        <w:t>: 698-704 [PMID: 36111523 DOI: 10.1093/ejo/cjac036]</w:t>
      </w:r>
    </w:p>
    <w:p>
      <w:pPr>
        <w:spacing w:line="360" w:lineRule="auto"/>
        <w:jc w:val="both"/>
        <w:rPr>
          <w:rFonts w:ascii="Book Antiqua" w:hAnsi="Book Antiqua"/>
        </w:rPr>
      </w:pPr>
      <w:r>
        <w:rPr>
          <w:rFonts w:ascii="Book Antiqua" w:hAnsi="Book Antiqua"/>
        </w:rPr>
        <w:t xml:space="preserve">36 </w:t>
      </w:r>
      <w:r>
        <w:rPr>
          <w:rFonts w:ascii="Book Antiqua" w:hAnsi="Book Antiqua"/>
          <w:b/>
          <w:bCs/>
        </w:rPr>
        <w:t>Feres MFN</w:t>
      </w:r>
      <w:r>
        <w:rPr>
          <w:rFonts w:ascii="Book Antiqua" w:hAnsi="Book Antiqua"/>
        </w:rPr>
        <w:t xml:space="preserve">, Kucharski C, Diar-Bakirly S, El-Bialy T. Effect of low-intensity pulsed ultrasound on the activity of osteoclasts: An in vitro study. </w:t>
      </w:r>
      <w:r>
        <w:rPr>
          <w:rFonts w:ascii="Book Antiqua" w:hAnsi="Book Antiqua"/>
          <w:i/>
          <w:iCs/>
        </w:rPr>
        <w:t>Arch Oral Biol</w:t>
      </w:r>
      <w:r>
        <w:rPr>
          <w:rFonts w:ascii="Book Antiqua" w:hAnsi="Book Antiqua"/>
        </w:rPr>
        <w:t xml:space="preserve"> 2016; </w:t>
      </w:r>
      <w:r>
        <w:rPr>
          <w:rFonts w:ascii="Book Antiqua" w:hAnsi="Book Antiqua"/>
          <w:b/>
          <w:bCs/>
        </w:rPr>
        <w:t>70</w:t>
      </w:r>
      <w:r>
        <w:rPr>
          <w:rFonts w:ascii="Book Antiqua" w:hAnsi="Book Antiqua"/>
        </w:rPr>
        <w:t>: 73-78 [PMID: 27341458 DOI: 10.1016/j.archoralbio.2016.06.007]</w:t>
      </w:r>
    </w:p>
    <w:p>
      <w:pPr>
        <w:spacing w:line="360" w:lineRule="auto"/>
        <w:jc w:val="both"/>
        <w:rPr>
          <w:rFonts w:ascii="Book Antiqua" w:hAnsi="Book Antiqua"/>
        </w:rPr>
      </w:pPr>
      <w:r>
        <w:rPr>
          <w:rFonts w:ascii="Book Antiqua" w:hAnsi="Book Antiqua"/>
        </w:rPr>
        <w:t xml:space="preserve">37 </w:t>
      </w:r>
      <w:r>
        <w:rPr>
          <w:rFonts w:ascii="Book Antiqua" w:hAnsi="Book Antiqua"/>
          <w:b/>
          <w:bCs/>
        </w:rPr>
        <w:t>Rauner M</w:t>
      </w:r>
      <w:r>
        <w:rPr>
          <w:rFonts w:ascii="Book Antiqua" w:hAnsi="Book Antiqua"/>
        </w:rPr>
        <w:t xml:space="preserve">, Sipos W, Pietschmann P. Osteoimmunology. </w:t>
      </w:r>
      <w:r>
        <w:rPr>
          <w:rFonts w:ascii="Book Antiqua" w:hAnsi="Book Antiqua"/>
          <w:i/>
          <w:iCs/>
        </w:rPr>
        <w:t>Int Arch Allergy Immunol</w:t>
      </w:r>
      <w:r>
        <w:rPr>
          <w:rFonts w:ascii="Book Antiqua" w:hAnsi="Book Antiqua"/>
        </w:rPr>
        <w:t xml:space="preserve"> 2007; </w:t>
      </w:r>
      <w:r>
        <w:rPr>
          <w:rFonts w:ascii="Book Antiqua" w:hAnsi="Book Antiqua"/>
          <w:b/>
          <w:bCs/>
        </w:rPr>
        <w:t>143</w:t>
      </w:r>
      <w:r>
        <w:rPr>
          <w:rFonts w:ascii="Book Antiqua" w:hAnsi="Book Antiqua"/>
        </w:rPr>
        <w:t>: 31-48 [PMID: 17191007 DOI: 10.1159/000098223]</w:t>
      </w:r>
    </w:p>
    <w:p>
      <w:pPr>
        <w:spacing w:line="360" w:lineRule="auto"/>
        <w:jc w:val="both"/>
        <w:rPr>
          <w:rFonts w:ascii="Book Antiqua" w:hAnsi="Book Antiqua"/>
        </w:rPr>
      </w:pPr>
      <w:r>
        <w:rPr>
          <w:rFonts w:ascii="Book Antiqua" w:hAnsi="Book Antiqua"/>
        </w:rPr>
        <w:t xml:space="preserve">38 </w:t>
      </w:r>
      <w:r>
        <w:rPr>
          <w:rFonts w:ascii="Book Antiqua" w:hAnsi="Book Antiqua"/>
          <w:b/>
          <w:bCs/>
        </w:rPr>
        <w:t>Berber R</w:t>
      </w:r>
      <w:r>
        <w:rPr>
          <w:rFonts w:ascii="Book Antiqua" w:hAnsi="Book Antiqua"/>
        </w:rPr>
        <w:t xml:space="preserve">, Aziz S, Simkins J, Lin SS, Mangwani J. Low Intensity Pulsed Ultrasound Therapy (LIPUS): A review of evidence and potential applications in diabetics. </w:t>
      </w:r>
      <w:r>
        <w:rPr>
          <w:rFonts w:ascii="Book Antiqua" w:hAnsi="Book Antiqua"/>
          <w:i/>
          <w:iCs/>
        </w:rPr>
        <w:t>J Clin Orthop Trauma</w:t>
      </w:r>
      <w:r>
        <w:rPr>
          <w:rFonts w:ascii="Book Antiqua" w:hAnsi="Book Antiqua"/>
        </w:rPr>
        <w:t xml:space="preserve"> 2020; </w:t>
      </w:r>
      <w:r>
        <w:rPr>
          <w:rFonts w:ascii="Book Antiqua" w:hAnsi="Book Antiqua"/>
          <w:b/>
          <w:bCs/>
        </w:rPr>
        <w:t>11</w:t>
      </w:r>
      <w:r>
        <w:rPr>
          <w:rFonts w:ascii="Book Antiqua" w:hAnsi="Book Antiqua"/>
        </w:rPr>
        <w:t>: S500-S505 [PMID: 32774018 DOI: 10.1016/j.jcot.2020.03.009]</w:t>
      </w:r>
    </w:p>
    <w:p>
      <w:pPr>
        <w:spacing w:line="360" w:lineRule="auto"/>
        <w:jc w:val="both"/>
        <w:rPr>
          <w:rFonts w:ascii="Book Antiqua" w:hAnsi="Book Antiqua"/>
        </w:rPr>
      </w:pPr>
      <w:r>
        <w:rPr>
          <w:rFonts w:ascii="Book Antiqua" w:hAnsi="Book Antiqua"/>
        </w:rPr>
        <w:t xml:space="preserve">39 </w:t>
      </w:r>
      <w:r>
        <w:rPr>
          <w:rFonts w:ascii="Book Antiqua" w:hAnsi="Book Antiqua"/>
          <w:b/>
          <w:bCs/>
        </w:rPr>
        <w:t>He R</w:t>
      </w:r>
      <w:r>
        <w:rPr>
          <w:rFonts w:ascii="Book Antiqua" w:hAnsi="Book Antiqua"/>
        </w:rPr>
        <w:t xml:space="preserve">, Zhou W, Zhang Y, Hu S, Yu H, Luo Y, Liu B, Ran J, Wu J, Wang Y, Chen W. Combination of low-intensity pulsed ultrasound and C3H10T1/2 cells promotes bone-defect healing. </w:t>
      </w:r>
      <w:r>
        <w:rPr>
          <w:rFonts w:ascii="Book Antiqua" w:hAnsi="Book Antiqua"/>
          <w:i/>
          <w:iCs/>
        </w:rPr>
        <w:t>Int Orthop</w:t>
      </w:r>
      <w:r>
        <w:rPr>
          <w:rFonts w:ascii="Book Antiqua" w:hAnsi="Book Antiqua"/>
        </w:rPr>
        <w:t xml:space="preserve"> 2015; </w:t>
      </w:r>
      <w:r>
        <w:rPr>
          <w:rFonts w:ascii="Book Antiqua" w:hAnsi="Book Antiqua"/>
          <w:b/>
          <w:bCs/>
        </w:rPr>
        <w:t>39</w:t>
      </w:r>
      <w:r>
        <w:rPr>
          <w:rFonts w:ascii="Book Antiqua" w:hAnsi="Book Antiqua"/>
        </w:rPr>
        <w:t>: 2181-2189 [PMID: 26169839 DOI: 10.1007/s00264-015-2898-0]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El-Bialy T</w:t>
      </w:r>
      <w:r>
        <w:rPr>
          <w:rFonts w:ascii="Book Antiqua" w:hAnsi="Book Antiqua"/>
        </w:rPr>
        <w:t xml:space="preserve">, El-Shamy I, Graber TM. Growth modification of the rabbit mandible using therapeutic ultrasound: is it possible to enhance functional appliance results? </w:t>
      </w:r>
      <w:r>
        <w:rPr>
          <w:rFonts w:ascii="Book Antiqua" w:hAnsi="Book Antiqua"/>
          <w:i/>
          <w:iCs/>
        </w:rPr>
        <w:t>Angle Orthod</w:t>
      </w:r>
      <w:r>
        <w:rPr>
          <w:rFonts w:ascii="Book Antiqua" w:hAnsi="Book Antiqua"/>
        </w:rPr>
        <w:t xml:space="preserve"> 2003; </w:t>
      </w:r>
      <w:r>
        <w:rPr>
          <w:rFonts w:ascii="Book Antiqua" w:hAnsi="Book Antiqua"/>
          <w:b/>
          <w:bCs/>
        </w:rPr>
        <w:t>73</w:t>
      </w:r>
      <w:r>
        <w:rPr>
          <w:rFonts w:ascii="Book Antiqua" w:hAnsi="Book Antiqua"/>
        </w:rPr>
        <w:t>: 631-639 [PMID: 14719726 DOI: 10.1043/0003-3219(2003)073&lt;0631:GMOTRM&gt;2.0.CO;2]</w:t>
      </w:r>
    </w:p>
    <w:p>
      <w:pPr>
        <w:spacing w:line="360" w:lineRule="auto"/>
        <w:jc w:val="both"/>
        <w:rPr>
          <w:rFonts w:ascii="Book Antiqua" w:hAnsi="Book Antiqua"/>
        </w:rPr>
      </w:pPr>
      <w:r>
        <w:rPr>
          <w:rFonts w:ascii="Book Antiqua" w:hAnsi="Book Antiqua"/>
        </w:rPr>
        <w:t xml:space="preserve">41 </w:t>
      </w:r>
      <w:r>
        <w:rPr>
          <w:rFonts w:ascii="Book Antiqua" w:hAnsi="Book Antiqua"/>
          <w:b/>
          <w:bCs/>
        </w:rPr>
        <w:t>Erdogan O</w:t>
      </w:r>
      <w:r>
        <w:rPr>
          <w:rFonts w:ascii="Book Antiqua" w:hAnsi="Book Antiqua"/>
        </w:rPr>
        <w:t xml:space="preserve">, Esen E, Ustün Y, Kürkçü M, Akova T, Gönlüşen G, Uysal H, Cevlik F. Effects of low-intensity pulsed ultrasound on healing of mandibular fractures: an experimental study in rabbits. </w:t>
      </w:r>
      <w:r>
        <w:rPr>
          <w:rFonts w:ascii="Book Antiqua" w:hAnsi="Book Antiqua"/>
          <w:i/>
          <w:iCs/>
        </w:rPr>
        <w:t>J Oral Maxillofac Surg</w:t>
      </w:r>
      <w:r>
        <w:rPr>
          <w:rFonts w:ascii="Book Antiqua" w:hAnsi="Book Antiqua"/>
        </w:rPr>
        <w:t xml:space="preserve"> 2006; </w:t>
      </w:r>
      <w:r>
        <w:rPr>
          <w:rFonts w:ascii="Book Antiqua" w:hAnsi="Book Antiqua"/>
          <w:b/>
          <w:bCs/>
        </w:rPr>
        <w:t>64</w:t>
      </w:r>
      <w:r>
        <w:rPr>
          <w:rFonts w:ascii="Book Antiqua" w:hAnsi="Book Antiqua"/>
        </w:rPr>
        <w:t>: 180-188 [PMID: 16413888 DOI: 10.1016/j.joms.2005.10.027]</w:t>
      </w:r>
    </w:p>
    <w:p>
      <w:pPr>
        <w:spacing w:line="360" w:lineRule="auto"/>
        <w:jc w:val="both"/>
        <w:rPr>
          <w:rFonts w:ascii="Book Antiqua" w:hAnsi="Book Antiqua"/>
        </w:rPr>
      </w:pPr>
      <w:r>
        <w:rPr>
          <w:rFonts w:ascii="Book Antiqua" w:hAnsi="Book Antiqua"/>
        </w:rPr>
        <w:t xml:space="preserve">42 </w:t>
      </w:r>
      <w:r>
        <w:rPr>
          <w:rFonts w:ascii="Book Antiqua" w:hAnsi="Book Antiqua"/>
          <w:b/>
          <w:bCs/>
        </w:rPr>
        <w:t>Li L</w:t>
      </w:r>
      <w:r>
        <w:rPr>
          <w:rFonts w:ascii="Book Antiqua" w:hAnsi="Book Antiqua"/>
        </w:rPr>
        <w:t xml:space="preserve">, Yang Z, Zhang H, Chen W, Chen M, Zhu Z. Low-intensity pulsed ultrasound regulates proliferation and differentiation of osteoblasts through osteocytes. </w:t>
      </w:r>
      <w:r>
        <w:rPr>
          <w:rFonts w:ascii="Book Antiqua" w:hAnsi="Book Antiqua"/>
          <w:i/>
          <w:iCs/>
        </w:rPr>
        <w:t>Biochem Biophys Res Commun</w:t>
      </w:r>
      <w:r>
        <w:rPr>
          <w:rFonts w:ascii="Book Antiqua" w:hAnsi="Book Antiqua"/>
        </w:rPr>
        <w:t xml:space="preserve"> 2012; </w:t>
      </w:r>
      <w:r>
        <w:rPr>
          <w:rFonts w:ascii="Book Antiqua" w:hAnsi="Book Antiqua"/>
          <w:b/>
          <w:bCs/>
        </w:rPr>
        <w:t>418</w:t>
      </w:r>
      <w:r>
        <w:rPr>
          <w:rFonts w:ascii="Book Antiqua" w:hAnsi="Book Antiqua"/>
        </w:rPr>
        <w:t>: 296-300 [PMID: 22266313 DOI: 10.1016/j.bbrc.2012.01.014]</w:t>
      </w:r>
    </w:p>
    <w:p>
      <w:pPr>
        <w:spacing w:line="360" w:lineRule="auto"/>
        <w:jc w:val="both"/>
        <w:rPr>
          <w:rFonts w:ascii="Book Antiqua" w:hAnsi="Book Antiqua"/>
        </w:rPr>
      </w:pPr>
      <w:r>
        <w:rPr>
          <w:rFonts w:ascii="Book Antiqua" w:hAnsi="Book Antiqua"/>
        </w:rPr>
        <w:t xml:space="preserve">43 </w:t>
      </w:r>
      <w:r>
        <w:rPr>
          <w:rFonts w:ascii="Book Antiqua" w:hAnsi="Book Antiqua"/>
          <w:b/>
          <w:bCs/>
        </w:rPr>
        <w:t>Man J</w:t>
      </w:r>
      <w:r>
        <w:rPr>
          <w:rFonts w:ascii="Book Antiqua" w:hAnsi="Book Antiqua"/>
        </w:rPr>
        <w:t xml:space="preserve">, Shelton RM, Cooper PR, Landini G, Scheven BA. Low intensity ultrasound stimulates osteoblast migration at different frequencies. </w:t>
      </w:r>
      <w:r>
        <w:rPr>
          <w:rFonts w:ascii="Book Antiqua" w:hAnsi="Book Antiqua"/>
          <w:i/>
          <w:iCs/>
        </w:rPr>
        <w:t>J Bone Miner Metab</w:t>
      </w:r>
      <w:r>
        <w:rPr>
          <w:rFonts w:ascii="Book Antiqua" w:hAnsi="Book Antiqua"/>
        </w:rPr>
        <w:t xml:space="preserve"> 2012; </w:t>
      </w:r>
      <w:r>
        <w:rPr>
          <w:rFonts w:ascii="Book Antiqua" w:hAnsi="Book Antiqua"/>
          <w:b/>
          <w:bCs/>
        </w:rPr>
        <w:t>30</w:t>
      </w:r>
      <w:r>
        <w:rPr>
          <w:rFonts w:ascii="Book Antiqua" w:hAnsi="Book Antiqua"/>
        </w:rPr>
        <w:t>: 602-607 [PMID: 22752127 DOI: 10.1007/s00774-012-0368-y]</w:t>
      </w:r>
    </w:p>
    <w:p>
      <w:pPr>
        <w:spacing w:line="360" w:lineRule="auto"/>
        <w:jc w:val="both"/>
        <w:rPr>
          <w:rFonts w:ascii="Book Antiqua" w:hAnsi="Book Antiqua"/>
        </w:rPr>
      </w:pPr>
      <w:r>
        <w:rPr>
          <w:rFonts w:ascii="Book Antiqua" w:hAnsi="Book Antiqua"/>
        </w:rPr>
        <w:t xml:space="preserve">44 </w:t>
      </w:r>
      <w:r>
        <w:rPr>
          <w:rFonts w:ascii="Book Antiqua" w:hAnsi="Book Antiqua"/>
          <w:b/>
          <w:bCs/>
        </w:rPr>
        <w:t>Tassinary JAF</w:t>
      </w:r>
      <w:r>
        <w:rPr>
          <w:rFonts w:ascii="Book Antiqua" w:hAnsi="Book Antiqua"/>
        </w:rPr>
        <w:t xml:space="preserve">, Lunardelli A, Basso BS, Dias HB, Catarina AV, Stülp S, Haute GV, Martha BA, Melo DADS, Nunes FB, Donadio MVF, Oliveira JR. Low-intensity pulsed ultrasound (LIPUS) stimulates mineralization of MC3T3-E1 cells through calcium and phosphate uptake. </w:t>
      </w:r>
      <w:r>
        <w:rPr>
          <w:rFonts w:ascii="Book Antiqua" w:hAnsi="Book Antiqua"/>
          <w:i/>
          <w:iCs/>
        </w:rPr>
        <w:t>Ultrasonics</w:t>
      </w:r>
      <w:r>
        <w:rPr>
          <w:rFonts w:ascii="Book Antiqua" w:hAnsi="Book Antiqua"/>
        </w:rPr>
        <w:t xml:space="preserve"> 2018; </w:t>
      </w:r>
      <w:r>
        <w:rPr>
          <w:rFonts w:ascii="Book Antiqua" w:hAnsi="Book Antiqua"/>
          <w:b/>
          <w:bCs/>
        </w:rPr>
        <w:t>84</w:t>
      </w:r>
      <w:r>
        <w:rPr>
          <w:rFonts w:ascii="Book Antiqua" w:hAnsi="Book Antiqua"/>
        </w:rPr>
        <w:t>: 290-295 [PMID: 29182945 DOI: 10.1016/j.ultras.2017.11.011]</w:t>
      </w:r>
    </w:p>
    <w:p>
      <w:pPr>
        <w:spacing w:line="360" w:lineRule="auto"/>
        <w:jc w:val="both"/>
        <w:rPr>
          <w:rFonts w:ascii="Book Antiqua" w:hAnsi="Book Antiqua"/>
        </w:rPr>
      </w:pPr>
      <w:r>
        <w:rPr>
          <w:rFonts w:ascii="Book Antiqua" w:hAnsi="Book Antiqua"/>
        </w:rPr>
        <w:t xml:space="preserve">45 </w:t>
      </w:r>
      <w:r>
        <w:rPr>
          <w:rFonts w:ascii="Book Antiqua" w:hAnsi="Book Antiqua"/>
          <w:b/>
          <w:bCs/>
        </w:rPr>
        <w:t>Matsumoto K</w:t>
      </w:r>
      <w:r>
        <w:rPr>
          <w:rFonts w:ascii="Book Antiqua" w:hAnsi="Book Antiqua"/>
        </w:rPr>
        <w:t xml:space="preserve">, Shimo T, Kurio N, Okui T, Ibaragi S, Kunisada Y, Obata K, Masui M, Pai P, Horikiri Y, Yamanaka N, Takigawa M, Sasaki A. Low-intensity pulsed ultrasound stimulation promotes osteoblast differentiation through hedgehog signaling. </w:t>
      </w:r>
      <w:r>
        <w:rPr>
          <w:rFonts w:ascii="Book Antiqua" w:hAnsi="Book Antiqua"/>
          <w:i/>
          <w:iCs/>
        </w:rPr>
        <w:t>J Cell Biochem</w:t>
      </w:r>
      <w:r>
        <w:rPr>
          <w:rFonts w:ascii="Book Antiqua" w:hAnsi="Book Antiqua"/>
        </w:rPr>
        <w:t xml:space="preserve"> 2018; </w:t>
      </w:r>
      <w:r>
        <w:rPr>
          <w:rFonts w:ascii="Book Antiqua" w:hAnsi="Book Antiqua"/>
          <w:b/>
          <w:bCs/>
        </w:rPr>
        <w:t>119</w:t>
      </w:r>
      <w:r>
        <w:rPr>
          <w:rFonts w:ascii="Book Antiqua" w:hAnsi="Book Antiqua"/>
        </w:rPr>
        <w:t>: 4352-4360 [PMID: 28981158 DOI: 10.1002/jcb.26418]</w:t>
      </w:r>
    </w:p>
    <w:p>
      <w:pPr>
        <w:spacing w:line="360" w:lineRule="auto"/>
        <w:jc w:val="both"/>
        <w:rPr>
          <w:rFonts w:ascii="Book Antiqua" w:hAnsi="Book Antiqua"/>
        </w:rPr>
      </w:pPr>
      <w:r>
        <w:rPr>
          <w:rFonts w:ascii="Book Antiqua" w:hAnsi="Book Antiqua"/>
        </w:rPr>
        <w:t xml:space="preserve">46 </w:t>
      </w:r>
      <w:r>
        <w:rPr>
          <w:rFonts w:ascii="Book Antiqua" w:hAnsi="Book Antiqua"/>
          <w:b/>
          <w:bCs/>
        </w:rPr>
        <w:t>Yao H</w:t>
      </w:r>
      <w:r>
        <w:rPr>
          <w:rFonts w:ascii="Book Antiqua" w:hAnsi="Book Antiqua"/>
        </w:rPr>
        <w:t xml:space="preserve">, Zhang L, Yan S, He Y, Zhu H, Li Y, Wang D, Yang K. Low-intensity pulsed ultrasound/nanomechanical force generators enhance osteogenesis of BMSCs through microfilaments and TRPM7. </w:t>
      </w:r>
      <w:r>
        <w:rPr>
          <w:rFonts w:ascii="Book Antiqua" w:hAnsi="Book Antiqua"/>
          <w:i/>
          <w:iCs/>
        </w:rPr>
        <w:t>J Nanobiotechnology</w:t>
      </w:r>
      <w:r>
        <w:rPr>
          <w:rFonts w:ascii="Book Antiqua" w:hAnsi="Book Antiqua"/>
        </w:rPr>
        <w:t xml:space="preserve"> 2022; </w:t>
      </w:r>
      <w:r>
        <w:rPr>
          <w:rFonts w:ascii="Book Antiqua" w:hAnsi="Book Antiqua"/>
          <w:b/>
          <w:bCs/>
        </w:rPr>
        <w:t>20</w:t>
      </w:r>
      <w:r>
        <w:rPr>
          <w:rFonts w:ascii="Book Antiqua" w:hAnsi="Book Antiqua"/>
        </w:rPr>
        <w:t>: 378 [PMID: 35964037 DOI: 10.1186/s12951-022-01587-3]</w:t>
      </w:r>
    </w:p>
    <w:p>
      <w:pPr>
        <w:spacing w:line="360" w:lineRule="auto"/>
        <w:jc w:val="both"/>
        <w:rPr>
          <w:rFonts w:ascii="Book Antiqua" w:hAnsi="Book Antiqua"/>
        </w:rPr>
      </w:pPr>
      <w:r>
        <w:rPr>
          <w:rFonts w:ascii="Book Antiqua" w:hAnsi="Book Antiqua"/>
        </w:rPr>
        <w:t xml:space="preserve">47 </w:t>
      </w:r>
      <w:r>
        <w:rPr>
          <w:rFonts w:ascii="Book Antiqua" w:hAnsi="Book Antiqua"/>
          <w:b/>
          <w:bCs/>
        </w:rPr>
        <w:t>Chen C</w:t>
      </w:r>
      <w:r>
        <w:rPr>
          <w:rFonts w:ascii="Book Antiqua" w:hAnsi="Book Antiqua"/>
        </w:rPr>
        <w:t xml:space="preserve">, Zhang T, Liu F, Qu J, Chen Y, Fan S, Chen H, Sun L, Zhao C, Hu J, Lu H. Effect of Low-Intensity Pulsed Ultrasound After Autologous Adipose-Derived Stromal Cell Transplantation for Bone-Tendon Healing in a Rabbit Model. </w:t>
      </w:r>
      <w:r>
        <w:rPr>
          <w:rFonts w:ascii="Book Antiqua" w:hAnsi="Book Antiqua"/>
          <w:i/>
          <w:iCs/>
        </w:rPr>
        <w:t>Am J Sports Med</w:t>
      </w:r>
      <w:r>
        <w:rPr>
          <w:rFonts w:ascii="Book Antiqua" w:hAnsi="Book Antiqua"/>
        </w:rPr>
        <w:t xml:space="preserve"> 2019; </w:t>
      </w:r>
      <w:r>
        <w:rPr>
          <w:rFonts w:ascii="Book Antiqua" w:hAnsi="Book Antiqua"/>
          <w:b/>
          <w:bCs/>
        </w:rPr>
        <w:t>47</w:t>
      </w:r>
      <w:r>
        <w:rPr>
          <w:rFonts w:ascii="Book Antiqua" w:hAnsi="Book Antiqua"/>
        </w:rPr>
        <w:t>: 942-953 [PMID: 30870031 DOI: 10.1177/0363546518820324]</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Costa V</w:t>
      </w:r>
      <w:r>
        <w:rPr>
          <w:rFonts w:ascii="Book Antiqua" w:hAnsi="Book Antiqua"/>
        </w:rPr>
        <w:t xml:space="preserve">, Carina V, Fontana S, De Luca A, Monteleone F, Pagani S, Sartori M, Setti S, Faldini C, Alessandro R, Fini M, Giavaresi G. Osteogenic commitment and differentiation of human mesenchymal stem cells by low-intensity pulsed ultrasound stimulation. </w:t>
      </w:r>
      <w:r>
        <w:rPr>
          <w:rFonts w:ascii="Book Antiqua" w:hAnsi="Book Antiqua"/>
          <w:i/>
          <w:iCs/>
        </w:rPr>
        <w:t>J Cell Physiol</w:t>
      </w:r>
      <w:r>
        <w:rPr>
          <w:rFonts w:ascii="Book Antiqua" w:hAnsi="Book Antiqua"/>
        </w:rPr>
        <w:t xml:space="preserve"> 2018; </w:t>
      </w:r>
      <w:r>
        <w:rPr>
          <w:rFonts w:ascii="Book Antiqua" w:hAnsi="Book Antiqua"/>
          <w:b/>
          <w:bCs/>
        </w:rPr>
        <w:t>233</w:t>
      </w:r>
      <w:r>
        <w:rPr>
          <w:rFonts w:ascii="Book Antiqua" w:hAnsi="Book Antiqua"/>
        </w:rPr>
        <w:t>: 1558-1573 [PMID: 28621452 DOI: 10.1002/jcp.26058]</w:t>
      </w:r>
    </w:p>
    <w:p>
      <w:pPr>
        <w:spacing w:line="360" w:lineRule="auto"/>
        <w:jc w:val="both"/>
        <w:rPr>
          <w:rFonts w:ascii="Book Antiqua" w:hAnsi="Book Antiqua"/>
        </w:rPr>
      </w:pPr>
      <w:r>
        <w:rPr>
          <w:rFonts w:ascii="Book Antiqua" w:hAnsi="Book Antiqua"/>
        </w:rPr>
        <w:t xml:space="preserve">49 </w:t>
      </w:r>
      <w:r>
        <w:rPr>
          <w:rFonts w:ascii="Book Antiqua" w:hAnsi="Book Antiqua"/>
          <w:b/>
          <w:bCs/>
        </w:rPr>
        <w:t>Li H</w:t>
      </w:r>
      <w:r>
        <w:rPr>
          <w:rFonts w:ascii="Book Antiqua" w:hAnsi="Book Antiqua"/>
        </w:rPr>
        <w:t xml:space="preserve">, Deng Y, Tan M, Feng G, Kuang Y, Li J, Song J. Low-intensity pulsed ultrasound upregulates osteogenesis under inflammatory conditions in periodontal ligament stem cells through unfolded protein response.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215 [PMID: 32493507 DOI: 10.1186/s13287-020-01732-5]</w:t>
      </w:r>
    </w:p>
    <w:p>
      <w:pPr>
        <w:spacing w:line="360" w:lineRule="auto"/>
        <w:jc w:val="both"/>
        <w:rPr>
          <w:rFonts w:ascii="Book Antiqua" w:hAnsi="Book Antiqua"/>
        </w:rPr>
      </w:pPr>
      <w:r>
        <w:rPr>
          <w:rFonts w:ascii="Book Antiqua" w:hAnsi="Book Antiqua"/>
        </w:rPr>
        <w:t xml:space="preserve">50 </w:t>
      </w:r>
      <w:r>
        <w:rPr>
          <w:rFonts w:ascii="Book Antiqua" w:hAnsi="Book Antiqua"/>
          <w:b/>
          <w:bCs/>
        </w:rPr>
        <w:t>Takayama T</w:t>
      </w:r>
      <w:r>
        <w:rPr>
          <w:rFonts w:ascii="Book Antiqua" w:hAnsi="Book Antiqua"/>
        </w:rPr>
        <w:t xml:space="preserve">, Suzuki N, Ikeda K, Shimada T, Suzuki A, Maeno M, Otsuka K, Ito K. Low-intensity pulsed ultrasound stimulates osteogenic differentiation in ROS 17/2.8 cells. </w:t>
      </w:r>
      <w:r>
        <w:rPr>
          <w:rFonts w:ascii="Book Antiqua" w:hAnsi="Book Antiqua"/>
          <w:i/>
          <w:iCs/>
        </w:rPr>
        <w:t>Life Sci</w:t>
      </w:r>
      <w:r>
        <w:rPr>
          <w:rFonts w:ascii="Book Antiqua" w:hAnsi="Book Antiqua"/>
        </w:rPr>
        <w:t xml:space="preserve"> 2007; </w:t>
      </w:r>
      <w:r>
        <w:rPr>
          <w:rFonts w:ascii="Book Antiqua" w:hAnsi="Book Antiqua"/>
          <w:b/>
          <w:bCs/>
        </w:rPr>
        <w:t>80</w:t>
      </w:r>
      <w:r>
        <w:rPr>
          <w:rFonts w:ascii="Book Antiqua" w:hAnsi="Book Antiqua"/>
        </w:rPr>
        <w:t>: 965-971 [PMID: 17174343 DOI: 10.1016/j.lfs.2006.11.037]</w:t>
      </w:r>
    </w:p>
    <w:p>
      <w:pPr>
        <w:spacing w:line="360" w:lineRule="auto"/>
        <w:jc w:val="both"/>
        <w:rPr>
          <w:rFonts w:ascii="Book Antiqua" w:hAnsi="Book Antiqua"/>
        </w:rPr>
      </w:pPr>
      <w:r>
        <w:rPr>
          <w:rFonts w:ascii="Book Antiqua" w:hAnsi="Book Antiqua"/>
        </w:rPr>
        <w:t xml:space="preserve">51 </w:t>
      </w:r>
      <w:r>
        <w:rPr>
          <w:rFonts w:ascii="Book Antiqua" w:hAnsi="Book Antiqua"/>
          <w:b/>
          <w:bCs/>
        </w:rPr>
        <w:t>Lim K</w:t>
      </w:r>
      <w:r>
        <w:rPr>
          <w:rFonts w:ascii="Book Antiqua" w:hAnsi="Book Antiqua"/>
        </w:rPr>
        <w:t xml:space="preserve">, Kim J, Seonwoo H, Park SH, Choung PH, Chung JH. In vitro effects of low-intensity pulsed ultrasound stimulation on the osteogenic differentiation of human alveolar bone-derived mesenchymal stem cells for tooth tissue engineering. </w:t>
      </w:r>
      <w:r>
        <w:rPr>
          <w:rFonts w:ascii="Book Antiqua" w:hAnsi="Book Antiqua"/>
          <w:i/>
          <w:iCs/>
        </w:rPr>
        <w:t>Biomed Res Int</w:t>
      </w:r>
      <w:r>
        <w:rPr>
          <w:rFonts w:ascii="Book Antiqua" w:hAnsi="Book Antiqua"/>
        </w:rPr>
        <w:t xml:space="preserve"> 2013; </w:t>
      </w:r>
      <w:r>
        <w:rPr>
          <w:rFonts w:ascii="Book Antiqua" w:hAnsi="Book Antiqua"/>
          <w:b/>
          <w:bCs/>
        </w:rPr>
        <w:t>2013</w:t>
      </w:r>
      <w:r>
        <w:rPr>
          <w:rFonts w:ascii="Book Antiqua" w:hAnsi="Book Antiqua"/>
        </w:rPr>
        <w:t>: 269724 [PMID: 24195067 DOI: 10.1155/2013/269724]</w:t>
      </w:r>
    </w:p>
    <w:p>
      <w:pPr>
        <w:spacing w:line="360" w:lineRule="auto"/>
        <w:jc w:val="both"/>
        <w:rPr>
          <w:rFonts w:ascii="Book Antiqua" w:hAnsi="Book Antiqua"/>
        </w:rPr>
      </w:pPr>
      <w:r>
        <w:rPr>
          <w:rFonts w:ascii="Book Antiqua" w:hAnsi="Book Antiqua"/>
        </w:rPr>
        <w:t xml:space="preserve">52 </w:t>
      </w:r>
      <w:r>
        <w:rPr>
          <w:rFonts w:ascii="Book Antiqua" w:hAnsi="Book Antiqua"/>
          <w:b/>
          <w:bCs/>
        </w:rPr>
        <w:t>Zhang B</w:t>
      </w:r>
      <w:r>
        <w:rPr>
          <w:rFonts w:ascii="Book Antiqua" w:hAnsi="Book Antiqua"/>
        </w:rPr>
        <w:t xml:space="preserve">, Yang Y, Keyimu R, Hao J, Zhao Z, Ye R. The role of lamin A/C in mesenchymal stem cell differentiation. </w:t>
      </w:r>
      <w:r>
        <w:rPr>
          <w:rFonts w:ascii="Book Antiqua" w:hAnsi="Book Antiqua"/>
          <w:i/>
          <w:iCs/>
        </w:rPr>
        <w:t>J Physiol Biochem</w:t>
      </w:r>
      <w:r>
        <w:rPr>
          <w:rFonts w:ascii="Book Antiqua" w:hAnsi="Book Antiqua"/>
        </w:rPr>
        <w:t xml:space="preserve"> 2019; </w:t>
      </w:r>
      <w:r>
        <w:rPr>
          <w:rFonts w:ascii="Book Antiqua" w:hAnsi="Book Antiqua"/>
          <w:b/>
          <w:bCs/>
        </w:rPr>
        <w:t>75</w:t>
      </w:r>
      <w:r>
        <w:rPr>
          <w:rFonts w:ascii="Book Antiqua" w:hAnsi="Book Antiqua"/>
        </w:rPr>
        <w:t>: 11-18 [PMID: 30706289 DOI: 10.1007/s13105-019-00661-z]</w:t>
      </w:r>
    </w:p>
    <w:p>
      <w:pPr>
        <w:spacing w:line="360" w:lineRule="auto"/>
        <w:jc w:val="both"/>
        <w:rPr>
          <w:rFonts w:ascii="Book Antiqua" w:hAnsi="Book Antiqua"/>
        </w:rPr>
      </w:pPr>
      <w:r>
        <w:rPr>
          <w:rFonts w:ascii="Book Antiqua" w:hAnsi="Book Antiqua"/>
        </w:rPr>
        <w:t xml:space="preserve">53 </w:t>
      </w:r>
      <w:r>
        <w:rPr>
          <w:rFonts w:ascii="Book Antiqua" w:hAnsi="Book Antiqua"/>
          <w:b/>
          <w:bCs/>
        </w:rPr>
        <w:t>Killaars AR</w:t>
      </w:r>
      <w:r>
        <w:rPr>
          <w:rFonts w:ascii="Book Antiqua" w:hAnsi="Book Antiqua"/>
        </w:rPr>
        <w:t xml:space="preserve">, Walker CJ, Anseth KS. Nuclear mechanosensing controls MSC osteogenic potential through HDAC epigenetic remodeling. </w:t>
      </w:r>
      <w:r>
        <w:rPr>
          <w:rFonts w:ascii="Book Antiqua" w:hAnsi="Book Antiqua"/>
          <w:i/>
          <w:iCs/>
        </w:rPr>
        <w:t>Proc Natl Acad Sci U S A</w:t>
      </w:r>
      <w:r>
        <w:rPr>
          <w:rFonts w:ascii="Book Antiqua" w:hAnsi="Book Antiqua"/>
        </w:rPr>
        <w:t xml:space="preserve"> 2020; </w:t>
      </w:r>
      <w:r>
        <w:rPr>
          <w:rFonts w:ascii="Book Antiqua" w:hAnsi="Book Antiqua"/>
          <w:b/>
          <w:bCs/>
        </w:rPr>
        <w:t>117</w:t>
      </w:r>
      <w:r>
        <w:rPr>
          <w:rFonts w:ascii="Book Antiqua" w:hAnsi="Book Antiqua"/>
        </w:rPr>
        <w:t>: 21258-21266 [PMID: 32817542 DOI: 10.1073/pnas.2006765117]</w:t>
      </w:r>
    </w:p>
    <w:p>
      <w:pPr>
        <w:spacing w:line="360" w:lineRule="auto"/>
        <w:jc w:val="both"/>
        <w:rPr>
          <w:rFonts w:ascii="Book Antiqua" w:hAnsi="Book Antiqua"/>
        </w:rPr>
      </w:pPr>
      <w:r>
        <w:rPr>
          <w:rFonts w:ascii="Book Antiqua" w:hAnsi="Book Antiqua"/>
        </w:rPr>
        <w:t xml:space="preserve">54 </w:t>
      </w:r>
      <w:r>
        <w:rPr>
          <w:rFonts w:ascii="Book Antiqua" w:hAnsi="Book Antiqua"/>
          <w:b/>
          <w:bCs/>
        </w:rPr>
        <w:t>Dahl KN</w:t>
      </w:r>
      <w:r>
        <w:rPr>
          <w:rFonts w:ascii="Book Antiqua" w:hAnsi="Book Antiqua"/>
        </w:rPr>
        <w:t xml:space="preserve">, Kalinowski A. Nucleoskeleton mechanics at a glance. </w:t>
      </w:r>
      <w:r>
        <w:rPr>
          <w:rFonts w:ascii="Book Antiqua" w:hAnsi="Book Antiqua"/>
          <w:i/>
          <w:iCs/>
        </w:rPr>
        <w:t>J Cell Sci</w:t>
      </w:r>
      <w:r>
        <w:rPr>
          <w:rFonts w:ascii="Book Antiqua" w:hAnsi="Book Antiqua"/>
        </w:rPr>
        <w:t xml:space="preserve"> 2011; </w:t>
      </w:r>
      <w:r>
        <w:rPr>
          <w:rFonts w:ascii="Book Antiqua" w:hAnsi="Book Antiqua"/>
          <w:b/>
          <w:bCs/>
        </w:rPr>
        <w:t>124</w:t>
      </w:r>
      <w:r>
        <w:rPr>
          <w:rFonts w:ascii="Book Antiqua" w:hAnsi="Book Antiqua"/>
        </w:rPr>
        <w:t>: 675-678 [PMID: 21321324 DOI: 10.1242/jcs.069096]</w:t>
      </w:r>
    </w:p>
    <w:p>
      <w:pPr>
        <w:spacing w:line="360" w:lineRule="auto"/>
        <w:jc w:val="both"/>
        <w:rPr>
          <w:rFonts w:ascii="Book Antiqua" w:hAnsi="Book Antiqua"/>
        </w:rPr>
      </w:pPr>
      <w:r>
        <w:rPr>
          <w:rFonts w:ascii="Book Antiqua" w:hAnsi="Book Antiqua"/>
        </w:rPr>
        <w:t xml:space="preserve">55 </w:t>
      </w:r>
      <w:r>
        <w:rPr>
          <w:rFonts w:ascii="Book Antiqua" w:hAnsi="Book Antiqua"/>
          <w:b/>
          <w:bCs/>
        </w:rPr>
        <w:t>Philip JT</w:t>
      </w:r>
      <w:r>
        <w:rPr>
          <w:rFonts w:ascii="Book Antiqua" w:hAnsi="Book Antiqua"/>
        </w:rPr>
        <w:t xml:space="preserve">, Dahl KN. Nuclear mechanotransduction: response of the lamina to extracellular stress with implications in aging. </w:t>
      </w:r>
      <w:r>
        <w:rPr>
          <w:rFonts w:ascii="Book Antiqua" w:hAnsi="Book Antiqua"/>
          <w:i/>
          <w:iCs/>
        </w:rPr>
        <w:t>J Biomech</w:t>
      </w:r>
      <w:r>
        <w:rPr>
          <w:rFonts w:ascii="Book Antiqua" w:hAnsi="Book Antiqua"/>
        </w:rPr>
        <w:t xml:space="preserve"> 2008; </w:t>
      </w:r>
      <w:r>
        <w:rPr>
          <w:rFonts w:ascii="Book Antiqua" w:hAnsi="Book Antiqua"/>
          <w:b/>
          <w:bCs/>
        </w:rPr>
        <w:t>41</w:t>
      </w:r>
      <w:r>
        <w:rPr>
          <w:rFonts w:ascii="Book Antiqua" w:hAnsi="Book Antiqua"/>
        </w:rPr>
        <w:t>: 3164-3170 [PMID: 18945430 DOI: 10.1016/j.jbiomech.2008.08.024]</w:t>
      </w:r>
    </w:p>
    <w:p>
      <w:pPr>
        <w:spacing w:line="360" w:lineRule="auto"/>
        <w:jc w:val="both"/>
        <w:rPr>
          <w:rFonts w:ascii="Book Antiqua" w:hAnsi="Book Antiqua"/>
        </w:rPr>
      </w:pPr>
      <w:r>
        <w:rPr>
          <w:rFonts w:ascii="Book Antiqua" w:hAnsi="Book Antiqua"/>
        </w:rPr>
        <w:t xml:space="preserve">56 </w:t>
      </w:r>
      <w:r>
        <w:rPr>
          <w:rFonts w:ascii="Book Antiqua" w:hAnsi="Book Antiqua"/>
          <w:b/>
          <w:bCs/>
        </w:rPr>
        <w:t>Martino F</w:t>
      </w:r>
      <w:r>
        <w:rPr>
          <w:rFonts w:ascii="Book Antiqua" w:hAnsi="Book Antiqua"/>
        </w:rPr>
        <w:t xml:space="preserve">, Perestrelo AR, Vinarský V, Pagliari S, Forte G. Cellular Mechanotransduction: From Tension to Function. </w:t>
      </w:r>
      <w:r>
        <w:rPr>
          <w:rFonts w:ascii="Book Antiqua" w:hAnsi="Book Antiqua"/>
          <w:i/>
          <w:iCs/>
        </w:rPr>
        <w:t>Front Physiol</w:t>
      </w:r>
      <w:r>
        <w:rPr>
          <w:rFonts w:ascii="Book Antiqua" w:hAnsi="Book Antiqua"/>
        </w:rPr>
        <w:t xml:space="preserve"> 2018; </w:t>
      </w:r>
      <w:r>
        <w:rPr>
          <w:rFonts w:ascii="Book Antiqua" w:hAnsi="Book Antiqua"/>
          <w:b/>
          <w:bCs/>
        </w:rPr>
        <w:t>9</w:t>
      </w:r>
      <w:r>
        <w:rPr>
          <w:rFonts w:ascii="Book Antiqua" w:hAnsi="Book Antiqua"/>
        </w:rPr>
        <w:t>: 824 [PMID: 30026699 DOI: 10.3389/fphys.2018.00824]</w:t>
      </w:r>
    </w:p>
    <w:p>
      <w:pPr>
        <w:spacing w:line="360" w:lineRule="auto"/>
        <w:jc w:val="both"/>
        <w:rPr>
          <w:rFonts w:ascii="Book Antiqua" w:hAnsi="Book Antiqua"/>
        </w:rPr>
      </w:pPr>
      <w:r>
        <w:rPr>
          <w:rFonts w:ascii="Book Antiqua" w:hAnsi="Book Antiqua"/>
        </w:rPr>
        <w:t xml:space="preserve">57 </w:t>
      </w:r>
      <w:r>
        <w:rPr>
          <w:rFonts w:ascii="Book Antiqua" w:hAnsi="Book Antiqua"/>
          <w:b/>
          <w:bCs/>
        </w:rPr>
        <w:t>Stroud MJ</w:t>
      </w:r>
      <w:r>
        <w:rPr>
          <w:rFonts w:ascii="Book Antiqua" w:hAnsi="Book Antiqua"/>
        </w:rPr>
        <w:t xml:space="preserve">. Linker of nucleoskeleton and cytoskeleton complex proteins in cardiomyopathy. </w:t>
      </w:r>
      <w:r>
        <w:rPr>
          <w:rFonts w:ascii="Book Antiqua" w:hAnsi="Book Antiqua"/>
          <w:i/>
          <w:iCs/>
        </w:rPr>
        <w:t>Biophys Rev</w:t>
      </w:r>
      <w:r>
        <w:rPr>
          <w:rFonts w:ascii="Book Antiqua" w:hAnsi="Book Antiqua"/>
        </w:rPr>
        <w:t xml:space="preserve"> 2018; </w:t>
      </w:r>
      <w:r>
        <w:rPr>
          <w:rFonts w:ascii="Book Antiqua" w:hAnsi="Book Antiqua"/>
          <w:b/>
          <w:bCs/>
        </w:rPr>
        <w:t>10</w:t>
      </w:r>
      <w:r>
        <w:rPr>
          <w:rFonts w:ascii="Book Antiqua" w:hAnsi="Book Antiqua"/>
        </w:rPr>
        <w:t>: 1033-1051 [PMID: 29869195 DOI: 10.1007/s12551-018-0431-6]</w:t>
      </w:r>
    </w:p>
    <w:p>
      <w:pPr>
        <w:spacing w:line="360" w:lineRule="auto"/>
        <w:jc w:val="both"/>
        <w:rPr>
          <w:rFonts w:ascii="Book Antiqua" w:hAnsi="Book Antiqua"/>
        </w:rPr>
      </w:pPr>
      <w:r>
        <w:rPr>
          <w:rFonts w:ascii="Book Antiqua" w:hAnsi="Book Antiqua"/>
        </w:rPr>
        <w:t xml:space="preserve">58 </w:t>
      </w:r>
      <w:r>
        <w:rPr>
          <w:rFonts w:ascii="Book Antiqua" w:hAnsi="Book Antiqua"/>
          <w:b/>
          <w:bCs/>
        </w:rPr>
        <w:t>Swift J</w:t>
      </w:r>
      <w:r>
        <w:rPr>
          <w:rFonts w:ascii="Book Antiqua" w:hAnsi="Book Antiqua"/>
        </w:rPr>
        <w:t xml:space="preserve">, Ivanovska IL, Buxboim A, Harada T, Dingal PC, Pinter J, Pajerowski JD, Spinler KR, Shin JW, Tewari M, Rehfeldt F, Speicher DW, Discher DE. Nuclear lamin-A scales with tissue stiffness and enhances matrix-directed differentiation. </w:t>
      </w:r>
      <w:r>
        <w:rPr>
          <w:rFonts w:ascii="Book Antiqua" w:hAnsi="Book Antiqua"/>
          <w:i/>
          <w:iCs/>
        </w:rPr>
        <w:t>Science</w:t>
      </w:r>
      <w:r>
        <w:rPr>
          <w:rFonts w:ascii="Book Antiqua" w:hAnsi="Book Antiqua"/>
        </w:rPr>
        <w:t xml:space="preserve"> 2013; </w:t>
      </w:r>
      <w:r>
        <w:rPr>
          <w:rFonts w:ascii="Book Antiqua" w:hAnsi="Book Antiqua"/>
          <w:b/>
          <w:bCs/>
        </w:rPr>
        <w:t>341</w:t>
      </w:r>
      <w:r>
        <w:rPr>
          <w:rFonts w:ascii="Book Antiqua" w:hAnsi="Book Antiqua"/>
        </w:rPr>
        <w:t>: 1240104 [PMID: 23990565 DOI: 10.1126/science.1240104]</w:t>
      </w:r>
    </w:p>
    <w:p>
      <w:pPr>
        <w:spacing w:line="360" w:lineRule="auto"/>
        <w:jc w:val="both"/>
        <w:rPr>
          <w:rFonts w:ascii="Book Antiqua" w:hAnsi="Book Antiqua"/>
        </w:rPr>
      </w:pPr>
      <w:r>
        <w:rPr>
          <w:rFonts w:ascii="Book Antiqua" w:hAnsi="Book Antiqua"/>
        </w:rPr>
        <w:t xml:space="preserve">59 </w:t>
      </w:r>
      <w:r>
        <w:rPr>
          <w:rFonts w:ascii="Book Antiqua" w:hAnsi="Book Antiqua"/>
          <w:b/>
          <w:bCs/>
        </w:rPr>
        <w:t>Bermeo S</w:t>
      </w:r>
      <w:r>
        <w:rPr>
          <w:rFonts w:ascii="Book Antiqua" w:hAnsi="Book Antiqua"/>
        </w:rPr>
        <w:t xml:space="preserve">, Vidal C, Zhou H, Duque G. Lamin A/C Acts as an Essential Factor in Mesenchymal Stem Cell Differentiation Through the Regulation of the Dynamics of the Wnt/β-Catenin Pathway. </w:t>
      </w:r>
      <w:r>
        <w:rPr>
          <w:rFonts w:ascii="Book Antiqua" w:hAnsi="Book Antiqua"/>
          <w:i/>
          <w:iCs/>
        </w:rPr>
        <w:t>J Cell Biochem</w:t>
      </w:r>
      <w:r>
        <w:rPr>
          <w:rFonts w:ascii="Book Antiqua" w:hAnsi="Book Antiqua"/>
        </w:rPr>
        <w:t xml:space="preserve"> 2015; </w:t>
      </w:r>
      <w:r>
        <w:rPr>
          <w:rFonts w:ascii="Book Antiqua" w:hAnsi="Book Antiqua"/>
          <w:b/>
          <w:bCs/>
        </w:rPr>
        <w:t>116</w:t>
      </w:r>
      <w:r>
        <w:rPr>
          <w:rFonts w:ascii="Book Antiqua" w:hAnsi="Book Antiqua"/>
        </w:rPr>
        <w:t>: 2344-2353 [PMID: 25846419 DOI: 10.1002/jcb.25185]</w:t>
      </w:r>
    </w:p>
    <w:p>
      <w:pPr>
        <w:spacing w:line="360" w:lineRule="auto"/>
        <w:jc w:val="both"/>
        <w:rPr>
          <w:rFonts w:ascii="Book Antiqua" w:hAnsi="Book Antiqua"/>
        </w:rPr>
      </w:pPr>
      <w:r>
        <w:rPr>
          <w:rFonts w:ascii="Book Antiqua" w:hAnsi="Book Antiqua"/>
        </w:rPr>
        <w:t xml:space="preserve">60 </w:t>
      </w:r>
      <w:r>
        <w:rPr>
          <w:rFonts w:ascii="Book Antiqua" w:hAnsi="Book Antiqua"/>
          <w:b/>
          <w:bCs/>
        </w:rPr>
        <w:t>La Verde G</w:t>
      </w:r>
      <w:r>
        <w:rPr>
          <w:rFonts w:ascii="Book Antiqua" w:hAnsi="Book Antiqua"/>
        </w:rPr>
        <w:t xml:space="preserve">, Artiola V, Pugliese M, La Commara M, Arrichiello C, Muto P, Netti PA, Fusco S, Panzetta V. Radiation therapy affects YAP expression and intracellular localization by modulating lamin A/C levels in breast cancer. </w:t>
      </w:r>
      <w:r>
        <w:rPr>
          <w:rFonts w:ascii="Book Antiqua" w:hAnsi="Book Antiqua"/>
          <w:i/>
          <w:iCs/>
        </w:rPr>
        <w:t>Front Bioeng Biotechnol</w:t>
      </w:r>
      <w:r>
        <w:rPr>
          <w:rFonts w:ascii="Book Antiqua" w:hAnsi="Book Antiqua"/>
        </w:rPr>
        <w:t xml:space="preserve"> 2022; </w:t>
      </w:r>
      <w:r>
        <w:rPr>
          <w:rFonts w:ascii="Book Antiqua" w:hAnsi="Book Antiqua"/>
          <w:b/>
          <w:bCs/>
        </w:rPr>
        <w:t>10</w:t>
      </w:r>
      <w:r>
        <w:rPr>
          <w:rFonts w:ascii="Book Antiqua" w:hAnsi="Book Antiqua"/>
        </w:rPr>
        <w:t>: 969004 [PMID: 36091449 DOI: 10.3389/fbioe.2022.969004]</w:t>
      </w:r>
    </w:p>
    <w:p>
      <w:pPr>
        <w:spacing w:line="360" w:lineRule="auto"/>
        <w:jc w:val="both"/>
        <w:rPr>
          <w:rFonts w:ascii="Book Antiqua" w:hAnsi="Book Antiqua"/>
        </w:rPr>
      </w:pPr>
      <w:r>
        <w:rPr>
          <w:rFonts w:ascii="Book Antiqua" w:hAnsi="Book Antiqua"/>
        </w:rPr>
        <w:t xml:space="preserve">61 </w:t>
      </w:r>
      <w:r>
        <w:rPr>
          <w:rFonts w:ascii="Book Antiqua" w:hAnsi="Book Antiqua"/>
          <w:b/>
          <w:bCs/>
        </w:rPr>
        <w:t>Piccolo S</w:t>
      </w:r>
      <w:r>
        <w:rPr>
          <w:rFonts w:ascii="Book Antiqua" w:hAnsi="Book Antiqua"/>
        </w:rPr>
        <w:t xml:space="preserve">, Dupont S, Cordenonsi M. The biology of YAP/TAZ: hippo signaling and beyond. </w:t>
      </w:r>
      <w:r>
        <w:rPr>
          <w:rFonts w:ascii="Book Antiqua" w:hAnsi="Book Antiqua"/>
          <w:i/>
          <w:iCs/>
        </w:rPr>
        <w:t>Physiol Rev</w:t>
      </w:r>
      <w:r>
        <w:rPr>
          <w:rFonts w:ascii="Book Antiqua" w:hAnsi="Book Antiqua"/>
        </w:rPr>
        <w:t xml:space="preserve"> 2014; </w:t>
      </w:r>
      <w:r>
        <w:rPr>
          <w:rFonts w:ascii="Book Antiqua" w:hAnsi="Book Antiqua"/>
          <w:b/>
          <w:bCs/>
        </w:rPr>
        <w:t>94</w:t>
      </w:r>
      <w:r>
        <w:rPr>
          <w:rFonts w:ascii="Book Antiqua" w:hAnsi="Book Antiqua"/>
        </w:rPr>
        <w:t>: 1287-1312 [PMID: 25287865 DOI: 10.1152/physrev.00005.2014]</w:t>
      </w:r>
    </w:p>
    <w:p>
      <w:pPr>
        <w:spacing w:line="360" w:lineRule="auto"/>
        <w:jc w:val="both"/>
        <w:rPr>
          <w:rFonts w:ascii="Book Antiqua" w:hAnsi="Book Antiqua"/>
        </w:rPr>
      </w:pPr>
      <w:r>
        <w:rPr>
          <w:rFonts w:ascii="Book Antiqua" w:hAnsi="Book Antiqua"/>
        </w:rPr>
        <w:t xml:space="preserve">62 </w:t>
      </w:r>
      <w:r>
        <w:rPr>
          <w:rFonts w:ascii="Book Antiqua" w:hAnsi="Book Antiqua"/>
          <w:b/>
          <w:bCs/>
        </w:rPr>
        <w:t>Dupont S</w:t>
      </w:r>
      <w:r>
        <w:rPr>
          <w:rFonts w:ascii="Book Antiqua" w:hAnsi="Book Antiqua"/>
        </w:rPr>
        <w:t xml:space="preserve">, Morsut L, Aragona M, Enzo E, Giulitti S, Cordenonsi M, Zanconato F, Le Digabel J, Forcato M, Bicciato S, Elvassore N, Piccolo S. Role of YAP/TAZ in mechanotransduction. </w:t>
      </w:r>
      <w:r>
        <w:rPr>
          <w:rFonts w:ascii="Book Antiqua" w:hAnsi="Book Antiqua"/>
          <w:i/>
          <w:iCs/>
        </w:rPr>
        <w:t>Nature</w:t>
      </w:r>
      <w:r>
        <w:rPr>
          <w:rFonts w:ascii="Book Antiqua" w:hAnsi="Book Antiqua"/>
        </w:rPr>
        <w:t xml:space="preserve"> 2011; </w:t>
      </w:r>
      <w:r>
        <w:rPr>
          <w:rFonts w:ascii="Book Antiqua" w:hAnsi="Book Antiqua"/>
          <w:b/>
          <w:bCs/>
        </w:rPr>
        <w:t>474</w:t>
      </w:r>
      <w:r>
        <w:rPr>
          <w:rFonts w:ascii="Book Antiqua" w:hAnsi="Book Antiqua"/>
        </w:rPr>
        <w:t>: 179-183 [PMID: 21654799 DOI: 10.1038/nature10137]</w:t>
      </w:r>
    </w:p>
    <w:p>
      <w:pPr>
        <w:spacing w:line="360" w:lineRule="auto"/>
        <w:jc w:val="both"/>
        <w:rPr>
          <w:rFonts w:ascii="Book Antiqua" w:hAnsi="Book Antiqua"/>
        </w:rPr>
      </w:pPr>
      <w:r>
        <w:rPr>
          <w:rFonts w:ascii="Book Antiqua" w:hAnsi="Book Antiqua"/>
        </w:rPr>
        <w:t xml:space="preserve">63 </w:t>
      </w:r>
      <w:r>
        <w:rPr>
          <w:rFonts w:ascii="Book Antiqua" w:hAnsi="Book Antiqua"/>
          <w:b/>
          <w:bCs/>
        </w:rPr>
        <w:t>Gao J</w:t>
      </w:r>
      <w:r>
        <w:rPr>
          <w:rFonts w:ascii="Book Antiqua" w:hAnsi="Book Antiqua"/>
        </w:rPr>
        <w:t xml:space="preserve">, He L, Zhou L, Jing Y, Wang F, Shi Y, Cai M, Sun J, Xu H, Jiang J, Zhang L, Wang H. Mechanical force regulation of YAP by F-actin and GPCR revealed by super-resolution imaging. </w:t>
      </w:r>
      <w:r>
        <w:rPr>
          <w:rFonts w:ascii="Book Antiqua" w:hAnsi="Book Antiqua"/>
          <w:i/>
          <w:iCs/>
        </w:rPr>
        <w:t>Nanoscale</w:t>
      </w:r>
      <w:r>
        <w:rPr>
          <w:rFonts w:ascii="Book Antiqua" w:hAnsi="Book Antiqua"/>
        </w:rPr>
        <w:t xml:space="preserve"> 2020; </w:t>
      </w:r>
      <w:r>
        <w:rPr>
          <w:rFonts w:ascii="Book Antiqua" w:hAnsi="Book Antiqua"/>
          <w:b/>
          <w:bCs/>
        </w:rPr>
        <w:t>12</w:t>
      </w:r>
      <w:r>
        <w:rPr>
          <w:rFonts w:ascii="Book Antiqua" w:hAnsi="Book Antiqua"/>
        </w:rPr>
        <w:t>: 2703-2714 [PMID: 31950964 DOI: 10.1039/c9nr09452k]</w:t>
      </w:r>
    </w:p>
    <w:p>
      <w:pPr>
        <w:spacing w:line="360" w:lineRule="auto"/>
        <w:jc w:val="both"/>
        <w:rPr>
          <w:rFonts w:ascii="Book Antiqua" w:hAnsi="Book Antiqua"/>
        </w:rPr>
      </w:pPr>
      <w:r>
        <w:rPr>
          <w:rFonts w:ascii="Book Antiqua" w:hAnsi="Book Antiqua"/>
        </w:rPr>
        <w:t xml:space="preserve">64 </w:t>
      </w:r>
      <w:r>
        <w:rPr>
          <w:rFonts w:ascii="Book Antiqua" w:hAnsi="Book Antiqua"/>
          <w:b/>
          <w:bCs/>
        </w:rPr>
        <w:t>Pavel M</w:t>
      </w:r>
      <w:r>
        <w:rPr>
          <w:rFonts w:ascii="Book Antiqua" w:hAnsi="Book Antiqua"/>
        </w:rPr>
        <w:t xml:space="preserve">, Renna M, Park SJ, Menzies FM, Ricketts T, Füllgrabe J, Ashkenazi A, Frake RA, Lombarte AC, Bento CF, Franze K, Rubinsztein DC. Contact inhibition controls cell survival and proliferation via YAP/TAZ-autophagy axis. </w:t>
      </w:r>
      <w:r>
        <w:rPr>
          <w:rFonts w:ascii="Book Antiqua" w:hAnsi="Book Antiqua"/>
          <w:i/>
          <w:iCs/>
        </w:rPr>
        <w:t>Nat Commun</w:t>
      </w:r>
      <w:r>
        <w:rPr>
          <w:rFonts w:ascii="Book Antiqua" w:hAnsi="Book Antiqua"/>
        </w:rPr>
        <w:t xml:space="preserve"> 2018; </w:t>
      </w:r>
      <w:r>
        <w:rPr>
          <w:rFonts w:ascii="Book Antiqua" w:hAnsi="Book Antiqua"/>
          <w:b/>
          <w:bCs/>
        </w:rPr>
        <w:t>9</w:t>
      </w:r>
      <w:r>
        <w:rPr>
          <w:rFonts w:ascii="Book Antiqua" w:hAnsi="Book Antiqua"/>
        </w:rPr>
        <w:t>: 2961 [PMID: 30054475 DOI: 10.1038/s41467-018-05388-x]</w:t>
      </w:r>
    </w:p>
    <w:p>
      <w:pPr>
        <w:spacing w:line="360" w:lineRule="auto"/>
        <w:jc w:val="both"/>
        <w:rPr>
          <w:rFonts w:ascii="Book Antiqua" w:hAnsi="Book Antiqua"/>
        </w:rPr>
      </w:pPr>
      <w:r>
        <w:rPr>
          <w:rFonts w:ascii="Book Antiqua" w:hAnsi="Book Antiqua"/>
        </w:rPr>
        <w:t xml:space="preserve">65 </w:t>
      </w:r>
      <w:r>
        <w:rPr>
          <w:rFonts w:ascii="Book Antiqua" w:hAnsi="Book Antiqua"/>
          <w:b/>
          <w:bCs/>
        </w:rPr>
        <w:t>Lin C</w:t>
      </w:r>
      <w:r>
        <w:rPr>
          <w:rFonts w:ascii="Book Antiqua" w:hAnsi="Book Antiqua"/>
        </w:rPr>
        <w:t xml:space="preserve">, Yao E, Zhang K, Jiang X, Croll S, Thompson-Peer K, Chuang PT. YAP is essential for mechanical force production and epithelial cell proliferation during lung branching morphogenesis. </w:t>
      </w:r>
      <w:r>
        <w:rPr>
          <w:rFonts w:ascii="Book Antiqua" w:hAnsi="Book Antiqua"/>
          <w:i/>
          <w:iCs/>
        </w:rPr>
        <w:t>Elife</w:t>
      </w:r>
      <w:r>
        <w:rPr>
          <w:rFonts w:ascii="Book Antiqua" w:hAnsi="Book Antiqua"/>
        </w:rPr>
        <w:t xml:space="preserve"> 2017; </w:t>
      </w:r>
      <w:r>
        <w:rPr>
          <w:rFonts w:ascii="Book Antiqua" w:hAnsi="Book Antiqua"/>
          <w:b/>
          <w:bCs/>
        </w:rPr>
        <w:t>6</w:t>
      </w:r>
      <w:r>
        <w:rPr>
          <w:rFonts w:ascii="Book Antiqua" w:hAnsi="Book Antiqua"/>
        </w:rPr>
        <w:t xml:space="preserve"> [PMID: 28323616 DOI: 10.7554/eLife.21130]</w:t>
      </w:r>
    </w:p>
    <w:p>
      <w:pPr>
        <w:spacing w:line="360" w:lineRule="auto"/>
        <w:jc w:val="both"/>
        <w:rPr>
          <w:rFonts w:ascii="Book Antiqua" w:hAnsi="Book Antiqua"/>
        </w:rPr>
      </w:pPr>
      <w:r>
        <w:rPr>
          <w:rFonts w:ascii="Book Antiqua" w:hAnsi="Book Antiqua"/>
        </w:rPr>
        <w:t xml:space="preserve"> 66 </w:t>
      </w:r>
      <w:r>
        <w:rPr>
          <w:rFonts w:ascii="Book Antiqua" w:hAnsi="Book Antiqua"/>
          <w:b/>
          <w:bCs/>
        </w:rPr>
        <w:t>Jian Z</w:t>
      </w:r>
      <w:r>
        <w:rPr>
          <w:rFonts w:ascii="Book Antiqua" w:hAnsi="Book Antiqua"/>
        </w:rPr>
        <w:t xml:space="preserve">, Li Y, Zhang C, Zhong W, Ai D, He Y, Song J. Low-Intensity Pulsed Ultrasound Attenuates Periodontal Ligament Cells Apoptosis by Activating Yes-Associated Protein-Regulated Autophagy. </w:t>
      </w:r>
      <w:r>
        <w:rPr>
          <w:rFonts w:ascii="Book Antiqua" w:hAnsi="Book Antiqua"/>
          <w:i/>
          <w:iCs/>
        </w:rPr>
        <w:t>Ultrasound Med Biol</w:t>
      </w:r>
      <w:r>
        <w:rPr>
          <w:rFonts w:ascii="Book Antiqua" w:hAnsi="Book Antiqua"/>
        </w:rPr>
        <w:t xml:space="preserve"> 2023; </w:t>
      </w:r>
      <w:r>
        <w:rPr>
          <w:rFonts w:ascii="Book Antiqua" w:hAnsi="Book Antiqua"/>
          <w:b/>
          <w:bCs/>
        </w:rPr>
        <w:t>49</w:t>
      </w:r>
      <w:r>
        <w:rPr>
          <w:rFonts w:ascii="Book Antiqua" w:hAnsi="Book Antiqua"/>
        </w:rPr>
        <w:t>: 1227-1237 [PMID: 36878833 DOI: 10.1016/j.ultrasmedbio.2023.01.008]</w:t>
      </w:r>
    </w:p>
    <w:bookmarkEnd w:id="681"/>
    <w:bookmarkEnd w:id="68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The study was approved by Ethical Guidelines of Hospital of Stomatology, Peking University (Approval No. PKUSSIRB-202385020).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Institutional animal care and use committee statement: </w:t>
      </w:r>
      <w:r>
        <w:rPr>
          <w:rFonts w:ascii="Book Antiqua" w:hAnsi="Book Antiqua" w:eastAsia="Book Antiqua" w:cs="Book Antiqua"/>
        </w:rPr>
        <w:t>All procedures involving animals were reviewed and approved by the Ethics Committee for Animal Experiments at Peking University Health Science Center (IACUC protocol number No. LA2022288).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color w:val="3C3C3C"/>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ARRIVE guidelines statement: </w:t>
      </w:r>
      <w:r>
        <w:rPr>
          <w:rFonts w:ascii="Book Antiqua" w:hAnsi="Book Antiqua" w:eastAsia="Book Antiqua" w:cs="Book Antiqua"/>
          <w:color w:val="000000"/>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26,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17,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686" w:name="OLE_LINK1673"/>
      <w:bookmarkStart w:id="687" w:name="OLE_LINK21"/>
      <w:bookmarkStart w:id="688" w:name="OLE_LINK1805"/>
      <w:bookmarkStart w:id="689" w:name="OLE_LINK2101"/>
      <w:bookmarkStart w:id="690" w:name="OLE_LINK20"/>
      <w:r>
        <w:rPr>
          <w:rFonts w:ascii="Book Antiqua" w:hAnsi="Book Antiqua" w:eastAsia="微软雅黑" w:cs="宋体"/>
        </w:rPr>
        <w:t>Cell and tissue engineering</w:t>
      </w:r>
      <w:bookmarkEnd w:id="686"/>
      <w:bookmarkEnd w:id="687"/>
      <w:bookmarkEnd w:id="688"/>
      <w:bookmarkEnd w:id="689"/>
      <w:bookmarkEnd w:id="690"/>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bCs/>
          <w:color w:val="000000"/>
        </w:rPr>
        <w:t xml:space="preserve">Li SC, United States; </w:t>
      </w:r>
      <w:r>
        <w:rPr>
          <w:rFonts w:ascii="Book Antiqua" w:hAnsi="Book Antiqua" w:eastAsia="Book Antiqua" w:cs="Book Antiqua"/>
        </w:rPr>
        <w:t>Roomi AB, Iraq</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宋体" w:cs="Book Antiqua"/>
          <w:b w:val="0"/>
          <w:bCs/>
          <w:color w:val="000000"/>
          <w:lang w:eastAsia="zh-CN"/>
        </w:rPr>
        <w:t>Wang TQ</w:t>
      </w:r>
      <w:r>
        <w:rPr>
          <w:rFonts w:ascii="Book Antiqua" w:hAnsi="Book Antiqua" w:eastAsia="Book Antiqua" w:cs="Book Antiqua"/>
          <w:b/>
          <w:color w:val="000000"/>
        </w:rPr>
        <w:t xml:space="preserve"> P-Editor: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0" distR="0">
            <wp:extent cx="5943600" cy="3045460"/>
            <wp:effectExtent l="0" t="0" r="0" b="0"/>
            <wp:docPr id="1375151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51224" name="图片 1"/>
                    <pic:cNvPicPr>
                      <a:picLocks noChangeAspect="1"/>
                    </pic:cNvPicPr>
                  </pic:nvPicPr>
                  <pic:blipFill>
                    <a:blip r:embed="rId5"/>
                    <a:stretch>
                      <a:fillRect/>
                    </a:stretch>
                  </pic:blipFill>
                  <pic:spPr>
                    <a:xfrm>
                      <a:off x="0" y="0"/>
                      <a:ext cx="5943600" cy="3045460"/>
                    </a:xfrm>
                    <a:prstGeom prst="rect">
                      <a:avLst/>
                    </a:prstGeom>
                  </pic:spPr>
                </pic:pic>
              </a:graphicData>
            </a:graphic>
          </wp:inline>
        </w:drawing>
      </w:r>
      <w:r>
        <w:rPr>
          <w:rFonts w:ascii="Book Antiqua" w:hAnsi="Book Antiqua"/>
        </w:rPr>
        <w:drawing>
          <wp:inline distT="0" distB="0" distL="0" distR="0">
            <wp:extent cx="5943600" cy="2957830"/>
            <wp:effectExtent l="0" t="0" r="0" b="0"/>
            <wp:docPr id="2032222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22285" name="图片 1"/>
                    <pic:cNvPicPr>
                      <a:picLocks noChangeAspect="1"/>
                    </pic:cNvPicPr>
                  </pic:nvPicPr>
                  <pic:blipFill>
                    <a:blip r:embed="rId6"/>
                    <a:stretch>
                      <a:fillRect/>
                    </a:stretch>
                  </pic:blipFill>
                  <pic:spPr>
                    <a:xfrm>
                      <a:off x="0" y="0"/>
                      <a:ext cx="5943600" cy="2957830"/>
                    </a:xfrm>
                    <a:prstGeom prst="rect">
                      <a:avLst/>
                    </a:prstGeom>
                  </pic:spPr>
                </pic:pic>
              </a:graphicData>
            </a:graphic>
          </wp:inline>
        </w:drawing>
      </w:r>
      <w:r>
        <w:rPr>
          <w:rFonts w:ascii="Book Antiqua" w:hAnsi="Book Antiqua"/>
        </w:rPr>
        <w:drawing>
          <wp:inline distT="0" distB="0" distL="0" distR="0">
            <wp:extent cx="5943600" cy="1572895"/>
            <wp:effectExtent l="0" t="0" r="0" b="0"/>
            <wp:docPr id="2032900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00369" name="图片 1"/>
                    <pic:cNvPicPr>
                      <a:picLocks noChangeAspect="1"/>
                    </pic:cNvPicPr>
                  </pic:nvPicPr>
                  <pic:blipFill>
                    <a:blip r:embed="rId7"/>
                    <a:stretch>
                      <a:fillRect/>
                    </a:stretch>
                  </pic:blipFill>
                  <pic:spPr>
                    <a:xfrm>
                      <a:off x="0" y="0"/>
                      <a:ext cx="5943600" cy="1572895"/>
                    </a:xfrm>
                    <a:prstGeom prst="rect">
                      <a:avLst/>
                    </a:prstGeom>
                  </pic:spPr>
                </pic:pic>
              </a:graphicData>
            </a:graphic>
          </wp:inline>
        </w:drawing>
      </w:r>
    </w:p>
    <w:p>
      <w:pPr>
        <w:spacing w:line="360" w:lineRule="auto"/>
        <w:jc w:val="both"/>
        <w:rPr>
          <w:rFonts w:ascii="Book Antiqua" w:hAnsi="Book Antiqua"/>
        </w:rPr>
      </w:pPr>
      <w:r>
        <w:rPr>
          <w:rFonts w:ascii="Book Antiqua" w:hAnsi="Book Antiqua"/>
        </w:rPr>
        <w:drawing>
          <wp:inline distT="0" distB="0" distL="0" distR="0">
            <wp:extent cx="4960620" cy="2765425"/>
            <wp:effectExtent l="0" t="0" r="0" b="0"/>
            <wp:docPr id="25881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066" name="图片 1"/>
                    <pic:cNvPicPr>
                      <a:picLocks noChangeAspect="1"/>
                    </pic:cNvPicPr>
                  </pic:nvPicPr>
                  <pic:blipFill>
                    <a:blip r:embed="rId8"/>
                    <a:stretch>
                      <a:fillRect/>
                    </a:stretch>
                  </pic:blipFill>
                  <pic:spPr>
                    <a:xfrm>
                      <a:off x="0" y="0"/>
                      <a:ext cx="4965790" cy="2768853"/>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 The bone density decreased, and the alveolar bone height decreased on the compression side.</w:t>
      </w:r>
      <w:r>
        <w:rPr>
          <w:rFonts w:ascii="Book Antiqua" w:hAnsi="Book Antiqua" w:eastAsia="Book Antiqua" w:cs="Book Antiqua"/>
        </w:rPr>
        <w:t xml:space="preserve"> A: Representative pictures of the rat tooth movement model and 3D model images reconstructed </w:t>
      </w:r>
      <w:r>
        <w:rPr>
          <w:rFonts w:hint="eastAsia" w:ascii="Book Antiqua" w:hAnsi="Book Antiqua" w:eastAsia="宋体" w:cs="Book Antiqua"/>
          <w:lang w:eastAsia="zh-CN"/>
        </w:rPr>
        <w:t>with</w:t>
      </w:r>
      <w:r>
        <w:rPr>
          <w:rFonts w:ascii="Book Antiqua" w:hAnsi="Book Antiqua" w:eastAsia="Book Antiqua" w:cs="Book Antiqua"/>
        </w:rPr>
        <w:t xml:space="preserve"> Mimics software (left) and the statistical diagram of the tooth movement distance (right); B: Representative images of 3D models reconstructed from micro-computed tomography images showing the distance from the alveolar crest to the cemento-enamel junction (left) and the corresponding statistical analysis (right); C: Representative region of interest (ROI)</w:t>
      </w:r>
      <w:r>
        <w:rPr>
          <w:rFonts w:hint="eastAsia" w:ascii="Book Antiqua" w:hAnsi="Book Antiqua" w:eastAsia="宋体" w:cs="Book Antiqua"/>
          <w:lang w:eastAsia="zh-CN"/>
        </w:rPr>
        <w:t xml:space="preserve"> </w:t>
      </w:r>
      <w:r>
        <w:rPr>
          <w:rFonts w:ascii="Book Antiqua" w:hAnsi="Book Antiqua" w:eastAsia="Book Antiqua" w:cs="Book Antiqua"/>
        </w:rPr>
        <w:t>selection diagrams (left)</w:t>
      </w:r>
      <w:r>
        <w:rPr>
          <w:rFonts w:hint="eastAsia" w:ascii="Book Antiqua" w:hAnsi="Book Antiqua" w:eastAsia="宋体" w:cs="Book Antiqua"/>
          <w:lang w:eastAsia="zh-CN"/>
        </w:rPr>
        <w:t xml:space="preserve"> and </w:t>
      </w:r>
      <w:r>
        <w:rPr>
          <w:rFonts w:ascii="Book Antiqua" w:hAnsi="Book Antiqua" w:eastAsia="Book Antiqua" w:cs="Book Antiqua"/>
        </w:rPr>
        <w:t>statistical analysis</w:t>
      </w:r>
      <w:r>
        <w:rPr>
          <w:rFonts w:hint="eastAsia" w:ascii="Book Antiqua" w:hAnsi="Book Antiqua" w:eastAsia="宋体" w:cs="Book Antiqua"/>
          <w:lang w:eastAsia="zh-CN"/>
        </w:rPr>
        <w:t xml:space="preserve"> (right)</w:t>
      </w:r>
      <w:r>
        <w:rPr>
          <w:rFonts w:ascii="Book Antiqua" w:hAnsi="Book Antiqua" w:eastAsia="Book Antiqua" w:cs="Book Antiqua"/>
        </w:rPr>
        <w:t xml:space="preserve">. A certain volume of alveolar bone on the compressed side of the middle 1/2 root of the distal buccal root of the first molar was selected for subsequent analysis. The statistical analysis of the BV/TV, Tb.Th, Tb.N, Tb.Sp and BS/BV values of the ROI region was performed with Siemens software; D: Representative images of hematoxylin and eosin staining; E: Representative images of immunohistochemical staining for type 1 collagen and osteocalcin (left) and quantitative analyses (right); F: Representative images of </w:t>
      </w:r>
      <w:r>
        <w:rPr>
          <w:rFonts w:ascii="Book Antiqua" w:hAnsi="Book Antiqua" w:eastAsia="Book Antiqua" w:cs="Book Antiqua"/>
          <w:color w:val="000000"/>
        </w:rPr>
        <w:t>tartrate-resistant acid phosphatase (TRAP)</w:t>
      </w:r>
      <w:r>
        <w:rPr>
          <w:rFonts w:hint="eastAsia" w:ascii="Book Antiqua" w:hAnsi="Book Antiqua" w:eastAsia="宋体" w:cs="Book Antiqua"/>
          <w:lang w:eastAsia="zh-CN"/>
        </w:rPr>
        <w:t xml:space="preserve"> </w:t>
      </w:r>
      <w:r>
        <w:rPr>
          <w:rFonts w:ascii="Book Antiqua" w:hAnsi="Book Antiqua" w:eastAsia="Book Antiqua" w:cs="Book Antiqua"/>
        </w:rPr>
        <w:t>stain</w:t>
      </w:r>
      <w:r>
        <w:rPr>
          <w:rFonts w:hint="eastAsia" w:ascii="Book Antiqua" w:hAnsi="Book Antiqua" w:eastAsia="宋体" w:cs="Book Antiqua"/>
          <w:lang w:eastAsia="zh-CN"/>
        </w:rPr>
        <w:t>ing</w:t>
      </w:r>
      <w:r>
        <w:rPr>
          <w:rFonts w:ascii="Book Antiqua" w:hAnsi="Book Antiqua" w:eastAsia="Book Antiqua" w:cs="Book Antiqua"/>
        </w:rPr>
        <w:t xml:space="preserve"> (left) and </w:t>
      </w:r>
      <w:r>
        <w:rPr>
          <w:rFonts w:hint="eastAsia" w:ascii="Book Antiqua" w:hAnsi="Book Antiqua" w:eastAsia="宋体" w:cs="Book Antiqua"/>
          <w:lang w:eastAsia="zh-CN"/>
        </w:rPr>
        <w:t xml:space="preserve">counting of </w:t>
      </w:r>
      <w:r>
        <w:rPr>
          <w:rFonts w:ascii="Book Antiqua" w:hAnsi="Book Antiqua" w:eastAsia="Book Antiqua" w:cs="Book Antiqua"/>
        </w:rPr>
        <w:t>TRAP-positive multinuclear (&gt; 3 nuclei) cells</w:t>
      </w:r>
      <w:r>
        <w:rPr>
          <w:rFonts w:hint="eastAsia" w:ascii="Book Antiqua" w:hAnsi="Book Antiqua" w:eastAsia="宋体" w:cs="Book Antiqua"/>
          <w:lang w:eastAsia="zh-CN"/>
        </w:rPr>
        <w:t xml:space="preserve"> </w:t>
      </w:r>
      <w:r>
        <w:rPr>
          <w:rFonts w:ascii="Book Antiqua" w:hAnsi="Book Antiqua" w:eastAsia="Book Antiqua" w:cs="Book Antiqua"/>
        </w:rPr>
        <w:t xml:space="preserve">(right).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hint="eastAsia" w:ascii="Book Antiqua" w:hAnsi="Book Antiqua" w:eastAsia="宋体" w:cs="Book Antiqua"/>
          <w:lang w:eastAsia="zh-CN"/>
        </w:rPr>
        <w:t xml:space="preserve"> </w:t>
      </w:r>
      <w:r>
        <w:rPr>
          <w:rFonts w:ascii="Book Antiqua" w:hAnsi="Book Antiqua" w:eastAsia="Book Antiqua" w:cs="Book Antiqua"/>
        </w:rPr>
        <w:t xml:space="preserve">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ascii="Book Antiqua" w:hAnsi="Book Antiqua" w:eastAsia="Book Antiqua" w:cs="Book Antiqua"/>
        </w:rPr>
        <w:t xml:space="preserve"> control group. CEJ:</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ementum-enamel boundary; HE: </w:t>
      </w:r>
      <w:r>
        <w:rPr>
          <w:rFonts w:ascii="Book Antiqua" w:hAnsi="Book Antiqua" w:eastAsia="Book Antiqua" w:cs="Book Antiqua"/>
        </w:rPr>
        <w:t>Hematoxylin and eosin</w:t>
      </w:r>
      <w:r>
        <w:rPr>
          <w:rFonts w:ascii="Book Antiqua" w:hAnsi="Book Antiqua" w:eastAsia="Book Antiqua" w:cs="Book Antiqua"/>
          <w:color w:val="000000"/>
        </w:rPr>
        <w:t xml:space="preserve">; TRAP: Tartrate-resistant acid phosphatase; </w:t>
      </w:r>
      <w:r>
        <w:rPr>
          <w:rFonts w:ascii="Book Antiqua" w:hAnsi="Book Antiqua" w:eastAsia="Book Antiqua" w:cs="Book Antiqua"/>
        </w:rPr>
        <w:t>COL1: Type 1 collagen; OCN: Osteocalcin; CT: Computed tomography.</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4251960" cy="2314575"/>
            <wp:effectExtent l="0" t="0" r="0" b="9525"/>
            <wp:docPr id="1496321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21341" name="图片 1"/>
                    <pic:cNvPicPr>
                      <a:picLocks noChangeAspect="1"/>
                    </pic:cNvPicPr>
                  </pic:nvPicPr>
                  <pic:blipFill>
                    <a:blip r:embed="rId9"/>
                    <a:stretch>
                      <a:fillRect/>
                    </a:stretch>
                  </pic:blipFill>
                  <pic:spPr>
                    <a:xfrm>
                      <a:off x="0" y="0"/>
                      <a:ext cx="4254284" cy="2316221"/>
                    </a:xfrm>
                    <a:prstGeom prst="rect">
                      <a:avLst/>
                    </a:prstGeom>
                  </pic:spPr>
                </pic:pic>
              </a:graphicData>
            </a:graphic>
          </wp:inline>
        </w:drawing>
      </w:r>
      <w:r>
        <w:rPr>
          <w:rFonts w:ascii="Book Antiqua" w:hAnsi="Book Antiqua"/>
        </w:rPr>
        <w:drawing>
          <wp:inline distT="0" distB="0" distL="0" distR="0">
            <wp:extent cx="4259580" cy="2129790"/>
            <wp:effectExtent l="0" t="0" r="7620" b="3810"/>
            <wp:docPr id="17010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16586" name="图片 1"/>
                    <pic:cNvPicPr>
                      <a:picLocks noChangeAspect="1"/>
                    </pic:cNvPicPr>
                  </pic:nvPicPr>
                  <pic:blipFill>
                    <a:blip r:embed="rId10"/>
                    <a:stretch>
                      <a:fillRect/>
                    </a:stretch>
                  </pic:blipFill>
                  <pic:spPr>
                    <a:xfrm>
                      <a:off x="0" y="0"/>
                      <a:ext cx="4259580" cy="2129790"/>
                    </a:xfrm>
                    <a:prstGeom prst="rect">
                      <a:avLst/>
                    </a:prstGeom>
                  </pic:spPr>
                </pic:pic>
              </a:graphicData>
            </a:graphic>
          </wp:inline>
        </w:drawing>
      </w:r>
      <w:r>
        <w:rPr>
          <w:rFonts w:ascii="Book Antiqua" w:hAnsi="Book Antiqua"/>
        </w:rPr>
        <w:drawing>
          <wp:inline distT="0" distB="0" distL="0" distR="0">
            <wp:extent cx="5105400" cy="1624330"/>
            <wp:effectExtent l="0" t="0" r="0" b="0"/>
            <wp:docPr id="206222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22581" name="图片 1"/>
                    <pic:cNvPicPr>
                      <a:picLocks noChangeAspect="1"/>
                    </pic:cNvPicPr>
                  </pic:nvPicPr>
                  <pic:blipFill>
                    <a:blip r:embed="rId11"/>
                    <a:stretch>
                      <a:fillRect/>
                    </a:stretch>
                  </pic:blipFill>
                  <pic:spPr>
                    <a:xfrm>
                      <a:off x="0" y="0"/>
                      <a:ext cx="5118419" cy="1628488"/>
                    </a:xfrm>
                    <a:prstGeom prst="rect">
                      <a:avLst/>
                    </a:prstGeom>
                  </pic:spPr>
                </pic:pic>
              </a:graphicData>
            </a:graphic>
          </wp:inline>
        </w:drawing>
      </w:r>
    </w:p>
    <w:p>
      <w:pPr>
        <w:spacing w:line="360" w:lineRule="auto"/>
        <w:jc w:val="both"/>
        <w:rPr>
          <w:rFonts w:ascii="Book Antiqua" w:hAnsi="Book Antiqua"/>
        </w:rPr>
      </w:pPr>
      <w:r>
        <w:rPr>
          <w:rFonts w:ascii="Book Antiqua" w:hAnsi="Book Antiqua"/>
        </w:rPr>
        <w:drawing>
          <wp:inline distT="0" distB="0" distL="0" distR="0">
            <wp:extent cx="4770120" cy="1838325"/>
            <wp:effectExtent l="0" t="0" r="0" b="9525"/>
            <wp:docPr id="1297590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90381" name="图片 1"/>
                    <pic:cNvPicPr>
                      <a:picLocks noChangeAspect="1"/>
                    </pic:cNvPicPr>
                  </pic:nvPicPr>
                  <pic:blipFill>
                    <a:blip r:embed="rId12"/>
                    <a:stretch>
                      <a:fillRect/>
                    </a:stretch>
                  </pic:blipFill>
                  <pic:spPr>
                    <a:xfrm>
                      <a:off x="0" y="0"/>
                      <a:ext cx="4794317" cy="1848066"/>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2 Static pressure inhibit</w:t>
      </w:r>
      <w:r>
        <w:rPr>
          <w:rFonts w:hint="eastAsia" w:ascii="Book Antiqua" w:hAnsi="Book Antiqua" w:eastAsia="宋体" w:cs="Book Antiqua"/>
          <w:b/>
          <w:bCs/>
          <w:lang w:eastAsia="zh-CN"/>
        </w:rPr>
        <w:t>s</w:t>
      </w:r>
      <w:r>
        <w:rPr>
          <w:rFonts w:ascii="Book Antiqua" w:hAnsi="Book Antiqua" w:eastAsia="Book Antiqua" w:cs="Book Antiqua"/>
          <w:b/>
          <w:bCs/>
        </w:rPr>
        <w:t xml:space="preserve"> the osteogenic differentiation of bone marrow mesenchymal stem cells </w:t>
      </w:r>
      <w:r>
        <w:rPr>
          <w:rFonts w:ascii="Book Antiqua" w:hAnsi="Book Antiqua" w:eastAsia="Book Antiqua" w:cs="Book Antiqua"/>
          <w:b/>
          <w:bCs/>
          <w:i/>
          <w:iCs/>
        </w:rPr>
        <w:t>in vitro</w:t>
      </w:r>
      <w:r>
        <w:rPr>
          <w:rFonts w:ascii="Book Antiqua" w:hAnsi="Book Antiqua" w:eastAsia="Book Antiqua" w:cs="Book Antiqua"/>
          <w:b/>
          <w:bCs/>
        </w:rPr>
        <w:t>.</w:t>
      </w:r>
      <w:r>
        <w:rPr>
          <w:rFonts w:ascii="Book Antiqua" w:hAnsi="Book Antiqua" w:eastAsia="Book Antiqua" w:cs="Book Antiqua"/>
        </w:rPr>
        <w:t xml:space="preserve"> A and B: Representative alkaline phosphatase (ALP) staining images and statistical analysis; C and D: Representative alizarin red staining images and quantitative data from the alirazin red assay; E: mRNA expression of ALP, type 1 collagen (COL1), runt-related transcription factor 2</w:t>
      </w:r>
      <w:r>
        <w:rPr>
          <w:rFonts w:hint="eastAsia" w:ascii="Book Antiqua" w:hAnsi="Book Antiqua" w:eastAsia="宋体" w:cs="Book Antiqua"/>
          <w:lang w:eastAsia="zh-CN"/>
        </w:rPr>
        <w:t>,</w:t>
      </w:r>
      <w:r>
        <w:rPr>
          <w:rFonts w:ascii="Book Antiqua" w:hAnsi="Book Antiqua" w:eastAsia="Book Antiqua" w:cs="Book Antiqua"/>
        </w:rPr>
        <w:t xml:space="preserve"> and osteocalcin (OCN) folded to control group by </w:t>
      </w:r>
      <w:r>
        <w:rPr>
          <w:rFonts w:ascii="Book Antiqua" w:hAnsi="Book Antiqua" w:eastAsia="Book Antiqua" w:cs="Book Antiqua"/>
          <w:color w:val="000000"/>
        </w:rPr>
        <w:t>quantitative reverse transcription</w:t>
      </w:r>
      <w:r>
        <w:rPr>
          <w:rFonts w:hint="eastAsia" w:ascii="Book Antiqua" w:hAnsi="Book Antiqua" w:eastAsia="宋体" w:cs="Book Antiqua"/>
          <w:color w:val="000000"/>
          <w:lang w:eastAsia="zh-CN"/>
        </w:rPr>
        <w:t>-</w:t>
      </w:r>
      <w:r>
        <w:rPr>
          <w:rFonts w:ascii="Book Antiqua" w:hAnsi="Book Antiqua" w:eastAsia="Book Antiqua" w:cs="Book Antiqua"/>
          <w:color w:val="000000"/>
        </w:rPr>
        <w:t>polymerase chain reaction</w:t>
      </w:r>
      <w:r>
        <w:rPr>
          <w:rFonts w:ascii="Book Antiqua" w:hAnsi="Book Antiqua" w:eastAsia="Book Antiqua" w:cs="Book Antiqua"/>
        </w:rPr>
        <w:t>; F: COL1, ALP</w:t>
      </w:r>
      <w:r>
        <w:rPr>
          <w:rFonts w:hint="eastAsia" w:ascii="Book Antiqua" w:hAnsi="Book Antiqua" w:eastAsia="宋体" w:cs="Book Antiqua"/>
          <w:lang w:eastAsia="zh-CN"/>
        </w:rPr>
        <w:t>,</w:t>
      </w:r>
      <w:r>
        <w:rPr>
          <w:rFonts w:ascii="Book Antiqua" w:hAnsi="Book Antiqua" w:eastAsia="Book Antiqua" w:cs="Book Antiqua"/>
        </w:rPr>
        <w:t xml:space="preserve"> and OCN protein expression in bone marrow mesenchymal stem cells analyzed by </w:t>
      </w:r>
      <w:r>
        <w:rPr>
          <w:rFonts w:hint="eastAsia" w:ascii="Book Antiqua" w:hAnsi="Book Antiqua" w:eastAsia="宋体" w:cs="Book Antiqua"/>
          <w:lang w:eastAsia="zh-CN"/>
        </w:rPr>
        <w:t>W</w:t>
      </w:r>
      <w:r>
        <w:rPr>
          <w:rFonts w:ascii="Book Antiqua" w:hAnsi="Book Antiqua" w:eastAsia="Book Antiqua" w:cs="Book Antiqua"/>
        </w:rPr>
        <w:t>estern blotting (left), and the band intensities</w:t>
      </w:r>
      <w:r>
        <w:rPr>
          <w:rFonts w:hint="eastAsia" w:ascii="Book Antiqua" w:hAnsi="Book Antiqua" w:eastAsia="宋体" w:cs="Book Antiqua"/>
          <w:lang w:eastAsia="zh-CN"/>
        </w:rPr>
        <w:t xml:space="preserve"> </w:t>
      </w:r>
      <w:r>
        <w:rPr>
          <w:rFonts w:ascii="Book Antiqua" w:hAnsi="Book Antiqua" w:eastAsia="Book Antiqua" w:cs="Book Antiqua"/>
        </w:rPr>
        <w:t xml:space="preserve">measured with ImageJ software (right).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ascii="Book Antiqua" w:hAnsi="Book Antiqua" w:eastAsia="Book Antiqua" w:cs="Book Antiqua"/>
        </w:rPr>
        <w:t xml:space="preserve"> control group. ALP:</w:t>
      </w:r>
      <w:r>
        <w:rPr>
          <w:rFonts w:ascii="Book Antiqua" w:hAnsi="Book Antiqua" w:eastAsia="Book Antiqua" w:cs="Book Antiqua"/>
          <w:color w:val="000000"/>
        </w:rPr>
        <w:t xml:space="preserve"> </w:t>
      </w:r>
      <w:r>
        <w:rPr>
          <w:rFonts w:ascii="Book Antiqua" w:hAnsi="Book Antiqua" w:eastAsia="Book Antiqua" w:cs="Book Antiqua"/>
        </w:rPr>
        <w:t>Alkaline phosphatase</w:t>
      </w:r>
      <w:r>
        <w:rPr>
          <w:rFonts w:ascii="Book Antiqua" w:hAnsi="Book Antiqua" w:eastAsia="Book Antiqua" w:cs="Book Antiqua"/>
          <w:color w:val="000000"/>
        </w:rPr>
        <w:t xml:space="preserve">; RUNX2: </w:t>
      </w:r>
      <w:r>
        <w:rPr>
          <w:rFonts w:ascii="Book Antiqua" w:hAnsi="Book Antiqua" w:eastAsia="Book Antiqua" w:cs="Book Antiqua"/>
        </w:rPr>
        <w:t>Runt-related transcription factor 2</w:t>
      </w:r>
      <w:r>
        <w:rPr>
          <w:rFonts w:ascii="Book Antiqua" w:hAnsi="Book Antiqua" w:eastAsia="Book Antiqua" w:cs="Book Antiqua"/>
          <w:color w:val="000000"/>
        </w:rPr>
        <w:t xml:space="preserve">; </w:t>
      </w:r>
      <w:r>
        <w:rPr>
          <w:rFonts w:ascii="Book Antiqua" w:hAnsi="Book Antiqua" w:eastAsia="Book Antiqua" w:cs="Book Antiqua"/>
        </w:rPr>
        <w:t>COL1: Type 1 collagen; OCN: Osteocalcin; ARS: Alizarin red staining.</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5242560" cy="2226945"/>
            <wp:effectExtent l="0" t="0" r="0" b="1905"/>
            <wp:docPr id="30341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1360" name="图片 1"/>
                    <pic:cNvPicPr>
                      <a:picLocks noChangeAspect="1"/>
                    </pic:cNvPicPr>
                  </pic:nvPicPr>
                  <pic:blipFill>
                    <a:blip r:embed="rId13"/>
                    <a:stretch>
                      <a:fillRect/>
                    </a:stretch>
                  </pic:blipFill>
                  <pic:spPr>
                    <a:xfrm>
                      <a:off x="0" y="0"/>
                      <a:ext cx="5246604" cy="2229246"/>
                    </a:xfrm>
                    <a:prstGeom prst="rect">
                      <a:avLst/>
                    </a:prstGeom>
                  </pic:spPr>
                </pic:pic>
              </a:graphicData>
            </a:graphic>
          </wp:inline>
        </w:drawing>
      </w:r>
      <w:r>
        <w:rPr>
          <w:rFonts w:ascii="Book Antiqua" w:hAnsi="Book Antiqua"/>
        </w:rPr>
        <w:drawing>
          <wp:inline distT="0" distB="0" distL="0" distR="0">
            <wp:extent cx="5250180" cy="2270760"/>
            <wp:effectExtent l="0" t="0" r="7620" b="0"/>
            <wp:docPr id="1187307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07924" name="图片 1"/>
                    <pic:cNvPicPr>
                      <a:picLocks noChangeAspect="1"/>
                    </pic:cNvPicPr>
                  </pic:nvPicPr>
                  <pic:blipFill>
                    <a:blip r:embed="rId14"/>
                    <a:stretch>
                      <a:fillRect/>
                    </a:stretch>
                  </pic:blipFill>
                  <pic:spPr>
                    <a:xfrm>
                      <a:off x="0" y="0"/>
                      <a:ext cx="5260920" cy="2275798"/>
                    </a:xfrm>
                    <a:prstGeom prst="rect">
                      <a:avLst/>
                    </a:prstGeom>
                  </pic:spPr>
                </pic:pic>
              </a:graphicData>
            </a:graphic>
          </wp:inline>
        </w:drawing>
      </w:r>
      <w:r>
        <w:rPr>
          <w:rFonts w:ascii="Book Antiqua" w:hAnsi="Book Antiqua"/>
        </w:rPr>
        <w:drawing>
          <wp:inline distT="0" distB="0" distL="0" distR="0">
            <wp:extent cx="5273040" cy="1896110"/>
            <wp:effectExtent l="0" t="0" r="3810" b="8890"/>
            <wp:docPr id="801048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48432" name="图片 1"/>
                    <pic:cNvPicPr>
                      <a:picLocks noChangeAspect="1"/>
                    </pic:cNvPicPr>
                  </pic:nvPicPr>
                  <pic:blipFill>
                    <a:blip r:embed="rId15"/>
                    <a:stretch>
                      <a:fillRect/>
                    </a:stretch>
                  </pic:blipFill>
                  <pic:spPr>
                    <a:xfrm>
                      <a:off x="0" y="0"/>
                      <a:ext cx="5282732" cy="1899751"/>
                    </a:xfrm>
                    <a:prstGeom prst="rect">
                      <a:avLst/>
                    </a:prstGeom>
                  </pic:spPr>
                </pic:pic>
              </a:graphicData>
            </a:graphic>
          </wp:inline>
        </w:drawing>
      </w:r>
    </w:p>
    <w:p>
      <w:pPr>
        <w:spacing w:line="360" w:lineRule="auto"/>
        <w:jc w:val="both"/>
        <w:rPr>
          <w:rFonts w:ascii="Book Antiqua" w:hAnsi="Book Antiqua"/>
        </w:rPr>
      </w:pPr>
      <w:r>
        <w:rPr>
          <w:rFonts w:ascii="Book Antiqua" w:hAnsi="Book Antiqua"/>
        </w:rPr>
        <w:drawing>
          <wp:inline distT="0" distB="0" distL="0" distR="0">
            <wp:extent cx="4853305" cy="1501140"/>
            <wp:effectExtent l="0" t="0" r="4445" b="3810"/>
            <wp:docPr id="1237956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56226" name="图片 1"/>
                    <pic:cNvPicPr>
                      <a:picLocks noChangeAspect="1"/>
                    </pic:cNvPicPr>
                  </pic:nvPicPr>
                  <pic:blipFill>
                    <a:blip r:embed="rId16"/>
                    <a:stretch>
                      <a:fillRect/>
                    </a:stretch>
                  </pic:blipFill>
                  <pic:spPr>
                    <a:xfrm>
                      <a:off x="0" y="0"/>
                      <a:ext cx="4872214" cy="1506951"/>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3 Low-intensity pulsed ultrasound promote</w:t>
      </w:r>
      <w:r>
        <w:rPr>
          <w:rFonts w:hint="eastAsia" w:ascii="Book Antiqua" w:hAnsi="Book Antiqua" w:eastAsia="宋体" w:cs="Book Antiqua"/>
          <w:b/>
          <w:bCs/>
          <w:lang w:eastAsia="zh-CN"/>
        </w:rPr>
        <w:t>s</w:t>
      </w:r>
      <w:r>
        <w:rPr>
          <w:rFonts w:ascii="Book Antiqua" w:hAnsi="Book Antiqua" w:eastAsia="Book Antiqua" w:cs="Book Antiqua"/>
          <w:b/>
          <w:bCs/>
        </w:rPr>
        <w:t xml:space="preserve"> the osteogenesis of bone marrow mesenchymal stem cells.</w:t>
      </w:r>
      <w:r>
        <w:rPr>
          <w:rFonts w:ascii="Book Antiqua" w:hAnsi="Book Antiqua" w:eastAsia="Book Antiqua" w:cs="Book Antiqua"/>
        </w:rPr>
        <w:t xml:space="preserve"> A and B: Representative alkaline phosphatase (ALP) staining images and statistical analysis; C and D: Representative alizarin red staining images and quantitative data from the alirazin red assay; E: mRNA expression of ALP, type 1 collagen (COL1), runt-related transcription factor 2</w:t>
      </w:r>
      <w:r>
        <w:rPr>
          <w:rFonts w:hint="eastAsia" w:ascii="Book Antiqua" w:hAnsi="Book Antiqua" w:eastAsia="宋体" w:cs="Book Antiqua"/>
          <w:lang w:eastAsia="zh-CN"/>
        </w:rPr>
        <w:t>,</w:t>
      </w:r>
      <w:r>
        <w:rPr>
          <w:rFonts w:ascii="Book Antiqua" w:hAnsi="Book Antiqua" w:eastAsia="Book Antiqua" w:cs="Book Antiqua"/>
        </w:rPr>
        <w:t xml:space="preserve"> and osteocalcin (OCN) folded to control group by </w:t>
      </w:r>
      <w:r>
        <w:rPr>
          <w:rFonts w:ascii="Book Antiqua" w:hAnsi="Book Antiqua" w:eastAsia="Book Antiqua" w:cs="Book Antiqua"/>
          <w:color w:val="000000"/>
        </w:rPr>
        <w:t>quantitative reverse transcription</w:t>
      </w:r>
      <w:r>
        <w:rPr>
          <w:rFonts w:hint="eastAsia" w:ascii="Book Antiqua" w:hAnsi="Book Antiqua" w:eastAsia="宋体" w:cs="Book Antiqua"/>
          <w:color w:val="000000"/>
          <w:lang w:eastAsia="zh-CN"/>
        </w:rPr>
        <w:t>-</w:t>
      </w:r>
      <w:r>
        <w:rPr>
          <w:rFonts w:ascii="Book Antiqua" w:hAnsi="Book Antiqua" w:eastAsia="Book Antiqua" w:cs="Book Antiqua"/>
          <w:color w:val="000000"/>
        </w:rPr>
        <w:t>polymerase chain reaction</w:t>
      </w:r>
      <w:r>
        <w:rPr>
          <w:rFonts w:ascii="Book Antiqua" w:hAnsi="Book Antiqua" w:eastAsia="Book Antiqua" w:cs="Book Antiqua"/>
        </w:rPr>
        <w:t>; F: COL1, ALP</w:t>
      </w:r>
      <w:r>
        <w:rPr>
          <w:rFonts w:hint="eastAsia" w:ascii="Book Antiqua" w:hAnsi="Book Antiqua" w:eastAsia="宋体" w:cs="Book Antiqua"/>
          <w:lang w:eastAsia="zh-CN"/>
        </w:rPr>
        <w:t>,</w:t>
      </w:r>
      <w:r>
        <w:rPr>
          <w:rFonts w:ascii="Book Antiqua" w:hAnsi="Book Antiqua" w:eastAsia="Book Antiqua" w:cs="Book Antiqua"/>
        </w:rPr>
        <w:t xml:space="preserve"> and OCN protein expression in rat alveolar bone tissues</w:t>
      </w:r>
      <w:r>
        <w:rPr>
          <w:rFonts w:hint="eastAsia" w:ascii="Book Antiqua" w:hAnsi="Book Antiqua" w:eastAsia="宋体" w:cs="Book Antiqua"/>
          <w:lang w:eastAsia="zh-CN"/>
        </w:rPr>
        <w:t xml:space="preserve"> </w:t>
      </w:r>
      <w:r>
        <w:rPr>
          <w:rFonts w:ascii="Book Antiqua" w:hAnsi="Book Antiqua" w:eastAsia="Book Antiqua" w:cs="Book Antiqua"/>
        </w:rPr>
        <w:t xml:space="preserve">analyzed </w:t>
      </w:r>
      <w:r>
        <w:rPr>
          <w:rFonts w:ascii="Book Antiqua" w:hAnsi="Book Antiqua" w:eastAsia="Book Antiqua" w:cs="Book Antiqua"/>
          <w:i/>
          <w:iCs/>
        </w:rPr>
        <w:t>via</w:t>
      </w:r>
      <w:r>
        <w:rPr>
          <w:rFonts w:ascii="Book Antiqua" w:hAnsi="Book Antiqua" w:eastAsia="Book Antiqua" w:cs="Book Antiqua"/>
        </w:rPr>
        <w:t xml:space="preserve"> </w:t>
      </w:r>
      <w:r>
        <w:rPr>
          <w:rFonts w:hint="eastAsia" w:ascii="Book Antiqua" w:hAnsi="Book Antiqua" w:eastAsia="宋体" w:cs="Book Antiqua"/>
          <w:lang w:eastAsia="zh-CN"/>
        </w:rPr>
        <w:t>W</w:t>
      </w:r>
      <w:r>
        <w:rPr>
          <w:rFonts w:ascii="Book Antiqua" w:hAnsi="Book Antiqua" w:eastAsia="Book Antiqua" w:cs="Book Antiqua"/>
        </w:rPr>
        <w:t>estern blotting (left), and the band intensities</w:t>
      </w:r>
      <w:r>
        <w:rPr>
          <w:rFonts w:hint="eastAsia" w:ascii="Book Antiqua" w:hAnsi="Book Antiqua" w:eastAsia="宋体" w:cs="Book Antiqua"/>
          <w:lang w:eastAsia="zh-CN"/>
        </w:rPr>
        <w:t xml:space="preserve"> </w:t>
      </w:r>
      <w:r>
        <w:rPr>
          <w:rFonts w:ascii="Book Antiqua" w:hAnsi="Book Antiqua" w:eastAsia="Book Antiqua" w:cs="Book Antiqua"/>
        </w:rPr>
        <w:t xml:space="preserve">measured </w:t>
      </w:r>
      <w:r>
        <w:rPr>
          <w:rFonts w:ascii="Book Antiqua" w:hAnsi="Book Antiqua" w:eastAsia="Book Antiqua" w:cs="Book Antiqua"/>
          <w:i/>
          <w:iCs/>
        </w:rPr>
        <w:t>via</w:t>
      </w:r>
      <w:r>
        <w:rPr>
          <w:rFonts w:ascii="Book Antiqua" w:hAnsi="Book Antiqua" w:eastAsia="Book Antiqua" w:cs="Book Antiqua"/>
        </w:rPr>
        <w:t xml:space="preserve"> ImageJ software (right).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hint="eastAsia" w:ascii="Book Antiqua" w:hAnsi="Book Antiqua" w:eastAsia="宋体" w:cs="Book Antiqua"/>
          <w:i/>
          <w:iCs/>
          <w:lang w:val="en-US" w:eastAsia="zh-CN"/>
        </w:rPr>
        <w:t xml:space="preserve"> </w:t>
      </w:r>
      <w:bookmarkStart w:id="692" w:name="_GoBack"/>
      <w:bookmarkEnd w:id="692"/>
      <w:r>
        <w:rPr>
          <w:rFonts w:ascii="Book Antiqua" w:hAnsi="Book Antiqua" w:eastAsia="Book Antiqua" w:cs="Book Antiqua"/>
        </w:rPr>
        <w:t>control group. ALP:</w:t>
      </w:r>
      <w:r>
        <w:rPr>
          <w:rFonts w:ascii="Book Antiqua" w:hAnsi="Book Antiqua" w:eastAsia="Book Antiqua" w:cs="Book Antiqua"/>
          <w:color w:val="000000"/>
        </w:rPr>
        <w:t xml:space="preserve"> </w:t>
      </w:r>
      <w:r>
        <w:rPr>
          <w:rFonts w:ascii="Book Antiqua" w:hAnsi="Book Antiqua" w:eastAsia="Book Antiqua" w:cs="Book Antiqua"/>
        </w:rPr>
        <w:t>Alkaline phosphatase</w:t>
      </w:r>
      <w:r>
        <w:rPr>
          <w:rFonts w:ascii="Book Antiqua" w:hAnsi="Book Antiqua" w:eastAsia="Book Antiqua" w:cs="Book Antiqua"/>
          <w:color w:val="000000"/>
        </w:rPr>
        <w:t xml:space="preserve">; RUNX2: </w:t>
      </w:r>
      <w:r>
        <w:rPr>
          <w:rFonts w:ascii="Book Antiqua" w:hAnsi="Book Antiqua" w:eastAsia="Book Antiqua" w:cs="Book Antiqua"/>
        </w:rPr>
        <w:t>Runt-related transcription factor 2</w:t>
      </w:r>
      <w:r>
        <w:rPr>
          <w:rFonts w:ascii="Book Antiqua" w:hAnsi="Book Antiqua" w:eastAsia="Book Antiqua" w:cs="Book Antiqua"/>
          <w:color w:val="000000"/>
        </w:rPr>
        <w:t xml:space="preserve">; </w:t>
      </w:r>
      <w:r>
        <w:rPr>
          <w:rFonts w:ascii="Book Antiqua" w:hAnsi="Book Antiqua" w:eastAsia="Book Antiqua" w:cs="Book Antiqua"/>
        </w:rPr>
        <w:t>COL1: Type 1 collagen; OCN: Osteocalcin; LIPUS: Low-intensity pulsed ultrasound; ARS: Alizarin red staining.</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rPr>
      </w:pPr>
      <w:r>
        <w:rPr>
          <w:rFonts w:ascii="Book Antiqua" w:hAnsi="Book Antiqua"/>
        </w:rPr>
        <w:drawing>
          <wp:inline distT="0" distB="0" distL="0" distR="0">
            <wp:extent cx="5943600" cy="2657475"/>
            <wp:effectExtent l="0" t="0" r="0" b="0"/>
            <wp:docPr id="291974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74304" name="图片 1"/>
                    <pic:cNvPicPr>
                      <a:picLocks noChangeAspect="1"/>
                    </pic:cNvPicPr>
                  </pic:nvPicPr>
                  <pic:blipFill>
                    <a:blip r:embed="rId17"/>
                    <a:stretch>
                      <a:fillRect/>
                    </a:stretch>
                  </pic:blipFill>
                  <pic:spPr>
                    <a:xfrm>
                      <a:off x="0" y="0"/>
                      <a:ext cx="5943600" cy="2657475"/>
                    </a:xfrm>
                    <a:prstGeom prst="rect">
                      <a:avLst/>
                    </a:prstGeom>
                  </pic:spPr>
                </pic:pic>
              </a:graphicData>
            </a:graphic>
          </wp:inline>
        </w:drawing>
      </w:r>
      <w:r>
        <w:rPr>
          <w:rFonts w:ascii="Book Antiqua" w:hAnsi="Book Antiqua"/>
        </w:rPr>
        <w:drawing>
          <wp:inline distT="0" distB="0" distL="0" distR="0">
            <wp:extent cx="5943600" cy="1188720"/>
            <wp:effectExtent l="0" t="0" r="0" b="0"/>
            <wp:docPr id="937389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9292" name="图片 1"/>
                    <pic:cNvPicPr>
                      <a:picLocks noChangeAspect="1"/>
                    </pic:cNvPicPr>
                  </pic:nvPicPr>
                  <pic:blipFill>
                    <a:blip r:embed="rId18"/>
                    <a:stretch>
                      <a:fillRect/>
                    </a:stretch>
                  </pic:blipFill>
                  <pic:spPr>
                    <a:xfrm>
                      <a:off x="0" y="0"/>
                      <a:ext cx="5943600" cy="1188720"/>
                    </a:xfrm>
                    <a:prstGeom prst="rect">
                      <a:avLst/>
                    </a:prstGeom>
                  </pic:spPr>
                </pic:pic>
              </a:graphicData>
            </a:graphic>
          </wp:inline>
        </w:drawing>
      </w:r>
      <w:r>
        <w:rPr>
          <w:rFonts w:ascii="Book Antiqua" w:hAnsi="Book Antiqua"/>
        </w:rPr>
        <w:drawing>
          <wp:inline distT="0" distB="0" distL="0" distR="0">
            <wp:extent cx="5638800" cy="4017645"/>
            <wp:effectExtent l="0" t="0" r="0" b="1905"/>
            <wp:docPr id="1087249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49139" name="图片 1"/>
                    <pic:cNvPicPr>
                      <a:picLocks noChangeAspect="1"/>
                    </pic:cNvPicPr>
                  </pic:nvPicPr>
                  <pic:blipFill>
                    <a:blip r:embed="rId19"/>
                    <a:stretch>
                      <a:fillRect/>
                    </a:stretch>
                  </pic:blipFill>
                  <pic:spPr>
                    <a:xfrm>
                      <a:off x="0" y="0"/>
                      <a:ext cx="5646668" cy="402385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rPr>
        <w:drawing>
          <wp:inline distT="0" distB="0" distL="0" distR="0">
            <wp:extent cx="5943600" cy="3132455"/>
            <wp:effectExtent l="0" t="0" r="0" b="0"/>
            <wp:docPr id="355416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16558" name="图片 1"/>
                    <pic:cNvPicPr>
                      <a:picLocks noChangeAspect="1"/>
                    </pic:cNvPicPr>
                  </pic:nvPicPr>
                  <pic:blipFill>
                    <a:blip r:embed="rId20"/>
                    <a:stretch>
                      <a:fillRect/>
                    </a:stretch>
                  </pic:blipFill>
                  <pic:spPr>
                    <a:xfrm>
                      <a:off x="0" y="0"/>
                      <a:ext cx="5943600" cy="313245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4 Low-intensity pulsed ultrasound accelerate</w:t>
      </w:r>
      <w:r>
        <w:rPr>
          <w:rFonts w:hint="eastAsia" w:ascii="Book Antiqua" w:hAnsi="Book Antiqua" w:eastAsia="宋体" w:cs="Book Antiqua"/>
          <w:b/>
          <w:bCs/>
          <w:lang w:eastAsia="zh-CN"/>
        </w:rPr>
        <w:t>s</w:t>
      </w:r>
      <w:r>
        <w:rPr>
          <w:rFonts w:ascii="Book Antiqua" w:hAnsi="Book Antiqua" w:eastAsia="Book Antiqua" w:cs="Book Antiqua"/>
          <w:b/>
          <w:bCs/>
        </w:rPr>
        <w:t xml:space="preserve"> tooth movement, inhibit</w:t>
      </w:r>
      <w:r>
        <w:rPr>
          <w:rFonts w:hint="eastAsia" w:ascii="Book Antiqua" w:hAnsi="Book Antiqua" w:eastAsia="宋体" w:cs="Book Antiqua"/>
          <w:b/>
          <w:bCs/>
          <w:lang w:eastAsia="zh-CN"/>
        </w:rPr>
        <w:t>s</w:t>
      </w:r>
      <w:r>
        <w:rPr>
          <w:rFonts w:ascii="Book Antiqua" w:hAnsi="Book Antiqua" w:eastAsia="Book Antiqua" w:cs="Book Antiqua"/>
          <w:b/>
          <w:bCs/>
        </w:rPr>
        <w:t xml:space="preserve"> alveolar bone resorption</w:t>
      </w:r>
      <w:r>
        <w:rPr>
          <w:rFonts w:hint="eastAsia" w:ascii="Book Antiqua" w:hAnsi="Book Antiqua" w:eastAsia="宋体" w:cs="Book Antiqua"/>
          <w:b/>
          <w:bCs/>
          <w:lang w:eastAsia="zh-CN"/>
        </w:rPr>
        <w:t>,</w:t>
      </w:r>
      <w:r>
        <w:rPr>
          <w:rFonts w:ascii="Book Antiqua" w:hAnsi="Book Antiqua" w:eastAsia="Book Antiqua" w:cs="Book Antiqua"/>
          <w:b/>
          <w:bCs/>
        </w:rPr>
        <w:t xml:space="preserve"> and promote</w:t>
      </w:r>
      <w:r>
        <w:rPr>
          <w:rFonts w:hint="eastAsia" w:ascii="Book Antiqua" w:hAnsi="Book Antiqua" w:eastAsia="宋体" w:cs="Book Antiqua"/>
          <w:b/>
          <w:bCs/>
          <w:lang w:eastAsia="zh-CN"/>
        </w:rPr>
        <w:t>s</w:t>
      </w:r>
      <w:r>
        <w:rPr>
          <w:rFonts w:ascii="Book Antiqua" w:hAnsi="Book Antiqua" w:eastAsia="Book Antiqua" w:cs="Book Antiqua"/>
          <w:b/>
          <w:bCs/>
        </w:rPr>
        <w:t xml:space="preserve"> bone formation.</w:t>
      </w:r>
      <w:r>
        <w:rPr>
          <w:rFonts w:ascii="Book Antiqua" w:hAnsi="Book Antiqua" w:eastAsia="Book Antiqua" w:cs="Book Antiqua"/>
        </w:rPr>
        <w:t xml:space="preserve"> A: Schematic diagram of the animal experiment procedure. The orthodontic tooth movement model was established on day 0. From day 1 to the end point, the force + low-intensity pulsed ultrasound (LIPUS) group was stimulated with LIPUS for 20 min every day until the samples were harvested on days 7 and 14; B: Schematic representation of LIPUS stimulating the maxillary first molar at the corresponding position on the buccal side; C-F: Representative images (C)</w:t>
      </w:r>
      <w:r>
        <w:rPr>
          <w:rFonts w:hint="eastAsia" w:ascii="Book Antiqua" w:hAnsi="Book Antiqua" w:eastAsia="宋体" w:cs="Book Antiqua"/>
          <w:lang w:eastAsia="zh-CN"/>
        </w:rPr>
        <w:t xml:space="preserve"> </w:t>
      </w:r>
      <w:r>
        <w:rPr>
          <w:rFonts w:ascii="Book Antiqua" w:hAnsi="Book Antiqua" w:eastAsia="Book Antiqua" w:cs="Book Antiqua"/>
        </w:rPr>
        <w:t xml:space="preserve">and 3D reconstructed model images (E). Tooth movement distances (D) and distances from the alveolar crest to the </w:t>
      </w:r>
      <w:r>
        <w:rPr>
          <w:rFonts w:ascii="Book Antiqua" w:hAnsi="Book Antiqua" w:eastAsia="Book Antiqua" w:cs="Book Antiqua"/>
          <w:color w:val="000000"/>
        </w:rPr>
        <w:t>cementum-enamel boundary</w:t>
      </w:r>
      <w:r>
        <w:rPr>
          <w:rFonts w:ascii="Book Antiqua" w:hAnsi="Book Antiqua" w:eastAsia="Book Antiqua" w:cs="Book Antiqua"/>
        </w:rPr>
        <w:t xml:space="preserve"> (F) were measured </w:t>
      </w:r>
      <w:r>
        <w:rPr>
          <w:rFonts w:hint="eastAsia" w:ascii="Book Antiqua" w:hAnsi="Book Antiqua" w:eastAsia="宋体" w:cs="Book Antiqua"/>
          <w:lang w:eastAsia="zh-CN"/>
        </w:rPr>
        <w:t>with</w:t>
      </w:r>
      <w:r>
        <w:rPr>
          <w:rFonts w:ascii="Book Antiqua" w:hAnsi="Book Antiqua" w:eastAsia="Book Antiqua" w:cs="Book Antiqua"/>
        </w:rPr>
        <w:t xml:space="preserve"> Mimics software; G-I: Representative region of interest (ROI) region selection diagrams and statistical analysis of the BV/TV, Tb.Th, Tb.N, Tb.Sp</w:t>
      </w:r>
      <w:r>
        <w:rPr>
          <w:rFonts w:hint="eastAsia" w:ascii="Book Antiqua" w:hAnsi="Book Antiqua" w:eastAsia="宋体" w:cs="Book Antiqua"/>
          <w:lang w:eastAsia="zh-CN"/>
        </w:rPr>
        <w:t>,</w:t>
      </w:r>
      <w:r>
        <w:rPr>
          <w:rFonts w:ascii="Book Antiqua" w:hAnsi="Book Antiqua" w:eastAsia="Book Antiqua" w:cs="Book Antiqua"/>
        </w:rPr>
        <w:t xml:space="preserve"> and BS/BV values of the ROI.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ascii="Book Antiqua" w:hAnsi="Book Antiqua" w:eastAsia="Book Antiqua" w:cs="Book Antiqua"/>
        </w:rPr>
        <w:t xml:space="preserve"> control group. CT: Computed tomography; LIPUS: Low-intensity pulsed ultrasound.</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5943600" cy="1421130"/>
            <wp:effectExtent l="0" t="0" r="0" b="0"/>
            <wp:docPr id="934360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60170" name="图片 1"/>
                    <pic:cNvPicPr>
                      <a:picLocks noChangeAspect="1"/>
                    </pic:cNvPicPr>
                  </pic:nvPicPr>
                  <pic:blipFill>
                    <a:blip r:embed="rId21"/>
                    <a:stretch>
                      <a:fillRect/>
                    </a:stretch>
                  </pic:blipFill>
                  <pic:spPr>
                    <a:xfrm>
                      <a:off x="0" y="0"/>
                      <a:ext cx="5943600" cy="1421130"/>
                    </a:xfrm>
                    <a:prstGeom prst="rect">
                      <a:avLst/>
                    </a:prstGeom>
                  </pic:spPr>
                </pic:pic>
              </a:graphicData>
            </a:graphic>
          </wp:inline>
        </w:drawing>
      </w:r>
      <w:r>
        <w:rPr>
          <w:rFonts w:ascii="Book Antiqua" w:hAnsi="Book Antiqua"/>
        </w:rPr>
        <w:drawing>
          <wp:inline distT="0" distB="0" distL="0" distR="0">
            <wp:extent cx="5943600" cy="3041015"/>
            <wp:effectExtent l="0" t="0" r="0" b="0"/>
            <wp:docPr id="121578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8692" name="图片 1"/>
                    <pic:cNvPicPr>
                      <a:picLocks noChangeAspect="1"/>
                    </pic:cNvPicPr>
                  </pic:nvPicPr>
                  <pic:blipFill>
                    <a:blip r:embed="rId22"/>
                    <a:stretch>
                      <a:fillRect/>
                    </a:stretch>
                  </pic:blipFill>
                  <pic:spPr>
                    <a:xfrm>
                      <a:off x="0" y="0"/>
                      <a:ext cx="5943600" cy="3041015"/>
                    </a:xfrm>
                    <a:prstGeom prst="rect">
                      <a:avLst/>
                    </a:prstGeom>
                  </pic:spPr>
                </pic:pic>
              </a:graphicData>
            </a:graphic>
          </wp:inline>
        </w:drawing>
      </w:r>
      <w:r>
        <w:rPr>
          <w:rFonts w:ascii="Book Antiqua" w:hAnsi="Book Antiqua"/>
        </w:rPr>
        <w:drawing>
          <wp:inline distT="0" distB="0" distL="0" distR="0">
            <wp:extent cx="5943600" cy="1589405"/>
            <wp:effectExtent l="0" t="0" r="0" b="0"/>
            <wp:docPr id="6441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337" name="图片 1"/>
                    <pic:cNvPicPr>
                      <a:picLocks noChangeAspect="1"/>
                    </pic:cNvPicPr>
                  </pic:nvPicPr>
                  <pic:blipFill>
                    <a:blip r:embed="rId23"/>
                    <a:stretch>
                      <a:fillRect/>
                    </a:stretch>
                  </pic:blipFill>
                  <pic:spPr>
                    <a:xfrm>
                      <a:off x="0" y="0"/>
                      <a:ext cx="5943600" cy="158940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5 Low-intensity pulsed ultrasound promote</w:t>
      </w:r>
      <w:r>
        <w:rPr>
          <w:rFonts w:hint="eastAsia" w:ascii="Book Antiqua" w:hAnsi="Book Antiqua" w:eastAsia="宋体" w:cs="Book Antiqua"/>
          <w:b/>
          <w:bCs/>
          <w:lang w:eastAsia="zh-CN"/>
        </w:rPr>
        <w:t>s</w:t>
      </w:r>
      <w:r>
        <w:rPr>
          <w:rFonts w:ascii="Book Antiqua" w:hAnsi="Book Antiqua" w:eastAsia="Book Antiqua" w:cs="Book Antiqua"/>
          <w:b/>
          <w:bCs/>
        </w:rPr>
        <w:t xml:space="preserve"> bone formation.</w:t>
      </w:r>
      <w:r>
        <w:rPr>
          <w:rFonts w:ascii="Book Antiqua" w:hAnsi="Book Antiqua" w:eastAsia="Book Antiqua" w:cs="Book Antiqua"/>
        </w:rPr>
        <w:t xml:space="preserve"> A: Representative images of hematoxylin and eosin staining; B: Representative images of immunohistochemical staining for type 1 collagen and osteocalcin and </w:t>
      </w:r>
      <w:r>
        <w:rPr>
          <w:rFonts w:ascii="Book Antiqua" w:hAnsi="Book Antiqua" w:eastAsia="Book Antiqua" w:cs="Book Antiqua"/>
          <w:color w:val="000000"/>
        </w:rPr>
        <w:t>tartrate-resistant acid phosphatase</w:t>
      </w:r>
      <w:r>
        <w:rPr>
          <w:rFonts w:ascii="Book Antiqua" w:hAnsi="Book Antiqua" w:eastAsia="Book Antiqua" w:cs="Book Antiqua"/>
        </w:rPr>
        <w:t xml:space="preserve"> staining (TRAP); C-E: Statistical analyses of the immunohistochemical staining and TRAP staining results.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color w:val="000000"/>
        </w:rPr>
        <w:t xml:space="preserve">HE: </w:t>
      </w:r>
      <w:r>
        <w:rPr>
          <w:rFonts w:ascii="Book Antiqua" w:hAnsi="Book Antiqua" w:eastAsia="Book Antiqua" w:cs="Book Antiqua"/>
        </w:rPr>
        <w:t>Hematoxylin and eosin</w:t>
      </w:r>
      <w:r>
        <w:rPr>
          <w:rFonts w:ascii="Book Antiqua" w:hAnsi="Book Antiqua" w:eastAsia="Book Antiqua" w:cs="Book Antiqua"/>
          <w:color w:val="000000"/>
        </w:rPr>
        <w:t xml:space="preserve">; TRAP: Tartrate-resistant acid phosphatase; </w:t>
      </w:r>
      <w:r>
        <w:rPr>
          <w:rFonts w:ascii="Book Antiqua" w:hAnsi="Book Antiqua" w:eastAsia="Book Antiqua" w:cs="Book Antiqua"/>
        </w:rPr>
        <w:t>COL1: Type 1 collagen; OCN: Osteocalcin;</w:t>
      </w:r>
      <w:r>
        <w:rPr>
          <w:rFonts w:ascii="Book Antiqua" w:hAnsi="Book Antiqua" w:eastAsia="Book Antiqua" w:cs="Book Antiqua"/>
          <w:color w:val="000000"/>
        </w:rPr>
        <w:t xml:space="preserve"> </w:t>
      </w:r>
      <w:r>
        <w:rPr>
          <w:rFonts w:ascii="Book Antiqua" w:hAnsi="Book Antiqua" w:eastAsia="Book Antiqua" w:cs="Book Antiqua"/>
        </w:rPr>
        <w:t>LIPUS: Low-intensity pulsed ultrasound.</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rPr>
      </w:pPr>
      <w:r>
        <w:rPr>
          <w:rFonts w:ascii="Book Antiqua" w:hAnsi="Book Antiqua"/>
        </w:rPr>
        <w:drawing>
          <wp:inline distT="0" distB="0" distL="0" distR="0">
            <wp:extent cx="5219700" cy="2727960"/>
            <wp:effectExtent l="0" t="0" r="0" b="0"/>
            <wp:docPr id="1487948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48946" name="图片 1"/>
                    <pic:cNvPicPr>
                      <a:picLocks noChangeAspect="1"/>
                    </pic:cNvPicPr>
                  </pic:nvPicPr>
                  <pic:blipFill>
                    <a:blip r:embed="rId24"/>
                    <a:stretch>
                      <a:fillRect/>
                    </a:stretch>
                  </pic:blipFill>
                  <pic:spPr>
                    <a:xfrm>
                      <a:off x="0" y="0"/>
                      <a:ext cx="5229588" cy="2733242"/>
                    </a:xfrm>
                    <a:prstGeom prst="rect">
                      <a:avLst/>
                    </a:prstGeom>
                  </pic:spPr>
                </pic:pic>
              </a:graphicData>
            </a:graphic>
          </wp:inline>
        </w:drawing>
      </w:r>
      <w:r>
        <w:rPr>
          <w:rFonts w:ascii="Book Antiqua" w:hAnsi="Book Antiqua"/>
        </w:rPr>
        <w:drawing>
          <wp:inline distT="0" distB="0" distL="0" distR="0">
            <wp:extent cx="5715000" cy="3021965"/>
            <wp:effectExtent l="0" t="0" r="0" b="0"/>
            <wp:docPr id="112357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7373" name="图片 1"/>
                    <pic:cNvPicPr>
                      <a:picLocks noChangeAspect="1"/>
                    </pic:cNvPicPr>
                  </pic:nvPicPr>
                  <pic:blipFill>
                    <a:blip r:embed="rId25"/>
                    <a:stretch>
                      <a:fillRect/>
                    </a:stretch>
                  </pic:blipFill>
                  <pic:spPr>
                    <a:xfrm>
                      <a:off x="0" y="0"/>
                      <a:ext cx="5720184" cy="3025097"/>
                    </a:xfrm>
                    <a:prstGeom prst="rect">
                      <a:avLst/>
                    </a:prstGeom>
                  </pic:spPr>
                </pic:pic>
              </a:graphicData>
            </a:graphic>
          </wp:inline>
        </w:drawing>
      </w:r>
      <w:r>
        <w:rPr>
          <w:rFonts w:ascii="Book Antiqua" w:hAnsi="Book Antiqua"/>
        </w:rPr>
        <w:drawing>
          <wp:inline distT="0" distB="0" distL="0" distR="0">
            <wp:extent cx="5721350" cy="2065020"/>
            <wp:effectExtent l="0" t="0" r="0" b="0"/>
            <wp:docPr id="1768430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30570" name="图片 1"/>
                    <pic:cNvPicPr>
                      <a:picLocks noChangeAspect="1"/>
                    </pic:cNvPicPr>
                  </pic:nvPicPr>
                  <pic:blipFill>
                    <a:blip r:embed="rId26"/>
                    <a:stretch>
                      <a:fillRect/>
                    </a:stretch>
                  </pic:blipFill>
                  <pic:spPr>
                    <a:xfrm>
                      <a:off x="0" y="0"/>
                      <a:ext cx="5747234" cy="2074162"/>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6 Low-intensity pulsed ultrasound reverse</w:t>
      </w:r>
      <w:r>
        <w:rPr>
          <w:rFonts w:hint="eastAsia" w:ascii="Book Antiqua" w:hAnsi="Book Antiqua" w:eastAsia="宋体" w:cs="Book Antiqua"/>
          <w:b/>
          <w:bCs/>
          <w:lang w:eastAsia="zh-CN"/>
        </w:rPr>
        <w:t>s</w:t>
      </w:r>
      <w:r>
        <w:rPr>
          <w:rFonts w:ascii="Book Antiqua" w:hAnsi="Book Antiqua" w:eastAsia="Book Antiqua" w:cs="Book Antiqua"/>
          <w:b/>
          <w:bCs/>
        </w:rPr>
        <w:t xml:space="preserve"> the stress-induced decrease in LaminA/C, F-actin</w:t>
      </w:r>
      <w:r>
        <w:rPr>
          <w:rFonts w:hint="eastAsia" w:ascii="Book Antiqua" w:hAnsi="Book Antiqua" w:eastAsia="宋体" w:cs="Book Antiqua"/>
          <w:b/>
          <w:bCs/>
          <w:lang w:eastAsia="zh-CN"/>
        </w:rPr>
        <w:t>,</w:t>
      </w:r>
      <w:r>
        <w:rPr>
          <w:rFonts w:ascii="Book Antiqua" w:hAnsi="Book Antiqua" w:eastAsia="Book Antiqua" w:cs="Book Antiqua"/>
          <w:b/>
          <w:bCs/>
        </w:rPr>
        <w:t xml:space="preserve"> and </w:t>
      </w:r>
      <w:r>
        <w:rPr>
          <w:rFonts w:hint="eastAsia" w:ascii="Book Antiqua" w:hAnsi="Book Antiqua" w:eastAsia="宋体" w:cs="Book Antiqua"/>
          <w:b/>
          <w:bCs/>
          <w:lang w:eastAsia="zh-CN"/>
        </w:rPr>
        <w:t>Y</w:t>
      </w:r>
      <w:r>
        <w:rPr>
          <w:rFonts w:ascii="Book Antiqua" w:hAnsi="Book Antiqua" w:eastAsia="Book Antiqua" w:cs="Book Antiqua"/>
          <w:b/>
          <w:bCs/>
        </w:rPr>
        <w:t>es-associated protein expression.</w:t>
      </w:r>
      <w:r>
        <w:rPr>
          <w:rFonts w:ascii="Book Antiqua" w:hAnsi="Book Antiqua" w:eastAsia="Book Antiqua" w:cs="Book Antiqua"/>
        </w:rPr>
        <w:t xml:space="preserve"> A: Representative immunofluorescence images of F-actin (red), LaminA/C (green)</w:t>
      </w:r>
      <w:r>
        <w:rPr>
          <w:rFonts w:hint="eastAsia" w:ascii="Book Antiqua" w:hAnsi="Book Antiqua" w:eastAsia="宋体" w:cs="Book Antiqua"/>
          <w:lang w:eastAsia="zh-CN"/>
        </w:rPr>
        <w:t>,</w:t>
      </w:r>
      <w:r>
        <w:rPr>
          <w:rFonts w:ascii="Book Antiqua" w:hAnsi="Book Antiqua" w:eastAsia="Book Antiqua" w:cs="Book Antiqua"/>
        </w:rPr>
        <w:t xml:space="preserve"> and D</w:t>
      </w:r>
      <w:r>
        <w:rPr>
          <w:rFonts w:hint="eastAsia" w:ascii="Book Antiqua" w:hAnsi="Book Antiqua" w:eastAsia="宋体" w:cs="Book Antiqua"/>
          <w:lang w:eastAsia="zh-CN"/>
        </w:rPr>
        <w:t>API</w:t>
      </w:r>
      <w:r>
        <w:rPr>
          <w:rFonts w:ascii="Book Antiqua" w:hAnsi="Book Antiqua" w:eastAsia="Book Antiqua" w:cs="Book Antiqua"/>
        </w:rPr>
        <w:t xml:space="preserve"> (blue) staining (left) and statistical analyses (middle)</w:t>
      </w:r>
      <w:r>
        <w:rPr>
          <w:rFonts w:hint="eastAsia" w:ascii="Book Antiqua" w:hAnsi="Book Antiqua" w:eastAsia="宋体" w:cs="Book Antiqua"/>
          <w:lang w:eastAsia="zh-CN"/>
        </w:rPr>
        <w:t>, as well as</w:t>
      </w:r>
      <w:r>
        <w:rPr>
          <w:rFonts w:ascii="Book Antiqua" w:hAnsi="Book Antiqua" w:eastAsia="Book Antiqua" w:cs="Book Antiqua"/>
        </w:rPr>
        <w:t xml:space="preserve"> representative 3D merged images constructed with Imaris software (right); B: Representative immunofluorescence images of </w:t>
      </w:r>
      <w:r>
        <w:rPr>
          <w:rFonts w:hint="eastAsia" w:ascii="Book Antiqua" w:hAnsi="Book Antiqua" w:eastAsia="宋体" w:cs="Book Antiqua"/>
          <w:lang w:eastAsia="zh-CN"/>
        </w:rPr>
        <w:t>Y</w:t>
      </w:r>
      <w:r>
        <w:rPr>
          <w:rFonts w:ascii="Book Antiqua" w:hAnsi="Book Antiqua" w:eastAsia="Book Antiqua" w:cs="Book Antiqua"/>
        </w:rPr>
        <w:t>es-associated protein (YAP1) (red) and D</w:t>
      </w:r>
      <w:r>
        <w:rPr>
          <w:rFonts w:hint="eastAsia" w:ascii="Book Antiqua" w:hAnsi="Book Antiqua" w:eastAsia="宋体" w:cs="Book Antiqua"/>
          <w:lang w:eastAsia="zh-CN"/>
        </w:rPr>
        <w:t>API</w:t>
      </w:r>
      <w:r>
        <w:rPr>
          <w:rFonts w:ascii="Book Antiqua" w:hAnsi="Book Antiqua" w:eastAsia="Book Antiqua" w:cs="Book Antiqua"/>
        </w:rPr>
        <w:t xml:space="preserve"> (blue) staining (left) and statistical analyses (right); C: YAP1 protein expression</w:t>
      </w:r>
      <w:r>
        <w:rPr>
          <w:rFonts w:hint="eastAsia" w:ascii="Book Antiqua" w:hAnsi="Book Antiqua" w:eastAsia="宋体" w:cs="Book Antiqua"/>
          <w:lang w:eastAsia="zh-CN"/>
        </w:rPr>
        <w:t xml:space="preserve"> </w:t>
      </w:r>
      <w:r>
        <w:rPr>
          <w:rFonts w:ascii="Book Antiqua" w:hAnsi="Book Antiqua" w:eastAsia="Book Antiqua" w:cs="Book Antiqua"/>
        </w:rPr>
        <w:t xml:space="preserve">analyzed by </w:t>
      </w:r>
      <w:r>
        <w:rPr>
          <w:rFonts w:hint="eastAsia" w:ascii="Book Antiqua" w:hAnsi="Book Antiqua" w:eastAsia="宋体" w:cs="Book Antiqua"/>
          <w:lang w:eastAsia="zh-CN"/>
        </w:rPr>
        <w:t>W</w:t>
      </w:r>
      <w:r>
        <w:rPr>
          <w:rFonts w:ascii="Book Antiqua" w:hAnsi="Book Antiqua" w:eastAsia="Book Antiqua" w:cs="Book Antiqua"/>
        </w:rPr>
        <w:t>estern blotting; D: Representative images of immunohistochemical staining for YAP1 (left) and statistical analysis (right).</w:t>
      </w:r>
      <w:r>
        <w:rPr>
          <w:rFonts w:ascii="Book Antiqua" w:hAnsi="Book Antiqua" w:eastAsia="Book Antiqua" w:cs="Book Antiqua"/>
          <w:vertAlign w:val="superscript"/>
        </w:rPr>
        <w:t xml:space="preserve"> 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hint="eastAsia" w:ascii="Book Antiqua" w:hAnsi="Book Antiqua" w:eastAsia="宋体" w:cs="Book Antiqua"/>
          <w:lang w:eastAsia="zh-CN"/>
        </w:rPr>
        <w:t xml:space="preserve"> </w:t>
      </w:r>
      <w:r>
        <w:rPr>
          <w:rFonts w:ascii="Book Antiqua" w:hAnsi="Book Antiqua" w:eastAsia="Book Antiqua" w:cs="Book Antiqua"/>
        </w:rPr>
        <w:t xml:space="preserve">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hint="eastAsia" w:ascii="Book Antiqua" w:hAnsi="Book Antiqua" w:eastAsia="宋体" w:cs="Book Antiqua"/>
          <w:lang w:eastAsia="zh-CN"/>
        </w:rPr>
        <w:t xml:space="preserve"> </w:t>
      </w:r>
      <w:r>
        <w:rPr>
          <w:rFonts w:ascii="Book Antiqua" w:hAnsi="Book Antiqua" w:eastAsia="Book Antiqua" w:cs="Book Antiqua"/>
        </w:rPr>
        <w:t>control group. LIPUS: Low-intensity pulsed ultrasound; YAP1: Yes-associated protein.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4457700" cy="2962275"/>
            <wp:effectExtent l="0" t="0" r="0" b="9525"/>
            <wp:docPr id="1958863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3978" name="图片 1"/>
                    <pic:cNvPicPr>
                      <a:picLocks noChangeAspect="1"/>
                    </pic:cNvPicPr>
                  </pic:nvPicPr>
                  <pic:blipFill>
                    <a:blip r:embed="rId27"/>
                    <a:stretch>
                      <a:fillRect/>
                    </a:stretch>
                  </pic:blipFill>
                  <pic:spPr>
                    <a:xfrm>
                      <a:off x="0" y="0"/>
                      <a:ext cx="4468943" cy="2969746"/>
                    </a:xfrm>
                    <a:prstGeom prst="rect">
                      <a:avLst/>
                    </a:prstGeom>
                  </pic:spPr>
                </pic:pic>
              </a:graphicData>
            </a:graphic>
          </wp:inline>
        </w:drawing>
      </w:r>
      <w:r>
        <w:rPr>
          <w:rFonts w:ascii="Book Antiqua" w:hAnsi="Book Antiqua"/>
        </w:rPr>
        <w:drawing>
          <wp:inline distT="0" distB="0" distL="0" distR="0">
            <wp:extent cx="5501640" cy="1985010"/>
            <wp:effectExtent l="0" t="0" r="0" b="0"/>
            <wp:docPr id="48317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084" name="图片 1"/>
                    <pic:cNvPicPr>
                      <a:picLocks noChangeAspect="1"/>
                    </pic:cNvPicPr>
                  </pic:nvPicPr>
                  <pic:blipFill>
                    <a:blip r:embed="rId28"/>
                    <a:stretch>
                      <a:fillRect/>
                    </a:stretch>
                  </pic:blipFill>
                  <pic:spPr>
                    <a:xfrm>
                      <a:off x="0" y="0"/>
                      <a:ext cx="5527039" cy="1994693"/>
                    </a:xfrm>
                    <a:prstGeom prst="rect">
                      <a:avLst/>
                    </a:prstGeom>
                  </pic:spPr>
                </pic:pic>
              </a:graphicData>
            </a:graphic>
          </wp:inline>
        </w:drawing>
      </w:r>
      <w:r>
        <w:rPr>
          <w:rFonts w:ascii="Book Antiqua" w:hAnsi="Book Antiqua"/>
        </w:rPr>
        <w:drawing>
          <wp:inline distT="0" distB="0" distL="0" distR="0">
            <wp:extent cx="5676900" cy="2479675"/>
            <wp:effectExtent l="0" t="0" r="0" b="0"/>
            <wp:docPr id="1981118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8453" name="图片 1"/>
                    <pic:cNvPicPr>
                      <a:picLocks noChangeAspect="1"/>
                    </pic:cNvPicPr>
                  </pic:nvPicPr>
                  <pic:blipFill>
                    <a:blip r:embed="rId29"/>
                    <a:stretch>
                      <a:fillRect/>
                    </a:stretch>
                  </pic:blipFill>
                  <pic:spPr>
                    <a:xfrm>
                      <a:off x="0" y="0"/>
                      <a:ext cx="5683860" cy="2483045"/>
                    </a:xfrm>
                    <a:prstGeom prst="rect">
                      <a:avLst/>
                    </a:prstGeom>
                  </pic:spPr>
                </pic:pic>
              </a:graphicData>
            </a:graphic>
          </wp:inline>
        </w:drawing>
      </w:r>
    </w:p>
    <w:p>
      <w:pPr>
        <w:spacing w:line="360" w:lineRule="auto"/>
        <w:jc w:val="both"/>
        <w:rPr>
          <w:rFonts w:ascii="Book Antiqua" w:hAnsi="Book Antiqua"/>
        </w:rPr>
      </w:pPr>
      <w:r>
        <w:rPr>
          <w:rFonts w:ascii="Book Antiqua" w:hAnsi="Book Antiqua"/>
        </w:rPr>
        <w:drawing>
          <wp:inline distT="0" distB="0" distL="0" distR="0">
            <wp:extent cx="5943600" cy="2869565"/>
            <wp:effectExtent l="0" t="0" r="0" b="0"/>
            <wp:docPr id="1587933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33385" name="图片 1"/>
                    <pic:cNvPicPr>
                      <a:picLocks noChangeAspect="1"/>
                    </pic:cNvPicPr>
                  </pic:nvPicPr>
                  <pic:blipFill>
                    <a:blip r:embed="rId30"/>
                    <a:stretch>
                      <a:fillRect/>
                    </a:stretch>
                  </pic:blipFill>
                  <pic:spPr>
                    <a:xfrm>
                      <a:off x="0" y="0"/>
                      <a:ext cx="5943600" cy="286956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7 siYAP1 block</w:t>
      </w:r>
      <w:r>
        <w:rPr>
          <w:rFonts w:hint="eastAsia" w:ascii="Book Antiqua" w:hAnsi="Book Antiqua" w:eastAsia="宋体" w:cs="Book Antiqua"/>
          <w:b/>
          <w:bCs/>
          <w:lang w:eastAsia="zh-CN"/>
        </w:rPr>
        <w:t>s</w:t>
      </w:r>
      <w:r>
        <w:rPr>
          <w:rFonts w:ascii="Book Antiqua" w:hAnsi="Book Antiqua" w:eastAsia="Book Antiqua" w:cs="Book Antiqua"/>
          <w:b/>
          <w:bCs/>
        </w:rPr>
        <w:t xml:space="preserve"> the effect of low-intensity pulsed ultrasound-induced osteogenic differentiation of bone marrow mesenchymal stem cells.</w:t>
      </w:r>
      <w:r>
        <w:rPr>
          <w:rFonts w:ascii="Book Antiqua" w:hAnsi="Book Antiqua" w:eastAsia="Book Antiqua" w:cs="Book Antiqua"/>
        </w:rPr>
        <w:t xml:space="preserve"> A: Representative immunofluorescence images of </w:t>
      </w:r>
      <w:r>
        <w:rPr>
          <w:rFonts w:hint="eastAsia" w:ascii="Book Antiqua" w:hAnsi="Book Antiqua" w:eastAsia="宋体" w:cs="Book Antiqua"/>
          <w:lang w:eastAsia="zh-CN"/>
        </w:rPr>
        <w:t>Y</w:t>
      </w:r>
      <w:r>
        <w:rPr>
          <w:rFonts w:ascii="Book Antiqua" w:hAnsi="Book Antiqua" w:eastAsia="Book Antiqua" w:cs="Book Antiqua"/>
        </w:rPr>
        <w:t>es-associated protein (YAP1) (red) and D</w:t>
      </w:r>
      <w:r>
        <w:rPr>
          <w:rFonts w:hint="eastAsia" w:ascii="Book Antiqua" w:hAnsi="Book Antiqua" w:eastAsia="宋体" w:cs="Book Antiqua"/>
          <w:lang w:eastAsia="zh-CN"/>
        </w:rPr>
        <w:t>API</w:t>
      </w:r>
      <w:r>
        <w:rPr>
          <w:rFonts w:ascii="Book Antiqua" w:hAnsi="Book Antiqua" w:eastAsia="Book Antiqua" w:cs="Book Antiqua"/>
        </w:rPr>
        <w:t xml:space="preserve"> (blue) staining (left) and statistical analyses (right); B: Western blotting results for type 1 collagen, YAP1, runt-related transcription factor 2 (RUNX2)</w:t>
      </w:r>
      <w:r>
        <w:rPr>
          <w:rFonts w:hint="eastAsia" w:ascii="Book Antiqua" w:hAnsi="Book Antiqua" w:eastAsia="宋体" w:cs="Book Antiqua"/>
          <w:lang w:eastAsia="zh-CN"/>
        </w:rPr>
        <w:t>,</w:t>
      </w:r>
      <w:r>
        <w:rPr>
          <w:rFonts w:ascii="Book Antiqua" w:hAnsi="Book Antiqua" w:eastAsia="Book Antiqua" w:cs="Book Antiqua"/>
        </w:rPr>
        <w:t xml:space="preserve"> and alkaline phosphatase (ALP); C: mRNA expression of ALP, RUNX2</w:t>
      </w:r>
      <w:r>
        <w:rPr>
          <w:rFonts w:hint="eastAsia" w:ascii="Book Antiqua" w:hAnsi="Book Antiqua" w:eastAsia="宋体" w:cs="Book Antiqua"/>
          <w:lang w:eastAsia="zh-CN"/>
        </w:rPr>
        <w:t>,</w:t>
      </w:r>
      <w:r>
        <w:rPr>
          <w:rFonts w:ascii="Book Antiqua" w:hAnsi="Book Antiqua" w:eastAsia="Book Antiqua" w:cs="Book Antiqua"/>
        </w:rPr>
        <w:t xml:space="preserve"> and YAP1 in the force group by </w:t>
      </w:r>
      <w:r>
        <w:rPr>
          <w:rFonts w:ascii="Book Antiqua" w:hAnsi="Book Antiqua" w:eastAsia="Book Antiqua" w:cs="Book Antiqua"/>
          <w:color w:val="000000"/>
        </w:rPr>
        <w:t>quantitative reverse transcription</w:t>
      </w:r>
      <w:r>
        <w:rPr>
          <w:rFonts w:hint="eastAsia" w:ascii="Book Antiqua" w:hAnsi="Book Antiqua" w:eastAsia="宋体" w:cs="Book Antiqua"/>
          <w:color w:val="000000"/>
          <w:lang w:eastAsia="zh-CN"/>
        </w:rPr>
        <w:t>-</w:t>
      </w:r>
      <w:r>
        <w:rPr>
          <w:rFonts w:ascii="Book Antiqua" w:hAnsi="Book Antiqua" w:eastAsia="Book Antiqua" w:cs="Book Antiqua"/>
          <w:color w:val="000000"/>
        </w:rPr>
        <w:t>polymerase chain reaction</w:t>
      </w:r>
      <w:r>
        <w:rPr>
          <w:rFonts w:ascii="Book Antiqua" w:hAnsi="Book Antiqua" w:eastAsia="Book Antiqua" w:cs="Book Antiqua"/>
        </w:rPr>
        <w:t xml:space="preserve">; D and E: Representative ALP and </w:t>
      </w:r>
      <w:r>
        <w:rPr>
          <w:rFonts w:hint="eastAsia" w:ascii="Book Antiqua" w:hAnsi="Book Antiqua" w:eastAsia="宋体" w:cs="Book Antiqua"/>
          <w:lang w:eastAsia="zh-CN"/>
        </w:rPr>
        <w:t>a</w:t>
      </w:r>
      <w:r>
        <w:rPr>
          <w:rFonts w:ascii="Book Antiqua" w:hAnsi="Book Antiqua" w:eastAsia="Book Antiqua" w:cs="Book Antiqua"/>
        </w:rPr>
        <w:t>lizarin red staining staining images and statistical analysis.</w:t>
      </w:r>
      <w:r>
        <w:rPr>
          <w:rFonts w:ascii="Book Antiqua" w:hAnsi="Book Antiqua" w:eastAsia="Book Antiqua" w:cs="Book Antiqua"/>
          <w:vertAlign w:val="superscript"/>
        </w:rPr>
        <w:t xml:space="preserve"> 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i/>
          <w:iCs/>
        </w:rPr>
        <w:t>vs</w:t>
      </w:r>
      <w:r>
        <w:rPr>
          <w:rFonts w:ascii="Book Antiqua" w:hAnsi="Book Antiqua" w:eastAsia="Book Antiqua" w:cs="Book Antiqua"/>
        </w:rPr>
        <w:t xml:space="preserve"> control group,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 </w:t>
      </w:r>
      <w:r>
        <w:rPr>
          <w:rFonts w:ascii="Book Antiqua" w:hAnsi="Book Antiqua" w:eastAsia="Book Antiqua" w:cs="Book Antiqua"/>
          <w:i/>
          <w:iCs/>
        </w:rPr>
        <w:t>vs</w:t>
      </w:r>
      <w:r>
        <w:rPr>
          <w:rFonts w:ascii="Book Antiqua" w:hAnsi="Book Antiqua" w:eastAsia="Book Antiqua" w:cs="Book Antiqua"/>
        </w:rPr>
        <w:t xml:space="preserve"> control group. ALP: Alkaline phosphatase; COL1: Type 1 collagen; LIPUS: Low-intensity pulsed ultrasound; RUNX2: Runt-related transcription factor 2; YAP1: Yes-associated protein; ARS: Alizarin red staining.</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5943600" cy="3545840"/>
            <wp:effectExtent l="0" t="0" r="0" b="0"/>
            <wp:docPr id="1449134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4279" name="图片 1"/>
                    <pic:cNvPicPr>
                      <a:picLocks noChangeAspect="1"/>
                    </pic:cNvPicPr>
                  </pic:nvPicPr>
                  <pic:blipFill>
                    <a:blip r:embed="rId31"/>
                    <a:stretch>
                      <a:fillRect/>
                    </a:stretch>
                  </pic:blipFill>
                  <pic:spPr>
                    <a:xfrm>
                      <a:off x="0" y="0"/>
                      <a:ext cx="5943600" cy="354584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8 Putative mechanism</w:t>
      </w:r>
      <w:r>
        <w:rPr>
          <w:rFonts w:hint="eastAsia" w:ascii="Book Antiqua" w:hAnsi="Book Antiqua" w:eastAsia="宋体" w:cs="Book Antiqua"/>
          <w:b/>
          <w:bCs/>
          <w:lang w:eastAsia="zh-CN"/>
        </w:rPr>
        <w:t xml:space="preserve"> </w:t>
      </w:r>
      <w:r>
        <w:rPr>
          <w:rFonts w:ascii="Book Antiqua" w:hAnsi="Book Antiqua" w:eastAsia="Book Antiqua" w:cs="Book Antiqua"/>
          <w:b/>
          <w:bCs/>
        </w:rPr>
        <w:t>of the effect of low-intensity pulsed ultrasound on alveolar bone during orthodontic treatment</w:t>
      </w:r>
      <w:r>
        <w:rPr>
          <w:rFonts w:ascii="Book Antiqua" w:hAnsi="Book Antiqua" w:eastAsia="宋体" w:cs="Book Antiqua"/>
          <w:b/>
          <w:bCs/>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L</w:t>
      </w:r>
      <w:r>
        <w:rPr>
          <w:rFonts w:ascii="Book Antiqua" w:hAnsi="Book Antiqua" w:eastAsia="Book Antiqua" w:cs="Book Antiqua"/>
        </w:rPr>
        <w:t xml:space="preserve">ow-intensity pulsed ultrasound has little effect on osteoclast differentiation but may rescue osteogenic gene expression suppressed by static force and promote osteoblastic differentiation by reordering the cytoskeleton, upregulating the expression of F-actin and Lamin A/C, and increasing the nuclear translocation of </w:t>
      </w:r>
      <w:r>
        <w:rPr>
          <w:rFonts w:hint="eastAsia" w:ascii="Book Antiqua" w:hAnsi="Book Antiqua" w:eastAsia="宋体" w:cs="Book Antiqua"/>
          <w:lang w:eastAsia="zh-CN"/>
        </w:rPr>
        <w:t>Y</w:t>
      </w:r>
      <w:r>
        <w:rPr>
          <w:rFonts w:ascii="Book Antiqua" w:hAnsi="Book Antiqua" w:eastAsia="Book Antiqua" w:cs="Book Antiqua"/>
        </w:rPr>
        <w:t>es-associated protein 1, thereby contributing to alveolar bone homeostasis and morphology while accelerating tooth movement during orthodontic treatment. COL1: Type 1 collagen; LIPUS: Low-intensity pulsed ultrasound; RUNX2: Runt-related transcription factor 2; BMSC: Bone marrow mesenchymal stem cell; YAP1: Yes-associated protein.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r>
        <w:rPr>
          <w:rFonts w:ascii="Book Antiqua" w:hAnsi="Book Antiqua" w:eastAsia="Book Antiqua" w:cs="Book Antiqua"/>
          <w:b/>
          <w:bCs/>
        </w:rPr>
        <w:t>Table 1 Primer sequences for quantitative reverse transcription</w:t>
      </w:r>
      <w:r>
        <w:rPr>
          <w:rFonts w:hint="eastAsia" w:ascii="Book Antiqua" w:hAnsi="Book Antiqua" w:eastAsia="宋体" w:cs="Book Antiqua"/>
          <w:b/>
          <w:bCs/>
          <w:lang w:eastAsia="zh-CN"/>
        </w:rPr>
        <w:t>-</w:t>
      </w:r>
      <w:r>
        <w:rPr>
          <w:rFonts w:ascii="Book Antiqua" w:hAnsi="Book Antiqua" w:eastAsia="Book Antiqua" w:cs="Book Antiqua"/>
          <w:b/>
          <w:bCs/>
        </w:rPr>
        <w:t>polymerase chain reaction</w:t>
      </w:r>
    </w:p>
    <w:tbl>
      <w:tblPr>
        <w:tblStyle w:val="6"/>
        <w:tblW w:w="9464" w:type="dxa"/>
        <w:tblInd w:w="0" w:type="dxa"/>
        <w:tblLayout w:type="autofit"/>
        <w:tblCellMar>
          <w:top w:w="0" w:type="dxa"/>
          <w:left w:w="108" w:type="dxa"/>
          <w:bottom w:w="0" w:type="dxa"/>
          <w:right w:w="108" w:type="dxa"/>
        </w:tblCellMar>
      </w:tblPr>
      <w:tblGrid>
        <w:gridCol w:w="1384"/>
        <w:gridCol w:w="2693"/>
        <w:gridCol w:w="5387"/>
      </w:tblGrid>
      <w:tr>
        <w:tblPrEx>
          <w:tblCellMar>
            <w:top w:w="0" w:type="dxa"/>
            <w:left w:w="108" w:type="dxa"/>
            <w:bottom w:w="0" w:type="dxa"/>
            <w:right w:w="108" w:type="dxa"/>
          </w:tblCellMar>
        </w:tblPrEx>
        <w:trPr>
          <w:trHeight w:val="308" w:hRule="atLeast"/>
        </w:trPr>
        <w:tc>
          <w:tcPr>
            <w:tcW w:w="1384" w:type="dxa"/>
            <w:tcBorders>
              <w:top w:val="single" w:color="auto" w:sz="4" w:space="0"/>
              <w:bottom w:val="single" w:color="auto" w:sz="4" w:space="0"/>
            </w:tcBorders>
            <w:noWrap/>
          </w:tcPr>
          <w:p>
            <w:pPr>
              <w:spacing w:line="360" w:lineRule="auto"/>
              <w:jc w:val="both"/>
              <w:rPr>
                <w:rFonts w:ascii="Book Antiqua" w:hAnsi="Book Antiqua" w:eastAsia="等线"/>
                <w:b/>
                <w:bCs/>
                <w:color w:val="000000"/>
              </w:rPr>
            </w:pPr>
            <w:r>
              <w:rPr>
                <w:rFonts w:ascii="Book Antiqua" w:hAnsi="Book Antiqua" w:eastAsia="等线"/>
                <w:b/>
                <w:bCs/>
                <w:color w:val="000000"/>
              </w:rPr>
              <w:t>Gene</w:t>
            </w:r>
          </w:p>
        </w:tc>
        <w:tc>
          <w:tcPr>
            <w:tcW w:w="8080" w:type="dxa"/>
            <w:gridSpan w:val="2"/>
            <w:tcBorders>
              <w:top w:val="single" w:color="auto" w:sz="4" w:space="0"/>
              <w:bottom w:val="single" w:color="auto" w:sz="4" w:space="0"/>
            </w:tcBorders>
            <w:noWrap/>
          </w:tcPr>
          <w:p>
            <w:pPr>
              <w:spacing w:line="360" w:lineRule="auto"/>
              <w:jc w:val="both"/>
              <w:rPr>
                <w:rFonts w:ascii="Book Antiqua" w:hAnsi="Book Antiqua" w:eastAsia="等线"/>
                <w:b/>
                <w:bCs/>
                <w:color w:val="000000"/>
              </w:rPr>
            </w:pPr>
            <w:r>
              <w:rPr>
                <w:rFonts w:ascii="Book Antiqua" w:hAnsi="Book Antiqua" w:eastAsia="等线"/>
                <w:b/>
                <w:bCs/>
                <w:color w:val="000000"/>
              </w:rPr>
              <w:t>Primer sequence</w:t>
            </w:r>
          </w:p>
        </w:tc>
      </w:tr>
      <w:tr>
        <w:tblPrEx>
          <w:tblCellMar>
            <w:top w:w="0" w:type="dxa"/>
            <w:left w:w="108" w:type="dxa"/>
            <w:bottom w:w="0" w:type="dxa"/>
            <w:right w:w="108" w:type="dxa"/>
          </w:tblCellMar>
        </w:tblPrEx>
        <w:trPr>
          <w:trHeight w:val="308" w:hRule="atLeast"/>
        </w:trPr>
        <w:tc>
          <w:tcPr>
            <w:tcW w:w="1384" w:type="dxa"/>
            <w:vMerge w:val="restart"/>
            <w:tcBorders>
              <w:top w:val="single" w:color="auto" w:sz="4" w:space="0"/>
            </w:tcBorders>
            <w:noWrap/>
          </w:tcPr>
          <w:p>
            <w:pPr>
              <w:spacing w:line="360" w:lineRule="auto"/>
              <w:jc w:val="both"/>
              <w:rPr>
                <w:rFonts w:ascii="Book Antiqua" w:hAnsi="Book Antiqua" w:eastAsia="等线"/>
                <w:color w:val="000000"/>
              </w:rPr>
            </w:pPr>
            <w:r>
              <w:rPr>
                <w:rFonts w:ascii="Book Antiqua" w:hAnsi="Book Antiqua" w:eastAsia="等线"/>
                <w:color w:val="000000"/>
              </w:rPr>
              <w:t>GAPDH</w:t>
            </w:r>
          </w:p>
        </w:tc>
        <w:tc>
          <w:tcPr>
            <w:tcW w:w="2693" w:type="dxa"/>
            <w:tcBorders>
              <w:top w:val="single" w:color="auto" w:sz="4" w:space="0"/>
            </w:tcBorders>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tcBorders>
              <w:top w:val="single" w:color="auto" w:sz="4" w:space="0"/>
            </w:tcBorders>
            <w:noWrap/>
          </w:tcPr>
          <w:p>
            <w:pPr>
              <w:spacing w:line="360" w:lineRule="auto"/>
              <w:jc w:val="both"/>
              <w:rPr>
                <w:rFonts w:ascii="Book Antiqua" w:hAnsi="Book Antiqua" w:eastAsia="等线"/>
              </w:rPr>
            </w:pPr>
            <w:r>
              <w:rPr>
                <w:rFonts w:ascii="Book Antiqua" w:hAnsi="Book Antiqua" w:eastAsia="等线"/>
              </w:rPr>
              <w:t>TCATTGACCTCAACTACATG</w:t>
            </w:r>
          </w:p>
        </w:tc>
      </w:tr>
      <w:tr>
        <w:tblPrEx>
          <w:tblCellMar>
            <w:top w:w="0" w:type="dxa"/>
            <w:left w:w="108" w:type="dxa"/>
            <w:bottom w:w="0" w:type="dxa"/>
            <w:right w:w="108" w:type="dxa"/>
          </w:tblCellMar>
        </w:tblPrEx>
        <w:trPr>
          <w:trHeight w:val="308" w:hRule="atLeast"/>
        </w:trPr>
        <w:tc>
          <w:tcPr>
            <w:tcW w:w="1384" w:type="dxa"/>
            <w:vMerge w:val="continue"/>
            <w:noWrap/>
          </w:tcPr>
          <w:p>
            <w:pPr>
              <w:spacing w:line="360" w:lineRule="auto"/>
              <w:jc w:val="both"/>
              <w:rPr>
                <w:rFonts w:ascii="Book Antiqua" w:hAnsi="Book Antiqua" w:eastAsia="等线"/>
              </w:rPr>
            </w:pP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noWrap/>
          </w:tcPr>
          <w:p>
            <w:pPr>
              <w:spacing w:line="360" w:lineRule="auto"/>
              <w:jc w:val="both"/>
              <w:rPr>
                <w:rFonts w:ascii="Book Antiqua" w:hAnsi="Book Antiqua" w:eastAsia="等线"/>
              </w:rPr>
            </w:pPr>
            <w:r>
              <w:rPr>
                <w:rFonts w:ascii="Book Antiqua" w:hAnsi="Book Antiqua" w:eastAsia="等线"/>
              </w:rPr>
              <w:t>TCGCTCCTGGAAGATGGTGAT</w:t>
            </w:r>
          </w:p>
        </w:tc>
      </w:tr>
      <w:tr>
        <w:tblPrEx>
          <w:tblCellMar>
            <w:top w:w="0" w:type="dxa"/>
            <w:left w:w="108" w:type="dxa"/>
            <w:bottom w:w="0" w:type="dxa"/>
            <w:right w:w="108" w:type="dxa"/>
          </w:tblCellMar>
        </w:tblPrEx>
        <w:trPr>
          <w:trHeight w:val="308" w:hRule="atLeast"/>
        </w:trPr>
        <w:tc>
          <w:tcPr>
            <w:tcW w:w="1384" w:type="dxa"/>
            <w:vMerge w:val="restart"/>
            <w:noWrap/>
          </w:tcPr>
          <w:p>
            <w:pPr>
              <w:spacing w:line="360" w:lineRule="auto"/>
              <w:jc w:val="both"/>
              <w:rPr>
                <w:rFonts w:ascii="Book Antiqua" w:hAnsi="Book Antiqua" w:eastAsia="等线"/>
                <w:color w:val="000000"/>
              </w:rPr>
            </w:pPr>
            <w:r>
              <w:rPr>
                <w:rFonts w:ascii="Book Antiqua" w:hAnsi="Book Antiqua" w:eastAsia="等线"/>
                <w:color w:val="000000"/>
              </w:rPr>
              <w:t>RUNX2</w:t>
            </w: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noWrap/>
          </w:tcPr>
          <w:p>
            <w:pPr>
              <w:spacing w:line="360" w:lineRule="auto"/>
              <w:jc w:val="both"/>
              <w:rPr>
                <w:rFonts w:ascii="Book Antiqua" w:hAnsi="Book Antiqua" w:eastAsia="等线"/>
              </w:rPr>
            </w:pPr>
            <w:r>
              <w:rPr>
                <w:rFonts w:ascii="Book Antiqua" w:hAnsi="Book Antiqua" w:eastAsia="等线"/>
              </w:rPr>
              <w:t>TGGTTACTGTCATGGCGGGTA</w:t>
            </w:r>
          </w:p>
        </w:tc>
      </w:tr>
      <w:tr>
        <w:tblPrEx>
          <w:tblCellMar>
            <w:top w:w="0" w:type="dxa"/>
            <w:left w:w="108" w:type="dxa"/>
            <w:bottom w:w="0" w:type="dxa"/>
            <w:right w:w="108" w:type="dxa"/>
          </w:tblCellMar>
        </w:tblPrEx>
        <w:trPr>
          <w:trHeight w:val="308" w:hRule="atLeast"/>
        </w:trPr>
        <w:tc>
          <w:tcPr>
            <w:tcW w:w="1384" w:type="dxa"/>
            <w:vMerge w:val="continue"/>
            <w:noWrap/>
          </w:tcPr>
          <w:p>
            <w:pPr>
              <w:spacing w:line="360" w:lineRule="auto"/>
              <w:jc w:val="both"/>
              <w:rPr>
                <w:rFonts w:ascii="Book Antiqua" w:hAnsi="Book Antiqua" w:eastAsia="等线"/>
              </w:rPr>
            </w:pP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noWrap/>
          </w:tcPr>
          <w:p>
            <w:pPr>
              <w:spacing w:line="360" w:lineRule="auto"/>
              <w:jc w:val="both"/>
              <w:rPr>
                <w:rFonts w:ascii="Book Antiqua" w:hAnsi="Book Antiqua" w:eastAsia="等线"/>
              </w:rPr>
            </w:pPr>
            <w:r>
              <w:rPr>
                <w:rFonts w:ascii="Book Antiqua" w:hAnsi="Book Antiqua" w:eastAsia="等线"/>
              </w:rPr>
              <w:t>TCTCAGATCGTTGAACCTTGCTA</w:t>
            </w:r>
          </w:p>
        </w:tc>
      </w:tr>
      <w:tr>
        <w:tblPrEx>
          <w:tblCellMar>
            <w:top w:w="0" w:type="dxa"/>
            <w:left w:w="108" w:type="dxa"/>
            <w:bottom w:w="0" w:type="dxa"/>
            <w:right w:w="108" w:type="dxa"/>
          </w:tblCellMar>
        </w:tblPrEx>
        <w:trPr>
          <w:trHeight w:val="308" w:hRule="atLeast"/>
        </w:trPr>
        <w:tc>
          <w:tcPr>
            <w:tcW w:w="1384" w:type="dxa"/>
            <w:vMerge w:val="restart"/>
            <w:noWrap/>
          </w:tcPr>
          <w:p>
            <w:pPr>
              <w:spacing w:line="360" w:lineRule="auto"/>
              <w:jc w:val="both"/>
              <w:rPr>
                <w:rFonts w:ascii="Book Antiqua" w:hAnsi="Book Antiqua" w:eastAsia="等线"/>
                <w:color w:val="000000"/>
              </w:rPr>
            </w:pPr>
            <w:r>
              <w:rPr>
                <w:rFonts w:ascii="Book Antiqua" w:hAnsi="Book Antiqua" w:eastAsia="等线"/>
                <w:color w:val="000000"/>
              </w:rPr>
              <w:t>ALP</w:t>
            </w: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noWrap/>
          </w:tcPr>
          <w:p>
            <w:pPr>
              <w:spacing w:line="360" w:lineRule="auto"/>
              <w:jc w:val="both"/>
              <w:rPr>
                <w:rFonts w:ascii="Book Antiqua" w:hAnsi="Book Antiqua" w:eastAsia="等线"/>
              </w:rPr>
            </w:pPr>
            <w:r>
              <w:rPr>
                <w:rFonts w:ascii="Book Antiqua" w:hAnsi="Book Antiqua" w:eastAsia="等线"/>
              </w:rPr>
              <w:t>ACTGGTACTCAGACAACGAGAT</w:t>
            </w:r>
          </w:p>
        </w:tc>
      </w:tr>
      <w:tr>
        <w:tblPrEx>
          <w:tblCellMar>
            <w:top w:w="0" w:type="dxa"/>
            <w:left w:w="108" w:type="dxa"/>
            <w:bottom w:w="0" w:type="dxa"/>
            <w:right w:w="108" w:type="dxa"/>
          </w:tblCellMar>
        </w:tblPrEx>
        <w:trPr>
          <w:trHeight w:val="308" w:hRule="atLeast"/>
        </w:trPr>
        <w:tc>
          <w:tcPr>
            <w:tcW w:w="1384" w:type="dxa"/>
            <w:vMerge w:val="continue"/>
            <w:noWrap/>
          </w:tcPr>
          <w:p>
            <w:pPr>
              <w:spacing w:line="360" w:lineRule="auto"/>
              <w:jc w:val="both"/>
              <w:rPr>
                <w:rFonts w:ascii="Book Antiqua" w:hAnsi="Book Antiqua" w:eastAsia="等线"/>
              </w:rPr>
            </w:pP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noWrap/>
          </w:tcPr>
          <w:p>
            <w:pPr>
              <w:spacing w:line="360" w:lineRule="auto"/>
              <w:jc w:val="both"/>
              <w:rPr>
                <w:rFonts w:ascii="Book Antiqua" w:hAnsi="Book Antiqua" w:eastAsia="等线"/>
              </w:rPr>
            </w:pPr>
            <w:r>
              <w:rPr>
                <w:rFonts w:ascii="Book Antiqua" w:hAnsi="Book Antiqua" w:eastAsia="等线"/>
              </w:rPr>
              <w:t>ACGTCAATGTCCCTGATGTTATG</w:t>
            </w:r>
          </w:p>
        </w:tc>
      </w:tr>
      <w:tr>
        <w:tblPrEx>
          <w:tblCellMar>
            <w:top w:w="0" w:type="dxa"/>
            <w:left w:w="108" w:type="dxa"/>
            <w:bottom w:w="0" w:type="dxa"/>
            <w:right w:w="108" w:type="dxa"/>
          </w:tblCellMar>
        </w:tblPrEx>
        <w:trPr>
          <w:trHeight w:val="308" w:hRule="atLeast"/>
        </w:trPr>
        <w:tc>
          <w:tcPr>
            <w:tcW w:w="1384" w:type="dxa"/>
            <w:vMerge w:val="restart"/>
            <w:noWrap/>
          </w:tcPr>
          <w:p>
            <w:pPr>
              <w:spacing w:line="360" w:lineRule="auto"/>
              <w:jc w:val="both"/>
              <w:rPr>
                <w:rFonts w:ascii="Book Antiqua" w:hAnsi="Book Antiqua" w:eastAsia="等线"/>
                <w:color w:val="000000"/>
              </w:rPr>
            </w:pPr>
            <w:r>
              <w:rPr>
                <w:rFonts w:ascii="Book Antiqua" w:hAnsi="Book Antiqua" w:eastAsia="等线"/>
                <w:color w:val="000000"/>
              </w:rPr>
              <w:t>COL1a1</w:t>
            </w: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noWrap/>
          </w:tcPr>
          <w:p>
            <w:pPr>
              <w:spacing w:line="360" w:lineRule="auto"/>
              <w:jc w:val="both"/>
              <w:rPr>
                <w:rFonts w:ascii="Book Antiqua" w:hAnsi="Book Antiqua" w:eastAsia="等线"/>
              </w:rPr>
            </w:pPr>
            <w:r>
              <w:rPr>
                <w:rFonts w:ascii="Book Antiqua" w:hAnsi="Book Antiqua" w:eastAsia="等线"/>
              </w:rPr>
              <w:t>GTGCGATGACGTGATCTGTGA</w:t>
            </w:r>
          </w:p>
        </w:tc>
      </w:tr>
      <w:tr>
        <w:tblPrEx>
          <w:tblCellMar>
            <w:top w:w="0" w:type="dxa"/>
            <w:left w:w="108" w:type="dxa"/>
            <w:bottom w:w="0" w:type="dxa"/>
            <w:right w:w="108" w:type="dxa"/>
          </w:tblCellMar>
        </w:tblPrEx>
        <w:trPr>
          <w:trHeight w:val="308" w:hRule="atLeast"/>
        </w:trPr>
        <w:tc>
          <w:tcPr>
            <w:tcW w:w="1384" w:type="dxa"/>
            <w:vMerge w:val="continue"/>
            <w:noWrap/>
          </w:tcPr>
          <w:p>
            <w:pPr>
              <w:spacing w:line="360" w:lineRule="auto"/>
              <w:jc w:val="both"/>
              <w:rPr>
                <w:rFonts w:ascii="Book Antiqua" w:hAnsi="Book Antiqua" w:eastAsia="等线"/>
              </w:rPr>
            </w:pP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noWrap/>
          </w:tcPr>
          <w:p>
            <w:pPr>
              <w:spacing w:line="360" w:lineRule="auto"/>
              <w:jc w:val="both"/>
              <w:rPr>
                <w:rFonts w:ascii="Book Antiqua" w:hAnsi="Book Antiqua" w:eastAsia="等线"/>
              </w:rPr>
            </w:pPr>
            <w:r>
              <w:rPr>
                <w:rFonts w:ascii="Book Antiqua" w:hAnsi="Book Antiqua" w:eastAsia="等线"/>
              </w:rPr>
              <w:t>CGGTGGTTTCTTGGTCGGT</w:t>
            </w:r>
          </w:p>
        </w:tc>
      </w:tr>
      <w:tr>
        <w:tblPrEx>
          <w:tblCellMar>
            <w:top w:w="0" w:type="dxa"/>
            <w:left w:w="108" w:type="dxa"/>
            <w:bottom w:w="0" w:type="dxa"/>
            <w:right w:w="108" w:type="dxa"/>
          </w:tblCellMar>
        </w:tblPrEx>
        <w:trPr>
          <w:trHeight w:val="308" w:hRule="atLeast"/>
        </w:trPr>
        <w:tc>
          <w:tcPr>
            <w:tcW w:w="1384" w:type="dxa"/>
            <w:vMerge w:val="restart"/>
            <w:noWrap/>
          </w:tcPr>
          <w:p>
            <w:pPr>
              <w:spacing w:line="360" w:lineRule="auto"/>
              <w:jc w:val="both"/>
              <w:rPr>
                <w:rFonts w:ascii="Book Antiqua" w:hAnsi="Book Antiqua" w:eastAsia="等线"/>
                <w:color w:val="000000"/>
              </w:rPr>
            </w:pPr>
            <w:r>
              <w:rPr>
                <w:rFonts w:ascii="Book Antiqua" w:hAnsi="Book Antiqua" w:eastAsia="等线"/>
                <w:color w:val="000000"/>
              </w:rPr>
              <w:t>OCN</w:t>
            </w: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noWrap/>
          </w:tcPr>
          <w:p>
            <w:pPr>
              <w:spacing w:line="360" w:lineRule="auto"/>
              <w:jc w:val="both"/>
              <w:rPr>
                <w:rFonts w:ascii="Book Antiqua" w:hAnsi="Book Antiqua" w:eastAsia="等线"/>
              </w:rPr>
            </w:pPr>
            <w:r>
              <w:rPr>
                <w:rFonts w:ascii="Book Antiqua" w:hAnsi="Book Antiqua" w:eastAsia="等线"/>
              </w:rPr>
              <w:t>CACTCCTCGCCCTATTGGC</w:t>
            </w:r>
          </w:p>
        </w:tc>
      </w:tr>
      <w:tr>
        <w:tblPrEx>
          <w:tblCellMar>
            <w:top w:w="0" w:type="dxa"/>
            <w:left w:w="108" w:type="dxa"/>
            <w:bottom w:w="0" w:type="dxa"/>
            <w:right w:w="108" w:type="dxa"/>
          </w:tblCellMar>
        </w:tblPrEx>
        <w:trPr>
          <w:trHeight w:val="308" w:hRule="atLeast"/>
        </w:trPr>
        <w:tc>
          <w:tcPr>
            <w:tcW w:w="1384" w:type="dxa"/>
            <w:vMerge w:val="continue"/>
            <w:noWrap/>
          </w:tcPr>
          <w:p>
            <w:pPr>
              <w:spacing w:line="360" w:lineRule="auto"/>
              <w:jc w:val="both"/>
              <w:rPr>
                <w:rFonts w:ascii="Book Antiqua" w:hAnsi="Book Antiqua" w:eastAsia="等线"/>
              </w:rPr>
            </w:pP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noWrap/>
          </w:tcPr>
          <w:p>
            <w:pPr>
              <w:spacing w:line="360" w:lineRule="auto"/>
              <w:jc w:val="both"/>
              <w:rPr>
                <w:rFonts w:ascii="Book Antiqua" w:hAnsi="Book Antiqua" w:eastAsia="等线"/>
              </w:rPr>
            </w:pPr>
            <w:r>
              <w:rPr>
                <w:rFonts w:ascii="Book Antiqua" w:hAnsi="Book Antiqua" w:eastAsia="等线"/>
              </w:rPr>
              <w:t>CAGCAGAGCGACACCCTAGAC</w:t>
            </w:r>
          </w:p>
        </w:tc>
      </w:tr>
      <w:tr>
        <w:tblPrEx>
          <w:tblCellMar>
            <w:top w:w="0" w:type="dxa"/>
            <w:left w:w="108" w:type="dxa"/>
            <w:bottom w:w="0" w:type="dxa"/>
            <w:right w:w="108" w:type="dxa"/>
          </w:tblCellMar>
        </w:tblPrEx>
        <w:trPr>
          <w:trHeight w:val="308" w:hRule="atLeast"/>
        </w:trPr>
        <w:tc>
          <w:tcPr>
            <w:tcW w:w="1384" w:type="dxa"/>
            <w:vMerge w:val="restart"/>
            <w:noWrap/>
          </w:tcPr>
          <w:p>
            <w:pPr>
              <w:spacing w:line="360" w:lineRule="auto"/>
              <w:jc w:val="both"/>
              <w:rPr>
                <w:rFonts w:ascii="Book Antiqua" w:hAnsi="Book Antiqua" w:eastAsia="等线"/>
                <w:color w:val="000000"/>
              </w:rPr>
            </w:pPr>
            <w:r>
              <w:rPr>
                <w:rFonts w:ascii="Book Antiqua" w:hAnsi="Book Antiqua" w:eastAsia="等线"/>
                <w:color w:val="000000"/>
              </w:rPr>
              <w:t>YAP1</w:t>
            </w:r>
          </w:p>
        </w:tc>
        <w:tc>
          <w:tcPr>
            <w:tcW w:w="2693" w:type="dxa"/>
            <w:noWrap/>
          </w:tcPr>
          <w:p>
            <w:pPr>
              <w:spacing w:line="360" w:lineRule="auto"/>
              <w:jc w:val="both"/>
              <w:rPr>
                <w:rFonts w:ascii="Book Antiqua" w:hAnsi="Book Antiqua" w:eastAsia="等线"/>
                <w:color w:val="000000"/>
              </w:rPr>
            </w:pPr>
            <w:r>
              <w:rPr>
                <w:rFonts w:ascii="Book Antiqua" w:hAnsi="Book Antiqua" w:eastAsia="等线"/>
                <w:color w:val="000000"/>
              </w:rPr>
              <w:t>Forward</w:t>
            </w:r>
          </w:p>
        </w:tc>
        <w:tc>
          <w:tcPr>
            <w:tcW w:w="5387" w:type="dxa"/>
            <w:noWrap/>
          </w:tcPr>
          <w:p>
            <w:pPr>
              <w:spacing w:line="360" w:lineRule="auto"/>
              <w:jc w:val="both"/>
              <w:rPr>
                <w:rFonts w:ascii="Book Antiqua" w:hAnsi="Book Antiqua" w:eastAsia="等线"/>
                <w:color w:val="000000"/>
              </w:rPr>
            </w:pPr>
            <w:r>
              <w:rPr>
                <w:rFonts w:ascii="Book Antiqua" w:hAnsi="Book Antiqua" w:eastAsia="等线"/>
                <w:color w:val="000000"/>
              </w:rPr>
              <w:t>AGAATCAGTCAGAGTGCTCCAGTG</w:t>
            </w:r>
          </w:p>
        </w:tc>
      </w:tr>
      <w:tr>
        <w:tblPrEx>
          <w:tblCellMar>
            <w:top w:w="0" w:type="dxa"/>
            <w:left w:w="108" w:type="dxa"/>
            <w:bottom w:w="0" w:type="dxa"/>
            <w:right w:w="108" w:type="dxa"/>
          </w:tblCellMar>
        </w:tblPrEx>
        <w:trPr>
          <w:trHeight w:val="308" w:hRule="atLeast"/>
        </w:trPr>
        <w:tc>
          <w:tcPr>
            <w:tcW w:w="1384" w:type="dxa"/>
            <w:vMerge w:val="continue"/>
            <w:tcBorders>
              <w:bottom w:val="single" w:color="auto" w:sz="4" w:space="0"/>
            </w:tcBorders>
            <w:noWrap/>
          </w:tcPr>
          <w:p>
            <w:pPr>
              <w:spacing w:line="360" w:lineRule="auto"/>
              <w:jc w:val="both"/>
              <w:rPr>
                <w:rFonts w:ascii="Book Antiqua" w:hAnsi="Book Antiqua" w:eastAsia="等线"/>
                <w:color w:val="000000"/>
              </w:rPr>
            </w:pPr>
          </w:p>
        </w:tc>
        <w:tc>
          <w:tcPr>
            <w:tcW w:w="2693" w:type="dxa"/>
            <w:tcBorders>
              <w:bottom w:val="single" w:color="auto" w:sz="4" w:space="0"/>
            </w:tcBorders>
            <w:noWrap/>
          </w:tcPr>
          <w:p>
            <w:pPr>
              <w:spacing w:line="360" w:lineRule="auto"/>
              <w:jc w:val="both"/>
              <w:rPr>
                <w:rFonts w:ascii="Book Antiqua" w:hAnsi="Book Antiqua" w:eastAsia="等线"/>
                <w:color w:val="000000"/>
              </w:rPr>
            </w:pPr>
            <w:r>
              <w:rPr>
                <w:rFonts w:ascii="Book Antiqua" w:hAnsi="Book Antiqua" w:eastAsia="等线"/>
                <w:color w:val="000000"/>
              </w:rPr>
              <w:t>Reverse</w:t>
            </w:r>
          </w:p>
        </w:tc>
        <w:tc>
          <w:tcPr>
            <w:tcW w:w="5387" w:type="dxa"/>
            <w:tcBorders>
              <w:bottom w:val="single" w:color="auto" w:sz="4" w:space="0"/>
            </w:tcBorders>
            <w:noWrap/>
          </w:tcPr>
          <w:p>
            <w:pPr>
              <w:spacing w:line="360" w:lineRule="auto"/>
              <w:jc w:val="both"/>
              <w:rPr>
                <w:rFonts w:ascii="Book Antiqua" w:hAnsi="Book Antiqua" w:eastAsia="等线"/>
                <w:color w:val="000000"/>
              </w:rPr>
            </w:pPr>
            <w:r>
              <w:rPr>
                <w:rFonts w:ascii="Book Antiqua" w:hAnsi="Book Antiqua" w:eastAsia="等线"/>
                <w:color w:val="000000"/>
              </w:rPr>
              <w:t>CGCAGCCTCTCCTTCTCCATC</w:t>
            </w:r>
          </w:p>
        </w:tc>
      </w:tr>
    </w:tbl>
    <w:p>
      <w:pPr>
        <w:spacing w:line="360" w:lineRule="auto"/>
        <w:jc w:val="both"/>
        <w:rPr>
          <w:rFonts w:ascii="Book Antiqua" w:hAnsi="Book Antiqua" w:eastAsia="Book Antiqua" w:cs="Book Antiqua"/>
        </w:rPr>
      </w:pPr>
      <w:r>
        <w:rPr>
          <w:rFonts w:ascii="Book Antiqua" w:hAnsi="Book Antiqua" w:eastAsia="Book Antiqua" w:cs="Book Antiqua"/>
        </w:rPr>
        <w:t>ALP:</w:t>
      </w:r>
      <w:r>
        <w:rPr>
          <w:rFonts w:ascii="Book Antiqua" w:hAnsi="Book Antiqua" w:eastAsia="Book Antiqua" w:cs="Book Antiqua"/>
          <w:color w:val="000000"/>
        </w:rPr>
        <w:t xml:space="preserve"> </w:t>
      </w:r>
      <w:r>
        <w:rPr>
          <w:rFonts w:ascii="Book Antiqua" w:hAnsi="Book Antiqua" w:eastAsia="Book Antiqua" w:cs="Book Antiqua"/>
        </w:rPr>
        <w:t>Alkaline phosphatase</w:t>
      </w:r>
      <w:r>
        <w:rPr>
          <w:rFonts w:ascii="Book Antiqua" w:hAnsi="Book Antiqua" w:eastAsia="Book Antiqua" w:cs="Book Antiqua"/>
          <w:color w:val="000000"/>
        </w:rPr>
        <w:t xml:space="preserve">; RUNX2: </w:t>
      </w:r>
      <w:r>
        <w:rPr>
          <w:rFonts w:ascii="Book Antiqua" w:hAnsi="Book Antiqua" w:eastAsia="Book Antiqua" w:cs="Book Antiqua"/>
        </w:rPr>
        <w:t>Runt-related transcription factor 2</w:t>
      </w:r>
      <w:r>
        <w:rPr>
          <w:rFonts w:ascii="Book Antiqua" w:hAnsi="Book Antiqua" w:eastAsia="Book Antiqua" w:cs="Book Antiqua"/>
          <w:color w:val="000000"/>
        </w:rPr>
        <w:t xml:space="preserve">; </w:t>
      </w:r>
      <w:r>
        <w:rPr>
          <w:rFonts w:ascii="Book Antiqua" w:hAnsi="Book Antiqua" w:eastAsia="Book Antiqua" w:cs="Book Antiqua"/>
        </w:rPr>
        <w:t xml:space="preserve">COL: Collagen; OCN: Osteocalcin; </w:t>
      </w:r>
      <w:bookmarkStart w:id="691" w:name="_Hlk156842361"/>
      <w:r>
        <w:rPr>
          <w:rFonts w:ascii="Book Antiqua" w:hAnsi="Book Antiqua" w:eastAsia="Book Antiqua" w:cs="Book Antiqua"/>
        </w:rPr>
        <w:t>YAP1: Yes-associated protein</w:t>
      </w:r>
      <w:bookmarkEnd w:id="691"/>
      <w:r>
        <w:rPr>
          <w:rFonts w:ascii="Book Antiqua" w:hAnsi="Book Antiqua" w:eastAsia="Book Antiqua" w:cs="Book Antiqua"/>
        </w:rPr>
        <w:t>.</w:t>
      </w:r>
    </w:p>
    <w:p>
      <w:pPr>
        <w:rPr>
          <w:rFonts w:ascii="Book Antiqua" w:hAnsi="Book Antiqua" w:eastAsia="Book Antiqua" w:cs="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 w:name="Bodoni MT Condensed">
    <w:panose1 w:val="020706060806060202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r0p5dfxt005redrdopzdeawsead9vtrdde&quot;&gt;My EndNote Library&lt;record-ids&gt;&lt;item&gt;1300&lt;/item&gt;&lt;/record-ids&gt;&lt;/item&gt;&lt;/Libraries&gt;"/>
  </w:docVars>
  <w:rsids>
    <w:rsidRoot w:val="00A77B3E"/>
    <w:rsid w:val="000202BC"/>
    <w:rsid w:val="00041482"/>
    <w:rsid w:val="0005425B"/>
    <w:rsid w:val="000A1C8A"/>
    <w:rsid w:val="000D2799"/>
    <w:rsid w:val="000E2B40"/>
    <w:rsid w:val="000E33D6"/>
    <w:rsid w:val="00120D10"/>
    <w:rsid w:val="00142BE3"/>
    <w:rsid w:val="00154368"/>
    <w:rsid w:val="00183F40"/>
    <w:rsid w:val="00192A37"/>
    <w:rsid w:val="001A380C"/>
    <w:rsid w:val="001D16F8"/>
    <w:rsid w:val="001D23B6"/>
    <w:rsid w:val="001F39CC"/>
    <w:rsid w:val="00207E8F"/>
    <w:rsid w:val="00211B97"/>
    <w:rsid w:val="00272C22"/>
    <w:rsid w:val="002A1CEA"/>
    <w:rsid w:val="002C523C"/>
    <w:rsid w:val="0032768B"/>
    <w:rsid w:val="00331CF8"/>
    <w:rsid w:val="00336748"/>
    <w:rsid w:val="003470DE"/>
    <w:rsid w:val="00382109"/>
    <w:rsid w:val="003824C6"/>
    <w:rsid w:val="00392074"/>
    <w:rsid w:val="00396459"/>
    <w:rsid w:val="003D0E66"/>
    <w:rsid w:val="004A3CA6"/>
    <w:rsid w:val="004B24FC"/>
    <w:rsid w:val="00524996"/>
    <w:rsid w:val="00540488"/>
    <w:rsid w:val="00572DA5"/>
    <w:rsid w:val="005A310B"/>
    <w:rsid w:val="005A3816"/>
    <w:rsid w:val="005F5C7C"/>
    <w:rsid w:val="00653294"/>
    <w:rsid w:val="006C0093"/>
    <w:rsid w:val="006C204F"/>
    <w:rsid w:val="006C4CDD"/>
    <w:rsid w:val="006D1E86"/>
    <w:rsid w:val="006D23AE"/>
    <w:rsid w:val="006D2DFD"/>
    <w:rsid w:val="006E0093"/>
    <w:rsid w:val="00703F7B"/>
    <w:rsid w:val="00733447"/>
    <w:rsid w:val="00753E29"/>
    <w:rsid w:val="007741DB"/>
    <w:rsid w:val="007D42A8"/>
    <w:rsid w:val="007E563E"/>
    <w:rsid w:val="00803EBD"/>
    <w:rsid w:val="00853A4C"/>
    <w:rsid w:val="00866727"/>
    <w:rsid w:val="008A20FE"/>
    <w:rsid w:val="009A4D58"/>
    <w:rsid w:val="009A5DBE"/>
    <w:rsid w:val="009C60FB"/>
    <w:rsid w:val="009D4600"/>
    <w:rsid w:val="00A314EB"/>
    <w:rsid w:val="00A325A3"/>
    <w:rsid w:val="00A358CB"/>
    <w:rsid w:val="00A35C56"/>
    <w:rsid w:val="00A52EE8"/>
    <w:rsid w:val="00A77B3E"/>
    <w:rsid w:val="00A80D85"/>
    <w:rsid w:val="00B45E0C"/>
    <w:rsid w:val="00B940A3"/>
    <w:rsid w:val="00BB68A8"/>
    <w:rsid w:val="00BD47C6"/>
    <w:rsid w:val="00C0200D"/>
    <w:rsid w:val="00C56B1A"/>
    <w:rsid w:val="00C62201"/>
    <w:rsid w:val="00CA2A55"/>
    <w:rsid w:val="00CB544B"/>
    <w:rsid w:val="00CD4EF4"/>
    <w:rsid w:val="00CF1EB1"/>
    <w:rsid w:val="00D363E9"/>
    <w:rsid w:val="00DA5BED"/>
    <w:rsid w:val="00DD74DD"/>
    <w:rsid w:val="00DE00BA"/>
    <w:rsid w:val="00DF05A4"/>
    <w:rsid w:val="00DF3AC7"/>
    <w:rsid w:val="00DF6753"/>
    <w:rsid w:val="00E00716"/>
    <w:rsid w:val="00E06BE4"/>
    <w:rsid w:val="00E22FEC"/>
    <w:rsid w:val="00E61CD2"/>
    <w:rsid w:val="00E83DEC"/>
    <w:rsid w:val="00E87942"/>
    <w:rsid w:val="00EC379E"/>
    <w:rsid w:val="00F24B19"/>
    <w:rsid w:val="00F57119"/>
    <w:rsid w:val="00F7395F"/>
    <w:rsid w:val="00FC4C4B"/>
    <w:rsid w:val="10262C63"/>
    <w:rsid w:val="12D44BF8"/>
    <w:rsid w:val="14192296"/>
    <w:rsid w:val="197348D2"/>
    <w:rsid w:val="1BAB77F5"/>
    <w:rsid w:val="3BBA40DC"/>
    <w:rsid w:val="3FEB2DCB"/>
    <w:rsid w:val="44D01572"/>
    <w:rsid w:val="46353D3E"/>
    <w:rsid w:val="4C237971"/>
    <w:rsid w:val="51282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1"/>
    <w:autoRedefine/>
    <w:qFormat/>
    <w:uiPriority w:val="0"/>
  </w:style>
  <w:style w:type="paragraph" w:styleId="3">
    <w:name w:val="footer"/>
    <w:basedOn w:val="1"/>
    <w:link w:val="14"/>
    <w:autoRedefine/>
    <w:qFormat/>
    <w:uiPriority w:val="99"/>
    <w:pPr>
      <w:tabs>
        <w:tab w:val="center" w:pos="4153"/>
        <w:tab w:val="right" w:pos="8306"/>
      </w:tabs>
      <w:snapToGrid w:val="0"/>
    </w:pPr>
    <w:rPr>
      <w:sz w:val="18"/>
      <w:szCs w:val="18"/>
    </w:rPr>
  </w:style>
  <w:style w:type="paragraph" w:styleId="4">
    <w:name w:val="header"/>
    <w:basedOn w:val="1"/>
    <w:link w:val="13"/>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2"/>
    <w:autoRedefine/>
    <w:qFormat/>
    <w:uiPriority w:val="0"/>
    <w:rPr>
      <w:b/>
      <w:bCs/>
    </w:rPr>
  </w:style>
  <w:style w:type="character" w:styleId="8">
    <w:name w:val="Strong"/>
    <w:basedOn w:val="7"/>
    <w:autoRedefine/>
    <w:qFormat/>
    <w:uiPriority w:val="22"/>
    <w:rPr>
      <w:b/>
      <w:bCs/>
    </w:rPr>
  </w:style>
  <w:style w:type="character" w:styleId="9">
    <w:name w:val="Hyperlink"/>
    <w:basedOn w:val="7"/>
    <w:autoRedefine/>
    <w:qFormat/>
    <w:uiPriority w:val="0"/>
    <w:rPr>
      <w:color w:val="0000FF" w:themeColor="hyperlink"/>
      <w:u w:val="single"/>
      <w14:textFill>
        <w14:solidFill>
          <w14:schemeClr w14:val="hlink"/>
        </w14:solidFill>
      </w14:textFill>
    </w:rPr>
  </w:style>
  <w:style w:type="character" w:styleId="10">
    <w:name w:val="annotation reference"/>
    <w:basedOn w:val="7"/>
    <w:autoRedefine/>
    <w:qFormat/>
    <w:uiPriority w:val="0"/>
    <w:rPr>
      <w:sz w:val="21"/>
      <w:szCs w:val="21"/>
    </w:rPr>
  </w:style>
  <w:style w:type="character" w:customStyle="1" w:styleId="11">
    <w:name w:val="批注文字 字符"/>
    <w:basedOn w:val="7"/>
    <w:link w:val="2"/>
    <w:autoRedefine/>
    <w:qFormat/>
    <w:uiPriority w:val="0"/>
    <w:rPr>
      <w:sz w:val="24"/>
      <w:szCs w:val="24"/>
    </w:rPr>
  </w:style>
  <w:style w:type="character" w:customStyle="1" w:styleId="12">
    <w:name w:val="批注主题 字符"/>
    <w:basedOn w:val="11"/>
    <w:link w:val="5"/>
    <w:autoRedefine/>
    <w:qFormat/>
    <w:uiPriority w:val="0"/>
    <w:rPr>
      <w:b/>
      <w:bCs/>
      <w:sz w:val="24"/>
      <w:szCs w:val="24"/>
    </w:rPr>
  </w:style>
  <w:style w:type="character" w:customStyle="1" w:styleId="13">
    <w:name w:val="页眉 字符"/>
    <w:basedOn w:val="7"/>
    <w:link w:val="4"/>
    <w:autoRedefine/>
    <w:qFormat/>
    <w:uiPriority w:val="0"/>
    <w:rPr>
      <w:sz w:val="18"/>
      <w:szCs w:val="18"/>
    </w:rPr>
  </w:style>
  <w:style w:type="character" w:customStyle="1" w:styleId="14">
    <w:name w:val="页脚 字符"/>
    <w:basedOn w:val="7"/>
    <w:link w:val="3"/>
    <w:autoRedefine/>
    <w:qFormat/>
    <w:uiPriority w:val="99"/>
    <w:rPr>
      <w:sz w:val="18"/>
      <w:szCs w:val="18"/>
    </w:rPr>
  </w:style>
  <w:style w:type="paragraph" w:customStyle="1" w:styleId="15">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未处理的提及1"/>
    <w:basedOn w:val="7"/>
    <w:autoRedefine/>
    <w:semiHidden/>
    <w:unhideWhenUsed/>
    <w:qFormat/>
    <w:uiPriority w:val="99"/>
    <w:rPr>
      <w:color w:val="605E5C"/>
      <w:shd w:val="clear" w:color="auto" w:fill="E1DFDD"/>
    </w:rPr>
  </w:style>
  <w:style w:type="paragraph" w:customStyle="1" w:styleId="17">
    <w:name w:val="EndNote Bibliography Title"/>
    <w:basedOn w:val="1"/>
    <w:link w:val="18"/>
    <w:autoRedefine/>
    <w:qFormat/>
    <w:uiPriority w:val="0"/>
    <w:pPr>
      <w:jc w:val="center"/>
    </w:pPr>
  </w:style>
  <w:style w:type="character" w:customStyle="1" w:styleId="18">
    <w:name w:val="EndNote Bibliography Title 字符"/>
    <w:basedOn w:val="7"/>
    <w:link w:val="17"/>
    <w:autoRedefine/>
    <w:qFormat/>
    <w:uiPriority w:val="0"/>
    <w:rPr>
      <w:sz w:val="24"/>
      <w:szCs w:val="24"/>
    </w:rPr>
  </w:style>
  <w:style w:type="paragraph" w:customStyle="1" w:styleId="19">
    <w:name w:val="EndNote Bibliography"/>
    <w:basedOn w:val="1"/>
    <w:link w:val="20"/>
    <w:autoRedefine/>
    <w:qFormat/>
    <w:uiPriority w:val="0"/>
    <w:pPr>
      <w:jc w:val="both"/>
    </w:pPr>
  </w:style>
  <w:style w:type="character" w:customStyle="1" w:styleId="20">
    <w:name w:val="EndNote Bibliography 字符"/>
    <w:basedOn w:val="7"/>
    <w:link w:val="19"/>
    <w:autoRedefine/>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1C8D-0A94-4D8C-BAA1-2CA7BA1827FE}">
  <ds:schemaRefs/>
</ds:datastoreItem>
</file>

<file path=docProps/app.xml><?xml version="1.0" encoding="utf-8"?>
<Properties xmlns="http://schemas.openxmlformats.org/officeDocument/2006/extended-properties" xmlns:vt="http://schemas.openxmlformats.org/officeDocument/2006/docPropsVTypes">
  <Template>Normal</Template>
  <Pages>44</Pages>
  <Words>9417</Words>
  <Characters>53679</Characters>
  <Lines>447</Lines>
  <Paragraphs>125</Paragraphs>
  <TotalTime>15</TotalTime>
  <ScaleCrop>false</ScaleCrop>
  <LinksUpToDate>false</LinksUpToDate>
  <CharactersWithSpaces>62971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2024-02-13T06:21:00Z</dcterms:created>
  <dc:creator>吴彤</dc:creator>
  <cp:lastModifiedBy>WPS_1673360041</cp:lastModifiedBy>
  <dcterms:modified xsi:type="dcterms:W3CDTF">2024-02-14T10:11:57Z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D2520811F7A2400E8248081D1F09D4C0_13</vt:lpwstr>
  </property>
</Properties>
</file>