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Pediatrics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89318</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Observational Study</w:t>
      </w:r>
    </w:p>
    <w:p>
      <w:pPr>
        <w:spacing w:line="360" w:lineRule="auto"/>
        <w:jc w:val="both"/>
        <w:rPr>
          <w:rFonts w:ascii="Book Antiqua" w:hAnsi="Book Antiqua"/>
        </w:rPr>
      </w:pPr>
      <w:r>
        <w:rPr>
          <w:rFonts w:ascii="Book Antiqua" w:hAnsi="Book Antiqua" w:eastAsia="Book Antiqua" w:cs="Book Antiqua"/>
          <w:b/>
          <w:color w:val="000000"/>
        </w:rPr>
        <w:t xml:space="preserve">Inpatient </w:t>
      </w:r>
      <w:r>
        <w:rPr>
          <w:rFonts w:ascii="Book Antiqua" w:hAnsi="Book Antiqua" w:cs="Book Antiqua"/>
          <w:b/>
          <w:color w:val="000000"/>
          <w:lang w:eastAsia="zh-CN"/>
        </w:rPr>
        <w:t>m</w:t>
      </w:r>
      <w:r>
        <w:rPr>
          <w:rFonts w:ascii="Book Antiqua" w:hAnsi="Book Antiqua" w:eastAsia="Book Antiqua" w:cs="Book Antiqua"/>
          <w:b/>
          <w:color w:val="000000"/>
        </w:rPr>
        <w:t xml:space="preserve">anagement of </w:t>
      </w:r>
      <w:r>
        <w:rPr>
          <w:rFonts w:ascii="Book Antiqua" w:hAnsi="Book Antiqua" w:cs="Book Antiqua"/>
          <w:b/>
          <w:color w:val="000000"/>
          <w:lang w:eastAsia="zh-CN"/>
        </w:rPr>
        <w:t>i</w:t>
      </w:r>
      <w:r>
        <w:rPr>
          <w:rFonts w:ascii="Book Antiqua" w:hAnsi="Book Antiqua" w:eastAsia="Book Antiqua" w:cs="Book Antiqua"/>
          <w:b/>
          <w:color w:val="000000"/>
        </w:rPr>
        <w:t xml:space="preserve">ron </w:t>
      </w:r>
      <w:r>
        <w:rPr>
          <w:rFonts w:ascii="Book Antiqua" w:hAnsi="Book Antiqua" w:cs="Book Antiqua"/>
          <w:b/>
          <w:color w:val="000000"/>
          <w:lang w:eastAsia="zh-CN"/>
        </w:rPr>
        <w:t>d</w:t>
      </w:r>
      <w:r>
        <w:rPr>
          <w:rFonts w:ascii="Book Antiqua" w:hAnsi="Book Antiqua" w:eastAsia="Book Antiqua" w:cs="Book Antiqua"/>
          <w:b/>
          <w:color w:val="000000"/>
        </w:rPr>
        <w:t xml:space="preserve">eficiency </w:t>
      </w:r>
      <w:r>
        <w:rPr>
          <w:rFonts w:ascii="Book Antiqua" w:hAnsi="Book Antiqua" w:cs="Book Antiqua"/>
          <w:b/>
          <w:color w:val="000000"/>
          <w:lang w:eastAsia="zh-CN"/>
        </w:rPr>
        <w:t>a</w:t>
      </w:r>
      <w:r>
        <w:rPr>
          <w:rFonts w:ascii="Book Antiqua" w:hAnsi="Book Antiqua" w:eastAsia="Book Antiqua" w:cs="Book Antiqua"/>
          <w:b/>
          <w:color w:val="000000"/>
        </w:rPr>
        <w:t xml:space="preserve">nemia in </w:t>
      </w:r>
      <w:r>
        <w:rPr>
          <w:rFonts w:ascii="Book Antiqua" w:hAnsi="Book Antiqua" w:cs="Book Antiqua"/>
          <w:b/>
          <w:color w:val="000000"/>
          <w:lang w:eastAsia="zh-CN"/>
        </w:rPr>
        <w:t>p</w:t>
      </w:r>
      <w:r>
        <w:rPr>
          <w:rFonts w:ascii="Book Antiqua" w:hAnsi="Book Antiqua" w:eastAsia="Book Antiqua" w:cs="Book Antiqua"/>
          <w:b/>
          <w:color w:val="000000"/>
        </w:rPr>
        <w:t xml:space="preserve">ediatric </w:t>
      </w:r>
      <w:r>
        <w:rPr>
          <w:rFonts w:ascii="Book Antiqua" w:hAnsi="Book Antiqua" w:cs="Book Antiqua"/>
          <w:b/>
          <w:color w:val="000000"/>
          <w:lang w:eastAsia="zh-CN"/>
        </w:rPr>
        <w:t>p</w:t>
      </w:r>
      <w:r>
        <w:rPr>
          <w:rFonts w:ascii="Book Antiqua" w:hAnsi="Book Antiqua" w:eastAsia="Book Antiqua" w:cs="Book Antiqua"/>
          <w:b/>
          <w:color w:val="000000"/>
        </w:rPr>
        <w:t xml:space="preserve">atients with </w:t>
      </w:r>
      <w:r>
        <w:rPr>
          <w:rFonts w:ascii="Book Antiqua" w:hAnsi="Book Antiqua" w:cs="Book Antiqua"/>
          <w:b/>
          <w:color w:val="000000"/>
          <w:lang w:eastAsia="zh-CN"/>
        </w:rPr>
        <w:t>i</w:t>
      </w:r>
      <w:r>
        <w:rPr>
          <w:rFonts w:ascii="Book Antiqua" w:hAnsi="Book Antiqua" w:eastAsia="Book Antiqua" w:cs="Book Antiqua"/>
          <w:b/>
          <w:color w:val="000000"/>
        </w:rPr>
        <w:t xml:space="preserve">nflammatory </w:t>
      </w:r>
      <w:r>
        <w:rPr>
          <w:rFonts w:ascii="Book Antiqua" w:hAnsi="Book Antiqua" w:cs="Book Antiqua"/>
          <w:b/>
          <w:color w:val="000000"/>
          <w:lang w:eastAsia="zh-CN"/>
        </w:rPr>
        <w:t>b</w:t>
      </w:r>
      <w:r>
        <w:rPr>
          <w:rFonts w:ascii="Book Antiqua" w:hAnsi="Book Antiqua" w:eastAsia="Book Antiqua" w:cs="Book Antiqua"/>
          <w:b/>
          <w:color w:val="000000"/>
        </w:rPr>
        <w:t xml:space="preserve">owel </w:t>
      </w:r>
      <w:r>
        <w:rPr>
          <w:rFonts w:ascii="Book Antiqua" w:hAnsi="Book Antiqua" w:cs="Book Antiqua"/>
          <w:b/>
          <w:color w:val="000000"/>
          <w:lang w:eastAsia="zh-CN"/>
        </w:rPr>
        <w:t>d</w:t>
      </w:r>
      <w:r>
        <w:rPr>
          <w:rFonts w:ascii="Book Antiqua" w:hAnsi="Book Antiqua" w:eastAsia="Book Antiqua" w:cs="Book Antiqua"/>
          <w:b/>
          <w:color w:val="000000"/>
        </w:rPr>
        <w:t xml:space="preserve">isease: A </w:t>
      </w:r>
      <w:r>
        <w:rPr>
          <w:rFonts w:ascii="Book Antiqua" w:hAnsi="Book Antiqua" w:cs="Book Antiqua"/>
          <w:b/>
          <w:color w:val="000000"/>
          <w:lang w:eastAsia="zh-CN"/>
        </w:rPr>
        <w:t>s</w:t>
      </w:r>
      <w:r>
        <w:rPr>
          <w:rFonts w:ascii="Book Antiqua" w:hAnsi="Book Antiqua" w:eastAsia="Book Antiqua" w:cs="Book Antiqua"/>
          <w:b/>
          <w:color w:val="000000"/>
        </w:rPr>
        <w:t xml:space="preserve">ingle </w:t>
      </w:r>
      <w:r>
        <w:rPr>
          <w:rFonts w:ascii="Book Antiqua" w:hAnsi="Book Antiqua" w:cs="Book Antiqua"/>
          <w:b/>
          <w:color w:val="000000"/>
          <w:lang w:eastAsia="zh-CN"/>
        </w:rPr>
        <w:t>c</w:t>
      </w:r>
      <w:r>
        <w:rPr>
          <w:rFonts w:ascii="Book Antiqua" w:hAnsi="Book Antiqua" w:eastAsia="Book Antiqua" w:cs="Book Antiqua"/>
          <w:b/>
          <w:color w:val="000000"/>
        </w:rPr>
        <w:t xml:space="preserve">enter </w:t>
      </w:r>
      <w:r>
        <w:rPr>
          <w:rFonts w:ascii="Book Antiqua" w:hAnsi="Book Antiqua" w:cs="Book Antiqua"/>
          <w:b/>
          <w:color w:val="000000"/>
          <w:lang w:eastAsia="zh-CN"/>
        </w:rPr>
        <w:t>e</w:t>
      </w:r>
      <w:r>
        <w:rPr>
          <w:rFonts w:ascii="Book Antiqua" w:hAnsi="Book Antiqua" w:eastAsia="Book Antiqua" w:cs="Book Antiqua"/>
          <w:b/>
          <w:color w:val="000000"/>
        </w:rPr>
        <w:t>xperience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Manokaran </w:t>
      </w:r>
      <w:r>
        <w:rPr>
          <w:rFonts w:hint="eastAsia" w:ascii="Book Antiqua" w:hAnsi="Book Antiqua" w:cs="Book Antiqua"/>
          <w:color w:val="000000"/>
          <w:lang w:eastAsia="zh-CN"/>
        </w:rPr>
        <w:t xml:space="preserve">K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Management of IDA in </w:t>
      </w:r>
      <w:r>
        <w:rPr>
          <w:rFonts w:hint="eastAsia" w:ascii="Book Antiqua" w:hAnsi="Book Antiqua" w:cs="Book Antiqua"/>
          <w:color w:val="000000"/>
          <w:lang w:eastAsia="zh-CN"/>
        </w:rPr>
        <w:t>p</w:t>
      </w:r>
      <w:r>
        <w:rPr>
          <w:rFonts w:ascii="Book Antiqua" w:hAnsi="Book Antiqua" w:eastAsia="Book Antiqua" w:cs="Book Antiqua"/>
          <w:color w:val="000000"/>
        </w:rPr>
        <w:t>ediatric IBD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Krishanth Manokaran, Jonathan Spaan, Giulio Cataldo, Christopher Lyons, Paul D Mitchell, Tatyana Sare, </w:t>
      </w:r>
      <w:r>
        <w:rPr>
          <w:rFonts w:hint="eastAsia" w:ascii="Book Antiqua" w:hAnsi="Book Antiqua" w:eastAsia="Book Antiqua" w:cs="Book Antiqua"/>
          <w:color w:val="000000"/>
        </w:rPr>
        <w:t>L</w:t>
      </w:r>
      <w:r>
        <w:rPr>
          <w:rFonts w:ascii="Book Antiqua" w:hAnsi="Book Antiqua" w:eastAsia="Book Antiqua" w:cs="Book Antiqua"/>
          <w:color w:val="000000"/>
        </w:rPr>
        <w:t>ori A Zimmerman, Paul A Rufo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Krishanth Manokaran, Jonathan Spaan, Giulio Cataldo, Christopher Lyons, Tatyana Sare,</w:t>
      </w:r>
      <w:r>
        <w:rPr>
          <w:rFonts w:hint="eastAsia" w:ascii="Book Antiqua" w:hAnsi="Book Antiqua" w:eastAsia="Book Antiqua" w:cs="Book Antiqua"/>
          <w:b/>
          <w:color w:val="000000"/>
        </w:rPr>
        <w:t xml:space="preserve"> L</w:t>
      </w:r>
      <w:r>
        <w:rPr>
          <w:rFonts w:ascii="Book Antiqua" w:hAnsi="Book Antiqua" w:eastAsia="Book Antiqua" w:cs="Book Antiqua"/>
          <w:b/>
          <w:color w:val="000000"/>
        </w:rPr>
        <w:t>ori A Zimmerman</w:t>
      </w:r>
      <w:r>
        <w:rPr>
          <w:rFonts w:ascii="Book Antiqua" w:hAnsi="Book Antiqua" w:eastAsia="Book Antiqua" w:cs="Book Antiqua"/>
          <w:b/>
          <w:bCs/>
          <w:color w:val="000000"/>
        </w:rPr>
        <w:t xml:space="preserve">, Paul A Rufo, </w:t>
      </w:r>
      <w:r>
        <w:rPr>
          <w:rFonts w:ascii="Book Antiqua" w:hAnsi="Book Antiqua" w:eastAsia="Book Antiqua" w:cs="Book Antiqua"/>
          <w:color w:val="000000"/>
        </w:rPr>
        <w:t>Center for Inflammatory Bowel Disease, Boston Children's Hospital, Boston, MA 02115, United States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Paul D Mitchell, </w:t>
      </w:r>
      <w:r>
        <w:rPr>
          <w:rFonts w:ascii="Book Antiqua" w:hAnsi="Book Antiqua" w:eastAsia="Book Antiqua" w:cs="Book Antiqua"/>
          <w:color w:val="000000"/>
        </w:rPr>
        <w:t>Institutional Centers for Clinical and Translational Research, Boston Children's Hospital, Boston, MA 02115, United States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Co-first authors: </w:t>
      </w:r>
      <w:r>
        <w:rPr>
          <w:rFonts w:ascii="Book Antiqua" w:hAnsi="Book Antiqua" w:eastAsia="Book Antiqua" w:cs="Book Antiqua"/>
          <w:color w:val="000000"/>
        </w:rPr>
        <w:t>Krishanth Manokaran</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Jonathan Spaan</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Manokaran K and Spaan J contributed equally to this work; Rufo PA conceptualized the study; Rufo PA, Manokaran K,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 xml:space="preserve">Spaan J conceived methodology; Mitchell PD performed formal statistical analysis; Manokaran K, Spaan J, Cataldo </w:t>
      </w:r>
      <w:r>
        <w:rPr>
          <w:rFonts w:hint="eastAsia" w:ascii="Book Antiqua" w:hAnsi="Book Antiqua" w:cs="Book Antiqua"/>
          <w:color w:val="000000"/>
          <w:lang w:eastAsia="zh-CN"/>
        </w:rPr>
        <w:t>G</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Lyons C performed data collection; Manokaran K,</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Spaan J prepared original draft; Rufo PA, Mitchell PD,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Zimmerman L</w:t>
      </w:r>
      <w:r>
        <w:rPr>
          <w:rFonts w:hint="eastAsia" w:ascii="Book Antiqua" w:hAnsi="Book Antiqua" w:cs="Book Antiqua"/>
          <w:color w:val="000000"/>
          <w:lang w:eastAsia="zh-CN"/>
        </w:rPr>
        <w:t>A</w:t>
      </w:r>
      <w:r>
        <w:rPr>
          <w:rFonts w:ascii="Book Antiqua" w:hAnsi="Book Antiqua" w:eastAsia="Book Antiqua" w:cs="Book Antiqua"/>
          <w:color w:val="000000"/>
        </w:rPr>
        <w:t xml:space="preserve"> helped review and edit manuscript; Rufo PA and Sare T provided resources and project administration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All authors have read and agree to the published version of the manuscript. </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Corresponding author: Paul A Rufo, MD, Assistant Professor, </w:t>
      </w:r>
      <w:r>
        <w:rPr>
          <w:rFonts w:ascii="Book Antiqua" w:hAnsi="Book Antiqua" w:eastAsia="Book Antiqua" w:cs="Book Antiqua"/>
          <w:color w:val="000000"/>
        </w:rPr>
        <w:t>Center for Inflammatory Bowel Disease, Boston Children's Hospital, 300 Longwood Ave, Boston, M</w:t>
      </w:r>
      <w:r>
        <w:rPr>
          <w:rFonts w:hint="eastAsia" w:ascii="Book Antiqua" w:hAnsi="Book Antiqua" w:cs="Book Antiqua"/>
          <w:color w:val="000000"/>
          <w:lang w:eastAsia="zh-CN"/>
        </w:rPr>
        <w:t>A</w:t>
      </w:r>
      <w:r>
        <w:rPr>
          <w:rFonts w:ascii="Book Antiqua" w:hAnsi="Book Antiqua" w:eastAsia="Book Antiqua" w:cs="Book Antiqua"/>
          <w:color w:val="000000"/>
        </w:rPr>
        <w:t xml:space="preserve"> 02115, United States. paul.rufo@childrens.harvard.edu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27,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rPr>
        <w:t>January 7, 2024</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7851"/>
      <w:bookmarkStart w:id="1" w:name="OLE_LINK34"/>
      <w:bookmarkStart w:id="2" w:name="OLE_LINK7910"/>
      <w:bookmarkStart w:id="3" w:name="OLE_LINK7836"/>
      <w:bookmarkStart w:id="4" w:name="OLE_LINK7404"/>
      <w:bookmarkStart w:id="5" w:name="OLE_LINK7683"/>
      <w:bookmarkStart w:id="6" w:name="OLE_LINK7254"/>
      <w:bookmarkStart w:id="7" w:name="OLE_LINK1490"/>
      <w:bookmarkStart w:id="8" w:name="OLE_LINK1255"/>
      <w:bookmarkStart w:id="9" w:name="OLE_LINK7725"/>
      <w:bookmarkStart w:id="10" w:name="OLE_LINK7122"/>
      <w:bookmarkStart w:id="11" w:name="OLE_LINK7843"/>
      <w:bookmarkStart w:id="12" w:name="OLE_LINK19"/>
      <w:bookmarkStart w:id="13" w:name="OLE_LINK7314"/>
      <w:bookmarkStart w:id="14" w:name="OLE_LINK7691"/>
      <w:bookmarkStart w:id="15" w:name="OLE_LINK7255"/>
      <w:bookmarkStart w:id="16" w:name="OLE_LINK103"/>
      <w:bookmarkStart w:id="17" w:name="OLE_LINK1318"/>
      <w:bookmarkStart w:id="18" w:name="OLE_LINK2"/>
      <w:bookmarkStart w:id="19" w:name="OLE_LINK7775"/>
      <w:bookmarkStart w:id="20" w:name="OLE_LINK7862"/>
      <w:bookmarkStart w:id="21" w:name="OLE_LINK7895"/>
      <w:bookmarkStart w:id="22" w:name="OLE_LINK7635"/>
      <w:bookmarkStart w:id="23" w:name="OLE_LINK7523"/>
      <w:bookmarkStart w:id="24" w:name="OLE_LINK37"/>
      <w:bookmarkStart w:id="25" w:name="OLE_LINK7261"/>
      <w:bookmarkStart w:id="26" w:name="OLE_LINK219"/>
      <w:bookmarkStart w:id="27" w:name="OLE_LINK7809"/>
      <w:bookmarkStart w:id="28" w:name="OLE_LINK208"/>
      <w:bookmarkStart w:id="29" w:name="OLE_LINK7574"/>
      <w:bookmarkStart w:id="30" w:name="OLE_LINK84"/>
      <w:bookmarkStart w:id="31" w:name="OLE_LINK7665"/>
      <w:bookmarkStart w:id="32" w:name="OLE_LINK1496"/>
      <w:bookmarkStart w:id="33" w:name="OLE_LINK184"/>
      <w:bookmarkStart w:id="34" w:name="OLE_LINK7304"/>
      <w:bookmarkStart w:id="35" w:name="OLE_LINK1231"/>
      <w:bookmarkStart w:id="36" w:name="OLE_LINK7293"/>
      <w:bookmarkStart w:id="37" w:name="OLE_LINK7983"/>
      <w:bookmarkStart w:id="38" w:name="OLE_LINK6827"/>
      <w:bookmarkStart w:id="39" w:name="OLE_LINK7815"/>
      <w:bookmarkStart w:id="40" w:name="OLE_LINK7153"/>
      <w:bookmarkStart w:id="41" w:name="OLE_LINK7119"/>
      <w:bookmarkStart w:id="42" w:name="OLE_LINK1272"/>
      <w:bookmarkStart w:id="43" w:name="OLE_LINK7754"/>
      <w:bookmarkStart w:id="44" w:name="OLE_LINK7901"/>
      <w:bookmarkStart w:id="45" w:name="OLE_LINK7368"/>
      <w:bookmarkStart w:id="46" w:name="OLE_LINK7269"/>
      <w:bookmarkStart w:id="47" w:name="OLE_LINK7841"/>
      <w:bookmarkStart w:id="48" w:name="OLE_LINK7789"/>
      <w:bookmarkStart w:id="49" w:name="OLE_LINK7378"/>
      <w:bookmarkStart w:id="50" w:name="OLE_LINK7167"/>
      <w:bookmarkStart w:id="51" w:name="OLE_LINK1198"/>
      <w:bookmarkStart w:id="52" w:name="OLE_LINK7776"/>
      <w:bookmarkStart w:id="53" w:name="OLE_LINK7684"/>
      <w:bookmarkStart w:id="54" w:name="OLE_LINK7858"/>
      <w:bookmarkStart w:id="55" w:name="OLE_LINK7771"/>
      <w:bookmarkStart w:id="56" w:name="OLE_LINK7340"/>
      <w:bookmarkStart w:id="57" w:name="OLE_LINK7424"/>
      <w:bookmarkStart w:id="58" w:name="OLE_LINK7324"/>
      <w:bookmarkStart w:id="59" w:name="OLE_LINK7213"/>
      <w:bookmarkStart w:id="60" w:name="OLE_LINK7141"/>
      <w:bookmarkStart w:id="61" w:name="OLE_LINK197"/>
      <w:bookmarkStart w:id="62" w:name="OLE_LINK7306"/>
      <w:bookmarkStart w:id="63" w:name="OLE_LINK7372"/>
      <w:bookmarkStart w:id="64" w:name="OLE_LINK7245"/>
      <w:bookmarkStart w:id="65" w:name="OLE_LINK7863"/>
      <w:bookmarkStart w:id="66" w:name="OLE_LINK7384"/>
      <w:bookmarkStart w:id="67" w:name="OLE_LINK7708"/>
      <w:bookmarkStart w:id="68" w:name="OLE_LINK1340"/>
      <w:bookmarkStart w:id="69" w:name="OLE_LINK7286"/>
      <w:bookmarkStart w:id="70" w:name="OLE_LINK7913"/>
      <w:bookmarkStart w:id="71" w:name="OLE_LINK7360"/>
      <w:bookmarkStart w:id="72" w:name="OLE_LINK7379"/>
      <w:bookmarkStart w:id="73" w:name="OLE_LINK7704"/>
      <w:bookmarkStart w:id="74" w:name="OLE_LINK7658"/>
      <w:bookmarkStart w:id="75" w:name="OLE_LINK7797"/>
      <w:bookmarkStart w:id="76" w:name="OLE_LINK7816"/>
      <w:bookmarkStart w:id="77" w:name="OLE_LINK7642"/>
      <w:bookmarkStart w:id="78" w:name="OLE_LINK7864"/>
      <w:bookmarkStart w:id="79" w:name="OLE_LINK7265"/>
      <w:bookmarkStart w:id="80" w:name="OLE_LINK7667"/>
      <w:bookmarkStart w:id="81" w:name="OLE_LINK7335"/>
      <w:bookmarkStart w:id="82" w:name="OLE_LINK7275"/>
      <w:bookmarkStart w:id="83" w:name="OLE_LINK7383"/>
      <w:bookmarkStart w:id="84" w:name="OLE_LINK7619"/>
      <w:bookmarkStart w:id="85" w:name="OLE_LINK7145"/>
      <w:bookmarkStart w:id="86" w:name="OLE_LINK7877"/>
      <w:bookmarkStart w:id="87" w:name="OLE_LINK7883"/>
      <w:bookmarkStart w:id="88" w:name="OLE_LINK7844"/>
      <w:bookmarkStart w:id="89" w:name="OLE_LINK7747"/>
      <w:bookmarkStart w:id="90" w:name="OLE_LINK7351"/>
      <w:bookmarkStart w:id="91" w:name="OLE_LINK7648"/>
      <w:bookmarkStart w:id="92" w:name="OLE_LINK7787"/>
      <w:bookmarkStart w:id="93" w:name="OLE_LINK7729"/>
      <w:bookmarkStart w:id="94" w:name="OLE_LINK7307"/>
      <w:bookmarkStart w:id="95" w:name="OLE_LINK7326"/>
      <w:bookmarkStart w:id="96" w:name="OLE_LINK6812"/>
      <w:bookmarkStart w:id="97" w:name="OLE_LINK7888"/>
      <w:bookmarkStart w:id="98" w:name="OLE_LINK7280"/>
      <w:bookmarkStart w:id="99" w:name="OLE_LINK7781"/>
      <w:bookmarkStart w:id="100" w:name="OLE_LINK7871"/>
      <w:bookmarkStart w:id="101" w:name="OLE_LINK7689"/>
      <w:bookmarkStart w:id="102" w:name="OLE_LINK7432"/>
      <w:bookmarkStart w:id="103" w:name="OLE_LINK7426"/>
      <w:bookmarkStart w:id="104" w:name="OLE_LINK1412"/>
      <w:bookmarkStart w:id="105" w:name="OLE_LINK7415"/>
      <w:bookmarkStart w:id="106" w:name="OLE_LINK7834"/>
      <w:bookmarkStart w:id="107" w:name="OLE_LINK7395"/>
      <w:bookmarkStart w:id="108" w:name="OLE_LINK1429"/>
      <w:bookmarkStart w:id="109" w:name="OLE_LINK7786"/>
      <w:bookmarkStart w:id="110" w:name="OLE_LINK7714"/>
      <w:bookmarkStart w:id="111" w:name="OLE_LINK7548"/>
      <w:bookmarkStart w:id="112" w:name="OLE_LINK7287"/>
      <w:bookmarkStart w:id="113" w:name="OLE_LINK7376"/>
      <w:bookmarkStart w:id="114" w:name="OLE_LINK7272"/>
      <w:bookmarkStart w:id="115" w:name="OLE_LINK7343"/>
      <w:bookmarkStart w:id="116" w:name="OLE_LINK7572"/>
      <w:bookmarkStart w:id="117" w:name="OLE_LINK7303"/>
      <w:bookmarkStart w:id="118" w:name="OLE_LINK7579"/>
      <w:bookmarkStart w:id="119" w:name="OLE_LINK7701"/>
      <w:bookmarkStart w:id="120" w:name="OLE_LINK7685"/>
      <w:bookmarkStart w:id="121" w:name="OLE_LINK7777"/>
      <w:bookmarkStart w:id="122" w:name="OLE_LINK7282"/>
      <w:bookmarkStart w:id="123" w:name="OLE_LINK7263"/>
      <w:bookmarkStart w:id="124" w:name="OLE_LINK7898"/>
      <w:bookmarkStart w:id="125" w:name="OLE_LINK1335"/>
      <w:bookmarkStart w:id="126" w:name="OLE_LINK7795"/>
      <w:bookmarkStart w:id="127" w:name="OLE_LINK7739"/>
      <w:bookmarkStart w:id="128" w:name="OLE_LINK7631"/>
      <w:bookmarkStart w:id="129" w:name="OLE_LINK7805"/>
      <w:bookmarkStart w:id="130" w:name="OLE_LINK7411"/>
      <w:bookmarkStart w:id="131" w:name="OLE_LINK7348"/>
      <w:bookmarkStart w:id="132" w:name="OLE_LINK7322"/>
      <w:bookmarkStart w:id="133" w:name="OLE_LINK7292"/>
      <w:bookmarkStart w:id="134" w:name="OLE_LINK7804"/>
      <w:bookmarkStart w:id="135" w:name="OLE_LINK1356"/>
      <w:bookmarkStart w:id="136" w:name="OLE_LINK7900"/>
      <w:bookmarkStart w:id="137" w:name="OLE_LINK7130"/>
      <w:bookmarkStart w:id="138" w:name="OLE_LINK7386"/>
      <w:bookmarkStart w:id="139" w:name="OLE_LINK7676"/>
      <w:bookmarkStart w:id="140" w:name="OLE_LINK1492"/>
      <w:bookmarkStart w:id="141" w:name="OLE_LINK7573"/>
      <w:bookmarkStart w:id="142" w:name="OLE_LINK7853"/>
      <w:bookmarkStart w:id="143" w:name="OLE_LINK1452"/>
      <w:bookmarkStart w:id="144" w:name="OLE_LINK1379"/>
      <w:bookmarkStart w:id="145" w:name="OLE_LINK78"/>
      <w:bookmarkStart w:id="146" w:name="OLE_LINK1477"/>
      <w:bookmarkStart w:id="147" w:name="OLE_LINK7743"/>
      <w:bookmarkStart w:id="148" w:name="OLE_LINK7840"/>
      <w:bookmarkStart w:id="149" w:name="OLE_LINK1237"/>
      <w:bookmarkStart w:id="150" w:name="OLE_LINK1219"/>
      <w:bookmarkStart w:id="151" w:name="OLE_LINK7646"/>
      <w:bookmarkStart w:id="152" w:name="OLE_LINK7818"/>
      <w:bookmarkStart w:id="153" w:name="OLE_LINK7534"/>
      <w:bookmarkStart w:id="154" w:name="OLE_LINK1348"/>
      <w:bookmarkStart w:id="155" w:name="OLE_LINK7814"/>
      <w:bookmarkStart w:id="156" w:name="OLE_LINK7418"/>
      <w:bookmarkStart w:id="157" w:name="OLE_LINK7403"/>
      <w:bookmarkStart w:id="158" w:name="OLE_LINK7344"/>
      <w:bookmarkStart w:id="159" w:name="OLE_LINK7407"/>
      <w:bookmarkStart w:id="160" w:name="OLE_LINK7756"/>
      <w:bookmarkStart w:id="161" w:name="OLE_LINK1324"/>
      <w:bookmarkStart w:id="162" w:name="OLE_LINK7330"/>
      <w:bookmarkStart w:id="163" w:name="OLE_LINK7361"/>
      <w:bookmarkStart w:id="164" w:name="OLE_LINK1220"/>
      <w:bookmarkStart w:id="165" w:name="OLE_LINK7264"/>
      <w:bookmarkStart w:id="166" w:name="OLE_LINK7266"/>
      <w:bookmarkStart w:id="167" w:name="OLE_LINK1484"/>
      <w:bookmarkStart w:id="168" w:name="OLE_LINK1244"/>
      <w:bookmarkStart w:id="169" w:name="OLE_LINK7850"/>
      <w:bookmarkStart w:id="170" w:name="OLE_LINK7817"/>
      <w:bookmarkStart w:id="171" w:name="OLE_LINK7422"/>
      <w:bookmarkStart w:id="172" w:name="OLE_LINK7793"/>
      <w:bookmarkStart w:id="173" w:name="OLE_LINK7822"/>
      <w:bookmarkStart w:id="174" w:name="OLE_LINK1242"/>
      <w:bookmarkStart w:id="175" w:name="OLE_LINK7150"/>
      <w:bookmarkStart w:id="176" w:name="OLE_LINK7801"/>
      <w:bookmarkStart w:id="177" w:name="OLE_LINK7906"/>
      <w:bookmarkStart w:id="178" w:name="OLE_LINK7868"/>
      <w:bookmarkStart w:id="179" w:name="OLE_LINK42"/>
      <w:bookmarkStart w:id="180" w:name="OLE_LINK7866"/>
      <w:bookmarkStart w:id="181" w:name="OLE_LINK7317"/>
      <w:bookmarkStart w:id="182" w:name="OLE_LINK7720"/>
      <w:bookmarkStart w:id="183" w:name="OLE_LINK233"/>
      <w:bookmarkStart w:id="184" w:name="OLE_LINK7538"/>
      <w:bookmarkStart w:id="185" w:name="OLE_LINK236"/>
      <w:bookmarkStart w:id="186" w:name="OLE_LINK1233"/>
      <w:bookmarkStart w:id="187" w:name="OLE_LINK7731"/>
      <w:bookmarkStart w:id="188" w:name="OLE_LINK1225"/>
      <w:bookmarkStart w:id="189" w:name="OLE_LINK1326"/>
      <w:bookmarkStart w:id="190" w:name="OLE_LINK241"/>
      <w:bookmarkStart w:id="191" w:name="OLE_LINK1290"/>
      <w:bookmarkStart w:id="192" w:name="OLE_LINK1236"/>
      <w:bookmarkStart w:id="193" w:name="OLE_LINK7302"/>
      <w:bookmarkStart w:id="194" w:name="OLE_LINK7260"/>
      <w:bookmarkStart w:id="195" w:name="OLE_LINK7533"/>
      <w:bookmarkStart w:id="196" w:name="OLE_LINK7848"/>
      <w:bookmarkStart w:id="197" w:name="OLE_LINK1457"/>
      <w:bookmarkStart w:id="198" w:name="OLE_LINK1364"/>
      <w:bookmarkStart w:id="199" w:name="OLE_LINK7296"/>
      <w:bookmarkStart w:id="200" w:name="OLE_LINK7133"/>
      <w:bookmarkStart w:id="201" w:name="OLE_LINK1269"/>
      <w:bookmarkStart w:id="202" w:name="OLE_LINK7859"/>
      <w:bookmarkStart w:id="203" w:name="OLE_LINK7749"/>
      <w:bookmarkStart w:id="204" w:name="OLE_LINK7240"/>
      <w:bookmarkStart w:id="205" w:name="OLE_LINK1433"/>
      <w:bookmarkStart w:id="206" w:name="OLE_LINK7780"/>
      <w:bookmarkStart w:id="207" w:name="OLE_LINK7389"/>
      <w:bookmarkStart w:id="208" w:name="OLE_LINK1273"/>
      <w:bookmarkStart w:id="209" w:name="OLE_LINK1399"/>
      <w:bookmarkStart w:id="210" w:name="OLE_LINK1250"/>
      <w:bookmarkStart w:id="211" w:name="OLE_LINK1342"/>
      <w:bookmarkStart w:id="212" w:name="OLE_LINK7259"/>
      <w:bookmarkStart w:id="213" w:name="OLE_LINK1346"/>
      <w:bookmarkStart w:id="214" w:name="OLE_LINK7588"/>
      <w:bookmarkStart w:id="215" w:name="OLE_LINK7630"/>
      <w:bookmarkStart w:id="216" w:name="OLE_LINK1365"/>
      <w:bookmarkStart w:id="217" w:name="OLE_LINK7806"/>
      <w:bookmarkStart w:id="218" w:name="OLE_LINK7116"/>
      <w:bookmarkStart w:id="219" w:name="OLE_LINK7235"/>
      <w:bookmarkStart w:id="220" w:name="OLE_LINK6830"/>
      <w:bookmarkStart w:id="221" w:name="OLE_LINK6798"/>
      <w:bookmarkStart w:id="222" w:name="OLE_LINK1262"/>
      <w:bookmarkStart w:id="223" w:name="OLE_LINK7762"/>
      <w:bookmarkStart w:id="224" w:name="OLE_LINK7173"/>
      <w:bookmarkStart w:id="225" w:name="OLE_LINK1246"/>
      <w:bookmarkStart w:id="226" w:name="OLE_LINK7357"/>
      <w:bookmarkStart w:id="227" w:name="OLE_LINK1449"/>
      <w:bookmarkStart w:id="228" w:name="OLE_LINK7236"/>
      <w:bookmarkStart w:id="229" w:name="OLE_LINK7670"/>
      <w:bookmarkStart w:id="230" w:name="OLE_LINK7674"/>
      <w:bookmarkStart w:id="231" w:name="OLE_LINK7766"/>
      <w:bookmarkStart w:id="232" w:name="OLE_LINK3"/>
      <w:bookmarkStart w:id="233" w:name="OLE_LINK1375"/>
      <w:bookmarkStart w:id="234" w:name="OLE_LINK7791"/>
      <w:bookmarkStart w:id="235" w:name="OLE_LINK1352"/>
      <w:bookmarkStart w:id="236" w:name="OLE_LINK30"/>
      <w:bookmarkStart w:id="237" w:name="OLE_LINK1199"/>
      <w:bookmarkStart w:id="238" w:name="OLE_LINK7238"/>
      <w:bookmarkStart w:id="239" w:name="OLE_LINK7593"/>
      <w:bookmarkStart w:id="240" w:name="OLE_LINK1307"/>
      <w:bookmarkStart w:id="241" w:name="OLE_LINK1251"/>
      <w:bookmarkStart w:id="242" w:name="OLE_LINK7909"/>
      <w:bookmarkStart w:id="243" w:name="OLE_LINK1276"/>
      <w:bookmarkStart w:id="244" w:name="OLE_LINK7223"/>
      <w:bookmarkStart w:id="245" w:name="OLE_LINK1299"/>
      <w:bookmarkStart w:id="246" w:name="OLE_LINK1267"/>
      <w:bookmarkStart w:id="247" w:name="OLE_LINK7889"/>
      <w:bookmarkStart w:id="248" w:name="OLE_LINK7140"/>
      <w:bookmarkStart w:id="249" w:name="OLE_LINK7623"/>
      <w:bookmarkStart w:id="250" w:name="OLE_LINK1384"/>
      <w:bookmarkStart w:id="251" w:name="OLE_LINK7228"/>
      <w:bookmarkStart w:id="252" w:name="OLE_LINK7618"/>
      <w:bookmarkStart w:id="253" w:name="OLE_LINK1218"/>
      <w:bookmarkStart w:id="254" w:name="OLE_LINK7212"/>
      <w:bookmarkStart w:id="255" w:name="OLE_LINK1222"/>
      <w:bookmarkStart w:id="256" w:name="OLE_LINK7794"/>
      <w:bookmarkStart w:id="257" w:name="OLE_LINK7127"/>
      <w:bookmarkStart w:id="258" w:name="OLE_LINK1261"/>
      <w:bookmarkStart w:id="259" w:name="OLE_LINK7241"/>
      <w:bookmarkStart w:id="260" w:name="OLE_LINK7279"/>
      <w:bookmarkStart w:id="261" w:name="OLE_LINK1334"/>
      <w:bookmarkStart w:id="262" w:name="OLE_LINK1343"/>
      <w:bookmarkStart w:id="263" w:name="OLE_LINK7224"/>
      <w:bookmarkStart w:id="264" w:name="OLE_LINK1311"/>
      <w:bookmarkStart w:id="265" w:name="OLE_LINK1297"/>
      <w:bookmarkStart w:id="266" w:name="OLE_LINK1223"/>
      <w:bookmarkStart w:id="267" w:name="OLE_LINK1322"/>
      <w:bookmarkStart w:id="268" w:name="OLE_LINK6834"/>
      <w:bookmarkStart w:id="269" w:name="OLE_LINK7214"/>
      <w:bookmarkStart w:id="270" w:name="OLE_LINK1286"/>
      <w:bookmarkStart w:id="271" w:name="OLE_LINK7158"/>
      <w:bookmarkStart w:id="272" w:name="OLE_LINK1303"/>
      <w:bookmarkStart w:id="273" w:name="OLE_LINK7755"/>
      <w:bookmarkStart w:id="274" w:name="OLE_LINK7237"/>
      <w:bookmarkStart w:id="275" w:name="OLE_LINK1371"/>
      <w:bookmarkStart w:id="276" w:name="OLE_LINK1292"/>
      <w:bookmarkStart w:id="277" w:name="OLE_LINK23"/>
      <w:bookmarkStart w:id="278" w:name="OLE_LINK1387"/>
      <w:bookmarkStart w:id="279" w:name="OLE_LINK1295"/>
      <w:bookmarkStart w:id="280" w:name="OLE_LINK7234"/>
      <w:bookmarkStart w:id="281" w:name="OLE_LINK1327"/>
      <w:bookmarkStart w:id="282" w:name="OLE_LINK1247"/>
      <w:bookmarkStart w:id="283" w:name="OLE_LINK7300"/>
      <w:bookmarkStart w:id="284" w:name="OLE_LINK21"/>
      <w:bookmarkStart w:id="285" w:name="OLE_LINK1508"/>
      <w:bookmarkStart w:id="286" w:name="OLE_LINK1395"/>
      <w:bookmarkStart w:id="287" w:name="OLE_LINK7552"/>
      <w:bookmarkStart w:id="288" w:name="OLE_LINK7854"/>
      <w:bookmarkStart w:id="289" w:name="OLE_LINK1353"/>
      <w:bookmarkStart w:id="290" w:name="OLE_LINK7394"/>
      <w:bookmarkStart w:id="291" w:name="OLE_LINK1283"/>
      <w:bookmarkStart w:id="292" w:name="OLE_LINK7562"/>
      <w:bookmarkStart w:id="293" w:name="OLE_LINK7654"/>
      <w:bookmarkStart w:id="294" w:name="OLE_LINK7727"/>
      <w:bookmarkStart w:id="295" w:name="OLE_LINK7916"/>
      <w:bookmarkStart w:id="296" w:name="OLE_LINK220"/>
      <w:bookmarkStart w:id="297" w:name="OLE_LINK1361"/>
      <w:bookmarkStart w:id="298" w:name="OLE_LINK1402"/>
      <w:bookmarkStart w:id="299" w:name="OLE_LINK7215"/>
      <w:bookmarkStart w:id="300" w:name="OLE_LINK1232"/>
      <w:bookmarkStart w:id="301" w:name="OLE_LINK7842"/>
      <w:bookmarkStart w:id="302" w:name="OLE_LINK1478"/>
      <w:bookmarkStart w:id="303" w:name="OLE_LINK1325"/>
      <w:bookmarkStart w:id="304" w:name="OLE_LINK66"/>
      <w:bookmarkStart w:id="305" w:name="OLE_LINK7125"/>
      <w:bookmarkStart w:id="306" w:name="OLE_LINK1344"/>
      <w:bookmarkStart w:id="307" w:name="OLE_LINK7785"/>
      <w:bookmarkStart w:id="308" w:name="OLE_LINK7605"/>
      <w:bookmarkStart w:id="309" w:name="OLE_LINK1474"/>
      <w:bookmarkStart w:id="310" w:name="OLE_LINK7526"/>
      <w:bookmarkStart w:id="311" w:name="OLE_LINK1305"/>
      <w:bookmarkStart w:id="312" w:name="OLE_LINK7513"/>
      <w:bookmarkStart w:id="313" w:name="OLE_LINK7807"/>
      <w:bookmarkStart w:id="314" w:name="OLE_LINK1391"/>
      <w:bookmarkStart w:id="315" w:name="OLE_LINK7616"/>
      <w:bookmarkStart w:id="316" w:name="OLE_LINK7745"/>
      <w:bookmarkStart w:id="317" w:name="OLE_LINK7555"/>
      <w:bookmarkStart w:id="318" w:name="OLE_LINK1436"/>
      <w:bookmarkStart w:id="319" w:name="OLE_LINK7440"/>
      <w:bookmarkStart w:id="320" w:name="OLE_LINK7688"/>
      <w:bookmarkStart w:id="321" w:name="OLE_LINK7765"/>
      <w:bookmarkStart w:id="322" w:name="OLE_LINK7709"/>
      <w:bookmarkStart w:id="323" w:name="OLE_LINK7800"/>
      <w:bookmarkStart w:id="324" w:name="OLE_LINK7611"/>
      <w:bookmarkStart w:id="325" w:name="OLE_LINK51"/>
      <w:bookmarkStart w:id="326" w:name="OLE_LINK7229"/>
      <w:bookmarkStart w:id="327" w:name="OLE_LINK7530"/>
      <w:bookmarkStart w:id="328" w:name="OLE_LINK7740"/>
      <w:bookmarkStart w:id="329" w:name="OLE_LINK1319"/>
      <w:bookmarkStart w:id="330" w:name="OLE_LINK7878"/>
      <w:bookmarkStart w:id="331" w:name="OLE_LINK226"/>
      <w:bookmarkStart w:id="332" w:name="OLE_LINK7295"/>
      <w:bookmarkStart w:id="333" w:name="OLE_LINK7126"/>
      <w:bookmarkStart w:id="334" w:name="OLE_LINK7606"/>
      <w:bookmarkStart w:id="335" w:name="OLE_LINK7788"/>
      <w:bookmarkStart w:id="336" w:name="OLE_LINK6816"/>
      <w:bookmarkStart w:id="337" w:name="OLE_LINK7602"/>
      <w:bookmarkStart w:id="338" w:name="OLE_LINK7568"/>
      <w:bookmarkStart w:id="339" w:name="OLE_LINK7308"/>
      <w:bookmarkStart w:id="340" w:name="OLE_LINK1256"/>
      <w:bookmarkStart w:id="341" w:name="OLE_LINK7288"/>
      <w:bookmarkStart w:id="342" w:name="OLE_LINK6803"/>
      <w:bookmarkStart w:id="343" w:name="OLE_LINK7675"/>
      <w:bookmarkStart w:id="344" w:name="OLE_LINK7730"/>
      <w:bookmarkStart w:id="345" w:name="OLE_LINK7876"/>
      <w:bookmarkStart w:id="346" w:name="OLE_LINK1282"/>
      <w:bookmarkStart w:id="347" w:name="OLE_LINK1315"/>
      <w:bookmarkStart w:id="348" w:name="OLE_LINK7268"/>
      <w:bookmarkStart w:id="349" w:name="OLE_LINK1466"/>
      <w:bookmarkStart w:id="350" w:name="OLE_LINK20"/>
      <w:bookmarkStart w:id="351" w:name="OLE_LINK187"/>
      <w:bookmarkStart w:id="352" w:name="OLE_LINK40"/>
      <w:bookmarkStart w:id="353" w:name="OLE_LINK7547"/>
      <w:bookmarkStart w:id="354" w:name="OLE_LINK7650"/>
      <w:bookmarkStart w:id="355" w:name="OLE_LINK7274"/>
      <w:bookmarkStart w:id="356" w:name="OLE_LINK7608"/>
      <w:bookmarkStart w:id="357" w:name="OLE_LINK7700"/>
      <w:bookmarkStart w:id="358" w:name="OLE_LINK60"/>
      <w:bookmarkStart w:id="359" w:name="OLE_LINK15"/>
      <w:bookmarkStart w:id="360" w:name="OLE_LINK7682"/>
      <w:bookmarkStart w:id="361" w:name="OLE_LINK7250"/>
      <w:bookmarkStart w:id="362" w:name="OLE_LINK41"/>
      <w:bookmarkStart w:id="363" w:name="OLE_LINK7515"/>
      <w:bookmarkStart w:id="364" w:name="OLE_LINK7587"/>
      <w:bookmarkStart w:id="365" w:name="OLE_LINK7571"/>
      <w:bookmarkStart w:id="366" w:name="OLE_LINK7693"/>
      <w:bookmarkStart w:id="367" w:name="OLE_LINK7290"/>
      <w:bookmarkStart w:id="368" w:name="OLE_LINK7761"/>
      <w:bookmarkStart w:id="369" w:name="OLE_LINK1227"/>
      <w:bookmarkStart w:id="370" w:name="OLE_LINK7244"/>
      <w:bookmarkStart w:id="371" w:name="OLE_LINK1291"/>
      <w:bookmarkStart w:id="372" w:name="OLE_LINK7811"/>
      <w:bookmarkStart w:id="373" w:name="OLE_LINK108"/>
      <w:bookmarkStart w:id="374" w:name="OLE_LINK6"/>
      <w:bookmarkStart w:id="375" w:name="OLE_LINK1301"/>
      <w:bookmarkStart w:id="376" w:name="OLE_LINK74"/>
      <w:bookmarkStart w:id="377" w:name="OLE_LINK7577"/>
      <w:bookmarkStart w:id="378" w:name="OLE_LINK229"/>
      <w:bookmarkStart w:id="379" w:name="OLE_LINK7779"/>
      <w:bookmarkStart w:id="380" w:name="OLE_LINK7681"/>
      <w:bookmarkStart w:id="381" w:name="OLE_LINK7744"/>
      <w:bookmarkStart w:id="382" w:name="OLE_LINK7305"/>
      <w:bookmarkStart w:id="383" w:name="OLE_LINK7796"/>
      <w:bookmarkStart w:id="384" w:name="OLE_LINK7738"/>
      <w:bookmarkStart w:id="385" w:name="OLE_LINK7769"/>
      <w:bookmarkStart w:id="386" w:name="OLE_LINK46"/>
      <w:bookmarkStart w:id="387" w:name="OLE_LINK7839"/>
      <w:bookmarkStart w:id="388" w:name="OLE_LINK7644"/>
      <w:bookmarkStart w:id="389" w:name="OLE_LINK7695"/>
      <w:bookmarkStart w:id="390" w:name="OLE_LINK7772"/>
      <w:bookmarkStart w:id="391" w:name="OLE_LINK7977"/>
      <w:bookmarkStart w:id="392" w:name="OLE_LINK7301"/>
      <w:bookmarkStart w:id="393" w:name="OLE_LINK7803"/>
      <w:bookmarkStart w:id="394" w:name="OLE_LINK49"/>
      <w:bookmarkStart w:id="395" w:name="OLE_LINK7903"/>
      <w:bookmarkStart w:id="396" w:name="OLE_LINK7625"/>
      <w:bookmarkStart w:id="397" w:name="OLE_LINK61"/>
      <w:bookmarkStart w:id="398" w:name="OLE_LINK1"/>
      <w:bookmarkStart w:id="399" w:name="OLE_LINK7578"/>
      <w:bookmarkStart w:id="400" w:name="OLE_LINK7724"/>
      <w:bookmarkStart w:id="401" w:name="OLE_LINK7633"/>
      <w:bookmarkStart w:id="402" w:name="OLE_LINK100"/>
      <w:bookmarkStart w:id="403" w:name="OLE_LINK7561"/>
      <w:bookmarkStart w:id="404" w:name="OLE_LINK7882"/>
      <w:bookmarkStart w:id="405" w:name="OLE_LINK1312"/>
      <w:bookmarkStart w:id="406" w:name="OLE_LINK7732"/>
      <w:bookmarkStart w:id="407" w:name="OLE_LINK7666"/>
      <w:bookmarkStart w:id="408" w:name="OLE_LINK7253"/>
      <w:bookmarkStart w:id="409" w:name="OLE_LINK7753"/>
      <w:bookmarkStart w:id="410" w:name="OLE_LINK29"/>
      <w:bookmarkStart w:id="411" w:name="OLE_LINK7628"/>
      <w:bookmarkStart w:id="412" w:name="OLE_LINK7569"/>
      <w:bookmarkStart w:id="413" w:name="OLE_LINK36"/>
      <w:bookmarkStart w:id="414" w:name="OLE_LINK177"/>
      <w:bookmarkStart w:id="415" w:name="OLE_LINK7712"/>
      <w:bookmarkStart w:id="416" w:name="OLE_LINK87"/>
      <w:bookmarkStart w:id="417" w:name="OLE_LINK54"/>
      <w:bookmarkStart w:id="418" w:name="OLE_LINK7838"/>
      <w:bookmarkStart w:id="419" w:name="OLE_LINK7722"/>
      <w:bookmarkStart w:id="420" w:name="OLE_LINK7639"/>
      <w:bookmarkStart w:id="421" w:name="OLE_LINK7597"/>
      <w:bookmarkStart w:id="422" w:name="OLE_LINK7649"/>
      <w:bookmarkStart w:id="423" w:name="OLE_LINK7527"/>
      <w:bookmarkStart w:id="424" w:name="OLE_LINK7711"/>
      <w:bookmarkStart w:id="425" w:name="OLE_LINK7896"/>
      <w:bookmarkStart w:id="426" w:name="OLE_LINK11"/>
      <w:bookmarkStart w:id="427" w:name="OLE_LINK57"/>
      <w:bookmarkStart w:id="428" w:name="OLE_LINK7243"/>
      <w:bookmarkStart w:id="429" w:name="OLE_LINK7736"/>
      <w:bookmarkStart w:id="430" w:name="OLE_LINK7690"/>
      <w:bookmarkStart w:id="431" w:name="OLE_LINK7718"/>
      <w:bookmarkStart w:id="432" w:name="OLE_LINK7799"/>
      <w:bookmarkStart w:id="433" w:name="OLE_LINK17"/>
      <w:bookmarkStart w:id="434" w:name="OLE_LINK12"/>
      <w:bookmarkStart w:id="435" w:name="OLE_LINK7583"/>
      <w:bookmarkStart w:id="436" w:name="OLE_LINK26"/>
      <w:bookmarkStart w:id="437" w:name="OLE_LINK7522"/>
      <w:bookmarkStart w:id="438" w:name="OLE_LINK72"/>
      <w:bookmarkStart w:id="439" w:name="OLE_LINK7897"/>
      <w:bookmarkStart w:id="440" w:name="OLE_LINK7703"/>
      <w:bookmarkStart w:id="441" w:name="OLE_LINK7825"/>
      <w:bookmarkStart w:id="442" w:name="OLE_LINK7984"/>
      <w:bookmarkStart w:id="443" w:name="OLE_LINK7810"/>
      <w:bookmarkStart w:id="444" w:name="OLE_LINK10"/>
      <w:bookmarkStart w:id="445" w:name="OLE_LINK7837"/>
      <w:bookmarkStart w:id="446" w:name="OLE_LINK7979"/>
      <w:bookmarkStart w:id="447" w:name="OLE_LINK7813"/>
      <w:bookmarkStart w:id="448" w:name="OLE_LINK7641"/>
      <w:bookmarkStart w:id="449" w:name="OLE_LINK7652"/>
      <w:bookmarkStart w:id="450" w:name="OLE_LINK203"/>
      <w:bookmarkStart w:id="451" w:name="OLE_LINK7687"/>
      <w:bookmarkStart w:id="452" w:name="OLE_LINK200"/>
      <w:bookmarkStart w:id="453" w:name="OLE_LINK7620"/>
      <w:bookmarkStart w:id="454" w:name="OLE_LINK7617"/>
      <w:bookmarkStart w:id="455" w:name="OLE_LINK7629"/>
      <w:bookmarkStart w:id="456" w:name="OLE_LINK75"/>
      <w:bookmarkStart w:id="457" w:name="OLE_LINK216"/>
      <w:bookmarkStart w:id="458" w:name="OLE_LINK82"/>
      <w:bookmarkStart w:id="459" w:name="OLE_LINK7"/>
      <w:bookmarkStart w:id="460" w:name="OLE_LINK7846"/>
      <w:bookmarkStart w:id="461" w:name="OLE_LINK7894"/>
      <w:bookmarkStart w:id="462" w:name="OLE_LINK7885"/>
      <w:bookmarkStart w:id="463" w:name="OLE_LINK4"/>
      <w:bookmarkStart w:id="464" w:name="OLE_LINK7873"/>
      <w:bookmarkStart w:id="465" w:name="OLE_LINK7706"/>
      <w:bookmarkStart w:id="466" w:name="OLE_LINK7721"/>
      <w:bookmarkStart w:id="467" w:name="OLE_LINK65"/>
      <w:bookmarkStart w:id="468" w:name="OLE_LINK7879"/>
      <w:bookmarkStart w:id="469" w:name="OLE_LINK7710"/>
      <w:bookmarkStart w:id="470" w:name="OLE_LINK1503"/>
      <w:bookmarkStart w:id="471" w:name="OLE_LINK7550"/>
      <w:bookmarkStart w:id="472" w:name="OLE_LINK7735"/>
      <w:bookmarkStart w:id="473" w:name="OLE_LINK7737"/>
      <w:bookmarkStart w:id="474" w:name="OLE_LINK7985"/>
      <w:bookmarkStart w:id="475" w:name="OLE_LINK14"/>
      <w:bookmarkStart w:id="476" w:name="OLE_LINK7655"/>
      <w:bookmarkStart w:id="477" w:name="OLE_LINK7610"/>
      <w:bookmarkStart w:id="478" w:name="OLE_LINK7559"/>
      <w:bookmarkStart w:id="479" w:name="OLE_LINK1499"/>
      <w:bookmarkStart w:id="480" w:name="OLE_LINK192"/>
      <w:bookmarkStart w:id="481" w:name="OLE_LINK7699"/>
      <w:bookmarkStart w:id="482" w:name="OLE_LINK7734"/>
      <w:bookmarkStart w:id="483" w:name="OLE_LINK1224"/>
      <w:bookmarkStart w:id="484" w:name="OLE_LINK7820"/>
      <w:bookmarkStart w:id="485" w:name="OLE_LINK7867"/>
      <w:bookmarkStart w:id="486" w:name="OLE_LINK1310"/>
      <w:bookmarkStart w:id="487" w:name="OLE_LINK7313"/>
      <w:bookmarkStart w:id="488" w:name="OLE_LINK1241"/>
      <w:bookmarkStart w:id="489" w:name="OLE_LINK174"/>
      <w:r>
        <w:rPr>
          <w:rFonts w:ascii="Book Antiqua" w:hAnsi="Book Antiqua"/>
        </w:rPr>
        <w:t>January 22,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March 9,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Screening for iron deficiency anemia (IDA) is important in managing pediatric patients with inflammatory bowel disease (IBD). Concerns related to adverse reactions may contribute to a reluctance to prescribe intravenous (IV) iron to treat IDA in this population.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hint="eastAsia" w:ascii="Book Antiqua" w:hAnsi="Book Antiqua" w:cs="Book Antiqua"/>
          <w:color w:val="000000"/>
          <w:lang w:eastAsia="zh-CN"/>
        </w:rPr>
        <w:t>T</w:t>
      </w:r>
      <w:r>
        <w:rPr>
          <w:rFonts w:ascii="Book Antiqua" w:hAnsi="Book Antiqua" w:eastAsia="Book Antiqua" w:cs="Book Antiqua"/>
          <w:color w:val="000000"/>
        </w:rPr>
        <w:t xml:space="preserve">o track the efficacy and safety of IV iron therapy in treating IDA in pediatric IBD patients admitted to our center.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A longitudinal observational cohort study was performed on 236 consecutive pediatric patients admitted to our tertiary IBD care center between September 2017 and December 2019. 92 patients met study criteria for IDA, of which 57 received IV iron, 17 received oral iron, and 18 were discharged prior to receiving iron therapy.</w:t>
      </w:r>
      <w:r>
        <w:rPr>
          <w:rFonts w:ascii="Book Antiqua" w:hAnsi="Book Antiqua" w:eastAsia="Book Antiqua" w:cs="Book Antiqua"/>
          <w:b/>
          <w:bCs/>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Patients treated with IV iron during their hospitalization experienced a significant increase of 1.9 (± 0.2) g/dL in mean (± SE) hemoglobin</w:t>
      </w:r>
      <w:r>
        <w:rPr>
          <w:rFonts w:hint="eastAsia" w:ascii="Book Antiqua" w:hAnsi="Book Antiqua" w:cs="Book Antiqua"/>
          <w:color w:val="000000"/>
          <w:lang w:eastAsia="zh-CN"/>
        </w:rPr>
        <w:t xml:space="preserve"> (</w:t>
      </w:r>
      <w:r>
        <w:rPr>
          <w:rFonts w:ascii="Book Antiqua" w:hAnsi="Book Antiqua" w:eastAsia="Book Antiqua" w:cs="Book Antiqua"/>
          <w:color w:val="000000"/>
        </w:rPr>
        <w:t>Hb</w:t>
      </w:r>
      <w:r>
        <w:rPr>
          <w:rFonts w:hint="eastAsia" w:ascii="Book Antiqua" w:hAnsi="Book Antiqua" w:cs="Book Antiqua"/>
          <w:color w:val="000000"/>
          <w:lang w:eastAsia="zh-CN"/>
        </w:rPr>
        <w:t>)</w:t>
      </w:r>
      <w:r>
        <w:rPr>
          <w:rFonts w:ascii="Book Antiqua" w:hAnsi="Book Antiqua" w:eastAsia="Book Antiqua" w:cs="Book Antiqua"/>
          <w:color w:val="000000"/>
        </w:rPr>
        <w:t xml:space="preserve"> concentration by the first ambulatory follow-up, compared to patients who received oral iron 0.8 (± 0.3) g/dL or no iron 0.8 (± 0.3) g/dL (</w:t>
      </w:r>
      <w:r>
        <w:rPr>
          <w:rFonts w:ascii="Book Antiqua" w:hAnsi="Book Antiqua" w:eastAsia="Book Antiqua" w:cs="Book Antiqua"/>
          <w:i/>
          <w:iCs/>
          <w:color w:val="000000"/>
        </w:rPr>
        <w:t>P</w:t>
      </w:r>
      <w:r>
        <w:rPr>
          <w:rFonts w:ascii="Book Antiqua" w:hAnsi="Book Antiqua" w:eastAsia="Book Antiqua" w:cs="Book Antiqua"/>
          <w:color w:val="000000"/>
        </w:rPr>
        <w:t xml:space="preserve"> = 0.03). One out of 57 (1.8%) patients that received IV iron therapy experienced an adverse reaction.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Our findings demonstrate that treatment with IV iron therapy is safe and efficacious in improving </w:t>
      </w:r>
      <w:r>
        <w:rPr>
          <w:rFonts w:ascii="Book Antiqua" w:hAnsi="Book Antiqua" w:eastAsia="Book Antiqua" w:cs="Book Antiqua"/>
          <w:color w:val="000000"/>
        </w:rPr>
        <w:t>Hb</w:t>
      </w:r>
      <w:r>
        <w:rPr>
          <w:rFonts w:ascii="Book Antiqua" w:hAnsi="Book Antiqua" w:eastAsia="Book Antiqua" w:cs="Book Antiqua"/>
          <w:color w:val="000000"/>
          <w:shd w:val="clear" w:color="auto" w:fill="FFFFFF"/>
        </w:rPr>
        <w:t xml:space="preserve"> and iron levels in pediatric patients with IDA and active IBD. </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rPr>
        <w:t xml:space="preserve">Key Words: </w:t>
      </w:r>
      <w:r>
        <w:rPr>
          <w:rFonts w:ascii="Book Antiqua" w:hAnsi="Book Antiqua" w:eastAsia="Book Antiqua" w:cs="Book Antiqua"/>
        </w:rPr>
        <w:t xml:space="preserve">Iron deficiency anemia; </w:t>
      </w:r>
      <w:r>
        <w:rPr>
          <w:rFonts w:hint="eastAsia" w:ascii="Book Antiqua" w:hAnsi="Book Antiqua" w:cs="Book Antiqua"/>
          <w:lang w:eastAsia="zh-CN"/>
        </w:rPr>
        <w:t>P</w:t>
      </w:r>
      <w:r>
        <w:rPr>
          <w:rFonts w:ascii="Book Antiqua" w:hAnsi="Book Antiqua" w:eastAsia="Book Antiqua" w:cs="Book Antiqua"/>
        </w:rPr>
        <w:t xml:space="preserve">ediatric inflammatory bowel disease; </w:t>
      </w:r>
      <w:r>
        <w:rPr>
          <w:rFonts w:hint="eastAsia" w:ascii="Book Antiqua" w:hAnsi="Book Antiqua" w:cs="Book Antiqua"/>
          <w:lang w:eastAsia="zh-CN"/>
        </w:rPr>
        <w:t>I</w:t>
      </w:r>
      <w:r>
        <w:rPr>
          <w:rFonts w:ascii="Book Antiqua" w:hAnsi="Book Antiqua" w:eastAsia="Book Antiqua" w:cs="Book Antiqua"/>
        </w:rPr>
        <w:t>ntravenous iron therapy</w:t>
      </w:r>
      <w:r>
        <w:rPr>
          <w:rFonts w:hint="eastAsia" w:ascii="Book Antiqua" w:hAnsi="Book Antiqua" w:cs="Book Antiqua"/>
          <w:lang w:eastAsia="zh-CN"/>
        </w:rPr>
        <w:t>; I</w:t>
      </w:r>
      <w:r>
        <w:rPr>
          <w:rFonts w:ascii="Book Antiqua" w:hAnsi="Book Antiqua" w:eastAsia="Book Antiqua" w:cs="Book Antiqua"/>
        </w:rPr>
        <w:t>nflammatory bowel disease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cs="Book Antiqua"/>
          <w:lang w:val="en-US" w:eastAsia="zh-CN"/>
        </w:rPr>
      </w:pPr>
      <w:r>
        <w:rPr>
          <w:rFonts w:hint="eastAsia" w:ascii="Book Antiqua" w:hAnsi="Book Antiqua"/>
          <w:b/>
          <w:bCs/>
          <w:lang w:val="en-US" w:eastAsia="zh-CN"/>
        </w:rPr>
        <w:t>Citation</w:t>
      </w:r>
      <w:r>
        <w:rPr>
          <w:rFonts w:hint="eastAsia" w:ascii="Book Antiqua" w:hAnsi="Book Antiqua"/>
          <w:lang w:val="en-US" w:eastAsia="zh-CN"/>
        </w:rPr>
        <w:t xml:space="preserve">: </w:t>
      </w:r>
      <w:bookmarkStart w:id="498" w:name="_GoBack"/>
      <w:bookmarkEnd w:id="498"/>
      <w:r>
        <w:rPr>
          <w:rFonts w:ascii="Book Antiqua" w:hAnsi="Book Antiqua" w:eastAsia="Book Antiqua" w:cs="Book Antiqua"/>
        </w:rPr>
        <w:t>Manokaran K, Spaan J, Cataldo G, Lyons C, Mitchell PD, Sare T, Zimmerman L</w:t>
      </w:r>
      <w:r>
        <w:rPr>
          <w:rFonts w:hint="eastAsia" w:ascii="Book Antiqua" w:hAnsi="Book Antiqua" w:cs="Book Antiqua"/>
          <w:lang w:eastAsia="zh-CN"/>
        </w:rPr>
        <w:t>A</w:t>
      </w:r>
      <w:r>
        <w:rPr>
          <w:rFonts w:ascii="Book Antiqua" w:hAnsi="Book Antiqua" w:eastAsia="Book Antiqua" w:cs="Book Antiqua"/>
        </w:rPr>
        <w:t xml:space="preserve">, Rufo PA. </w:t>
      </w:r>
      <w:r>
        <w:rPr>
          <w:rFonts w:ascii="Book Antiqua" w:hAnsi="Book Antiqua" w:eastAsia="Book Antiqua" w:cs="Book Antiqua"/>
          <w:color w:val="000000"/>
        </w:rPr>
        <w:t xml:space="preserve">Inpatient </w:t>
      </w:r>
      <w:r>
        <w:rPr>
          <w:rFonts w:ascii="Book Antiqua" w:hAnsi="Book Antiqua" w:cs="Book Antiqua"/>
          <w:color w:val="000000"/>
          <w:lang w:eastAsia="zh-CN"/>
        </w:rPr>
        <w:t>m</w:t>
      </w:r>
      <w:r>
        <w:rPr>
          <w:rFonts w:ascii="Book Antiqua" w:hAnsi="Book Antiqua" w:eastAsia="Book Antiqua" w:cs="Book Antiqua"/>
          <w:color w:val="000000"/>
        </w:rPr>
        <w:t xml:space="preserve">anagement of </w:t>
      </w:r>
      <w:r>
        <w:rPr>
          <w:rFonts w:ascii="Book Antiqua" w:hAnsi="Book Antiqua" w:cs="Book Antiqua"/>
          <w:color w:val="000000"/>
          <w:lang w:eastAsia="zh-CN"/>
        </w:rPr>
        <w:t>i</w:t>
      </w:r>
      <w:r>
        <w:rPr>
          <w:rFonts w:ascii="Book Antiqua" w:hAnsi="Book Antiqua" w:eastAsia="Book Antiqua" w:cs="Book Antiqua"/>
          <w:color w:val="000000"/>
        </w:rPr>
        <w:t xml:space="preserve">ron </w:t>
      </w:r>
      <w:r>
        <w:rPr>
          <w:rFonts w:ascii="Book Antiqua" w:hAnsi="Book Antiqua" w:cs="Book Antiqua"/>
          <w:color w:val="000000"/>
          <w:lang w:eastAsia="zh-CN"/>
        </w:rPr>
        <w:t>d</w:t>
      </w:r>
      <w:r>
        <w:rPr>
          <w:rFonts w:ascii="Book Antiqua" w:hAnsi="Book Antiqua" w:eastAsia="Book Antiqua" w:cs="Book Antiqua"/>
          <w:color w:val="000000"/>
        </w:rPr>
        <w:t xml:space="preserve">eficiency </w:t>
      </w:r>
      <w:r>
        <w:rPr>
          <w:rFonts w:ascii="Book Antiqua" w:hAnsi="Book Antiqua" w:cs="Book Antiqua"/>
          <w:color w:val="000000"/>
          <w:lang w:eastAsia="zh-CN"/>
        </w:rPr>
        <w:t>a</w:t>
      </w:r>
      <w:r>
        <w:rPr>
          <w:rFonts w:ascii="Book Antiqua" w:hAnsi="Book Antiqua" w:eastAsia="Book Antiqua" w:cs="Book Antiqua"/>
          <w:color w:val="000000"/>
        </w:rPr>
        <w:t xml:space="preserve">nemia in </w:t>
      </w:r>
      <w:r>
        <w:rPr>
          <w:rFonts w:ascii="Book Antiqua" w:hAnsi="Book Antiqua" w:cs="Book Antiqua"/>
          <w:color w:val="000000"/>
          <w:lang w:eastAsia="zh-CN"/>
        </w:rPr>
        <w:t>p</w:t>
      </w:r>
      <w:r>
        <w:rPr>
          <w:rFonts w:ascii="Book Antiqua" w:hAnsi="Book Antiqua" w:eastAsia="Book Antiqua" w:cs="Book Antiqua"/>
          <w:color w:val="000000"/>
        </w:rPr>
        <w:t xml:space="preserve">ediatric </w:t>
      </w:r>
      <w:r>
        <w:rPr>
          <w:rFonts w:ascii="Book Antiqua" w:hAnsi="Book Antiqua" w:cs="Book Antiqua"/>
          <w:color w:val="000000"/>
          <w:lang w:eastAsia="zh-CN"/>
        </w:rPr>
        <w:t>p</w:t>
      </w:r>
      <w:r>
        <w:rPr>
          <w:rFonts w:ascii="Book Antiqua" w:hAnsi="Book Antiqua" w:eastAsia="Book Antiqua" w:cs="Book Antiqua"/>
          <w:color w:val="000000"/>
        </w:rPr>
        <w:t xml:space="preserve">atients with </w:t>
      </w:r>
      <w:r>
        <w:rPr>
          <w:rFonts w:ascii="Book Antiqua" w:hAnsi="Book Antiqua" w:cs="Book Antiqua"/>
          <w:color w:val="000000"/>
          <w:lang w:eastAsia="zh-CN"/>
        </w:rPr>
        <w:t>i</w:t>
      </w:r>
      <w:r>
        <w:rPr>
          <w:rFonts w:ascii="Book Antiqua" w:hAnsi="Book Antiqua" w:eastAsia="Book Antiqua" w:cs="Book Antiqua"/>
          <w:color w:val="000000"/>
        </w:rPr>
        <w:t xml:space="preserve">nflammatory </w:t>
      </w:r>
      <w:r>
        <w:rPr>
          <w:rFonts w:ascii="Book Antiqua" w:hAnsi="Book Antiqua" w:cs="Book Antiqua"/>
          <w:color w:val="000000"/>
          <w:lang w:eastAsia="zh-CN"/>
        </w:rPr>
        <w:t>b</w:t>
      </w:r>
      <w:r>
        <w:rPr>
          <w:rFonts w:ascii="Book Antiqua" w:hAnsi="Book Antiqua" w:eastAsia="Book Antiqua" w:cs="Book Antiqua"/>
          <w:color w:val="000000"/>
        </w:rPr>
        <w:t xml:space="preserve">owel </w:t>
      </w:r>
      <w:r>
        <w:rPr>
          <w:rFonts w:ascii="Book Antiqua" w:hAnsi="Book Antiqua" w:cs="Book Antiqua"/>
          <w:color w:val="000000"/>
          <w:lang w:eastAsia="zh-CN"/>
        </w:rPr>
        <w:t>d</w:t>
      </w:r>
      <w:r>
        <w:rPr>
          <w:rFonts w:ascii="Book Antiqua" w:hAnsi="Book Antiqua" w:eastAsia="Book Antiqua" w:cs="Book Antiqua"/>
          <w:color w:val="000000"/>
        </w:rPr>
        <w:t xml:space="preserve">isease: A </w:t>
      </w:r>
      <w:r>
        <w:rPr>
          <w:rFonts w:ascii="Book Antiqua" w:hAnsi="Book Antiqua" w:cs="Book Antiqua"/>
          <w:color w:val="000000"/>
          <w:lang w:eastAsia="zh-CN"/>
        </w:rPr>
        <w:t>s</w:t>
      </w:r>
      <w:r>
        <w:rPr>
          <w:rFonts w:ascii="Book Antiqua" w:hAnsi="Book Antiqua" w:eastAsia="Book Antiqua" w:cs="Book Antiqua"/>
          <w:color w:val="000000"/>
        </w:rPr>
        <w:t xml:space="preserve">ingle </w:t>
      </w:r>
      <w:r>
        <w:rPr>
          <w:rFonts w:ascii="Book Antiqua" w:hAnsi="Book Antiqua" w:cs="Book Antiqua"/>
          <w:color w:val="000000"/>
          <w:lang w:eastAsia="zh-CN"/>
        </w:rPr>
        <w:t>c</w:t>
      </w:r>
      <w:r>
        <w:rPr>
          <w:rFonts w:ascii="Book Antiqua" w:hAnsi="Book Antiqua" w:eastAsia="Book Antiqua" w:cs="Book Antiqua"/>
          <w:color w:val="000000"/>
        </w:rPr>
        <w:t xml:space="preserve">enter </w:t>
      </w:r>
      <w:r>
        <w:rPr>
          <w:rFonts w:ascii="Book Antiqua" w:hAnsi="Book Antiqua" w:cs="Book Antiqua"/>
          <w:color w:val="000000"/>
          <w:lang w:eastAsia="zh-CN"/>
        </w:rPr>
        <w:t>e</w:t>
      </w:r>
      <w:r>
        <w:rPr>
          <w:rFonts w:ascii="Book Antiqua" w:hAnsi="Book Antiqua" w:eastAsia="Book Antiqua" w:cs="Book Antiqua"/>
          <w:color w:val="000000"/>
        </w:rPr>
        <w:t>xperience</w:t>
      </w:r>
      <w:r>
        <w:rPr>
          <w:rFonts w:ascii="Book Antiqua" w:hAnsi="Book Antiqua" w:eastAsia="Book Antiqua" w:cs="Book Antiqua"/>
        </w:rPr>
        <w:t xml:space="preserve">. </w:t>
      </w:r>
      <w:r>
        <w:rPr>
          <w:rFonts w:ascii="Book Antiqua" w:hAnsi="Book Antiqua" w:eastAsia="Book Antiqua" w:cs="Book Antiqua"/>
          <w:i/>
          <w:iCs/>
        </w:rPr>
        <w:t>World J Clin Pediatr</w:t>
      </w:r>
      <w:r>
        <w:rPr>
          <w:rFonts w:ascii="Book Antiqua" w:hAnsi="Book Antiqua" w:eastAsia="Book Antiqua" w:cs="Book Antiqua"/>
        </w:rPr>
        <w:t xml:space="preserve"> 2024; </w:t>
      </w:r>
      <w:r>
        <w:rPr>
          <w:rFonts w:hint="eastAsia" w:ascii="Book Antiqua" w:hAnsi="Book Antiqua" w:eastAsia="Book Antiqua" w:cs="Book Antiqua"/>
        </w:rPr>
        <w:t>1</w:t>
      </w:r>
      <w:r>
        <w:rPr>
          <w:rFonts w:hint="eastAsia" w:ascii="Book Antiqua" w:hAnsi="Book Antiqua" w:eastAsia="宋体" w:cs="Book Antiqua"/>
          <w:lang w:val="en-US" w:eastAsia="zh-CN"/>
        </w:rPr>
        <w:t>3</w:t>
      </w:r>
      <w:r>
        <w:rPr>
          <w:rFonts w:hint="eastAsia" w:ascii="Book Antiqua" w:hAnsi="Book Antiqua" w:eastAsia="Book Antiqua" w:cs="Book Antiqua"/>
        </w:rPr>
        <w:t>(</w:t>
      </w:r>
      <w:r>
        <w:rPr>
          <w:rFonts w:hint="eastAsia" w:ascii="Book Antiqua" w:hAnsi="Book Antiqua" w:eastAsia="宋体" w:cs="Book Antiqua"/>
          <w:lang w:val="en-US" w:eastAsia="zh-CN"/>
        </w:rPr>
        <w:t>1</w:t>
      </w:r>
      <w:r>
        <w:rPr>
          <w:rFonts w:hint="eastAsia" w:ascii="Book Antiqua" w:hAnsi="Book Antiqua" w:eastAsia="Book Antiqua" w:cs="Book Antiqua"/>
        </w:rPr>
        <w:t xml:space="preserve">): </w:t>
      </w:r>
      <w:r>
        <w:rPr>
          <w:rFonts w:hint="eastAsia" w:ascii="Book Antiqua" w:hAnsi="Book Antiqua" w:cs="Book Antiqua"/>
          <w:lang w:val="en-US" w:eastAsia="zh-CN"/>
        </w:rPr>
        <w:t>89318</w:t>
      </w:r>
    </w:p>
    <w:p>
      <w:pPr>
        <w:spacing w:line="360" w:lineRule="auto"/>
        <w:jc w:val="both"/>
        <w:rPr>
          <w:rFonts w:hint="eastAsia" w:ascii="Book Antiqua" w:hAnsi="Book Antiqua" w:eastAsia="Book Antiqua" w:cs="Book Antiqua"/>
          <w:color w:val="auto"/>
          <w:u w:val="none"/>
        </w:rPr>
      </w:pPr>
      <w:r>
        <w:rPr>
          <w:rFonts w:hint="eastAsia" w:ascii="Book Antiqua" w:hAnsi="Book Antiqua" w:eastAsia="Book Antiqua" w:cs="Book Antiqua"/>
          <w:b/>
          <w:bCs/>
        </w:rPr>
        <w:t>URL</w:t>
      </w:r>
      <w:r>
        <w:rPr>
          <w:rFonts w:hint="eastAsia" w:ascii="Book Antiqua" w:hAnsi="Book Antiqua" w:eastAsia="Book Antiqua" w:cs="Book Antiqua"/>
        </w:rPr>
        <w:t xml:space="preserve">: </w:t>
      </w:r>
      <w:r>
        <w:rPr>
          <w:rFonts w:hint="eastAsia" w:ascii="Book Antiqua" w:hAnsi="Book Antiqua" w:eastAsia="Book Antiqua" w:cs="Book Antiqua"/>
          <w:color w:val="auto"/>
          <w:u w:val="none"/>
        </w:rPr>
        <w:t>https://www.wjgnet.com/2219-2808/full/v1</w:t>
      </w:r>
      <w:r>
        <w:rPr>
          <w:rFonts w:hint="eastAsia" w:ascii="Book Antiqua" w:hAnsi="Book Antiqua" w:eastAsia="宋体" w:cs="Book Antiqua"/>
          <w:color w:val="auto"/>
          <w:u w:val="none"/>
          <w:lang w:val="en-US" w:eastAsia="zh-CN"/>
        </w:rPr>
        <w:t>3</w:t>
      </w:r>
      <w:r>
        <w:rPr>
          <w:rFonts w:hint="eastAsia" w:ascii="Book Antiqua" w:hAnsi="Book Antiqua" w:eastAsia="Book Antiqua" w:cs="Book Antiqua"/>
          <w:color w:val="auto"/>
          <w:u w:val="none"/>
        </w:rPr>
        <w:t>/i</w:t>
      </w:r>
      <w:r>
        <w:rPr>
          <w:rFonts w:hint="eastAsia" w:ascii="Book Antiqua" w:hAnsi="Book Antiqua" w:eastAsia="宋体" w:cs="Book Antiqua"/>
          <w:color w:val="auto"/>
          <w:u w:val="none"/>
          <w:lang w:val="en-US" w:eastAsia="zh-CN"/>
        </w:rPr>
        <w:t>1</w:t>
      </w:r>
      <w:r>
        <w:rPr>
          <w:rFonts w:hint="eastAsia" w:ascii="Book Antiqua" w:hAnsi="Book Antiqua" w:eastAsia="Book Antiqua" w:cs="Book Antiqua"/>
          <w:color w:val="auto"/>
          <w:u w:val="none"/>
        </w:rPr>
        <w:t>/</w:t>
      </w:r>
      <w:r>
        <w:rPr>
          <w:rFonts w:hint="eastAsia" w:ascii="Book Antiqua" w:hAnsi="Book Antiqua" w:cs="Book Antiqua"/>
          <w:color w:val="auto"/>
          <w:u w:val="none"/>
          <w:lang w:val="en-US" w:eastAsia="zh-CN"/>
        </w:rPr>
        <w:t>89318</w:t>
      </w:r>
      <w:r>
        <w:rPr>
          <w:rFonts w:hint="eastAsia" w:ascii="Book Antiqua" w:hAnsi="Book Antiqua" w:eastAsia="Book Antiqua" w:cs="Book Antiqua"/>
          <w:color w:val="auto"/>
          <w:u w:val="none"/>
        </w:rPr>
        <w:t>.htm</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rPr>
        <w:t>DOI</w:t>
      </w:r>
      <w:r>
        <w:rPr>
          <w:rFonts w:hint="eastAsia" w:ascii="Book Antiqua" w:hAnsi="Book Antiqua" w:eastAsia="Book Antiqua" w:cs="Book Antiqua"/>
        </w:rPr>
        <w:t>: https://dx.doi.org/10.5409/wjcp.v1</w:t>
      </w:r>
      <w:r>
        <w:rPr>
          <w:rFonts w:hint="eastAsia" w:ascii="Book Antiqua" w:hAnsi="Book Antiqua" w:eastAsia="宋体" w:cs="Book Antiqua"/>
          <w:lang w:val="en-US" w:eastAsia="zh-CN"/>
        </w:rPr>
        <w:t>3</w:t>
      </w:r>
      <w:r>
        <w:rPr>
          <w:rFonts w:hint="eastAsia" w:ascii="Book Antiqua" w:hAnsi="Book Antiqua" w:eastAsia="Book Antiqua" w:cs="Book Antiqua"/>
        </w:rPr>
        <w:t>.i</w:t>
      </w:r>
      <w:r>
        <w:rPr>
          <w:rFonts w:hint="eastAsia" w:ascii="Book Antiqua" w:hAnsi="Book Antiqua" w:eastAsia="宋体" w:cs="Book Antiqua"/>
          <w:lang w:val="en-US" w:eastAsia="zh-CN"/>
        </w:rPr>
        <w:t>1</w:t>
      </w:r>
      <w:r>
        <w:rPr>
          <w:rFonts w:hint="eastAsia" w:ascii="Book Antiqua" w:hAnsi="Book Antiqua" w:eastAsia="Book Antiqua" w:cs="Book Antiqua"/>
        </w:rPr>
        <w:t>.</w:t>
      </w:r>
      <w:r>
        <w:rPr>
          <w:rFonts w:hint="eastAsia" w:ascii="Book Antiqua" w:hAnsi="Book Antiqua" w:cs="Book Antiqua"/>
          <w:lang w:val="en-US" w:eastAsia="zh-CN"/>
        </w:rPr>
        <w:t>89318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In summary, in our single center study, we found oral iron generally ineffective in pediatric patients with </w:t>
      </w:r>
      <w:r>
        <w:rPr>
          <w:rFonts w:ascii="Book Antiqua" w:hAnsi="Book Antiqua" w:eastAsia="Book Antiqua" w:cs="Book Antiqua"/>
          <w:color w:val="000000"/>
        </w:rPr>
        <w:t>inflammatory bowel disease</w:t>
      </w:r>
      <w:r>
        <w:rPr>
          <w:rFonts w:ascii="Book Antiqua" w:hAnsi="Book Antiqua" w:eastAsia="Book Antiqua" w:cs="Book Antiqua"/>
        </w:rPr>
        <w:t xml:space="preserve"> and active inflammation. Parenteral iron met the primary clinical goal of the study (a 1g/dL increase in hemoglobin). Addressing inflammation without targeted therapy for iron deficiency is unlikely to correct the anemia associated with iron deficiency.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Anemia is one of the most common extraintestinal manifestations observed in patients with inflammatory bowel disease (IBD)</w:t>
      </w:r>
      <w:r>
        <w:rPr>
          <w:rFonts w:ascii="Book Antiqua" w:hAnsi="Book Antiqua" w:eastAsia="Book Antiqua" w:cs="Book Antiqua"/>
          <w:color w:val="000000"/>
          <w:vertAlign w:val="superscript"/>
        </w:rPr>
        <w:t>[1]</w:t>
      </w:r>
      <w:r>
        <w:rPr>
          <w:rFonts w:ascii="Book Antiqua" w:hAnsi="Book Antiqua" w:eastAsia="Book Antiqua" w:cs="Book Antiqua"/>
          <w:color w:val="000000"/>
        </w:rPr>
        <w:t>. Iron deficiency is the leading cause of anemia in these patients, and it is more prevalent in children and adolescents with IBD than adults</w:t>
      </w:r>
      <w:r>
        <w:rPr>
          <w:rFonts w:ascii="Book Antiqua" w:hAnsi="Book Antiqua" w:eastAsia="Book Antiqua" w:cs="Book Antiqua"/>
          <w:color w:val="000000"/>
          <w:vertAlign w:val="superscript"/>
        </w:rPr>
        <w:t>[1,2]</w:t>
      </w:r>
      <w:r>
        <w:rPr>
          <w:rFonts w:ascii="Book Antiqua" w:hAnsi="Book Antiqua" w:eastAsia="Book Antiqua" w:cs="Book Antiqua"/>
          <w:color w:val="000000"/>
        </w:rPr>
        <w:t>. Iron deficiency anemia (IDA) in pediatric patients with IBD is likely due to a combination of factors, including inadequate dietary intake, iron malabsorption, gastrointestinal (GI) blood loss, and reduced iron utilization</w:t>
      </w:r>
      <w:r>
        <w:rPr>
          <w:rFonts w:ascii="Book Antiqua" w:hAnsi="Book Antiqua" w:eastAsia="Book Antiqua" w:cs="Book Antiqua"/>
          <w:color w:val="000000"/>
          <w:vertAlign w:val="superscript"/>
        </w:rPr>
        <w:t>[3]</w:t>
      </w:r>
      <w:r>
        <w:rPr>
          <w:rFonts w:ascii="Book Antiqua" w:hAnsi="Book Antiqua" w:eastAsia="Book Antiqua" w:cs="Book Antiqua"/>
          <w:color w:val="000000"/>
        </w:rPr>
        <w:t>. Persistent IDA increases IBD-related morbidity, and its severity is inversely correlated with patient quality of life</w:t>
      </w:r>
      <w:r>
        <w:rPr>
          <w:rFonts w:ascii="Book Antiqua" w:hAnsi="Book Antiqua" w:eastAsia="Book Antiqua" w:cs="Book Antiqua"/>
          <w:color w:val="000000"/>
          <w:vertAlign w:val="superscript"/>
        </w:rPr>
        <w:t>[4,5]</w:t>
      </w:r>
      <w:r>
        <w:rPr>
          <w:rFonts w:ascii="Book Antiqua" w:hAnsi="Book Antiqua" w:eastAsia="Book Antiqua" w:cs="Book Antiqua"/>
          <w:color w:val="000000"/>
        </w:rPr>
        <w:t>. The clinical impact of IDA falls disproportionately on pediatric patients with IBD due to the potential for negative impact on physical and cognitive development during childhood</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 are published guidelines outlining the need to include IDA screening and treatment in managing pediatric patients with IBD</w:t>
      </w:r>
      <w:r>
        <w:rPr>
          <w:rFonts w:ascii="Book Antiqua" w:hAnsi="Book Antiqua" w:eastAsia="Book Antiqua" w:cs="Book Antiqua"/>
          <w:color w:val="000000"/>
          <w:vertAlign w:val="superscript"/>
        </w:rPr>
        <w:t>[7–9]</w:t>
      </w:r>
      <w:r>
        <w:rPr>
          <w:rFonts w:ascii="Book Antiqua" w:hAnsi="Book Antiqua" w:eastAsia="Book Antiqua" w:cs="Book Antiqua"/>
          <w:color w:val="000000"/>
        </w:rPr>
        <w:t>. Oral iron has been shown to be cost-effective in managing IDA</w:t>
      </w:r>
      <w:r>
        <w:rPr>
          <w:rFonts w:ascii="Book Antiqua" w:hAnsi="Book Antiqua" w:eastAsia="Book Antiqua" w:cs="Book Antiqua"/>
          <w:color w:val="000000"/>
          <w:vertAlign w:val="superscript"/>
        </w:rPr>
        <w:t>[7]</w:t>
      </w:r>
      <w:r>
        <w:rPr>
          <w:rFonts w:ascii="Book Antiqua" w:hAnsi="Book Antiqua" w:eastAsia="Book Antiqua" w:cs="Book Antiqua"/>
          <w:color w:val="000000"/>
        </w:rPr>
        <w:t>. However, this approach is limited by poor compliance</w:t>
      </w:r>
      <w:r>
        <w:rPr>
          <w:rFonts w:ascii="Book Antiqua" w:hAnsi="Book Antiqua" w:eastAsia="Book Antiqua" w:cs="Book Antiqua"/>
          <w:color w:val="000000"/>
          <w:vertAlign w:val="superscript"/>
        </w:rPr>
        <w:t>[10,11]</w:t>
      </w:r>
      <w:r>
        <w:rPr>
          <w:rFonts w:ascii="Book Antiqua" w:hAnsi="Book Antiqua" w:eastAsia="Book Antiqua" w:cs="Book Antiqua"/>
          <w:color w:val="000000"/>
        </w:rPr>
        <w:t>, malabsorption, and decreased utilization of orally administered iron in the context of chronic inflammation</w:t>
      </w:r>
      <w:r>
        <w:rPr>
          <w:rFonts w:ascii="Book Antiqua" w:hAnsi="Book Antiqua" w:eastAsia="Book Antiqua" w:cs="Book Antiqua"/>
          <w:color w:val="000000"/>
          <w:vertAlign w:val="superscript"/>
        </w:rPr>
        <w:t>[12,13]</w:t>
      </w:r>
      <w:r>
        <w:rPr>
          <w:rFonts w:ascii="Book Antiqua" w:hAnsi="Book Antiqua" w:eastAsia="Book Antiqua" w:cs="Book Antiqua"/>
          <w:color w:val="000000"/>
        </w:rPr>
        <w:t>. Data from several comparative studies have demonstrated that intravenous (IV) iron therapy may be a better approach than oral iron to correct IDA, particularly in patients with active disease</w:t>
      </w:r>
      <w:r>
        <w:rPr>
          <w:rFonts w:ascii="Book Antiqua" w:hAnsi="Book Antiqua" w:eastAsia="Book Antiqua" w:cs="Book Antiqua"/>
          <w:color w:val="000000"/>
          <w:vertAlign w:val="superscript"/>
        </w:rPr>
        <w:t>[14,15]</w:t>
      </w:r>
      <w:r>
        <w:rPr>
          <w:rFonts w:ascii="Book Antiqua" w:hAnsi="Book Antiqua" w:eastAsia="Book Antiqua" w:cs="Book Antiqua"/>
          <w:color w:val="000000"/>
        </w:rPr>
        <w:t>. Nevertheless, there is mixed enthusiasm about the use of IV iron in children</w:t>
      </w:r>
      <w:r>
        <w:rPr>
          <w:rFonts w:ascii="Book Antiqua" w:hAnsi="Book Antiqua" w:eastAsia="Book Antiqua" w:cs="Book Antiqua"/>
          <w:color w:val="000000"/>
          <w:vertAlign w:val="superscript"/>
        </w:rPr>
        <w:t>[16]</w:t>
      </w:r>
      <w:r>
        <w:rPr>
          <w:rFonts w:ascii="Book Antiqua" w:hAnsi="Book Antiqua" w:eastAsia="Book Antiqua" w:cs="Book Antiqua"/>
          <w:color w:val="000000"/>
        </w:rPr>
        <w:t>. This reluctance likely arises from concerns about adverse reactions associated with IV iron administration and the lack of published data on the clinical efficacy and safety of newer IV iron formulations in this patient population</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primary aim of this observational study was to prospectively evaluate the efficacy and safety of IV iron therapy for managing IDA in pediatric patients admitted to our center to manage clinical exacerbations of their IBD.</w:t>
      </w:r>
    </w:p>
    <w:p>
      <w:pPr>
        <w:spacing w:line="360" w:lineRule="auto"/>
        <w:jc w:val="both"/>
        <w:rPr>
          <w:rFonts w:ascii="Book Antiqua" w:hAnsi="Book Antiqua"/>
          <w:lang w:eastAsia="zh-CN"/>
        </w:rPr>
      </w:pPr>
    </w:p>
    <w:p>
      <w:pPr>
        <w:spacing w:line="360" w:lineRule="auto"/>
        <w:jc w:val="both"/>
        <w:rPr>
          <w:rFonts w:ascii="Book Antiqua" w:hAnsi="Book Antiqua" w:cs="Book Antiqua"/>
          <w:b/>
          <w:caps/>
          <w:color w:val="000000"/>
          <w:u w:val="single"/>
          <w:lang w:eastAsia="zh-CN"/>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rPr>
      </w:pPr>
      <w:r>
        <w:rPr>
          <w:rFonts w:ascii="Book Antiqua" w:hAnsi="Book Antiqua" w:eastAsia="Book Antiqua" w:cs="Book Antiqua"/>
          <w:b/>
          <w:i/>
          <w:iCs/>
          <w:color w:val="000000"/>
        </w:rPr>
        <w:t xml:space="preserve">Study </w:t>
      </w:r>
      <w:r>
        <w:rPr>
          <w:rFonts w:hint="eastAsia" w:ascii="Book Antiqua" w:hAnsi="Book Antiqua" w:cs="Book Antiqua"/>
          <w:b/>
          <w:i/>
          <w:iCs/>
          <w:color w:val="000000"/>
          <w:lang w:eastAsia="zh-CN"/>
        </w:rPr>
        <w:t>d</w:t>
      </w:r>
      <w:r>
        <w:rPr>
          <w:rFonts w:ascii="Book Antiqua" w:hAnsi="Book Antiqua" w:eastAsia="Book Antiqua" w:cs="Book Antiqua"/>
          <w:b/>
          <w:i/>
          <w:iCs/>
          <w:color w:val="000000"/>
        </w:rPr>
        <w:t>esign</w:t>
      </w:r>
    </w:p>
    <w:p>
      <w:pPr>
        <w:spacing w:line="360" w:lineRule="auto"/>
        <w:jc w:val="both"/>
        <w:rPr>
          <w:rFonts w:ascii="Book Antiqua" w:hAnsi="Book Antiqua"/>
        </w:rPr>
      </w:pPr>
      <w:r>
        <w:rPr>
          <w:rFonts w:ascii="Book Antiqua" w:hAnsi="Book Antiqua" w:eastAsia="Book Antiqua" w:cs="Book Antiqua"/>
          <w:color w:val="000000"/>
        </w:rPr>
        <w:t>This prospective, open-label, observational cohort study</w:t>
      </w:r>
      <w:r>
        <w:rPr>
          <w:rFonts w:ascii="Book Antiqua" w:hAnsi="Book Antiqua" w:eastAsia="Book Antiqua" w:cs="Book Antiqua"/>
          <w:b/>
          <w:bCs/>
          <w:color w:val="000000"/>
        </w:rPr>
        <w:t xml:space="preserve"> </w:t>
      </w:r>
      <w:r>
        <w:rPr>
          <w:rFonts w:ascii="Book Antiqua" w:hAnsi="Book Antiqua" w:eastAsia="Book Antiqua" w:cs="Book Antiqua"/>
          <w:color w:val="000000"/>
        </w:rPr>
        <w:t>examined consecutive patients (</w:t>
      </w:r>
      <w:r>
        <w:rPr>
          <w:rFonts w:ascii="Book Antiqua" w:hAnsi="Book Antiqua"/>
          <w:color w:val="000000"/>
        </w:rPr>
        <w:t>≤</w:t>
      </w:r>
      <w:r>
        <w:rPr>
          <w:rFonts w:hint="eastAsia"/>
          <w:color w:val="000000"/>
          <w:lang w:eastAsia="zh-CN"/>
        </w:rPr>
        <w:t xml:space="preserve"> </w:t>
      </w:r>
      <w:r>
        <w:rPr>
          <w:rFonts w:ascii="Book Antiqua" w:hAnsi="Book Antiqua" w:eastAsia="Book Antiqua" w:cs="Book Antiqua"/>
          <w:color w:val="000000"/>
        </w:rPr>
        <w:t>23 years of age) admitted to Boston Children's Hospital (BCH) to manage clinically active IBD between September 2017 and December 2019</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This study was approved by the Boston Children's Hospital Institutional Review Board (IRB #P00024515).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IDA was based on laboratory values and iron studies </w:t>
      </w:r>
      <w:r>
        <w:rPr>
          <w:rFonts w:hint="eastAsia" w:ascii="Book Antiqua" w:hAnsi="Book Antiqua" w:cs="Book Antiqua"/>
          <w:color w:val="000000"/>
          <w:lang w:eastAsia="zh-CN"/>
        </w:rPr>
        <w:t>[</w:t>
      </w:r>
      <w:r>
        <w:rPr>
          <w:rFonts w:ascii="Book Antiqua" w:hAnsi="Book Antiqua" w:eastAsia="Book Antiqua" w:cs="Book Antiqua"/>
          <w:color w:val="000000"/>
        </w:rPr>
        <w:t xml:space="preserve">ferritin, serum iron, and total iron-binding capacity </w:t>
      </w:r>
      <w:r>
        <w:rPr>
          <w:rFonts w:hint="eastAsia" w:ascii="Book Antiqua" w:hAnsi="Book Antiqua" w:cs="Book Antiqua"/>
          <w:color w:val="000000"/>
          <w:lang w:eastAsia="zh-CN"/>
        </w:rPr>
        <w:t>(</w:t>
      </w:r>
      <w:r>
        <w:rPr>
          <w:rFonts w:ascii="Book Antiqua" w:hAnsi="Book Antiqua" w:eastAsia="Book Antiqua" w:cs="Book Antiqua"/>
          <w:color w:val="000000"/>
        </w:rPr>
        <w:t>TIBC</w:t>
      </w:r>
      <w:r>
        <w:rPr>
          <w:rFonts w:hint="eastAsia" w:ascii="Book Antiqua" w:hAnsi="Book Antiqua" w:cs="Book Antiqua"/>
          <w:color w:val="000000"/>
          <w:lang w:eastAsia="zh-CN"/>
        </w:rPr>
        <w:t>)]</w:t>
      </w:r>
      <w:r>
        <w:rPr>
          <w:rFonts w:ascii="Book Antiqua" w:hAnsi="Book Antiqua" w:eastAsia="Book Antiqua" w:cs="Book Antiqua"/>
          <w:color w:val="000000"/>
        </w:rPr>
        <w:t xml:space="preserve"> obtained on admission. Patients were screened using the electronic medical record to identify those with an established diagnosis of IBD using the Porto Criteria, including ulcerative colitis (UC), Crohn’s disease (CD), and indeterminate colitis (IC). Exclusion criteria included known or suspected concurrent infection, a history of small bowel resection or colectomy requiring packed red blood cell transfusion, or treatment with concurrent IV and oral iron therapy between admission and first follow-up visit (</w:t>
      </w:r>
      <w:bookmarkStart w:id="490" w:name="OLE_LINK7891"/>
      <w:bookmarkStart w:id="491" w:name="OLE_LINK7890"/>
      <w:r>
        <w:rPr>
          <w:rFonts w:ascii="Book Antiqua" w:hAnsi="Book Antiqua" w:eastAsia="Book Antiqua" w:cs="Book Antiqua"/>
          <w:color w:val="000000"/>
        </w:rPr>
        <w:t>Fig</w:t>
      </w:r>
      <w:bookmarkEnd w:id="490"/>
      <w:bookmarkEnd w:id="491"/>
      <w:r>
        <w:rPr>
          <w:rFonts w:ascii="Book Antiqua" w:hAnsi="Book Antiqua" w:eastAsia="Book Antiqua" w:cs="Book Antiqua"/>
          <w:color w:val="000000"/>
        </w:rPr>
        <w:t xml:space="preserve">ure 1).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Anemia was defined according to the World Health Organization criteria as hemoglobin (Hb)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11.5 g/dL for patients 5-11 years of age,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13 g/dL in males 12 years and older, and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12 g/dL in females 12 years and older</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Iron deficiency was indicated by one of the following: </w:t>
      </w:r>
      <w:r>
        <w:rPr>
          <w:rFonts w:hint="eastAsia" w:ascii="Book Antiqua" w:hAnsi="Book Antiqua" w:cs="Book Antiqua"/>
          <w:color w:val="000000"/>
          <w:lang w:eastAsia="zh-CN"/>
        </w:rPr>
        <w:t>S</w:t>
      </w:r>
      <w:r>
        <w:rPr>
          <w:rFonts w:ascii="Book Antiqua" w:hAnsi="Book Antiqua" w:eastAsia="Book Antiqua" w:cs="Book Antiqua"/>
          <w:color w:val="000000"/>
        </w:rPr>
        <w:t>erum iron &lt;</w:t>
      </w:r>
      <w:r>
        <w:rPr>
          <w:rFonts w:hint="eastAsia" w:ascii="Book Antiqua" w:hAnsi="Book Antiqua" w:cs="Book Antiqua"/>
          <w:color w:val="000000"/>
          <w:lang w:eastAsia="zh-CN"/>
        </w:rPr>
        <w:t xml:space="preserve"> </w:t>
      </w:r>
      <w:r>
        <w:rPr>
          <w:rFonts w:ascii="Book Antiqua" w:hAnsi="Book Antiqua" w:eastAsia="Book Antiqua" w:cs="Book Antiqua"/>
          <w:color w:val="000000"/>
        </w:rPr>
        <w:t>59 mg/dL, TIBC &gt;</w:t>
      </w:r>
      <w:r>
        <w:rPr>
          <w:rFonts w:hint="eastAsia" w:ascii="Book Antiqua" w:hAnsi="Book Antiqua" w:cs="Book Antiqua"/>
          <w:color w:val="000000"/>
          <w:lang w:eastAsia="zh-CN"/>
        </w:rPr>
        <w:t xml:space="preserve"> </w:t>
      </w:r>
      <w:r>
        <w:rPr>
          <w:rFonts w:ascii="Book Antiqua" w:hAnsi="Book Antiqua" w:eastAsia="Book Antiqua" w:cs="Book Antiqua"/>
          <w:color w:val="000000"/>
        </w:rPr>
        <w:t>450 mg/dL, ferritin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100 μg/dL in the presence of an elevated C-reactive protein (CRP) (&gt;</w:t>
      </w:r>
      <w:r>
        <w:rPr>
          <w:rFonts w:hint="eastAsia" w:ascii="Book Antiqua" w:hAnsi="Book Antiqua" w:cs="Book Antiqua"/>
          <w:color w:val="000000"/>
          <w:lang w:eastAsia="zh-CN"/>
        </w:rPr>
        <w:t xml:space="preserve"> </w:t>
      </w:r>
      <w:r>
        <w:rPr>
          <w:rFonts w:ascii="Book Antiqua" w:hAnsi="Book Antiqua" w:eastAsia="Book Antiqua" w:cs="Book Antiqua"/>
          <w:color w:val="000000"/>
        </w:rPr>
        <w:t>1 mg/dL) or ferritin &lt;</w:t>
      </w:r>
      <w:r>
        <w:rPr>
          <w:rFonts w:hint="eastAsia" w:ascii="Book Antiqua" w:hAnsi="Book Antiqua" w:cs="Book Antiqua"/>
          <w:color w:val="000000"/>
          <w:lang w:eastAsia="zh-CN"/>
        </w:rPr>
        <w:t xml:space="preserve"> </w:t>
      </w:r>
      <w:r>
        <w:rPr>
          <w:rFonts w:ascii="Book Antiqua" w:hAnsi="Book Antiqua" w:eastAsia="Book Antiqua" w:cs="Book Antiqua"/>
          <w:color w:val="000000"/>
        </w:rPr>
        <w:t>30 μg/dL in the presence of a normal CRP (0</w:t>
      </w:r>
      <w:r>
        <w:rPr>
          <w:rFonts w:hint="eastAsia" w:ascii="Book Antiqua" w:hAnsi="Book Antiqua" w:cs="Book Antiqua"/>
          <w:color w:val="000000"/>
          <w:lang w:eastAsia="zh-CN"/>
        </w:rPr>
        <w:t>-</w:t>
      </w:r>
      <w:r>
        <w:rPr>
          <w:rFonts w:ascii="Book Antiqua" w:hAnsi="Book Antiqua" w:eastAsia="Book Antiqua" w:cs="Book Antiqua"/>
          <w:color w:val="000000"/>
        </w:rPr>
        <w:t>1 mg/dL). These standards follow published guidelines for diagnosing and treating IDA in patients with IBD</w:t>
      </w:r>
      <w:r>
        <w:rPr>
          <w:rFonts w:ascii="Book Antiqua" w:hAnsi="Book Antiqua" w:eastAsia="Book Antiqua" w:cs="Book Antiqua"/>
          <w:color w:val="000000"/>
          <w:vertAlign w:val="superscript"/>
        </w:rPr>
        <w:t>[18,19]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Research Study Coordinators reviewed the inpatient census daily to assess patient laboratory studies. They notified clinical staff of patients meeting the criteria for iron deficiency and provided them with information about the parenteral IV formulations available on the hospital formulary and dosing guidelines using a standardized electronic template. The inpatient team subsequently made all decisions concerning the preparation and dose of parenteral or oral iron prescribed for individual patients. The recommended repletion dose of IV iron was based on a validated metric that took into account lean body weight (LBW), as well as measured and target Hb levels (Hb</w:t>
      </w:r>
      <w:r>
        <w:rPr>
          <w:rFonts w:ascii="Book Antiqua" w:hAnsi="Book Antiqua" w:eastAsia="Book Antiqua" w:cs="Book Antiqua"/>
          <w:color w:val="000000"/>
          <w:vertAlign w:val="subscript"/>
        </w:rPr>
        <w:t>0</w:t>
      </w:r>
      <w:r>
        <w:rPr>
          <w:rFonts w:ascii="Book Antiqua" w:hAnsi="Book Antiqua" w:eastAsia="Book Antiqua" w:cs="Book Antiqua"/>
          <w:color w:val="000000"/>
        </w:rPr>
        <w:t xml:space="preserve"> and Hb</w:t>
      </w:r>
      <w:r>
        <w:rPr>
          <w:rFonts w:ascii="Book Antiqua" w:hAnsi="Book Antiqua" w:eastAsia="Book Antiqua" w:cs="Book Antiqua"/>
          <w:color w:val="000000"/>
          <w:vertAlign w:val="subscript"/>
        </w:rPr>
        <w:t>t</w:t>
      </w:r>
      <w:r>
        <w:rPr>
          <w:rFonts w:ascii="Book Antiqua" w:hAnsi="Book Antiqua" w:eastAsia="Book Antiqua" w:cs="Book Antiqua"/>
          <w:color w:val="000000"/>
        </w:rPr>
        <w:t xml:space="preserve"> g/dL, respectively) (Equation 1).</w:t>
      </w:r>
    </w:p>
    <w:p>
      <w:pPr>
        <w:spacing w:line="360" w:lineRule="auto"/>
        <w:jc w:val="center"/>
        <w:rPr>
          <w:rFonts w:ascii="Book Antiqua" w:hAnsi="Book Antiqua"/>
        </w:rPr>
      </w:pPr>
      <w:r>
        <w:rPr>
          <w:rFonts w:ascii="Book Antiqua" w:hAnsi="Book Antiqua" w:eastAsia="Book Antiqua" w:cs="Book Antiqua"/>
          <w:color w:val="000000"/>
        </w:rPr>
        <w:t>Dose (mg) = 0.0442</w:t>
      </w:r>
      <w:r>
        <w:rPr>
          <w:rFonts w:hint="eastAsia" w:ascii="Book Antiqua" w:hAnsi="Book Antiqua" w:cs="Book Antiqua"/>
          <w:color w:val="000000"/>
          <w:lang w:eastAsia="zh-CN"/>
        </w:rPr>
        <w:t xml:space="preserve"> </w:t>
      </w:r>
      <w:r>
        <w:rPr>
          <w:rFonts w:ascii="Book Antiqua" w:hAnsi="Book Antiqua" w:eastAsia="Book Antiqua" w:cs="Book Antiqua"/>
          <w:color w:val="000000"/>
        </w:rPr>
        <w:t>× LBW (kg) × (Hb</w:t>
      </w:r>
      <w:r>
        <w:rPr>
          <w:rFonts w:ascii="Book Antiqua" w:hAnsi="Book Antiqua" w:eastAsia="Book Antiqua" w:cs="Book Antiqua"/>
          <w:color w:val="000000"/>
          <w:vertAlign w:val="subscript"/>
        </w:rPr>
        <w:t>t</w:t>
      </w:r>
      <w:r>
        <w:rPr>
          <w:rFonts w:ascii="Book Antiqua" w:hAnsi="Book Antiqua" w:eastAsia="Book Antiqua" w:cs="Book Antiqua"/>
          <w:color w:val="000000"/>
        </w:rPr>
        <w:t>-Hb</w:t>
      </w:r>
      <w:r>
        <w:rPr>
          <w:rFonts w:ascii="Book Antiqua" w:hAnsi="Book Antiqua" w:eastAsia="Book Antiqua" w:cs="Book Antiqua"/>
          <w:color w:val="000000"/>
          <w:vertAlign w:val="subscript"/>
        </w:rPr>
        <w:t>0</w:t>
      </w:r>
      <w:r>
        <w:rPr>
          <w:rFonts w:ascii="Book Antiqua" w:hAnsi="Book Antiqua" w:eastAsia="Book Antiqua" w:cs="Book Antiqua"/>
          <w:color w:val="000000"/>
        </w:rPr>
        <w:t>) + [0.26 × LBW (kg)] ×</w:t>
      </w:r>
      <w:r>
        <w:rPr>
          <w:rFonts w:hint="eastAsia" w:ascii="Book Antiqua" w:hAnsi="Book Antiqua" w:cs="Book Antiqua"/>
          <w:color w:val="000000"/>
          <w:lang w:eastAsia="zh-CN"/>
        </w:rPr>
        <w:t xml:space="preserve"> </w:t>
      </w:r>
      <w:r>
        <w:rPr>
          <w:rFonts w:ascii="Book Antiqua" w:hAnsi="Book Antiqua" w:eastAsia="Book Antiqua" w:cs="Book Antiqua"/>
          <w:color w:val="000000"/>
        </w:rPr>
        <w:t>50 mg/mL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LBW was determined using each patient's total body mass and height</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Target hemoglobin (Hb</w:t>
      </w:r>
      <w:r>
        <w:rPr>
          <w:rFonts w:ascii="Book Antiqua" w:hAnsi="Book Antiqua" w:eastAsia="Book Antiqua" w:cs="Book Antiqua"/>
          <w:color w:val="000000"/>
          <w:vertAlign w:val="subscript"/>
        </w:rPr>
        <w:t>t</w:t>
      </w:r>
      <w:r>
        <w:rPr>
          <w:rFonts w:ascii="Book Antiqua" w:hAnsi="Book Antiqua" w:eastAsia="Book Antiqua" w:cs="Book Antiqua"/>
          <w:color w:val="000000"/>
        </w:rPr>
        <w:t xml:space="preserve">) was determined from total body mass: </w:t>
      </w:r>
      <w:r>
        <w:rPr>
          <w:rFonts w:hint="eastAsia" w:ascii="Book Antiqua" w:hAnsi="Book Antiqua" w:cs="Book Antiqua"/>
          <w:color w:val="000000"/>
          <w:lang w:eastAsia="zh-CN"/>
        </w:rPr>
        <w:t>I</w:t>
      </w:r>
      <w:r>
        <w:rPr>
          <w:rFonts w:ascii="Book Antiqua" w:hAnsi="Book Antiqua" w:eastAsia="Book Antiqua" w:cs="Book Antiqua"/>
          <w:color w:val="000000"/>
        </w:rPr>
        <w:t>f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15 kg, Hb</w:t>
      </w:r>
      <w:r>
        <w:rPr>
          <w:rFonts w:ascii="Book Antiqua" w:hAnsi="Book Antiqua" w:eastAsia="Book Antiqua" w:cs="Book Antiqua"/>
          <w:color w:val="000000"/>
          <w:vertAlign w:val="subscript"/>
        </w:rPr>
        <w:t>t</w:t>
      </w:r>
      <w:r>
        <w:rPr>
          <w:rFonts w:hint="eastAsia" w:ascii="Book Antiqua" w:hAnsi="Book Antiqua" w:cs="Book Antiqua"/>
          <w:color w:val="000000"/>
          <w:vertAlign w:val="subscript"/>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12.0 g/dL; if ≥</w:t>
      </w:r>
      <w:r>
        <w:rPr>
          <w:rFonts w:hint="eastAsia" w:ascii="Book Antiqua" w:hAnsi="Book Antiqua" w:cs="Book Antiqua"/>
          <w:color w:val="000000"/>
          <w:lang w:eastAsia="zh-CN"/>
        </w:rPr>
        <w:t xml:space="preserve"> </w:t>
      </w:r>
      <w:r>
        <w:rPr>
          <w:rFonts w:ascii="Book Antiqua" w:hAnsi="Book Antiqua" w:eastAsia="Book Antiqua" w:cs="Book Antiqua"/>
          <w:color w:val="000000"/>
        </w:rPr>
        <w:t>15 kg, Hb</w:t>
      </w:r>
      <w:r>
        <w:rPr>
          <w:rFonts w:ascii="Book Antiqua" w:hAnsi="Book Antiqua" w:eastAsia="Book Antiqua" w:cs="Book Antiqua"/>
          <w:color w:val="000000"/>
          <w:vertAlign w:val="subscript"/>
        </w:rPr>
        <w:t>t</w:t>
      </w:r>
      <w:r>
        <w:rPr>
          <w:rFonts w:hint="eastAsia" w:ascii="Book Antiqua" w:hAnsi="Book Antiqua" w:cs="Book Antiqua"/>
          <w:color w:val="000000"/>
          <w:vertAlign w:val="subscript"/>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14.8 g/dL</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Information provided to clinicians was made in conjunction with BCH Pharmacy staff and product insert guidelines.</w:t>
      </w:r>
      <w:r>
        <w:rPr>
          <w:rFonts w:hint="eastAsia" w:ascii="Book Antiqua" w:hAnsi="Book Antiqua" w:cs="Book Antiqua"/>
          <w:color w:val="000000"/>
          <w:lang w:eastAsia="zh-CN"/>
        </w:rPr>
        <w:t xml:space="preserve"> </w:t>
      </w:r>
      <w:r>
        <w:rPr>
          <w:rFonts w:ascii="Book Antiqua" w:hAnsi="Book Antiqua" w:eastAsia="Book Antiqua" w:cs="Book Antiqua"/>
          <w:color w:val="000000"/>
        </w:rPr>
        <w:t>Iron sucrose (Venofer) was recommended for use in patients requiring a calculated repletion dose of elemental iron &lt;</w:t>
      </w:r>
      <w:r>
        <w:rPr>
          <w:rFonts w:hint="eastAsia" w:ascii="Book Antiqua" w:hAnsi="Book Antiqua" w:cs="Book Antiqua"/>
          <w:color w:val="000000"/>
          <w:lang w:eastAsia="zh-CN"/>
        </w:rPr>
        <w:t xml:space="preserve"> </w:t>
      </w:r>
      <w:r>
        <w:rPr>
          <w:rFonts w:ascii="Book Antiqua" w:hAnsi="Book Antiqua" w:eastAsia="Book Antiqua" w:cs="Book Antiqua"/>
          <w:color w:val="000000"/>
        </w:rPr>
        <w:t>300 mg (to a maximum dose of 7</w:t>
      </w:r>
      <w:r>
        <w:rPr>
          <w:rFonts w:hint="eastAsia" w:ascii="Book Antiqua" w:hAnsi="Book Antiqua" w:cs="Book Antiqua"/>
          <w:color w:val="000000"/>
          <w:lang w:eastAsia="zh-CN"/>
        </w:rPr>
        <w:t xml:space="preserve"> </w:t>
      </w:r>
      <w:r>
        <w:rPr>
          <w:rFonts w:ascii="Book Antiqua" w:hAnsi="Book Antiqua" w:eastAsia="Book Antiqua" w:cs="Book Antiqua"/>
          <w:color w:val="000000"/>
        </w:rPr>
        <w:t>mg/kg). Ferric carboxymaltose (Injectafer) was recommended for patients requiring a repletion dose from 300</w:t>
      </w:r>
      <w:r>
        <w:rPr>
          <w:rFonts w:hint="eastAsia" w:ascii="Book Antiqua" w:hAnsi="Book Antiqua" w:cs="Book Antiqua"/>
          <w:color w:val="000000"/>
          <w:lang w:eastAsia="zh-CN"/>
        </w:rPr>
        <w:t>-</w:t>
      </w:r>
      <w:r>
        <w:rPr>
          <w:rFonts w:ascii="Book Antiqua" w:hAnsi="Book Antiqua" w:eastAsia="Book Antiqua" w:cs="Book Antiqua"/>
          <w:color w:val="000000"/>
        </w:rPr>
        <w:t>750 mg. Low-molecular-weight iron dextran (INFeD) was recommended for those patients requiring a repletion dose that was &gt;</w:t>
      </w:r>
      <w:r>
        <w:rPr>
          <w:rFonts w:hint="eastAsia" w:ascii="Book Antiqua" w:hAnsi="Book Antiqua" w:cs="Book Antiqua"/>
          <w:color w:val="000000"/>
          <w:lang w:eastAsia="zh-CN"/>
        </w:rPr>
        <w:t xml:space="preserve"> </w:t>
      </w:r>
      <w:r>
        <w:rPr>
          <w:rFonts w:ascii="Book Antiqua" w:hAnsi="Book Antiqua" w:eastAsia="Book Antiqua" w:cs="Book Antiqua"/>
          <w:color w:val="000000"/>
        </w:rPr>
        <w:t>750 mg (to a maximum dose of 2000 mg) or in patients unable to receive iron sucrose due to the total dose being greater than 7</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mg/kg. Study patients completed repeat iron studies during their first ambulatory follow-up visit after discharge.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study was uncontrolled, and clinicians treated patients with whichever IV or oral iron supplementation they felt was clinically indicated.</w:t>
      </w:r>
      <w:r>
        <w:rPr>
          <w:rFonts w:hint="eastAsia" w:ascii="Book Antiqua" w:hAnsi="Book Antiqua" w:cs="Book Antiqua"/>
          <w:color w:val="000000"/>
          <w:lang w:eastAsia="zh-CN"/>
        </w:rPr>
        <w:t xml:space="preserve"> </w:t>
      </w:r>
      <w:r>
        <w:rPr>
          <w:rFonts w:ascii="Book Antiqua" w:hAnsi="Book Antiqua" w:eastAsia="Book Antiqua" w:cs="Book Antiqua"/>
          <w:color w:val="000000"/>
        </w:rPr>
        <w:t>Some patients were discharged on no iron treatment at all. This decision was likely related to patient or provider preference or a conscious decision to focus clinical efforts on managing a patient's underlying IBD. Clinicians caring for patients admitted for a shorter duration had less opportunity to screen for iron deficiency, review the results, and initiate inpatient IV</w:t>
      </w:r>
      <w:r>
        <w:rPr>
          <w:rFonts w:ascii="Book Antiqua" w:hAnsi="Book Antiqua" w:eastAsia="Book Antiqua" w:cs="Book Antiqua"/>
          <w:b/>
          <w:bCs/>
          <w:color w:val="000000"/>
        </w:rPr>
        <w:t xml:space="preserve"> </w:t>
      </w:r>
      <w:r>
        <w:rPr>
          <w:rFonts w:ascii="Book Antiqua" w:hAnsi="Book Antiqua" w:eastAsia="Book Antiqua" w:cs="Book Antiqua"/>
          <w:color w:val="000000"/>
        </w:rPr>
        <w:t>iron repletion therapy before discharge. Research Study Coordinators were not available to screen patients on the weekends.</w:t>
      </w:r>
      <w:r>
        <w:rPr>
          <w:rFonts w:hint="eastAsia" w:ascii="Book Antiqua" w:hAnsi="Book Antiqua" w:cs="Book Antiqua"/>
          <w:color w:val="000000"/>
          <w:lang w:eastAsia="zh-CN"/>
        </w:rPr>
        <w:t xml:space="preserve"> </w:t>
      </w:r>
      <w:r>
        <w:rPr>
          <w:rFonts w:ascii="Book Antiqua" w:hAnsi="Book Antiqua" w:eastAsia="Book Antiqua" w:cs="Book Antiqua"/>
          <w:color w:val="000000"/>
        </w:rPr>
        <w:t>Nonetheless, data about these untreated patients were recorded and included for comparative analysis (Figure 1).</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Efficacy </w:t>
      </w:r>
      <w:r>
        <w:rPr>
          <w:rFonts w:hint="eastAsia" w:ascii="Book Antiqua" w:hAnsi="Book Antiqua" w:cs="Book Antiqua"/>
          <w:b/>
          <w:i/>
          <w:iCs/>
          <w:color w:val="000000"/>
          <w:lang w:eastAsia="zh-CN"/>
        </w:rPr>
        <w:t>a</w:t>
      </w:r>
      <w:r>
        <w:rPr>
          <w:rFonts w:ascii="Book Antiqua" w:hAnsi="Book Antiqua" w:eastAsia="Book Antiqua" w:cs="Book Antiqua"/>
          <w:b/>
          <w:i/>
          <w:iCs/>
          <w:color w:val="000000"/>
        </w:rPr>
        <w:t xml:space="preserve">ssessment </w:t>
      </w:r>
    </w:p>
    <w:p>
      <w:pPr>
        <w:spacing w:line="360" w:lineRule="auto"/>
        <w:jc w:val="both"/>
        <w:rPr>
          <w:rFonts w:ascii="Book Antiqua" w:hAnsi="Book Antiqua"/>
        </w:rPr>
      </w:pPr>
      <w:r>
        <w:rPr>
          <w:rFonts w:ascii="Book Antiqua" w:hAnsi="Book Antiqua" w:eastAsia="Book Antiqua" w:cs="Book Antiqua"/>
          <w:color w:val="000000"/>
        </w:rPr>
        <w:t>The efficacy of iron supplementation was defined as a</w:t>
      </w:r>
      <w:r>
        <w:rPr>
          <w:rFonts w:hint="eastAsia" w:ascii="Book Antiqua" w:hAnsi="Book Antiqua" w:cs="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eastAsia="Book Antiqua" w:cs="Book Antiqua"/>
          <w:color w:val="000000"/>
        </w:rPr>
        <w:t>1 g/dL increase between pre-and post-treatment Hb and an improvement in iron status based on pre- and post-treatment iron studies (ferritin, serum iron, and TIBC).</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Safety </w:t>
      </w:r>
      <w:r>
        <w:rPr>
          <w:rFonts w:hint="eastAsia" w:ascii="Book Antiqua" w:hAnsi="Book Antiqua" w:cs="Book Antiqua"/>
          <w:b/>
          <w:i/>
          <w:iCs/>
          <w:color w:val="000000"/>
          <w:lang w:eastAsia="zh-CN"/>
        </w:rPr>
        <w:t>a</w:t>
      </w:r>
      <w:r>
        <w:rPr>
          <w:rFonts w:ascii="Book Antiqua" w:hAnsi="Book Antiqua" w:eastAsia="Book Antiqua" w:cs="Book Antiqua"/>
          <w:b/>
          <w:i/>
          <w:iCs/>
          <w:color w:val="000000"/>
        </w:rPr>
        <w:t xml:space="preserve">ssessment </w:t>
      </w:r>
    </w:p>
    <w:p>
      <w:pPr>
        <w:spacing w:line="360" w:lineRule="auto"/>
        <w:jc w:val="both"/>
        <w:rPr>
          <w:rFonts w:ascii="Book Antiqua" w:hAnsi="Book Antiqua"/>
        </w:rPr>
      </w:pPr>
      <w:r>
        <w:rPr>
          <w:rFonts w:ascii="Book Antiqua" w:hAnsi="Book Antiqua" w:eastAsia="Book Antiqua" w:cs="Book Antiqua"/>
          <w:color w:val="000000"/>
        </w:rPr>
        <w:t>Safety was evaluated by reviewing the electronic medical record for adverse events from the onset of IV iron therapy administration to the first ambulatory follow-up after discharge.</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
          <w:iCs/>
          <w:color w:val="000000"/>
        </w:rPr>
        <w:t xml:space="preserve">Statistical </w:t>
      </w:r>
      <w:r>
        <w:rPr>
          <w:rFonts w:hint="eastAsia" w:ascii="Book Antiqua" w:hAnsi="Book Antiqua" w:cs="Book Antiqua"/>
          <w:b/>
          <w:i/>
          <w:iCs/>
          <w:color w:val="000000"/>
          <w:lang w:eastAsia="zh-CN"/>
        </w:rPr>
        <w:t>a</w:t>
      </w:r>
      <w:r>
        <w:rPr>
          <w:rFonts w:ascii="Book Antiqua" w:hAnsi="Book Antiqua" w:eastAsia="Book Antiqua" w:cs="Book Antiqua"/>
          <w:b/>
          <w:i/>
          <w:iCs/>
          <w:color w:val="000000"/>
        </w:rPr>
        <w:t>nalysis</w:t>
      </w:r>
    </w:p>
    <w:p>
      <w:pPr>
        <w:spacing w:line="360" w:lineRule="auto"/>
        <w:jc w:val="both"/>
        <w:rPr>
          <w:rFonts w:ascii="Book Antiqua" w:hAnsi="Book Antiqua"/>
        </w:rPr>
      </w:pPr>
      <w:r>
        <w:rPr>
          <w:rFonts w:ascii="Book Antiqua" w:hAnsi="Book Antiqua" w:eastAsia="Book Antiqua" w:cs="Book Antiqua"/>
          <w:color w:val="000000"/>
        </w:rPr>
        <w:t>Baseline characteristics, including age at admission, sex, IBD diagnosis and phenotype, and disease duration, are described by frequency count (and percentage) when categorical and by median (interquartile range; IQR) when continuous. Comparisons across iron therapy groups (no iron, oral iron, IV iron) were made by the Fisher exact and Kruskal-Wallis tests, respectively.</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Changes in laboratory parameters from baseline assessment until the first follow-up visit were assessed with a repeated-measures linear regression model adjusted for the corresponding baseline lab, age at admission, sex, diagnosis, baseline iron dose, and the number of days between admission follow-up labs. Estimates at admission, first follow-up, and change from admission to follow-up are presented as mean ± standard error (SE). Comparison between treatment groups (IV iron, oral iron, no iron) or within-group changes over time are shown as mean </w:t>
      </w:r>
      <w:r>
        <w:rPr>
          <w:rFonts w:hint="eastAsia" w:ascii="Book Antiqua" w:hAnsi="Book Antiqua" w:cs="Book Antiqua"/>
          <w:color w:val="000000"/>
          <w:lang w:eastAsia="zh-CN"/>
        </w:rPr>
        <w:t>[</w:t>
      </w:r>
      <w:r>
        <w:rPr>
          <w:rFonts w:ascii="Book Antiqua" w:hAnsi="Book Antiqua" w:eastAsia="Book Antiqua" w:cs="Book Antiqua"/>
          <w:color w:val="000000"/>
        </w:rPr>
        <w:t>95% confidence interval</w:t>
      </w:r>
      <w:r>
        <w:rPr>
          <w:rFonts w:hint="eastAsia" w:ascii="Book Antiqua" w:hAnsi="Book Antiqua" w:cs="Book Antiqua"/>
          <w:color w:val="000000"/>
          <w:lang w:eastAsia="zh-CN"/>
        </w:rPr>
        <w:t xml:space="preserve"> (</w:t>
      </w:r>
      <w:r>
        <w:rPr>
          <w:rFonts w:ascii="Book Antiqua" w:hAnsi="Book Antiqua" w:eastAsia="Book Antiqua" w:cs="Book Antiqua"/>
          <w:color w:val="000000"/>
        </w:rPr>
        <w:t>CI</w:t>
      </w:r>
      <w:r>
        <w:rPr>
          <w:rFonts w:hint="eastAsia" w:ascii="Book Antiqua" w:hAnsi="Book Antiqua" w:cs="Book Antiqua"/>
          <w:color w:val="000000"/>
          <w:lang w:eastAsia="zh-CN"/>
        </w:rPr>
        <w:t>)]</w:t>
      </w:r>
      <w:r>
        <w:rPr>
          <w:rFonts w:ascii="Book Antiqua" w:hAnsi="Book Antiqua" w:eastAsia="Book Antiqua" w:cs="Book Antiqua"/>
          <w:color w:val="000000"/>
        </w:rPr>
        <w:t>, and pairwise comparisons are corrected for multiple comparisons using the Holm’s step-down Bonferroni procedure. Assessment of normality was made by the Shapiro-Wilk test. Data for labs that were not normally distributed were transformed using a rank-based inverse normal transformation</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22,</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results were consistent with the non-transformed data in all cases, and only the latter were reported.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All comparisons were 2-sided, with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indicating statistical significance. Data analysis and figures were accomplished with SAS version 9.4 (Cary, NC).</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rPr>
      </w:pPr>
      <w:r>
        <w:rPr>
          <w:rFonts w:ascii="Book Antiqua" w:hAnsi="Book Antiqua" w:eastAsia="Book Antiqua" w:cs="Book Antiqua"/>
          <w:b/>
          <w:i/>
          <w:iCs/>
          <w:color w:val="000000"/>
        </w:rPr>
        <w:t>Demographic</w:t>
      </w:r>
      <w:r>
        <w:rPr>
          <w:rFonts w:hint="eastAsia" w:ascii="Book Antiqua" w:hAnsi="Book Antiqua" w:cs="Book Antiqua"/>
          <w:b/>
          <w:i/>
          <w:iCs/>
          <w:color w:val="000000"/>
          <w:lang w:eastAsia="zh-CN"/>
        </w:rPr>
        <w:t xml:space="preserve"> d</w:t>
      </w:r>
      <w:r>
        <w:rPr>
          <w:rFonts w:ascii="Book Antiqua" w:hAnsi="Book Antiqua" w:eastAsia="Book Antiqua" w:cs="Book Antiqua"/>
          <w:b/>
          <w:i/>
          <w:iCs/>
          <w:color w:val="000000"/>
        </w:rPr>
        <w:t>ata</w:t>
      </w:r>
    </w:p>
    <w:p>
      <w:pPr>
        <w:spacing w:line="360" w:lineRule="auto"/>
        <w:jc w:val="both"/>
        <w:rPr>
          <w:rFonts w:ascii="Book Antiqua" w:hAnsi="Book Antiqua"/>
        </w:rPr>
      </w:pPr>
      <w:r>
        <w:rPr>
          <w:rFonts w:ascii="Book Antiqua" w:hAnsi="Book Antiqua" w:eastAsia="Book Antiqua" w:cs="Book Antiqua"/>
          <w:color w:val="000000"/>
        </w:rPr>
        <w:t>A total of 105 patients (44% of those screened) met the criteria for IDA, of which 92 (40%) met the study criteria. The median age of patients in this cohort was 15 years (range</w:t>
      </w:r>
      <w:r>
        <w:rPr>
          <w:rFonts w:hint="eastAsia" w:ascii="Book Antiqua" w:hAnsi="Book Antiqua" w:cs="Book Antiqua"/>
          <w:color w:val="000000"/>
          <w:lang w:eastAsia="zh-CN"/>
        </w:rPr>
        <w:t>:</w:t>
      </w:r>
      <w:r>
        <w:rPr>
          <w:rFonts w:ascii="Book Antiqua" w:hAnsi="Book Antiqua" w:eastAsia="Book Antiqua" w:cs="Book Antiqua"/>
          <w:color w:val="000000"/>
        </w:rPr>
        <w:t xml:space="preserve"> 1</w:t>
      </w:r>
      <w:r>
        <w:rPr>
          <w:rFonts w:hint="eastAsia" w:ascii="Book Antiqua" w:hAnsi="Book Antiqua" w:cs="Book Antiqua"/>
          <w:color w:val="000000"/>
          <w:lang w:eastAsia="zh-CN"/>
        </w:rPr>
        <w:t>-</w:t>
      </w:r>
      <w:r>
        <w:rPr>
          <w:rFonts w:ascii="Book Antiqua" w:hAnsi="Book Antiqua" w:eastAsia="Book Antiqua" w:cs="Book Antiqua"/>
          <w:color w:val="000000"/>
        </w:rPr>
        <w:t>23), and 41 (45%) were female. All patients included in the study met the criteria for active IBD, of which forty-seven patients (51%) had CD, 41 (45%) had UC, and 4 (4%) had IC. The median disease duration was 1.4 months (IQR</w:t>
      </w:r>
      <w:r>
        <w:rPr>
          <w:rFonts w:hint="eastAsia" w:ascii="Book Antiqua" w:hAnsi="Book Antiqua" w:cs="Book Antiqua"/>
          <w:color w:val="000000"/>
          <w:lang w:eastAsia="zh-CN"/>
        </w:rPr>
        <w:t>:</w:t>
      </w:r>
      <w:r>
        <w:rPr>
          <w:rFonts w:ascii="Book Antiqua" w:hAnsi="Book Antiqua" w:eastAsia="Book Antiqua" w:cs="Book Antiqua"/>
          <w:color w:val="000000"/>
        </w:rPr>
        <w:t xml:space="preserve"> 0.1–31.2). Of the 47 patients with CD, 28 (60%), 10 (21%), and 9 (19%) had an inflammatory, penetrating, and stricturing phenotype, respectively. Of the 41 patients with UC, 34 (83%) had pancolitis, and 7 (17%) had left-sided colitis. Fifty-seven patients (62%) received IV iron therapy, 17 (18%) received oral iron, and 18 (20%) received no iron therapy (Table 1).</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i/>
        </w:rPr>
      </w:pPr>
      <w:r>
        <w:rPr>
          <w:rFonts w:ascii="Book Antiqua" w:hAnsi="Book Antiqua" w:eastAsia="Book Antiqua" w:cs="Book Antiqua"/>
          <w:b/>
          <w:i/>
          <w:color w:val="000000"/>
        </w:rPr>
        <w:t>Hb</w:t>
      </w:r>
      <w:r>
        <w:rPr>
          <w:rFonts w:ascii="Book Antiqua" w:hAnsi="Book Antiqua" w:eastAsia="Book Antiqua" w:cs="Book Antiqua"/>
          <w:b/>
          <w:i/>
          <w:iCs/>
          <w:color w:val="000000"/>
        </w:rPr>
        <w:t xml:space="preserve"> and </w:t>
      </w:r>
      <w:r>
        <w:rPr>
          <w:rFonts w:hint="eastAsia" w:ascii="Book Antiqua" w:hAnsi="Book Antiqua" w:cs="Book Antiqua"/>
          <w:b/>
          <w:i/>
          <w:iCs/>
          <w:color w:val="000000"/>
          <w:lang w:eastAsia="zh-CN"/>
        </w:rPr>
        <w:t>m</w:t>
      </w:r>
      <w:r>
        <w:rPr>
          <w:rFonts w:ascii="Book Antiqua" w:hAnsi="Book Antiqua" w:eastAsia="Book Antiqua" w:cs="Book Antiqua"/>
          <w:b/>
          <w:i/>
          <w:iCs/>
          <w:color w:val="000000"/>
        </w:rPr>
        <w:t xml:space="preserve">ean </w:t>
      </w:r>
      <w:r>
        <w:rPr>
          <w:rFonts w:hint="eastAsia" w:ascii="Book Antiqua" w:hAnsi="Book Antiqua" w:cs="Book Antiqua"/>
          <w:b/>
          <w:i/>
          <w:iCs/>
          <w:color w:val="000000"/>
          <w:lang w:eastAsia="zh-CN"/>
        </w:rPr>
        <w:t>c</w:t>
      </w:r>
      <w:r>
        <w:rPr>
          <w:rFonts w:ascii="Book Antiqua" w:hAnsi="Book Antiqua" w:eastAsia="Book Antiqua" w:cs="Book Antiqua"/>
          <w:b/>
          <w:i/>
          <w:iCs/>
          <w:color w:val="000000"/>
        </w:rPr>
        <w:t xml:space="preserve">orpuscular </w:t>
      </w:r>
      <w:r>
        <w:rPr>
          <w:rFonts w:hint="eastAsia" w:ascii="Book Antiqua" w:hAnsi="Book Antiqua" w:cs="Book Antiqua"/>
          <w:b/>
          <w:i/>
          <w:iCs/>
          <w:color w:val="000000"/>
          <w:lang w:eastAsia="zh-CN"/>
        </w:rPr>
        <w:t>v</w:t>
      </w:r>
      <w:r>
        <w:rPr>
          <w:rFonts w:ascii="Book Antiqua" w:hAnsi="Book Antiqua" w:eastAsia="Book Antiqua" w:cs="Book Antiqua"/>
          <w:b/>
          <w:i/>
          <w:iCs/>
          <w:color w:val="000000"/>
        </w:rPr>
        <w:t>olume</w:t>
      </w:r>
    </w:p>
    <w:p>
      <w:pPr>
        <w:spacing w:line="360" w:lineRule="auto"/>
        <w:jc w:val="both"/>
        <w:rPr>
          <w:rFonts w:ascii="Book Antiqua" w:hAnsi="Book Antiqua"/>
        </w:rPr>
      </w:pPr>
      <w:r>
        <w:rPr>
          <w:rFonts w:ascii="Book Antiqua" w:hAnsi="Book Antiqua" w:eastAsia="Book Antiqua" w:cs="Book Antiqua"/>
          <w:color w:val="000000"/>
        </w:rPr>
        <w:t>This was a longitudinal observational study of real-time clinical practice.</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first ambulatory follow-up visit after discharge was not protocolized and was scheduled at the discretion of the discharging provider and contingent on physician and patient availability.</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median follow-up time was 32 d (IQR</w:t>
      </w:r>
      <w:r>
        <w:rPr>
          <w:rFonts w:hint="eastAsia" w:ascii="Book Antiqua" w:hAnsi="Book Antiqua" w:cs="Book Antiqua"/>
          <w:color w:val="000000"/>
          <w:lang w:eastAsia="zh-CN"/>
        </w:rPr>
        <w:t>:</w:t>
      </w:r>
      <w:r>
        <w:rPr>
          <w:rFonts w:ascii="Book Antiqua" w:hAnsi="Book Antiqua" w:eastAsia="Book Antiqua" w:cs="Book Antiqua"/>
          <w:color w:val="000000"/>
        </w:rPr>
        <w:t xml:space="preserve"> 20</w:t>
      </w:r>
      <w:r>
        <w:rPr>
          <w:rFonts w:hint="eastAsia" w:ascii="Book Antiqua" w:hAnsi="Book Antiqua" w:cs="Book Antiqua"/>
          <w:color w:val="000000"/>
          <w:lang w:eastAsia="zh-CN"/>
        </w:rPr>
        <w:t>-</w:t>
      </w:r>
      <w:r>
        <w:rPr>
          <w:rFonts w:ascii="Book Antiqua" w:hAnsi="Book Antiqua" w:eastAsia="Book Antiqua" w:cs="Book Antiqua"/>
          <w:color w:val="000000"/>
        </w:rPr>
        <w:t>58) following admission. Changes in lab assessments from baseline to first follow-up were examined by repeated-measures regression adjusted for baseline lab, age at admission, sex, diagnosis, baseline iron dose, and the number of days between admission and follow-up labs. There was a significant change in Hb concentration observed in those who received IV iron therapy with a mean ± SE increase of 1.9 ± 0.2 mg/dL, compared to 0.8 ± 0.3 mg/dL (</w:t>
      </w:r>
      <w:r>
        <w:rPr>
          <w:rFonts w:ascii="Book Antiqua" w:hAnsi="Book Antiqua" w:eastAsia="Book Antiqua" w:cs="Book Antiqua"/>
          <w:i/>
          <w:iCs/>
          <w:color w:val="000000"/>
        </w:rPr>
        <w:t>P</w:t>
      </w:r>
      <w:r>
        <w:rPr>
          <w:rFonts w:ascii="Book Antiqua" w:hAnsi="Book Antiqua" w:eastAsia="Book Antiqua" w:cs="Book Antiqua"/>
          <w:color w:val="000000"/>
        </w:rPr>
        <w:t xml:space="preserve"> = 0.02) and 0.8 ± 0.3 mg/dL (</w:t>
      </w:r>
      <w:r>
        <w:rPr>
          <w:rFonts w:ascii="Book Antiqua" w:hAnsi="Book Antiqua" w:eastAsia="Book Antiqua" w:cs="Book Antiqua"/>
          <w:i/>
          <w:iCs/>
          <w:color w:val="000000"/>
        </w:rPr>
        <w:t>P</w:t>
      </w:r>
      <w:r>
        <w:rPr>
          <w:rFonts w:ascii="Book Antiqua" w:hAnsi="Book Antiqua" w:eastAsia="Book Antiqua" w:cs="Book Antiqua"/>
          <w:color w:val="000000"/>
        </w:rPr>
        <w:t xml:space="preserve"> = 0.02) in patients receiving either oral or no iron, respectively (Table 2). The mean Hb change met the study's predetermined criteria for efficacy (Hb increase ≥ 1g/dL) only in patients who received IV iron. Likewise, there was a statistically significant improvement in mean corpuscular volume of 6.0 ± 0.6 fL in patients treated with IV iron compared to those treated with oral iron 2.8 ± 1.1 (</w:t>
      </w:r>
      <w:r>
        <w:rPr>
          <w:rFonts w:ascii="Book Antiqua" w:hAnsi="Book Antiqua" w:eastAsia="Book Antiqua" w:cs="Book Antiqua"/>
          <w:i/>
          <w:iCs/>
          <w:color w:val="000000"/>
        </w:rPr>
        <w:t>P</w:t>
      </w:r>
      <w:r>
        <w:rPr>
          <w:rFonts w:ascii="Book Antiqua" w:hAnsi="Book Antiqua" w:eastAsia="Book Antiqua" w:cs="Book Antiqua"/>
          <w:color w:val="000000"/>
        </w:rPr>
        <w:t xml:space="preserve"> = 0.02) or no iron 1.6 ± 1.1 fL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respectively (Table 2).</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rPr>
      </w:pPr>
      <w:r>
        <w:rPr>
          <w:rFonts w:ascii="Book Antiqua" w:hAnsi="Book Antiqua" w:eastAsia="Book Antiqua" w:cs="Book Antiqua"/>
          <w:b/>
          <w:i/>
          <w:iCs/>
          <w:color w:val="000000"/>
        </w:rPr>
        <w:t xml:space="preserve">Biochemical </w:t>
      </w:r>
      <w:r>
        <w:rPr>
          <w:rFonts w:hint="eastAsia" w:ascii="Book Antiqua" w:hAnsi="Book Antiqua" w:cs="Book Antiqua"/>
          <w:b/>
          <w:i/>
          <w:iCs/>
          <w:color w:val="000000"/>
          <w:lang w:eastAsia="zh-CN"/>
        </w:rPr>
        <w:t>d</w:t>
      </w:r>
      <w:r>
        <w:rPr>
          <w:rFonts w:ascii="Book Antiqua" w:hAnsi="Book Antiqua" w:eastAsia="Book Antiqua" w:cs="Book Antiqua"/>
          <w:b/>
          <w:i/>
          <w:iCs/>
          <w:color w:val="000000"/>
        </w:rPr>
        <w:t xml:space="preserve">isease </w:t>
      </w:r>
      <w:r>
        <w:rPr>
          <w:rFonts w:hint="eastAsia" w:ascii="Book Antiqua" w:hAnsi="Book Antiqua" w:cs="Book Antiqua"/>
          <w:b/>
          <w:i/>
          <w:iCs/>
          <w:color w:val="000000"/>
          <w:lang w:eastAsia="zh-CN"/>
        </w:rPr>
        <w:t>a</w:t>
      </w:r>
      <w:r>
        <w:rPr>
          <w:rFonts w:ascii="Book Antiqua" w:hAnsi="Book Antiqua" w:eastAsia="Book Antiqua" w:cs="Book Antiqua"/>
          <w:b/>
          <w:i/>
          <w:iCs/>
          <w:color w:val="000000"/>
        </w:rPr>
        <w:t>ctivity</w:t>
      </w:r>
    </w:p>
    <w:p>
      <w:pPr>
        <w:spacing w:line="360" w:lineRule="auto"/>
        <w:jc w:val="both"/>
        <w:rPr>
          <w:rFonts w:ascii="Book Antiqua" w:hAnsi="Book Antiqua"/>
        </w:rPr>
      </w:pPr>
      <w:r>
        <w:rPr>
          <w:rFonts w:ascii="Book Antiqua" w:hAnsi="Book Antiqua" w:eastAsia="Book Antiqua" w:cs="Book Antiqua"/>
          <w:color w:val="000000"/>
        </w:rPr>
        <w:t xml:space="preserve">There was no statistically significant difference in baseline </w:t>
      </w:r>
      <w:r>
        <w:rPr>
          <w:rFonts w:hint="eastAsia" w:ascii="Book Antiqua" w:hAnsi="Book Antiqua"/>
          <w:lang w:eastAsia="zh-CN"/>
        </w:rPr>
        <w:t>e</w:t>
      </w:r>
      <w:r>
        <w:rPr>
          <w:rFonts w:ascii="Book Antiqua" w:hAnsi="Book Antiqua"/>
          <w:lang w:eastAsia="zh-CN"/>
        </w:rPr>
        <w:t>rythrocyte sedimentation rate</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ESR</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0.66) and baseline CRP (</w:t>
      </w:r>
      <w:r>
        <w:rPr>
          <w:rFonts w:ascii="Book Antiqua" w:hAnsi="Book Antiqua" w:eastAsia="Book Antiqua" w:cs="Book Antiqua"/>
          <w:i/>
          <w:iCs/>
          <w:color w:val="000000"/>
        </w:rPr>
        <w:t>P</w:t>
      </w:r>
      <w:r>
        <w:rPr>
          <w:rFonts w:ascii="Book Antiqua" w:hAnsi="Book Antiqua" w:eastAsia="Book Antiqua" w:cs="Book Antiqua"/>
          <w:color w:val="000000"/>
        </w:rPr>
        <w:t xml:space="preserve"> = 0.67) in patients subsequently treated with IV, oral, or no iron therapy. This was similarly the case concerning longitudinal changes in ESR and CRP.</w:t>
      </w:r>
      <w:r>
        <w:rPr>
          <w:rFonts w:hint="eastAsia" w:ascii="Book Antiqua" w:hAnsi="Book Antiqua" w:cs="Book Antiqua"/>
          <w:color w:val="000000"/>
          <w:lang w:eastAsia="zh-CN"/>
        </w:rPr>
        <w:t xml:space="preserve"> </w:t>
      </w:r>
      <w:r>
        <w:rPr>
          <w:rFonts w:ascii="Book Antiqua" w:hAnsi="Book Antiqua" w:eastAsia="Book Antiqua" w:cs="Book Antiqua"/>
          <w:color w:val="000000"/>
        </w:rPr>
        <w:t>Although longitudinal changes in ESR were evident within each treatment group (IV: -16 ± 4 mm/h, oral: -20 ± 8 mm/h, and no iron therapy: -17 ± 8 mm/h), the changes were not statistically different from one another when compared across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0.94).</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This was similarly the case for CRP (IV: -3.2 ± 0.7 mm/h, oral: -2.4 ± 1.4 mm/h, and no iron therapy: -1.8 ± 1.3 mm/h; </w:t>
      </w:r>
      <w:r>
        <w:rPr>
          <w:rFonts w:ascii="Book Antiqua" w:hAnsi="Book Antiqua" w:eastAsia="Book Antiqua" w:cs="Book Antiqua"/>
          <w:i/>
          <w:iCs/>
          <w:color w:val="000000"/>
        </w:rPr>
        <w:t>P</w:t>
      </w:r>
      <w:r>
        <w:rPr>
          <w:rFonts w:ascii="Book Antiqua" w:hAnsi="Book Antiqua" w:eastAsia="Book Antiqua" w:cs="Book Antiqua"/>
          <w:color w:val="000000"/>
        </w:rPr>
        <w:t xml:space="preserve"> = 0.63) (Table 2).</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lang w:eastAsia="zh-CN"/>
        </w:rPr>
      </w:pPr>
      <w:r>
        <w:rPr>
          <w:rFonts w:ascii="Book Antiqua" w:hAnsi="Book Antiqua" w:eastAsia="Book Antiqua" w:cs="Book Antiqua"/>
          <w:b/>
          <w:i/>
          <w:iCs/>
          <w:color w:val="000000"/>
        </w:rPr>
        <w:t xml:space="preserve">Iron </w:t>
      </w:r>
      <w:r>
        <w:rPr>
          <w:rFonts w:hint="eastAsia" w:ascii="Book Antiqua" w:hAnsi="Book Antiqua" w:cs="Book Antiqua"/>
          <w:b/>
          <w:i/>
          <w:iCs/>
          <w:color w:val="000000"/>
          <w:lang w:eastAsia="zh-CN"/>
        </w:rPr>
        <w:t>s</w:t>
      </w:r>
      <w:r>
        <w:rPr>
          <w:rFonts w:ascii="Book Antiqua" w:hAnsi="Book Antiqua" w:eastAsia="Book Antiqua" w:cs="Book Antiqua"/>
          <w:b/>
          <w:i/>
          <w:iCs/>
          <w:color w:val="000000"/>
        </w:rPr>
        <w:t>tudies</w:t>
      </w:r>
    </w:p>
    <w:p>
      <w:pPr>
        <w:spacing w:line="360" w:lineRule="auto"/>
        <w:jc w:val="both"/>
        <w:rPr>
          <w:rFonts w:ascii="Book Antiqua" w:hAnsi="Book Antiqua"/>
        </w:rPr>
      </w:pPr>
      <w:r>
        <w:rPr>
          <w:rFonts w:ascii="Book Antiqua" w:hAnsi="Book Antiqua" w:eastAsia="Book Antiqua" w:cs="Book Antiqua"/>
          <w:color w:val="000000"/>
        </w:rPr>
        <w:t xml:space="preserve">Paired iron parameters, including TIBC, ferritin, and serum iron, were available in 64/92 (70%), 66/92 (72%), and 65/92 (71%) of patients in the cohort, respectively. IV iron therapy was the only treatment modality associated with an increase in ferritin (from 79 ± 15 μg/dL to 167 ± 18 μg/dL, </w:t>
      </w:r>
      <w:r>
        <w:rPr>
          <w:rFonts w:ascii="Book Antiqua" w:hAnsi="Book Antiqua" w:eastAsia="Book Antiqua" w:cs="Book Antiqua"/>
          <w:i/>
          <w:iCs/>
          <w:color w:val="000000"/>
        </w:rPr>
        <w:t>P</w:t>
      </w:r>
      <w:r>
        <w:rPr>
          <w:rFonts w:ascii="Book Antiqua" w:hAnsi="Book Antiqua" w:eastAsia="Book Antiqua" w:cs="Book Antiqua"/>
          <w:color w:val="000000"/>
        </w:rPr>
        <w:t xml:space="preserve"> = 0.0006). In contrast, ferritin levels decreased in those patients receiving either oral iron (from 82 ± 31 μg/dL to 15 ± 54 μg/dL, </w:t>
      </w:r>
      <w:r>
        <w:rPr>
          <w:rFonts w:ascii="Book Antiqua" w:hAnsi="Book Antiqua" w:eastAsia="Book Antiqua" w:cs="Book Antiqua"/>
          <w:i/>
          <w:iCs/>
          <w:color w:val="000000"/>
        </w:rPr>
        <w:t>P</w:t>
      </w:r>
      <w:r>
        <w:rPr>
          <w:rFonts w:ascii="Book Antiqua" w:hAnsi="Book Antiqua" w:eastAsia="Book Antiqua" w:cs="Book Antiqua"/>
          <w:color w:val="000000"/>
        </w:rPr>
        <w:t xml:space="preserve"> = 0.30) or no iron (from 117 ± 30 μg/dL to 70 ± 58 μg/dL, </w:t>
      </w:r>
      <w:r>
        <w:rPr>
          <w:rFonts w:ascii="Book Antiqua" w:hAnsi="Book Antiqua" w:eastAsia="Book Antiqua" w:cs="Book Antiqua"/>
          <w:i/>
          <w:iCs/>
          <w:color w:val="000000"/>
        </w:rPr>
        <w:t>P</w:t>
      </w:r>
      <w:r>
        <w:rPr>
          <w:rFonts w:ascii="Book Antiqua" w:hAnsi="Book Antiqua" w:eastAsia="Book Antiqua" w:cs="Book Antiqua"/>
          <w:color w:val="000000"/>
        </w:rPr>
        <w:t xml:space="preserve"> = 0.45) (Table 2). In addition, only treatment with IV iron increased ferritin levels above 100 μg/dL, thereby raising this parameter above the biochemical threshold supporting a diagnosis of iron deficiency. The mean ± SE increase in serum iron was greater in those treated with IV iron (30.3 ± 4.9 mg/dL) compared to those treated with either oral iron (26.8 ± 12.3 mg/dL) or no iron (10.7 ± 13.6 mg/dL).</w:t>
      </w:r>
      <w:r>
        <w:rPr>
          <w:rFonts w:hint="eastAsia" w:ascii="Book Antiqua" w:hAnsi="Book Antiqua" w:cs="Book Antiqua"/>
          <w:color w:val="000000"/>
          <w:lang w:eastAsia="zh-CN"/>
        </w:rPr>
        <w:t xml:space="preserve"> </w:t>
      </w:r>
      <w:r>
        <w:rPr>
          <w:rFonts w:ascii="Book Antiqua" w:hAnsi="Book Antiqua" w:eastAsia="Book Antiqua" w:cs="Book Antiqua"/>
          <w:color w:val="000000"/>
        </w:rPr>
        <w:t>However, this difference did not reach statistical significance (</w:t>
      </w:r>
      <w:r>
        <w:rPr>
          <w:rFonts w:ascii="Book Antiqua" w:hAnsi="Book Antiqua" w:eastAsia="Book Antiqua" w:cs="Book Antiqua"/>
          <w:i/>
          <w:iCs/>
          <w:color w:val="000000"/>
        </w:rPr>
        <w:t>P</w:t>
      </w:r>
      <w:r>
        <w:rPr>
          <w:rFonts w:ascii="Book Antiqua" w:hAnsi="Book Antiqua" w:eastAsia="Book Antiqua" w:cs="Book Antiqua"/>
          <w:color w:val="000000"/>
        </w:rPr>
        <w:t xml:space="preserve"> = 0.41) (Table 2). </w:t>
      </w:r>
      <w:r>
        <w:rPr>
          <w:rFonts w:ascii="Book Antiqua" w:hAnsi="Book Antiqua" w:eastAsia="Book Antiqua" w:cs="Book Antiqua"/>
          <w:color w:val="000000"/>
          <w:shd w:val="clear" w:color="auto" w:fill="FFFFFF"/>
        </w:rPr>
        <w:t>While there was an increase in TIBC among all three treatment groups in the interval between their admission and their first follow-up ambulatory visit, the increase in TIBC was smaller in patients treated with IV</w:t>
      </w:r>
      <w:r>
        <w:rPr>
          <w:rFonts w:hint="eastAsia" w:ascii="Book Antiqua" w:hAnsi="Book Antiqua" w:cs="Book Antiqua"/>
          <w:color w:val="000000"/>
          <w:shd w:val="clear" w:color="auto" w:fill="FFFFFF"/>
          <w:lang w:eastAsia="zh-CN"/>
        </w:rPr>
        <w:t xml:space="preserve"> </w:t>
      </w:r>
      <w:r>
        <w:rPr>
          <w:rStyle w:val="18"/>
          <w:rFonts w:ascii="Book Antiqua" w:hAnsi="Book Antiqua" w:eastAsia="Book Antiqua" w:cs="Book Antiqua"/>
          <w:color w:val="000000"/>
          <w:shd w:val="clear" w:color="auto" w:fill="FFFFFF"/>
        </w:rPr>
        <w:t>iron</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therapy (23</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15</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mg/dL,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0.15)) compared to those who received either oral (108</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37</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mg/dL,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0.006) or no</w:t>
      </w:r>
      <w:r>
        <w:rPr>
          <w:rFonts w:hint="eastAsia" w:ascii="Book Antiqua" w:hAnsi="Book Antiqua" w:cs="Book Antiqua"/>
          <w:color w:val="000000"/>
          <w:shd w:val="clear" w:color="auto" w:fill="FFFFFF"/>
          <w:lang w:eastAsia="zh-CN"/>
        </w:rPr>
        <w:t xml:space="preserve"> </w:t>
      </w:r>
      <w:r>
        <w:rPr>
          <w:rStyle w:val="18"/>
          <w:rFonts w:ascii="Book Antiqua" w:hAnsi="Book Antiqua" w:eastAsia="Book Antiqua" w:cs="Book Antiqua"/>
          <w:color w:val="000000"/>
          <w:shd w:val="clear" w:color="auto" w:fill="FFFFFF"/>
        </w:rPr>
        <w:t>iron</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(101</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39</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mg/dL,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0.01) (Table 2); however, after adjustment for multiple comparisons, the changes from admission to first follow-up were not statistically different from one another.</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rPr>
      </w:pPr>
      <w:r>
        <w:rPr>
          <w:rFonts w:ascii="Book Antiqua" w:hAnsi="Book Antiqua" w:eastAsia="Book Antiqua" w:cs="Book Antiqua"/>
          <w:b/>
          <w:i/>
          <w:iCs/>
          <w:color w:val="000000"/>
        </w:rPr>
        <w:t xml:space="preserve">Comparison of IV </w:t>
      </w:r>
      <w:r>
        <w:rPr>
          <w:rFonts w:hint="eastAsia" w:ascii="Book Antiqua" w:hAnsi="Book Antiqua" w:cs="Book Antiqua"/>
          <w:b/>
          <w:i/>
          <w:iCs/>
          <w:color w:val="000000"/>
          <w:lang w:eastAsia="zh-CN"/>
        </w:rPr>
        <w:t>i</w:t>
      </w:r>
      <w:r>
        <w:rPr>
          <w:rFonts w:ascii="Book Antiqua" w:hAnsi="Book Antiqua" w:eastAsia="Book Antiqua" w:cs="Book Antiqua"/>
          <w:b/>
          <w:i/>
          <w:iCs/>
          <w:color w:val="000000"/>
        </w:rPr>
        <w:t xml:space="preserve">ron </w:t>
      </w:r>
      <w:r>
        <w:rPr>
          <w:rFonts w:hint="eastAsia" w:ascii="Book Antiqua" w:hAnsi="Book Antiqua" w:cs="Book Antiqua"/>
          <w:b/>
          <w:i/>
          <w:iCs/>
          <w:color w:val="000000"/>
          <w:lang w:eastAsia="zh-CN"/>
        </w:rPr>
        <w:t>f</w:t>
      </w:r>
      <w:r>
        <w:rPr>
          <w:rFonts w:ascii="Book Antiqua" w:hAnsi="Book Antiqua" w:eastAsia="Book Antiqua" w:cs="Book Antiqua"/>
          <w:b/>
          <w:i/>
          <w:iCs/>
          <w:color w:val="000000"/>
        </w:rPr>
        <w:t>ormulations</w:t>
      </w:r>
    </w:p>
    <w:p>
      <w:pPr>
        <w:spacing w:line="360" w:lineRule="auto"/>
        <w:jc w:val="both"/>
        <w:rPr>
          <w:rFonts w:ascii="Book Antiqua" w:hAnsi="Book Antiqua"/>
        </w:rPr>
      </w:pPr>
      <w:r>
        <w:rPr>
          <w:rFonts w:ascii="Book Antiqua" w:hAnsi="Book Antiqua" w:eastAsia="Book Antiqua" w:cs="Book Antiqua"/>
          <w:color w:val="000000"/>
        </w:rPr>
        <w:t>Among 57 patients who were treated with IV iron, 22 (39%) received INFeD, 19 (33%) were treated with iron sucrose (Venofer), and 16 (28%) with ferric carboxymaltose (Injectafer). Median (IQR) dose was 1119 (761</w:t>
      </w:r>
      <w:r>
        <w:rPr>
          <w:rFonts w:hint="eastAsia" w:ascii="Book Antiqua" w:hAnsi="Book Antiqua" w:cs="Book Antiqua"/>
          <w:color w:val="000000"/>
          <w:lang w:eastAsia="zh-CN"/>
        </w:rPr>
        <w:t>-</w:t>
      </w:r>
      <w:r>
        <w:rPr>
          <w:rFonts w:ascii="Book Antiqua" w:hAnsi="Book Antiqua" w:eastAsia="Book Antiqua" w:cs="Book Antiqua"/>
          <w:color w:val="000000"/>
        </w:rPr>
        <w:t>1320) mg for INFeD, 234 (120</w:t>
      </w:r>
      <w:r>
        <w:rPr>
          <w:rFonts w:hint="eastAsia" w:ascii="Book Antiqua" w:hAnsi="Book Antiqua" w:cs="Book Antiqua"/>
          <w:color w:val="000000"/>
          <w:lang w:eastAsia="zh-CN"/>
        </w:rPr>
        <w:t>-</w:t>
      </w:r>
      <w:r>
        <w:rPr>
          <w:rFonts w:ascii="Book Antiqua" w:hAnsi="Book Antiqua" w:eastAsia="Book Antiqua" w:cs="Book Antiqua"/>
          <w:color w:val="000000"/>
        </w:rPr>
        <w:t>300) mg for Venofer, and 750 (548</w:t>
      </w:r>
      <w:r>
        <w:rPr>
          <w:rFonts w:hint="eastAsia" w:ascii="Book Antiqua" w:hAnsi="Book Antiqua" w:cs="Book Antiqua"/>
          <w:color w:val="000000"/>
          <w:lang w:eastAsia="zh-CN"/>
        </w:rPr>
        <w:t>-</w:t>
      </w:r>
      <w:r>
        <w:rPr>
          <w:rFonts w:ascii="Book Antiqua" w:hAnsi="Book Antiqua" w:eastAsia="Book Antiqua" w:cs="Book Antiqua"/>
          <w:color w:val="000000"/>
        </w:rPr>
        <w:t>750) mg for Injectafer. After adjusting for baseline lab, age at admission, sex, diagnosis, baseline iron dose, and the number of days between admission and follow-up labs, all three parenteral iron therapies proved efficacious, resulting in an increase in Hb of at least 1 g/dL from pre- to post-treatment. Both Injectafer and INFeD elicited a greater</w:t>
      </w:r>
      <w:r>
        <w:rPr>
          <w:rFonts w:ascii="Book Antiqua" w:hAnsi="Book Antiqua" w:eastAsia="Book Antiqua" w:cs="Book Antiqua"/>
          <w:b/>
          <w:bCs/>
          <w:color w:val="000000"/>
        </w:rPr>
        <w:t xml:space="preserve"> </w:t>
      </w:r>
      <w:r>
        <w:rPr>
          <w:rFonts w:ascii="Book Antiqua" w:hAnsi="Book Antiqua" w:eastAsia="Book Antiqua" w:cs="Book Antiqua"/>
          <w:color w:val="000000"/>
        </w:rPr>
        <w:t>change in mean ± SE Hb concentration (2.4 ± 0.3 mg/dL and 2.2 ± 0.3 mg/dL, respectively) compared to that observed in patients receiving Venofer (1.0 ± 0.3 mg/dL) (</w:t>
      </w:r>
      <w:r>
        <w:rPr>
          <w:rFonts w:ascii="Book Antiqua" w:hAnsi="Book Antiqua" w:eastAsia="Book Antiqua" w:cs="Book Antiqua"/>
          <w:i/>
          <w:iCs/>
          <w:color w:val="000000"/>
        </w:rPr>
        <w:t>P</w:t>
      </w:r>
      <w:r>
        <w:rPr>
          <w:rFonts w:ascii="Book Antiqua" w:hAnsi="Book Antiqua" w:eastAsia="Book Antiqua" w:cs="Book Antiqua"/>
          <w:color w:val="000000"/>
        </w:rPr>
        <w:t xml:space="preserve"> = 0.02 for each comparison) (</w:t>
      </w:r>
      <w:bookmarkStart w:id="492" w:name="OLE_LINK7892"/>
      <w:bookmarkStart w:id="493" w:name="OLE_LINK7893"/>
      <w:r>
        <w:rPr>
          <w:rFonts w:ascii="Book Antiqua" w:hAnsi="Book Antiqua" w:eastAsia="Book Antiqua" w:cs="Book Antiqua"/>
          <w:color w:val="000000"/>
        </w:rPr>
        <w:t>Table</w:t>
      </w:r>
      <w:bookmarkEnd w:id="492"/>
      <w:bookmarkEnd w:id="493"/>
      <w:r>
        <w:rPr>
          <w:rFonts w:ascii="Book Antiqua" w:hAnsi="Book Antiqua" w:eastAsia="Book Antiqua" w:cs="Book Antiqua"/>
          <w:color w:val="000000"/>
        </w:rPr>
        <w:t xml:space="preserve"> 3). Likewise, changes in serum iron levels were significantly higher in response to treatment with Injectafer (57.7 ± 9.7 mg/dL,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and INFeD (41.7 ± 7.3 mg/dL, </w:t>
      </w:r>
      <w:r>
        <w:rPr>
          <w:rFonts w:ascii="Book Antiqua" w:hAnsi="Book Antiqua" w:eastAsia="Book Antiqua" w:cs="Book Antiqua"/>
          <w:i/>
          <w:iCs/>
          <w:color w:val="000000"/>
        </w:rPr>
        <w:t>P</w:t>
      </w:r>
      <w:r>
        <w:rPr>
          <w:rFonts w:ascii="Book Antiqua" w:hAnsi="Book Antiqua" w:eastAsia="Book Antiqua" w:cs="Book Antiqua"/>
          <w:color w:val="000000"/>
        </w:rPr>
        <w:t xml:space="preserve"> = 0.006) compared to those treated with Venofer (8.3 ± 7.1 mg/dL) (Table 3). Changes in ferritin levels observed in patients receiving the three different IV iron formulations resulted in a non-significant p-value (</w:t>
      </w:r>
      <w:r>
        <w:rPr>
          <w:rFonts w:ascii="Book Antiqua" w:hAnsi="Book Antiqua" w:eastAsia="Book Antiqua" w:cs="Book Antiqua"/>
          <w:i/>
          <w:iCs/>
          <w:color w:val="000000"/>
        </w:rPr>
        <w:t>P</w:t>
      </w:r>
      <w:r>
        <w:rPr>
          <w:rFonts w:ascii="Book Antiqua" w:hAnsi="Book Antiqua" w:eastAsia="Book Antiqua" w:cs="Book Antiqua"/>
          <w:color w:val="000000"/>
        </w:rPr>
        <w:t xml:space="preserve"> = 0.30) (Table 3). There were no significant differences in the change in Hb, serum iron, and ferritin between patients treated with Injectafer and those treated with INFeD.</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rPr>
      </w:pPr>
      <w:r>
        <w:rPr>
          <w:rFonts w:ascii="Book Antiqua" w:hAnsi="Book Antiqua" w:eastAsia="Book Antiqua" w:cs="Book Antiqua"/>
          <w:b/>
          <w:i/>
          <w:iCs/>
          <w:color w:val="000000"/>
        </w:rPr>
        <w:t xml:space="preserve">Adverse </w:t>
      </w:r>
      <w:r>
        <w:rPr>
          <w:rFonts w:hint="eastAsia" w:ascii="Book Antiqua" w:hAnsi="Book Antiqua" w:cs="Book Antiqua"/>
          <w:b/>
          <w:i/>
          <w:iCs/>
          <w:color w:val="000000"/>
          <w:lang w:eastAsia="zh-CN"/>
        </w:rPr>
        <w:t>e</w:t>
      </w:r>
      <w:r>
        <w:rPr>
          <w:rFonts w:ascii="Book Antiqua" w:hAnsi="Book Antiqua" w:eastAsia="Book Antiqua" w:cs="Book Antiqua"/>
          <w:b/>
          <w:i/>
          <w:iCs/>
          <w:color w:val="000000"/>
        </w:rPr>
        <w:t>vents</w:t>
      </w:r>
    </w:p>
    <w:p>
      <w:pPr>
        <w:spacing w:line="360" w:lineRule="auto"/>
        <w:jc w:val="both"/>
        <w:rPr>
          <w:rFonts w:ascii="Book Antiqua" w:hAnsi="Book Antiqua"/>
        </w:rPr>
      </w:pPr>
      <w:r>
        <w:rPr>
          <w:rFonts w:ascii="Book Antiqua" w:hAnsi="Book Antiqua" w:eastAsia="Book Antiqua" w:cs="Book Antiqua"/>
          <w:color w:val="000000"/>
        </w:rPr>
        <w:t>Only 1/57 (1.8%;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0.04</w:t>
      </w:r>
      <w:r>
        <w:rPr>
          <w:rFonts w:hint="eastAsia" w:ascii="Book Antiqua" w:hAnsi="Book Antiqua" w:cs="Book Antiqua"/>
          <w:color w:val="000000"/>
          <w:lang w:eastAsia="zh-CN"/>
        </w:rPr>
        <w:t>%-</w:t>
      </w:r>
      <w:r>
        <w:rPr>
          <w:rFonts w:ascii="Book Antiqua" w:hAnsi="Book Antiqua" w:eastAsia="Book Antiqua" w:cs="Book Antiqua"/>
          <w:color w:val="000000"/>
        </w:rPr>
        <w:t>9.4%) of patients who received IV iron therapy had an adverse reaction noted in their electronic medical record. This patient was a three-year-old with very early onset IBD and no prior history of atopy.</w:t>
      </w:r>
      <w:r>
        <w:rPr>
          <w:rFonts w:hint="eastAsia" w:ascii="Book Antiqua" w:hAnsi="Book Antiqua" w:cs="Book Antiqua"/>
          <w:color w:val="000000"/>
          <w:lang w:eastAsia="zh-CN"/>
        </w:rPr>
        <w:t xml:space="preserve"> </w:t>
      </w:r>
      <w:r>
        <w:rPr>
          <w:rFonts w:ascii="Book Antiqua" w:hAnsi="Book Antiqua" w:eastAsia="Book Antiqua" w:cs="Book Antiqua"/>
          <w:color w:val="000000"/>
        </w:rPr>
        <w:t>He was administered INFeD and developed an anaphylactoid reaction (Figure 1). There was no prior history of allergies noted in the patient’s medical record, and he had not received any IV iron in the past. The patient was stabilized and required one additional day of inpatient observation prior to discharge.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Data collected from our single-center</w:t>
      </w:r>
      <w:r>
        <w:rPr>
          <w:rFonts w:ascii="Book Antiqua" w:hAnsi="Book Antiqua" w:eastAsia="Book Antiqua" w:cs="Book Antiqua"/>
          <w:b/>
          <w:bCs/>
          <w:color w:val="000000"/>
        </w:rPr>
        <w:t xml:space="preserve"> </w:t>
      </w:r>
      <w:r>
        <w:rPr>
          <w:rFonts w:ascii="Book Antiqua" w:hAnsi="Book Antiqua" w:eastAsia="Book Antiqua" w:cs="Book Antiqua"/>
          <w:color w:val="000000"/>
        </w:rPr>
        <w:t>study demonstrate the safety and efficacy of parenteral iron administration in a population of children and young adults with IBD and IDA. Patients who received IV iron experienced a significant rise (greater than 1g/dL) in their Hb level in the interval between their admission and first post-discharge ambulatory follow-up visit. Only one adverse event was recorded during the study period.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prevalence of IDA (44%) observed in this study is consistent with previous reports of IDA in pediatric patients with IBD</w:t>
      </w:r>
      <w:r>
        <w:rPr>
          <w:rFonts w:ascii="Book Antiqua" w:hAnsi="Book Antiqua" w:eastAsia="Book Antiqua" w:cs="Book Antiqua"/>
          <w:color w:val="000000"/>
          <w:vertAlign w:val="superscript"/>
        </w:rPr>
        <w:t>[9,</w:t>
      </w:r>
      <w:r>
        <w:rPr>
          <w:rFonts w:hint="eastAsia" w:ascii="Book Antiqua" w:hAnsi="Book Antiqua" w:cs="Book Antiqua"/>
          <w:color w:val="000000"/>
          <w:vertAlign w:val="superscript"/>
          <w:lang w:eastAsia="zh-CN"/>
        </w:rPr>
        <w:t>24-</w:t>
      </w:r>
      <w:r>
        <w:rPr>
          <w:rFonts w:ascii="Book Antiqua" w:hAnsi="Book Antiqua" w:eastAsia="Book Antiqua" w:cs="Book Antiqua"/>
          <w:color w:val="000000"/>
          <w:vertAlign w:val="superscript"/>
        </w:rPr>
        <w:t>26]</w:t>
      </w:r>
      <w:r>
        <w:rPr>
          <w:rFonts w:ascii="Book Antiqua" w:hAnsi="Book Antiqua" w:eastAsia="Book Antiqua" w:cs="Book Antiqua"/>
          <w:color w:val="000000"/>
        </w:rPr>
        <w:t>. After controlling for baseline Hb levels and the number of days between admission and the first ambulatory follow-up, we observed that the subset of patients with IDA who were not treated with iron or who were treated with oral iron experienced a minimal change in their Hb level. In contrast, patients receiving IV iron experienced significant increases in Hb levels by their first ambulatory follow-up visit, which occurred at a median duration of 32 d following discharge.</w:t>
      </w:r>
    </w:p>
    <w:p>
      <w:pPr>
        <w:spacing w:line="360" w:lineRule="auto"/>
        <w:ind w:firstLine="480" w:firstLineChars="200"/>
        <w:jc w:val="both"/>
        <w:rPr>
          <w:rFonts w:ascii="Book Antiqua" w:hAnsi="Book Antiqua"/>
        </w:rPr>
      </w:pPr>
      <w:r>
        <w:rPr>
          <w:rFonts w:ascii="Book Antiqua" w:hAnsi="Book Antiqua" w:eastAsia="Book Antiqua" w:cs="Book Antiqua"/>
          <w:color w:val="000000"/>
        </w:rPr>
        <w:t>IV iron therapy was the only treatment modality that increased serum ferritin levels, whereas ferritin levels declined in patients receiving oral iron or no iron therapy. Serum ferritin is a non-specific acute-phase reactant that is elevated during periods of active inflammation</w:t>
      </w:r>
      <w:r>
        <w:rPr>
          <w:rFonts w:ascii="Book Antiqua" w:hAnsi="Book Antiqua" w:eastAsia="Book Antiqua" w:cs="Book Antiqua"/>
          <w:color w:val="000000"/>
          <w:vertAlign w:val="superscript"/>
        </w:rPr>
        <w:t>[7]</w:t>
      </w:r>
      <w:r>
        <w:rPr>
          <w:rFonts w:ascii="Book Antiqua" w:hAnsi="Book Antiqua" w:eastAsia="Book Antiqua" w:cs="Book Antiqua"/>
          <w:color w:val="000000"/>
        </w:rPr>
        <w:t>. The rise in ferritin levels observed in patients treated with IV iron and not with oral iron has been previously reported in a randomized controlled trial assessing these two treatment modalities in managing IDA in adults with IBD</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This suggests that tracking serum ferritin levels in the context of inflammation may be a misleading metric for assessing the response to oral or parenteral iron administration.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marginal improvement in hematologic and iron parameters observed in patients treated with oral iron therapy in this study may be explained by a combination of factors. Inflammatory cytokines released during chronic active inflammation can decrease iron absorption and utilization. Interleukin-6, in particular, upregulates hepatic production and release of hepcidin</w:t>
      </w:r>
      <w:r>
        <w:rPr>
          <w:rFonts w:ascii="Book Antiqua" w:hAnsi="Book Antiqua" w:eastAsia="Book Antiqua" w:cs="Book Antiqua"/>
          <w:color w:val="000000"/>
          <w:vertAlign w:val="superscript"/>
        </w:rPr>
        <w:t>[27]</w:t>
      </w:r>
      <w:r>
        <w:rPr>
          <w:rFonts w:ascii="Book Antiqua" w:hAnsi="Book Antiqua" w:eastAsia="Book Antiqua" w:cs="Book Antiqua"/>
          <w:color w:val="000000"/>
        </w:rPr>
        <w:t>. This signaling molecule impedes iron transport by inhibiting ferroportin channels in the enterocytes lining the small intestine</w:t>
      </w:r>
      <w:r>
        <w:rPr>
          <w:rFonts w:ascii="Book Antiqua" w:hAnsi="Book Antiqua" w:eastAsia="Book Antiqua" w:cs="Book Antiqua"/>
          <w:color w:val="000000"/>
          <w:vertAlign w:val="superscript"/>
        </w:rPr>
        <w:t>[28,29]</w:t>
      </w:r>
      <w:r>
        <w:rPr>
          <w:rFonts w:ascii="Book Antiqua" w:hAnsi="Book Antiqua" w:eastAsia="Book Antiqua" w:cs="Book Antiqua"/>
          <w:color w:val="000000"/>
        </w:rPr>
        <w:t>. It is also plausible that the blunted response to oral iron therapy could be related to ongoing GI blood loss. Furthermore, adverse GI side effects negatively impact long-term compliance with oral iron therapy, including nausea, diarrhea, abdominal pain, and pill fatigue</w:t>
      </w:r>
      <w:r>
        <w:rPr>
          <w:rFonts w:ascii="Book Antiqua" w:hAnsi="Book Antiqua" w:eastAsia="Book Antiqua" w:cs="Book Antiqua"/>
          <w:color w:val="000000"/>
          <w:vertAlign w:val="superscript"/>
        </w:rPr>
        <w:t>[10]</w:t>
      </w:r>
      <w:r>
        <w:rPr>
          <w:rFonts w:ascii="Book Antiqua" w:hAnsi="Book Antiqua" w:eastAsia="Book Antiqua" w:cs="Book Antiqua"/>
          <w:color w:val="000000"/>
        </w:rPr>
        <w:t>. Thus, the increased bioavailability of IV iron, combined with its lack of reliance on patient adherence, makes parenteral iron a more reliable alternative to addressing IDA in this vulnerable pediatric patient population and has been recommended as first-line treatment in patients with active IBD, severe anemia (Hb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10g/dL), or previous intolerance to oral iron by the European Crohn’s and Colitis Organization in 2015</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18</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ascii="Book Antiqua" w:hAnsi="Book Antiqua" w:eastAsia="Book Antiqua" w:cs="Book Antiqua"/>
          <w:b/>
          <w:bCs/>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reluctance to use IV iron in pediatric patients with IBD and IDA may be rooted in concern for serious adverse events, including anaphylaxis, which had been previously reported with the use of high-molecular-weight iron dextran</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newer low-molecular-weight and polysaccharide-based IV iron formulations, including those employed in the present study, have a much better safety profile in the pediatric IBD population</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We observed only one adverse event in this study, which coincided with administering INFeD.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receiving INFeD and ferric carboxymaltose (Injectafer) experienced a greater increase in their Hb levels than those receiving iron sucrose (Venofer) in this study. This is likely related to the higher dose of infused iron permissible with INFeD and Injectafer.</w:t>
      </w:r>
      <w:r>
        <w:rPr>
          <w:rFonts w:hint="eastAsia" w:ascii="Book Antiqua" w:hAnsi="Book Antiqua" w:cs="Book Antiqua"/>
          <w:color w:val="000000"/>
          <w:lang w:eastAsia="zh-CN"/>
        </w:rPr>
        <w:t xml:space="preserve"> </w:t>
      </w:r>
      <w:r>
        <w:rPr>
          <w:rFonts w:ascii="Book Antiqua" w:hAnsi="Book Antiqua" w:eastAsia="Book Antiqua" w:cs="Book Antiqua"/>
          <w:color w:val="000000"/>
        </w:rPr>
        <w:t>Of the IV iron formulations used in this study, we found INFeD and Injectafer more effective than Venofer for improving mean Hb and iron status by the time of a patient's first ambulatory follow-up visit. This is not surprising, as INFeD can be administered in doses as high as 2</w:t>
      </w:r>
      <w:r>
        <w:rPr>
          <w:rFonts w:hint="eastAsia" w:ascii="Book Antiqua" w:hAnsi="Book Antiqua" w:cs="Book Antiqua"/>
          <w:color w:val="000000"/>
          <w:lang w:eastAsia="zh-CN"/>
        </w:rPr>
        <w:t xml:space="preserve"> </w:t>
      </w:r>
      <w:r>
        <w:rPr>
          <w:rFonts w:ascii="Book Antiqua" w:hAnsi="Book Antiqua" w:eastAsia="Book Antiqua" w:cs="Book Antiqua"/>
          <w:color w:val="000000"/>
        </w:rPr>
        <w:t>g during a single infusion, while ferric carboxymaltose and iron sucrose are limited to 750</w:t>
      </w:r>
      <w:r>
        <w:rPr>
          <w:rFonts w:hint="eastAsia" w:ascii="Book Antiqua" w:hAnsi="Book Antiqua" w:cs="Book Antiqua"/>
          <w:color w:val="000000"/>
          <w:lang w:eastAsia="zh-CN"/>
        </w:rPr>
        <w:t xml:space="preserve"> </w:t>
      </w:r>
      <w:r>
        <w:rPr>
          <w:rFonts w:ascii="Book Antiqua" w:hAnsi="Book Antiqua" w:eastAsia="Book Antiqua" w:cs="Book Antiqua"/>
          <w:color w:val="000000"/>
        </w:rPr>
        <w:t>mg and 300</w:t>
      </w:r>
      <w:r>
        <w:rPr>
          <w:rFonts w:hint="eastAsia" w:ascii="Book Antiqua" w:hAnsi="Book Antiqua" w:cs="Book Antiqua"/>
          <w:color w:val="000000"/>
          <w:lang w:eastAsia="zh-CN"/>
        </w:rPr>
        <w:t xml:space="preserve"> </w:t>
      </w:r>
      <w:r>
        <w:rPr>
          <w:rFonts w:ascii="Book Antiqua" w:hAnsi="Book Antiqua" w:eastAsia="Book Antiqua" w:cs="Book Antiqua"/>
          <w:color w:val="000000"/>
        </w:rPr>
        <w:t>mg, respectively</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As such, patients receiving Venofer may require multiple infusions to achieve iron repletion. Injectafer allows for a more rapid IV iron infusion, taking only fifteen minutes to deliver a maximum dose</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There are reports of ferric carboxymaltose being associated with a higher incidence of hypophosphatemia than other IV iron preparations</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39</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Previous meta-analysis revealed that patients receiving ferric carboxymaltose were at a significantly higher risk of hypophosphatemia related to those treated with iron sucrose </w:t>
      </w:r>
      <w:r>
        <w:rPr>
          <w:rFonts w:hint="eastAsia" w:ascii="Book Antiqua" w:hAnsi="Book Antiqua" w:cs="Book Antiqua"/>
          <w:color w:val="000000"/>
          <w:lang w:eastAsia="zh-CN"/>
        </w:rPr>
        <w:t>[</w:t>
      </w:r>
      <w:r>
        <w:rPr>
          <w:rFonts w:ascii="Book Antiqua" w:hAnsi="Book Antiqua" w:eastAsia="Book Antiqua" w:cs="Book Antiqua"/>
          <w:color w:val="000000"/>
        </w:rPr>
        <w:t xml:space="preserve">risk ratio </w:t>
      </w:r>
      <w:r>
        <w:rPr>
          <w:rFonts w:hint="eastAsia" w:ascii="Book Antiqua" w:hAnsi="Book Antiqua" w:cs="Book Antiqua"/>
          <w:color w:val="000000"/>
          <w:lang w:eastAsia="zh-CN"/>
        </w:rPr>
        <w:t>(</w:t>
      </w:r>
      <w:r>
        <w:rPr>
          <w:rFonts w:ascii="Book Antiqua" w:hAnsi="Book Antiqua" w:eastAsia="Book Antiqua" w:cs="Book Antiqua"/>
          <w:color w:val="000000"/>
        </w:rPr>
        <w:t>RR</w:t>
      </w:r>
      <w:r>
        <w:rPr>
          <w:rFonts w:hint="eastAsia" w:ascii="Book Antiqua" w:hAnsi="Book Antiqua" w:cs="Book Antiqua"/>
          <w:color w:val="000000"/>
          <w:lang w:eastAsia="zh-CN"/>
        </w:rPr>
        <w:t>)</w:t>
      </w:r>
      <w:r>
        <w:rPr>
          <w:rFonts w:ascii="Book Antiqua" w:hAnsi="Book Antiqua" w:eastAsia="Book Antiqua" w:cs="Book Antiqua"/>
          <w:color w:val="000000"/>
        </w:rPr>
        <w:t>: 9.40, 95%CI: 2.30-33.0</w:t>
      </w:r>
      <w:r>
        <w:rPr>
          <w:rFonts w:hint="eastAsia" w:ascii="Book Antiqua" w:hAnsi="Book Antiqua" w:cs="Book Antiqua"/>
          <w:color w:val="000000"/>
          <w:lang w:eastAsia="zh-CN"/>
        </w:rPr>
        <w:t>]</w:t>
      </w:r>
      <w:r>
        <w:rPr>
          <w:rFonts w:ascii="Book Antiqua" w:hAnsi="Book Antiqua" w:eastAsia="Book Antiqua" w:cs="Book Antiqua"/>
          <w:color w:val="000000"/>
        </w:rPr>
        <w:t>, iron isomaltose (RR: 7.90, 95%CI: 2.10-28.0), INFeD (RR: 6.60, 95%CI: 1.91-220.0), and ferumoxytol (RR: 24.0, 95%CI: 2.50-220.0)</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As such, phosphate monitoring may be warranted in patients receiving ferric carboxymaltose therapy to identify and address hypophosphatemia and its associated sequelae</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39</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data demonstrate that patients with IBD and IDA who were not treated with IV iron therapy did not experience a significant change in their mean Hb level between their baseline and their first ambulatory follow-up visit. Of relevance, IDA did not resolve in patients who had otherwise responded favorably (comparable decreases in ESR and CRP levels) to medical therapy. In contrast to previous tenets suggesting that iron deficiency would resolve when the underlying inflammation was corrected, our data suggest that in the absence of targeted iron therapy, correction of the underlying inflammatory response is insufficient to resolve iron homeostasis in patients with IBD. Instead, many of these patients will likely experience a clinical or biochemical improvement (ESR and CRP) in the context of ongoing IDA. This observation underscores the need for early recognition and active management of IDA in pediatric IBD care.</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previous retrospective study found that only 32% of patients with UC and IDA admitted to our Center between 2003 and 2014 were treated with oral iron, and none had been treated with IV iron by discharge</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40-</w:t>
      </w:r>
      <w:r>
        <w:rPr>
          <w:rFonts w:ascii="Book Antiqua" w:hAnsi="Book Antiqua" w:eastAsia="Book Antiqua" w:cs="Book Antiqua"/>
          <w:color w:val="000000"/>
          <w:vertAlign w:val="superscript"/>
        </w:rPr>
        <w:t>4</w:t>
      </w:r>
      <w:r>
        <w:rPr>
          <w:rFonts w:hint="eastAsia"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contrast, 81% of patients with IBD and IDA admitted during the study period between 2017 and 2019 were identified and treated (77% with IV iron) during their hospitalization. It’s likely that the engagement with Research Study Coordinators raised awareness of IDA in patients with IBD, educated providers about dosage calculations and the availability of parenteral iron preparations, and increased the level of provider comfort with respect to ordering parenteral iron therapy. Together, these factors likely contributed to a greater percentage of patients being identified and treated for IDA.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 xml:space="preserve">Our </w:t>
      </w:r>
      <w:r>
        <w:rPr>
          <w:rFonts w:ascii="Book Antiqua" w:hAnsi="Book Antiqua" w:eastAsia="Book Antiqua" w:cs="Book Antiqua"/>
          <w:color w:val="000000"/>
          <w:shd w:val="clear" w:color="auto" w:fill="FFFFFF"/>
        </w:rPr>
        <w:t xml:space="preserve">study's strength is derived from its sample size and observational longitudinal cohort design, which allowed us to evaluate changes in </w:t>
      </w:r>
      <w:r>
        <w:rPr>
          <w:rFonts w:ascii="Book Antiqua" w:hAnsi="Book Antiqua" w:eastAsia="Book Antiqua" w:cs="Book Antiqua"/>
          <w:color w:val="000000"/>
        </w:rPr>
        <w:t>Hb</w:t>
      </w:r>
      <w:r>
        <w:rPr>
          <w:rFonts w:ascii="Book Antiqua" w:hAnsi="Book Antiqua" w:eastAsia="Book Antiqua" w:cs="Book Antiqua"/>
          <w:color w:val="000000"/>
          <w:shd w:val="clear" w:color="auto" w:fill="FFFFFF"/>
        </w:rPr>
        <w:t xml:space="preserve"> and iron levels over time in individuals and groups of patients. This study has limitations, including the fact that this was a single-center, non-randomized design. As such, we could not actively control which patients received each treatment option nor the dosage of iron administered. Also, the ultimate choice of IV iron preparation used may have been affected by provider bias. As such, a more complete evaluation of the association between changes in </w:t>
      </w:r>
      <w:r>
        <w:rPr>
          <w:rFonts w:ascii="Book Antiqua" w:hAnsi="Book Antiqua" w:eastAsia="Book Antiqua" w:cs="Book Antiqua"/>
          <w:color w:val="000000"/>
        </w:rPr>
        <w:t>Hb</w:t>
      </w:r>
      <w:r>
        <w:rPr>
          <w:rFonts w:ascii="Book Antiqua" w:hAnsi="Book Antiqua" w:eastAsia="Book Antiqua" w:cs="Book Antiqua"/>
          <w:color w:val="000000"/>
          <w:shd w:val="clear" w:color="auto" w:fill="FFFFFF"/>
        </w:rPr>
        <w:t xml:space="preserve"> and iron levels in response to IDA therapy is clearly warranted.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In conclusion, </w:t>
      </w:r>
      <w:r>
        <w:rPr>
          <w:rFonts w:ascii="Book Antiqua" w:hAnsi="Book Antiqua" w:eastAsia="Book Antiqua" w:cs="Book Antiqua"/>
          <w:color w:val="000000"/>
          <w:shd w:val="clear" w:color="auto" w:fill="FFFFFF"/>
        </w:rPr>
        <w:t xml:space="preserve">our findings demonstrate that treatment with parenteral iron therapy is most likely to result in a significant improvement in </w:t>
      </w:r>
      <w:r>
        <w:rPr>
          <w:rFonts w:ascii="Book Antiqua" w:hAnsi="Book Antiqua" w:eastAsia="Book Antiqua" w:cs="Book Antiqua"/>
          <w:color w:val="000000"/>
        </w:rPr>
        <w:t>Hb</w:t>
      </w:r>
      <w:r>
        <w:rPr>
          <w:rFonts w:ascii="Book Antiqua" w:hAnsi="Book Antiqua" w:eastAsia="Book Antiqua" w:cs="Book Antiqua"/>
          <w:color w:val="000000"/>
          <w:shd w:val="clear" w:color="auto" w:fill="FFFFFF"/>
        </w:rPr>
        <w:t xml:space="preserve"> levels in pediatric patients admitted with IBD and IDA. Conversely, we found no significant changes in </w:t>
      </w:r>
      <w:r>
        <w:rPr>
          <w:rFonts w:ascii="Book Antiqua" w:hAnsi="Book Antiqua" w:eastAsia="Book Antiqua" w:cs="Book Antiqua"/>
          <w:color w:val="000000"/>
        </w:rPr>
        <w:t>Hb</w:t>
      </w:r>
      <w:r>
        <w:rPr>
          <w:rFonts w:ascii="Book Antiqua" w:hAnsi="Book Antiqua" w:eastAsia="Book Antiqua" w:cs="Book Antiqua"/>
          <w:color w:val="000000"/>
          <w:shd w:val="clear" w:color="auto" w:fill="FFFFFF"/>
        </w:rPr>
        <w:t xml:space="preserve"> levels in patients receiving oral or no iron therapy. Correction of IDA appears to occur independent of other biochemical responses to therapy, including changes in inflammatory (ESR and CRP) markers. As such, IDA may persist without directed therapy, even in patients who otherwise respond to effective corticosteroid, biologic, or other immunosuppressive therapies. IV iron therapy was safe and effective for managing IDA in our pediatric patients with IBD hospitalized for worsening disease activity. </w:t>
      </w:r>
      <w:r>
        <w:rPr>
          <w:rFonts w:ascii="Book Antiqua" w:hAnsi="Book Antiqua" w:eastAsia="Book Antiqua" w:cs="Book Antiqua"/>
          <w:color w:val="000000"/>
        </w:rPr>
        <w:t>More extensive prospective studies are needed to investigate further the efficacy and safety of IV iron therapy in IDA in children with IBD.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lang w:eastAsia="zh-CN"/>
        </w:rPr>
      </w:pPr>
      <w:r>
        <w:rPr>
          <w:rFonts w:ascii="Book Antiqua" w:hAnsi="Book Antiqua" w:eastAsia="Book Antiqua" w:cs="Book Antiqua"/>
          <w:color w:val="000000"/>
        </w:rPr>
        <w:t>Screening for iron deficiency anemia (IDA) is uniformly recommended but may not always occur in the management of pediatric patients with acute exacerbation of their inflammatory bowel disease (IBD). In addition, clinicians may be hesitant to use intravenous (IV) iron in practice in the active IBD population due to concerns about adverse reactions reported in prior IV formulations. Our study sought to evaluate the efficacy and safety profile of IV iron therapy in pediatric patients with IDA admitted to our tertiary care center for their active IBD.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lang w:eastAsia="zh-CN"/>
        </w:rPr>
      </w:pPr>
      <w:r>
        <w:rPr>
          <w:rFonts w:ascii="Book Antiqua" w:hAnsi="Book Antiqua" w:eastAsia="Book Antiqua" w:cs="Book Antiqua"/>
          <w:color w:val="000000"/>
        </w:rPr>
        <w:t>The significance of this research is that it provides additional data on the efficacy and safety profile of the newer IV iron preparations in pediatric patients with active IBD. This research will provide data in directing management of pediatric patients with IDA and active IBD.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lang w:eastAsia="zh-CN"/>
        </w:rPr>
      </w:pPr>
      <w:r>
        <w:rPr>
          <w:rFonts w:ascii="Book Antiqua" w:hAnsi="Book Antiqua" w:eastAsia="Book Antiqua" w:cs="Book Antiqua"/>
          <w:color w:val="000000"/>
        </w:rPr>
        <w:t>The primary aim of this observational study was to prospectively evaluate the efficacy and safety of IV iron therapy for managing IDA in pediatric patients admitted to our center to manage clinical exacerbation of their IBD. The significance of achieving these objectives will allow providers caring for such patients to know the efficacy and safety profile of the newer iron preparations and possible expected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We performed a prospective, open-label, observational cohort study to evaluate our study aims. Research Study Coordinators reviewed the inpatient census daily to assess patient laboratory studies. They notified clinical staff of patients meeting the criteria for iron deficiency and provided them with information about the IV iron formulations available on the hospital formulary and dosing guidelines using a standardized electronic template. The inpatient team subsequently made all decisions concerning the preparation and dose of IV or oral iron prescribed for individual patients. The </w:t>
      </w:r>
      <w:r>
        <w:rPr>
          <w:rFonts w:ascii="Book Antiqua" w:hAnsi="Book Antiqua" w:eastAsia="Book Antiqua" w:cs="Book Antiqua"/>
          <w:color w:val="000000"/>
          <w:shd w:val="clear" w:color="auto" w:fill="FFFFFF"/>
        </w:rPr>
        <w:t>observational longitudinal cohort design allows us to evaluate changes in hemoglobin</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rPr>
        <w:t>Hb</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and iron levels over time in individuals and groups of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lang w:eastAsia="zh-CN"/>
        </w:rPr>
      </w:pPr>
      <w:r>
        <w:rPr>
          <w:rFonts w:ascii="Book Antiqua" w:hAnsi="Book Antiqua" w:eastAsia="Book Antiqua" w:cs="Book Antiqua"/>
          <w:color w:val="000000"/>
        </w:rPr>
        <w:t>First, we found that IV iron is more efficacious than oral or no iron therapy in increasing Hb levels by their first ambulatory follow-up after receipt of iron therapy.</w:t>
      </w:r>
      <w:r>
        <w:rPr>
          <w:rFonts w:hint="eastAsia" w:ascii="Book Antiqua" w:hAnsi="Book Antiqua" w:cs="Book Antiqua"/>
          <w:color w:val="000000"/>
          <w:lang w:eastAsia="zh-CN"/>
        </w:rPr>
        <w:t xml:space="preserve"> </w:t>
      </w:r>
      <w:r>
        <w:rPr>
          <w:rFonts w:ascii="Book Antiqua" w:hAnsi="Book Antiqua" w:eastAsia="Book Antiqua" w:cs="Book Antiqua"/>
          <w:color w:val="000000"/>
        </w:rPr>
        <w:t>This suggests that IV iron therapy is a more efficacious option in elevating Hb levels by the time of first ambulatory follow-up.</w:t>
      </w:r>
      <w:r>
        <w:rPr>
          <w:rFonts w:hint="eastAsia" w:ascii="Book Antiqua" w:hAnsi="Book Antiqua"/>
          <w:lang w:eastAsia="zh-CN"/>
        </w:rPr>
        <w:t xml:space="preserve"> </w:t>
      </w:r>
      <w:r>
        <w:rPr>
          <w:rFonts w:ascii="Book Antiqua" w:hAnsi="Book Antiqua" w:eastAsia="Book Antiqua" w:cs="Book Antiqua"/>
          <w:color w:val="000000"/>
        </w:rPr>
        <w:t>Second, we found that IV iron was overall a safe option in the repletion of IDA in this pediatric IBD population with only 1/57 adverse events reported. This suggests that IV iron is a safe option in this patient population.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Third, IDA did not resolve in patients who had otherwise responded favorably (comparable decreases in </w:t>
      </w:r>
      <w:r>
        <w:rPr>
          <w:rFonts w:hint="eastAsia" w:ascii="Book Antiqua" w:hAnsi="Book Antiqua"/>
          <w:lang w:eastAsia="zh-CN"/>
        </w:rPr>
        <w:t>e</w:t>
      </w:r>
      <w:r>
        <w:rPr>
          <w:rFonts w:ascii="Book Antiqua" w:hAnsi="Book Antiqua"/>
          <w:lang w:eastAsia="zh-CN"/>
        </w:rPr>
        <w:t>rythrocyte sedimentation rate</w:t>
      </w:r>
      <w:r>
        <w:rPr>
          <w:rFonts w:ascii="Book Antiqua" w:hAnsi="Book Antiqua" w:eastAsia="Book Antiqua" w:cs="Book Antiqua"/>
          <w:color w:val="000000"/>
        </w:rPr>
        <w:t xml:space="preserve"> and C-reactive protein levels) to medical therapy. In contrast to previous tenets suggesting that iron deficiency would resolve when the underlying inflammation was corrected, our data suggest that in the absence of targeted iron therapy, correction of the underlying inflammatory response is insufficient to resolve iron homeostasis in patients with IBD.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Our single-center study shows that IV iron is safe and efficacious in treating IDA in children with active IBD. Our data further demonstrate that addressing inflammation is insufficient to correct iron deficiency and that successful treatment of iron deficiency in pediatric patients with IBD warrants active management.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More extensive prospective studies are needed to investigate further the efficacy and safety of IV iron therapy in IDA in children with IBD.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494" w:name="OLE_LINK7886"/>
      <w:bookmarkStart w:id="495" w:name="OLE_LINK7887"/>
      <w:r>
        <w:rPr>
          <w:rFonts w:ascii="Book Antiqua" w:hAnsi="Book Antiqua"/>
        </w:rPr>
        <w:t xml:space="preserve">1 </w:t>
      </w:r>
      <w:r>
        <w:rPr>
          <w:rFonts w:ascii="Book Antiqua" w:hAnsi="Book Antiqua"/>
          <w:b/>
          <w:bCs/>
        </w:rPr>
        <w:t>Niepel D</w:t>
      </w:r>
      <w:r>
        <w:rPr>
          <w:rFonts w:ascii="Book Antiqua" w:hAnsi="Book Antiqua"/>
        </w:rPr>
        <w:t xml:space="preserve">, Klag T, Malek NP, Wehkamp J. Practical guidance for the management of iron deficiency in patients with inflammatory bowel disease. </w:t>
      </w:r>
      <w:r>
        <w:rPr>
          <w:rFonts w:ascii="Book Antiqua" w:hAnsi="Book Antiqua"/>
          <w:i/>
          <w:iCs/>
        </w:rPr>
        <w:t>Therap Adv Gastroenterol</w:t>
      </w:r>
      <w:r>
        <w:rPr>
          <w:rFonts w:ascii="Book Antiqua" w:hAnsi="Book Antiqua"/>
        </w:rPr>
        <w:t xml:space="preserve"> 2018; </w:t>
      </w:r>
      <w:r>
        <w:rPr>
          <w:rFonts w:ascii="Book Antiqua" w:hAnsi="Book Antiqua"/>
          <w:b/>
          <w:bCs/>
        </w:rPr>
        <w:t>11</w:t>
      </w:r>
      <w:r>
        <w:rPr>
          <w:rFonts w:ascii="Book Antiqua" w:hAnsi="Book Antiqua"/>
        </w:rPr>
        <w:t>: 1756284818769074 [PMID: 29760784 DOI: 10.1177/1756284818769074]</w:t>
      </w:r>
    </w:p>
    <w:p>
      <w:pPr>
        <w:spacing w:line="360" w:lineRule="auto"/>
        <w:jc w:val="both"/>
        <w:rPr>
          <w:rFonts w:ascii="Book Antiqua" w:hAnsi="Book Antiqua"/>
        </w:rPr>
      </w:pPr>
      <w:r>
        <w:rPr>
          <w:rFonts w:ascii="Book Antiqua" w:hAnsi="Book Antiqua"/>
        </w:rPr>
        <w:t xml:space="preserve">2 </w:t>
      </w:r>
      <w:r>
        <w:rPr>
          <w:rFonts w:ascii="Book Antiqua" w:hAnsi="Book Antiqua"/>
          <w:b/>
          <w:bCs/>
        </w:rPr>
        <w:t>Goodhand JR</w:t>
      </w:r>
      <w:r>
        <w:rPr>
          <w:rFonts w:ascii="Book Antiqua" w:hAnsi="Book Antiqua"/>
        </w:rPr>
        <w:t xml:space="preserve">, Kamperidis N, Rao A, Laskaratos F, McDermott A, Wahed M, Naik S, Croft NM, Lindsay JO, Sanderson IR, Rampton DS. Prevalence and management of anemia in children, adolescents, and adults with inflammatory bowel disease. </w:t>
      </w:r>
      <w:r>
        <w:rPr>
          <w:rFonts w:ascii="Book Antiqua" w:hAnsi="Book Antiqua"/>
          <w:i/>
          <w:iCs/>
        </w:rPr>
        <w:t>Inflamm Bowel Dis</w:t>
      </w:r>
      <w:r>
        <w:rPr>
          <w:rFonts w:ascii="Book Antiqua" w:hAnsi="Book Antiqua"/>
        </w:rPr>
        <w:t xml:space="preserve"> 2012; </w:t>
      </w:r>
      <w:r>
        <w:rPr>
          <w:rFonts w:ascii="Book Antiqua" w:hAnsi="Book Antiqua"/>
          <w:b/>
          <w:bCs/>
        </w:rPr>
        <w:t>18</w:t>
      </w:r>
      <w:r>
        <w:rPr>
          <w:rFonts w:ascii="Book Antiqua" w:hAnsi="Book Antiqua"/>
        </w:rPr>
        <w:t>: 513-519 [PMID: 21604328 DOI: 10.1002/ibd.21740]</w:t>
      </w:r>
    </w:p>
    <w:p>
      <w:pPr>
        <w:spacing w:line="360" w:lineRule="auto"/>
        <w:jc w:val="both"/>
        <w:rPr>
          <w:rFonts w:ascii="Book Antiqua" w:hAnsi="Book Antiqua"/>
        </w:rPr>
      </w:pPr>
      <w:r>
        <w:rPr>
          <w:rFonts w:ascii="Book Antiqua" w:hAnsi="Book Antiqua"/>
        </w:rPr>
        <w:t xml:space="preserve">3 </w:t>
      </w:r>
      <w:r>
        <w:rPr>
          <w:rFonts w:ascii="Book Antiqua" w:hAnsi="Book Antiqua"/>
          <w:b/>
          <w:bCs/>
        </w:rPr>
        <w:t>Rogler G</w:t>
      </w:r>
      <w:r>
        <w:rPr>
          <w:rFonts w:ascii="Book Antiqua" w:hAnsi="Book Antiqua"/>
        </w:rPr>
        <w:t xml:space="preserve">, Vavricka S. Anemia in inflammatory bowel disease: an under-estimated problem? </w:t>
      </w:r>
      <w:r>
        <w:rPr>
          <w:rFonts w:ascii="Book Antiqua" w:hAnsi="Book Antiqua"/>
          <w:i/>
          <w:iCs/>
        </w:rPr>
        <w:t>Front Med (Lausanne)</w:t>
      </w:r>
      <w:r>
        <w:rPr>
          <w:rFonts w:ascii="Book Antiqua" w:hAnsi="Book Antiqua"/>
        </w:rPr>
        <w:t xml:space="preserve"> 2014; </w:t>
      </w:r>
      <w:r>
        <w:rPr>
          <w:rFonts w:ascii="Book Antiqua" w:hAnsi="Book Antiqua"/>
          <w:b/>
          <w:bCs/>
        </w:rPr>
        <w:t>1</w:t>
      </w:r>
      <w:r>
        <w:rPr>
          <w:rFonts w:ascii="Book Antiqua" w:hAnsi="Book Antiqua"/>
        </w:rPr>
        <w:t>: 58 [PMID: 25646159 DOI: 10.3389/fmed.2014.00058]</w:t>
      </w:r>
    </w:p>
    <w:p>
      <w:pPr>
        <w:spacing w:line="360" w:lineRule="auto"/>
        <w:jc w:val="both"/>
        <w:rPr>
          <w:rFonts w:ascii="Book Antiqua" w:hAnsi="Book Antiqua"/>
        </w:rPr>
      </w:pPr>
      <w:r>
        <w:rPr>
          <w:rFonts w:ascii="Book Antiqua" w:hAnsi="Book Antiqua"/>
        </w:rPr>
        <w:t xml:space="preserve">4 </w:t>
      </w:r>
      <w:r>
        <w:rPr>
          <w:rFonts w:ascii="Book Antiqua" w:hAnsi="Book Antiqua"/>
          <w:b/>
          <w:bCs/>
        </w:rPr>
        <w:t>Koutroubakis IE</w:t>
      </w:r>
      <w:r>
        <w:rPr>
          <w:rFonts w:ascii="Book Antiqua" w:hAnsi="Book Antiqua"/>
        </w:rPr>
        <w:t xml:space="preserve">, Ramos-Rivers C, Regueiro M, Koutroumpakis E, Click B, Schoen RE, Hashash JG, Schwartz M, Swoger J, Baidoo L, Barrie A, Dunn MA, Binion DG. Persistent or Recurrent Anemia Is Associated With Severe and Disabling Inflammatory Bowel Disease. </w:t>
      </w:r>
      <w:r>
        <w:rPr>
          <w:rFonts w:ascii="Book Antiqua" w:hAnsi="Book Antiqua"/>
          <w:i/>
          <w:iCs/>
        </w:rPr>
        <w:t>Clin Gastroenterol Hepatol</w:t>
      </w:r>
      <w:r>
        <w:rPr>
          <w:rFonts w:ascii="Book Antiqua" w:hAnsi="Book Antiqua"/>
        </w:rPr>
        <w:t xml:space="preserve"> 2015; </w:t>
      </w:r>
      <w:r>
        <w:rPr>
          <w:rFonts w:ascii="Book Antiqua" w:hAnsi="Book Antiqua"/>
          <w:b/>
          <w:bCs/>
        </w:rPr>
        <w:t>13</w:t>
      </w:r>
      <w:r>
        <w:rPr>
          <w:rFonts w:ascii="Book Antiqua" w:hAnsi="Book Antiqua"/>
        </w:rPr>
        <w:t>: 1760-1766 [PMID: 25862987 DOI: 10.1016/j.cgh.2015.03.029]</w:t>
      </w:r>
    </w:p>
    <w:p>
      <w:pPr>
        <w:spacing w:line="360" w:lineRule="auto"/>
        <w:jc w:val="both"/>
        <w:rPr>
          <w:rFonts w:ascii="Book Antiqua" w:hAnsi="Book Antiqua"/>
        </w:rPr>
      </w:pPr>
      <w:r>
        <w:rPr>
          <w:rFonts w:ascii="Book Antiqua" w:hAnsi="Book Antiqua"/>
        </w:rPr>
        <w:t xml:space="preserve">5 </w:t>
      </w:r>
      <w:r>
        <w:rPr>
          <w:rFonts w:ascii="Book Antiqua" w:hAnsi="Book Antiqua"/>
          <w:b/>
          <w:bCs/>
        </w:rPr>
        <w:t>Wells CW</w:t>
      </w:r>
      <w:r>
        <w:rPr>
          <w:rFonts w:ascii="Book Antiqua" w:hAnsi="Book Antiqua"/>
        </w:rPr>
        <w:t xml:space="preserve">, Lewis S, Barton JR, Corbett S. Effects of changes in hemoglobin level on quality of life and cognitive function in inflammatory bowel disease patients. </w:t>
      </w:r>
      <w:r>
        <w:rPr>
          <w:rFonts w:ascii="Book Antiqua" w:hAnsi="Book Antiqua"/>
          <w:i/>
          <w:iCs/>
        </w:rPr>
        <w:t>Inflamm Bowel Dis</w:t>
      </w:r>
      <w:r>
        <w:rPr>
          <w:rFonts w:ascii="Book Antiqua" w:hAnsi="Book Antiqua"/>
        </w:rPr>
        <w:t xml:space="preserve"> 2006; </w:t>
      </w:r>
      <w:r>
        <w:rPr>
          <w:rFonts w:ascii="Book Antiqua" w:hAnsi="Book Antiqua"/>
          <w:b/>
          <w:bCs/>
        </w:rPr>
        <w:t>12</w:t>
      </w:r>
      <w:r>
        <w:rPr>
          <w:rFonts w:ascii="Book Antiqua" w:hAnsi="Book Antiqua"/>
        </w:rPr>
        <w:t>: 123-130 [PMID: 16432377 DOI: 10.1097/01.MIB.0000196646.64615.db]</w:t>
      </w:r>
    </w:p>
    <w:p>
      <w:pPr>
        <w:spacing w:line="360" w:lineRule="auto"/>
        <w:jc w:val="both"/>
        <w:rPr>
          <w:rFonts w:ascii="Book Antiqua" w:hAnsi="Book Antiqua"/>
        </w:rPr>
      </w:pPr>
      <w:r>
        <w:rPr>
          <w:rFonts w:ascii="Book Antiqua" w:hAnsi="Book Antiqua"/>
        </w:rPr>
        <w:t xml:space="preserve">6 </w:t>
      </w:r>
      <w:r>
        <w:rPr>
          <w:rFonts w:ascii="Book Antiqua" w:hAnsi="Book Antiqua"/>
          <w:b/>
          <w:bCs/>
        </w:rPr>
        <w:t>Pollitt E</w:t>
      </w:r>
      <w:r>
        <w:rPr>
          <w:rFonts w:ascii="Book Antiqua" w:hAnsi="Book Antiqua"/>
        </w:rPr>
        <w:t xml:space="preserve">. Iron deficiency and cognitive function. </w:t>
      </w:r>
      <w:r>
        <w:rPr>
          <w:rFonts w:ascii="Book Antiqua" w:hAnsi="Book Antiqua"/>
          <w:i/>
          <w:iCs/>
        </w:rPr>
        <w:t>Annu Rev Nutr</w:t>
      </w:r>
      <w:r>
        <w:rPr>
          <w:rFonts w:ascii="Book Antiqua" w:hAnsi="Book Antiqua"/>
        </w:rPr>
        <w:t xml:space="preserve"> 1993; </w:t>
      </w:r>
      <w:r>
        <w:rPr>
          <w:rFonts w:ascii="Book Antiqua" w:hAnsi="Book Antiqua"/>
          <w:b/>
          <w:bCs/>
        </w:rPr>
        <w:t>13</w:t>
      </w:r>
      <w:r>
        <w:rPr>
          <w:rFonts w:ascii="Book Antiqua" w:hAnsi="Book Antiqua"/>
        </w:rPr>
        <w:t>: 521-537 [PMID: 8369157 DOI: 10.1146/annurev.nu.13.070193.002513]</w:t>
      </w:r>
    </w:p>
    <w:p>
      <w:pPr>
        <w:spacing w:line="360" w:lineRule="auto"/>
        <w:jc w:val="both"/>
        <w:rPr>
          <w:rFonts w:ascii="Book Antiqua" w:hAnsi="Book Antiqua"/>
        </w:rPr>
      </w:pPr>
      <w:r>
        <w:rPr>
          <w:rFonts w:ascii="Book Antiqua" w:hAnsi="Book Antiqua"/>
        </w:rPr>
        <w:t xml:space="preserve">7 </w:t>
      </w:r>
      <w:r>
        <w:rPr>
          <w:rFonts w:ascii="Book Antiqua" w:hAnsi="Book Antiqua"/>
          <w:b/>
          <w:bCs/>
        </w:rPr>
        <w:t>Goyal A</w:t>
      </w:r>
      <w:r>
        <w:rPr>
          <w:rFonts w:ascii="Book Antiqua" w:hAnsi="Book Antiqua"/>
        </w:rPr>
        <w:t xml:space="preserve">, Zheng Y, Albenberg LG, Stoner NL, Hart L, Alkhouri R, Hampson K, Ali S, Cho-Dorado M, Goyal RK, Grossman A. Anemia in Children With Inflammatory Bowel Disease: A Position Paper by the IBD Committee of the North American Society of Pediatric Gastroenterology, Hepatology and Nutrition. </w:t>
      </w:r>
      <w:r>
        <w:rPr>
          <w:rFonts w:ascii="Book Antiqua" w:hAnsi="Book Antiqua"/>
          <w:i/>
          <w:iCs/>
        </w:rPr>
        <w:t>J Pediatr Gastroenterol Nutr</w:t>
      </w:r>
      <w:r>
        <w:rPr>
          <w:rFonts w:ascii="Book Antiqua" w:hAnsi="Book Antiqua"/>
        </w:rPr>
        <w:t xml:space="preserve"> 2020; </w:t>
      </w:r>
      <w:r>
        <w:rPr>
          <w:rFonts w:ascii="Book Antiqua" w:hAnsi="Book Antiqua"/>
          <w:b/>
          <w:bCs/>
        </w:rPr>
        <w:t>71</w:t>
      </w:r>
      <w:r>
        <w:rPr>
          <w:rFonts w:ascii="Book Antiqua" w:hAnsi="Book Antiqua"/>
        </w:rPr>
        <w:t>: 563-582 [PMID: 32947565 DOI: 10.1097/MPG.0000000000002885]</w:t>
      </w:r>
    </w:p>
    <w:p>
      <w:pPr>
        <w:spacing w:line="360" w:lineRule="auto"/>
        <w:jc w:val="both"/>
        <w:rPr>
          <w:rFonts w:ascii="Book Antiqua" w:hAnsi="Book Antiqua"/>
        </w:rPr>
      </w:pPr>
      <w:r>
        <w:rPr>
          <w:rFonts w:ascii="Book Antiqua" w:hAnsi="Book Antiqua"/>
        </w:rPr>
        <w:t xml:space="preserve">8 </w:t>
      </w:r>
      <w:r>
        <w:rPr>
          <w:rFonts w:ascii="Book Antiqua" w:hAnsi="Book Antiqua"/>
          <w:b/>
          <w:bCs/>
        </w:rPr>
        <w:t>Lopes AI</w:t>
      </w:r>
      <w:r>
        <w:rPr>
          <w:rFonts w:ascii="Book Antiqua" w:hAnsi="Book Antiqua"/>
        </w:rPr>
        <w:t xml:space="preserve">, Azevedo S, Cabral J, Ferreira MG, Sande-Lemos P, Ferreira R, Trindade E, Lima R, Antunes H. Portuguese Consensus on Diagnosis, Treatment, and Management of Anemia in Pediatric Inflammatory Bowel Disease. </w:t>
      </w:r>
      <w:r>
        <w:rPr>
          <w:rFonts w:ascii="Book Antiqua" w:hAnsi="Book Antiqua"/>
          <w:i/>
          <w:iCs/>
        </w:rPr>
        <w:t>GE Port J Gastroenterol</w:t>
      </w:r>
      <w:r>
        <w:rPr>
          <w:rFonts w:ascii="Book Antiqua" w:hAnsi="Book Antiqua"/>
        </w:rPr>
        <w:t xml:space="preserve"> 2020; </w:t>
      </w:r>
      <w:r>
        <w:rPr>
          <w:rFonts w:ascii="Book Antiqua" w:hAnsi="Book Antiqua"/>
          <w:b/>
          <w:bCs/>
        </w:rPr>
        <w:t>27</w:t>
      </w:r>
      <w:r>
        <w:rPr>
          <w:rFonts w:ascii="Book Antiqua" w:hAnsi="Book Antiqua"/>
        </w:rPr>
        <w:t>: 244-254 [PMID: 32775546 DOI: 10.1159/000505071]</w:t>
      </w:r>
    </w:p>
    <w:p>
      <w:pPr>
        <w:spacing w:line="360" w:lineRule="auto"/>
        <w:jc w:val="both"/>
        <w:rPr>
          <w:rFonts w:ascii="Book Antiqua" w:hAnsi="Book Antiqua"/>
        </w:rPr>
      </w:pPr>
      <w:r>
        <w:rPr>
          <w:rFonts w:ascii="Book Antiqua" w:hAnsi="Book Antiqua"/>
        </w:rPr>
        <w:t xml:space="preserve">9 </w:t>
      </w:r>
      <w:r>
        <w:rPr>
          <w:rFonts w:ascii="Book Antiqua" w:hAnsi="Book Antiqua"/>
          <w:b/>
          <w:bCs/>
        </w:rPr>
        <w:t>Miller SD</w:t>
      </w:r>
      <w:r>
        <w:rPr>
          <w:rFonts w:ascii="Book Antiqua" w:hAnsi="Book Antiqua"/>
        </w:rPr>
        <w:t xml:space="preserve">, Cuffari C, Akhuemonkhan E, Guerrerio AL, Lehmann H, Hutfless S. Anemia Screening, Prevalence, and Treatment in Pediatric Inflammatory Bowel Disease in the United States, 2010-2014. </w:t>
      </w:r>
      <w:r>
        <w:rPr>
          <w:rFonts w:ascii="Book Antiqua" w:hAnsi="Book Antiqua"/>
          <w:i/>
          <w:iCs/>
        </w:rPr>
        <w:t>Pediatr Gastroenterol Hepatol Nutr</w:t>
      </w:r>
      <w:r>
        <w:rPr>
          <w:rFonts w:ascii="Book Antiqua" w:hAnsi="Book Antiqua"/>
        </w:rPr>
        <w:t xml:space="preserve"> 2019; </w:t>
      </w:r>
      <w:r>
        <w:rPr>
          <w:rFonts w:ascii="Book Antiqua" w:hAnsi="Book Antiqua"/>
          <w:b/>
          <w:bCs/>
        </w:rPr>
        <w:t>22</w:t>
      </w:r>
      <w:r>
        <w:rPr>
          <w:rFonts w:ascii="Book Antiqua" w:hAnsi="Book Antiqua"/>
        </w:rPr>
        <w:t>: 152-161 [PMID: 30899691 DOI: 10.5223/pghn.2019.22.2.152]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de Silva AD</w:t>
      </w:r>
      <w:r>
        <w:rPr>
          <w:rFonts w:ascii="Book Antiqua" w:hAnsi="Book Antiqua"/>
        </w:rPr>
        <w:t xml:space="preserve">, Tsironi E, Feakins RM, Rampton DS. Efficacy and tolerability of oral iron therapy in inflammatory bowel disease: a prospective, comparative trial. </w:t>
      </w:r>
      <w:r>
        <w:rPr>
          <w:rFonts w:ascii="Book Antiqua" w:hAnsi="Book Antiqua"/>
          <w:i/>
          <w:iCs/>
        </w:rPr>
        <w:t>Aliment Pharmacol Ther</w:t>
      </w:r>
      <w:r>
        <w:rPr>
          <w:rFonts w:ascii="Book Antiqua" w:hAnsi="Book Antiqua"/>
        </w:rPr>
        <w:t xml:space="preserve"> 2005; </w:t>
      </w:r>
      <w:r>
        <w:rPr>
          <w:rFonts w:ascii="Book Antiqua" w:hAnsi="Book Antiqua"/>
          <w:b/>
          <w:bCs/>
        </w:rPr>
        <w:t>22</w:t>
      </w:r>
      <w:r>
        <w:rPr>
          <w:rFonts w:ascii="Book Antiqua" w:hAnsi="Book Antiqua"/>
        </w:rPr>
        <w:t>: 1097-1105 [PMID: 16305723 DOI: 10.1111/j.1365-2036.2005.02700.x]</w:t>
      </w:r>
    </w:p>
    <w:p>
      <w:pPr>
        <w:spacing w:line="360" w:lineRule="auto"/>
        <w:jc w:val="both"/>
        <w:rPr>
          <w:rFonts w:ascii="Book Antiqua" w:hAnsi="Book Antiqua"/>
        </w:rPr>
      </w:pPr>
      <w:r>
        <w:rPr>
          <w:rFonts w:ascii="Book Antiqua" w:hAnsi="Book Antiqua"/>
        </w:rPr>
        <w:t xml:space="preserve">11 </w:t>
      </w:r>
      <w:r>
        <w:rPr>
          <w:rFonts w:ascii="Book Antiqua" w:hAnsi="Book Antiqua"/>
          <w:b/>
          <w:bCs/>
        </w:rPr>
        <w:t>Lee TW</w:t>
      </w:r>
      <w:r>
        <w:rPr>
          <w:rFonts w:ascii="Book Antiqua" w:hAnsi="Book Antiqua"/>
        </w:rPr>
        <w:t xml:space="preserve">, Kolber MR, Fedorak RN, van Zanten SV. Iron replacement therapy in inflammatory bowel disease patients with iron deficiency anemia: a systematic review and meta-analysis. </w:t>
      </w:r>
      <w:r>
        <w:rPr>
          <w:rFonts w:ascii="Book Antiqua" w:hAnsi="Book Antiqua"/>
          <w:i/>
          <w:iCs/>
        </w:rPr>
        <w:t>J Crohns Colitis</w:t>
      </w:r>
      <w:r>
        <w:rPr>
          <w:rFonts w:ascii="Book Antiqua" w:hAnsi="Book Antiqua"/>
        </w:rPr>
        <w:t xml:space="preserve"> 2012; </w:t>
      </w:r>
      <w:r>
        <w:rPr>
          <w:rFonts w:ascii="Book Antiqua" w:hAnsi="Book Antiqua"/>
          <w:b/>
          <w:bCs/>
        </w:rPr>
        <w:t>6</w:t>
      </w:r>
      <w:r>
        <w:rPr>
          <w:rFonts w:ascii="Book Antiqua" w:hAnsi="Book Antiqua"/>
        </w:rPr>
        <w:t>: 267-275 [PMID: 22405161 DOI: 10.1016/j.crohns.2011.09.010]</w:t>
      </w:r>
    </w:p>
    <w:p>
      <w:pPr>
        <w:spacing w:line="360" w:lineRule="auto"/>
        <w:jc w:val="both"/>
        <w:rPr>
          <w:rFonts w:ascii="Book Antiqua" w:hAnsi="Book Antiqua"/>
        </w:rPr>
      </w:pPr>
      <w:r>
        <w:rPr>
          <w:rFonts w:ascii="Book Antiqua" w:hAnsi="Book Antiqua"/>
        </w:rPr>
        <w:t xml:space="preserve">12 </w:t>
      </w:r>
      <w:r>
        <w:rPr>
          <w:rFonts w:ascii="Book Antiqua" w:hAnsi="Book Antiqua"/>
          <w:b/>
          <w:bCs/>
        </w:rPr>
        <w:t>Martinelli M</w:t>
      </w:r>
      <w:r>
        <w:rPr>
          <w:rFonts w:ascii="Book Antiqua" w:hAnsi="Book Antiqua"/>
        </w:rPr>
        <w:t xml:space="preserve">, Strisciuglio C, Alessandrella A, Rossi F, Auricchio R, Campostrini N, Girelli D, Nobili B, Staiano A, Perrotta S, Miele E. Serum Hepcidin and Iron Absorption in Paediatric Inflammatory Bowel Disease. </w:t>
      </w:r>
      <w:r>
        <w:rPr>
          <w:rFonts w:ascii="Book Antiqua" w:hAnsi="Book Antiqua"/>
          <w:i/>
          <w:iCs/>
        </w:rPr>
        <w:t>J Crohns Colitis</w:t>
      </w:r>
      <w:r>
        <w:rPr>
          <w:rFonts w:ascii="Book Antiqua" w:hAnsi="Book Antiqua"/>
        </w:rPr>
        <w:t xml:space="preserve"> 2016; </w:t>
      </w:r>
      <w:r>
        <w:rPr>
          <w:rFonts w:ascii="Book Antiqua" w:hAnsi="Book Antiqua"/>
          <w:b/>
          <w:bCs/>
        </w:rPr>
        <w:t>10</w:t>
      </w:r>
      <w:r>
        <w:rPr>
          <w:rFonts w:ascii="Book Antiqua" w:hAnsi="Book Antiqua"/>
        </w:rPr>
        <w:t>: 566-574 [PMID: 26733407 DOI: 10.1093/ecco-jcc/jjv242]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Ganz T</w:t>
      </w:r>
      <w:r>
        <w:rPr>
          <w:rFonts w:ascii="Book Antiqua" w:hAnsi="Book Antiqua"/>
        </w:rPr>
        <w:t xml:space="preserve">. Hepcidin, a key regulator of iron metabolism and mediator of anemia of inflammation. </w:t>
      </w:r>
      <w:r>
        <w:rPr>
          <w:rFonts w:ascii="Book Antiqua" w:hAnsi="Book Antiqua"/>
          <w:i/>
          <w:iCs/>
        </w:rPr>
        <w:t>Blood</w:t>
      </w:r>
      <w:r>
        <w:rPr>
          <w:rFonts w:ascii="Book Antiqua" w:hAnsi="Book Antiqua"/>
        </w:rPr>
        <w:t xml:space="preserve"> 2003; </w:t>
      </w:r>
      <w:r>
        <w:rPr>
          <w:rFonts w:ascii="Book Antiqua" w:hAnsi="Book Antiqua"/>
          <w:b/>
          <w:bCs/>
        </w:rPr>
        <w:t>102</w:t>
      </w:r>
      <w:r>
        <w:rPr>
          <w:rFonts w:ascii="Book Antiqua" w:hAnsi="Book Antiqua"/>
        </w:rPr>
        <w:t>: 783-788 [PMID: 12663437 DOI: 10.1182/blood-2003-03-0672]</w:t>
      </w:r>
    </w:p>
    <w:p>
      <w:pPr>
        <w:spacing w:line="360" w:lineRule="auto"/>
        <w:jc w:val="both"/>
        <w:rPr>
          <w:rFonts w:ascii="Book Antiqua" w:hAnsi="Book Antiqua"/>
        </w:rPr>
      </w:pPr>
      <w:r>
        <w:rPr>
          <w:rFonts w:ascii="Book Antiqua" w:hAnsi="Book Antiqua"/>
        </w:rPr>
        <w:t xml:space="preserve">14 </w:t>
      </w:r>
      <w:r>
        <w:rPr>
          <w:rFonts w:ascii="Book Antiqua" w:hAnsi="Book Antiqua"/>
          <w:b/>
          <w:bCs/>
        </w:rPr>
        <w:t>Schröder O</w:t>
      </w:r>
      <w:r>
        <w:rPr>
          <w:rFonts w:ascii="Book Antiqua" w:hAnsi="Book Antiqua"/>
        </w:rPr>
        <w:t xml:space="preserve">, Mickisch O, Seidler U, de Weerth A, Dignass AU, Herfarth H, Reinshagen M, Schreiber S, Junge U, Schrott M, Stein J. Intravenous iron sucrose versus oral iron supplementation for the treatment of iron deficiency anemia in patients with inflammatory bowel disease--a randomized, controlled, open-label, multicenter study. </w:t>
      </w:r>
      <w:r>
        <w:rPr>
          <w:rFonts w:ascii="Book Antiqua" w:hAnsi="Book Antiqua"/>
          <w:i/>
          <w:iCs/>
        </w:rPr>
        <w:t>Am J Gastroenterol</w:t>
      </w:r>
      <w:r>
        <w:rPr>
          <w:rFonts w:ascii="Book Antiqua" w:hAnsi="Book Antiqua"/>
        </w:rPr>
        <w:t xml:space="preserve"> 2005; </w:t>
      </w:r>
      <w:r>
        <w:rPr>
          <w:rFonts w:ascii="Book Antiqua" w:hAnsi="Book Antiqua"/>
          <w:b/>
          <w:bCs/>
        </w:rPr>
        <w:t>100</w:t>
      </w:r>
      <w:r>
        <w:rPr>
          <w:rFonts w:ascii="Book Antiqua" w:hAnsi="Book Antiqua"/>
        </w:rPr>
        <w:t>: 2503-2509 [PMID: 16279906 DOI: 10.1111/j.1572-0241.2005.00250.x]</w:t>
      </w:r>
    </w:p>
    <w:p>
      <w:pPr>
        <w:spacing w:line="360" w:lineRule="auto"/>
        <w:jc w:val="both"/>
        <w:rPr>
          <w:rFonts w:ascii="Book Antiqua" w:hAnsi="Book Antiqua"/>
        </w:rPr>
      </w:pPr>
      <w:r>
        <w:rPr>
          <w:rFonts w:ascii="Book Antiqua" w:hAnsi="Book Antiqua"/>
        </w:rPr>
        <w:t xml:space="preserve">15 </w:t>
      </w:r>
      <w:r>
        <w:rPr>
          <w:rFonts w:ascii="Book Antiqua" w:hAnsi="Book Antiqua"/>
          <w:b/>
          <w:bCs/>
        </w:rPr>
        <w:t>Erichsen K</w:t>
      </w:r>
      <w:r>
        <w:rPr>
          <w:rFonts w:ascii="Book Antiqua" w:hAnsi="Book Antiqua"/>
        </w:rPr>
        <w:t xml:space="preserve">, Ulvik RJ, Nysaeter G, Johansen J, Ostborg J, Berstad A, Berge RK, Hausken T. Oral ferrous fumarate or intravenous iron sucrose for patients with inflammatory bowel disease. </w:t>
      </w:r>
      <w:r>
        <w:rPr>
          <w:rFonts w:ascii="Book Antiqua" w:hAnsi="Book Antiqua"/>
          <w:i/>
          <w:iCs/>
        </w:rPr>
        <w:t>Scand J Gastroenterol</w:t>
      </w:r>
      <w:r>
        <w:rPr>
          <w:rFonts w:ascii="Book Antiqua" w:hAnsi="Book Antiqua"/>
        </w:rPr>
        <w:t xml:space="preserve"> 2005; </w:t>
      </w:r>
      <w:r>
        <w:rPr>
          <w:rFonts w:ascii="Book Antiqua" w:hAnsi="Book Antiqua"/>
          <w:b/>
          <w:bCs/>
        </w:rPr>
        <w:t>40</w:t>
      </w:r>
      <w:r>
        <w:rPr>
          <w:rFonts w:ascii="Book Antiqua" w:hAnsi="Book Antiqua"/>
        </w:rPr>
        <w:t>: 1058-1065 [PMID: 16165718 DOI: 10.1080/00365520510023198]</w:t>
      </w:r>
    </w:p>
    <w:p>
      <w:pPr>
        <w:spacing w:line="360" w:lineRule="auto"/>
        <w:jc w:val="both"/>
        <w:rPr>
          <w:rFonts w:ascii="Book Antiqua" w:hAnsi="Book Antiqua"/>
        </w:rPr>
      </w:pPr>
      <w:r>
        <w:rPr>
          <w:rFonts w:ascii="Book Antiqua" w:hAnsi="Book Antiqua"/>
        </w:rPr>
        <w:t xml:space="preserve">16 </w:t>
      </w:r>
      <w:r>
        <w:rPr>
          <w:rFonts w:ascii="Book Antiqua" w:hAnsi="Book Antiqua"/>
          <w:b/>
          <w:bCs/>
        </w:rPr>
        <w:t>Auerbach M</w:t>
      </w:r>
      <w:r>
        <w:rPr>
          <w:rFonts w:ascii="Book Antiqua" w:hAnsi="Book Antiqua"/>
        </w:rPr>
        <w:t xml:space="preserve">. Should intravenous iron be upfront therapy for iron deficiency anemia? </w:t>
      </w:r>
      <w:r>
        <w:rPr>
          <w:rFonts w:ascii="Book Antiqua" w:hAnsi="Book Antiqua"/>
          <w:i/>
          <w:iCs/>
        </w:rPr>
        <w:t>Pediatr Blood Cancer</w:t>
      </w:r>
      <w:r>
        <w:rPr>
          <w:rFonts w:ascii="Book Antiqua" w:hAnsi="Book Antiqua"/>
        </w:rPr>
        <w:t xml:space="preserve"> 2011; </w:t>
      </w:r>
      <w:r>
        <w:rPr>
          <w:rFonts w:ascii="Book Antiqua" w:hAnsi="Book Antiqua"/>
          <w:b/>
          <w:bCs/>
        </w:rPr>
        <w:t>56</w:t>
      </w:r>
      <w:r>
        <w:rPr>
          <w:rFonts w:ascii="Book Antiqua" w:hAnsi="Book Antiqua"/>
        </w:rPr>
        <w:t>: 511-512 [PMID: 21298731 DOI: 10.1002/pbc.22981]</w:t>
      </w:r>
    </w:p>
    <w:p>
      <w:pPr>
        <w:spacing w:line="360" w:lineRule="auto"/>
        <w:jc w:val="both"/>
        <w:rPr>
          <w:rFonts w:ascii="Book Antiqua" w:hAnsi="Book Antiqua"/>
          <w:lang w:eastAsia="zh-CN"/>
        </w:rPr>
      </w:pPr>
      <w:r>
        <w:rPr>
          <w:rFonts w:ascii="Book Antiqua" w:hAnsi="Book Antiqua"/>
        </w:rPr>
        <w:t xml:space="preserve">17 </w:t>
      </w:r>
      <w:r>
        <w:rPr>
          <w:rFonts w:ascii="Book Antiqua" w:hAnsi="Book Antiqua"/>
          <w:b/>
          <w:bCs/>
        </w:rPr>
        <w:t>World Health Organization</w:t>
      </w:r>
      <w:r>
        <w:rPr>
          <w:rFonts w:hint="eastAsia" w:ascii="Book Antiqua" w:hAnsi="Book Antiqua"/>
          <w:b/>
          <w:bCs/>
          <w:lang w:eastAsia="zh-CN"/>
        </w:rPr>
        <w:t>,</w:t>
      </w:r>
      <w:r>
        <w:rPr>
          <w:rFonts w:ascii="Book Antiqua" w:hAnsi="Book Antiqua"/>
          <w:b/>
        </w:rPr>
        <w:t xml:space="preserve"> Centers for Disease Control and Prevention</w:t>
      </w:r>
      <w:r>
        <w:rPr>
          <w:rFonts w:ascii="Book Antiqua" w:hAnsi="Book Antiqua"/>
        </w:rPr>
        <w:t>. Assessing the iron status of populations</w:t>
      </w:r>
      <w:r>
        <w:rPr>
          <w:rFonts w:hint="eastAsia" w:ascii="Book Antiqua" w:hAnsi="Book Antiqua"/>
          <w:lang w:eastAsia="zh-CN"/>
        </w:rPr>
        <w:t>,</w:t>
      </w:r>
      <w:r>
        <w:rPr>
          <w:rFonts w:ascii="Book Antiqua" w:hAnsi="Book Antiqua"/>
        </w:rPr>
        <w:t xml:space="preserve"> 2</w:t>
      </w:r>
      <w:r>
        <w:rPr>
          <w:rFonts w:ascii="Book Antiqua" w:hAnsi="Book Antiqua"/>
          <w:vertAlign w:val="superscript"/>
        </w:rPr>
        <w:t>nd</w:t>
      </w:r>
      <w:r>
        <w:rPr>
          <w:rFonts w:ascii="Book Antiqua" w:hAnsi="Book Antiqua"/>
        </w:rPr>
        <w:t xml:space="preserve"> ed. Geneva, Switzerland; 2007</w:t>
      </w:r>
      <w:r>
        <w:rPr>
          <w:rFonts w:hint="eastAsia" w:ascii="Book Antiqua" w:hAnsi="Book Antiqua"/>
          <w:lang w:eastAsia="zh-CN"/>
        </w:rPr>
        <w:t xml:space="preserve">. [cited 10 January 2024]. Available from: </w:t>
      </w:r>
      <w:r>
        <w:rPr>
          <w:rFonts w:ascii="Book Antiqua" w:hAnsi="Book Antiqua"/>
          <w:lang w:eastAsia="zh-CN"/>
        </w:rPr>
        <w:t>https://www.cdc.gov/</w:t>
      </w:r>
    </w:p>
    <w:p>
      <w:pPr>
        <w:spacing w:line="360" w:lineRule="auto"/>
        <w:jc w:val="both"/>
        <w:rPr>
          <w:rFonts w:ascii="Book Antiqua" w:hAnsi="Book Antiqua"/>
        </w:rPr>
      </w:pPr>
      <w:r>
        <w:rPr>
          <w:rFonts w:ascii="Book Antiqua" w:hAnsi="Book Antiqua"/>
        </w:rPr>
        <w:t xml:space="preserve">18 </w:t>
      </w:r>
      <w:r>
        <w:rPr>
          <w:rFonts w:ascii="Book Antiqua" w:hAnsi="Book Antiqua"/>
          <w:b/>
          <w:bCs/>
        </w:rPr>
        <w:t>Dignass AU</w:t>
      </w:r>
      <w:r>
        <w:rPr>
          <w:rFonts w:ascii="Book Antiqua" w:hAnsi="Book Antiqua"/>
        </w:rPr>
        <w:t xml:space="preserve">, Gasche C, Bettenworth D, Birgegård G, Danese S, Gisbert JP, Gomollon F, Iqbal T, Katsanos K, Koutroubakis I, Magro F, Savoye G, Stein J, Vavricka S; European Crohn’s and Colitis Organisation [ECCO]. European consensus on the diagnosis and management of iron deficiency and anaemia in inflammatory bowel diseases. </w:t>
      </w:r>
      <w:r>
        <w:rPr>
          <w:rFonts w:ascii="Book Antiqua" w:hAnsi="Book Antiqua"/>
          <w:i/>
          <w:iCs/>
        </w:rPr>
        <w:t>J Crohns Colitis</w:t>
      </w:r>
      <w:r>
        <w:rPr>
          <w:rFonts w:ascii="Book Antiqua" w:hAnsi="Book Antiqua"/>
        </w:rPr>
        <w:t xml:space="preserve"> 2015; </w:t>
      </w:r>
      <w:r>
        <w:rPr>
          <w:rFonts w:ascii="Book Antiqua" w:hAnsi="Book Antiqua"/>
          <w:b/>
          <w:bCs/>
        </w:rPr>
        <w:t>9</w:t>
      </w:r>
      <w:r>
        <w:rPr>
          <w:rFonts w:ascii="Book Antiqua" w:hAnsi="Book Antiqua"/>
        </w:rPr>
        <w:t>: 211-222 [PMID: 25518052 DOI: 10.1093/ecco-jcc/jju009]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Jimenez KM</w:t>
      </w:r>
      <w:r>
        <w:rPr>
          <w:rFonts w:ascii="Book Antiqua" w:hAnsi="Book Antiqua"/>
        </w:rPr>
        <w:t xml:space="preserve">, Gasche C. Management of Iron Deficiency Anaemia in Inflammatory Bowel Disease. </w:t>
      </w:r>
      <w:r>
        <w:rPr>
          <w:rFonts w:ascii="Book Antiqua" w:hAnsi="Book Antiqua"/>
          <w:i/>
          <w:iCs/>
        </w:rPr>
        <w:t>Acta Haematol</w:t>
      </w:r>
      <w:r>
        <w:rPr>
          <w:rFonts w:ascii="Book Antiqua" w:hAnsi="Book Antiqua"/>
        </w:rPr>
        <w:t xml:space="preserve"> 2019; </w:t>
      </w:r>
      <w:r>
        <w:rPr>
          <w:rFonts w:ascii="Book Antiqua" w:hAnsi="Book Antiqua"/>
          <w:b/>
          <w:bCs/>
        </w:rPr>
        <w:t>142</w:t>
      </w:r>
      <w:r>
        <w:rPr>
          <w:rFonts w:ascii="Book Antiqua" w:hAnsi="Book Antiqua"/>
        </w:rPr>
        <w:t>: 30-36 [PMID: 30970351 DOI: 10.1159/000496728]</w:t>
      </w:r>
    </w:p>
    <w:p>
      <w:pPr>
        <w:spacing w:line="360" w:lineRule="auto"/>
        <w:jc w:val="both"/>
        <w:rPr>
          <w:rFonts w:ascii="Book Antiqua" w:hAnsi="Book Antiqua"/>
        </w:rPr>
      </w:pPr>
      <w:r>
        <w:rPr>
          <w:rFonts w:ascii="Book Antiqua" w:hAnsi="Book Antiqua"/>
        </w:rPr>
        <w:t>2</w:t>
      </w:r>
      <w:r>
        <w:rPr>
          <w:rFonts w:hint="eastAsia" w:ascii="Book Antiqua" w:hAnsi="Book Antiqua"/>
          <w:lang w:eastAsia="zh-CN"/>
        </w:rPr>
        <w:t>0</w:t>
      </w:r>
      <w:r>
        <w:rPr>
          <w:rFonts w:ascii="Book Antiqua" w:hAnsi="Book Antiqua"/>
        </w:rPr>
        <w:t xml:space="preserve"> </w:t>
      </w:r>
      <w:r>
        <w:rPr>
          <w:rFonts w:ascii="Book Antiqua" w:hAnsi="Book Antiqua"/>
          <w:b/>
          <w:bCs/>
        </w:rPr>
        <w:t>Peters AM</w:t>
      </w:r>
      <w:r>
        <w:rPr>
          <w:rFonts w:ascii="Book Antiqua" w:hAnsi="Book Antiqua"/>
        </w:rPr>
        <w:t xml:space="preserve">, Snelling HL, Glass DM, Bird NJ. Estimation of lean body mass in children. </w:t>
      </w:r>
      <w:r>
        <w:rPr>
          <w:rFonts w:ascii="Book Antiqua" w:hAnsi="Book Antiqua"/>
          <w:i/>
          <w:iCs/>
        </w:rPr>
        <w:t>Br J Anaesth</w:t>
      </w:r>
      <w:r>
        <w:rPr>
          <w:rFonts w:ascii="Book Antiqua" w:hAnsi="Book Antiqua"/>
        </w:rPr>
        <w:t xml:space="preserve"> 2011; </w:t>
      </w:r>
      <w:r>
        <w:rPr>
          <w:rFonts w:ascii="Book Antiqua" w:hAnsi="Book Antiqua"/>
          <w:b/>
          <w:bCs/>
        </w:rPr>
        <w:t>106</w:t>
      </w:r>
      <w:r>
        <w:rPr>
          <w:rFonts w:ascii="Book Antiqua" w:hAnsi="Book Antiqua"/>
        </w:rPr>
        <w:t>: 719-723 [PMID: 21498495 DOI: 10.1093/bja/aer057]</w:t>
      </w:r>
    </w:p>
    <w:p>
      <w:pPr>
        <w:spacing w:line="360" w:lineRule="auto"/>
        <w:jc w:val="both"/>
        <w:rPr>
          <w:rFonts w:ascii="Book Antiqua" w:hAnsi="Book Antiqua"/>
        </w:rPr>
      </w:pPr>
      <w:r>
        <w:rPr>
          <w:rFonts w:ascii="Book Antiqua" w:hAnsi="Book Antiqua"/>
        </w:rPr>
        <w:t>2</w:t>
      </w:r>
      <w:r>
        <w:rPr>
          <w:rFonts w:hint="eastAsia" w:ascii="Book Antiqua" w:hAnsi="Book Antiqua"/>
          <w:lang w:eastAsia="zh-CN"/>
        </w:rPr>
        <w:t>1</w:t>
      </w:r>
      <w:r>
        <w:rPr>
          <w:rFonts w:ascii="Book Antiqua" w:hAnsi="Book Antiqua"/>
        </w:rPr>
        <w:t xml:space="preserve"> </w:t>
      </w:r>
      <w:r>
        <w:rPr>
          <w:rFonts w:ascii="Book Antiqua" w:hAnsi="Book Antiqua"/>
          <w:b/>
          <w:bCs/>
        </w:rPr>
        <w:t>Failla S,</w:t>
      </w:r>
      <w:r>
        <w:rPr>
          <w:rFonts w:ascii="Book Antiqua" w:hAnsi="Book Antiqua"/>
        </w:rPr>
        <w:t xml:space="preserve"> Parmar M. Iron Dextran. StatPearls. </w:t>
      </w:r>
      <w:r>
        <w:rPr>
          <w:rFonts w:hint="eastAsia" w:ascii="Book Antiqua" w:hAnsi="Book Antiqua"/>
          <w:lang w:eastAsia="zh-CN"/>
        </w:rPr>
        <w:t xml:space="preserve">[cited 10 January 2024]. </w:t>
      </w:r>
      <w:r>
        <w:rPr>
          <w:rFonts w:ascii="Book Antiqua" w:hAnsi="Book Antiqua"/>
        </w:rPr>
        <w:t>Available from: https://www.ncbi.nlm.nih.gov/books/NBK557747/</w:t>
      </w:r>
    </w:p>
    <w:p>
      <w:pPr>
        <w:spacing w:line="360" w:lineRule="auto"/>
        <w:jc w:val="both"/>
        <w:rPr>
          <w:rFonts w:ascii="Book Antiqua" w:hAnsi="Book Antiqua"/>
        </w:rPr>
      </w:pPr>
      <w:r>
        <w:rPr>
          <w:rFonts w:ascii="Book Antiqua" w:hAnsi="Book Antiqua"/>
        </w:rPr>
        <w:t xml:space="preserve">22 </w:t>
      </w:r>
      <w:r>
        <w:rPr>
          <w:rFonts w:ascii="Book Antiqua" w:hAnsi="Book Antiqua"/>
          <w:b/>
          <w:bCs/>
        </w:rPr>
        <w:t>Otley AR,</w:t>
      </w:r>
      <w:r>
        <w:rPr>
          <w:rFonts w:ascii="Book Antiqua" w:hAnsi="Book Antiqua"/>
        </w:rPr>
        <w:t xml:space="preserve"> Xu S, Yan S,</w:t>
      </w:r>
      <w:r>
        <w:t xml:space="preserve"> </w:t>
      </w:r>
      <w:r>
        <w:rPr>
          <w:rFonts w:ascii="Book Antiqua" w:hAnsi="Book Antiqua"/>
        </w:rPr>
        <w:t>Olson</w:t>
      </w:r>
      <w:r>
        <w:rPr>
          <w:rFonts w:hint="eastAsia" w:ascii="Book Antiqua" w:hAnsi="Book Antiqua"/>
          <w:lang w:eastAsia="zh-CN"/>
        </w:rPr>
        <w:t xml:space="preserve"> A</w:t>
      </w:r>
      <w:r>
        <w:rPr>
          <w:rFonts w:ascii="Book Antiqua" w:hAnsi="Book Antiqua"/>
        </w:rPr>
        <w:t>, Liu</w:t>
      </w:r>
      <w:r>
        <w:rPr>
          <w:rFonts w:hint="eastAsia" w:ascii="Book Antiqua" w:hAnsi="Book Antiqua"/>
          <w:lang w:eastAsia="zh-CN"/>
        </w:rPr>
        <w:t xml:space="preserve"> G</w:t>
      </w:r>
      <w:r>
        <w:rPr>
          <w:rFonts w:ascii="Book Antiqua" w:hAnsi="Book Antiqua"/>
        </w:rPr>
        <w:t>, Griffiths</w:t>
      </w:r>
      <w:r>
        <w:rPr>
          <w:rFonts w:hint="eastAsia" w:ascii="Book Antiqua" w:hAnsi="Book Antiqua"/>
          <w:lang w:eastAsia="zh-CN"/>
        </w:rPr>
        <w:t xml:space="preserve"> AM</w:t>
      </w:r>
      <w:r>
        <w:rPr>
          <w:rFonts w:ascii="Book Antiqua" w:hAnsi="Book Antiqua"/>
        </w:rPr>
        <w:t>, REACH Study Group</w:t>
      </w:r>
      <w:r>
        <w:rPr>
          <w:rFonts w:hint="eastAsia" w:ascii="Book Antiqua" w:hAnsi="Book Antiqua"/>
          <w:lang w:eastAsia="zh-CN"/>
        </w:rPr>
        <w:t>.</w:t>
      </w:r>
      <w:r>
        <w:rPr>
          <w:rFonts w:ascii="Book Antiqua" w:hAnsi="Book Antiqua"/>
        </w:rPr>
        <w:t xml:space="preserve"> IMPACT-III Is a Valid, Reliable and Responsive Measure of Health-related Quality of Life in Pediatric Crohn's Disease.</w:t>
      </w:r>
      <w:r>
        <w:rPr>
          <w:rFonts w:ascii="Book Antiqua" w:hAnsi="Book Antiqua"/>
          <w:i/>
        </w:rPr>
        <w:t xml:space="preserve"> J Ped Gastroenterol Nutrit </w:t>
      </w:r>
      <w:r>
        <w:rPr>
          <w:rFonts w:ascii="Book Antiqua" w:hAnsi="Book Antiqua"/>
        </w:rPr>
        <w:t>2006;</w:t>
      </w:r>
      <w:r>
        <w:rPr>
          <w:rFonts w:hint="eastAsia" w:ascii="Book Antiqua" w:hAnsi="Book Antiqua"/>
          <w:lang w:eastAsia="zh-CN"/>
        </w:rPr>
        <w:t xml:space="preserve"> </w:t>
      </w:r>
      <w:r>
        <w:rPr>
          <w:rFonts w:ascii="Book Antiqua" w:hAnsi="Book Antiqua"/>
          <w:b/>
        </w:rPr>
        <w:t>43</w:t>
      </w:r>
      <w:r>
        <w:rPr>
          <w:rFonts w:ascii="Book Antiqua" w:hAnsi="Book Antiqua"/>
        </w:rPr>
        <w:t>: S49 [DOI:</w:t>
      </w:r>
      <w:r>
        <w:rPr>
          <w:rFonts w:hint="eastAsia" w:ascii="Book Antiqua" w:hAnsi="Book Antiqua"/>
          <w:lang w:eastAsia="zh-CN"/>
        </w:rPr>
        <w:t xml:space="preserve"> </w:t>
      </w:r>
      <w:r>
        <w:rPr>
          <w:rFonts w:ascii="Book Antiqua" w:hAnsi="Book Antiqua"/>
        </w:rPr>
        <w:t>10.1097/01.mpg.0000256260.38116.4a]</w:t>
      </w:r>
    </w:p>
    <w:p>
      <w:pPr>
        <w:spacing w:line="360" w:lineRule="auto"/>
        <w:jc w:val="both"/>
        <w:rPr>
          <w:rFonts w:ascii="Book Antiqua" w:hAnsi="Book Antiqua"/>
        </w:rPr>
      </w:pPr>
      <w:r>
        <w:rPr>
          <w:rFonts w:ascii="Book Antiqua" w:hAnsi="Book Antiqua"/>
        </w:rPr>
        <w:t xml:space="preserve">23 </w:t>
      </w:r>
      <w:r>
        <w:rPr>
          <w:rFonts w:ascii="Book Antiqua" w:hAnsi="Book Antiqua"/>
          <w:b/>
        </w:rPr>
        <w:t>Ludwig</w:t>
      </w:r>
      <w:r>
        <w:rPr>
          <w:rFonts w:hint="eastAsia" w:ascii="Book Antiqua" w:hAnsi="Book Antiqua"/>
          <w:b/>
          <w:lang w:eastAsia="zh-CN"/>
        </w:rPr>
        <w:t xml:space="preserve"> O</w:t>
      </w:r>
      <w:r>
        <w:rPr>
          <w:rFonts w:hint="eastAsia" w:ascii="Book Antiqua" w:hAnsi="Book Antiqua"/>
          <w:lang w:eastAsia="zh-CN"/>
        </w:rPr>
        <w:t xml:space="preserve">. </w:t>
      </w:r>
      <w:r>
        <w:rPr>
          <w:rFonts w:ascii="Book Antiqua" w:hAnsi="Book Antiqua"/>
          <w:bCs/>
        </w:rPr>
        <w:t>Blom, Gunnar: Statistical estimates and transformed beta-variables. Wiley/New York, Almquist und Wiksell/Stockholm 1958; 176 S., Kr. 20,—</w:t>
      </w:r>
      <w:r>
        <w:rPr>
          <w:rFonts w:hint="eastAsia" w:ascii="Book Antiqua" w:hAnsi="Book Antiqua"/>
          <w:bCs/>
          <w:lang w:eastAsia="zh-CN"/>
        </w:rPr>
        <w:t xml:space="preserve">. </w:t>
      </w:r>
      <w:r>
        <w:rPr>
          <w:rFonts w:hint="eastAsia" w:ascii="Book Antiqua" w:hAnsi="Book Antiqua"/>
          <w:bCs/>
          <w:i/>
          <w:lang w:eastAsia="zh-CN"/>
        </w:rPr>
        <w:t>Biom J</w:t>
      </w:r>
      <w:r>
        <w:rPr>
          <w:rFonts w:hint="eastAsia" w:ascii="Book Antiqua" w:hAnsi="Book Antiqua"/>
          <w:bCs/>
          <w:lang w:eastAsia="zh-CN"/>
        </w:rPr>
        <w:t xml:space="preserve"> 1961; </w:t>
      </w:r>
      <w:r>
        <w:rPr>
          <w:rFonts w:hint="eastAsia" w:ascii="Book Antiqua" w:hAnsi="Book Antiqua"/>
          <w:b/>
          <w:bCs/>
          <w:lang w:eastAsia="zh-CN"/>
        </w:rPr>
        <w:t>3</w:t>
      </w:r>
      <w:r>
        <w:rPr>
          <w:rFonts w:hint="eastAsia" w:ascii="Book Antiqua" w:hAnsi="Book Antiqua"/>
          <w:bCs/>
          <w:lang w:eastAsia="zh-CN"/>
        </w:rPr>
        <w:t>: 285</w:t>
      </w:r>
      <w:r>
        <w:rPr>
          <w:rFonts w:ascii="Book Antiqua" w:hAnsi="Book Antiqua"/>
        </w:rPr>
        <w:t xml:space="preserve"> [DOI:</w:t>
      </w:r>
      <w:r>
        <w:rPr>
          <w:rFonts w:hint="eastAsia" w:ascii="Book Antiqua" w:hAnsi="Book Antiqua"/>
          <w:lang w:eastAsia="zh-CN"/>
        </w:rPr>
        <w:t xml:space="preserve"> </w:t>
      </w:r>
      <w:r>
        <w:rPr>
          <w:rFonts w:ascii="Book Antiqua" w:hAnsi="Book Antiqua"/>
        </w:rPr>
        <w:t>10.1002/bimj.19610030410]</w:t>
      </w:r>
    </w:p>
    <w:p>
      <w:pPr>
        <w:spacing w:line="360" w:lineRule="auto"/>
        <w:jc w:val="both"/>
        <w:rPr>
          <w:rFonts w:ascii="Book Antiqua" w:hAnsi="Book Antiqua"/>
        </w:rPr>
      </w:pPr>
      <w:r>
        <w:rPr>
          <w:rFonts w:ascii="Book Antiqua" w:hAnsi="Book Antiqua"/>
        </w:rPr>
        <w:t xml:space="preserve">24 </w:t>
      </w:r>
      <w:r>
        <w:rPr>
          <w:rFonts w:ascii="Book Antiqua" w:hAnsi="Book Antiqua"/>
          <w:b/>
          <w:bCs/>
        </w:rPr>
        <w:t>Danko I</w:t>
      </w:r>
      <w:r>
        <w:rPr>
          <w:rFonts w:ascii="Book Antiqua" w:hAnsi="Book Antiqua"/>
        </w:rPr>
        <w:t xml:space="preserve">, Weidkamp M, Eickhoff JC. Improvement of Health-Related Quality of Life in Children with Inflammatory Bowel Disease Receiving Routine Intravenous Iron Supplementation. </w:t>
      </w:r>
      <w:r>
        <w:rPr>
          <w:rFonts w:ascii="Book Antiqua" w:hAnsi="Book Antiqua"/>
          <w:i/>
          <w:iCs/>
        </w:rPr>
        <w:t>J Pediatr Pharmacol Ther</w:t>
      </w:r>
      <w:r>
        <w:rPr>
          <w:rFonts w:ascii="Book Antiqua" w:hAnsi="Book Antiqua"/>
        </w:rPr>
        <w:t xml:space="preserve"> 2019; </w:t>
      </w:r>
      <w:r>
        <w:rPr>
          <w:rFonts w:ascii="Book Antiqua" w:hAnsi="Book Antiqua"/>
          <w:b/>
          <w:bCs/>
        </w:rPr>
        <w:t>24</w:t>
      </w:r>
      <w:r>
        <w:rPr>
          <w:rFonts w:ascii="Book Antiqua" w:hAnsi="Book Antiqua"/>
        </w:rPr>
        <w:t>: 517-527 [PMID: 31719814 DOI: 10.5863/1551-6776-24.6.517]</w:t>
      </w:r>
    </w:p>
    <w:p>
      <w:pPr>
        <w:spacing w:line="360" w:lineRule="auto"/>
        <w:jc w:val="both"/>
        <w:rPr>
          <w:rFonts w:ascii="Book Antiqua" w:hAnsi="Book Antiqua"/>
        </w:rPr>
      </w:pPr>
      <w:r>
        <w:rPr>
          <w:rFonts w:ascii="Book Antiqua" w:hAnsi="Book Antiqua"/>
        </w:rPr>
        <w:t xml:space="preserve">25 </w:t>
      </w:r>
      <w:r>
        <w:rPr>
          <w:rFonts w:ascii="Book Antiqua" w:hAnsi="Book Antiqua"/>
          <w:b/>
          <w:bCs/>
        </w:rPr>
        <w:t>Wiskin AE</w:t>
      </w:r>
      <w:r>
        <w:rPr>
          <w:rFonts w:ascii="Book Antiqua" w:hAnsi="Book Antiqua"/>
        </w:rPr>
        <w:t xml:space="preserve">, Fleming BJ, Wootton SA, Beattie RM. Anaemia and iron deficiency in children with inflammatory bowel disease. </w:t>
      </w:r>
      <w:r>
        <w:rPr>
          <w:rFonts w:ascii="Book Antiqua" w:hAnsi="Book Antiqua"/>
          <w:i/>
          <w:iCs/>
        </w:rPr>
        <w:t>J Crohns Colitis</w:t>
      </w:r>
      <w:r>
        <w:rPr>
          <w:rFonts w:ascii="Book Antiqua" w:hAnsi="Book Antiqua"/>
        </w:rPr>
        <w:t xml:space="preserve"> 2012; </w:t>
      </w:r>
      <w:r>
        <w:rPr>
          <w:rFonts w:ascii="Book Antiqua" w:hAnsi="Book Antiqua"/>
          <w:b/>
          <w:bCs/>
        </w:rPr>
        <w:t>6</w:t>
      </w:r>
      <w:r>
        <w:rPr>
          <w:rFonts w:ascii="Book Antiqua" w:hAnsi="Book Antiqua"/>
        </w:rPr>
        <w:t>: 687-691 [PMID: 22398100 DOI: 10.1016/j.crohns.2011.12.001]</w:t>
      </w:r>
    </w:p>
    <w:p>
      <w:pPr>
        <w:spacing w:line="360" w:lineRule="auto"/>
        <w:jc w:val="both"/>
        <w:rPr>
          <w:rFonts w:ascii="Book Antiqua" w:hAnsi="Book Antiqua"/>
        </w:rPr>
      </w:pPr>
      <w:r>
        <w:rPr>
          <w:rFonts w:ascii="Book Antiqua" w:hAnsi="Book Antiqua"/>
        </w:rPr>
        <w:t xml:space="preserve">26 </w:t>
      </w:r>
      <w:r>
        <w:rPr>
          <w:rFonts w:ascii="Book Antiqua" w:hAnsi="Book Antiqua"/>
          <w:b/>
          <w:bCs/>
        </w:rPr>
        <w:t>Carvalho FSG</w:t>
      </w:r>
      <w:r>
        <w:rPr>
          <w:rFonts w:ascii="Book Antiqua" w:hAnsi="Book Antiqua"/>
        </w:rPr>
        <w:t xml:space="preserve">, de Medeiros IA, Antunes H. Prevalence of iron deficiency anemia and iron deficiency in a pediatric population with inflammatory bowel disease. </w:t>
      </w:r>
      <w:r>
        <w:rPr>
          <w:rFonts w:ascii="Book Antiqua" w:hAnsi="Book Antiqua"/>
          <w:i/>
          <w:iCs/>
        </w:rPr>
        <w:t>Scand J Gastroenterol</w:t>
      </w:r>
      <w:r>
        <w:rPr>
          <w:rFonts w:ascii="Book Antiqua" w:hAnsi="Book Antiqua"/>
        </w:rPr>
        <w:t xml:space="preserve"> 2017; </w:t>
      </w:r>
      <w:r>
        <w:rPr>
          <w:rFonts w:ascii="Book Antiqua" w:hAnsi="Book Antiqua"/>
          <w:b/>
          <w:bCs/>
        </w:rPr>
        <w:t>52</w:t>
      </w:r>
      <w:r>
        <w:rPr>
          <w:rFonts w:ascii="Book Antiqua" w:hAnsi="Book Antiqua"/>
        </w:rPr>
        <w:t>: 1099-1103 [PMID: 28643539 DOI: 10.1080/00365521.2017.1342137]</w:t>
      </w:r>
    </w:p>
    <w:p>
      <w:pPr>
        <w:spacing w:line="360" w:lineRule="auto"/>
        <w:jc w:val="both"/>
        <w:rPr>
          <w:rFonts w:ascii="Book Antiqua" w:hAnsi="Book Antiqua"/>
        </w:rPr>
      </w:pPr>
      <w:r>
        <w:rPr>
          <w:rFonts w:ascii="Book Antiqua" w:hAnsi="Book Antiqua"/>
        </w:rPr>
        <w:t xml:space="preserve">27 </w:t>
      </w:r>
      <w:r>
        <w:rPr>
          <w:rFonts w:ascii="Book Antiqua" w:hAnsi="Book Antiqua"/>
          <w:b/>
          <w:bCs/>
        </w:rPr>
        <w:t>Murawska N</w:t>
      </w:r>
      <w:r>
        <w:rPr>
          <w:rFonts w:ascii="Book Antiqua" w:hAnsi="Book Antiqua"/>
        </w:rPr>
        <w:t xml:space="preserve">, Fabisiak A, Fichna J. Anemia of Chronic Disease and Iron Deficiency Anemia in Inflammatory Bowel Diseases: Pathophysiology, Diagnosis, and Treatment. </w:t>
      </w:r>
      <w:r>
        <w:rPr>
          <w:rFonts w:ascii="Book Antiqua" w:hAnsi="Book Antiqua"/>
          <w:i/>
          <w:iCs/>
        </w:rPr>
        <w:t>Inflamm Bowel Dis</w:t>
      </w:r>
      <w:r>
        <w:rPr>
          <w:rFonts w:ascii="Book Antiqua" w:hAnsi="Book Antiqua"/>
        </w:rPr>
        <w:t xml:space="preserve"> 2016; </w:t>
      </w:r>
      <w:r>
        <w:rPr>
          <w:rFonts w:ascii="Book Antiqua" w:hAnsi="Book Antiqua"/>
          <w:b/>
          <w:bCs/>
        </w:rPr>
        <w:t>22</w:t>
      </w:r>
      <w:r>
        <w:rPr>
          <w:rFonts w:ascii="Book Antiqua" w:hAnsi="Book Antiqua"/>
        </w:rPr>
        <w:t>: 1198-1208 [PMID: 26818422 DOI: 10.1097/MIB.0000000000000648]</w:t>
      </w:r>
    </w:p>
    <w:p>
      <w:pPr>
        <w:spacing w:line="360" w:lineRule="auto"/>
        <w:jc w:val="both"/>
        <w:rPr>
          <w:rFonts w:ascii="Book Antiqua" w:hAnsi="Book Antiqua"/>
        </w:rPr>
      </w:pPr>
      <w:r>
        <w:rPr>
          <w:rFonts w:ascii="Book Antiqua" w:hAnsi="Book Antiqua"/>
        </w:rPr>
        <w:t xml:space="preserve">28 </w:t>
      </w:r>
      <w:r>
        <w:rPr>
          <w:rFonts w:ascii="Book Antiqua" w:hAnsi="Book Antiqua"/>
          <w:b/>
          <w:bCs/>
        </w:rPr>
        <w:t>Nemeth E</w:t>
      </w:r>
      <w:r>
        <w:rPr>
          <w:rFonts w:ascii="Book Antiqua" w:hAnsi="Book Antiqua"/>
        </w:rPr>
        <w:t xml:space="preserve">, Tuttle MS, Powelson J, Vaughn MB, Donovan A, Ward DM, Ganz T, Kaplan J. Hepcidin regulates cellular iron efflux by binding to ferroportin and inducing its internalization. </w:t>
      </w:r>
      <w:r>
        <w:rPr>
          <w:rFonts w:ascii="Book Antiqua" w:hAnsi="Book Antiqua"/>
          <w:i/>
          <w:iCs/>
        </w:rPr>
        <w:t>Science</w:t>
      </w:r>
      <w:r>
        <w:rPr>
          <w:rFonts w:ascii="Book Antiqua" w:hAnsi="Book Antiqua"/>
        </w:rPr>
        <w:t xml:space="preserve"> 2004; </w:t>
      </w:r>
      <w:r>
        <w:rPr>
          <w:rFonts w:ascii="Book Antiqua" w:hAnsi="Book Antiqua"/>
          <w:b/>
          <w:bCs/>
        </w:rPr>
        <w:t>306</w:t>
      </w:r>
      <w:r>
        <w:rPr>
          <w:rFonts w:ascii="Book Antiqua" w:hAnsi="Book Antiqua"/>
        </w:rPr>
        <w:t>: 2090-2093 [PMID: 15514116 DOI: 10.1126/science.1104742]</w:t>
      </w:r>
    </w:p>
    <w:p>
      <w:pPr>
        <w:spacing w:line="360" w:lineRule="auto"/>
        <w:jc w:val="both"/>
        <w:rPr>
          <w:rFonts w:ascii="Book Antiqua" w:hAnsi="Book Antiqua"/>
        </w:rPr>
      </w:pPr>
      <w:r>
        <w:rPr>
          <w:rFonts w:ascii="Book Antiqua" w:hAnsi="Book Antiqua"/>
        </w:rPr>
        <w:t xml:space="preserve">29 </w:t>
      </w:r>
      <w:r>
        <w:rPr>
          <w:rFonts w:ascii="Book Antiqua" w:hAnsi="Book Antiqua"/>
          <w:b/>
          <w:bCs/>
        </w:rPr>
        <w:t>Waldvogel-Abramowski S</w:t>
      </w:r>
      <w:r>
        <w:rPr>
          <w:rFonts w:ascii="Book Antiqua" w:hAnsi="Book Antiqua"/>
        </w:rPr>
        <w:t xml:space="preserve">, Waeber G, Gassner C, Buser A, Frey BM, Favrat B, Tissot JD. Physiology of iron metabolism. </w:t>
      </w:r>
      <w:r>
        <w:rPr>
          <w:rFonts w:ascii="Book Antiqua" w:hAnsi="Book Antiqua"/>
          <w:i/>
          <w:iCs/>
        </w:rPr>
        <w:t>Transfus Med Hemother</w:t>
      </w:r>
      <w:r>
        <w:rPr>
          <w:rFonts w:ascii="Book Antiqua" w:hAnsi="Book Antiqua"/>
        </w:rPr>
        <w:t xml:space="preserve"> 2014; </w:t>
      </w:r>
      <w:r>
        <w:rPr>
          <w:rFonts w:ascii="Book Antiqua" w:hAnsi="Book Antiqua"/>
          <w:b/>
          <w:bCs/>
        </w:rPr>
        <w:t>41</w:t>
      </w:r>
      <w:r>
        <w:rPr>
          <w:rFonts w:ascii="Book Antiqua" w:hAnsi="Book Antiqua"/>
        </w:rPr>
        <w:t>: 213-221 [PMID: 25053935 DOI: 10.1159/000362888]</w:t>
      </w:r>
    </w:p>
    <w:p>
      <w:pPr>
        <w:spacing w:line="360" w:lineRule="auto"/>
        <w:jc w:val="both"/>
        <w:rPr>
          <w:rFonts w:ascii="Book Antiqua" w:hAnsi="Book Antiqua"/>
        </w:rPr>
      </w:pPr>
      <w:r>
        <w:rPr>
          <w:rFonts w:ascii="Book Antiqua" w:hAnsi="Book Antiqua"/>
        </w:rPr>
        <w:t>3</w:t>
      </w:r>
      <w:r>
        <w:rPr>
          <w:rFonts w:hint="eastAsia" w:ascii="Book Antiqua" w:hAnsi="Book Antiqua"/>
          <w:lang w:eastAsia="zh-CN"/>
        </w:rPr>
        <w:t>0</w:t>
      </w:r>
      <w:r>
        <w:rPr>
          <w:rFonts w:ascii="Book Antiqua" w:hAnsi="Book Antiqua"/>
        </w:rPr>
        <w:t xml:space="preserve"> </w:t>
      </w:r>
      <w:r>
        <w:rPr>
          <w:rFonts w:ascii="Book Antiqua" w:hAnsi="Book Antiqua"/>
          <w:b/>
          <w:bCs/>
        </w:rPr>
        <w:t>Mamula P</w:t>
      </w:r>
      <w:r>
        <w:rPr>
          <w:rFonts w:ascii="Book Antiqua" w:hAnsi="Book Antiqua"/>
        </w:rPr>
        <w:t xml:space="preserve">, Piccoli DA, Peck SN, Markowitz JE, Baldassano RN. Total dose intravenous infusion of iron dextran for iron-deficiency anemia in children with inflammatory bowel disease. </w:t>
      </w:r>
      <w:r>
        <w:rPr>
          <w:rFonts w:ascii="Book Antiqua" w:hAnsi="Book Antiqua"/>
          <w:i/>
          <w:iCs/>
        </w:rPr>
        <w:t>J Pediatr Gastroenterol Nutr</w:t>
      </w:r>
      <w:r>
        <w:rPr>
          <w:rFonts w:ascii="Book Antiqua" w:hAnsi="Book Antiqua"/>
        </w:rPr>
        <w:t xml:space="preserve"> 2002; </w:t>
      </w:r>
      <w:r>
        <w:rPr>
          <w:rFonts w:ascii="Book Antiqua" w:hAnsi="Book Antiqua"/>
          <w:b/>
          <w:bCs/>
        </w:rPr>
        <w:t>34</w:t>
      </w:r>
      <w:r>
        <w:rPr>
          <w:rFonts w:ascii="Book Antiqua" w:hAnsi="Book Antiqua"/>
        </w:rPr>
        <w:t>: 286-290 [PMID: 11964953 DOI: 10.1097/00005176-200203000-00011]</w:t>
      </w:r>
    </w:p>
    <w:p>
      <w:pPr>
        <w:spacing w:line="360" w:lineRule="auto"/>
        <w:jc w:val="both"/>
        <w:rPr>
          <w:rFonts w:ascii="Book Antiqua" w:hAnsi="Book Antiqua"/>
        </w:rPr>
      </w:pPr>
      <w:r>
        <w:rPr>
          <w:rFonts w:ascii="Book Antiqua" w:hAnsi="Book Antiqua"/>
        </w:rPr>
        <w:t>3</w:t>
      </w:r>
      <w:r>
        <w:rPr>
          <w:rFonts w:hint="eastAsia" w:ascii="Book Antiqua" w:hAnsi="Book Antiqua"/>
          <w:lang w:eastAsia="zh-CN"/>
        </w:rPr>
        <w:t>1</w:t>
      </w:r>
      <w:r>
        <w:rPr>
          <w:rFonts w:ascii="Book Antiqua" w:hAnsi="Book Antiqua"/>
        </w:rPr>
        <w:t xml:space="preserve"> </w:t>
      </w:r>
      <w:r>
        <w:rPr>
          <w:rFonts w:ascii="Book Antiqua" w:hAnsi="Book Antiqua"/>
          <w:b/>
          <w:bCs/>
        </w:rPr>
        <w:t>Laass MW</w:t>
      </w:r>
      <w:r>
        <w:rPr>
          <w:rFonts w:ascii="Book Antiqua" w:hAnsi="Book Antiqua"/>
        </w:rPr>
        <w:t xml:space="preserve">, Straub S, Chainey S, Virgin G, Cushway T. Effectiveness and safety of ferric carboxymaltose treatment in children and adolescents with inflammatory bowel disease and other gastrointestinal diseases. </w:t>
      </w:r>
      <w:r>
        <w:rPr>
          <w:rFonts w:ascii="Book Antiqua" w:hAnsi="Book Antiqua"/>
          <w:i/>
          <w:iCs/>
        </w:rPr>
        <w:t>BMC Gastroenterol</w:t>
      </w:r>
      <w:r>
        <w:rPr>
          <w:rFonts w:ascii="Book Antiqua" w:hAnsi="Book Antiqua"/>
        </w:rPr>
        <w:t xml:space="preserve"> 2014; </w:t>
      </w:r>
      <w:r>
        <w:rPr>
          <w:rFonts w:ascii="Book Antiqua" w:hAnsi="Book Antiqua"/>
          <w:b/>
          <w:bCs/>
        </w:rPr>
        <w:t>14</w:t>
      </w:r>
      <w:r>
        <w:rPr>
          <w:rFonts w:ascii="Book Antiqua" w:hAnsi="Book Antiqua"/>
        </w:rPr>
        <w:t>: 184 [PMID: 25326048 DOI: 10.1186/1471-230X-14-184]</w:t>
      </w:r>
    </w:p>
    <w:p>
      <w:pPr>
        <w:spacing w:line="360" w:lineRule="auto"/>
        <w:jc w:val="both"/>
        <w:rPr>
          <w:rFonts w:ascii="Book Antiqua" w:hAnsi="Book Antiqua"/>
        </w:rPr>
      </w:pPr>
      <w:r>
        <w:rPr>
          <w:rFonts w:ascii="Book Antiqua" w:hAnsi="Book Antiqua"/>
        </w:rPr>
        <w:t>3</w:t>
      </w:r>
      <w:r>
        <w:rPr>
          <w:rFonts w:hint="eastAsia" w:ascii="Book Antiqua" w:hAnsi="Book Antiqua"/>
          <w:lang w:eastAsia="zh-CN"/>
        </w:rPr>
        <w:t>2</w:t>
      </w:r>
      <w:r>
        <w:rPr>
          <w:rFonts w:ascii="Book Antiqua" w:hAnsi="Book Antiqua"/>
        </w:rPr>
        <w:t xml:space="preserve"> </w:t>
      </w:r>
      <w:r>
        <w:rPr>
          <w:rFonts w:ascii="Book Antiqua" w:hAnsi="Book Antiqua"/>
          <w:b/>
          <w:bCs/>
        </w:rPr>
        <w:t>Sasankan N</w:t>
      </w:r>
      <w:r>
        <w:rPr>
          <w:rFonts w:ascii="Book Antiqua" w:hAnsi="Book Antiqua"/>
        </w:rPr>
        <w:t xml:space="preserve">, Duncan H, Curtis L, McGuckin C, Shannon C, Barclay A, Fraser S, Nair M, Russell RK, Hansen R. Ferric Carboxymaltose Across All Ages in Paediatric Gastroenterology Shows Efficacy Without Increased Safety Concerns. </w:t>
      </w:r>
      <w:r>
        <w:rPr>
          <w:rFonts w:ascii="Book Antiqua" w:hAnsi="Book Antiqua"/>
          <w:i/>
          <w:iCs/>
        </w:rPr>
        <w:t>J Pediatr Gastroenterol Nutr</w:t>
      </w:r>
      <w:r>
        <w:rPr>
          <w:rFonts w:ascii="Book Antiqua" w:hAnsi="Book Antiqua"/>
        </w:rPr>
        <w:t xml:space="preserve"> 2021; </w:t>
      </w:r>
      <w:r>
        <w:rPr>
          <w:rFonts w:ascii="Book Antiqua" w:hAnsi="Book Antiqua"/>
          <w:b/>
          <w:bCs/>
        </w:rPr>
        <w:t>72</w:t>
      </w:r>
      <w:r>
        <w:rPr>
          <w:rFonts w:ascii="Book Antiqua" w:hAnsi="Book Antiqua"/>
        </w:rPr>
        <w:t>: 506-510 [PMID: 33230080 DOI: 10.1097/MPG.0000000000003003]</w:t>
      </w:r>
    </w:p>
    <w:p>
      <w:pPr>
        <w:spacing w:line="360" w:lineRule="auto"/>
        <w:jc w:val="both"/>
        <w:rPr>
          <w:rFonts w:ascii="Book Antiqua" w:hAnsi="Book Antiqua"/>
        </w:rPr>
      </w:pPr>
      <w:r>
        <w:rPr>
          <w:rFonts w:ascii="Book Antiqua" w:hAnsi="Book Antiqua"/>
        </w:rPr>
        <w:t>3</w:t>
      </w:r>
      <w:r>
        <w:rPr>
          <w:rFonts w:hint="eastAsia" w:ascii="Book Antiqua" w:hAnsi="Book Antiqua"/>
          <w:lang w:eastAsia="zh-CN"/>
        </w:rPr>
        <w:t>3</w:t>
      </w:r>
      <w:r>
        <w:rPr>
          <w:rFonts w:ascii="Book Antiqua" w:hAnsi="Book Antiqua"/>
        </w:rPr>
        <w:t xml:space="preserve"> </w:t>
      </w:r>
      <w:r>
        <w:rPr>
          <w:rFonts w:ascii="Book Antiqua" w:hAnsi="Book Antiqua"/>
          <w:b/>
          <w:bCs/>
        </w:rPr>
        <w:t>Stein RE</w:t>
      </w:r>
      <w:r>
        <w:rPr>
          <w:rFonts w:ascii="Book Antiqua" w:hAnsi="Book Antiqua"/>
        </w:rPr>
        <w:t xml:space="preserve">, Plantz K, Maxwell EC, Mamula P, Baldassano RN. Intravenous Iron Sucrose for Treatment of Iron Deficiency Anemia in Pediatric Inflammatory Bowel Disease. </w:t>
      </w:r>
      <w:r>
        <w:rPr>
          <w:rFonts w:ascii="Book Antiqua" w:hAnsi="Book Antiqua"/>
          <w:i/>
          <w:iCs/>
        </w:rPr>
        <w:t>J Pediatr Gastroenterol Nutr</w:t>
      </w:r>
      <w:r>
        <w:rPr>
          <w:rFonts w:ascii="Book Antiqua" w:hAnsi="Book Antiqua"/>
        </w:rPr>
        <w:t xml:space="preserve"> 2018; </w:t>
      </w:r>
      <w:r>
        <w:rPr>
          <w:rFonts w:ascii="Book Antiqua" w:hAnsi="Book Antiqua"/>
          <w:b/>
          <w:bCs/>
        </w:rPr>
        <w:t>66</w:t>
      </w:r>
      <w:r>
        <w:rPr>
          <w:rFonts w:ascii="Book Antiqua" w:hAnsi="Book Antiqua"/>
        </w:rPr>
        <w:t>: e51-e55 [PMID: 28704225 DOI: 10.1097/MPG.0000000000001684]</w:t>
      </w:r>
    </w:p>
    <w:p>
      <w:pPr>
        <w:spacing w:line="360" w:lineRule="auto"/>
        <w:jc w:val="both"/>
        <w:rPr>
          <w:rFonts w:ascii="Book Antiqua" w:hAnsi="Book Antiqua"/>
        </w:rPr>
      </w:pPr>
      <w:r>
        <w:rPr>
          <w:rFonts w:ascii="Book Antiqua" w:hAnsi="Book Antiqua"/>
        </w:rPr>
        <w:t>3</w:t>
      </w:r>
      <w:r>
        <w:rPr>
          <w:rFonts w:hint="eastAsia" w:ascii="Book Antiqua" w:hAnsi="Book Antiqua"/>
          <w:lang w:eastAsia="zh-CN"/>
        </w:rPr>
        <w:t>4</w:t>
      </w:r>
      <w:r>
        <w:rPr>
          <w:rFonts w:ascii="Book Antiqua" w:hAnsi="Book Antiqua"/>
        </w:rPr>
        <w:t xml:space="preserve"> </w:t>
      </w:r>
      <w:r>
        <w:rPr>
          <w:rFonts w:ascii="Book Antiqua" w:hAnsi="Book Antiqua"/>
          <w:b/>
          <w:bCs/>
        </w:rPr>
        <w:t>Cançado RD</w:t>
      </w:r>
      <w:r>
        <w:rPr>
          <w:rFonts w:ascii="Book Antiqua" w:hAnsi="Book Antiqua"/>
        </w:rPr>
        <w:t xml:space="preserve">, Muñoz M. Intravenous iron therapy: how far have we come? </w:t>
      </w:r>
      <w:r>
        <w:rPr>
          <w:rFonts w:ascii="Book Antiqua" w:hAnsi="Book Antiqua"/>
          <w:i/>
          <w:iCs/>
        </w:rPr>
        <w:t>Rev Bras Hematol Hemoter</w:t>
      </w:r>
      <w:r>
        <w:rPr>
          <w:rFonts w:ascii="Book Antiqua" w:hAnsi="Book Antiqua"/>
        </w:rPr>
        <w:t xml:space="preserve"> 2011; </w:t>
      </w:r>
      <w:r>
        <w:rPr>
          <w:rFonts w:ascii="Book Antiqua" w:hAnsi="Book Antiqua"/>
          <w:b/>
          <w:bCs/>
        </w:rPr>
        <w:t>33</w:t>
      </w:r>
      <w:r>
        <w:rPr>
          <w:rFonts w:ascii="Book Antiqua" w:hAnsi="Book Antiqua"/>
        </w:rPr>
        <w:t>: 461-469 [PMID: 23049364 DOI: 10.5581/1516-8484.20110123]</w:t>
      </w:r>
    </w:p>
    <w:p>
      <w:pPr>
        <w:pStyle w:val="22"/>
        <w:numPr>
          <w:ilvl w:val="0"/>
          <w:numId w:val="0"/>
        </w:numPr>
        <w:spacing w:line="360" w:lineRule="auto"/>
        <w:ind w:left="425" w:hanging="425"/>
        <w:jc w:val="left"/>
        <w:rPr>
          <w:rFonts w:hint="eastAsia" w:ascii="Book Antiqua" w:hAnsi="Book Antiqua" w:eastAsia="宋体"/>
          <w:color w:val="212121"/>
          <w:sz w:val="24"/>
          <w:szCs w:val="24"/>
          <w:shd w:val="clear" w:color="auto" w:fill="FFFFFF"/>
          <w:lang w:eastAsia="zh-CN"/>
        </w:rPr>
      </w:pPr>
      <w:r>
        <w:rPr>
          <w:rFonts w:ascii="Book Antiqua" w:hAnsi="Book Antiqua"/>
          <w:sz w:val="24"/>
          <w:szCs w:val="24"/>
        </w:rPr>
        <w:t xml:space="preserve">35 </w:t>
      </w:r>
      <w:r>
        <w:rPr>
          <w:rFonts w:ascii="Book Antiqua" w:hAnsi="Book Antiqua"/>
          <w:b/>
          <w:bCs/>
          <w:color w:val="212121"/>
          <w:sz w:val="24"/>
          <w:szCs w:val="24"/>
          <w:shd w:val="clear" w:color="auto" w:fill="FFFFFF"/>
        </w:rPr>
        <w:t>Injectafer [package insert]</w:t>
      </w:r>
      <w:r>
        <w:rPr>
          <w:rFonts w:ascii="Book Antiqua" w:hAnsi="Book Antiqua"/>
          <w:color w:val="212121"/>
          <w:sz w:val="24"/>
          <w:szCs w:val="24"/>
          <w:shd w:val="clear" w:color="auto" w:fill="FFFFFF"/>
        </w:rPr>
        <w:t>. Shirley, NY. American Regent, Inc., July 2013</w:t>
      </w:r>
    </w:p>
    <w:p>
      <w:pPr>
        <w:spacing w:line="360" w:lineRule="auto"/>
        <w:jc w:val="both"/>
        <w:rPr>
          <w:rFonts w:ascii="Book Antiqua" w:hAnsi="Book Antiqua"/>
        </w:rPr>
      </w:pPr>
      <w:r>
        <w:rPr>
          <w:rFonts w:ascii="Book Antiqua" w:hAnsi="Book Antiqua"/>
        </w:rPr>
        <w:t>3</w:t>
      </w:r>
      <w:r>
        <w:rPr>
          <w:rFonts w:hint="eastAsia" w:ascii="Book Antiqua" w:hAnsi="Book Antiqua"/>
          <w:lang w:eastAsia="zh-CN"/>
        </w:rPr>
        <w:t>6</w:t>
      </w:r>
      <w:r>
        <w:rPr>
          <w:rFonts w:ascii="Book Antiqua" w:hAnsi="Book Antiqua"/>
        </w:rPr>
        <w:t xml:space="preserve"> </w:t>
      </w:r>
      <w:r>
        <w:rPr>
          <w:rFonts w:ascii="Book Antiqua" w:hAnsi="Book Antiqua"/>
          <w:b/>
          <w:bCs/>
        </w:rPr>
        <w:t>Wolf M</w:t>
      </w:r>
      <w:r>
        <w:rPr>
          <w:rFonts w:ascii="Book Antiqua" w:hAnsi="Book Antiqua"/>
        </w:rPr>
        <w:t xml:space="preserve">, Rubin J, Achebe M, Econs MJ, Peacock M, Imel EA, Thomsen LL, Carpenter TO, Weber T, Brandenburg V, Zoller H. Effects of Iron Isomaltoside vs Ferric Carboxymaltose on Hypophosphatemia in Iron-Deficiency Anemia: Two Randomized Clinical Trials.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432-443 [PMID: 32016310 DOI: 10.1001/jama.2019.22450]</w:t>
      </w:r>
    </w:p>
    <w:p>
      <w:pPr>
        <w:spacing w:line="360" w:lineRule="auto"/>
        <w:jc w:val="both"/>
        <w:rPr>
          <w:rFonts w:ascii="Book Antiqua" w:hAnsi="Book Antiqua"/>
        </w:rPr>
      </w:pPr>
      <w:r>
        <w:rPr>
          <w:rFonts w:ascii="Book Antiqua" w:hAnsi="Book Antiqua"/>
        </w:rPr>
        <w:t>3</w:t>
      </w:r>
      <w:r>
        <w:rPr>
          <w:rFonts w:hint="eastAsia" w:ascii="Book Antiqua" w:hAnsi="Book Antiqua"/>
          <w:lang w:eastAsia="zh-CN"/>
        </w:rPr>
        <w:t>7</w:t>
      </w:r>
      <w:r>
        <w:rPr>
          <w:rFonts w:ascii="Book Antiqua" w:hAnsi="Book Antiqua"/>
        </w:rPr>
        <w:t xml:space="preserve"> </w:t>
      </w:r>
      <w:r>
        <w:rPr>
          <w:rFonts w:ascii="Book Antiqua" w:hAnsi="Book Antiqua"/>
          <w:b/>
          <w:bCs/>
        </w:rPr>
        <w:t>Wolf M</w:t>
      </w:r>
      <w:r>
        <w:rPr>
          <w:rFonts w:ascii="Book Antiqua" w:hAnsi="Book Antiqua"/>
        </w:rPr>
        <w:t xml:space="preserve">, Chertow GM, Macdougall IC, Kaper R, Krop J, Strauss W. Randomized trial of intravenous iron-induced hypophosphatemia. </w:t>
      </w:r>
      <w:r>
        <w:rPr>
          <w:rFonts w:ascii="Book Antiqua" w:hAnsi="Book Antiqua"/>
          <w:i/>
          <w:iCs/>
        </w:rPr>
        <w:t>JCI Insight</w:t>
      </w:r>
      <w:r>
        <w:rPr>
          <w:rFonts w:ascii="Book Antiqua" w:hAnsi="Book Antiqua"/>
        </w:rPr>
        <w:t xml:space="preserve"> 2018; </w:t>
      </w:r>
      <w:r>
        <w:rPr>
          <w:rFonts w:ascii="Book Antiqua" w:hAnsi="Book Antiqua"/>
          <w:b/>
          <w:bCs/>
        </w:rPr>
        <w:t>3</w:t>
      </w:r>
      <w:r>
        <w:rPr>
          <w:rFonts w:ascii="Book Antiqua" w:hAnsi="Book Antiqua"/>
        </w:rPr>
        <w:t xml:space="preserve"> [PMID: 30518682 DOI: 10.1172/jci.insight.124486]</w:t>
      </w:r>
    </w:p>
    <w:p>
      <w:pPr>
        <w:spacing w:line="360" w:lineRule="auto"/>
        <w:jc w:val="both"/>
        <w:rPr>
          <w:rFonts w:ascii="Book Antiqua" w:hAnsi="Book Antiqua"/>
        </w:rPr>
      </w:pPr>
      <w:r>
        <w:rPr>
          <w:rFonts w:ascii="Book Antiqua" w:hAnsi="Book Antiqua"/>
        </w:rPr>
        <w:t>3</w:t>
      </w:r>
      <w:r>
        <w:rPr>
          <w:rFonts w:hint="eastAsia" w:ascii="Book Antiqua" w:hAnsi="Book Antiqua"/>
          <w:lang w:eastAsia="zh-CN"/>
        </w:rPr>
        <w:t>8</w:t>
      </w:r>
      <w:r>
        <w:rPr>
          <w:rFonts w:ascii="Book Antiqua" w:hAnsi="Book Antiqua"/>
        </w:rPr>
        <w:t xml:space="preserve"> </w:t>
      </w:r>
      <w:r>
        <w:rPr>
          <w:rFonts w:ascii="Book Antiqua" w:hAnsi="Book Antiqua"/>
          <w:b/>
          <w:bCs/>
        </w:rPr>
        <w:t>Bellos I</w:t>
      </w:r>
      <w:r>
        <w:rPr>
          <w:rFonts w:ascii="Book Antiqua" w:hAnsi="Book Antiqua"/>
        </w:rPr>
        <w:t xml:space="preserve">, Frountzas M, Pergialiotis V. Comparative Risk of Hypophosphatemia Following the Administration of Intravenous Iron Formulations: A Network Meta-Analysis. </w:t>
      </w:r>
      <w:r>
        <w:rPr>
          <w:rFonts w:ascii="Book Antiqua" w:hAnsi="Book Antiqua"/>
          <w:i/>
          <w:iCs/>
        </w:rPr>
        <w:t>Transfus Med Rev</w:t>
      </w:r>
      <w:r>
        <w:rPr>
          <w:rFonts w:ascii="Book Antiqua" w:hAnsi="Book Antiqua"/>
        </w:rPr>
        <w:t xml:space="preserve"> 2020; </w:t>
      </w:r>
      <w:r>
        <w:rPr>
          <w:rFonts w:ascii="Book Antiqua" w:hAnsi="Book Antiqua"/>
          <w:b/>
          <w:bCs/>
        </w:rPr>
        <w:t>34</w:t>
      </w:r>
      <w:r>
        <w:rPr>
          <w:rFonts w:ascii="Book Antiqua" w:hAnsi="Book Antiqua"/>
        </w:rPr>
        <w:t>: 188-194 [PMID: 32819760 DOI: 10.1016/j.tmrv.2020.07.002]</w:t>
      </w:r>
    </w:p>
    <w:p>
      <w:pPr>
        <w:spacing w:line="360" w:lineRule="auto"/>
        <w:jc w:val="both"/>
        <w:rPr>
          <w:rFonts w:ascii="Book Antiqua" w:hAnsi="Book Antiqua"/>
        </w:rPr>
      </w:pPr>
      <w:r>
        <w:rPr>
          <w:rFonts w:hint="eastAsia" w:ascii="Book Antiqua" w:hAnsi="Book Antiqua"/>
          <w:lang w:eastAsia="zh-CN"/>
        </w:rPr>
        <w:t>39</w:t>
      </w:r>
      <w:r>
        <w:rPr>
          <w:rFonts w:ascii="Book Antiqua" w:hAnsi="Book Antiqua"/>
        </w:rPr>
        <w:t xml:space="preserve"> </w:t>
      </w:r>
      <w:r>
        <w:rPr>
          <w:rFonts w:ascii="Book Antiqua" w:hAnsi="Book Antiqua"/>
          <w:b/>
          <w:bCs/>
        </w:rPr>
        <w:t>Glaspy JA</w:t>
      </w:r>
      <w:r>
        <w:rPr>
          <w:rFonts w:ascii="Book Antiqua" w:hAnsi="Book Antiqua"/>
        </w:rPr>
        <w:t xml:space="preserve">, Lim-Watson MZ, Libre MA, Karkare SS, Hadker N, Bajic-Lucas A, Strauss WE, Dahl NV. Hypophosphatemia Associated with Intravenous Iron Therapies for Iron Deficiency Anemia: A Systematic Literature Review. </w:t>
      </w:r>
      <w:r>
        <w:rPr>
          <w:rFonts w:ascii="Book Antiqua" w:hAnsi="Book Antiqua"/>
          <w:i/>
          <w:iCs/>
        </w:rPr>
        <w:t>Ther Clin Risk Manag</w:t>
      </w:r>
      <w:r>
        <w:rPr>
          <w:rFonts w:ascii="Book Antiqua" w:hAnsi="Book Antiqua"/>
        </w:rPr>
        <w:t xml:space="preserve"> 2020; </w:t>
      </w:r>
      <w:r>
        <w:rPr>
          <w:rFonts w:ascii="Book Antiqua" w:hAnsi="Book Antiqua"/>
          <w:b/>
          <w:bCs/>
        </w:rPr>
        <w:t>16</w:t>
      </w:r>
      <w:r>
        <w:rPr>
          <w:rFonts w:ascii="Book Antiqua" w:hAnsi="Book Antiqua"/>
        </w:rPr>
        <w:t>: 245-259 [PMID: 32308402 DOI: 10.2147/TCRM.S243462]</w:t>
      </w:r>
    </w:p>
    <w:p>
      <w:pPr>
        <w:spacing w:line="360" w:lineRule="auto"/>
        <w:jc w:val="both"/>
        <w:rPr>
          <w:rFonts w:ascii="Book Antiqua" w:hAnsi="Book Antiqua"/>
        </w:rPr>
      </w:pPr>
      <w:r>
        <w:rPr>
          <w:rFonts w:ascii="Book Antiqua" w:hAnsi="Book Antiqua"/>
        </w:rPr>
        <w:t>4</w:t>
      </w:r>
      <w:r>
        <w:rPr>
          <w:rFonts w:hint="eastAsia" w:ascii="Book Antiqua" w:hAnsi="Book Antiqua"/>
          <w:lang w:eastAsia="zh-CN"/>
        </w:rPr>
        <w:t>0</w:t>
      </w:r>
      <w:r>
        <w:rPr>
          <w:rFonts w:ascii="Book Antiqua" w:hAnsi="Book Antiqua"/>
        </w:rPr>
        <w:t xml:space="preserve"> </w:t>
      </w:r>
      <w:r>
        <w:rPr>
          <w:rFonts w:ascii="Book Antiqua" w:hAnsi="Book Antiqua"/>
          <w:b/>
          <w:bCs/>
        </w:rPr>
        <w:t>Gisbert JP</w:t>
      </w:r>
      <w:r>
        <w:rPr>
          <w:rFonts w:ascii="Book Antiqua" w:hAnsi="Book Antiqua"/>
        </w:rPr>
        <w:t xml:space="preserve">, Bermejo F, Pajares R, Pérez-Calle JL, Rodríguez M, Algaba A, Mancenido N, de la Morena F, Carneros JA, McNicholl AG, González-Lama Y, Maté J. Oral and intravenous iron treatment in inflammatory bowel disease: hematological response and quality of life improvement. </w:t>
      </w:r>
      <w:r>
        <w:rPr>
          <w:rFonts w:ascii="Book Antiqua" w:hAnsi="Book Antiqua"/>
          <w:i/>
          <w:iCs/>
        </w:rPr>
        <w:t>Inflamm Bowel Dis</w:t>
      </w:r>
      <w:r>
        <w:rPr>
          <w:rFonts w:ascii="Book Antiqua" w:hAnsi="Book Antiqua"/>
        </w:rPr>
        <w:t xml:space="preserve"> 2009; </w:t>
      </w:r>
      <w:r>
        <w:rPr>
          <w:rFonts w:ascii="Book Antiqua" w:hAnsi="Book Antiqua"/>
          <w:b/>
          <w:bCs/>
        </w:rPr>
        <w:t>15</w:t>
      </w:r>
      <w:r>
        <w:rPr>
          <w:rFonts w:ascii="Book Antiqua" w:hAnsi="Book Antiqua"/>
        </w:rPr>
        <w:t>: 1485-1491 [PMID: 19408339 DOI: 10.1002/ibd.20925]</w:t>
      </w:r>
    </w:p>
    <w:p>
      <w:pPr>
        <w:spacing w:line="360" w:lineRule="auto"/>
        <w:jc w:val="both"/>
        <w:rPr>
          <w:rFonts w:ascii="Book Antiqua" w:hAnsi="Book Antiqua"/>
        </w:rPr>
      </w:pPr>
      <w:r>
        <w:rPr>
          <w:rFonts w:ascii="Book Antiqua" w:hAnsi="Book Antiqua"/>
        </w:rPr>
        <w:t>4</w:t>
      </w:r>
      <w:r>
        <w:rPr>
          <w:rFonts w:hint="eastAsia" w:ascii="Book Antiqua" w:hAnsi="Book Antiqua"/>
          <w:lang w:eastAsia="zh-CN"/>
        </w:rPr>
        <w:t>1</w:t>
      </w:r>
      <w:r>
        <w:rPr>
          <w:rFonts w:ascii="Book Antiqua" w:hAnsi="Book Antiqua"/>
        </w:rPr>
        <w:t xml:space="preserve"> </w:t>
      </w:r>
      <w:r>
        <w:rPr>
          <w:rFonts w:ascii="Book Antiqua" w:hAnsi="Book Antiqua"/>
          <w:b/>
          <w:bCs/>
        </w:rPr>
        <w:t>Coe CL</w:t>
      </w:r>
      <w:r>
        <w:rPr>
          <w:rFonts w:ascii="Book Antiqua" w:hAnsi="Book Antiqua"/>
        </w:rPr>
        <w:t xml:space="preserve">, Meyers MH, Beaulieu DB, Scoville E, Schwartz DA, Horst SN, Dalal RL. Gastroenterologist-Lead Management of Iron Deficiency Anemia in Inflammatory Bowel Disease Is Effective, Safe, and May Increase Quality of Life. </w:t>
      </w:r>
      <w:r>
        <w:rPr>
          <w:rFonts w:ascii="Book Antiqua" w:hAnsi="Book Antiqua"/>
          <w:i/>
          <w:iCs/>
        </w:rPr>
        <w:t>Crohns Colitis 360</w:t>
      </w:r>
      <w:r>
        <w:rPr>
          <w:rFonts w:ascii="Book Antiqua" w:hAnsi="Book Antiqua"/>
        </w:rPr>
        <w:t xml:space="preserve"> 2020; </w:t>
      </w:r>
      <w:r>
        <w:rPr>
          <w:rFonts w:ascii="Book Antiqua" w:hAnsi="Book Antiqua"/>
          <w:b/>
          <w:bCs/>
        </w:rPr>
        <w:t>2</w:t>
      </w:r>
      <w:r>
        <w:rPr>
          <w:rFonts w:ascii="Book Antiqua" w:hAnsi="Book Antiqua"/>
        </w:rPr>
        <w:t>: otaa051 [PMID: 32743547 DOI: 10.1093/crocol/otaa051]</w:t>
      </w:r>
    </w:p>
    <w:p>
      <w:pPr>
        <w:spacing w:line="360" w:lineRule="auto"/>
        <w:jc w:val="both"/>
        <w:rPr>
          <w:rFonts w:ascii="Book Antiqua" w:hAnsi="Book Antiqua"/>
        </w:rPr>
      </w:pPr>
      <w:r>
        <w:rPr>
          <w:rFonts w:ascii="Book Antiqua" w:hAnsi="Book Antiqua"/>
        </w:rPr>
        <w:t>4</w:t>
      </w:r>
      <w:r>
        <w:rPr>
          <w:rFonts w:hint="eastAsia" w:ascii="Book Antiqua" w:hAnsi="Book Antiqua"/>
          <w:lang w:eastAsia="zh-CN"/>
        </w:rPr>
        <w:t>2</w:t>
      </w:r>
      <w:r>
        <w:rPr>
          <w:rFonts w:ascii="Book Antiqua" w:hAnsi="Book Antiqua"/>
        </w:rPr>
        <w:t xml:space="preserve"> </w:t>
      </w:r>
      <w:r>
        <w:rPr>
          <w:rFonts w:ascii="Book Antiqua" w:hAnsi="Book Antiqua"/>
          <w:b/>
          <w:bCs/>
        </w:rPr>
        <w:t>Loveikyte R</w:t>
      </w:r>
      <w:r>
        <w:rPr>
          <w:rFonts w:ascii="Book Antiqua" w:hAnsi="Book Antiqua"/>
        </w:rPr>
        <w:t xml:space="preserve">, Boer M, van der Meulen CN, Ter Steege RWF, Tack G, Kuyvenhoven J, Jharap B, Vu MK, Vogelaar L, West RL, van der Marel S, Römkens TEH, Mujagic Z, Hoentjen F, van Bodegraven AA, van Schaik FDM, de Vries AC, Dijkstra G, van der Meulen-de Jong AE; Dutch Initiative on Crohn and Colitis (ICC). Anemia and Iron Deficiency in Outpatients with Inflammatory Bowel Disease: Ubiquitous Yet Suboptimally Managed. </w:t>
      </w:r>
      <w:r>
        <w:rPr>
          <w:rFonts w:ascii="Book Antiqua" w:hAnsi="Book Antiqua"/>
          <w:i/>
          <w:iCs/>
        </w:rPr>
        <w:t>J Clin Med</w:t>
      </w:r>
      <w:r>
        <w:rPr>
          <w:rFonts w:ascii="Book Antiqua" w:hAnsi="Book Antiqua"/>
        </w:rPr>
        <w:t xml:space="preserve"> 2022; </w:t>
      </w:r>
      <w:r>
        <w:rPr>
          <w:rFonts w:ascii="Book Antiqua" w:hAnsi="Book Antiqua"/>
          <w:b/>
          <w:bCs/>
        </w:rPr>
        <w:t>11</w:t>
      </w:r>
      <w:r>
        <w:rPr>
          <w:rFonts w:ascii="Book Antiqua" w:hAnsi="Book Antiqua"/>
        </w:rPr>
        <w:t xml:space="preserve"> [PMID: 36431320 DOI: 10.3390/jcm11226843]</w:t>
      </w:r>
    </w:p>
    <w:p>
      <w:pPr>
        <w:spacing w:line="360" w:lineRule="auto"/>
        <w:jc w:val="both"/>
        <w:rPr>
          <w:rFonts w:ascii="Book Antiqua" w:hAnsi="Book Antiqua"/>
          <w:lang w:eastAsia="zh-CN"/>
        </w:rPr>
      </w:pPr>
      <w:r>
        <w:rPr>
          <w:rFonts w:ascii="Book Antiqua" w:hAnsi="Book Antiqua"/>
        </w:rPr>
        <w:t>4</w:t>
      </w:r>
      <w:r>
        <w:rPr>
          <w:rFonts w:hint="eastAsia" w:ascii="Book Antiqua" w:hAnsi="Book Antiqua"/>
          <w:lang w:eastAsia="zh-CN"/>
        </w:rPr>
        <w:t>3</w:t>
      </w:r>
      <w:r>
        <w:rPr>
          <w:rFonts w:ascii="Book Antiqua" w:hAnsi="Book Antiqua"/>
        </w:rPr>
        <w:t xml:space="preserve"> </w:t>
      </w:r>
      <w:r>
        <w:rPr>
          <w:rFonts w:ascii="Book Antiqua" w:hAnsi="Book Antiqua"/>
          <w:b/>
          <w:bCs/>
        </w:rPr>
        <w:t>Egberg MD</w:t>
      </w:r>
      <w:r>
        <w:rPr>
          <w:rFonts w:ascii="Book Antiqua" w:hAnsi="Book Antiqua"/>
        </w:rPr>
        <w:t xml:space="preserve">, Mitchell PD, Galanko JA, Rufo PA. Effectiveness of oral iron supplementation in treatment of anemia associated with pediatric ulcerative colitis flare. </w:t>
      </w:r>
      <w:r>
        <w:rPr>
          <w:rFonts w:ascii="Book Antiqua" w:hAnsi="Book Antiqua"/>
          <w:i/>
          <w:iCs/>
        </w:rPr>
        <w:t>Am J Hematol</w:t>
      </w:r>
      <w:r>
        <w:rPr>
          <w:rFonts w:ascii="Book Antiqua" w:hAnsi="Book Antiqua"/>
        </w:rPr>
        <w:t xml:space="preserve"> 2018; </w:t>
      </w:r>
      <w:r>
        <w:rPr>
          <w:rFonts w:ascii="Book Antiqua" w:hAnsi="Book Antiqua"/>
          <w:b/>
          <w:bCs/>
        </w:rPr>
        <w:t>93</w:t>
      </w:r>
      <w:r>
        <w:rPr>
          <w:rFonts w:ascii="Book Antiqua" w:hAnsi="Book Antiqua"/>
        </w:rPr>
        <w:t>: E404-E406 [PMID: 30264865 DOI: 10.1002/ajh.25299]</w:t>
      </w:r>
    </w:p>
    <w:bookmarkEnd w:id="494"/>
    <w:bookmarkEnd w:id="495"/>
    <w:p>
      <w:pPr>
        <w:spacing w:line="360" w:lineRule="auto"/>
        <w:jc w:val="both"/>
        <w:rPr>
          <w:rFonts w:ascii="Book Antiqua" w:hAnsi="Book Antiqu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rPr>
        <w:t xml:space="preserve">Institutional review board statement: </w:t>
      </w:r>
      <w:r>
        <w:rPr>
          <w:rFonts w:ascii="Book Antiqua" w:hAnsi="Book Antiqua" w:eastAsia="Book Antiqua" w:cs="Book Antiqua"/>
          <w:color w:val="000000"/>
        </w:rPr>
        <w:t>This study was review and approved by the Boston Children's Hospital Institutional Review Board</w:t>
      </w:r>
      <w:r>
        <w:rPr>
          <w:rFonts w:ascii="Book Antiqua" w:hAnsi="Book Antiqua" w:cs="Book Antiqua"/>
          <w:color w:val="000000"/>
          <w:lang w:eastAsia="zh-CN"/>
        </w:rPr>
        <w:t>,</w:t>
      </w:r>
      <w:r>
        <w:rPr>
          <w:rFonts w:ascii="Book Antiqua" w:hAnsi="Book Antiqua" w:eastAsia="Book Antiqua" w:cs="Book Antiqua"/>
          <w:color w:val="000000"/>
        </w:rPr>
        <w:t xml:space="preserve"> No. P00024515.</w:t>
      </w:r>
    </w:p>
    <w:p>
      <w:pPr>
        <w:spacing w:line="360" w:lineRule="auto"/>
        <w:jc w:val="both"/>
        <w:rPr>
          <w:rFonts w:ascii="Book Antiqua" w:hAnsi="Book Antiqua"/>
          <w:lang w:eastAsia="zh-CN"/>
        </w:rPr>
      </w:pPr>
    </w:p>
    <w:p>
      <w:pPr>
        <w:spacing w:line="360" w:lineRule="auto"/>
        <w:jc w:val="both"/>
        <w:rPr>
          <w:rStyle w:val="20"/>
          <w:rFonts w:ascii="Book Antiqua" w:hAnsi="Book Antiqua"/>
          <w:b/>
          <w:color w:val="000000"/>
          <w:lang w:eastAsia="zh-CN"/>
        </w:rPr>
      </w:pPr>
      <w:r>
        <w:rPr>
          <w:rFonts w:ascii="Book Antiqua" w:hAnsi="Book Antiqua" w:eastAsia="Book Antiqua" w:cs="Book Antiqua"/>
          <w:b/>
          <w:bCs/>
        </w:rPr>
        <w:t>Informed consent statement</w:t>
      </w:r>
      <w:r>
        <w:rPr>
          <w:rFonts w:ascii="Book Antiqua" w:hAnsi="Book Antiqua" w:cs="Book Antiqua"/>
          <w:b/>
          <w:bCs/>
          <w:lang w:eastAsia="zh-CN"/>
        </w:rPr>
        <w:t xml:space="preserve">: </w:t>
      </w:r>
      <w:bookmarkStart w:id="496" w:name="OLE_LINK432"/>
      <w:bookmarkStart w:id="497" w:name="_Hlk10706254"/>
      <w:r>
        <w:rPr>
          <w:rFonts w:ascii="Book Antiqua" w:hAnsi="Book Antiqua"/>
        </w:rPr>
        <w:t>All study participants or their legal guardian provided informed written consent about personal and medical data collection prior to study enrolment.</w:t>
      </w:r>
      <w:bookmarkEnd w:id="496"/>
      <w:bookmarkEnd w:id="497"/>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The authors declare no conflict of interest.</w:t>
      </w:r>
    </w:p>
    <w:p>
      <w:pPr>
        <w:spacing w:line="360" w:lineRule="auto"/>
        <w:jc w:val="both"/>
        <w:rPr>
          <w:rFonts w:ascii="Book Antiqua" w:hAnsi="Book Antiqua"/>
        </w:rPr>
      </w:pPr>
    </w:p>
    <w:p>
      <w:pPr>
        <w:spacing w:line="360" w:lineRule="auto"/>
        <w:jc w:val="both"/>
        <w:rPr>
          <w:rFonts w:ascii="Book Antiqua" w:hAnsi="Book Antiqua" w:cs="Book Antiqua"/>
          <w:color w:val="3C3C3C"/>
          <w:lang w:eastAsia="zh-CN"/>
        </w:rPr>
      </w:pPr>
      <w:r>
        <w:rPr>
          <w:rFonts w:ascii="Book Antiqua" w:hAnsi="Book Antiqua" w:eastAsia="Book Antiqua" w:cs="Book Antiqua"/>
          <w:b/>
          <w:bCs/>
        </w:rPr>
        <w:t xml:space="preserve">Data sharing statement: </w:t>
      </w:r>
      <w:r>
        <w:rPr>
          <w:rFonts w:ascii="Book Antiqua" w:hAnsi="Book Antiqua" w:eastAsia="Book Antiqua" w:cs="Book Antiqua"/>
          <w:color w:val="3C3C3C"/>
        </w:rPr>
        <w:t>Technical appendix, statistical code, and dataset available from the corresponding author at Paul.Rufo@childrens.harvard.edu. Participants gave informed consent for data sharing.</w:t>
      </w:r>
    </w:p>
    <w:p>
      <w:pPr>
        <w:spacing w:line="360" w:lineRule="auto"/>
        <w:jc w:val="both"/>
        <w:rPr>
          <w:rFonts w:ascii="Book Antiqua" w:hAnsi="Book Antiqua"/>
          <w:lang w:eastAsia="zh-CN"/>
        </w:rPr>
      </w:pPr>
    </w:p>
    <w:p>
      <w:pPr>
        <w:autoSpaceDE w:val="0"/>
        <w:autoSpaceDN w:val="0"/>
        <w:adjustRightInd w:val="0"/>
        <w:snapToGrid w:val="0"/>
        <w:spacing w:line="360" w:lineRule="auto"/>
        <w:jc w:val="both"/>
        <w:rPr>
          <w:rFonts w:ascii="Book Antiqua" w:hAnsi="Book Antiqua" w:cs="Garamond-Bold"/>
          <w:bCs/>
          <w:color w:val="000000"/>
        </w:rPr>
      </w:pPr>
      <w:r>
        <w:rPr>
          <w:rFonts w:ascii="Book Antiqua" w:hAnsi="Book Antiqua" w:eastAsia="Book Antiqua" w:cs="Book Antiqua"/>
          <w:b/>
          <w:bCs/>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October 27,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17,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January 22,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Pediatrics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A</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Rodrigo L, Spain; Shahriari M, Iran</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Zhao YQ</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4112260" cy="67818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112260" cy="6781800"/>
                    </a:xfrm>
                    <a:prstGeom prst="rect">
                      <a:avLst/>
                    </a:prstGeom>
                    <a:noFill/>
                    <a:ln>
                      <a:noFill/>
                    </a:ln>
                  </pic:spPr>
                </pic:pic>
              </a:graphicData>
            </a:graphic>
          </wp:inline>
        </w:drawing>
      </w:r>
    </w:p>
    <w:p>
      <w:pPr>
        <w:spacing w:line="360" w:lineRule="auto"/>
        <w:jc w:val="both"/>
        <w:rPr>
          <w:rFonts w:ascii="Book Antiqua" w:hAnsi="Book Antiqua"/>
          <w:lang w:eastAsia="zh-CN"/>
        </w:rPr>
      </w:pPr>
      <w:r>
        <w:rPr>
          <w:rFonts w:ascii="Book Antiqua" w:hAnsi="Book Antiqua"/>
          <w:b/>
          <w:lang w:eastAsia="zh-CN"/>
        </w:rPr>
        <w:t>Figure 1 Study ove</w:t>
      </w:r>
      <w:r>
        <w:rPr>
          <w:rFonts w:ascii="Book Antiqua" w:hAnsi="Book Antiqua"/>
          <w:b/>
          <w:bCs w:val="0"/>
          <w:lang w:eastAsia="zh-CN"/>
        </w:rPr>
        <w:t>rview.</w:t>
      </w:r>
      <w:r>
        <w:rPr>
          <w:rFonts w:ascii="Book Antiqua" w:hAnsi="Book Antiqua"/>
          <w:lang w:eastAsia="zh-CN"/>
        </w:rPr>
        <w:t xml:space="preserve"> IBD: </w:t>
      </w:r>
      <w:r>
        <w:rPr>
          <w:rFonts w:ascii="Book Antiqua" w:hAnsi="Book Antiqua" w:cs="Book Antiqua"/>
          <w:color w:val="000000"/>
          <w:lang w:eastAsia="zh-CN"/>
        </w:rPr>
        <w:t>I</w:t>
      </w:r>
      <w:r>
        <w:rPr>
          <w:rFonts w:ascii="Book Antiqua" w:hAnsi="Book Antiqua" w:eastAsia="Book Antiqua" w:cs="Book Antiqua"/>
          <w:color w:val="000000"/>
        </w:rPr>
        <w:t>nflammatory bowel disease</w:t>
      </w:r>
      <w:r>
        <w:rPr>
          <w:rFonts w:ascii="Book Antiqua" w:hAnsi="Book Antiqua"/>
          <w:lang w:eastAsia="zh-CN"/>
        </w:rPr>
        <w:t xml:space="preserve">; IDA: </w:t>
      </w:r>
      <w:r>
        <w:rPr>
          <w:rFonts w:ascii="Book Antiqua" w:hAnsi="Book Antiqua" w:cs="Book Antiqua"/>
          <w:color w:val="000000"/>
          <w:lang w:eastAsia="zh-CN"/>
        </w:rPr>
        <w:t>I</w:t>
      </w:r>
      <w:r>
        <w:rPr>
          <w:rFonts w:ascii="Book Antiqua" w:hAnsi="Book Antiqua" w:eastAsia="Book Antiqua" w:cs="Book Antiqua"/>
          <w:color w:val="000000"/>
        </w:rPr>
        <w:t>ron deficiency anemia</w:t>
      </w:r>
      <w:r>
        <w:rPr>
          <w:rFonts w:ascii="Book Antiqua" w:hAnsi="Book Antiqua"/>
          <w:lang w:eastAsia="zh-CN"/>
        </w:rPr>
        <w:t xml:space="preserve">; pRBC: </w:t>
      </w:r>
      <w:r>
        <w:rPr>
          <w:rFonts w:ascii="Book Antiqua" w:hAnsi="Book Antiqua" w:cs="Book Antiqua"/>
          <w:color w:val="000000"/>
          <w:lang w:eastAsia="zh-CN"/>
        </w:rPr>
        <w:t>P</w:t>
      </w:r>
      <w:r>
        <w:rPr>
          <w:rFonts w:ascii="Book Antiqua" w:hAnsi="Book Antiqua" w:eastAsia="Book Antiqua" w:cs="Book Antiqua"/>
          <w:color w:val="000000"/>
        </w:rPr>
        <w:t>acked red blood cell</w:t>
      </w:r>
      <w:r>
        <w:rPr>
          <w:rFonts w:ascii="Book Antiqua" w:hAnsi="Book Antiqua"/>
          <w:lang w:eastAsia="zh-CN"/>
        </w:rPr>
        <w:t xml:space="preserve">; INFeD: </w:t>
      </w:r>
      <w:r>
        <w:rPr>
          <w:rFonts w:ascii="Book Antiqua" w:hAnsi="Book Antiqua" w:eastAsia="Book Antiqua" w:cs="Book Antiqua"/>
          <w:color w:val="000000"/>
        </w:rPr>
        <w:t>Low-molecular-weight iron dextran</w:t>
      </w:r>
      <w:r>
        <w:rPr>
          <w:rFonts w:ascii="Book Antiqua" w:hAnsi="Book Antiqua"/>
          <w:lang w:eastAsia="zh-CN"/>
        </w:rPr>
        <w:t>.</w:t>
      </w:r>
      <w:r>
        <w:rPr>
          <w:rFonts w:ascii="Book Antiqua" w:hAnsi="Book Antiqua"/>
          <w:lang w:eastAsia="zh-CN"/>
        </w:rPr>
        <w:cr/>
      </w:r>
      <w:r>
        <w:rPr>
          <w:rFonts w:ascii="Book Antiqua" w:hAnsi="Book Antiqua"/>
          <w:lang w:eastAsia="zh-CN"/>
        </w:rPr>
        <w:br w:type="page"/>
      </w:r>
    </w:p>
    <w:p>
      <w:pPr>
        <w:spacing w:line="360" w:lineRule="auto"/>
        <w:jc w:val="both"/>
        <w:rPr>
          <w:rFonts w:ascii="Book Antiqua" w:hAnsi="Book Antiqua"/>
          <w:b/>
          <w:lang w:eastAsia="zh-CN"/>
        </w:rPr>
      </w:pPr>
      <w:r>
        <w:rPr>
          <w:rFonts w:hint="eastAsia" w:ascii="Book Antiqua" w:hAnsi="Book Antiqua"/>
          <w:b/>
          <w:lang w:eastAsia="zh-CN"/>
        </w:rPr>
        <w:t>Table 1 Subject characteristics (</w:t>
      </w:r>
      <w:r>
        <w:rPr>
          <w:rFonts w:ascii="Book Antiqua" w:hAnsi="Book Antiqua"/>
          <w:b/>
          <w:i/>
          <w:lang w:eastAsia="zh-CN"/>
        </w:rPr>
        <w:t>n</w:t>
      </w:r>
      <w:r>
        <w:rPr>
          <w:rFonts w:hint="eastAsia" w:ascii="Book Antiqua" w:hAnsi="Book Antiqua"/>
          <w:b/>
          <w:lang w:eastAsia="zh-CN"/>
        </w:rPr>
        <w:t xml:space="preserve"> = 92)</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32"/>
        <w:gridCol w:w="1171"/>
        <w:gridCol w:w="1563"/>
        <w:gridCol w:w="1563"/>
        <w:gridCol w:w="1498"/>
        <w:gridCol w:w="105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426" w:type="pct"/>
            <w:tcBorders>
              <w:top w:val="single" w:color="auto" w:sz="4" w:space="0"/>
              <w:bottom w:val="nil"/>
            </w:tcBorders>
            <w:noWrap w:val="0"/>
            <w:vAlign w:val="top"/>
          </w:tcPr>
          <w:p>
            <w:pPr>
              <w:spacing w:line="360" w:lineRule="auto"/>
              <w:jc w:val="both"/>
              <w:rPr>
                <w:rFonts w:ascii="Book Antiqua" w:hAnsi="Book Antiqua" w:cs="宋体"/>
                <w:b/>
                <w:bCs/>
                <w:lang w:eastAsia="zh-CN"/>
              </w:rPr>
            </w:pPr>
          </w:p>
        </w:tc>
        <w:tc>
          <w:tcPr>
            <w:tcW w:w="611" w:type="pct"/>
            <w:vMerge w:val="restart"/>
            <w:tcBorders>
              <w:top w:val="single" w:color="auto" w:sz="4" w:space="0"/>
            </w:tcBorders>
            <w:noWrap w:val="0"/>
            <w:vAlign w:val="top"/>
          </w:tcPr>
          <w:p>
            <w:pPr>
              <w:spacing w:line="360" w:lineRule="auto"/>
              <w:jc w:val="both"/>
              <w:rPr>
                <w:rFonts w:ascii="Book Antiqua" w:hAnsi="Book Antiqua" w:cs="宋体"/>
                <w:b/>
                <w:bCs/>
                <w:lang w:eastAsia="zh-CN"/>
              </w:rPr>
            </w:pPr>
            <w:r>
              <w:rPr>
                <w:rFonts w:hint="eastAsia" w:ascii="Book Antiqua" w:hAnsi="Book Antiqua" w:cs="宋体"/>
                <w:b/>
                <w:bCs/>
                <w:lang w:eastAsia="zh-CN"/>
              </w:rPr>
              <w:t>Overall (</w:t>
            </w:r>
            <w:r>
              <w:rPr>
                <w:rFonts w:ascii="Book Antiqua" w:hAnsi="Book Antiqua" w:cs="宋体"/>
                <w:b/>
                <w:i/>
                <w:color w:val="000000"/>
                <w:lang w:eastAsia="zh-CN"/>
              </w:rPr>
              <w:t>n</w:t>
            </w:r>
            <w:r>
              <w:rPr>
                <w:rFonts w:hint="eastAsia" w:ascii="Book Antiqua" w:hAnsi="Book Antiqua" w:cs="宋体"/>
                <w:b/>
                <w:bCs/>
                <w:lang w:eastAsia="zh-CN"/>
              </w:rPr>
              <w:t xml:space="preserve"> = 92)</w:t>
            </w:r>
          </w:p>
        </w:tc>
        <w:tc>
          <w:tcPr>
            <w:tcW w:w="2414" w:type="pct"/>
            <w:gridSpan w:val="3"/>
            <w:tcBorders>
              <w:top w:val="single" w:color="auto" w:sz="4" w:space="0"/>
              <w:bottom w:val="single" w:color="auto" w:sz="4" w:space="0"/>
            </w:tcBorders>
            <w:noWrap w:val="0"/>
            <w:vAlign w:val="top"/>
          </w:tcPr>
          <w:p>
            <w:pPr>
              <w:spacing w:line="360" w:lineRule="auto"/>
              <w:jc w:val="both"/>
              <w:rPr>
                <w:rFonts w:ascii="Book Antiqua" w:hAnsi="Book Antiqua" w:cs="宋体"/>
                <w:b/>
                <w:bCs/>
                <w:lang w:eastAsia="zh-CN"/>
              </w:rPr>
            </w:pPr>
            <w:r>
              <w:rPr>
                <w:rFonts w:ascii="Book Antiqua" w:hAnsi="Book Antiqua" w:cs="宋体"/>
                <w:b/>
                <w:bCs/>
                <w:lang w:eastAsia="zh-CN"/>
              </w:rPr>
              <w:t>Iron therapy</w:t>
            </w:r>
          </w:p>
        </w:tc>
        <w:tc>
          <w:tcPr>
            <w:tcW w:w="547" w:type="pct"/>
            <w:vMerge w:val="restart"/>
            <w:tcBorders>
              <w:top w:val="single" w:color="auto" w:sz="4" w:space="0"/>
              <w:bottom w:val="nil"/>
            </w:tcBorders>
            <w:noWrap w:val="0"/>
            <w:vAlign w:val="top"/>
          </w:tcPr>
          <w:p>
            <w:pPr>
              <w:spacing w:line="360" w:lineRule="auto"/>
              <w:jc w:val="both"/>
              <w:rPr>
                <w:rFonts w:ascii="Book Antiqua" w:hAnsi="Book Antiqua" w:cs="宋体"/>
                <w:b/>
                <w:bCs/>
                <w:lang w:eastAsia="zh-CN"/>
              </w:rPr>
            </w:pPr>
            <w:r>
              <w:rPr>
                <w:rFonts w:ascii="Book Antiqua" w:hAnsi="Book Antiqua" w:cs="宋体"/>
                <w:b/>
                <w:i/>
                <w:color w:val="000000"/>
                <w:lang w:eastAsia="zh-CN"/>
              </w:rPr>
              <w:t>P</w:t>
            </w:r>
            <w:r>
              <w:rPr>
                <w:rFonts w:ascii="Book Antiqua" w:hAnsi="Book Antiqua" w:cs="宋体"/>
                <w:b/>
                <w:bCs/>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26" w:type="pct"/>
            <w:tcBorders>
              <w:top w:val="nil"/>
              <w:bottom w:val="single" w:color="auto" w:sz="4" w:space="0"/>
            </w:tcBorders>
            <w:noWrap w:val="0"/>
            <w:vAlign w:val="top"/>
          </w:tcPr>
          <w:p>
            <w:pPr>
              <w:spacing w:line="360" w:lineRule="auto"/>
              <w:jc w:val="both"/>
              <w:rPr>
                <w:rFonts w:ascii="Book Antiqua" w:hAnsi="Book Antiqua" w:cs="宋体"/>
                <w:b/>
                <w:bCs/>
                <w:lang w:eastAsia="zh-CN"/>
              </w:rPr>
            </w:pPr>
          </w:p>
        </w:tc>
        <w:tc>
          <w:tcPr>
            <w:tcW w:w="611" w:type="pct"/>
            <w:vMerge w:val="continue"/>
            <w:tcBorders>
              <w:bottom w:val="single" w:color="auto" w:sz="4" w:space="0"/>
            </w:tcBorders>
            <w:noWrap w:val="0"/>
            <w:vAlign w:val="top"/>
          </w:tcPr>
          <w:p>
            <w:pPr>
              <w:spacing w:line="360" w:lineRule="auto"/>
              <w:jc w:val="both"/>
              <w:rPr>
                <w:rFonts w:ascii="Book Antiqua" w:hAnsi="Book Antiqua" w:cs="宋体"/>
                <w:b/>
                <w:bCs/>
                <w:lang w:eastAsia="zh-CN"/>
              </w:rPr>
            </w:pPr>
          </w:p>
        </w:tc>
        <w:tc>
          <w:tcPr>
            <w:tcW w:w="816" w:type="pct"/>
            <w:tcBorders>
              <w:top w:val="single" w:color="auto" w:sz="4" w:space="0"/>
              <w:bottom w:val="single" w:color="auto" w:sz="4" w:space="0"/>
            </w:tcBorders>
            <w:noWrap w:val="0"/>
            <w:vAlign w:val="top"/>
          </w:tcPr>
          <w:p>
            <w:pPr>
              <w:spacing w:line="360" w:lineRule="auto"/>
              <w:jc w:val="both"/>
              <w:rPr>
                <w:rFonts w:ascii="Book Antiqua" w:hAnsi="Book Antiqua" w:cs="宋体"/>
                <w:b/>
                <w:bCs/>
                <w:lang w:eastAsia="zh-CN"/>
              </w:rPr>
            </w:pPr>
            <w:r>
              <w:rPr>
                <w:rFonts w:ascii="Book Antiqua" w:hAnsi="Book Antiqua" w:cs="宋体"/>
                <w:b/>
                <w:bCs/>
                <w:lang w:eastAsia="zh-CN"/>
              </w:rPr>
              <w:t>No iron (</w:t>
            </w:r>
            <w:r>
              <w:rPr>
                <w:rFonts w:ascii="Book Antiqua" w:hAnsi="Book Antiqua" w:cs="宋体"/>
                <w:b/>
                <w:i/>
                <w:color w:val="000000"/>
                <w:lang w:eastAsia="zh-CN"/>
              </w:rPr>
              <w:t>n</w:t>
            </w:r>
            <w:r>
              <w:rPr>
                <w:rFonts w:ascii="Book Antiqua" w:hAnsi="Book Antiqua" w:cs="宋体"/>
                <w:b/>
                <w:bCs/>
                <w:lang w:eastAsia="zh-CN"/>
              </w:rPr>
              <w:t xml:space="preserve"> = 18)</w:t>
            </w:r>
          </w:p>
        </w:tc>
        <w:tc>
          <w:tcPr>
            <w:tcW w:w="816" w:type="pct"/>
            <w:tcBorders>
              <w:top w:val="single" w:color="auto" w:sz="4" w:space="0"/>
              <w:bottom w:val="single" w:color="auto" w:sz="4" w:space="0"/>
            </w:tcBorders>
            <w:noWrap w:val="0"/>
            <w:vAlign w:val="top"/>
          </w:tcPr>
          <w:p>
            <w:pPr>
              <w:spacing w:line="360" w:lineRule="auto"/>
              <w:jc w:val="both"/>
              <w:rPr>
                <w:rFonts w:ascii="Book Antiqua" w:hAnsi="Book Antiqua" w:cs="宋体"/>
                <w:b/>
                <w:bCs/>
                <w:lang w:eastAsia="zh-CN"/>
              </w:rPr>
            </w:pPr>
            <w:r>
              <w:rPr>
                <w:rFonts w:ascii="Book Antiqua" w:hAnsi="Book Antiqua" w:cs="宋体"/>
                <w:b/>
                <w:bCs/>
                <w:lang w:eastAsia="zh-CN"/>
              </w:rPr>
              <w:t>Oral iron</w:t>
            </w:r>
          </w:p>
          <w:p>
            <w:pPr>
              <w:spacing w:line="360" w:lineRule="auto"/>
              <w:jc w:val="both"/>
              <w:rPr>
                <w:rFonts w:ascii="Book Antiqua" w:hAnsi="Book Antiqua" w:cs="宋体"/>
                <w:b/>
                <w:bCs/>
                <w:lang w:eastAsia="zh-CN"/>
              </w:rPr>
            </w:pPr>
            <w:r>
              <w:rPr>
                <w:rFonts w:ascii="Book Antiqua" w:hAnsi="Book Antiqua" w:cs="宋体"/>
                <w:b/>
                <w:bCs/>
                <w:lang w:eastAsia="zh-CN"/>
              </w:rPr>
              <w:t>(</w:t>
            </w:r>
            <w:r>
              <w:rPr>
                <w:rFonts w:ascii="Book Antiqua" w:hAnsi="Book Antiqua" w:cs="宋体"/>
                <w:b/>
                <w:i/>
                <w:color w:val="000000"/>
                <w:lang w:eastAsia="zh-CN"/>
              </w:rPr>
              <w:t>n</w:t>
            </w:r>
            <w:r>
              <w:rPr>
                <w:rFonts w:ascii="Book Antiqua" w:hAnsi="Book Antiqua" w:cs="宋体"/>
                <w:b/>
                <w:bCs/>
                <w:lang w:eastAsia="zh-CN"/>
              </w:rPr>
              <w:t xml:space="preserve"> = 17)</w:t>
            </w:r>
          </w:p>
        </w:tc>
        <w:tc>
          <w:tcPr>
            <w:tcW w:w="782" w:type="pct"/>
            <w:tcBorders>
              <w:top w:val="single" w:color="auto" w:sz="4" w:space="0"/>
              <w:bottom w:val="single" w:color="auto" w:sz="4" w:space="0"/>
            </w:tcBorders>
            <w:noWrap w:val="0"/>
            <w:vAlign w:val="top"/>
          </w:tcPr>
          <w:p>
            <w:pPr>
              <w:spacing w:line="360" w:lineRule="auto"/>
              <w:jc w:val="both"/>
              <w:rPr>
                <w:rFonts w:ascii="Book Antiqua" w:hAnsi="Book Antiqua" w:cs="宋体"/>
                <w:b/>
                <w:bCs/>
                <w:lang w:eastAsia="zh-CN"/>
              </w:rPr>
            </w:pPr>
            <w:r>
              <w:rPr>
                <w:rFonts w:ascii="Book Antiqua" w:hAnsi="Book Antiqua" w:cs="宋体"/>
                <w:b/>
                <w:bCs/>
                <w:lang w:eastAsia="zh-CN"/>
              </w:rPr>
              <w:t>IV iron (</w:t>
            </w:r>
            <w:r>
              <w:rPr>
                <w:rFonts w:ascii="Book Antiqua" w:hAnsi="Book Antiqua" w:cs="宋体"/>
                <w:b/>
                <w:i/>
                <w:color w:val="000000"/>
                <w:lang w:eastAsia="zh-CN"/>
              </w:rPr>
              <w:t>n</w:t>
            </w:r>
            <w:r>
              <w:rPr>
                <w:rFonts w:ascii="Book Antiqua" w:hAnsi="Book Antiqua" w:cs="宋体"/>
                <w:b/>
                <w:bCs/>
                <w:lang w:eastAsia="zh-CN"/>
              </w:rPr>
              <w:t xml:space="preserve"> = 57)</w:t>
            </w:r>
          </w:p>
        </w:tc>
        <w:tc>
          <w:tcPr>
            <w:tcW w:w="547" w:type="pct"/>
            <w:vMerge w:val="continue"/>
            <w:tcBorders>
              <w:top w:val="nil"/>
              <w:bottom w:val="single" w:color="auto" w:sz="4" w:space="0"/>
            </w:tcBorders>
            <w:noWrap w:val="0"/>
            <w:vAlign w:val="top"/>
          </w:tcPr>
          <w:p>
            <w:pPr>
              <w:spacing w:line="360" w:lineRule="auto"/>
              <w:jc w:val="both"/>
              <w:rPr>
                <w:rFonts w:ascii="Book Antiqua" w:hAnsi="Book Antiqua" w:cs="宋体"/>
                <w:b/>
                <w:bCs/>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26" w:type="pct"/>
            <w:tcBorders>
              <w:top w:val="single" w:color="auto" w:sz="4" w:space="0"/>
            </w:tcBorders>
            <w:noWrap w:val="0"/>
            <w:vAlign w:val="top"/>
          </w:tcPr>
          <w:p>
            <w:pPr>
              <w:spacing w:line="360" w:lineRule="auto"/>
              <w:jc w:val="both"/>
              <w:rPr>
                <w:rFonts w:ascii="Book Antiqua" w:hAnsi="Book Antiqua" w:cs="宋体"/>
                <w:color w:val="000000"/>
              </w:rPr>
            </w:pPr>
            <w:r>
              <w:rPr>
                <w:rStyle w:val="19"/>
                <w:rFonts w:hint="eastAsia"/>
              </w:rPr>
              <w:t>Age (years), median (IQR)</w:t>
            </w:r>
          </w:p>
        </w:tc>
        <w:tc>
          <w:tcPr>
            <w:tcW w:w="611" w:type="pct"/>
            <w:tcBorders>
              <w:top w:val="single" w:color="auto" w:sz="4" w:space="0"/>
            </w:tcBorders>
            <w:noWrap w:val="0"/>
            <w:vAlign w:val="top"/>
          </w:tcPr>
          <w:p>
            <w:pPr>
              <w:spacing w:line="360" w:lineRule="auto"/>
              <w:jc w:val="both"/>
              <w:rPr>
                <w:rFonts w:ascii="Book Antiqua" w:hAnsi="Book Antiqua" w:cs="宋体"/>
                <w:color w:val="000000"/>
              </w:rPr>
            </w:pPr>
            <w:r>
              <w:rPr>
                <w:rStyle w:val="19"/>
                <w:rFonts w:hint="eastAsia"/>
              </w:rPr>
              <w:t>15 (11–18)</w:t>
            </w:r>
          </w:p>
        </w:tc>
        <w:tc>
          <w:tcPr>
            <w:tcW w:w="816" w:type="pct"/>
            <w:tcBorders>
              <w:top w:val="single" w:color="auto" w:sz="4" w:space="0"/>
            </w:tcBorders>
            <w:noWrap w:val="0"/>
            <w:vAlign w:val="top"/>
          </w:tcPr>
          <w:p>
            <w:pPr>
              <w:spacing w:line="360" w:lineRule="auto"/>
              <w:jc w:val="both"/>
              <w:rPr>
                <w:rFonts w:ascii="Book Antiqua" w:hAnsi="Book Antiqua" w:cs="宋体"/>
                <w:color w:val="000000"/>
              </w:rPr>
            </w:pPr>
            <w:r>
              <w:rPr>
                <w:rStyle w:val="19"/>
                <w:lang w:eastAsia="zh-CN"/>
              </w:rPr>
              <w:t>13 (10–18)</w:t>
            </w:r>
          </w:p>
        </w:tc>
        <w:tc>
          <w:tcPr>
            <w:tcW w:w="816" w:type="pct"/>
            <w:tcBorders>
              <w:top w:val="single" w:color="auto" w:sz="4" w:space="0"/>
            </w:tcBorders>
            <w:noWrap w:val="0"/>
            <w:vAlign w:val="top"/>
          </w:tcPr>
          <w:p>
            <w:pPr>
              <w:spacing w:line="360" w:lineRule="auto"/>
              <w:jc w:val="both"/>
              <w:rPr>
                <w:rFonts w:ascii="Book Antiqua" w:hAnsi="Book Antiqua" w:cs="宋体"/>
                <w:color w:val="000000"/>
              </w:rPr>
            </w:pPr>
            <w:r>
              <w:rPr>
                <w:rStyle w:val="19"/>
                <w:lang w:eastAsia="zh-CN"/>
              </w:rPr>
              <w:t>15 (13–17)</w:t>
            </w:r>
          </w:p>
        </w:tc>
        <w:tc>
          <w:tcPr>
            <w:tcW w:w="782" w:type="pct"/>
            <w:tcBorders>
              <w:top w:val="single" w:color="auto" w:sz="4" w:space="0"/>
            </w:tcBorders>
            <w:noWrap w:val="0"/>
            <w:vAlign w:val="top"/>
          </w:tcPr>
          <w:p>
            <w:pPr>
              <w:spacing w:line="360" w:lineRule="auto"/>
              <w:jc w:val="both"/>
              <w:rPr>
                <w:rFonts w:ascii="Book Antiqua" w:hAnsi="Book Antiqua" w:cs="宋体"/>
                <w:color w:val="000000"/>
              </w:rPr>
            </w:pPr>
            <w:r>
              <w:rPr>
                <w:rStyle w:val="19"/>
                <w:lang w:eastAsia="zh-CN"/>
              </w:rPr>
              <w:t>15 (11–18)</w:t>
            </w:r>
          </w:p>
        </w:tc>
        <w:tc>
          <w:tcPr>
            <w:tcW w:w="547" w:type="pct"/>
            <w:tcBorders>
              <w:top w:val="single" w:color="auto" w:sz="4" w:space="0"/>
            </w:tcBorders>
            <w:noWrap w:val="0"/>
            <w:vAlign w:val="top"/>
          </w:tcPr>
          <w:p>
            <w:pPr>
              <w:spacing w:line="360" w:lineRule="auto"/>
              <w:jc w:val="both"/>
              <w:rPr>
                <w:rFonts w:ascii="Book Antiqua" w:hAnsi="Book Antiqua" w:cs="宋体"/>
                <w:color w:val="000000"/>
              </w:rPr>
            </w:pPr>
            <w:r>
              <w:rPr>
                <w:rStyle w:val="19"/>
                <w:lang w:eastAsia="zh-CN"/>
              </w:rPr>
              <w:t>0.70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426" w:type="pct"/>
            <w:noWrap w:val="0"/>
            <w:vAlign w:val="top"/>
          </w:tcPr>
          <w:p>
            <w:pPr>
              <w:spacing w:line="360" w:lineRule="auto"/>
              <w:jc w:val="both"/>
              <w:rPr>
                <w:rFonts w:ascii="Book Antiqua" w:hAnsi="Book Antiqua" w:cs="宋体"/>
                <w:color w:val="000000"/>
              </w:rPr>
            </w:pPr>
            <w:r>
              <w:rPr>
                <w:rStyle w:val="19"/>
                <w:lang w:eastAsia="zh-CN"/>
              </w:rPr>
              <w:t>Female sex, n (%)</w:t>
            </w:r>
          </w:p>
        </w:tc>
        <w:tc>
          <w:tcPr>
            <w:tcW w:w="611" w:type="pct"/>
            <w:noWrap w:val="0"/>
            <w:vAlign w:val="top"/>
          </w:tcPr>
          <w:p>
            <w:pPr>
              <w:spacing w:line="360" w:lineRule="auto"/>
              <w:jc w:val="both"/>
              <w:rPr>
                <w:rFonts w:ascii="Book Antiqua" w:hAnsi="Book Antiqua" w:cs="宋体"/>
                <w:color w:val="000000"/>
              </w:rPr>
            </w:pPr>
            <w:r>
              <w:rPr>
                <w:rStyle w:val="19"/>
                <w:lang w:eastAsia="zh-CN"/>
              </w:rPr>
              <w:t>41 (45)</w:t>
            </w:r>
          </w:p>
        </w:tc>
        <w:tc>
          <w:tcPr>
            <w:tcW w:w="816" w:type="pct"/>
            <w:noWrap w:val="0"/>
            <w:vAlign w:val="top"/>
          </w:tcPr>
          <w:p>
            <w:pPr>
              <w:spacing w:line="360" w:lineRule="auto"/>
              <w:jc w:val="both"/>
              <w:rPr>
                <w:rFonts w:ascii="Book Antiqua" w:hAnsi="Book Antiqua" w:cs="宋体"/>
                <w:color w:val="000000"/>
              </w:rPr>
            </w:pPr>
            <w:r>
              <w:rPr>
                <w:rStyle w:val="19"/>
                <w:lang w:eastAsia="zh-CN"/>
              </w:rPr>
              <w:t>10 (56)</w:t>
            </w:r>
          </w:p>
        </w:tc>
        <w:tc>
          <w:tcPr>
            <w:tcW w:w="816" w:type="pct"/>
            <w:noWrap w:val="0"/>
            <w:vAlign w:val="top"/>
          </w:tcPr>
          <w:p>
            <w:pPr>
              <w:spacing w:line="360" w:lineRule="auto"/>
              <w:jc w:val="both"/>
              <w:rPr>
                <w:rFonts w:ascii="Book Antiqua" w:hAnsi="Book Antiqua" w:cs="宋体"/>
                <w:color w:val="000000"/>
              </w:rPr>
            </w:pPr>
            <w:r>
              <w:rPr>
                <w:rStyle w:val="19"/>
                <w:lang w:eastAsia="zh-CN"/>
              </w:rPr>
              <w:t>7 (41)</w:t>
            </w:r>
          </w:p>
        </w:tc>
        <w:tc>
          <w:tcPr>
            <w:tcW w:w="782" w:type="pct"/>
            <w:noWrap w:val="0"/>
            <w:vAlign w:val="top"/>
          </w:tcPr>
          <w:p>
            <w:pPr>
              <w:spacing w:line="360" w:lineRule="auto"/>
              <w:jc w:val="both"/>
              <w:rPr>
                <w:rFonts w:ascii="Book Antiqua" w:hAnsi="Book Antiqua" w:cs="宋体"/>
                <w:color w:val="000000"/>
              </w:rPr>
            </w:pPr>
            <w:r>
              <w:rPr>
                <w:rStyle w:val="19"/>
                <w:lang w:eastAsia="zh-CN"/>
              </w:rPr>
              <w:t>24 (42)</w:t>
            </w:r>
          </w:p>
        </w:tc>
        <w:tc>
          <w:tcPr>
            <w:tcW w:w="547" w:type="pct"/>
            <w:noWrap w:val="0"/>
            <w:vAlign w:val="top"/>
          </w:tcPr>
          <w:p>
            <w:pPr>
              <w:spacing w:line="360" w:lineRule="auto"/>
              <w:jc w:val="both"/>
              <w:rPr>
                <w:rFonts w:ascii="Book Antiqua" w:hAnsi="Book Antiqua" w:cs="宋体"/>
                <w:color w:val="000000"/>
              </w:rPr>
            </w:pPr>
            <w:r>
              <w:rPr>
                <w:rStyle w:val="19"/>
                <w:lang w:eastAsia="zh-CN"/>
              </w:rPr>
              <w:t>0.63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426" w:type="pct"/>
            <w:noWrap w:val="0"/>
            <w:vAlign w:val="top"/>
          </w:tcPr>
          <w:p>
            <w:pPr>
              <w:spacing w:line="360" w:lineRule="auto"/>
              <w:jc w:val="both"/>
              <w:rPr>
                <w:rFonts w:ascii="Book Antiqua" w:hAnsi="Book Antiqua" w:cs="宋体"/>
                <w:color w:val="000000"/>
              </w:rPr>
            </w:pPr>
            <w:r>
              <w:rPr>
                <w:rStyle w:val="19"/>
                <w:lang w:eastAsia="zh-CN"/>
              </w:rPr>
              <w:t>IBD diagnosis, n (%)</w:t>
            </w:r>
          </w:p>
        </w:tc>
        <w:tc>
          <w:tcPr>
            <w:tcW w:w="611" w:type="pct"/>
            <w:noWrap w:val="0"/>
            <w:vAlign w:val="top"/>
          </w:tcPr>
          <w:p>
            <w:pPr>
              <w:spacing w:line="360" w:lineRule="auto"/>
              <w:jc w:val="both"/>
              <w:rPr>
                <w:rFonts w:ascii="Book Antiqua" w:hAnsi="Book Antiqua" w:cs="宋体"/>
                <w:color w:val="000000"/>
              </w:rPr>
            </w:pPr>
          </w:p>
        </w:tc>
        <w:tc>
          <w:tcPr>
            <w:tcW w:w="816" w:type="pct"/>
            <w:noWrap w:val="0"/>
            <w:vAlign w:val="top"/>
          </w:tcPr>
          <w:p>
            <w:pPr>
              <w:spacing w:line="360" w:lineRule="auto"/>
              <w:jc w:val="both"/>
              <w:rPr>
                <w:rFonts w:ascii="Book Antiqua" w:hAnsi="Book Antiqua" w:cs="宋体"/>
                <w:color w:val="000000"/>
              </w:rPr>
            </w:pPr>
          </w:p>
        </w:tc>
        <w:tc>
          <w:tcPr>
            <w:tcW w:w="816" w:type="pct"/>
            <w:noWrap w:val="0"/>
            <w:vAlign w:val="top"/>
          </w:tcPr>
          <w:p>
            <w:pPr>
              <w:spacing w:line="360" w:lineRule="auto"/>
              <w:jc w:val="both"/>
              <w:rPr>
                <w:rFonts w:ascii="Book Antiqua" w:hAnsi="Book Antiqua" w:cs="宋体"/>
                <w:color w:val="000000"/>
              </w:rPr>
            </w:pPr>
          </w:p>
        </w:tc>
        <w:tc>
          <w:tcPr>
            <w:tcW w:w="782" w:type="pct"/>
            <w:noWrap w:val="0"/>
            <w:vAlign w:val="top"/>
          </w:tcPr>
          <w:p>
            <w:pPr>
              <w:spacing w:line="360" w:lineRule="auto"/>
              <w:jc w:val="both"/>
              <w:rPr>
                <w:rFonts w:ascii="Book Antiqua" w:hAnsi="Book Antiqua" w:cs="宋体"/>
                <w:color w:val="000000"/>
              </w:rPr>
            </w:pPr>
          </w:p>
        </w:tc>
        <w:tc>
          <w:tcPr>
            <w:tcW w:w="547" w:type="pct"/>
            <w:noWrap w:val="0"/>
            <w:vAlign w:val="top"/>
          </w:tcPr>
          <w:p>
            <w:pPr>
              <w:spacing w:line="360" w:lineRule="auto"/>
              <w:jc w:val="both"/>
              <w:rPr>
                <w:rFonts w:ascii="Book Antiqua" w:hAnsi="Book Antiqua" w:cs="宋体"/>
                <w:color w:val="000000"/>
              </w:rPr>
            </w:pPr>
            <w:r>
              <w:rPr>
                <w:rStyle w:val="19"/>
                <w:lang w:eastAsia="zh-CN"/>
              </w:rPr>
              <w:t>0.008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26" w:type="pct"/>
            <w:noWrap w:val="0"/>
            <w:vAlign w:val="top"/>
          </w:tcPr>
          <w:p>
            <w:pPr>
              <w:spacing w:line="360" w:lineRule="auto"/>
              <w:jc w:val="both"/>
              <w:rPr>
                <w:rFonts w:ascii="Book Antiqua" w:hAnsi="Book Antiqua" w:cs="宋体"/>
                <w:color w:val="000000"/>
              </w:rPr>
            </w:pPr>
            <w:r>
              <w:rPr>
                <w:rStyle w:val="19"/>
                <w:lang w:eastAsia="zh-CN"/>
              </w:rPr>
              <w:t>CD</w:t>
            </w:r>
          </w:p>
        </w:tc>
        <w:tc>
          <w:tcPr>
            <w:tcW w:w="611" w:type="pct"/>
            <w:noWrap w:val="0"/>
            <w:vAlign w:val="top"/>
          </w:tcPr>
          <w:p>
            <w:pPr>
              <w:spacing w:line="360" w:lineRule="auto"/>
              <w:jc w:val="both"/>
              <w:rPr>
                <w:rFonts w:ascii="Book Antiqua" w:hAnsi="Book Antiqua" w:cs="宋体"/>
                <w:color w:val="000000"/>
              </w:rPr>
            </w:pPr>
            <w:r>
              <w:rPr>
                <w:rStyle w:val="19"/>
                <w:lang w:eastAsia="zh-CN"/>
              </w:rPr>
              <w:t>47 (51)</w:t>
            </w:r>
          </w:p>
        </w:tc>
        <w:tc>
          <w:tcPr>
            <w:tcW w:w="816" w:type="pct"/>
            <w:noWrap w:val="0"/>
            <w:vAlign w:val="top"/>
          </w:tcPr>
          <w:p>
            <w:pPr>
              <w:spacing w:line="360" w:lineRule="auto"/>
              <w:jc w:val="both"/>
              <w:rPr>
                <w:rFonts w:ascii="Book Antiqua" w:hAnsi="Book Antiqua" w:cs="宋体"/>
                <w:color w:val="000000"/>
              </w:rPr>
            </w:pPr>
            <w:r>
              <w:rPr>
                <w:rStyle w:val="19"/>
                <w:lang w:eastAsia="zh-CN"/>
              </w:rPr>
              <w:t>16 (89)</w:t>
            </w:r>
          </w:p>
        </w:tc>
        <w:tc>
          <w:tcPr>
            <w:tcW w:w="816" w:type="pct"/>
            <w:noWrap w:val="0"/>
            <w:vAlign w:val="top"/>
          </w:tcPr>
          <w:p>
            <w:pPr>
              <w:spacing w:line="360" w:lineRule="auto"/>
              <w:jc w:val="both"/>
              <w:rPr>
                <w:rFonts w:ascii="Book Antiqua" w:hAnsi="Book Antiqua" w:cs="宋体"/>
                <w:color w:val="000000"/>
              </w:rPr>
            </w:pPr>
            <w:r>
              <w:rPr>
                <w:rStyle w:val="19"/>
                <w:lang w:eastAsia="zh-CN"/>
              </w:rPr>
              <w:t>4 (24)</w:t>
            </w:r>
          </w:p>
        </w:tc>
        <w:tc>
          <w:tcPr>
            <w:tcW w:w="782" w:type="pct"/>
            <w:noWrap w:val="0"/>
            <w:vAlign w:val="top"/>
          </w:tcPr>
          <w:p>
            <w:pPr>
              <w:spacing w:line="360" w:lineRule="auto"/>
              <w:jc w:val="both"/>
              <w:rPr>
                <w:rFonts w:ascii="Book Antiqua" w:hAnsi="Book Antiqua" w:cs="宋体"/>
                <w:color w:val="000000"/>
              </w:rPr>
            </w:pPr>
            <w:r>
              <w:rPr>
                <w:rStyle w:val="19"/>
                <w:lang w:eastAsia="zh-CN"/>
              </w:rPr>
              <w:t>27 (47)</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426" w:type="pct"/>
            <w:noWrap w:val="0"/>
            <w:vAlign w:val="top"/>
          </w:tcPr>
          <w:p>
            <w:pPr>
              <w:spacing w:line="360" w:lineRule="auto"/>
              <w:jc w:val="both"/>
              <w:rPr>
                <w:rFonts w:ascii="Book Antiqua" w:hAnsi="Book Antiqua" w:cs="宋体"/>
                <w:color w:val="000000"/>
              </w:rPr>
            </w:pPr>
            <w:r>
              <w:rPr>
                <w:rStyle w:val="19"/>
                <w:lang w:eastAsia="zh-CN"/>
              </w:rPr>
              <w:t>UC</w:t>
            </w:r>
          </w:p>
        </w:tc>
        <w:tc>
          <w:tcPr>
            <w:tcW w:w="611" w:type="pct"/>
            <w:noWrap w:val="0"/>
            <w:vAlign w:val="top"/>
          </w:tcPr>
          <w:p>
            <w:pPr>
              <w:spacing w:line="360" w:lineRule="auto"/>
              <w:jc w:val="both"/>
              <w:rPr>
                <w:rFonts w:ascii="Book Antiqua" w:hAnsi="Book Antiqua" w:cs="宋体"/>
                <w:color w:val="000000"/>
              </w:rPr>
            </w:pPr>
            <w:r>
              <w:rPr>
                <w:rStyle w:val="19"/>
                <w:lang w:eastAsia="zh-CN"/>
              </w:rPr>
              <w:t>41 (45)</w:t>
            </w:r>
          </w:p>
        </w:tc>
        <w:tc>
          <w:tcPr>
            <w:tcW w:w="816" w:type="pct"/>
            <w:noWrap w:val="0"/>
            <w:vAlign w:val="top"/>
          </w:tcPr>
          <w:p>
            <w:pPr>
              <w:spacing w:line="360" w:lineRule="auto"/>
              <w:jc w:val="both"/>
              <w:rPr>
                <w:rFonts w:ascii="Book Antiqua" w:hAnsi="Book Antiqua" w:cs="宋体"/>
                <w:color w:val="000000"/>
              </w:rPr>
            </w:pPr>
            <w:r>
              <w:rPr>
                <w:rStyle w:val="19"/>
                <w:lang w:eastAsia="zh-CN"/>
              </w:rPr>
              <w:t>2 (11)</w:t>
            </w:r>
          </w:p>
        </w:tc>
        <w:tc>
          <w:tcPr>
            <w:tcW w:w="816" w:type="pct"/>
            <w:noWrap w:val="0"/>
            <w:vAlign w:val="top"/>
          </w:tcPr>
          <w:p>
            <w:pPr>
              <w:spacing w:line="360" w:lineRule="auto"/>
              <w:jc w:val="both"/>
              <w:rPr>
                <w:rFonts w:ascii="Book Antiqua" w:hAnsi="Book Antiqua" w:cs="宋体"/>
                <w:color w:val="000000"/>
              </w:rPr>
            </w:pPr>
            <w:r>
              <w:rPr>
                <w:rStyle w:val="19"/>
                <w:lang w:eastAsia="zh-CN"/>
              </w:rPr>
              <w:t>11 (65)</w:t>
            </w:r>
          </w:p>
        </w:tc>
        <w:tc>
          <w:tcPr>
            <w:tcW w:w="782" w:type="pct"/>
            <w:noWrap w:val="0"/>
            <w:vAlign w:val="top"/>
          </w:tcPr>
          <w:p>
            <w:pPr>
              <w:spacing w:line="360" w:lineRule="auto"/>
              <w:jc w:val="both"/>
              <w:rPr>
                <w:rFonts w:ascii="Book Antiqua" w:hAnsi="Book Antiqua" w:cs="宋体"/>
                <w:color w:val="000000"/>
              </w:rPr>
            </w:pPr>
            <w:r>
              <w:rPr>
                <w:rStyle w:val="19"/>
                <w:lang w:eastAsia="zh-CN"/>
              </w:rPr>
              <w:t>28 (49)</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426" w:type="pct"/>
            <w:noWrap w:val="0"/>
            <w:vAlign w:val="top"/>
          </w:tcPr>
          <w:p>
            <w:pPr>
              <w:spacing w:line="360" w:lineRule="auto"/>
              <w:jc w:val="both"/>
              <w:rPr>
                <w:rFonts w:ascii="Book Antiqua" w:hAnsi="Book Antiqua" w:cs="宋体"/>
                <w:color w:val="000000"/>
              </w:rPr>
            </w:pPr>
            <w:r>
              <w:rPr>
                <w:rStyle w:val="19"/>
                <w:lang w:eastAsia="zh-CN"/>
              </w:rPr>
              <w:t>IC</w:t>
            </w:r>
          </w:p>
        </w:tc>
        <w:tc>
          <w:tcPr>
            <w:tcW w:w="611" w:type="pct"/>
            <w:noWrap w:val="0"/>
            <w:vAlign w:val="top"/>
          </w:tcPr>
          <w:p>
            <w:pPr>
              <w:spacing w:line="360" w:lineRule="auto"/>
              <w:jc w:val="both"/>
              <w:rPr>
                <w:rFonts w:ascii="Book Antiqua" w:hAnsi="Book Antiqua" w:cs="宋体"/>
                <w:color w:val="000000"/>
              </w:rPr>
            </w:pPr>
            <w:r>
              <w:rPr>
                <w:rStyle w:val="19"/>
                <w:lang w:eastAsia="zh-CN"/>
              </w:rPr>
              <w:t>4 (4)</w:t>
            </w:r>
          </w:p>
        </w:tc>
        <w:tc>
          <w:tcPr>
            <w:tcW w:w="816" w:type="pct"/>
            <w:noWrap w:val="0"/>
            <w:vAlign w:val="top"/>
          </w:tcPr>
          <w:p>
            <w:pPr>
              <w:spacing w:line="360" w:lineRule="auto"/>
              <w:jc w:val="both"/>
              <w:rPr>
                <w:rFonts w:ascii="Book Antiqua" w:hAnsi="Book Antiqua" w:cs="宋体"/>
                <w:color w:val="000000"/>
              </w:rPr>
            </w:pPr>
            <w:r>
              <w:rPr>
                <w:rStyle w:val="19"/>
                <w:lang w:eastAsia="zh-CN"/>
              </w:rPr>
              <w:t>0 (0)</w:t>
            </w:r>
          </w:p>
        </w:tc>
        <w:tc>
          <w:tcPr>
            <w:tcW w:w="816" w:type="pct"/>
            <w:noWrap w:val="0"/>
            <w:vAlign w:val="top"/>
          </w:tcPr>
          <w:p>
            <w:pPr>
              <w:spacing w:line="360" w:lineRule="auto"/>
              <w:jc w:val="both"/>
              <w:rPr>
                <w:rFonts w:ascii="Book Antiqua" w:hAnsi="Book Antiqua" w:cs="宋体"/>
                <w:color w:val="000000"/>
              </w:rPr>
            </w:pPr>
            <w:r>
              <w:rPr>
                <w:rStyle w:val="19"/>
                <w:lang w:eastAsia="zh-CN"/>
              </w:rPr>
              <w:t>2 (12)</w:t>
            </w:r>
          </w:p>
        </w:tc>
        <w:tc>
          <w:tcPr>
            <w:tcW w:w="782" w:type="pct"/>
            <w:noWrap w:val="0"/>
            <w:vAlign w:val="top"/>
          </w:tcPr>
          <w:p>
            <w:pPr>
              <w:spacing w:line="360" w:lineRule="auto"/>
              <w:jc w:val="both"/>
              <w:rPr>
                <w:rFonts w:ascii="Book Antiqua" w:hAnsi="Book Antiqua" w:cs="宋体"/>
                <w:color w:val="000000"/>
              </w:rPr>
            </w:pPr>
            <w:r>
              <w:rPr>
                <w:rStyle w:val="19"/>
                <w:lang w:eastAsia="zh-CN"/>
              </w:rPr>
              <w:t>2 (4)</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26" w:type="pct"/>
            <w:noWrap w:val="0"/>
            <w:vAlign w:val="top"/>
          </w:tcPr>
          <w:p>
            <w:pPr>
              <w:spacing w:line="360" w:lineRule="auto"/>
              <w:jc w:val="both"/>
              <w:rPr>
                <w:rFonts w:ascii="Book Antiqua" w:hAnsi="Book Antiqua" w:cs="宋体"/>
                <w:color w:val="000000"/>
              </w:rPr>
            </w:pPr>
            <w:r>
              <w:rPr>
                <w:rStyle w:val="19"/>
                <w:lang w:eastAsia="zh-CN"/>
              </w:rPr>
              <w:t>Disease duration (mo</w:t>
            </w:r>
            <w:r>
              <w:rPr>
                <w:rStyle w:val="19"/>
                <w:rFonts w:hint="eastAsia"/>
                <w:lang w:eastAsia="zh-CN"/>
              </w:rPr>
              <w:t>nths</w:t>
            </w:r>
            <w:r>
              <w:rPr>
                <w:rStyle w:val="19"/>
                <w:lang w:eastAsia="zh-CN"/>
              </w:rPr>
              <w:t>), median (IQR)</w:t>
            </w:r>
          </w:p>
        </w:tc>
        <w:tc>
          <w:tcPr>
            <w:tcW w:w="611" w:type="pct"/>
            <w:noWrap w:val="0"/>
            <w:vAlign w:val="top"/>
          </w:tcPr>
          <w:p>
            <w:pPr>
              <w:spacing w:line="360" w:lineRule="auto"/>
              <w:jc w:val="both"/>
              <w:rPr>
                <w:rFonts w:ascii="Book Antiqua" w:hAnsi="Book Antiqua" w:cs="宋体"/>
                <w:color w:val="000000"/>
              </w:rPr>
            </w:pPr>
            <w:r>
              <w:rPr>
                <w:rStyle w:val="19"/>
                <w:lang w:eastAsia="zh-CN"/>
              </w:rPr>
              <w:t>1.4 (0.1–31.2)</w:t>
            </w:r>
          </w:p>
        </w:tc>
        <w:tc>
          <w:tcPr>
            <w:tcW w:w="816" w:type="pct"/>
            <w:noWrap w:val="0"/>
            <w:vAlign w:val="top"/>
          </w:tcPr>
          <w:p>
            <w:pPr>
              <w:spacing w:line="360" w:lineRule="auto"/>
              <w:jc w:val="both"/>
              <w:rPr>
                <w:rFonts w:ascii="Book Antiqua" w:hAnsi="Book Antiqua" w:cs="宋体"/>
                <w:color w:val="000000"/>
              </w:rPr>
            </w:pPr>
            <w:r>
              <w:rPr>
                <w:rStyle w:val="19"/>
                <w:lang w:eastAsia="zh-CN"/>
              </w:rPr>
              <w:t>19.6 (0.1–82.3)</w:t>
            </w:r>
          </w:p>
        </w:tc>
        <w:tc>
          <w:tcPr>
            <w:tcW w:w="816" w:type="pct"/>
            <w:noWrap w:val="0"/>
            <w:vAlign w:val="top"/>
          </w:tcPr>
          <w:p>
            <w:pPr>
              <w:spacing w:line="360" w:lineRule="auto"/>
              <w:jc w:val="both"/>
              <w:rPr>
                <w:rFonts w:ascii="Book Antiqua" w:hAnsi="Book Antiqua" w:cs="宋体"/>
                <w:color w:val="000000"/>
              </w:rPr>
            </w:pPr>
            <w:r>
              <w:rPr>
                <w:rStyle w:val="19"/>
                <w:lang w:eastAsia="zh-CN"/>
              </w:rPr>
              <w:t>1.0 (0.2–16.6)</w:t>
            </w:r>
          </w:p>
        </w:tc>
        <w:tc>
          <w:tcPr>
            <w:tcW w:w="782" w:type="pct"/>
            <w:noWrap w:val="0"/>
            <w:vAlign w:val="top"/>
          </w:tcPr>
          <w:p>
            <w:pPr>
              <w:spacing w:line="360" w:lineRule="auto"/>
              <w:jc w:val="both"/>
              <w:rPr>
                <w:rFonts w:ascii="Book Antiqua" w:hAnsi="Book Antiqua" w:cs="宋体"/>
                <w:color w:val="000000"/>
              </w:rPr>
            </w:pPr>
            <w:r>
              <w:rPr>
                <w:rStyle w:val="19"/>
                <w:lang w:eastAsia="zh-CN"/>
              </w:rPr>
              <w:t>1.5 (0.1-24.6)</w:t>
            </w:r>
          </w:p>
        </w:tc>
        <w:tc>
          <w:tcPr>
            <w:tcW w:w="547" w:type="pct"/>
            <w:noWrap w:val="0"/>
            <w:vAlign w:val="top"/>
          </w:tcPr>
          <w:p>
            <w:pPr>
              <w:spacing w:line="360" w:lineRule="auto"/>
              <w:jc w:val="both"/>
              <w:rPr>
                <w:rFonts w:ascii="Book Antiqua" w:hAnsi="Book Antiqua" w:cs="宋体"/>
                <w:color w:val="000000"/>
              </w:rPr>
            </w:pPr>
            <w:r>
              <w:rPr>
                <w:rStyle w:val="19"/>
                <w:lang w:eastAsia="zh-CN"/>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426" w:type="pct"/>
            <w:noWrap w:val="0"/>
            <w:vAlign w:val="top"/>
          </w:tcPr>
          <w:p>
            <w:pPr>
              <w:spacing w:line="360" w:lineRule="auto"/>
              <w:jc w:val="both"/>
              <w:rPr>
                <w:rFonts w:ascii="Book Antiqua" w:hAnsi="Book Antiqua" w:cs="宋体"/>
                <w:color w:val="000000"/>
              </w:rPr>
            </w:pPr>
            <w:r>
              <w:rPr>
                <w:rStyle w:val="19"/>
                <w:lang w:eastAsia="zh-CN"/>
              </w:rPr>
              <w:t>CD phenotype, n (%)</w:t>
            </w:r>
          </w:p>
        </w:tc>
        <w:tc>
          <w:tcPr>
            <w:tcW w:w="611" w:type="pct"/>
            <w:noWrap w:val="0"/>
            <w:vAlign w:val="top"/>
          </w:tcPr>
          <w:p>
            <w:pPr>
              <w:spacing w:line="360" w:lineRule="auto"/>
              <w:jc w:val="both"/>
              <w:rPr>
                <w:rFonts w:ascii="Book Antiqua" w:hAnsi="Book Antiqua" w:cs="宋体"/>
                <w:color w:val="000000"/>
              </w:rPr>
            </w:pPr>
          </w:p>
        </w:tc>
        <w:tc>
          <w:tcPr>
            <w:tcW w:w="816" w:type="pct"/>
            <w:noWrap w:val="0"/>
            <w:vAlign w:val="top"/>
          </w:tcPr>
          <w:p>
            <w:pPr>
              <w:spacing w:line="360" w:lineRule="auto"/>
              <w:jc w:val="both"/>
              <w:rPr>
                <w:rFonts w:ascii="Book Antiqua" w:hAnsi="Book Antiqua" w:cs="宋体"/>
                <w:color w:val="000000"/>
              </w:rPr>
            </w:pPr>
          </w:p>
        </w:tc>
        <w:tc>
          <w:tcPr>
            <w:tcW w:w="816" w:type="pct"/>
            <w:noWrap w:val="0"/>
            <w:vAlign w:val="top"/>
          </w:tcPr>
          <w:p>
            <w:pPr>
              <w:spacing w:line="360" w:lineRule="auto"/>
              <w:jc w:val="both"/>
              <w:rPr>
                <w:rFonts w:ascii="Book Antiqua" w:hAnsi="Book Antiqua" w:cs="宋体"/>
                <w:color w:val="000000"/>
              </w:rPr>
            </w:pPr>
          </w:p>
        </w:tc>
        <w:tc>
          <w:tcPr>
            <w:tcW w:w="782" w:type="pct"/>
            <w:noWrap w:val="0"/>
            <w:vAlign w:val="top"/>
          </w:tcPr>
          <w:p>
            <w:pPr>
              <w:spacing w:line="360" w:lineRule="auto"/>
              <w:jc w:val="both"/>
              <w:rPr>
                <w:rFonts w:ascii="Book Antiqua" w:hAnsi="Book Antiqua" w:cs="宋体"/>
                <w:color w:val="000000"/>
              </w:rPr>
            </w:pPr>
          </w:p>
        </w:tc>
        <w:tc>
          <w:tcPr>
            <w:tcW w:w="547" w:type="pct"/>
            <w:noWrap w:val="0"/>
            <w:vAlign w:val="top"/>
          </w:tcPr>
          <w:p>
            <w:pPr>
              <w:spacing w:line="360" w:lineRule="auto"/>
              <w:jc w:val="both"/>
              <w:rPr>
                <w:rFonts w:ascii="Book Antiqua" w:hAnsi="Book Antiqua" w:cs="宋体"/>
                <w:color w:val="000000"/>
              </w:rPr>
            </w:pPr>
            <w:r>
              <w:rPr>
                <w:rStyle w:val="19"/>
                <w:lang w:eastAsia="zh-CN"/>
              </w:rPr>
              <w:t>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426" w:type="pct"/>
            <w:noWrap w:val="0"/>
            <w:vAlign w:val="top"/>
          </w:tcPr>
          <w:p>
            <w:pPr>
              <w:spacing w:line="360" w:lineRule="auto"/>
              <w:jc w:val="both"/>
              <w:rPr>
                <w:rFonts w:ascii="Book Antiqua" w:hAnsi="Book Antiqua" w:cs="宋体"/>
                <w:color w:val="000000"/>
              </w:rPr>
            </w:pPr>
            <w:r>
              <w:rPr>
                <w:rStyle w:val="19"/>
                <w:lang w:eastAsia="zh-CN"/>
              </w:rPr>
              <w:t>Inflammatory</w:t>
            </w:r>
          </w:p>
        </w:tc>
        <w:tc>
          <w:tcPr>
            <w:tcW w:w="611" w:type="pct"/>
            <w:noWrap w:val="0"/>
            <w:vAlign w:val="top"/>
          </w:tcPr>
          <w:p>
            <w:pPr>
              <w:spacing w:line="360" w:lineRule="auto"/>
              <w:jc w:val="both"/>
              <w:rPr>
                <w:rFonts w:ascii="Book Antiqua" w:hAnsi="Book Antiqua" w:cs="宋体"/>
                <w:color w:val="000000"/>
              </w:rPr>
            </w:pPr>
            <w:r>
              <w:rPr>
                <w:rStyle w:val="19"/>
                <w:lang w:eastAsia="zh-CN"/>
              </w:rPr>
              <w:t>28 (60)</w:t>
            </w:r>
          </w:p>
        </w:tc>
        <w:tc>
          <w:tcPr>
            <w:tcW w:w="816" w:type="pct"/>
            <w:noWrap w:val="0"/>
            <w:vAlign w:val="top"/>
          </w:tcPr>
          <w:p>
            <w:pPr>
              <w:spacing w:line="360" w:lineRule="auto"/>
              <w:jc w:val="both"/>
              <w:rPr>
                <w:rFonts w:ascii="Book Antiqua" w:hAnsi="Book Antiqua" w:cs="宋体"/>
                <w:color w:val="000000"/>
              </w:rPr>
            </w:pPr>
            <w:r>
              <w:rPr>
                <w:rStyle w:val="19"/>
                <w:lang w:eastAsia="zh-CN"/>
              </w:rPr>
              <w:t>9 (56)</w:t>
            </w:r>
          </w:p>
        </w:tc>
        <w:tc>
          <w:tcPr>
            <w:tcW w:w="816" w:type="pct"/>
            <w:noWrap w:val="0"/>
            <w:vAlign w:val="top"/>
          </w:tcPr>
          <w:p>
            <w:pPr>
              <w:spacing w:line="360" w:lineRule="auto"/>
              <w:jc w:val="both"/>
              <w:rPr>
                <w:rFonts w:ascii="Book Antiqua" w:hAnsi="Book Antiqua" w:cs="宋体"/>
                <w:color w:val="000000"/>
              </w:rPr>
            </w:pPr>
            <w:r>
              <w:rPr>
                <w:rStyle w:val="19"/>
                <w:lang w:eastAsia="zh-CN"/>
              </w:rPr>
              <w:t>1 (25)</w:t>
            </w:r>
          </w:p>
        </w:tc>
        <w:tc>
          <w:tcPr>
            <w:tcW w:w="782" w:type="pct"/>
            <w:noWrap w:val="0"/>
            <w:vAlign w:val="top"/>
          </w:tcPr>
          <w:p>
            <w:pPr>
              <w:spacing w:line="360" w:lineRule="auto"/>
              <w:jc w:val="both"/>
              <w:rPr>
                <w:rFonts w:ascii="Book Antiqua" w:hAnsi="Book Antiqua" w:cs="宋体"/>
                <w:color w:val="000000"/>
              </w:rPr>
            </w:pPr>
            <w:r>
              <w:rPr>
                <w:rStyle w:val="19"/>
                <w:lang w:eastAsia="zh-CN"/>
              </w:rPr>
              <w:t>18 (67)</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26" w:type="pct"/>
            <w:noWrap w:val="0"/>
            <w:vAlign w:val="top"/>
          </w:tcPr>
          <w:p>
            <w:pPr>
              <w:spacing w:line="360" w:lineRule="auto"/>
              <w:jc w:val="both"/>
              <w:rPr>
                <w:rFonts w:ascii="Book Antiqua" w:hAnsi="Book Antiqua" w:cs="宋体"/>
                <w:color w:val="000000"/>
              </w:rPr>
            </w:pPr>
            <w:r>
              <w:rPr>
                <w:rStyle w:val="19"/>
                <w:lang w:eastAsia="zh-CN"/>
              </w:rPr>
              <w:t>Fistula</w:t>
            </w:r>
          </w:p>
        </w:tc>
        <w:tc>
          <w:tcPr>
            <w:tcW w:w="611" w:type="pct"/>
            <w:noWrap w:val="0"/>
            <w:vAlign w:val="top"/>
          </w:tcPr>
          <w:p>
            <w:pPr>
              <w:spacing w:line="360" w:lineRule="auto"/>
              <w:jc w:val="both"/>
              <w:rPr>
                <w:rFonts w:ascii="Book Antiqua" w:hAnsi="Book Antiqua" w:cs="宋体"/>
                <w:color w:val="000000"/>
              </w:rPr>
            </w:pPr>
            <w:r>
              <w:rPr>
                <w:rStyle w:val="19"/>
                <w:lang w:eastAsia="zh-CN"/>
              </w:rPr>
              <w:t>10 (21)</w:t>
            </w:r>
          </w:p>
        </w:tc>
        <w:tc>
          <w:tcPr>
            <w:tcW w:w="816" w:type="pct"/>
            <w:noWrap w:val="0"/>
            <w:vAlign w:val="top"/>
          </w:tcPr>
          <w:p>
            <w:pPr>
              <w:spacing w:line="360" w:lineRule="auto"/>
              <w:jc w:val="both"/>
              <w:rPr>
                <w:rFonts w:ascii="Book Antiqua" w:hAnsi="Book Antiqua" w:cs="宋体"/>
                <w:color w:val="000000"/>
              </w:rPr>
            </w:pPr>
            <w:r>
              <w:rPr>
                <w:rStyle w:val="19"/>
                <w:lang w:eastAsia="zh-CN"/>
              </w:rPr>
              <w:t>4 (25)</w:t>
            </w:r>
          </w:p>
        </w:tc>
        <w:tc>
          <w:tcPr>
            <w:tcW w:w="816" w:type="pct"/>
            <w:noWrap w:val="0"/>
            <w:vAlign w:val="top"/>
          </w:tcPr>
          <w:p>
            <w:pPr>
              <w:spacing w:line="360" w:lineRule="auto"/>
              <w:jc w:val="both"/>
              <w:rPr>
                <w:rFonts w:ascii="Book Antiqua" w:hAnsi="Book Antiqua" w:cs="宋体"/>
                <w:color w:val="000000"/>
              </w:rPr>
            </w:pPr>
            <w:r>
              <w:rPr>
                <w:rStyle w:val="19"/>
                <w:lang w:eastAsia="zh-CN"/>
              </w:rPr>
              <w:t>2 (50)</w:t>
            </w:r>
          </w:p>
        </w:tc>
        <w:tc>
          <w:tcPr>
            <w:tcW w:w="782" w:type="pct"/>
            <w:noWrap w:val="0"/>
            <w:vAlign w:val="top"/>
          </w:tcPr>
          <w:p>
            <w:pPr>
              <w:spacing w:line="360" w:lineRule="auto"/>
              <w:jc w:val="both"/>
              <w:rPr>
                <w:rFonts w:ascii="Book Antiqua" w:hAnsi="Book Antiqua" w:cs="宋体"/>
                <w:color w:val="000000"/>
              </w:rPr>
            </w:pPr>
            <w:r>
              <w:rPr>
                <w:rStyle w:val="19"/>
                <w:lang w:eastAsia="zh-CN"/>
              </w:rPr>
              <w:t>4 (15)</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426" w:type="pct"/>
            <w:noWrap w:val="0"/>
            <w:vAlign w:val="top"/>
          </w:tcPr>
          <w:p>
            <w:pPr>
              <w:spacing w:line="360" w:lineRule="auto"/>
              <w:jc w:val="both"/>
              <w:rPr>
                <w:rFonts w:ascii="Book Antiqua" w:hAnsi="Book Antiqua" w:cs="宋体"/>
                <w:color w:val="000000"/>
              </w:rPr>
            </w:pPr>
            <w:r>
              <w:rPr>
                <w:rStyle w:val="19"/>
                <w:lang w:eastAsia="zh-CN"/>
              </w:rPr>
              <w:t>Stricture</w:t>
            </w:r>
          </w:p>
        </w:tc>
        <w:tc>
          <w:tcPr>
            <w:tcW w:w="611" w:type="pct"/>
            <w:noWrap w:val="0"/>
            <w:vAlign w:val="top"/>
          </w:tcPr>
          <w:p>
            <w:pPr>
              <w:spacing w:line="360" w:lineRule="auto"/>
              <w:jc w:val="both"/>
              <w:rPr>
                <w:rFonts w:ascii="Book Antiqua" w:hAnsi="Book Antiqua" w:cs="宋体"/>
                <w:color w:val="000000"/>
              </w:rPr>
            </w:pPr>
            <w:r>
              <w:rPr>
                <w:rStyle w:val="19"/>
                <w:lang w:eastAsia="zh-CN"/>
              </w:rPr>
              <w:t>9 (19)</w:t>
            </w:r>
          </w:p>
        </w:tc>
        <w:tc>
          <w:tcPr>
            <w:tcW w:w="816" w:type="pct"/>
            <w:noWrap w:val="0"/>
            <w:vAlign w:val="top"/>
          </w:tcPr>
          <w:p>
            <w:pPr>
              <w:spacing w:line="360" w:lineRule="auto"/>
              <w:jc w:val="both"/>
              <w:rPr>
                <w:rFonts w:ascii="Book Antiqua" w:hAnsi="Book Antiqua" w:cs="宋体"/>
                <w:color w:val="000000"/>
              </w:rPr>
            </w:pPr>
            <w:r>
              <w:rPr>
                <w:rStyle w:val="19"/>
                <w:lang w:eastAsia="zh-CN"/>
              </w:rPr>
              <w:t>3 (19)</w:t>
            </w:r>
          </w:p>
        </w:tc>
        <w:tc>
          <w:tcPr>
            <w:tcW w:w="816" w:type="pct"/>
            <w:noWrap w:val="0"/>
            <w:vAlign w:val="top"/>
          </w:tcPr>
          <w:p>
            <w:pPr>
              <w:spacing w:line="360" w:lineRule="auto"/>
              <w:jc w:val="both"/>
              <w:rPr>
                <w:rFonts w:ascii="Book Antiqua" w:hAnsi="Book Antiqua" w:cs="宋体"/>
                <w:color w:val="000000"/>
              </w:rPr>
            </w:pPr>
            <w:r>
              <w:rPr>
                <w:rStyle w:val="19"/>
                <w:lang w:eastAsia="zh-CN"/>
              </w:rPr>
              <w:t>1 (25)</w:t>
            </w:r>
          </w:p>
        </w:tc>
        <w:tc>
          <w:tcPr>
            <w:tcW w:w="782" w:type="pct"/>
            <w:noWrap w:val="0"/>
            <w:vAlign w:val="top"/>
          </w:tcPr>
          <w:p>
            <w:pPr>
              <w:spacing w:line="360" w:lineRule="auto"/>
              <w:jc w:val="both"/>
              <w:rPr>
                <w:rFonts w:ascii="Book Antiqua" w:hAnsi="Book Antiqua" w:cs="宋体"/>
                <w:color w:val="000000"/>
              </w:rPr>
            </w:pPr>
            <w:r>
              <w:rPr>
                <w:rStyle w:val="19"/>
                <w:lang w:eastAsia="zh-CN"/>
              </w:rPr>
              <w:t>5 (19)</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426" w:type="pct"/>
            <w:noWrap w:val="0"/>
            <w:vAlign w:val="top"/>
          </w:tcPr>
          <w:p>
            <w:pPr>
              <w:spacing w:line="360" w:lineRule="auto"/>
              <w:jc w:val="both"/>
              <w:rPr>
                <w:rFonts w:ascii="Book Antiqua" w:hAnsi="Book Antiqua" w:cs="宋体"/>
                <w:color w:val="000000"/>
              </w:rPr>
            </w:pPr>
            <w:r>
              <w:rPr>
                <w:rStyle w:val="19"/>
                <w:lang w:eastAsia="zh-CN"/>
              </w:rPr>
              <w:t>UC phenotype, n (%)</w:t>
            </w:r>
          </w:p>
        </w:tc>
        <w:tc>
          <w:tcPr>
            <w:tcW w:w="611" w:type="pct"/>
            <w:noWrap w:val="0"/>
            <w:vAlign w:val="top"/>
          </w:tcPr>
          <w:p>
            <w:pPr>
              <w:spacing w:line="360" w:lineRule="auto"/>
              <w:jc w:val="both"/>
              <w:rPr>
                <w:rFonts w:ascii="Book Antiqua" w:hAnsi="Book Antiqua" w:cs="宋体"/>
                <w:color w:val="000000"/>
              </w:rPr>
            </w:pPr>
          </w:p>
        </w:tc>
        <w:tc>
          <w:tcPr>
            <w:tcW w:w="816" w:type="pct"/>
            <w:noWrap w:val="0"/>
            <w:vAlign w:val="top"/>
          </w:tcPr>
          <w:p>
            <w:pPr>
              <w:spacing w:line="360" w:lineRule="auto"/>
              <w:jc w:val="both"/>
              <w:rPr>
                <w:rFonts w:ascii="Book Antiqua" w:hAnsi="Book Antiqua" w:cs="宋体"/>
                <w:color w:val="000000"/>
              </w:rPr>
            </w:pPr>
          </w:p>
        </w:tc>
        <w:tc>
          <w:tcPr>
            <w:tcW w:w="816" w:type="pct"/>
            <w:noWrap w:val="0"/>
            <w:vAlign w:val="top"/>
          </w:tcPr>
          <w:p>
            <w:pPr>
              <w:spacing w:line="360" w:lineRule="auto"/>
              <w:jc w:val="both"/>
              <w:rPr>
                <w:rFonts w:ascii="Book Antiqua" w:hAnsi="Book Antiqua" w:cs="宋体"/>
                <w:color w:val="000000"/>
              </w:rPr>
            </w:pPr>
          </w:p>
        </w:tc>
        <w:tc>
          <w:tcPr>
            <w:tcW w:w="782" w:type="pct"/>
            <w:noWrap w:val="0"/>
            <w:vAlign w:val="top"/>
          </w:tcPr>
          <w:p>
            <w:pPr>
              <w:spacing w:line="360" w:lineRule="auto"/>
              <w:jc w:val="both"/>
              <w:rPr>
                <w:rFonts w:ascii="Book Antiqua" w:hAnsi="Book Antiqua" w:cs="宋体"/>
                <w:color w:val="000000"/>
              </w:rPr>
            </w:pPr>
          </w:p>
        </w:tc>
        <w:tc>
          <w:tcPr>
            <w:tcW w:w="547" w:type="pct"/>
            <w:noWrap w:val="0"/>
            <w:vAlign w:val="top"/>
          </w:tcPr>
          <w:p>
            <w:pPr>
              <w:spacing w:line="360" w:lineRule="auto"/>
              <w:jc w:val="both"/>
              <w:rPr>
                <w:rFonts w:ascii="Book Antiqua" w:hAnsi="Book Antiqua" w:cs="宋体"/>
                <w:color w:val="000000"/>
              </w:rPr>
            </w:pPr>
            <w:r>
              <w:rPr>
                <w:rStyle w:val="19"/>
                <w:lang w:eastAsia="zh-CN"/>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26" w:type="pct"/>
            <w:noWrap w:val="0"/>
            <w:vAlign w:val="top"/>
          </w:tcPr>
          <w:p>
            <w:pPr>
              <w:spacing w:line="360" w:lineRule="auto"/>
              <w:jc w:val="both"/>
              <w:rPr>
                <w:rFonts w:ascii="Book Antiqua" w:hAnsi="Book Antiqua" w:cs="宋体"/>
                <w:color w:val="000000"/>
              </w:rPr>
            </w:pPr>
            <w:r>
              <w:rPr>
                <w:rStyle w:val="19"/>
                <w:lang w:eastAsia="zh-CN"/>
              </w:rPr>
              <w:t>Pancolitis</w:t>
            </w:r>
          </w:p>
        </w:tc>
        <w:tc>
          <w:tcPr>
            <w:tcW w:w="611" w:type="pct"/>
            <w:noWrap w:val="0"/>
            <w:vAlign w:val="top"/>
          </w:tcPr>
          <w:p>
            <w:pPr>
              <w:spacing w:line="360" w:lineRule="auto"/>
              <w:jc w:val="both"/>
              <w:rPr>
                <w:rFonts w:ascii="Book Antiqua" w:hAnsi="Book Antiqua" w:cs="宋体"/>
                <w:color w:val="000000"/>
              </w:rPr>
            </w:pPr>
            <w:r>
              <w:rPr>
                <w:rStyle w:val="19"/>
                <w:lang w:eastAsia="zh-CN"/>
              </w:rPr>
              <w:t>34 (83)</w:t>
            </w:r>
          </w:p>
        </w:tc>
        <w:tc>
          <w:tcPr>
            <w:tcW w:w="816" w:type="pct"/>
            <w:noWrap w:val="0"/>
            <w:vAlign w:val="top"/>
          </w:tcPr>
          <w:p>
            <w:pPr>
              <w:spacing w:line="360" w:lineRule="auto"/>
              <w:jc w:val="both"/>
              <w:rPr>
                <w:rFonts w:ascii="Book Antiqua" w:hAnsi="Book Antiqua" w:cs="宋体"/>
                <w:color w:val="000000"/>
              </w:rPr>
            </w:pPr>
            <w:r>
              <w:rPr>
                <w:rStyle w:val="19"/>
                <w:lang w:eastAsia="zh-CN"/>
              </w:rPr>
              <w:t>2 (100)</w:t>
            </w:r>
          </w:p>
        </w:tc>
        <w:tc>
          <w:tcPr>
            <w:tcW w:w="816" w:type="pct"/>
            <w:noWrap w:val="0"/>
            <w:vAlign w:val="top"/>
          </w:tcPr>
          <w:p>
            <w:pPr>
              <w:spacing w:line="360" w:lineRule="auto"/>
              <w:jc w:val="both"/>
              <w:rPr>
                <w:rFonts w:ascii="Book Antiqua" w:hAnsi="Book Antiqua" w:cs="宋体"/>
                <w:color w:val="000000"/>
              </w:rPr>
            </w:pPr>
            <w:r>
              <w:rPr>
                <w:rStyle w:val="19"/>
                <w:lang w:eastAsia="zh-CN"/>
              </w:rPr>
              <w:t>10 (91)</w:t>
            </w:r>
          </w:p>
        </w:tc>
        <w:tc>
          <w:tcPr>
            <w:tcW w:w="782" w:type="pct"/>
            <w:noWrap w:val="0"/>
            <w:vAlign w:val="top"/>
          </w:tcPr>
          <w:p>
            <w:pPr>
              <w:spacing w:line="360" w:lineRule="auto"/>
              <w:jc w:val="both"/>
              <w:rPr>
                <w:rFonts w:ascii="Book Antiqua" w:hAnsi="Book Antiqua" w:cs="宋体"/>
                <w:color w:val="000000"/>
              </w:rPr>
            </w:pPr>
            <w:r>
              <w:rPr>
                <w:rStyle w:val="19"/>
                <w:lang w:eastAsia="zh-CN"/>
              </w:rPr>
              <w:t>22 (79)</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0" w:hRule="atLeast"/>
        </w:trPr>
        <w:tc>
          <w:tcPr>
            <w:tcW w:w="1426" w:type="pct"/>
            <w:noWrap w:val="0"/>
            <w:vAlign w:val="top"/>
          </w:tcPr>
          <w:p>
            <w:pPr>
              <w:spacing w:line="360" w:lineRule="auto"/>
              <w:jc w:val="both"/>
              <w:rPr>
                <w:rFonts w:ascii="Book Antiqua" w:hAnsi="Book Antiqua" w:eastAsia="宋体" w:cs="宋体"/>
                <w:color w:val="000000"/>
                <w:sz w:val="24"/>
                <w:szCs w:val="24"/>
                <w:lang w:val="en-US" w:eastAsia="zh-CN" w:bidi="ar-SA"/>
              </w:rPr>
            </w:pPr>
            <w:r>
              <w:rPr>
                <w:rFonts w:ascii="Book Antiqua" w:hAnsi="Book Antiqua" w:cs="宋体"/>
                <w:color w:val="000000"/>
                <w:lang w:eastAsia="zh-CN"/>
              </w:rPr>
              <w:t>Left-sided colitis</w:t>
            </w:r>
          </w:p>
        </w:tc>
        <w:tc>
          <w:tcPr>
            <w:tcW w:w="611" w:type="pct"/>
            <w:noWrap w:val="0"/>
            <w:vAlign w:val="top"/>
          </w:tcPr>
          <w:p>
            <w:pPr>
              <w:spacing w:line="360" w:lineRule="auto"/>
              <w:jc w:val="both"/>
              <w:rPr>
                <w:rFonts w:ascii="Book Antiqua" w:hAnsi="Book Antiqua" w:eastAsia="宋体" w:cs="宋体"/>
                <w:color w:val="000000"/>
                <w:sz w:val="24"/>
                <w:szCs w:val="24"/>
                <w:lang w:val="en-US" w:eastAsia="zh-CN" w:bidi="ar-SA"/>
              </w:rPr>
            </w:pPr>
            <w:r>
              <w:rPr>
                <w:rFonts w:ascii="Book Antiqua" w:hAnsi="Book Antiqua" w:cs="宋体"/>
                <w:color w:val="000000"/>
                <w:lang w:eastAsia="zh-CN"/>
              </w:rPr>
              <w:t>7 (17)</w:t>
            </w:r>
          </w:p>
        </w:tc>
        <w:tc>
          <w:tcPr>
            <w:tcW w:w="816" w:type="pct"/>
            <w:noWrap w:val="0"/>
            <w:vAlign w:val="top"/>
          </w:tcPr>
          <w:p>
            <w:pPr>
              <w:spacing w:line="360" w:lineRule="auto"/>
              <w:jc w:val="both"/>
              <w:rPr>
                <w:rFonts w:ascii="Book Antiqua" w:hAnsi="Book Antiqua" w:eastAsia="宋体" w:cs="宋体"/>
                <w:color w:val="000000"/>
                <w:sz w:val="24"/>
                <w:szCs w:val="24"/>
                <w:lang w:val="en-US" w:eastAsia="zh-CN" w:bidi="ar-SA"/>
              </w:rPr>
            </w:pPr>
            <w:r>
              <w:rPr>
                <w:rFonts w:ascii="Book Antiqua" w:hAnsi="Book Antiqua" w:cs="宋体"/>
                <w:color w:val="000000"/>
                <w:lang w:eastAsia="zh-CN"/>
              </w:rPr>
              <w:t>0 (0)</w:t>
            </w:r>
          </w:p>
        </w:tc>
        <w:tc>
          <w:tcPr>
            <w:tcW w:w="816" w:type="pct"/>
            <w:noWrap w:val="0"/>
            <w:vAlign w:val="top"/>
          </w:tcPr>
          <w:p>
            <w:pPr>
              <w:spacing w:line="360" w:lineRule="auto"/>
              <w:jc w:val="both"/>
              <w:rPr>
                <w:rFonts w:ascii="Book Antiqua" w:hAnsi="Book Antiqua" w:eastAsia="宋体" w:cs="宋体"/>
                <w:color w:val="000000"/>
                <w:sz w:val="24"/>
                <w:szCs w:val="24"/>
                <w:lang w:val="en-US" w:eastAsia="zh-CN" w:bidi="ar-SA"/>
              </w:rPr>
            </w:pPr>
            <w:r>
              <w:rPr>
                <w:rFonts w:ascii="Book Antiqua" w:hAnsi="Book Antiqua" w:cs="宋体"/>
                <w:color w:val="000000"/>
                <w:lang w:eastAsia="zh-CN"/>
              </w:rPr>
              <w:t>1 (9)</w:t>
            </w:r>
          </w:p>
        </w:tc>
        <w:tc>
          <w:tcPr>
            <w:tcW w:w="782" w:type="pct"/>
            <w:noWrap w:val="0"/>
            <w:vAlign w:val="top"/>
          </w:tcPr>
          <w:p>
            <w:pPr>
              <w:spacing w:line="360" w:lineRule="auto"/>
              <w:jc w:val="both"/>
              <w:rPr>
                <w:rFonts w:ascii="Book Antiqua" w:hAnsi="Book Antiqua" w:eastAsia="宋体" w:cs="宋体"/>
                <w:color w:val="000000"/>
                <w:sz w:val="24"/>
                <w:szCs w:val="24"/>
                <w:lang w:val="en-US" w:eastAsia="zh-CN" w:bidi="ar-SA"/>
              </w:rPr>
            </w:pPr>
            <w:r>
              <w:rPr>
                <w:rFonts w:ascii="Book Antiqua" w:hAnsi="Book Antiqua" w:cs="宋体"/>
                <w:color w:val="000000"/>
                <w:lang w:eastAsia="zh-CN"/>
              </w:rPr>
              <w:t>6 (21)</w:t>
            </w:r>
          </w:p>
        </w:tc>
        <w:tc>
          <w:tcPr>
            <w:tcW w:w="547" w:type="pct"/>
            <w:noWrap w:val="0"/>
            <w:vAlign w:val="top"/>
          </w:tcPr>
          <w:p>
            <w:pPr>
              <w:spacing w:line="360" w:lineRule="auto"/>
              <w:jc w:val="both"/>
              <w:rPr>
                <w:rFonts w:ascii="Book Antiqua" w:hAnsi="Book Antiqua" w:eastAsia="宋体" w:cs="宋体"/>
                <w:color w:val="000000"/>
                <w:sz w:val="24"/>
                <w:szCs w:val="24"/>
                <w:lang w:val="en-US" w:eastAsia="zh-CN" w:bidi="ar-SA"/>
              </w:rPr>
            </w:pPr>
          </w:p>
        </w:tc>
      </w:tr>
    </w:tbl>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lang w:eastAsia="zh-CN"/>
        </w:rPr>
        <w:t xml:space="preserve">IQR: Interquartile range; IBD: Inflammatory bowel disease; IV: Intravenous; </w:t>
      </w:r>
      <w:r>
        <w:rPr>
          <w:rFonts w:ascii="Book Antiqua" w:hAnsi="Book Antiqua" w:eastAsia="Book Antiqua" w:cs="Book Antiqua"/>
          <w:color w:val="000000"/>
        </w:rPr>
        <w:t>UC</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U</w:t>
      </w:r>
      <w:r>
        <w:rPr>
          <w:rFonts w:ascii="Book Antiqua" w:hAnsi="Book Antiqua" w:eastAsia="Book Antiqua" w:cs="Book Antiqua"/>
          <w:color w:val="000000"/>
        </w:rPr>
        <w:t>lcerative colitis</w:t>
      </w:r>
      <w:r>
        <w:rPr>
          <w:rFonts w:ascii="Book Antiqua" w:hAnsi="Book Antiqua" w:cs="Book Antiqua"/>
          <w:color w:val="000000"/>
          <w:lang w:eastAsia="zh-CN"/>
        </w:rPr>
        <w:t>; CD:</w:t>
      </w:r>
      <w:r>
        <w:rPr>
          <w:rFonts w:ascii="Book Antiqua" w:hAnsi="Book Antiqua" w:eastAsia="Book Antiqua" w:cs="Book Antiqua"/>
          <w:color w:val="000000"/>
        </w:rPr>
        <w:t xml:space="preserve"> Crohn’s disease</w:t>
      </w:r>
      <w:r>
        <w:rPr>
          <w:rFonts w:ascii="Book Antiqua" w:hAnsi="Book Antiqua" w:cs="Book Antiqua"/>
          <w:color w:val="000000"/>
          <w:lang w:eastAsia="zh-CN"/>
        </w:rPr>
        <w:t>;</w:t>
      </w:r>
      <w:r>
        <w:rPr>
          <w:rFonts w:ascii="Book Antiqua" w:hAnsi="Book Antiqua" w:eastAsia="Book Antiqua" w:cs="Book Antiqua"/>
          <w:color w:val="000000"/>
        </w:rPr>
        <w:t xml:space="preserve"> IC</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I</w:t>
      </w:r>
      <w:r>
        <w:rPr>
          <w:rFonts w:ascii="Book Antiqua" w:hAnsi="Book Antiqua" w:eastAsia="Book Antiqua" w:cs="Book Antiqua"/>
          <w:color w:val="000000"/>
        </w:rPr>
        <w:t>ndeterminate colitis</w:t>
      </w:r>
      <w:r>
        <w:rPr>
          <w:rFonts w:ascii="Book Antiqua" w:hAnsi="Book Antiqua" w:cs="Book Antiqua"/>
          <w:color w:val="000000"/>
          <w:lang w:eastAsia="zh-CN"/>
        </w:rPr>
        <w:t>.</w:t>
      </w:r>
      <w:r>
        <w:rPr>
          <w:rFonts w:ascii="Book Antiqua" w:hAnsi="Book Antiqua"/>
          <w:lang w:eastAsia="zh-CN"/>
        </w:rPr>
        <w:t xml:space="preserve"> </w:t>
      </w:r>
      <w:r>
        <w:rPr>
          <w:rFonts w:ascii="Book Antiqua" w:hAnsi="Book Antiqua"/>
          <w:lang w:eastAsia="zh-CN"/>
        </w:rPr>
        <w:cr/>
      </w:r>
    </w:p>
    <w:p>
      <w:pPr>
        <w:spacing w:line="360" w:lineRule="auto"/>
        <w:jc w:val="both"/>
        <w:rPr>
          <w:rFonts w:ascii="Book Antiqua" w:hAnsi="Book Antiqua"/>
          <w:b/>
          <w:lang w:eastAsia="zh-CN"/>
        </w:rPr>
      </w:pPr>
      <w:r>
        <w:rPr>
          <w:rFonts w:ascii="Book Antiqua" w:hAnsi="Book Antiqua"/>
          <w:b/>
          <w:lang w:eastAsia="zh-CN"/>
        </w:rPr>
        <w:t>Table 2 Iron studies (</w:t>
      </w:r>
      <w:r>
        <w:rPr>
          <w:rFonts w:ascii="Book Antiqua" w:hAnsi="Book Antiqua"/>
          <w:b/>
          <w:i/>
          <w:lang w:eastAsia="zh-CN"/>
        </w:rPr>
        <w:t>n</w:t>
      </w:r>
      <w:r>
        <w:rPr>
          <w:rFonts w:ascii="Book Antiqua" w:hAnsi="Book Antiqua"/>
          <w:b/>
          <w:lang w:eastAsia="zh-CN"/>
        </w:rPr>
        <w:t xml:space="preserve"> = 92)</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9"/>
        <w:gridCol w:w="1645"/>
        <w:gridCol w:w="1565"/>
        <w:gridCol w:w="1565"/>
        <w:gridCol w:w="1494"/>
        <w:gridCol w:w="10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80" w:type="pct"/>
            <w:tcBorders>
              <w:top w:val="single" w:color="auto" w:sz="4" w:space="0"/>
              <w:bottom w:val="nil"/>
            </w:tcBorders>
            <w:noWrap w:val="0"/>
            <w:vAlign w:val="top"/>
          </w:tcPr>
          <w:p>
            <w:pPr>
              <w:spacing w:line="360" w:lineRule="auto"/>
              <w:jc w:val="both"/>
              <w:rPr>
                <w:rFonts w:ascii="Book Antiqua" w:hAnsi="Book Antiqua" w:cs="宋体"/>
                <w:lang w:eastAsia="zh-CN"/>
              </w:rPr>
            </w:pPr>
          </w:p>
        </w:tc>
        <w:tc>
          <w:tcPr>
            <w:tcW w:w="859" w:type="pct"/>
            <w:tcBorders>
              <w:top w:val="single" w:color="auto" w:sz="4" w:space="0"/>
              <w:bottom w:val="nil"/>
            </w:tcBorders>
            <w:noWrap w:val="0"/>
            <w:vAlign w:val="top"/>
          </w:tcPr>
          <w:p>
            <w:pPr>
              <w:spacing w:line="360" w:lineRule="auto"/>
              <w:jc w:val="both"/>
              <w:rPr>
                <w:rFonts w:ascii="Book Antiqua" w:hAnsi="Book Antiqua" w:cs="宋体"/>
                <w:lang w:eastAsia="zh-CN"/>
              </w:rPr>
            </w:pPr>
          </w:p>
        </w:tc>
        <w:tc>
          <w:tcPr>
            <w:tcW w:w="2414" w:type="pct"/>
            <w:gridSpan w:val="3"/>
            <w:tcBorders>
              <w:top w:val="single" w:color="auto" w:sz="4" w:space="0"/>
              <w:bottom w:val="single" w:color="auto" w:sz="4" w:space="0"/>
            </w:tcBorders>
            <w:noWrap w:val="0"/>
            <w:vAlign w:val="top"/>
          </w:tcPr>
          <w:p>
            <w:pPr>
              <w:spacing w:line="360" w:lineRule="auto"/>
              <w:jc w:val="both"/>
              <w:rPr>
                <w:rFonts w:ascii="Book Antiqua" w:hAnsi="Book Antiqua" w:cs="宋体"/>
                <w:b/>
                <w:lang w:eastAsia="zh-CN"/>
              </w:rPr>
            </w:pPr>
            <w:r>
              <w:rPr>
                <w:rFonts w:ascii="Book Antiqua" w:hAnsi="Book Antiqua" w:cs="宋体"/>
                <w:b/>
                <w:color w:val="000000"/>
                <w:lang w:eastAsia="zh-CN"/>
              </w:rPr>
              <w:t>Iron therapy</w:t>
            </w:r>
          </w:p>
        </w:tc>
        <w:tc>
          <w:tcPr>
            <w:tcW w:w="547" w:type="pct"/>
            <w:vMerge w:val="restart"/>
            <w:tcBorders>
              <w:top w:val="single" w:color="auto" w:sz="4" w:space="0"/>
              <w:bottom w:val="nil"/>
            </w:tcBorders>
            <w:noWrap w:val="0"/>
            <w:vAlign w:val="top"/>
          </w:tcPr>
          <w:p>
            <w:pPr>
              <w:spacing w:line="360" w:lineRule="auto"/>
              <w:jc w:val="both"/>
              <w:rPr>
                <w:rFonts w:ascii="Book Antiqua" w:hAnsi="Book Antiqua" w:cs="宋体"/>
                <w:lang w:eastAsia="zh-CN"/>
              </w:rPr>
            </w:pPr>
            <w:r>
              <w:rPr>
                <w:rFonts w:ascii="Book Antiqua" w:hAnsi="Book Antiqua" w:cs="宋体"/>
                <w:b/>
                <w:i/>
                <w:color w:val="000000"/>
                <w:lang w:eastAsia="zh-CN"/>
              </w:rPr>
              <w:t>P</w:t>
            </w:r>
            <w:r>
              <w:rPr>
                <w:rFonts w:ascii="Book Antiqua" w:hAnsi="Book Antiqua" w:cs="宋体"/>
                <w:b/>
                <w:color w:val="000000"/>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180" w:type="pct"/>
            <w:tcBorders>
              <w:top w:val="nil"/>
              <w:bottom w:val="single" w:color="auto" w:sz="4" w:space="0"/>
            </w:tcBorders>
            <w:noWrap w:val="0"/>
            <w:vAlign w:val="top"/>
          </w:tcPr>
          <w:p>
            <w:pPr>
              <w:spacing w:line="360" w:lineRule="auto"/>
              <w:jc w:val="both"/>
              <w:rPr>
                <w:rFonts w:ascii="Book Antiqua" w:hAnsi="Book Antiqua" w:cs="宋体"/>
                <w:lang w:eastAsia="zh-CN"/>
              </w:rPr>
            </w:pPr>
          </w:p>
        </w:tc>
        <w:tc>
          <w:tcPr>
            <w:tcW w:w="859" w:type="pct"/>
            <w:tcBorders>
              <w:top w:val="nil"/>
              <w:bottom w:val="single" w:color="auto" w:sz="4" w:space="0"/>
            </w:tcBorders>
            <w:noWrap w:val="0"/>
            <w:vAlign w:val="top"/>
          </w:tcPr>
          <w:p>
            <w:pPr>
              <w:spacing w:line="360" w:lineRule="auto"/>
              <w:jc w:val="both"/>
              <w:rPr>
                <w:rFonts w:ascii="Book Antiqua" w:hAnsi="Book Antiqua" w:cs="宋体"/>
                <w:lang w:eastAsia="zh-CN"/>
              </w:rPr>
            </w:pPr>
          </w:p>
        </w:tc>
        <w:tc>
          <w:tcPr>
            <w:tcW w:w="817" w:type="pct"/>
            <w:tcBorders>
              <w:top w:val="single" w:color="auto" w:sz="4" w:space="0"/>
              <w:bottom w:val="single" w:color="auto" w:sz="4" w:space="0"/>
            </w:tcBorders>
            <w:noWrap w:val="0"/>
            <w:vAlign w:val="top"/>
          </w:tcPr>
          <w:p>
            <w:pPr>
              <w:spacing w:line="360" w:lineRule="auto"/>
              <w:jc w:val="both"/>
              <w:rPr>
                <w:rFonts w:ascii="Book Antiqua" w:hAnsi="Book Antiqua" w:cs="宋体"/>
                <w:b/>
                <w:lang w:eastAsia="zh-CN"/>
              </w:rPr>
            </w:pPr>
            <w:r>
              <w:rPr>
                <w:rFonts w:ascii="Book Antiqua" w:hAnsi="Book Antiqua" w:cs="宋体"/>
                <w:b/>
                <w:color w:val="000000"/>
                <w:lang w:eastAsia="zh-CN"/>
              </w:rPr>
              <w:t>No iron (</w:t>
            </w:r>
            <w:r>
              <w:rPr>
                <w:rFonts w:ascii="Book Antiqua" w:hAnsi="Book Antiqua" w:cs="宋体"/>
                <w:b/>
                <w:i/>
                <w:color w:val="000000"/>
                <w:lang w:eastAsia="zh-CN"/>
              </w:rPr>
              <w:t>n</w:t>
            </w:r>
            <w:r>
              <w:rPr>
                <w:rFonts w:ascii="Book Antiqua" w:hAnsi="Book Antiqua" w:cs="宋体"/>
                <w:b/>
                <w:color w:val="000000"/>
                <w:lang w:eastAsia="zh-CN"/>
              </w:rPr>
              <w:t xml:space="preserve"> = 18)</w:t>
            </w:r>
          </w:p>
        </w:tc>
        <w:tc>
          <w:tcPr>
            <w:tcW w:w="817" w:type="pct"/>
            <w:tcBorders>
              <w:top w:val="single" w:color="auto" w:sz="4" w:space="0"/>
              <w:bottom w:val="single" w:color="auto" w:sz="4" w:space="0"/>
            </w:tcBorders>
            <w:noWrap w:val="0"/>
            <w:vAlign w:val="top"/>
          </w:tcPr>
          <w:p>
            <w:pPr>
              <w:spacing w:line="360" w:lineRule="auto"/>
              <w:jc w:val="both"/>
              <w:rPr>
                <w:rFonts w:ascii="Book Antiqua" w:hAnsi="Book Antiqua" w:cs="宋体"/>
                <w:b/>
                <w:lang w:eastAsia="zh-CN"/>
              </w:rPr>
            </w:pPr>
            <w:r>
              <w:rPr>
                <w:rFonts w:ascii="Book Antiqua" w:hAnsi="Book Antiqua" w:cs="宋体"/>
                <w:b/>
                <w:color w:val="000000"/>
                <w:lang w:eastAsia="zh-CN"/>
              </w:rPr>
              <w:t>Oral iron</w:t>
            </w:r>
          </w:p>
          <w:p>
            <w:pPr>
              <w:spacing w:line="360" w:lineRule="auto"/>
              <w:jc w:val="both"/>
              <w:rPr>
                <w:rFonts w:ascii="Book Antiqua" w:hAnsi="Book Antiqua" w:cs="宋体"/>
                <w:b/>
                <w:lang w:eastAsia="zh-CN"/>
              </w:rPr>
            </w:pPr>
            <w:r>
              <w:rPr>
                <w:rFonts w:ascii="Book Antiqua" w:hAnsi="Book Antiqua" w:cs="宋体"/>
                <w:b/>
                <w:color w:val="000000"/>
                <w:lang w:eastAsia="zh-CN"/>
              </w:rPr>
              <w:t>(</w:t>
            </w:r>
            <w:r>
              <w:rPr>
                <w:rFonts w:ascii="Book Antiqua" w:hAnsi="Book Antiqua" w:cs="宋体"/>
                <w:b/>
                <w:i/>
                <w:color w:val="000000"/>
                <w:lang w:eastAsia="zh-CN"/>
              </w:rPr>
              <w:t>n</w:t>
            </w:r>
            <w:r>
              <w:rPr>
                <w:rFonts w:ascii="Book Antiqua" w:hAnsi="Book Antiqua" w:cs="宋体"/>
                <w:b/>
                <w:color w:val="000000"/>
                <w:lang w:eastAsia="zh-CN"/>
              </w:rPr>
              <w:t xml:space="preserve"> = 17)</w:t>
            </w:r>
          </w:p>
        </w:tc>
        <w:tc>
          <w:tcPr>
            <w:tcW w:w="780" w:type="pct"/>
            <w:tcBorders>
              <w:top w:val="single" w:color="auto" w:sz="4" w:space="0"/>
              <w:bottom w:val="single" w:color="auto" w:sz="4" w:space="0"/>
            </w:tcBorders>
            <w:noWrap w:val="0"/>
            <w:vAlign w:val="top"/>
          </w:tcPr>
          <w:p>
            <w:pPr>
              <w:spacing w:line="360" w:lineRule="auto"/>
              <w:jc w:val="both"/>
              <w:rPr>
                <w:rFonts w:ascii="Book Antiqua" w:hAnsi="Book Antiqua" w:cs="宋体"/>
                <w:b/>
                <w:lang w:eastAsia="zh-CN"/>
              </w:rPr>
            </w:pPr>
            <w:r>
              <w:rPr>
                <w:rFonts w:ascii="Book Antiqua" w:hAnsi="Book Antiqua" w:cs="宋体"/>
                <w:b/>
                <w:color w:val="000000"/>
                <w:lang w:eastAsia="zh-CN"/>
              </w:rPr>
              <w:t>IV iron</w:t>
            </w:r>
            <w:r>
              <w:rPr>
                <w:rFonts w:ascii="Book Antiqua" w:hAnsi="Book Antiqua" w:cs="宋体"/>
                <w:b/>
                <w:lang w:eastAsia="zh-CN"/>
              </w:rPr>
              <w:t xml:space="preserve"> </w:t>
            </w:r>
            <w:r>
              <w:rPr>
                <w:rFonts w:ascii="Book Antiqua" w:hAnsi="Book Antiqua" w:cs="宋体"/>
                <w:b/>
                <w:color w:val="000000"/>
                <w:lang w:eastAsia="zh-CN"/>
              </w:rPr>
              <w:t>(</w:t>
            </w:r>
            <w:r>
              <w:rPr>
                <w:rFonts w:ascii="Book Antiqua" w:hAnsi="Book Antiqua" w:cs="宋体"/>
                <w:b/>
                <w:i/>
                <w:color w:val="000000"/>
                <w:lang w:eastAsia="zh-CN"/>
              </w:rPr>
              <w:t>n</w:t>
            </w:r>
            <w:r>
              <w:rPr>
                <w:rFonts w:ascii="Book Antiqua" w:hAnsi="Book Antiqua" w:cs="宋体"/>
                <w:b/>
                <w:color w:val="000000"/>
                <w:lang w:eastAsia="zh-CN"/>
              </w:rPr>
              <w:t xml:space="preserve"> = 57)</w:t>
            </w:r>
          </w:p>
        </w:tc>
        <w:tc>
          <w:tcPr>
            <w:tcW w:w="547" w:type="pct"/>
            <w:vMerge w:val="continue"/>
            <w:tcBorders>
              <w:top w:val="nil"/>
              <w:bottom w:val="single" w:color="auto" w:sz="4" w:space="0"/>
            </w:tcBorders>
            <w:noWrap w:val="0"/>
            <w:vAlign w:val="top"/>
          </w:tcPr>
          <w:p>
            <w:pPr>
              <w:spacing w:line="360" w:lineRule="auto"/>
              <w:jc w:val="both"/>
              <w:rPr>
                <w:rFonts w:ascii="Book Antiqua" w:hAnsi="Book Antiqua"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180" w:type="pct"/>
            <w:tcBorders>
              <w:top w:val="single" w:color="auto" w:sz="4" w:space="0"/>
            </w:tcBorders>
            <w:noWrap w:val="0"/>
            <w:vAlign w:val="top"/>
          </w:tcPr>
          <w:p>
            <w:pPr>
              <w:spacing w:line="360" w:lineRule="auto"/>
              <w:jc w:val="both"/>
              <w:rPr>
                <w:rFonts w:ascii="Book Antiqua" w:hAnsi="Book Antiqua" w:cs="宋体"/>
                <w:color w:val="000000"/>
              </w:rPr>
            </w:pPr>
            <w:r>
              <w:rPr>
                <w:rStyle w:val="19"/>
              </w:rPr>
              <w:t>Hb (g/dL)</w:t>
            </w:r>
          </w:p>
        </w:tc>
        <w:tc>
          <w:tcPr>
            <w:tcW w:w="859" w:type="pct"/>
            <w:tcBorders>
              <w:top w:val="single" w:color="auto" w:sz="4" w:space="0"/>
            </w:tcBorders>
            <w:noWrap w:val="0"/>
            <w:vAlign w:val="top"/>
          </w:tcPr>
          <w:p>
            <w:pPr>
              <w:spacing w:line="360" w:lineRule="auto"/>
              <w:jc w:val="both"/>
              <w:rPr>
                <w:rFonts w:ascii="Book Antiqua" w:hAnsi="Book Antiqua" w:cs="宋体"/>
                <w:color w:val="000000"/>
              </w:rPr>
            </w:pPr>
            <w:r>
              <w:rPr>
                <w:rStyle w:val="19"/>
              </w:rPr>
              <w:t>Admission</w:t>
            </w:r>
          </w:p>
        </w:tc>
        <w:tc>
          <w:tcPr>
            <w:tcW w:w="817" w:type="pct"/>
            <w:tcBorders>
              <w:top w:val="single" w:color="auto" w:sz="4" w:space="0"/>
            </w:tcBorders>
            <w:noWrap w:val="0"/>
            <w:vAlign w:val="top"/>
          </w:tcPr>
          <w:p>
            <w:pPr>
              <w:spacing w:line="360" w:lineRule="auto"/>
              <w:jc w:val="both"/>
              <w:rPr>
                <w:rFonts w:ascii="Book Antiqua" w:hAnsi="Book Antiqua" w:cs="宋体"/>
                <w:color w:val="000000"/>
              </w:rPr>
            </w:pPr>
            <w:r>
              <w:rPr>
                <w:rStyle w:val="19"/>
              </w:rPr>
              <w:t>10.4 ± 0.2</w:t>
            </w:r>
          </w:p>
        </w:tc>
        <w:tc>
          <w:tcPr>
            <w:tcW w:w="817" w:type="pct"/>
            <w:tcBorders>
              <w:top w:val="single" w:color="auto" w:sz="4" w:space="0"/>
            </w:tcBorders>
            <w:noWrap w:val="0"/>
            <w:vAlign w:val="top"/>
          </w:tcPr>
          <w:p>
            <w:pPr>
              <w:spacing w:line="360" w:lineRule="auto"/>
              <w:jc w:val="both"/>
              <w:rPr>
                <w:rFonts w:ascii="Book Antiqua" w:hAnsi="Book Antiqua" w:cs="宋体"/>
                <w:color w:val="000000"/>
              </w:rPr>
            </w:pPr>
            <w:r>
              <w:rPr>
                <w:rStyle w:val="19"/>
              </w:rPr>
              <w:t>10.0 ± 0.2</w:t>
            </w:r>
          </w:p>
        </w:tc>
        <w:tc>
          <w:tcPr>
            <w:tcW w:w="780" w:type="pct"/>
            <w:tcBorders>
              <w:top w:val="single" w:color="auto" w:sz="4" w:space="0"/>
            </w:tcBorders>
            <w:noWrap w:val="0"/>
            <w:vAlign w:val="top"/>
          </w:tcPr>
          <w:p>
            <w:pPr>
              <w:spacing w:line="360" w:lineRule="auto"/>
              <w:jc w:val="both"/>
              <w:rPr>
                <w:rFonts w:ascii="Book Antiqua" w:hAnsi="Book Antiqua" w:cs="宋体"/>
                <w:color w:val="000000"/>
              </w:rPr>
            </w:pPr>
            <w:r>
              <w:rPr>
                <w:rStyle w:val="19"/>
              </w:rPr>
              <w:t>9.7 ± 0.1</w:t>
            </w:r>
          </w:p>
        </w:tc>
        <w:tc>
          <w:tcPr>
            <w:tcW w:w="547" w:type="pct"/>
            <w:tcBorders>
              <w:top w:val="single" w:color="auto" w:sz="4" w:space="0"/>
            </w:tcBorders>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80" w:type="pct"/>
            <w:noWrap w:val="0"/>
            <w:vAlign w:val="top"/>
          </w:tcPr>
          <w:p>
            <w:pPr>
              <w:spacing w:line="360" w:lineRule="auto"/>
              <w:jc w:val="both"/>
              <w:rPr>
                <w:rFonts w:ascii="Book Antiqua" w:hAnsi="Book Antiqua" w:cs="宋体"/>
                <w:color w:val="000000"/>
              </w:rPr>
            </w:pPr>
            <w:r>
              <w:rPr>
                <w:rStyle w:val="19"/>
              </w:rPr>
              <w:t>(</w:t>
            </w:r>
            <w:r>
              <w:rPr>
                <w:rStyle w:val="19"/>
                <w:i/>
              </w:rPr>
              <w:t>n</w:t>
            </w:r>
            <w:r>
              <w:rPr>
                <w:rStyle w:val="19"/>
                <w:lang w:eastAsia="zh-CN"/>
              </w:rPr>
              <w:t xml:space="preserve"> </w:t>
            </w:r>
            <w:r>
              <w:rPr>
                <w:rStyle w:val="19"/>
              </w:rPr>
              <w:t>=</w:t>
            </w:r>
            <w:r>
              <w:rPr>
                <w:rStyle w:val="19"/>
                <w:lang w:eastAsia="zh-CN"/>
              </w:rPr>
              <w:t xml:space="preserve"> </w:t>
            </w:r>
            <w:r>
              <w:rPr>
                <w:rStyle w:val="19"/>
              </w:rPr>
              <w:t>92)</w:t>
            </w:r>
          </w:p>
        </w:tc>
        <w:tc>
          <w:tcPr>
            <w:tcW w:w="859" w:type="pct"/>
            <w:noWrap w:val="0"/>
            <w:vAlign w:val="top"/>
          </w:tcPr>
          <w:p>
            <w:pPr>
              <w:spacing w:line="360" w:lineRule="auto"/>
              <w:jc w:val="both"/>
              <w:rPr>
                <w:rFonts w:ascii="Book Antiqua" w:hAnsi="Book Antiqua" w:cs="宋体"/>
                <w:color w:val="000000"/>
              </w:rPr>
            </w:pPr>
            <w:r>
              <w:rPr>
                <w:rStyle w:val="19"/>
              </w:rPr>
              <w:t>Follow-up</w:t>
            </w:r>
          </w:p>
        </w:tc>
        <w:tc>
          <w:tcPr>
            <w:tcW w:w="817" w:type="pct"/>
            <w:noWrap w:val="0"/>
            <w:vAlign w:val="top"/>
          </w:tcPr>
          <w:p>
            <w:pPr>
              <w:spacing w:line="360" w:lineRule="auto"/>
              <w:jc w:val="both"/>
              <w:rPr>
                <w:rFonts w:ascii="Book Antiqua" w:hAnsi="Book Antiqua" w:cs="宋体"/>
                <w:color w:val="000000"/>
              </w:rPr>
            </w:pPr>
            <w:r>
              <w:rPr>
                <w:rStyle w:val="19"/>
              </w:rPr>
              <w:t>11.2 ± 0.2</w:t>
            </w:r>
          </w:p>
        </w:tc>
        <w:tc>
          <w:tcPr>
            <w:tcW w:w="817" w:type="pct"/>
            <w:noWrap w:val="0"/>
            <w:vAlign w:val="top"/>
          </w:tcPr>
          <w:p>
            <w:pPr>
              <w:spacing w:line="360" w:lineRule="auto"/>
              <w:jc w:val="both"/>
              <w:rPr>
                <w:rFonts w:ascii="Book Antiqua" w:hAnsi="Book Antiqua" w:cs="宋体"/>
                <w:color w:val="000000"/>
              </w:rPr>
            </w:pPr>
            <w:r>
              <w:rPr>
                <w:rStyle w:val="19"/>
              </w:rPr>
              <w:t>10.8 ± 0.2</w:t>
            </w:r>
          </w:p>
        </w:tc>
        <w:tc>
          <w:tcPr>
            <w:tcW w:w="780" w:type="pct"/>
            <w:noWrap w:val="0"/>
            <w:vAlign w:val="top"/>
          </w:tcPr>
          <w:p>
            <w:pPr>
              <w:spacing w:line="360" w:lineRule="auto"/>
              <w:jc w:val="both"/>
              <w:rPr>
                <w:rFonts w:ascii="Book Antiqua" w:hAnsi="Book Antiqua" w:cs="宋体"/>
                <w:color w:val="000000"/>
              </w:rPr>
            </w:pPr>
            <w:r>
              <w:rPr>
                <w:rStyle w:val="19"/>
              </w:rPr>
              <w:t>11.6 ± 0.1</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80" w:type="pct"/>
            <w:noWrap w:val="0"/>
            <w:vAlign w:val="top"/>
          </w:tcPr>
          <w:p>
            <w:pPr>
              <w:spacing w:line="360" w:lineRule="auto"/>
              <w:jc w:val="both"/>
              <w:rPr>
                <w:rFonts w:ascii="Book Antiqua" w:hAnsi="Book Antiqua" w:cs="宋体"/>
                <w:color w:val="000000"/>
              </w:rPr>
            </w:pPr>
          </w:p>
        </w:tc>
        <w:tc>
          <w:tcPr>
            <w:tcW w:w="859" w:type="pct"/>
            <w:noWrap w:val="0"/>
            <w:vAlign w:val="top"/>
          </w:tcPr>
          <w:p>
            <w:pPr>
              <w:spacing w:line="360" w:lineRule="auto"/>
              <w:jc w:val="both"/>
              <w:rPr>
                <w:rFonts w:ascii="Book Antiqua" w:hAnsi="Book Antiqua" w:cs="宋体"/>
                <w:color w:val="000000"/>
              </w:rPr>
            </w:pPr>
            <w:r>
              <w:rPr>
                <w:rStyle w:val="19"/>
              </w:rPr>
              <w:t>Change</w:t>
            </w:r>
          </w:p>
        </w:tc>
        <w:tc>
          <w:tcPr>
            <w:tcW w:w="817" w:type="pct"/>
            <w:noWrap w:val="0"/>
            <w:vAlign w:val="top"/>
          </w:tcPr>
          <w:p>
            <w:pPr>
              <w:spacing w:line="360" w:lineRule="auto"/>
              <w:jc w:val="both"/>
              <w:rPr>
                <w:rFonts w:ascii="Book Antiqua" w:hAnsi="Book Antiqua" w:cs="宋体"/>
                <w:color w:val="000000"/>
              </w:rPr>
            </w:pPr>
            <w:r>
              <w:rPr>
                <w:rStyle w:val="19"/>
              </w:rPr>
              <w:t>0.8 ± 0.3</w:t>
            </w:r>
            <w:r>
              <w:rPr>
                <w:rStyle w:val="19"/>
                <w:vertAlign w:val="superscript"/>
              </w:rPr>
              <w:t>a</w:t>
            </w:r>
          </w:p>
        </w:tc>
        <w:tc>
          <w:tcPr>
            <w:tcW w:w="817" w:type="pct"/>
            <w:noWrap w:val="0"/>
            <w:vAlign w:val="top"/>
          </w:tcPr>
          <w:p>
            <w:pPr>
              <w:spacing w:line="360" w:lineRule="auto"/>
              <w:jc w:val="both"/>
              <w:rPr>
                <w:rFonts w:ascii="Book Antiqua" w:hAnsi="Book Antiqua" w:cs="宋体"/>
                <w:color w:val="000000"/>
              </w:rPr>
            </w:pPr>
            <w:r>
              <w:rPr>
                <w:rStyle w:val="19"/>
              </w:rPr>
              <w:t>0.8 ± 0.3</w:t>
            </w:r>
            <w:r>
              <w:rPr>
                <w:rStyle w:val="19"/>
                <w:vertAlign w:val="superscript"/>
              </w:rPr>
              <w:t>a</w:t>
            </w:r>
          </w:p>
        </w:tc>
        <w:tc>
          <w:tcPr>
            <w:tcW w:w="780" w:type="pct"/>
            <w:noWrap w:val="0"/>
            <w:vAlign w:val="top"/>
          </w:tcPr>
          <w:p>
            <w:pPr>
              <w:spacing w:line="360" w:lineRule="auto"/>
              <w:jc w:val="both"/>
              <w:rPr>
                <w:rFonts w:ascii="Book Antiqua" w:hAnsi="Book Antiqua" w:cs="宋体"/>
                <w:color w:val="000000"/>
              </w:rPr>
            </w:pPr>
            <w:r>
              <w:rPr>
                <w:rStyle w:val="19"/>
              </w:rPr>
              <w:t>1.9 ± 0.2</w:t>
            </w:r>
            <w:r>
              <w:rPr>
                <w:rStyle w:val="19"/>
                <w:vertAlign w:val="superscript"/>
              </w:rPr>
              <w:t>b</w:t>
            </w:r>
          </w:p>
        </w:tc>
        <w:tc>
          <w:tcPr>
            <w:tcW w:w="547" w:type="pct"/>
            <w:noWrap w:val="0"/>
            <w:vAlign w:val="top"/>
          </w:tcPr>
          <w:p>
            <w:pPr>
              <w:spacing w:line="360" w:lineRule="auto"/>
              <w:jc w:val="both"/>
              <w:rPr>
                <w:rFonts w:ascii="Book Antiqua" w:hAnsi="Book Antiqua" w:cs="宋体"/>
                <w:color w:val="000000"/>
              </w:rPr>
            </w:pPr>
            <w:r>
              <w:rPr>
                <w:rFonts w:ascii="Book Antiqua" w:hAnsi="Book Antiqua"/>
                <w:color w:val="000000"/>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180" w:type="pct"/>
            <w:noWrap w:val="0"/>
            <w:vAlign w:val="top"/>
          </w:tcPr>
          <w:p>
            <w:pPr>
              <w:spacing w:line="360" w:lineRule="auto"/>
              <w:jc w:val="both"/>
              <w:rPr>
                <w:rFonts w:ascii="Book Antiqua" w:hAnsi="Book Antiqua" w:cs="宋体"/>
                <w:color w:val="000000"/>
              </w:rPr>
            </w:pPr>
            <w:r>
              <w:rPr>
                <w:rStyle w:val="19"/>
              </w:rPr>
              <w:t>MCV (fL)</w:t>
            </w:r>
          </w:p>
        </w:tc>
        <w:tc>
          <w:tcPr>
            <w:tcW w:w="859" w:type="pct"/>
            <w:noWrap w:val="0"/>
            <w:vAlign w:val="top"/>
          </w:tcPr>
          <w:p>
            <w:pPr>
              <w:spacing w:line="360" w:lineRule="auto"/>
              <w:jc w:val="both"/>
              <w:rPr>
                <w:rFonts w:ascii="Book Antiqua" w:hAnsi="Book Antiqua" w:cs="宋体"/>
                <w:color w:val="000000"/>
              </w:rPr>
            </w:pPr>
            <w:r>
              <w:rPr>
                <w:rStyle w:val="19"/>
              </w:rPr>
              <w:t>Admission</w:t>
            </w:r>
          </w:p>
        </w:tc>
        <w:tc>
          <w:tcPr>
            <w:tcW w:w="817" w:type="pct"/>
            <w:noWrap w:val="0"/>
            <w:vAlign w:val="top"/>
          </w:tcPr>
          <w:p>
            <w:pPr>
              <w:spacing w:line="360" w:lineRule="auto"/>
              <w:jc w:val="both"/>
              <w:rPr>
                <w:rFonts w:ascii="Book Antiqua" w:hAnsi="Book Antiqua" w:cs="宋体"/>
                <w:color w:val="000000"/>
              </w:rPr>
            </w:pPr>
            <w:r>
              <w:rPr>
                <w:rStyle w:val="19"/>
              </w:rPr>
              <w:t>78.8 ± 0.8</w:t>
            </w:r>
          </w:p>
        </w:tc>
        <w:tc>
          <w:tcPr>
            <w:tcW w:w="817" w:type="pct"/>
            <w:noWrap w:val="0"/>
            <w:vAlign w:val="top"/>
          </w:tcPr>
          <w:p>
            <w:pPr>
              <w:spacing w:line="360" w:lineRule="auto"/>
              <w:jc w:val="both"/>
              <w:rPr>
                <w:rFonts w:ascii="Book Antiqua" w:hAnsi="Book Antiqua" w:cs="宋体"/>
                <w:color w:val="000000"/>
              </w:rPr>
            </w:pPr>
            <w:r>
              <w:rPr>
                <w:rStyle w:val="19"/>
              </w:rPr>
              <w:t>78.6 ± 0.7</w:t>
            </w:r>
          </w:p>
        </w:tc>
        <w:tc>
          <w:tcPr>
            <w:tcW w:w="780" w:type="pct"/>
            <w:noWrap w:val="0"/>
            <w:vAlign w:val="top"/>
          </w:tcPr>
          <w:p>
            <w:pPr>
              <w:spacing w:line="360" w:lineRule="auto"/>
              <w:jc w:val="both"/>
              <w:rPr>
                <w:rFonts w:ascii="Book Antiqua" w:hAnsi="Book Antiqua" w:cs="宋体"/>
                <w:color w:val="000000"/>
              </w:rPr>
            </w:pPr>
            <w:r>
              <w:rPr>
                <w:rStyle w:val="19"/>
              </w:rPr>
              <w:t>78.2 ± 0.4</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80" w:type="pct"/>
            <w:noWrap w:val="0"/>
            <w:vAlign w:val="top"/>
          </w:tcPr>
          <w:p>
            <w:pPr>
              <w:spacing w:line="360" w:lineRule="auto"/>
              <w:jc w:val="both"/>
              <w:rPr>
                <w:rFonts w:ascii="Book Antiqua" w:hAnsi="Book Antiqua" w:cs="宋体"/>
                <w:color w:val="000000"/>
              </w:rPr>
            </w:pPr>
            <w:r>
              <w:rPr>
                <w:rStyle w:val="19"/>
              </w:rPr>
              <w:t>(</w:t>
            </w:r>
            <w:r>
              <w:rPr>
                <w:rStyle w:val="19"/>
                <w:i/>
              </w:rPr>
              <w:t>n</w:t>
            </w:r>
            <w:r>
              <w:rPr>
                <w:rStyle w:val="19"/>
              </w:rPr>
              <w:t xml:space="preserve"> =</w:t>
            </w:r>
            <w:r>
              <w:rPr>
                <w:rStyle w:val="19"/>
                <w:lang w:eastAsia="zh-CN"/>
              </w:rPr>
              <w:t xml:space="preserve"> </w:t>
            </w:r>
            <w:r>
              <w:rPr>
                <w:rStyle w:val="19"/>
              </w:rPr>
              <w:t>92)</w:t>
            </w:r>
          </w:p>
        </w:tc>
        <w:tc>
          <w:tcPr>
            <w:tcW w:w="859" w:type="pct"/>
            <w:noWrap w:val="0"/>
            <w:vAlign w:val="top"/>
          </w:tcPr>
          <w:p>
            <w:pPr>
              <w:spacing w:line="360" w:lineRule="auto"/>
              <w:jc w:val="both"/>
              <w:rPr>
                <w:rFonts w:ascii="Book Antiqua" w:hAnsi="Book Antiqua" w:cs="宋体"/>
                <w:color w:val="000000"/>
              </w:rPr>
            </w:pPr>
            <w:r>
              <w:rPr>
                <w:rStyle w:val="19"/>
              </w:rPr>
              <w:t>Follow-up</w:t>
            </w:r>
          </w:p>
        </w:tc>
        <w:tc>
          <w:tcPr>
            <w:tcW w:w="817" w:type="pct"/>
            <w:noWrap w:val="0"/>
            <w:vAlign w:val="top"/>
          </w:tcPr>
          <w:p>
            <w:pPr>
              <w:spacing w:line="360" w:lineRule="auto"/>
              <w:jc w:val="both"/>
              <w:rPr>
                <w:rFonts w:ascii="Book Antiqua" w:hAnsi="Book Antiqua" w:cs="宋体"/>
                <w:color w:val="000000"/>
              </w:rPr>
            </w:pPr>
            <w:r>
              <w:rPr>
                <w:rStyle w:val="19"/>
              </w:rPr>
              <w:t>80.4 ± 0.8</w:t>
            </w:r>
          </w:p>
        </w:tc>
        <w:tc>
          <w:tcPr>
            <w:tcW w:w="817" w:type="pct"/>
            <w:noWrap w:val="0"/>
            <w:vAlign w:val="top"/>
          </w:tcPr>
          <w:p>
            <w:pPr>
              <w:spacing w:line="360" w:lineRule="auto"/>
              <w:jc w:val="both"/>
              <w:rPr>
                <w:rFonts w:ascii="Book Antiqua" w:hAnsi="Book Antiqua" w:cs="宋体"/>
                <w:color w:val="000000"/>
              </w:rPr>
            </w:pPr>
            <w:r>
              <w:rPr>
                <w:rStyle w:val="19"/>
              </w:rPr>
              <w:t>81.4 ± 0.8</w:t>
            </w:r>
          </w:p>
        </w:tc>
        <w:tc>
          <w:tcPr>
            <w:tcW w:w="780" w:type="pct"/>
            <w:noWrap w:val="0"/>
            <w:vAlign w:val="top"/>
          </w:tcPr>
          <w:p>
            <w:pPr>
              <w:spacing w:line="360" w:lineRule="auto"/>
              <w:jc w:val="both"/>
              <w:rPr>
                <w:rFonts w:ascii="Book Antiqua" w:hAnsi="Book Antiqua" w:cs="宋体"/>
                <w:color w:val="000000"/>
              </w:rPr>
            </w:pPr>
            <w:r>
              <w:rPr>
                <w:rStyle w:val="19"/>
              </w:rPr>
              <w:t>84.2 ± 0.4</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80" w:type="pct"/>
            <w:noWrap w:val="0"/>
            <w:vAlign w:val="top"/>
          </w:tcPr>
          <w:p>
            <w:pPr>
              <w:spacing w:line="360" w:lineRule="auto"/>
              <w:jc w:val="both"/>
              <w:rPr>
                <w:rFonts w:ascii="Book Antiqua" w:hAnsi="Book Antiqua" w:cs="宋体"/>
                <w:color w:val="000000"/>
              </w:rPr>
            </w:pPr>
          </w:p>
        </w:tc>
        <w:tc>
          <w:tcPr>
            <w:tcW w:w="859" w:type="pct"/>
            <w:noWrap w:val="0"/>
            <w:vAlign w:val="top"/>
          </w:tcPr>
          <w:p>
            <w:pPr>
              <w:spacing w:line="360" w:lineRule="auto"/>
              <w:jc w:val="both"/>
              <w:rPr>
                <w:rFonts w:ascii="Book Antiqua" w:hAnsi="Book Antiqua" w:cs="宋体"/>
                <w:color w:val="000000"/>
              </w:rPr>
            </w:pPr>
            <w:r>
              <w:rPr>
                <w:rStyle w:val="19"/>
              </w:rPr>
              <w:t>Change</w:t>
            </w:r>
          </w:p>
        </w:tc>
        <w:tc>
          <w:tcPr>
            <w:tcW w:w="817" w:type="pct"/>
            <w:noWrap w:val="0"/>
            <w:vAlign w:val="top"/>
          </w:tcPr>
          <w:p>
            <w:pPr>
              <w:spacing w:line="360" w:lineRule="auto"/>
              <w:jc w:val="both"/>
              <w:rPr>
                <w:rFonts w:ascii="Book Antiqua" w:hAnsi="Book Antiqua" w:cs="宋体"/>
                <w:color w:val="000000"/>
              </w:rPr>
            </w:pPr>
            <w:r>
              <w:rPr>
                <w:rStyle w:val="19"/>
              </w:rPr>
              <w:t>1.6 ± 1.1</w:t>
            </w:r>
            <w:r>
              <w:rPr>
                <w:rStyle w:val="19"/>
                <w:vertAlign w:val="superscript"/>
              </w:rPr>
              <w:t>a</w:t>
            </w:r>
          </w:p>
        </w:tc>
        <w:tc>
          <w:tcPr>
            <w:tcW w:w="817" w:type="pct"/>
            <w:noWrap w:val="0"/>
            <w:vAlign w:val="top"/>
          </w:tcPr>
          <w:p>
            <w:pPr>
              <w:spacing w:line="360" w:lineRule="auto"/>
              <w:jc w:val="both"/>
              <w:rPr>
                <w:rFonts w:ascii="Book Antiqua" w:hAnsi="Book Antiqua" w:cs="宋体"/>
                <w:color w:val="000000"/>
              </w:rPr>
            </w:pPr>
            <w:r>
              <w:rPr>
                <w:rStyle w:val="19"/>
              </w:rPr>
              <w:t>2.8 ± 1.1</w:t>
            </w:r>
            <w:r>
              <w:rPr>
                <w:rStyle w:val="19"/>
                <w:vertAlign w:val="superscript"/>
              </w:rPr>
              <w:t>a</w:t>
            </w:r>
          </w:p>
        </w:tc>
        <w:tc>
          <w:tcPr>
            <w:tcW w:w="780" w:type="pct"/>
            <w:noWrap w:val="0"/>
            <w:vAlign w:val="top"/>
          </w:tcPr>
          <w:p>
            <w:pPr>
              <w:spacing w:line="360" w:lineRule="auto"/>
              <w:jc w:val="both"/>
              <w:rPr>
                <w:rFonts w:ascii="Book Antiqua" w:hAnsi="Book Antiqua" w:cs="宋体"/>
                <w:color w:val="000000"/>
              </w:rPr>
            </w:pPr>
            <w:r>
              <w:rPr>
                <w:rStyle w:val="19"/>
              </w:rPr>
              <w:t>6.0 ± 0.6</w:t>
            </w:r>
            <w:r>
              <w:rPr>
                <w:rStyle w:val="19"/>
                <w:vertAlign w:val="superscript"/>
              </w:rPr>
              <w:t>b</w:t>
            </w:r>
          </w:p>
        </w:tc>
        <w:tc>
          <w:tcPr>
            <w:tcW w:w="547" w:type="pct"/>
            <w:noWrap w:val="0"/>
            <w:vAlign w:val="top"/>
          </w:tcPr>
          <w:p>
            <w:pPr>
              <w:spacing w:line="360" w:lineRule="auto"/>
              <w:jc w:val="both"/>
              <w:rPr>
                <w:rFonts w:ascii="Book Antiqua" w:hAnsi="Book Antiqua" w:cs="宋体"/>
                <w:color w:val="000000"/>
              </w:rPr>
            </w:pPr>
            <w:r>
              <w:rPr>
                <w:rFonts w:ascii="Book Antiqua" w:hAnsi="Book Antiqua"/>
                <w:color w:val="000000"/>
              </w:rPr>
              <w:t>0.0004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180" w:type="pct"/>
            <w:noWrap w:val="0"/>
            <w:vAlign w:val="top"/>
          </w:tcPr>
          <w:p>
            <w:pPr>
              <w:spacing w:line="360" w:lineRule="auto"/>
              <w:jc w:val="both"/>
              <w:rPr>
                <w:rFonts w:ascii="Book Antiqua" w:hAnsi="Book Antiqua" w:cs="宋体"/>
                <w:color w:val="000000"/>
              </w:rPr>
            </w:pPr>
            <w:r>
              <w:rPr>
                <w:rStyle w:val="19"/>
              </w:rPr>
              <w:t>CRP (mg/dL)</w:t>
            </w:r>
          </w:p>
        </w:tc>
        <w:tc>
          <w:tcPr>
            <w:tcW w:w="859" w:type="pct"/>
            <w:noWrap w:val="0"/>
            <w:vAlign w:val="top"/>
          </w:tcPr>
          <w:p>
            <w:pPr>
              <w:spacing w:line="360" w:lineRule="auto"/>
              <w:jc w:val="both"/>
              <w:rPr>
                <w:rFonts w:ascii="Book Antiqua" w:hAnsi="Book Antiqua" w:cs="宋体"/>
                <w:color w:val="000000"/>
              </w:rPr>
            </w:pPr>
            <w:r>
              <w:rPr>
                <w:rStyle w:val="19"/>
              </w:rPr>
              <w:t>Admission</w:t>
            </w:r>
          </w:p>
        </w:tc>
        <w:tc>
          <w:tcPr>
            <w:tcW w:w="817" w:type="pct"/>
            <w:noWrap w:val="0"/>
            <w:vAlign w:val="top"/>
          </w:tcPr>
          <w:p>
            <w:pPr>
              <w:spacing w:line="360" w:lineRule="auto"/>
              <w:jc w:val="both"/>
              <w:rPr>
                <w:rFonts w:ascii="Book Antiqua" w:hAnsi="Book Antiqua" w:cs="宋体"/>
                <w:color w:val="000000"/>
              </w:rPr>
            </w:pPr>
            <w:r>
              <w:rPr>
                <w:rStyle w:val="19"/>
              </w:rPr>
              <w:t>3.8 ± 0.8</w:t>
            </w:r>
          </w:p>
        </w:tc>
        <w:tc>
          <w:tcPr>
            <w:tcW w:w="817" w:type="pct"/>
            <w:noWrap w:val="0"/>
            <w:vAlign w:val="top"/>
          </w:tcPr>
          <w:p>
            <w:pPr>
              <w:spacing w:line="360" w:lineRule="auto"/>
              <w:jc w:val="both"/>
              <w:rPr>
                <w:rFonts w:ascii="Book Antiqua" w:hAnsi="Book Antiqua" w:cs="宋体"/>
                <w:color w:val="000000"/>
              </w:rPr>
            </w:pPr>
            <w:r>
              <w:rPr>
                <w:rStyle w:val="19"/>
              </w:rPr>
              <w:t>3.2 ± 0.8</w:t>
            </w:r>
          </w:p>
        </w:tc>
        <w:tc>
          <w:tcPr>
            <w:tcW w:w="780" w:type="pct"/>
            <w:noWrap w:val="0"/>
            <w:vAlign w:val="top"/>
          </w:tcPr>
          <w:p>
            <w:pPr>
              <w:spacing w:line="360" w:lineRule="auto"/>
              <w:jc w:val="both"/>
              <w:rPr>
                <w:rFonts w:ascii="Book Antiqua" w:hAnsi="Book Antiqua" w:cs="宋体"/>
                <w:color w:val="000000"/>
              </w:rPr>
            </w:pPr>
            <w:r>
              <w:rPr>
                <w:rStyle w:val="19"/>
              </w:rPr>
              <w:t>4.0 ± 0.4</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0" w:hRule="atLeast"/>
        </w:trPr>
        <w:tc>
          <w:tcPr>
            <w:tcW w:w="1180" w:type="pct"/>
            <w:noWrap w:val="0"/>
            <w:vAlign w:val="top"/>
          </w:tcPr>
          <w:p>
            <w:pPr>
              <w:spacing w:line="360" w:lineRule="auto"/>
              <w:jc w:val="both"/>
              <w:rPr>
                <w:rFonts w:ascii="Book Antiqua" w:hAnsi="Book Antiqua" w:cs="宋体"/>
                <w:color w:val="000000"/>
              </w:rPr>
            </w:pPr>
            <w:r>
              <w:rPr>
                <w:rStyle w:val="19"/>
              </w:rPr>
              <w:t>(</w:t>
            </w:r>
            <w:r>
              <w:rPr>
                <w:rStyle w:val="19"/>
                <w:i/>
              </w:rPr>
              <w:t>n</w:t>
            </w:r>
            <w:r>
              <w:rPr>
                <w:rStyle w:val="19"/>
              </w:rPr>
              <w:t xml:space="preserve"> </w:t>
            </w:r>
            <w:r>
              <w:rPr>
                <w:rStyle w:val="19"/>
                <w:lang w:eastAsia="zh-CN"/>
              </w:rPr>
              <w:t xml:space="preserve">= </w:t>
            </w:r>
            <w:r>
              <w:rPr>
                <w:rStyle w:val="19"/>
              </w:rPr>
              <w:t>85)</w:t>
            </w:r>
          </w:p>
        </w:tc>
        <w:tc>
          <w:tcPr>
            <w:tcW w:w="859" w:type="pct"/>
            <w:noWrap w:val="0"/>
            <w:vAlign w:val="top"/>
          </w:tcPr>
          <w:p>
            <w:pPr>
              <w:spacing w:line="360" w:lineRule="auto"/>
              <w:jc w:val="both"/>
              <w:rPr>
                <w:rFonts w:ascii="Book Antiqua" w:hAnsi="Book Antiqua" w:cs="宋体"/>
                <w:color w:val="000000"/>
              </w:rPr>
            </w:pPr>
            <w:r>
              <w:rPr>
                <w:rStyle w:val="19"/>
              </w:rPr>
              <w:t>Follow-up</w:t>
            </w:r>
          </w:p>
        </w:tc>
        <w:tc>
          <w:tcPr>
            <w:tcW w:w="817" w:type="pct"/>
            <w:noWrap w:val="0"/>
            <w:vAlign w:val="top"/>
          </w:tcPr>
          <w:p>
            <w:pPr>
              <w:spacing w:line="360" w:lineRule="auto"/>
              <w:jc w:val="both"/>
              <w:rPr>
                <w:rFonts w:ascii="Book Antiqua" w:hAnsi="Book Antiqua" w:cs="宋体"/>
                <w:color w:val="000000"/>
              </w:rPr>
            </w:pPr>
            <w:r>
              <w:rPr>
                <w:rStyle w:val="19"/>
              </w:rPr>
              <w:t>1.9 ± 0.9</w:t>
            </w:r>
          </w:p>
        </w:tc>
        <w:tc>
          <w:tcPr>
            <w:tcW w:w="817" w:type="pct"/>
            <w:noWrap w:val="0"/>
            <w:vAlign w:val="top"/>
          </w:tcPr>
          <w:p>
            <w:pPr>
              <w:spacing w:line="360" w:lineRule="auto"/>
              <w:jc w:val="both"/>
              <w:rPr>
                <w:rFonts w:ascii="Book Antiqua" w:hAnsi="Book Antiqua" w:cs="宋体"/>
                <w:color w:val="000000"/>
              </w:rPr>
            </w:pPr>
            <w:r>
              <w:rPr>
                <w:rStyle w:val="19"/>
              </w:rPr>
              <w:t>0.8 ± 0.9</w:t>
            </w:r>
          </w:p>
        </w:tc>
        <w:tc>
          <w:tcPr>
            <w:tcW w:w="780" w:type="pct"/>
            <w:noWrap w:val="0"/>
            <w:vAlign w:val="top"/>
          </w:tcPr>
          <w:p>
            <w:pPr>
              <w:spacing w:line="360" w:lineRule="auto"/>
              <w:jc w:val="both"/>
              <w:rPr>
                <w:rFonts w:ascii="Book Antiqua" w:hAnsi="Book Antiqua" w:cs="宋体"/>
                <w:color w:val="000000"/>
              </w:rPr>
            </w:pPr>
            <w:r>
              <w:rPr>
                <w:rStyle w:val="19"/>
              </w:rPr>
              <w:t>0.8 ± 0.4</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80" w:type="pct"/>
            <w:noWrap w:val="0"/>
            <w:vAlign w:val="top"/>
          </w:tcPr>
          <w:p>
            <w:pPr>
              <w:spacing w:line="360" w:lineRule="auto"/>
              <w:jc w:val="both"/>
              <w:rPr>
                <w:rFonts w:ascii="Book Antiqua" w:hAnsi="Book Antiqua" w:cs="宋体"/>
                <w:color w:val="000000"/>
              </w:rPr>
            </w:pPr>
          </w:p>
        </w:tc>
        <w:tc>
          <w:tcPr>
            <w:tcW w:w="859" w:type="pct"/>
            <w:noWrap w:val="0"/>
            <w:vAlign w:val="top"/>
          </w:tcPr>
          <w:p>
            <w:pPr>
              <w:spacing w:line="360" w:lineRule="auto"/>
              <w:jc w:val="both"/>
              <w:rPr>
                <w:rFonts w:ascii="Book Antiqua" w:hAnsi="Book Antiqua" w:cs="宋体"/>
                <w:color w:val="000000"/>
              </w:rPr>
            </w:pPr>
            <w:r>
              <w:rPr>
                <w:rStyle w:val="19"/>
              </w:rPr>
              <w:t>Change</w:t>
            </w:r>
          </w:p>
        </w:tc>
        <w:tc>
          <w:tcPr>
            <w:tcW w:w="817" w:type="pct"/>
            <w:noWrap w:val="0"/>
            <w:vAlign w:val="top"/>
          </w:tcPr>
          <w:p>
            <w:pPr>
              <w:spacing w:line="360" w:lineRule="auto"/>
              <w:jc w:val="both"/>
              <w:rPr>
                <w:rFonts w:ascii="Book Antiqua" w:hAnsi="Book Antiqua" w:cs="宋体"/>
                <w:color w:val="000000"/>
              </w:rPr>
            </w:pPr>
            <w:r>
              <w:rPr>
                <w:rStyle w:val="19"/>
              </w:rPr>
              <w:t>-1.8 ± 1.3</w:t>
            </w:r>
          </w:p>
        </w:tc>
        <w:tc>
          <w:tcPr>
            <w:tcW w:w="817" w:type="pct"/>
            <w:noWrap w:val="0"/>
            <w:vAlign w:val="top"/>
          </w:tcPr>
          <w:p>
            <w:pPr>
              <w:spacing w:line="360" w:lineRule="auto"/>
              <w:jc w:val="both"/>
              <w:rPr>
                <w:rFonts w:ascii="Book Antiqua" w:hAnsi="Book Antiqua" w:cs="宋体"/>
                <w:color w:val="000000"/>
              </w:rPr>
            </w:pPr>
            <w:r>
              <w:rPr>
                <w:rStyle w:val="19"/>
              </w:rPr>
              <w:t>-2.4 ± 1.4</w:t>
            </w:r>
          </w:p>
        </w:tc>
        <w:tc>
          <w:tcPr>
            <w:tcW w:w="780" w:type="pct"/>
            <w:noWrap w:val="0"/>
            <w:vAlign w:val="top"/>
          </w:tcPr>
          <w:p>
            <w:pPr>
              <w:spacing w:line="360" w:lineRule="auto"/>
              <w:jc w:val="both"/>
              <w:rPr>
                <w:rFonts w:ascii="Book Antiqua" w:hAnsi="Book Antiqua" w:cs="宋体"/>
                <w:color w:val="000000"/>
              </w:rPr>
            </w:pPr>
            <w:r>
              <w:rPr>
                <w:rStyle w:val="19"/>
              </w:rPr>
              <w:t>-3.2 ± 0.7</w:t>
            </w:r>
          </w:p>
        </w:tc>
        <w:tc>
          <w:tcPr>
            <w:tcW w:w="547" w:type="pct"/>
            <w:noWrap w:val="0"/>
            <w:vAlign w:val="top"/>
          </w:tcPr>
          <w:p>
            <w:pPr>
              <w:spacing w:line="360" w:lineRule="auto"/>
              <w:jc w:val="both"/>
              <w:rPr>
                <w:rFonts w:ascii="Book Antiqua" w:hAnsi="Book Antiqua" w:cs="宋体"/>
                <w:color w:val="000000"/>
              </w:rPr>
            </w:pPr>
            <w:r>
              <w:rPr>
                <w:rFonts w:ascii="Book Antiqua" w:hAnsi="Book Antiqua"/>
                <w:color w:val="000000"/>
              </w:rPr>
              <w:t>0.63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180" w:type="pct"/>
            <w:noWrap w:val="0"/>
            <w:vAlign w:val="top"/>
          </w:tcPr>
          <w:p>
            <w:pPr>
              <w:spacing w:line="360" w:lineRule="auto"/>
              <w:jc w:val="both"/>
              <w:rPr>
                <w:rFonts w:ascii="Book Antiqua" w:hAnsi="Book Antiqua" w:cs="宋体"/>
                <w:color w:val="000000"/>
              </w:rPr>
            </w:pPr>
            <w:r>
              <w:rPr>
                <w:rStyle w:val="19"/>
              </w:rPr>
              <w:t>ESR (mm/1h)</w:t>
            </w:r>
          </w:p>
        </w:tc>
        <w:tc>
          <w:tcPr>
            <w:tcW w:w="859" w:type="pct"/>
            <w:noWrap w:val="0"/>
            <w:vAlign w:val="top"/>
          </w:tcPr>
          <w:p>
            <w:pPr>
              <w:spacing w:line="360" w:lineRule="auto"/>
              <w:jc w:val="both"/>
              <w:rPr>
                <w:rFonts w:ascii="Book Antiqua" w:hAnsi="Book Antiqua" w:cs="宋体"/>
                <w:color w:val="000000"/>
              </w:rPr>
            </w:pPr>
            <w:r>
              <w:rPr>
                <w:rStyle w:val="19"/>
              </w:rPr>
              <w:t>Admission</w:t>
            </w:r>
          </w:p>
        </w:tc>
        <w:tc>
          <w:tcPr>
            <w:tcW w:w="817" w:type="pct"/>
            <w:noWrap w:val="0"/>
            <w:vAlign w:val="top"/>
          </w:tcPr>
          <w:p>
            <w:pPr>
              <w:spacing w:line="360" w:lineRule="auto"/>
              <w:jc w:val="both"/>
              <w:rPr>
                <w:rFonts w:ascii="Book Antiqua" w:hAnsi="Book Antiqua" w:cs="宋体"/>
                <w:color w:val="000000"/>
              </w:rPr>
            </w:pPr>
            <w:r>
              <w:rPr>
                <w:rStyle w:val="19"/>
              </w:rPr>
              <w:t>48 ± 5</w:t>
            </w:r>
          </w:p>
        </w:tc>
        <w:tc>
          <w:tcPr>
            <w:tcW w:w="817" w:type="pct"/>
            <w:noWrap w:val="0"/>
            <w:vAlign w:val="top"/>
          </w:tcPr>
          <w:p>
            <w:pPr>
              <w:spacing w:line="360" w:lineRule="auto"/>
              <w:jc w:val="both"/>
              <w:rPr>
                <w:rFonts w:ascii="Book Antiqua" w:hAnsi="Book Antiqua" w:cs="宋体"/>
                <w:color w:val="000000"/>
              </w:rPr>
            </w:pPr>
            <w:r>
              <w:rPr>
                <w:rStyle w:val="19"/>
              </w:rPr>
              <w:t>42 ± 5</w:t>
            </w:r>
          </w:p>
        </w:tc>
        <w:tc>
          <w:tcPr>
            <w:tcW w:w="780" w:type="pct"/>
            <w:noWrap w:val="0"/>
            <w:vAlign w:val="top"/>
          </w:tcPr>
          <w:p>
            <w:pPr>
              <w:spacing w:line="360" w:lineRule="auto"/>
              <w:jc w:val="both"/>
              <w:rPr>
                <w:rFonts w:ascii="Book Antiqua" w:hAnsi="Book Antiqua" w:cs="宋体"/>
                <w:color w:val="000000"/>
              </w:rPr>
            </w:pPr>
            <w:r>
              <w:rPr>
                <w:rStyle w:val="19"/>
              </w:rPr>
              <w:t>44 ± 3</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80" w:type="pct"/>
            <w:noWrap w:val="0"/>
            <w:vAlign w:val="top"/>
          </w:tcPr>
          <w:p>
            <w:pPr>
              <w:spacing w:line="360" w:lineRule="auto"/>
              <w:jc w:val="both"/>
              <w:rPr>
                <w:rFonts w:ascii="Book Antiqua" w:hAnsi="Book Antiqua" w:cs="宋体"/>
                <w:color w:val="000000"/>
              </w:rPr>
            </w:pPr>
            <w:r>
              <w:rPr>
                <w:rStyle w:val="19"/>
              </w:rPr>
              <w:t>(</w:t>
            </w:r>
            <w:r>
              <w:rPr>
                <w:rStyle w:val="19"/>
                <w:i/>
              </w:rPr>
              <w:t>n</w:t>
            </w:r>
            <w:r>
              <w:rPr>
                <w:rStyle w:val="19"/>
              </w:rPr>
              <w:t xml:space="preserve"> </w:t>
            </w:r>
            <w:r>
              <w:rPr>
                <w:rStyle w:val="19"/>
                <w:lang w:eastAsia="zh-CN"/>
              </w:rPr>
              <w:t xml:space="preserve">= </w:t>
            </w:r>
            <w:r>
              <w:rPr>
                <w:rStyle w:val="19"/>
              </w:rPr>
              <w:t>80)</w:t>
            </w:r>
          </w:p>
        </w:tc>
        <w:tc>
          <w:tcPr>
            <w:tcW w:w="859" w:type="pct"/>
            <w:noWrap w:val="0"/>
            <w:vAlign w:val="top"/>
          </w:tcPr>
          <w:p>
            <w:pPr>
              <w:spacing w:line="360" w:lineRule="auto"/>
              <w:jc w:val="both"/>
              <w:rPr>
                <w:rFonts w:ascii="Book Antiqua" w:hAnsi="Book Antiqua" w:cs="宋体"/>
                <w:color w:val="000000"/>
              </w:rPr>
            </w:pPr>
            <w:r>
              <w:rPr>
                <w:rStyle w:val="19"/>
              </w:rPr>
              <w:t>Follow-up</w:t>
            </w:r>
          </w:p>
        </w:tc>
        <w:tc>
          <w:tcPr>
            <w:tcW w:w="817" w:type="pct"/>
            <w:noWrap w:val="0"/>
            <w:vAlign w:val="top"/>
          </w:tcPr>
          <w:p>
            <w:pPr>
              <w:spacing w:line="360" w:lineRule="auto"/>
              <w:jc w:val="both"/>
              <w:rPr>
                <w:rFonts w:ascii="Book Antiqua" w:hAnsi="Book Antiqua" w:cs="宋体"/>
                <w:color w:val="000000"/>
              </w:rPr>
            </w:pPr>
            <w:r>
              <w:rPr>
                <w:rStyle w:val="19"/>
              </w:rPr>
              <w:t>31 ± 6</w:t>
            </w:r>
          </w:p>
        </w:tc>
        <w:tc>
          <w:tcPr>
            <w:tcW w:w="817" w:type="pct"/>
            <w:noWrap w:val="0"/>
            <w:vAlign w:val="top"/>
          </w:tcPr>
          <w:p>
            <w:pPr>
              <w:spacing w:line="360" w:lineRule="auto"/>
              <w:jc w:val="both"/>
              <w:rPr>
                <w:rFonts w:ascii="Book Antiqua" w:hAnsi="Book Antiqua" w:cs="宋体"/>
                <w:color w:val="000000"/>
              </w:rPr>
            </w:pPr>
            <w:r>
              <w:rPr>
                <w:rStyle w:val="19"/>
              </w:rPr>
              <w:t>23 ± 6</w:t>
            </w:r>
          </w:p>
        </w:tc>
        <w:tc>
          <w:tcPr>
            <w:tcW w:w="780" w:type="pct"/>
            <w:noWrap w:val="0"/>
            <w:vAlign w:val="top"/>
          </w:tcPr>
          <w:p>
            <w:pPr>
              <w:spacing w:line="360" w:lineRule="auto"/>
              <w:jc w:val="both"/>
              <w:rPr>
                <w:rFonts w:ascii="Book Antiqua" w:hAnsi="Book Antiqua" w:cs="宋体"/>
                <w:color w:val="000000"/>
              </w:rPr>
            </w:pPr>
            <w:r>
              <w:rPr>
                <w:rStyle w:val="19"/>
              </w:rPr>
              <w:t>27 ± 3</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80" w:type="pct"/>
            <w:noWrap w:val="0"/>
            <w:vAlign w:val="top"/>
          </w:tcPr>
          <w:p>
            <w:pPr>
              <w:spacing w:line="360" w:lineRule="auto"/>
              <w:jc w:val="both"/>
              <w:rPr>
                <w:rFonts w:ascii="Book Antiqua" w:hAnsi="Book Antiqua" w:cs="宋体"/>
                <w:color w:val="000000"/>
              </w:rPr>
            </w:pPr>
          </w:p>
        </w:tc>
        <w:tc>
          <w:tcPr>
            <w:tcW w:w="859" w:type="pct"/>
            <w:noWrap w:val="0"/>
            <w:vAlign w:val="top"/>
          </w:tcPr>
          <w:p>
            <w:pPr>
              <w:spacing w:line="360" w:lineRule="auto"/>
              <w:jc w:val="both"/>
              <w:rPr>
                <w:rFonts w:ascii="Book Antiqua" w:hAnsi="Book Antiqua" w:cs="宋体"/>
                <w:color w:val="000000"/>
              </w:rPr>
            </w:pPr>
            <w:r>
              <w:rPr>
                <w:rStyle w:val="19"/>
              </w:rPr>
              <w:t>Change</w:t>
            </w:r>
          </w:p>
        </w:tc>
        <w:tc>
          <w:tcPr>
            <w:tcW w:w="817" w:type="pct"/>
            <w:noWrap w:val="0"/>
            <w:vAlign w:val="top"/>
          </w:tcPr>
          <w:p>
            <w:pPr>
              <w:spacing w:line="360" w:lineRule="auto"/>
              <w:jc w:val="both"/>
              <w:rPr>
                <w:rFonts w:ascii="Book Antiqua" w:hAnsi="Book Antiqua" w:cs="宋体"/>
                <w:color w:val="000000"/>
              </w:rPr>
            </w:pPr>
            <w:r>
              <w:rPr>
                <w:rStyle w:val="19"/>
              </w:rPr>
              <w:t>-17 ± 8</w:t>
            </w:r>
          </w:p>
        </w:tc>
        <w:tc>
          <w:tcPr>
            <w:tcW w:w="817" w:type="pct"/>
            <w:noWrap w:val="0"/>
            <w:vAlign w:val="top"/>
          </w:tcPr>
          <w:p>
            <w:pPr>
              <w:spacing w:line="360" w:lineRule="auto"/>
              <w:jc w:val="both"/>
              <w:rPr>
                <w:rFonts w:ascii="Book Antiqua" w:hAnsi="Book Antiqua" w:cs="宋体"/>
                <w:color w:val="000000"/>
              </w:rPr>
            </w:pPr>
            <w:r>
              <w:rPr>
                <w:rStyle w:val="19"/>
              </w:rPr>
              <w:t>-20 ± 8</w:t>
            </w:r>
          </w:p>
        </w:tc>
        <w:tc>
          <w:tcPr>
            <w:tcW w:w="780" w:type="pct"/>
            <w:noWrap w:val="0"/>
            <w:vAlign w:val="top"/>
          </w:tcPr>
          <w:p>
            <w:pPr>
              <w:spacing w:line="360" w:lineRule="auto"/>
              <w:jc w:val="both"/>
              <w:rPr>
                <w:rFonts w:ascii="Book Antiqua" w:hAnsi="Book Antiqua" w:cs="宋体"/>
                <w:color w:val="000000"/>
              </w:rPr>
            </w:pPr>
            <w:r>
              <w:rPr>
                <w:rStyle w:val="19"/>
              </w:rPr>
              <w:t>-16 ± 4</w:t>
            </w:r>
          </w:p>
        </w:tc>
        <w:tc>
          <w:tcPr>
            <w:tcW w:w="547" w:type="pct"/>
            <w:noWrap w:val="0"/>
            <w:vAlign w:val="top"/>
          </w:tcPr>
          <w:p>
            <w:pPr>
              <w:spacing w:line="360" w:lineRule="auto"/>
              <w:jc w:val="both"/>
              <w:rPr>
                <w:rFonts w:ascii="Book Antiqua" w:hAnsi="Book Antiqua" w:cs="宋体"/>
                <w:color w:val="000000"/>
              </w:rPr>
            </w:pPr>
            <w:r>
              <w:rPr>
                <w:rFonts w:ascii="Book Antiqua" w:hAnsi="Book Antiqua"/>
                <w:color w:val="000000"/>
              </w:rPr>
              <w:t>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180" w:type="pct"/>
            <w:noWrap w:val="0"/>
            <w:vAlign w:val="top"/>
          </w:tcPr>
          <w:p>
            <w:pPr>
              <w:spacing w:line="360" w:lineRule="auto"/>
              <w:jc w:val="both"/>
              <w:rPr>
                <w:rFonts w:ascii="Book Antiqua" w:hAnsi="Book Antiqua" w:cs="宋体"/>
                <w:color w:val="000000"/>
              </w:rPr>
            </w:pPr>
            <w:r>
              <w:rPr>
                <w:rStyle w:val="19"/>
              </w:rPr>
              <w:t>TIBC (μg/dL)</w:t>
            </w:r>
          </w:p>
        </w:tc>
        <w:tc>
          <w:tcPr>
            <w:tcW w:w="859" w:type="pct"/>
            <w:noWrap w:val="0"/>
            <w:vAlign w:val="top"/>
          </w:tcPr>
          <w:p>
            <w:pPr>
              <w:spacing w:line="360" w:lineRule="auto"/>
              <w:jc w:val="both"/>
              <w:rPr>
                <w:rFonts w:ascii="Book Antiqua" w:hAnsi="Book Antiqua" w:cs="宋体"/>
                <w:color w:val="000000"/>
              </w:rPr>
            </w:pPr>
            <w:r>
              <w:rPr>
                <w:rStyle w:val="19"/>
              </w:rPr>
              <w:t>Admission</w:t>
            </w:r>
          </w:p>
        </w:tc>
        <w:tc>
          <w:tcPr>
            <w:tcW w:w="817" w:type="pct"/>
            <w:noWrap w:val="0"/>
            <w:vAlign w:val="top"/>
          </w:tcPr>
          <w:p>
            <w:pPr>
              <w:spacing w:line="360" w:lineRule="auto"/>
              <w:jc w:val="both"/>
              <w:rPr>
                <w:rFonts w:ascii="Book Antiqua" w:hAnsi="Book Antiqua" w:cs="宋体"/>
                <w:color w:val="000000"/>
              </w:rPr>
            </w:pPr>
            <w:r>
              <w:rPr>
                <w:rStyle w:val="19"/>
              </w:rPr>
              <w:t>284 ± 19</w:t>
            </w:r>
          </w:p>
        </w:tc>
        <w:tc>
          <w:tcPr>
            <w:tcW w:w="817" w:type="pct"/>
            <w:noWrap w:val="0"/>
            <w:vAlign w:val="top"/>
          </w:tcPr>
          <w:p>
            <w:pPr>
              <w:spacing w:line="360" w:lineRule="auto"/>
              <w:jc w:val="both"/>
              <w:rPr>
                <w:rFonts w:ascii="Book Antiqua" w:hAnsi="Book Antiqua" w:cs="宋体"/>
                <w:color w:val="000000"/>
              </w:rPr>
            </w:pPr>
            <w:r>
              <w:rPr>
                <w:rStyle w:val="19"/>
              </w:rPr>
              <w:t>296 ± 19</w:t>
            </w:r>
          </w:p>
        </w:tc>
        <w:tc>
          <w:tcPr>
            <w:tcW w:w="780" w:type="pct"/>
            <w:noWrap w:val="0"/>
            <w:vAlign w:val="top"/>
          </w:tcPr>
          <w:p>
            <w:pPr>
              <w:spacing w:line="360" w:lineRule="auto"/>
              <w:jc w:val="both"/>
              <w:rPr>
                <w:rFonts w:ascii="Book Antiqua" w:hAnsi="Book Antiqua" w:cs="宋体"/>
                <w:color w:val="000000"/>
              </w:rPr>
            </w:pPr>
            <w:r>
              <w:rPr>
                <w:rStyle w:val="19"/>
              </w:rPr>
              <w:t>301 ± 9.1</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80" w:type="pct"/>
            <w:noWrap w:val="0"/>
            <w:vAlign w:val="top"/>
          </w:tcPr>
          <w:p>
            <w:pPr>
              <w:spacing w:line="360" w:lineRule="auto"/>
              <w:jc w:val="both"/>
              <w:rPr>
                <w:rFonts w:ascii="Book Antiqua" w:hAnsi="Book Antiqua" w:cs="宋体"/>
                <w:color w:val="000000"/>
              </w:rPr>
            </w:pPr>
            <w:r>
              <w:rPr>
                <w:rStyle w:val="19"/>
              </w:rPr>
              <w:t>(</w:t>
            </w:r>
            <w:r>
              <w:rPr>
                <w:rStyle w:val="19"/>
                <w:i/>
              </w:rPr>
              <w:t>n</w:t>
            </w:r>
            <w:r>
              <w:rPr>
                <w:rStyle w:val="19"/>
              </w:rPr>
              <w:t xml:space="preserve"> </w:t>
            </w:r>
            <w:r>
              <w:rPr>
                <w:rStyle w:val="19"/>
                <w:lang w:eastAsia="zh-CN"/>
              </w:rPr>
              <w:t xml:space="preserve">= </w:t>
            </w:r>
            <w:r>
              <w:rPr>
                <w:rStyle w:val="19"/>
              </w:rPr>
              <w:t>64)</w:t>
            </w:r>
          </w:p>
        </w:tc>
        <w:tc>
          <w:tcPr>
            <w:tcW w:w="859" w:type="pct"/>
            <w:noWrap w:val="0"/>
            <w:vAlign w:val="top"/>
          </w:tcPr>
          <w:p>
            <w:pPr>
              <w:spacing w:line="360" w:lineRule="auto"/>
              <w:jc w:val="both"/>
              <w:rPr>
                <w:rFonts w:ascii="Book Antiqua" w:hAnsi="Book Antiqua" w:cs="宋体"/>
                <w:color w:val="000000"/>
              </w:rPr>
            </w:pPr>
            <w:r>
              <w:rPr>
                <w:rStyle w:val="19"/>
              </w:rPr>
              <w:t>Follow-up</w:t>
            </w:r>
          </w:p>
        </w:tc>
        <w:tc>
          <w:tcPr>
            <w:tcW w:w="817" w:type="pct"/>
            <w:noWrap w:val="0"/>
            <w:vAlign w:val="top"/>
          </w:tcPr>
          <w:p>
            <w:pPr>
              <w:spacing w:line="360" w:lineRule="auto"/>
              <w:jc w:val="both"/>
              <w:rPr>
                <w:rFonts w:ascii="Book Antiqua" w:hAnsi="Book Antiqua" w:cs="宋体"/>
                <w:color w:val="000000"/>
              </w:rPr>
            </w:pPr>
            <w:r>
              <w:rPr>
                <w:rStyle w:val="19"/>
              </w:rPr>
              <w:t>385 ± 35</w:t>
            </w:r>
          </w:p>
        </w:tc>
        <w:tc>
          <w:tcPr>
            <w:tcW w:w="817" w:type="pct"/>
            <w:noWrap w:val="0"/>
            <w:vAlign w:val="top"/>
          </w:tcPr>
          <w:p>
            <w:pPr>
              <w:spacing w:line="360" w:lineRule="auto"/>
              <w:jc w:val="both"/>
              <w:rPr>
                <w:rFonts w:ascii="Book Antiqua" w:hAnsi="Book Antiqua" w:cs="宋体"/>
                <w:color w:val="000000"/>
              </w:rPr>
            </w:pPr>
            <w:r>
              <w:rPr>
                <w:rStyle w:val="19"/>
              </w:rPr>
              <w:t>404 ± 29</w:t>
            </w:r>
          </w:p>
        </w:tc>
        <w:tc>
          <w:tcPr>
            <w:tcW w:w="780" w:type="pct"/>
            <w:noWrap w:val="0"/>
            <w:vAlign w:val="top"/>
          </w:tcPr>
          <w:p>
            <w:pPr>
              <w:spacing w:line="360" w:lineRule="auto"/>
              <w:jc w:val="both"/>
              <w:rPr>
                <w:rFonts w:ascii="Book Antiqua" w:hAnsi="Book Antiqua" w:cs="宋体"/>
                <w:color w:val="000000"/>
              </w:rPr>
            </w:pPr>
            <w:r>
              <w:rPr>
                <w:rStyle w:val="19"/>
              </w:rPr>
              <w:t>323 ± 10.7</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80" w:type="pct"/>
            <w:noWrap w:val="0"/>
            <w:vAlign w:val="top"/>
          </w:tcPr>
          <w:p>
            <w:pPr>
              <w:spacing w:line="360" w:lineRule="auto"/>
              <w:jc w:val="both"/>
              <w:rPr>
                <w:rFonts w:ascii="Book Antiqua" w:hAnsi="Book Antiqua" w:cs="宋体"/>
                <w:color w:val="000000"/>
              </w:rPr>
            </w:pPr>
          </w:p>
        </w:tc>
        <w:tc>
          <w:tcPr>
            <w:tcW w:w="859" w:type="pct"/>
            <w:noWrap w:val="0"/>
            <w:vAlign w:val="top"/>
          </w:tcPr>
          <w:p>
            <w:pPr>
              <w:spacing w:line="360" w:lineRule="auto"/>
              <w:jc w:val="both"/>
              <w:rPr>
                <w:rFonts w:ascii="Book Antiqua" w:hAnsi="Book Antiqua" w:cs="宋体"/>
                <w:color w:val="000000"/>
              </w:rPr>
            </w:pPr>
            <w:r>
              <w:rPr>
                <w:rStyle w:val="19"/>
              </w:rPr>
              <w:t>Change</w:t>
            </w:r>
          </w:p>
        </w:tc>
        <w:tc>
          <w:tcPr>
            <w:tcW w:w="817" w:type="pct"/>
            <w:noWrap w:val="0"/>
            <w:vAlign w:val="top"/>
          </w:tcPr>
          <w:p>
            <w:pPr>
              <w:spacing w:line="360" w:lineRule="auto"/>
              <w:jc w:val="both"/>
              <w:rPr>
                <w:rFonts w:ascii="Book Antiqua" w:hAnsi="Book Antiqua" w:cs="宋体"/>
                <w:color w:val="000000"/>
              </w:rPr>
            </w:pPr>
            <w:r>
              <w:rPr>
                <w:rStyle w:val="19"/>
              </w:rPr>
              <w:t>101 ± 39</w:t>
            </w:r>
            <w:r>
              <w:rPr>
                <w:rStyle w:val="19"/>
                <w:vertAlign w:val="superscript"/>
              </w:rPr>
              <w:t>a</w:t>
            </w:r>
          </w:p>
        </w:tc>
        <w:tc>
          <w:tcPr>
            <w:tcW w:w="817" w:type="pct"/>
            <w:noWrap w:val="0"/>
            <w:vAlign w:val="top"/>
          </w:tcPr>
          <w:p>
            <w:pPr>
              <w:spacing w:line="360" w:lineRule="auto"/>
              <w:jc w:val="both"/>
              <w:rPr>
                <w:rFonts w:ascii="Book Antiqua" w:hAnsi="Book Antiqua" w:cs="宋体"/>
                <w:color w:val="000000"/>
              </w:rPr>
            </w:pPr>
            <w:r>
              <w:rPr>
                <w:rStyle w:val="19"/>
              </w:rPr>
              <w:t>108 ± 37</w:t>
            </w:r>
            <w:r>
              <w:rPr>
                <w:rStyle w:val="19"/>
                <w:vertAlign w:val="superscript"/>
              </w:rPr>
              <w:t>a</w:t>
            </w:r>
          </w:p>
        </w:tc>
        <w:tc>
          <w:tcPr>
            <w:tcW w:w="780" w:type="pct"/>
            <w:noWrap w:val="0"/>
            <w:vAlign w:val="top"/>
          </w:tcPr>
          <w:p>
            <w:pPr>
              <w:spacing w:line="360" w:lineRule="auto"/>
              <w:jc w:val="both"/>
              <w:rPr>
                <w:rFonts w:ascii="Book Antiqua" w:hAnsi="Book Antiqua" w:cs="宋体"/>
                <w:color w:val="000000"/>
              </w:rPr>
            </w:pPr>
            <w:r>
              <w:rPr>
                <w:rStyle w:val="19"/>
              </w:rPr>
              <w:t>23 ± 15</w:t>
            </w:r>
            <w:r>
              <w:rPr>
                <w:rStyle w:val="19"/>
                <w:vertAlign w:val="superscript"/>
              </w:rPr>
              <w:t>a</w:t>
            </w:r>
          </w:p>
        </w:tc>
        <w:tc>
          <w:tcPr>
            <w:tcW w:w="547" w:type="pct"/>
            <w:noWrap w:val="0"/>
            <w:vAlign w:val="top"/>
          </w:tcPr>
          <w:p>
            <w:pPr>
              <w:spacing w:line="360" w:lineRule="auto"/>
              <w:jc w:val="both"/>
              <w:rPr>
                <w:rFonts w:ascii="Book Antiqua" w:hAnsi="Book Antiqua" w:cs="宋体"/>
                <w:color w:val="000000"/>
              </w:rPr>
            </w:pPr>
            <w:r>
              <w:rPr>
                <w:rFonts w:ascii="Book Antiqua" w:hAnsi="Book Antiqua"/>
                <w:color w:val="000000"/>
              </w:rPr>
              <w:t>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180" w:type="pct"/>
            <w:noWrap w:val="0"/>
            <w:vAlign w:val="top"/>
          </w:tcPr>
          <w:p>
            <w:pPr>
              <w:spacing w:line="360" w:lineRule="auto"/>
              <w:jc w:val="both"/>
              <w:rPr>
                <w:rFonts w:ascii="Book Antiqua" w:hAnsi="Book Antiqua" w:cs="宋体"/>
                <w:color w:val="000000"/>
              </w:rPr>
            </w:pPr>
            <w:r>
              <w:rPr>
                <w:rStyle w:val="19"/>
              </w:rPr>
              <w:t>Ferritin(μg/dL)</w:t>
            </w:r>
          </w:p>
        </w:tc>
        <w:tc>
          <w:tcPr>
            <w:tcW w:w="859" w:type="pct"/>
            <w:noWrap w:val="0"/>
            <w:vAlign w:val="top"/>
          </w:tcPr>
          <w:p>
            <w:pPr>
              <w:spacing w:line="360" w:lineRule="auto"/>
              <w:jc w:val="both"/>
              <w:rPr>
                <w:rFonts w:ascii="Book Antiqua" w:hAnsi="Book Antiqua" w:cs="宋体"/>
                <w:color w:val="000000"/>
              </w:rPr>
            </w:pPr>
            <w:r>
              <w:rPr>
                <w:rStyle w:val="19"/>
              </w:rPr>
              <w:t>Admission</w:t>
            </w:r>
          </w:p>
        </w:tc>
        <w:tc>
          <w:tcPr>
            <w:tcW w:w="817" w:type="pct"/>
            <w:noWrap w:val="0"/>
            <w:vAlign w:val="top"/>
          </w:tcPr>
          <w:p>
            <w:pPr>
              <w:spacing w:line="360" w:lineRule="auto"/>
              <w:jc w:val="both"/>
              <w:rPr>
                <w:rFonts w:ascii="Book Antiqua" w:hAnsi="Book Antiqua" w:cs="宋体"/>
                <w:color w:val="000000"/>
              </w:rPr>
            </w:pPr>
            <w:r>
              <w:rPr>
                <w:rStyle w:val="19"/>
              </w:rPr>
              <w:t>117 ± 30</w:t>
            </w:r>
          </w:p>
        </w:tc>
        <w:tc>
          <w:tcPr>
            <w:tcW w:w="817" w:type="pct"/>
            <w:noWrap w:val="0"/>
            <w:vAlign w:val="top"/>
          </w:tcPr>
          <w:p>
            <w:pPr>
              <w:spacing w:line="360" w:lineRule="auto"/>
              <w:jc w:val="both"/>
              <w:rPr>
                <w:rFonts w:ascii="Book Antiqua" w:hAnsi="Book Antiqua" w:cs="宋体"/>
                <w:color w:val="000000"/>
              </w:rPr>
            </w:pPr>
            <w:r>
              <w:rPr>
                <w:rStyle w:val="19"/>
              </w:rPr>
              <w:t>82 ± 31</w:t>
            </w:r>
          </w:p>
        </w:tc>
        <w:tc>
          <w:tcPr>
            <w:tcW w:w="780" w:type="pct"/>
            <w:noWrap w:val="0"/>
            <w:vAlign w:val="top"/>
          </w:tcPr>
          <w:p>
            <w:pPr>
              <w:spacing w:line="360" w:lineRule="auto"/>
              <w:jc w:val="both"/>
              <w:rPr>
                <w:rFonts w:ascii="Book Antiqua" w:hAnsi="Book Antiqua" w:cs="宋体"/>
                <w:color w:val="000000"/>
              </w:rPr>
            </w:pPr>
            <w:r>
              <w:rPr>
                <w:rStyle w:val="19"/>
              </w:rPr>
              <w:t>79 ± 15</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80" w:type="pct"/>
            <w:noWrap w:val="0"/>
            <w:vAlign w:val="top"/>
          </w:tcPr>
          <w:p>
            <w:pPr>
              <w:spacing w:line="360" w:lineRule="auto"/>
              <w:jc w:val="both"/>
              <w:rPr>
                <w:rFonts w:ascii="Book Antiqua" w:hAnsi="Book Antiqua" w:cs="宋体"/>
                <w:color w:val="000000"/>
              </w:rPr>
            </w:pPr>
            <w:r>
              <w:rPr>
                <w:rStyle w:val="19"/>
              </w:rPr>
              <w:t>(</w:t>
            </w:r>
            <w:r>
              <w:rPr>
                <w:rStyle w:val="19"/>
                <w:i/>
              </w:rPr>
              <w:t>n</w:t>
            </w:r>
            <w:r>
              <w:rPr>
                <w:rStyle w:val="19"/>
              </w:rPr>
              <w:t xml:space="preserve"> </w:t>
            </w:r>
            <w:r>
              <w:rPr>
                <w:rStyle w:val="19"/>
                <w:lang w:eastAsia="zh-CN"/>
              </w:rPr>
              <w:t xml:space="preserve">= </w:t>
            </w:r>
            <w:r>
              <w:rPr>
                <w:rStyle w:val="19"/>
              </w:rPr>
              <w:t>66)</w:t>
            </w:r>
          </w:p>
        </w:tc>
        <w:tc>
          <w:tcPr>
            <w:tcW w:w="859" w:type="pct"/>
            <w:noWrap w:val="0"/>
            <w:vAlign w:val="top"/>
          </w:tcPr>
          <w:p>
            <w:pPr>
              <w:spacing w:line="360" w:lineRule="auto"/>
              <w:jc w:val="both"/>
              <w:rPr>
                <w:rFonts w:ascii="Book Antiqua" w:hAnsi="Book Antiqua" w:cs="宋体"/>
                <w:color w:val="000000"/>
              </w:rPr>
            </w:pPr>
            <w:r>
              <w:rPr>
                <w:rStyle w:val="19"/>
              </w:rPr>
              <w:t>Follow-up</w:t>
            </w:r>
          </w:p>
        </w:tc>
        <w:tc>
          <w:tcPr>
            <w:tcW w:w="817" w:type="pct"/>
            <w:noWrap w:val="0"/>
            <w:vAlign w:val="top"/>
          </w:tcPr>
          <w:p>
            <w:pPr>
              <w:spacing w:line="360" w:lineRule="auto"/>
              <w:jc w:val="both"/>
              <w:rPr>
                <w:rFonts w:ascii="Book Antiqua" w:hAnsi="Book Antiqua" w:cs="宋体"/>
                <w:color w:val="000000"/>
              </w:rPr>
            </w:pPr>
            <w:r>
              <w:rPr>
                <w:rStyle w:val="19"/>
              </w:rPr>
              <w:t>70 ± 58</w:t>
            </w:r>
          </w:p>
        </w:tc>
        <w:tc>
          <w:tcPr>
            <w:tcW w:w="817" w:type="pct"/>
            <w:noWrap w:val="0"/>
            <w:vAlign w:val="top"/>
          </w:tcPr>
          <w:p>
            <w:pPr>
              <w:spacing w:line="360" w:lineRule="auto"/>
              <w:jc w:val="both"/>
              <w:rPr>
                <w:rFonts w:ascii="Book Antiqua" w:hAnsi="Book Antiqua" w:cs="宋体"/>
                <w:color w:val="000000"/>
              </w:rPr>
            </w:pPr>
            <w:r>
              <w:rPr>
                <w:rStyle w:val="19"/>
              </w:rPr>
              <w:t>15 ± 54</w:t>
            </w:r>
          </w:p>
        </w:tc>
        <w:tc>
          <w:tcPr>
            <w:tcW w:w="780" w:type="pct"/>
            <w:noWrap w:val="0"/>
            <w:vAlign w:val="top"/>
          </w:tcPr>
          <w:p>
            <w:pPr>
              <w:spacing w:line="360" w:lineRule="auto"/>
              <w:jc w:val="both"/>
              <w:rPr>
                <w:rFonts w:ascii="Book Antiqua" w:hAnsi="Book Antiqua" w:cs="宋体"/>
                <w:color w:val="000000"/>
              </w:rPr>
            </w:pPr>
            <w:r>
              <w:rPr>
                <w:rStyle w:val="19"/>
              </w:rPr>
              <w:t>167 ± 18</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80" w:type="pct"/>
            <w:noWrap w:val="0"/>
            <w:vAlign w:val="top"/>
          </w:tcPr>
          <w:p>
            <w:pPr>
              <w:spacing w:line="360" w:lineRule="auto"/>
              <w:jc w:val="both"/>
              <w:rPr>
                <w:rFonts w:ascii="Book Antiqua" w:hAnsi="Book Antiqua" w:cs="宋体"/>
                <w:color w:val="000000"/>
              </w:rPr>
            </w:pPr>
          </w:p>
        </w:tc>
        <w:tc>
          <w:tcPr>
            <w:tcW w:w="859" w:type="pct"/>
            <w:noWrap w:val="0"/>
            <w:vAlign w:val="top"/>
          </w:tcPr>
          <w:p>
            <w:pPr>
              <w:spacing w:line="360" w:lineRule="auto"/>
              <w:jc w:val="both"/>
              <w:rPr>
                <w:rFonts w:ascii="Book Antiqua" w:hAnsi="Book Antiqua" w:cs="宋体"/>
                <w:color w:val="000000"/>
              </w:rPr>
            </w:pPr>
            <w:r>
              <w:rPr>
                <w:rStyle w:val="19"/>
              </w:rPr>
              <w:t>Change</w:t>
            </w:r>
          </w:p>
        </w:tc>
        <w:tc>
          <w:tcPr>
            <w:tcW w:w="817" w:type="pct"/>
            <w:noWrap w:val="0"/>
            <w:vAlign w:val="top"/>
          </w:tcPr>
          <w:p>
            <w:pPr>
              <w:spacing w:line="360" w:lineRule="auto"/>
              <w:jc w:val="both"/>
              <w:rPr>
                <w:rFonts w:ascii="Book Antiqua" w:hAnsi="Book Antiqua" w:cs="宋体"/>
                <w:color w:val="000000"/>
              </w:rPr>
            </w:pPr>
            <w:r>
              <w:rPr>
                <w:rStyle w:val="19"/>
              </w:rPr>
              <w:t>-46 ± 61</w:t>
            </w:r>
            <w:r>
              <w:rPr>
                <w:rStyle w:val="19"/>
                <w:vertAlign w:val="superscript"/>
              </w:rPr>
              <w:t>a</w:t>
            </w:r>
          </w:p>
        </w:tc>
        <w:tc>
          <w:tcPr>
            <w:tcW w:w="817" w:type="pct"/>
            <w:noWrap w:val="0"/>
            <w:vAlign w:val="top"/>
          </w:tcPr>
          <w:p>
            <w:pPr>
              <w:spacing w:line="360" w:lineRule="auto"/>
              <w:jc w:val="both"/>
              <w:rPr>
                <w:rFonts w:ascii="Book Antiqua" w:hAnsi="Book Antiqua" w:cs="宋体"/>
                <w:color w:val="000000"/>
              </w:rPr>
            </w:pPr>
            <w:r>
              <w:rPr>
                <w:rStyle w:val="19"/>
              </w:rPr>
              <w:t>-67 ± 61</w:t>
            </w:r>
            <w:r>
              <w:rPr>
                <w:rStyle w:val="19"/>
                <w:vertAlign w:val="superscript"/>
              </w:rPr>
              <w:t>a</w:t>
            </w:r>
          </w:p>
        </w:tc>
        <w:tc>
          <w:tcPr>
            <w:tcW w:w="780" w:type="pct"/>
            <w:noWrap w:val="0"/>
            <w:vAlign w:val="top"/>
          </w:tcPr>
          <w:p>
            <w:pPr>
              <w:spacing w:line="360" w:lineRule="auto"/>
              <w:jc w:val="both"/>
              <w:rPr>
                <w:rFonts w:ascii="Book Antiqua" w:hAnsi="Book Antiqua" w:cs="宋体"/>
                <w:color w:val="000000"/>
              </w:rPr>
            </w:pPr>
            <w:r>
              <w:rPr>
                <w:rStyle w:val="19"/>
              </w:rPr>
              <w:t>88 ± 23</w:t>
            </w:r>
            <w:r>
              <w:rPr>
                <w:rStyle w:val="19"/>
                <w:vertAlign w:val="superscript"/>
              </w:rPr>
              <w:t>b</w:t>
            </w:r>
          </w:p>
        </w:tc>
        <w:tc>
          <w:tcPr>
            <w:tcW w:w="547" w:type="pct"/>
            <w:noWrap w:val="0"/>
            <w:vAlign w:val="top"/>
          </w:tcPr>
          <w:p>
            <w:pPr>
              <w:spacing w:line="360" w:lineRule="auto"/>
              <w:jc w:val="both"/>
              <w:rPr>
                <w:rFonts w:ascii="Book Antiqua" w:hAnsi="Book Antiqua" w:cs="宋体"/>
                <w:color w:val="000000"/>
              </w:rPr>
            </w:pPr>
            <w:r>
              <w:rPr>
                <w:rFonts w:ascii="Book Antiqua" w:hAnsi="Book Antiqua"/>
                <w:color w:val="000000"/>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180" w:type="pct"/>
            <w:noWrap w:val="0"/>
            <w:vAlign w:val="top"/>
          </w:tcPr>
          <w:p>
            <w:pPr>
              <w:spacing w:line="360" w:lineRule="auto"/>
              <w:jc w:val="both"/>
              <w:rPr>
                <w:rFonts w:ascii="Book Antiqua" w:hAnsi="Book Antiqua" w:cs="宋体"/>
                <w:color w:val="000000"/>
              </w:rPr>
            </w:pPr>
            <w:r>
              <w:rPr>
                <w:rStyle w:val="19"/>
              </w:rPr>
              <w:t>Iron (μg/dL)</w:t>
            </w:r>
          </w:p>
        </w:tc>
        <w:tc>
          <w:tcPr>
            <w:tcW w:w="859" w:type="pct"/>
            <w:noWrap w:val="0"/>
            <w:vAlign w:val="top"/>
          </w:tcPr>
          <w:p>
            <w:pPr>
              <w:spacing w:line="360" w:lineRule="auto"/>
              <w:jc w:val="both"/>
              <w:rPr>
                <w:rFonts w:ascii="Book Antiqua" w:hAnsi="Book Antiqua" w:cs="宋体"/>
                <w:color w:val="000000"/>
              </w:rPr>
            </w:pPr>
            <w:r>
              <w:rPr>
                <w:rStyle w:val="19"/>
              </w:rPr>
              <w:t>Admission</w:t>
            </w:r>
          </w:p>
        </w:tc>
        <w:tc>
          <w:tcPr>
            <w:tcW w:w="817" w:type="pct"/>
            <w:noWrap w:val="0"/>
            <w:vAlign w:val="top"/>
          </w:tcPr>
          <w:p>
            <w:pPr>
              <w:spacing w:line="360" w:lineRule="auto"/>
              <w:jc w:val="both"/>
              <w:rPr>
                <w:rFonts w:ascii="Book Antiqua" w:hAnsi="Book Antiqua" w:cs="宋体"/>
                <w:color w:val="000000"/>
              </w:rPr>
            </w:pPr>
            <w:r>
              <w:rPr>
                <w:rStyle w:val="19"/>
              </w:rPr>
              <w:t>34.5 ± 6.9</w:t>
            </w:r>
          </w:p>
        </w:tc>
        <w:tc>
          <w:tcPr>
            <w:tcW w:w="817" w:type="pct"/>
            <w:noWrap w:val="0"/>
            <w:vAlign w:val="top"/>
          </w:tcPr>
          <w:p>
            <w:pPr>
              <w:spacing w:line="360" w:lineRule="auto"/>
              <w:jc w:val="both"/>
              <w:rPr>
                <w:rFonts w:ascii="Book Antiqua" w:hAnsi="Book Antiqua" w:cs="宋体"/>
                <w:color w:val="000000"/>
              </w:rPr>
            </w:pPr>
            <w:r>
              <w:rPr>
                <w:rStyle w:val="19"/>
              </w:rPr>
              <w:t>26.6 ± 6.7</w:t>
            </w:r>
          </w:p>
        </w:tc>
        <w:tc>
          <w:tcPr>
            <w:tcW w:w="780" w:type="pct"/>
            <w:noWrap w:val="0"/>
            <w:vAlign w:val="top"/>
          </w:tcPr>
          <w:p>
            <w:pPr>
              <w:spacing w:line="360" w:lineRule="auto"/>
              <w:jc w:val="both"/>
              <w:rPr>
                <w:rFonts w:ascii="Book Antiqua" w:hAnsi="Book Antiqua" w:cs="宋体"/>
                <w:color w:val="000000"/>
              </w:rPr>
            </w:pPr>
            <w:r>
              <w:rPr>
                <w:rStyle w:val="19"/>
              </w:rPr>
              <w:t>23.7 ± 3.2</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80" w:type="pct"/>
            <w:noWrap w:val="0"/>
            <w:vAlign w:val="top"/>
          </w:tcPr>
          <w:p>
            <w:pPr>
              <w:spacing w:line="360" w:lineRule="auto"/>
              <w:jc w:val="both"/>
              <w:rPr>
                <w:rFonts w:ascii="Book Antiqua" w:hAnsi="Book Antiqua" w:cs="宋体"/>
                <w:color w:val="000000"/>
              </w:rPr>
            </w:pPr>
            <w:r>
              <w:rPr>
                <w:rStyle w:val="19"/>
              </w:rPr>
              <w:t>(</w:t>
            </w:r>
            <w:r>
              <w:rPr>
                <w:rStyle w:val="19"/>
                <w:i/>
              </w:rPr>
              <w:t>n</w:t>
            </w:r>
            <w:r>
              <w:rPr>
                <w:rStyle w:val="19"/>
              </w:rPr>
              <w:t xml:space="preserve"> </w:t>
            </w:r>
            <w:r>
              <w:rPr>
                <w:rStyle w:val="19"/>
                <w:lang w:eastAsia="zh-CN"/>
              </w:rPr>
              <w:t xml:space="preserve">= </w:t>
            </w:r>
            <w:r>
              <w:rPr>
                <w:rStyle w:val="19"/>
              </w:rPr>
              <w:t>65)</w:t>
            </w:r>
          </w:p>
        </w:tc>
        <w:tc>
          <w:tcPr>
            <w:tcW w:w="859" w:type="pct"/>
            <w:noWrap w:val="0"/>
            <w:vAlign w:val="top"/>
          </w:tcPr>
          <w:p>
            <w:pPr>
              <w:spacing w:line="360" w:lineRule="auto"/>
              <w:jc w:val="both"/>
              <w:rPr>
                <w:rFonts w:ascii="Book Antiqua" w:hAnsi="Book Antiqua" w:cs="宋体"/>
                <w:color w:val="000000"/>
              </w:rPr>
            </w:pPr>
            <w:r>
              <w:rPr>
                <w:rStyle w:val="19"/>
              </w:rPr>
              <w:t>Follow-up</w:t>
            </w:r>
          </w:p>
        </w:tc>
        <w:tc>
          <w:tcPr>
            <w:tcW w:w="817" w:type="pct"/>
            <w:noWrap w:val="0"/>
            <w:vAlign w:val="top"/>
          </w:tcPr>
          <w:p>
            <w:pPr>
              <w:spacing w:line="360" w:lineRule="auto"/>
              <w:jc w:val="both"/>
              <w:rPr>
                <w:rFonts w:ascii="Book Antiqua" w:hAnsi="Book Antiqua" w:cs="宋体"/>
                <w:color w:val="000000"/>
              </w:rPr>
            </w:pPr>
            <w:r>
              <w:rPr>
                <w:rStyle w:val="19"/>
              </w:rPr>
              <w:t>45.3 ± 12.8</w:t>
            </w:r>
          </w:p>
        </w:tc>
        <w:tc>
          <w:tcPr>
            <w:tcW w:w="817" w:type="pct"/>
            <w:noWrap w:val="0"/>
            <w:vAlign w:val="top"/>
          </w:tcPr>
          <w:p>
            <w:pPr>
              <w:spacing w:line="360" w:lineRule="auto"/>
              <w:jc w:val="both"/>
              <w:rPr>
                <w:rFonts w:ascii="Book Antiqua" w:hAnsi="Book Antiqua" w:cs="宋体"/>
                <w:color w:val="000000"/>
              </w:rPr>
            </w:pPr>
            <w:r>
              <w:rPr>
                <w:rStyle w:val="19"/>
              </w:rPr>
              <w:t>53.4 ± 10.6</w:t>
            </w:r>
          </w:p>
        </w:tc>
        <w:tc>
          <w:tcPr>
            <w:tcW w:w="780" w:type="pct"/>
            <w:noWrap w:val="0"/>
            <w:vAlign w:val="top"/>
          </w:tcPr>
          <w:p>
            <w:pPr>
              <w:spacing w:line="360" w:lineRule="auto"/>
              <w:jc w:val="both"/>
              <w:rPr>
                <w:rFonts w:ascii="Book Antiqua" w:hAnsi="Book Antiqua" w:cs="宋体"/>
                <w:color w:val="000000"/>
              </w:rPr>
            </w:pPr>
            <w:r>
              <w:rPr>
                <w:rStyle w:val="19"/>
              </w:rPr>
              <w:t>54.0 ± 3.8</w:t>
            </w:r>
          </w:p>
        </w:tc>
        <w:tc>
          <w:tcPr>
            <w:tcW w:w="547"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80" w:type="pct"/>
            <w:noWrap w:val="0"/>
            <w:vAlign w:val="top"/>
          </w:tcPr>
          <w:p>
            <w:pPr>
              <w:spacing w:line="360" w:lineRule="auto"/>
              <w:jc w:val="both"/>
              <w:rPr>
                <w:rFonts w:ascii="Book Antiqua" w:hAnsi="Book Antiqua" w:cs="宋体"/>
                <w:color w:val="000000"/>
              </w:rPr>
            </w:pPr>
          </w:p>
        </w:tc>
        <w:tc>
          <w:tcPr>
            <w:tcW w:w="859" w:type="pct"/>
            <w:noWrap w:val="0"/>
            <w:vAlign w:val="top"/>
          </w:tcPr>
          <w:p>
            <w:pPr>
              <w:spacing w:line="360" w:lineRule="auto"/>
              <w:jc w:val="both"/>
              <w:rPr>
                <w:rFonts w:ascii="Book Antiqua" w:hAnsi="Book Antiqua" w:cs="宋体"/>
                <w:color w:val="000000"/>
              </w:rPr>
            </w:pPr>
            <w:r>
              <w:rPr>
                <w:rStyle w:val="19"/>
              </w:rPr>
              <w:t>Change</w:t>
            </w:r>
          </w:p>
        </w:tc>
        <w:tc>
          <w:tcPr>
            <w:tcW w:w="817" w:type="pct"/>
            <w:noWrap w:val="0"/>
            <w:vAlign w:val="top"/>
          </w:tcPr>
          <w:p>
            <w:pPr>
              <w:spacing w:line="360" w:lineRule="auto"/>
              <w:jc w:val="both"/>
              <w:rPr>
                <w:rFonts w:ascii="Book Antiqua" w:hAnsi="Book Antiqua" w:cs="宋体"/>
                <w:color w:val="000000"/>
              </w:rPr>
            </w:pPr>
            <w:r>
              <w:rPr>
                <w:rStyle w:val="19"/>
              </w:rPr>
              <w:t>10.7 ± 13.6</w:t>
            </w:r>
          </w:p>
        </w:tc>
        <w:tc>
          <w:tcPr>
            <w:tcW w:w="817" w:type="pct"/>
            <w:noWrap w:val="0"/>
            <w:vAlign w:val="top"/>
          </w:tcPr>
          <w:p>
            <w:pPr>
              <w:spacing w:line="360" w:lineRule="auto"/>
              <w:jc w:val="both"/>
              <w:rPr>
                <w:rFonts w:ascii="Book Antiqua" w:hAnsi="Book Antiqua" w:cs="宋体"/>
                <w:color w:val="000000"/>
              </w:rPr>
            </w:pPr>
            <w:r>
              <w:rPr>
                <w:rStyle w:val="19"/>
              </w:rPr>
              <w:t>26.8 ± 12.3</w:t>
            </w:r>
          </w:p>
        </w:tc>
        <w:tc>
          <w:tcPr>
            <w:tcW w:w="780" w:type="pct"/>
            <w:noWrap w:val="0"/>
            <w:vAlign w:val="top"/>
          </w:tcPr>
          <w:p>
            <w:pPr>
              <w:spacing w:line="360" w:lineRule="auto"/>
              <w:jc w:val="both"/>
              <w:rPr>
                <w:rFonts w:ascii="Book Antiqua" w:hAnsi="Book Antiqua" w:cs="宋体"/>
                <w:color w:val="000000"/>
              </w:rPr>
            </w:pPr>
            <w:r>
              <w:rPr>
                <w:rStyle w:val="19"/>
              </w:rPr>
              <w:t>30.3 ± 4.9</w:t>
            </w:r>
          </w:p>
        </w:tc>
        <w:tc>
          <w:tcPr>
            <w:tcW w:w="547" w:type="pct"/>
            <w:noWrap w:val="0"/>
            <w:vAlign w:val="top"/>
          </w:tcPr>
          <w:p>
            <w:pPr>
              <w:spacing w:line="360" w:lineRule="auto"/>
              <w:jc w:val="both"/>
              <w:rPr>
                <w:rFonts w:ascii="Book Antiqua" w:hAnsi="Book Antiqua" w:cs="宋体"/>
                <w:color w:val="000000"/>
              </w:rPr>
            </w:pPr>
            <w:r>
              <w:rPr>
                <w:rFonts w:ascii="Book Antiqua" w:hAnsi="Book Antiqua"/>
                <w:color w:val="000000"/>
              </w:rPr>
              <w:t>0.41</w:t>
            </w:r>
          </w:p>
        </w:tc>
      </w:tr>
    </w:tbl>
    <w:p>
      <w:pPr>
        <w:spacing w:line="360" w:lineRule="auto"/>
        <w:jc w:val="both"/>
        <w:rPr>
          <w:rFonts w:ascii="Book Antiqua" w:hAnsi="Book Antiqua"/>
          <w:lang w:eastAsia="zh-CN"/>
        </w:rPr>
      </w:pPr>
      <w:r>
        <w:rPr>
          <w:rFonts w:ascii="Book Antiqua" w:hAnsi="Book Antiqua"/>
          <w:vertAlign w:val="superscript"/>
          <w:lang w:eastAsia="zh-CN"/>
        </w:rPr>
        <w:t>a</w:t>
      </w:r>
      <w:r>
        <w:rPr>
          <w:rFonts w:ascii="Book Antiqua" w:hAnsi="Book Antiqua"/>
          <w:i/>
          <w:lang w:eastAsia="zh-CN"/>
        </w:rPr>
        <w:t>P</w:t>
      </w:r>
      <w:r>
        <w:rPr>
          <w:rFonts w:ascii="Book Antiqua" w:hAnsi="Book Antiqua"/>
          <w:lang w:eastAsia="zh-CN"/>
        </w:rPr>
        <w:t xml:space="preserve"> &lt; 0.05.</w:t>
      </w:r>
    </w:p>
    <w:p>
      <w:pPr>
        <w:spacing w:line="360" w:lineRule="auto"/>
        <w:jc w:val="both"/>
        <w:rPr>
          <w:rFonts w:ascii="Book Antiqua" w:hAnsi="Book Antiqua"/>
          <w:lang w:eastAsia="zh-CN"/>
        </w:rPr>
      </w:pPr>
      <w:r>
        <w:rPr>
          <w:rFonts w:ascii="Book Antiqua" w:hAnsi="Book Antiqua"/>
          <w:vertAlign w:val="superscript"/>
          <w:lang w:eastAsia="zh-CN"/>
        </w:rPr>
        <w:t>b</w:t>
      </w:r>
      <w:r>
        <w:rPr>
          <w:rFonts w:ascii="Book Antiqua" w:hAnsi="Book Antiqua"/>
          <w:i/>
          <w:lang w:eastAsia="zh-CN"/>
        </w:rPr>
        <w:t>P</w:t>
      </w:r>
      <w:r>
        <w:rPr>
          <w:rFonts w:ascii="Book Antiqua" w:hAnsi="Book Antiqua"/>
          <w:lang w:eastAsia="zh-CN"/>
        </w:rPr>
        <w:t xml:space="preserve"> &lt; 0.01.</w:t>
      </w:r>
    </w:p>
    <w:p>
      <w:pPr>
        <w:spacing w:line="360" w:lineRule="auto"/>
        <w:jc w:val="both"/>
        <w:rPr>
          <w:rFonts w:ascii="Book Antiqua" w:hAnsi="Book Antiqua"/>
          <w:lang w:eastAsia="zh-CN"/>
        </w:rPr>
      </w:pPr>
      <w:r>
        <w:rPr>
          <w:rFonts w:ascii="Book Antiqua" w:hAnsi="Book Antiqua"/>
          <w:lang w:eastAsia="zh-CN"/>
        </w:rPr>
        <w:t>Effects with different superscripts are statistically significant, mean ± standard error at admission, follow-up encounter, and change over time are shown. Results are from a repeated measures linear model adjusted for baseline outcome, age at admission, sex, diagnosis, baseline iron dose, and the number of days between admission and follow-up labs. After adjustment for multiple comparisons, the differences between total iron binding capacity and ferritin are not significant. Hb: Hemoglobin; MCV: Mean corpuscular volume; CRP: C-reactive protein; ESR: Erythrocyte sedimentation rate; TIBC: Total iron binding capacity.</w:t>
      </w:r>
      <w:r>
        <w:rPr>
          <w:rFonts w:ascii="Book Antiqua" w:hAnsi="Book Antiqua"/>
          <w:lang w:eastAsia="zh-CN"/>
        </w:rPr>
        <w:cr/>
      </w:r>
    </w:p>
    <w:p>
      <w:pPr>
        <w:spacing w:line="360" w:lineRule="auto"/>
        <w:jc w:val="both"/>
        <w:rPr>
          <w:rFonts w:ascii="Book Antiqua" w:hAnsi="Book Antiqua"/>
          <w:b/>
          <w:lang w:eastAsia="zh-CN"/>
        </w:rPr>
      </w:pPr>
      <w:r>
        <w:rPr>
          <w:rFonts w:ascii="Book Antiqua" w:hAnsi="Book Antiqua"/>
          <w:b/>
          <w:lang w:eastAsia="zh-CN"/>
        </w:rPr>
        <w:t>Table 3 Comparison of intravenous iron types (</w:t>
      </w:r>
      <w:r>
        <w:rPr>
          <w:rFonts w:ascii="Book Antiqua" w:hAnsi="Book Antiqua"/>
          <w:b/>
          <w:i/>
          <w:lang w:eastAsia="zh-CN"/>
        </w:rPr>
        <w:t>n</w:t>
      </w:r>
      <w:r>
        <w:rPr>
          <w:rFonts w:ascii="Book Antiqua" w:hAnsi="Book Antiqua"/>
          <w:b/>
          <w:lang w:eastAsia="zh-CN"/>
        </w:rPr>
        <w:t xml:space="preserve"> = 57)</w:t>
      </w:r>
    </w:p>
    <w:tbl>
      <w:tblPr>
        <w:tblStyle w:val="8"/>
        <w:tblW w:w="549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2"/>
        <w:gridCol w:w="1375"/>
        <w:gridCol w:w="1306"/>
        <w:gridCol w:w="1377"/>
        <w:gridCol w:w="1047"/>
        <w:gridCol w:w="570"/>
        <w:gridCol w:w="1129"/>
        <w:gridCol w:w="993"/>
        <w:gridCol w:w="133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57" w:type="pct"/>
            <w:tcBorders>
              <w:top w:val="single" w:color="auto" w:sz="4" w:space="0"/>
              <w:bottom w:val="nil"/>
            </w:tcBorders>
            <w:noWrap w:val="0"/>
            <w:vAlign w:val="top"/>
          </w:tcPr>
          <w:p>
            <w:pPr>
              <w:spacing w:line="360" w:lineRule="auto"/>
              <w:jc w:val="both"/>
              <w:rPr>
                <w:rFonts w:ascii="Book Antiqua" w:hAnsi="Book Antiqua" w:cs="宋体"/>
                <w:lang w:eastAsia="zh-CN"/>
              </w:rPr>
            </w:pPr>
          </w:p>
        </w:tc>
        <w:tc>
          <w:tcPr>
            <w:tcW w:w="654" w:type="pct"/>
            <w:tcBorders>
              <w:top w:val="single" w:color="auto" w:sz="4" w:space="0"/>
              <w:bottom w:val="nil"/>
            </w:tcBorders>
            <w:noWrap w:val="0"/>
            <w:vAlign w:val="top"/>
          </w:tcPr>
          <w:p>
            <w:pPr>
              <w:spacing w:line="360" w:lineRule="auto"/>
              <w:jc w:val="both"/>
              <w:rPr>
                <w:rFonts w:ascii="Book Antiqua" w:hAnsi="Book Antiqua" w:cs="宋体"/>
                <w:lang w:eastAsia="zh-CN"/>
              </w:rPr>
            </w:pPr>
          </w:p>
        </w:tc>
        <w:tc>
          <w:tcPr>
            <w:tcW w:w="1774" w:type="pct"/>
            <w:gridSpan w:val="3"/>
            <w:tcBorders>
              <w:top w:val="single" w:color="auto" w:sz="4" w:space="0"/>
              <w:bottom w:val="single" w:color="auto" w:sz="4" w:space="0"/>
            </w:tcBorders>
            <w:noWrap w:val="0"/>
            <w:vAlign w:val="top"/>
          </w:tcPr>
          <w:p>
            <w:pPr>
              <w:spacing w:line="360" w:lineRule="auto"/>
              <w:jc w:val="both"/>
              <w:rPr>
                <w:rFonts w:ascii="Book Antiqua" w:hAnsi="Book Antiqua" w:cs="宋体"/>
                <w:b/>
                <w:lang w:eastAsia="zh-CN"/>
              </w:rPr>
            </w:pPr>
            <w:r>
              <w:rPr>
                <w:rFonts w:ascii="Book Antiqua" w:hAnsi="Book Antiqua" w:cs="宋体"/>
                <w:b/>
                <w:color w:val="000000"/>
                <w:lang w:eastAsia="zh-CN"/>
              </w:rPr>
              <w:t>Iron therapy</w:t>
            </w:r>
          </w:p>
        </w:tc>
        <w:tc>
          <w:tcPr>
            <w:tcW w:w="271" w:type="pct"/>
            <w:vMerge w:val="restart"/>
            <w:tcBorders>
              <w:top w:val="single" w:color="auto" w:sz="4" w:space="0"/>
              <w:bottom w:val="single" w:color="auto" w:sz="4" w:space="0"/>
            </w:tcBorders>
            <w:noWrap w:val="0"/>
            <w:vAlign w:val="top"/>
          </w:tcPr>
          <w:p>
            <w:pPr>
              <w:spacing w:line="360" w:lineRule="auto"/>
              <w:jc w:val="both"/>
              <w:rPr>
                <w:rFonts w:ascii="Book Antiqua" w:hAnsi="Book Antiqua" w:cs="宋体"/>
                <w:b/>
                <w:lang w:eastAsia="zh-CN"/>
              </w:rPr>
            </w:pPr>
            <w:r>
              <w:rPr>
                <w:rFonts w:ascii="Book Antiqua" w:hAnsi="Book Antiqua" w:cs="宋体"/>
                <w:b/>
                <w:i/>
                <w:color w:val="000000"/>
                <w:lang w:eastAsia="zh-CN"/>
              </w:rPr>
              <w:t>P</w:t>
            </w:r>
            <w:r>
              <w:rPr>
                <w:rFonts w:ascii="Book Antiqua" w:hAnsi="Book Antiqua" w:cs="宋体"/>
                <w:b/>
                <w:color w:val="000000"/>
                <w:lang w:eastAsia="zh-CN"/>
              </w:rPr>
              <w:t xml:space="preserve"> value</w:t>
            </w:r>
          </w:p>
        </w:tc>
        <w:tc>
          <w:tcPr>
            <w:tcW w:w="1644" w:type="pct"/>
            <w:gridSpan w:val="3"/>
            <w:tcBorders>
              <w:top w:val="single" w:color="auto" w:sz="4" w:space="0"/>
              <w:bottom w:val="single" w:color="auto" w:sz="4" w:space="0"/>
            </w:tcBorders>
            <w:noWrap w:val="0"/>
            <w:vAlign w:val="top"/>
          </w:tcPr>
          <w:p>
            <w:pPr>
              <w:spacing w:line="360" w:lineRule="auto"/>
              <w:jc w:val="both"/>
              <w:rPr>
                <w:rFonts w:ascii="Book Antiqua" w:hAnsi="Book Antiqua" w:cs="宋体"/>
                <w:b/>
                <w:lang w:eastAsia="zh-CN"/>
              </w:rPr>
            </w:pPr>
            <w:r>
              <w:rPr>
                <w:rFonts w:ascii="Book Antiqua" w:hAnsi="Book Antiqua" w:cs="宋体"/>
                <w:b/>
                <w:color w:val="000000"/>
                <w:lang w:eastAsia="zh-CN"/>
              </w:rPr>
              <w:t>Difference (95%CI)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57" w:type="pct"/>
            <w:tcBorders>
              <w:top w:val="nil"/>
              <w:bottom w:val="single" w:color="auto" w:sz="4" w:space="0"/>
            </w:tcBorders>
            <w:noWrap w:val="0"/>
            <w:vAlign w:val="top"/>
          </w:tcPr>
          <w:p>
            <w:pPr>
              <w:spacing w:line="360" w:lineRule="auto"/>
              <w:jc w:val="both"/>
              <w:rPr>
                <w:rFonts w:ascii="Book Antiqua" w:hAnsi="Book Antiqua" w:cs="宋体"/>
                <w:lang w:eastAsia="zh-CN"/>
              </w:rPr>
            </w:pPr>
          </w:p>
        </w:tc>
        <w:tc>
          <w:tcPr>
            <w:tcW w:w="654" w:type="pct"/>
            <w:tcBorders>
              <w:top w:val="nil"/>
              <w:bottom w:val="single" w:color="auto" w:sz="4" w:space="0"/>
            </w:tcBorders>
            <w:noWrap w:val="0"/>
            <w:vAlign w:val="top"/>
          </w:tcPr>
          <w:p>
            <w:pPr>
              <w:spacing w:line="360" w:lineRule="auto"/>
              <w:jc w:val="both"/>
              <w:rPr>
                <w:rFonts w:ascii="Book Antiqua" w:hAnsi="Book Antiqua" w:cs="宋体"/>
                <w:lang w:eastAsia="zh-CN"/>
              </w:rPr>
            </w:pPr>
          </w:p>
        </w:tc>
        <w:tc>
          <w:tcPr>
            <w:tcW w:w="621" w:type="pct"/>
            <w:tcBorders>
              <w:top w:val="single" w:color="auto" w:sz="4" w:space="0"/>
              <w:bottom w:val="single" w:color="auto" w:sz="4" w:space="0"/>
            </w:tcBorders>
            <w:noWrap w:val="0"/>
            <w:vAlign w:val="top"/>
          </w:tcPr>
          <w:p>
            <w:pPr>
              <w:spacing w:line="360" w:lineRule="auto"/>
              <w:jc w:val="both"/>
              <w:rPr>
                <w:rFonts w:ascii="Book Antiqua" w:hAnsi="Book Antiqua" w:cs="宋体"/>
                <w:b/>
                <w:lang w:eastAsia="zh-CN"/>
              </w:rPr>
            </w:pPr>
            <w:r>
              <w:rPr>
                <w:rFonts w:ascii="Book Antiqua" w:hAnsi="Book Antiqua" w:cs="宋体"/>
                <w:b/>
                <w:color w:val="000000"/>
                <w:lang w:eastAsia="zh-CN"/>
              </w:rPr>
              <w:t>Venofer</w:t>
            </w:r>
            <w:r>
              <w:rPr>
                <w:rFonts w:ascii="Book Antiqua" w:hAnsi="Book Antiqua" w:cs="宋体"/>
                <w:b/>
                <w:lang w:eastAsia="zh-CN"/>
              </w:rPr>
              <w:t xml:space="preserve"> </w:t>
            </w:r>
            <w:r>
              <w:rPr>
                <w:rFonts w:ascii="Book Antiqua" w:hAnsi="Book Antiqua" w:cs="宋体"/>
                <w:b/>
                <w:color w:val="000000"/>
                <w:lang w:eastAsia="zh-CN"/>
              </w:rPr>
              <w:t>(</w:t>
            </w:r>
            <w:r>
              <w:rPr>
                <w:rFonts w:ascii="Book Antiqua" w:hAnsi="Book Antiqua" w:cs="宋体"/>
                <w:b/>
                <w:i/>
                <w:color w:val="000000"/>
                <w:lang w:eastAsia="zh-CN"/>
              </w:rPr>
              <w:t>n</w:t>
            </w:r>
            <w:r>
              <w:rPr>
                <w:rFonts w:ascii="Book Antiqua" w:hAnsi="Book Antiqua" w:cs="宋体"/>
                <w:b/>
                <w:color w:val="000000"/>
                <w:lang w:eastAsia="zh-CN"/>
              </w:rPr>
              <w:t xml:space="preserve"> = 19)</w:t>
            </w:r>
          </w:p>
        </w:tc>
        <w:tc>
          <w:tcPr>
            <w:tcW w:w="655" w:type="pct"/>
            <w:tcBorders>
              <w:top w:val="single" w:color="auto" w:sz="4" w:space="0"/>
              <w:bottom w:val="single" w:color="auto" w:sz="4" w:space="0"/>
            </w:tcBorders>
            <w:noWrap w:val="0"/>
            <w:vAlign w:val="top"/>
          </w:tcPr>
          <w:p>
            <w:pPr>
              <w:spacing w:line="360" w:lineRule="auto"/>
              <w:jc w:val="both"/>
              <w:rPr>
                <w:rFonts w:ascii="Book Antiqua" w:hAnsi="Book Antiqua" w:cs="宋体"/>
                <w:b/>
                <w:lang w:eastAsia="zh-CN"/>
              </w:rPr>
            </w:pPr>
            <w:r>
              <w:rPr>
                <w:rFonts w:ascii="Book Antiqua" w:hAnsi="Book Antiqua" w:cs="宋体"/>
                <w:b/>
                <w:color w:val="000000"/>
                <w:lang w:eastAsia="zh-CN"/>
              </w:rPr>
              <w:t>Injectafer</w:t>
            </w:r>
            <w:r>
              <w:rPr>
                <w:rFonts w:ascii="Book Antiqua" w:hAnsi="Book Antiqua" w:cs="宋体"/>
                <w:b/>
                <w:lang w:eastAsia="zh-CN"/>
              </w:rPr>
              <w:t xml:space="preserve"> </w:t>
            </w:r>
            <w:r>
              <w:rPr>
                <w:rFonts w:ascii="Book Antiqua" w:hAnsi="Book Antiqua" w:cs="宋体"/>
                <w:b/>
                <w:color w:val="000000"/>
                <w:lang w:eastAsia="zh-CN"/>
              </w:rPr>
              <w:t>(</w:t>
            </w:r>
            <w:r>
              <w:rPr>
                <w:rFonts w:ascii="Book Antiqua" w:hAnsi="Book Antiqua" w:cs="宋体"/>
                <w:b/>
                <w:i/>
                <w:color w:val="000000"/>
                <w:lang w:eastAsia="zh-CN"/>
              </w:rPr>
              <w:t>n</w:t>
            </w:r>
            <w:r>
              <w:rPr>
                <w:rFonts w:ascii="Book Antiqua" w:hAnsi="Book Antiqua" w:cs="宋体"/>
                <w:b/>
                <w:color w:val="000000"/>
                <w:lang w:eastAsia="zh-CN"/>
              </w:rPr>
              <w:t xml:space="preserve"> = 16)</w:t>
            </w:r>
          </w:p>
        </w:tc>
        <w:tc>
          <w:tcPr>
            <w:tcW w:w="498" w:type="pct"/>
            <w:tcBorders>
              <w:top w:val="single" w:color="auto" w:sz="4" w:space="0"/>
              <w:bottom w:val="single" w:color="auto" w:sz="4" w:space="0"/>
            </w:tcBorders>
            <w:noWrap w:val="0"/>
            <w:vAlign w:val="top"/>
          </w:tcPr>
          <w:p>
            <w:pPr>
              <w:spacing w:line="360" w:lineRule="auto"/>
              <w:jc w:val="both"/>
              <w:rPr>
                <w:rFonts w:ascii="Book Antiqua" w:hAnsi="Book Antiqua" w:cs="宋体"/>
                <w:b/>
                <w:lang w:eastAsia="zh-CN"/>
              </w:rPr>
            </w:pPr>
            <w:r>
              <w:rPr>
                <w:rFonts w:ascii="Book Antiqua" w:hAnsi="Book Antiqua" w:cs="宋体"/>
                <w:b/>
                <w:color w:val="000000"/>
                <w:lang w:eastAsia="zh-CN"/>
              </w:rPr>
              <w:t>INFeD</w:t>
            </w:r>
            <w:r>
              <w:rPr>
                <w:rFonts w:ascii="Book Antiqua" w:hAnsi="Book Antiqua" w:cs="宋体"/>
                <w:b/>
                <w:lang w:eastAsia="zh-CN"/>
              </w:rPr>
              <w:t xml:space="preserve"> </w:t>
            </w:r>
            <w:r>
              <w:rPr>
                <w:rFonts w:ascii="Book Antiqua" w:hAnsi="Book Antiqua" w:cs="宋体"/>
                <w:b/>
                <w:color w:val="000000"/>
                <w:lang w:eastAsia="zh-CN"/>
              </w:rPr>
              <w:t>(</w:t>
            </w:r>
            <w:r>
              <w:rPr>
                <w:rFonts w:ascii="Book Antiqua" w:hAnsi="Book Antiqua" w:cs="宋体"/>
                <w:b/>
                <w:i/>
                <w:color w:val="000000"/>
                <w:lang w:eastAsia="zh-CN"/>
              </w:rPr>
              <w:t>n</w:t>
            </w:r>
            <w:r>
              <w:rPr>
                <w:rFonts w:ascii="Book Antiqua" w:hAnsi="Book Antiqua" w:cs="宋体"/>
                <w:b/>
                <w:color w:val="000000"/>
                <w:lang w:eastAsia="zh-CN"/>
              </w:rPr>
              <w:t xml:space="preserve"> = 22)</w:t>
            </w:r>
          </w:p>
        </w:tc>
        <w:tc>
          <w:tcPr>
            <w:tcW w:w="271" w:type="pct"/>
            <w:vMerge w:val="continue"/>
            <w:tcBorders>
              <w:top w:val="single" w:color="auto" w:sz="4" w:space="0"/>
              <w:bottom w:val="single" w:color="auto" w:sz="4" w:space="0"/>
            </w:tcBorders>
            <w:noWrap w:val="0"/>
            <w:vAlign w:val="top"/>
          </w:tcPr>
          <w:p>
            <w:pPr>
              <w:spacing w:line="360" w:lineRule="auto"/>
              <w:jc w:val="both"/>
              <w:rPr>
                <w:rFonts w:ascii="Book Antiqua" w:hAnsi="Book Antiqua" w:cs="宋体"/>
                <w:b/>
                <w:lang w:eastAsia="zh-CN"/>
              </w:rPr>
            </w:pPr>
          </w:p>
        </w:tc>
        <w:tc>
          <w:tcPr>
            <w:tcW w:w="537" w:type="pct"/>
            <w:tcBorders>
              <w:top w:val="single" w:color="auto" w:sz="4" w:space="0"/>
              <w:bottom w:val="single" w:color="auto" w:sz="4" w:space="0"/>
            </w:tcBorders>
            <w:noWrap w:val="0"/>
            <w:vAlign w:val="top"/>
          </w:tcPr>
          <w:p>
            <w:pPr>
              <w:spacing w:line="360" w:lineRule="auto"/>
              <w:jc w:val="both"/>
              <w:rPr>
                <w:rFonts w:ascii="Book Antiqua" w:hAnsi="Book Antiqua" w:cs="宋体"/>
                <w:b/>
                <w:lang w:eastAsia="zh-CN"/>
              </w:rPr>
            </w:pPr>
            <w:r>
              <w:rPr>
                <w:rFonts w:ascii="Book Antiqua" w:hAnsi="Book Antiqua" w:cs="宋体"/>
                <w:b/>
                <w:color w:val="000000"/>
                <w:lang w:eastAsia="zh-CN"/>
              </w:rPr>
              <w:t>Injectafer-Venofer</w:t>
            </w:r>
          </w:p>
        </w:tc>
        <w:tc>
          <w:tcPr>
            <w:tcW w:w="472" w:type="pct"/>
            <w:tcBorders>
              <w:top w:val="single" w:color="auto" w:sz="4" w:space="0"/>
              <w:bottom w:val="single" w:color="auto" w:sz="4" w:space="0"/>
            </w:tcBorders>
            <w:noWrap w:val="0"/>
            <w:vAlign w:val="top"/>
          </w:tcPr>
          <w:p>
            <w:pPr>
              <w:spacing w:line="360" w:lineRule="auto"/>
              <w:jc w:val="both"/>
              <w:rPr>
                <w:rFonts w:ascii="Book Antiqua" w:hAnsi="Book Antiqua" w:cs="宋体"/>
                <w:b/>
                <w:lang w:eastAsia="zh-CN"/>
              </w:rPr>
            </w:pPr>
            <w:r>
              <w:rPr>
                <w:rFonts w:ascii="Book Antiqua" w:hAnsi="Book Antiqua" w:cs="宋体"/>
                <w:b/>
                <w:color w:val="000000"/>
                <w:lang w:eastAsia="zh-CN"/>
              </w:rPr>
              <w:t>INFeD-Venofer</w:t>
            </w:r>
          </w:p>
        </w:tc>
        <w:tc>
          <w:tcPr>
            <w:tcW w:w="635" w:type="pct"/>
            <w:tcBorders>
              <w:top w:val="single" w:color="auto" w:sz="4" w:space="0"/>
              <w:bottom w:val="single" w:color="auto" w:sz="4" w:space="0"/>
            </w:tcBorders>
            <w:noWrap w:val="0"/>
            <w:vAlign w:val="top"/>
          </w:tcPr>
          <w:p>
            <w:pPr>
              <w:spacing w:line="360" w:lineRule="auto"/>
              <w:jc w:val="both"/>
              <w:rPr>
                <w:rFonts w:ascii="Book Antiqua" w:hAnsi="Book Antiqua" w:cs="宋体"/>
                <w:b/>
                <w:lang w:eastAsia="zh-CN"/>
              </w:rPr>
            </w:pPr>
            <w:r>
              <w:rPr>
                <w:rFonts w:ascii="Book Antiqua" w:hAnsi="Book Antiqua" w:cs="宋体"/>
                <w:b/>
                <w:color w:val="000000"/>
                <w:lang w:eastAsia="zh-CN"/>
              </w:rPr>
              <w:t>Injectafer-INFeD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57" w:type="pct"/>
            <w:tcBorders>
              <w:top w:val="single" w:color="auto" w:sz="4" w:space="0"/>
            </w:tcBorders>
            <w:noWrap w:val="0"/>
            <w:vAlign w:val="top"/>
          </w:tcPr>
          <w:p>
            <w:pPr>
              <w:spacing w:line="360" w:lineRule="auto"/>
              <w:jc w:val="both"/>
              <w:rPr>
                <w:rFonts w:ascii="Book Antiqua" w:hAnsi="Book Antiqua" w:cs="宋体"/>
                <w:color w:val="000000"/>
              </w:rPr>
            </w:pPr>
            <w:r>
              <w:rPr>
                <w:rStyle w:val="19"/>
              </w:rPr>
              <w:t>Hb (g/dL)</w:t>
            </w:r>
          </w:p>
        </w:tc>
        <w:tc>
          <w:tcPr>
            <w:tcW w:w="654" w:type="pct"/>
            <w:tcBorders>
              <w:top w:val="single" w:color="auto" w:sz="4" w:space="0"/>
            </w:tcBorders>
            <w:noWrap w:val="0"/>
            <w:vAlign w:val="top"/>
          </w:tcPr>
          <w:p>
            <w:pPr>
              <w:spacing w:line="360" w:lineRule="auto"/>
              <w:jc w:val="both"/>
              <w:rPr>
                <w:rFonts w:ascii="Book Antiqua" w:hAnsi="Book Antiqua" w:cs="宋体"/>
                <w:color w:val="000000"/>
              </w:rPr>
            </w:pPr>
            <w:r>
              <w:rPr>
                <w:rStyle w:val="19"/>
              </w:rPr>
              <w:t>Admission</w:t>
            </w:r>
          </w:p>
        </w:tc>
        <w:tc>
          <w:tcPr>
            <w:tcW w:w="621" w:type="pct"/>
            <w:tcBorders>
              <w:top w:val="single" w:color="auto" w:sz="4" w:space="0"/>
            </w:tcBorders>
            <w:noWrap w:val="0"/>
            <w:vAlign w:val="top"/>
          </w:tcPr>
          <w:p>
            <w:pPr>
              <w:spacing w:line="360" w:lineRule="auto"/>
              <w:jc w:val="both"/>
              <w:rPr>
                <w:rFonts w:ascii="Book Antiqua" w:hAnsi="Book Antiqua" w:cs="宋体"/>
                <w:color w:val="000000"/>
              </w:rPr>
            </w:pPr>
            <w:r>
              <w:rPr>
                <w:rStyle w:val="19"/>
              </w:rPr>
              <w:t>9.4 ± 0.3</w:t>
            </w:r>
          </w:p>
        </w:tc>
        <w:tc>
          <w:tcPr>
            <w:tcW w:w="655" w:type="pct"/>
            <w:tcBorders>
              <w:top w:val="single" w:color="auto" w:sz="4" w:space="0"/>
            </w:tcBorders>
            <w:noWrap w:val="0"/>
            <w:vAlign w:val="top"/>
          </w:tcPr>
          <w:p>
            <w:pPr>
              <w:spacing w:line="360" w:lineRule="auto"/>
              <w:jc w:val="both"/>
              <w:rPr>
                <w:rFonts w:ascii="Book Antiqua" w:hAnsi="Book Antiqua" w:cs="宋体"/>
                <w:color w:val="000000"/>
              </w:rPr>
            </w:pPr>
            <w:r>
              <w:rPr>
                <w:rStyle w:val="19"/>
              </w:rPr>
              <w:t>9.5 ± 0.2</w:t>
            </w:r>
          </w:p>
        </w:tc>
        <w:tc>
          <w:tcPr>
            <w:tcW w:w="498" w:type="pct"/>
            <w:tcBorders>
              <w:top w:val="single" w:color="auto" w:sz="4" w:space="0"/>
            </w:tcBorders>
            <w:noWrap w:val="0"/>
            <w:vAlign w:val="top"/>
          </w:tcPr>
          <w:p>
            <w:pPr>
              <w:spacing w:line="360" w:lineRule="auto"/>
              <w:jc w:val="both"/>
              <w:rPr>
                <w:rFonts w:ascii="Book Antiqua" w:hAnsi="Book Antiqua" w:cs="宋体"/>
                <w:color w:val="000000"/>
              </w:rPr>
            </w:pPr>
            <w:r>
              <w:rPr>
                <w:rStyle w:val="19"/>
              </w:rPr>
              <w:t>9.4 ± 0.2</w:t>
            </w:r>
          </w:p>
        </w:tc>
        <w:tc>
          <w:tcPr>
            <w:tcW w:w="271" w:type="pct"/>
            <w:tcBorders>
              <w:top w:val="single" w:color="auto" w:sz="4" w:space="0"/>
            </w:tcBorders>
            <w:noWrap w:val="0"/>
            <w:vAlign w:val="top"/>
          </w:tcPr>
          <w:p>
            <w:pPr>
              <w:spacing w:line="360" w:lineRule="auto"/>
              <w:jc w:val="both"/>
              <w:rPr>
                <w:rFonts w:ascii="Book Antiqua" w:hAnsi="Book Antiqua" w:cs="宋体"/>
                <w:color w:val="000000"/>
              </w:rPr>
            </w:pPr>
          </w:p>
        </w:tc>
        <w:tc>
          <w:tcPr>
            <w:tcW w:w="537" w:type="pct"/>
            <w:tcBorders>
              <w:top w:val="single" w:color="auto" w:sz="4" w:space="0"/>
            </w:tcBorders>
            <w:noWrap w:val="0"/>
            <w:vAlign w:val="top"/>
          </w:tcPr>
          <w:p>
            <w:pPr>
              <w:spacing w:line="360" w:lineRule="auto"/>
              <w:jc w:val="both"/>
              <w:rPr>
                <w:rFonts w:ascii="Book Antiqua" w:hAnsi="Book Antiqua" w:cs="宋体"/>
                <w:color w:val="000000"/>
              </w:rPr>
            </w:pPr>
          </w:p>
        </w:tc>
        <w:tc>
          <w:tcPr>
            <w:tcW w:w="472" w:type="pct"/>
            <w:tcBorders>
              <w:top w:val="single" w:color="auto" w:sz="4" w:space="0"/>
            </w:tcBorders>
            <w:noWrap w:val="0"/>
            <w:vAlign w:val="top"/>
          </w:tcPr>
          <w:p>
            <w:pPr>
              <w:spacing w:line="360" w:lineRule="auto"/>
              <w:jc w:val="both"/>
              <w:rPr>
                <w:rFonts w:ascii="Book Antiqua" w:hAnsi="Book Antiqua" w:cs="宋体"/>
                <w:color w:val="000000"/>
              </w:rPr>
            </w:pPr>
          </w:p>
        </w:tc>
        <w:tc>
          <w:tcPr>
            <w:tcW w:w="635" w:type="pct"/>
            <w:tcBorders>
              <w:top w:val="single" w:color="auto" w:sz="4" w:space="0"/>
            </w:tcBorders>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57" w:type="pct"/>
            <w:noWrap w:val="0"/>
            <w:vAlign w:val="top"/>
          </w:tcPr>
          <w:p>
            <w:pPr>
              <w:spacing w:line="360" w:lineRule="auto"/>
              <w:jc w:val="both"/>
              <w:rPr>
                <w:rFonts w:ascii="Book Antiqua" w:hAnsi="Book Antiqua" w:cs="宋体"/>
                <w:color w:val="000000"/>
              </w:rPr>
            </w:pPr>
            <w:r>
              <w:rPr>
                <w:rStyle w:val="19"/>
              </w:rPr>
              <w:t>(</w:t>
            </w:r>
            <w:r>
              <w:rPr>
                <w:rStyle w:val="19"/>
                <w:i/>
              </w:rPr>
              <w:t>n</w:t>
            </w:r>
            <w:r>
              <w:rPr>
                <w:rStyle w:val="19"/>
                <w:lang w:eastAsia="zh-CN"/>
              </w:rPr>
              <w:t xml:space="preserve"> </w:t>
            </w:r>
            <w:r>
              <w:rPr>
                <w:rStyle w:val="19"/>
              </w:rPr>
              <w:t>=</w:t>
            </w:r>
            <w:r>
              <w:rPr>
                <w:rStyle w:val="19"/>
                <w:lang w:eastAsia="zh-CN"/>
              </w:rPr>
              <w:t xml:space="preserve"> </w:t>
            </w:r>
            <w:r>
              <w:rPr>
                <w:rStyle w:val="19"/>
              </w:rPr>
              <w:t>57)</w:t>
            </w:r>
          </w:p>
        </w:tc>
        <w:tc>
          <w:tcPr>
            <w:tcW w:w="654" w:type="pct"/>
            <w:noWrap w:val="0"/>
            <w:vAlign w:val="top"/>
          </w:tcPr>
          <w:p>
            <w:pPr>
              <w:spacing w:line="360" w:lineRule="auto"/>
              <w:jc w:val="both"/>
              <w:rPr>
                <w:rFonts w:ascii="Book Antiqua" w:hAnsi="Book Antiqua" w:cs="宋体"/>
                <w:color w:val="000000"/>
              </w:rPr>
            </w:pPr>
            <w:r>
              <w:rPr>
                <w:rStyle w:val="19"/>
              </w:rPr>
              <w:t>Follow-up</w:t>
            </w:r>
          </w:p>
        </w:tc>
        <w:tc>
          <w:tcPr>
            <w:tcW w:w="621" w:type="pct"/>
            <w:noWrap w:val="0"/>
            <w:vAlign w:val="top"/>
          </w:tcPr>
          <w:p>
            <w:pPr>
              <w:spacing w:line="360" w:lineRule="auto"/>
              <w:jc w:val="both"/>
              <w:rPr>
                <w:rFonts w:ascii="Book Antiqua" w:hAnsi="Book Antiqua" w:cs="宋体"/>
                <w:color w:val="000000"/>
              </w:rPr>
            </w:pPr>
            <w:r>
              <w:rPr>
                <w:rStyle w:val="19"/>
              </w:rPr>
              <w:t>10.5 ± 0.3</w:t>
            </w:r>
          </w:p>
        </w:tc>
        <w:tc>
          <w:tcPr>
            <w:tcW w:w="655" w:type="pct"/>
            <w:noWrap w:val="0"/>
            <w:vAlign w:val="top"/>
          </w:tcPr>
          <w:p>
            <w:pPr>
              <w:spacing w:line="360" w:lineRule="auto"/>
              <w:jc w:val="both"/>
              <w:rPr>
                <w:rFonts w:ascii="Book Antiqua" w:hAnsi="Book Antiqua" w:cs="宋体"/>
                <w:color w:val="000000"/>
              </w:rPr>
            </w:pPr>
            <w:r>
              <w:rPr>
                <w:rStyle w:val="19"/>
              </w:rPr>
              <w:t>11.9 ± 0.2</w:t>
            </w:r>
          </w:p>
        </w:tc>
        <w:tc>
          <w:tcPr>
            <w:tcW w:w="498" w:type="pct"/>
            <w:noWrap w:val="0"/>
            <w:vAlign w:val="top"/>
          </w:tcPr>
          <w:p>
            <w:pPr>
              <w:spacing w:line="360" w:lineRule="auto"/>
              <w:jc w:val="both"/>
              <w:rPr>
                <w:rFonts w:ascii="Book Antiqua" w:hAnsi="Book Antiqua" w:cs="宋体"/>
                <w:color w:val="000000"/>
              </w:rPr>
            </w:pPr>
            <w:r>
              <w:rPr>
                <w:rStyle w:val="19"/>
              </w:rPr>
              <w:t>11.7 ± 0.2</w:t>
            </w:r>
          </w:p>
        </w:tc>
        <w:tc>
          <w:tcPr>
            <w:tcW w:w="271" w:type="pct"/>
            <w:noWrap w:val="0"/>
            <w:vAlign w:val="top"/>
          </w:tcPr>
          <w:p>
            <w:pPr>
              <w:spacing w:line="360" w:lineRule="auto"/>
              <w:jc w:val="both"/>
              <w:rPr>
                <w:rFonts w:ascii="Book Antiqua" w:hAnsi="Book Antiqua" w:cs="宋体"/>
                <w:color w:val="000000"/>
              </w:rPr>
            </w:pPr>
          </w:p>
        </w:tc>
        <w:tc>
          <w:tcPr>
            <w:tcW w:w="537" w:type="pct"/>
            <w:noWrap w:val="0"/>
            <w:vAlign w:val="top"/>
          </w:tcPr>
          <w:p>
            <w:pPr>
              <w:spacing w:line="360" w:lineRule="auto"/>
              <w:jc w:val="both"/>
              <w:rPr>
                <w:rFonts w:ascii="Book Antiqua" w:hAnsi="Book Antiqua" w:cs="宋体"/>
                <w:color w:val="000000"/>
              </w:rPr>
            </w:pPr>
          </w:p>
        </w:tc>
        <w:tc>
          <w:tcPr>
            <w:tcW w:w="472" w:type="pct"/>
            <w:noWrap w:val="0"/>
            <w:vAlign w:val="top"/>
          </w:tcPr>
          <w:p>
            <w:pPr>
              <w:spacing w:line="360" w:lineRule="auto"/>
              <w:jc w:val="both"/>
              <w:rPr>
                <w:rFonts w:ascii="Book Antiqua" w:hAnsi="Book Antiqua" w:cs="宋体"/>
                <w:color w:val="000000"/>
              </w:rPr>
            </w:pPr>
          </w:p>
        </w:tc>
        <w:tc>
          <w:tcPr>
            <w:tcW w:w="635"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57" w:type="pct"/>
            <w:noWrap w:val="0"/>
            <w:vAlign w:val="top"/>
          </w:tcPr>
          <w:p>
            <w:pPr>
              <w:spacing w:line="360" w:lineRule="auto"/>
              <w:jc w:val="both"/>
              <w:rPr>
                <w:rFonts w:ascii="Book Antiqua" w:hAnsi="Book Antiqua" w:cs="宋体"/>
                <w:color w:val="000000"/>
              </w:rPr>
            </w:pPr>
          </w:p>
        </w:tc>
        <w:tc>
          <w:tcPr>
            <w:tcW w:w="654" w:type="pct"/>
            <w:noWrap w:val="0"/>
            <w:vAlign w:val="top"/>
          </w:tcPr>
          <w:p>
            <w:pPr>
              <w:spacing w:line="360" w:lineRule="auto"/>
              <w:jc w:val="both"/>
              <w:rPr>
                <w:rFonts w:ascii="Book Antiqua" w:hAnsi="Book Antiqua" w:cs="宋体"/>
                <w:color w:val="000000"/>
              </w:rPr>
            </w:pPr>
            <w:r>
              <w:rPr>
                <w:rStyle w:val="19"/>
              </w:rPr>
              <w:t>Change</w:t>
            </w:r>
          </w:p>
        </w:tc>
        <w:tc>
          <w:tcPr>
            <w:tcW w:w="621" w:type="pct"/>
            <w:noWrap w:val="0"/>
            <w:vAlign w:val="top"/>
          </w:tcPr>
          <w:p>
            <w:pPr>
              <w:spacing w:line="360" w:lineRule="auto"/>
              <w:jc w:val="both"/>
              <w:rPr>
                <w:rFonts w:ascii="Book Antiqua" w:hAnsi="Book Antiqua" w:cs="宋体"/>
                <w:color w:val="000000"/>
              </w:rPr>
            </w:pPr>
            <w:r>
              <w:rPr>
                <w:rStyle w:val="19"/>
              </w:rPr>
              <w:t>1.0 ± 0.3</w:t>
            </w:r>
            <w:r>
              <w:rPr>
                <w:rStyle w:val="19"/>
                <w:vertAlign w:val="superscript"/>
              </w:rPr>
              <w:t>a</w:t>
            </w:r>
          </w:p>
        </w:tc>
        <w:tc>
          <w:tcPr>
            <w:tcW w:w="655" w:type="pct"/>
            <w:noWrap w:val="0"/>
            <w:vAlign w:val="top"/>
          </w:tcPr>
          <w:p>
            <w:pPr>
              <w:spacing w:line="360" w:lineRule="auto"/>
              <w:jc w:val="both"/>
              <w:rPr>
                <w:rFonts w:ascii="Book Antiqua" w:hAnsi="Book Antiqua" w:cs="宋体"/>
                <w:color w:val="000000"/>
              </w:rPr>
            </w:pPr>
            <w:r>
              <w:rPr>
                <w:rStyle w:val="19"/>
              </w:rPr>
              <w:t>2.4 ± 0.3</w:t>
            </w:r>
            <w:r>
              <w:rPr>
                <w:rStyle w:val="19"/>
                <w:vertAlign w:val="superscript"/>
              </w:rPr>
              <w:t>b</w:t>
            </w:r>
          </w:p>
        </w:tc>
        <w:tc>
          <w:tcPr>
            <w:tcW w:w="498" w:type="pct"/>
            <w:noWrap w:val="0"/>
            <w:vAlign w:val="top"/>
          </w:tcPr>
          <w:p>
            <w:pPr>
              <w:spacing w:line="360" w:lineRule="auto"/>
              <w:jc w:val="both"/>
              <w:rPr>
                <w:rFonts w:ascii="Book Antiqua" w:hAnsi="Book Antiqua" w:cs="宋体"/>
                <w:color w:val="000000"/>
              </w:rPr>
            </w:pPr>
            <w:r>
              <w:rPr>
                <w:rStyle w:val="19"/>
              </w:rPr>
              <w:t>2.2 ± 0.3</w:t>
            </w:r>
            <w:r>
              <w:rPr>
                <w:rStyle w:val="19"/>
                <w:vertAlign w:val="superscript"/>
              </w:rPr>
              <w:t>b</w:t>
            </w:r>
          </w:p>
        </w:tc>
        <w:tc>
          <w:tcPr>
            <w:tcW w:w="271" w:type="pct"/>
            <w:noWrap w:val="0"/>
            <w:vAlign w:val="top"/>
          </w:tcPr>
          <w:p>
            <w:pPr>
              <w:spacing w:line="360" w:lineRule="auto"/>
              <w:jc w:val="both"/>
              <w:rPr>
                <w:rFonts w:ascii="Book Antiqua" w:hAnsi="Book Antiqua" w:cs="宋体"/>
                <w:color w:val="000000"/>
              </w:rPr>
            </w:pPr>
            <w:r>
              <w:rPr>
                <w:rFonts w:ascii="Book Antiqua" w:hAnsi="Book Antiqua"/>
                <w:color w:val="000000"/>
              </w:rPr>
              <w:t>0.009</w:t>
            </w:r>
          </w:p>
        </w:tc>
        <w:tc>
          <w:tcPr>
            <w:tcW w:w="537" w:type="pct"/>
            <w:noWrap w:val="0"/>
            <w:vAlign w:val="top"/>
          </w:tcPr>
          <w:p>
            <w:pPr>
              <w:spacing w:line="360" w:lineRule="auto"/>
              <w:jc w:val="both"/>
              <w:rPr>
                <w:rFonts w:ascii="Book Antiqua" w:hAnsi="Book Antiqua" w:cs="宋体"/>
                <w:color w:val="000000"/>
                <w:lang w:eastAsia="zh-CN"/>
              </w:rPr>
            </w:pPr>
            <w:r>
              <w:rPr>
                <w:rStyle w:val="19"/>
              </w:rPr>
              <w:t>1.3 (0.2, 2.5)</w:t>
            </w:r>
            <w:r>
              <w:rPr>
                <w:rStyle w:val="19"/>
                <w:vertAlign w:val="superscript"/>
                <w:lang w:eastAsia="zh-CN"/>
              </w:rPr>
              <w:t>a</w:t>
            </w:r>
          </w:p>
        </w:tc>
        <w:tc>
          <w:tcPr>
            <w:tcW w:w="472" w:type="pct"/>
            <w:noWrap w:val="0"/>
            <w:vAlign w:val="top"/>
          </w:tcPr>
          <w:p>
            <w:pPr>
              <w:spacing w:line="360" w:lineRule="auto"/>
              <w:jc w:val="both"/>
              <w:rPr>
                <w:rFonts w:ascii="Book Antiqua" w:hAnsi="Book Antiqua" w:cs="宋体"/>
                <w:color w:val="000000"/>
                <w:lang w:eastAsia="zh-CN"/>
              </w:rPr>
            </w:pPr>
            <w:r>
              <w:rPr>
                <w:rStyle w:val="19"/>
              </w:rPr>
              <w:t>1.2 (0.1, 2.3)</w:t>
            </w:r>
            <w:r>
              <w:rPr>
                <w:rStyle w:val="19"/>
                <w:vertAlign w:val="superscript"/>
                <w:lang w:eastAsia="zh-CN"/>
              </w:rPr>
              <w:t>a</w:t>
            </w:r>
          </w:p>
        </w:tc>
        <w:tc>
          <w:tcPr>
            <w:tcW w:w="635" w:type="pct"/>
            <w:noWrap w:val="0"/>
            <w:vAlign w:val="top"/>
          </w:tcPr>
          <w:p>
            <w:pPr>
              <w:spacing w:line="360" w:lineRule="auto"/>
              <w:jc w:val="both"/>
              <w:rPr>
                <w:rFonts w:ascii="Book Antiqua" w:hAnsi="Book Antiqua" w:cs="宋体"/>
                <w:color w:val="000000"/>
              </w:rPr>
            </w:pPr>
            <w:r>
              <w:rPr>
                <w:rStyle w:val="19"/>
              </w:rPr>
              <w:t>0.1 (-1.0, 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57" w:type="pct"/>
            <w:noWrap w:val="0"/>
            <w:vAlign w:val="top"/>
          </w:tcPr>
          <w:p>
            <w:pPr>
              <w:spacing w:line="360" w:lineRule="auto"/>
              <w:jc w:val="both"/>
              <w:rPr>
                <w:rFonts w:ascii="Book Antiqua" w:hAnsi="Book Antiqua" w:cs="宋体"/>
                <w:color w:val="000000"/>
              </w:rPr>
            </w:pPr>
            <w:r>
              <w:rPr>
                <w:rStyle w:val="19"/>
              </w:rPr>
              <w:t>Ferritin</w:t>
            </w:r>
            <w:r>
              <w:rPr>
                <w:rStyle w:val="19"/>
                <w:lang w:eastAsia="zh-CN"/>
              </w:rPr>
              <w:t xml:space="preserve"> </w:t>
            </w:r>
            <w:r>
              <w:rPr>
                <w:rStyle w:val="19"/>
              </w:rPr>
              <w:t>(μg/dL)</w:t>
            </w:r>
          </w:p>
        </w:tc>
        <w:tc>
          <w:tcPr>
            <w:tcW w:w="654" w:type="pct"/>
            <w:noWrap w:val="0"/>
            <w:vAlign w:val="top"/>
          </w:tcPr>
          <w:p>
            <w:pPr>
              <w:spacing w:line="360" w:lineRule="auto"/>
              <w:jc w:val="both"/>
              <w:rPr>
                <w:rFonts w:ascii="Book Antiqua" w:hAnsi="Book Antiqua" w:cs="宋体"/>
                <w:color w:val="000000"/>
              </w:rPr>
            </w:pPr>
            <w:r>
              <w:rPr>
                <w:rStyle w:val="19"/>
              </w:rPr>
              <w:t>Admission</w:t>
            </w:r>
          </w:p>
        </w:tc>
        <w:tc>
          <w:tcPr>
            <w:tcW w:w="621" w:type="pct"/>
            <w:noWrap w:val="0"/>
            <w:vAlign w:val="top"/>
          </w:tcPr>
          <w:p>
            <w:pPr>
              <w:spacing w:line="360" w:lineRule="auto"/>
              <w:jc w:val="both"/>
              <w:rPr>
                <w:rFonts w:ascii="Book Antiqua" w:hAnsi="Book Antiqua" w:cs="宋体"/>
                <w:color w:val="000000"/>
              </w:rPr>
            </w:pPr>
            <w:r>
              <w:rPr>
                <w:rStyle w:val="19"/>
              </w:rPr>
              <w:t>117 ± 36</w:t>
            </w:r>
          </w:p>
        </w:tc>
        <w:tc>
          <w:tcPr>
            <w:tcW w:w="655" w:type="pct"/>
            <w:noWrap w:val="0"/>
            <w:vAlign w:val="top"/>
          </w:tcPr>
          <w:p>
            <w:pPr>
              <w:spacing w:line="360" w:lineRule="auto"/>
              <w:jc w:val="both"/>
              <w:rPr>
                <w:rFonts w:ascii="Book Antiqua" w:hAnsi="Book Antiqua" w:cs="宋体"/>
                <w:color w:val="000000"/>
              </w:rPr>
            </w:pPr>
            <w:r>
              <w:rPr>
                <w:rStyle w:val="19"/>
              </w:rPr>
              <w:t>82 ± 33</w:t>
            </w:r>
          </w:p>
        </w:tc>
        <w:tc>
          <w:tcPr>
            <w:tcW w:w="498" w:type="pct"/>
            <w:noWrap w:val="0"/>
            <w:vAlign w:val="top"/>
          </w:tcPr>
          <w:p>
            <w:pPr>
              <w:spacing w:line="360" w:lineRule="auto"/>
              <w:jc w:val="both"/>
              <w:rPr>
                <w:rFonts w:ascii="Book Antiqua" w:hAnsi="Book Antiqua" w:cs="宋体"/>
                <w:color w:val="000000"/>
              </w:rPr>
            </w:pPr>
            <w:r>
              <w:rPr>
                <w:rStyle w:val="19"/>
              </w:rPr>
              <w:t>73 ± 36</w:t>
            </w:r>
          </w:p>
        </w:tc>
        <w:tc>
          <w:tcPr>
            <w:tcW w:w="271" w:type="pct"/>
            <w:noWrap w:val="0"/>
            <w:vAlign w:val="top"/>
          </w:tcPr>
          <w:p>
            <w:pPr>
              <w:spacing w:line="360" w:lineRule="auto"/>
              <w:jc w:val="both"/>
              <w:rPr>
                <w:rFonts w:ascii="Book Antiqua" w:hAnsi="Book Antiqua" w:cs="宋体"/>
                <w:color w:val="000000"/>
              </w:rPr>
            </w:pPr>
          </w:p>
        </w:tc>
        <w:tc>
          <w:tcPr>
            <w:tcW w:w="537" w:type="pct"/>
            <w:noWrap w:val="0"/>
            <w:vAlign w:val="top"/>
          </w:tcPr>
          <w:p>
            <w:pPr>
              <w:spacing w:line="360" w:lineRule="auto"/>
              <w:jc w:val="both"/>
              <w:rPr>
                <w:rFonts w:ascii="Book Antiqua" w:hAnsi="Book Antiqua" w:cs="宋体"/>
                <w:color w:val="000000"/>
              </w:rPr>
            </w:pPr>
          </w:p>
        </w:tc>
        <w:tc>
          <w:tcPr>
            <w:tcW w:w="472" w:type="pct"/>
            <w:noWrap w:val="0"/>
            <w:vAlign w:val="top"/>
          </w:tcPr>
          <w:p>
            <w:pPr>
              <w:spacing w:line="360" w:lineRule="auto"/>
              <w:jc w:val="both"/>
              <w:rPr>
                <w:rFonts w:ascii="Book Antiqua" w:hAnsi="Book Antiqua" w:cs="宋体"/>
                <w:color w:val="000000"/>
              </w:rPr>
            </w:pPr>
          </w:p>
        </w:tc>
        <w:tc>
          <w:tcPr>
            <w:tcW w:w="635"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57" w:type="pct"/>
            <w:noWrap w:val="0"/>
            <w:vAlign w:val="top"/>
          </w:tcPr>
          <w:p>
            <w:pPr>
              <w:spacing w:line="360" w:lineRule="auto"/>
              <w:jc w:val="both"/>
              <w:rPr>
                <w:rFonts w:ascii="Book Antiqua" w:hAnsi="Book Antiqua" w:cs="宋体"/>
                <w:color w:val="000000"/>
              </w:rPr>
            </w:pPr>
            <w:r>
              <w:rPr>
                <w:rStyle w:val="19"/>
              </w:rPr>
              <w:t>(</w:t>
            </w:r>
            <w:r>
              <w:rPr>
                <w:rStyle w:val="19"/>
                <w:i/>
              </w:rPr>
              <w:t>n</w:t>
            </w:r>
            <w:r>
              <w:rPr>
                <w:rStyle w:val="19"/>
                <w:lang w:eastAsia="zh-CN"/>
              </w:rPr>
              <w:t xml:space="preserve"> </w:t>
            </w:r>
            <w:r>
              <w:rPr>
                <w:rStyle w:val="19"/>
              </w:rPr>
              <w:t>=</w:t>
            </w:r>
            <w:r>
              <w:rPr>
                <w:rStyle w:val="19"/>
                <w:lang w:eastAsia="zh-CN"/>
              </w:rPr>
              <w:t xml:space="preserve"> </w:t>
            </w:r>
            <w:r>
              <w:rPr>
                <w:rStyle w:val="19"/>
              </w:rPr>
              <w:t>43)</w:t>
            </w:r>
          </w:p>
        </w:tc>
        <w:tc>
          <w:tcPr>
            <w:tcW w:w="654" w:type="pct"/>
            <w:noWrap w:val="0"/>
            <w:vAlign w:val="top"/>
          </w:tcPr>
          <w:p>
            <w:pPr>
              <w:spacing w:line="360" w:lineRule="auto"/>
              <w:jc w:val="both"/>
              <w:rPr>
                <w:rFonts w:ascii="Book Antiqua" w:hAnsi="Book Antiqua" w:cs="宋体"/>
                <w:color w:val="000000"/>
              </w:rPr>
            </w:pPr>
            <w:r>
              <w:rPr>
                <w:rStyle w:val="19"/>
              </w:rPr>
              <w:t>Follow-up</w:t>
            </w:r>
          </w:p>
        </w:tc>
        <w:tc>
          <w:tcPr>
            <w:tcW w:w="621" w:type="pct"/>
            <w:noWrap w:val="0"/>
            <w:vAlign w:val="top"/>
          </w:tcPr>
          <w:p>
            <w:pPr>
              <w:spacing w:line="360" w:lineRule="auto"/>
              <w:jc w:val="both"/>
              <w:rPr>
                <w:rFonts w:ascii="Book Antiqua" w:hAnsi="Book Antiqua" w:cs="宋体"/>
                <w:color w:val="000000"/>
              </w:rPr>
            </w:pPr>
            <w:r>
              <w:rPr>
                <w:rStyle w:val="19"/>
              </w:rPr>
              <w:t>153 ± 39</w:t>
            </w:r>
          </w:p>
        </w:tc>
        <w:tc>
          <w:tcPr>
            <w:tcW w:w="655" w:type="pct"/>
            <w:noWrap w:val="0"/>
            <w:vAlign w:val="top"/>
          </w:tcPr>
          <w:p>
            <w:pPr>
              <w:spacing w:line="360" w:lineRule="auto"/>
              <w:jc w:val="both"/>
              <w:rPr>
                <w:rFonts w:ascii="Book Antiqua" w:hAnsi="Book Antiqua" w:cs="宋体"/>
                <w:color w:val="000000"/>
              </w:rPr>
            </w:pPr>
            <w:r>
              <w:rPr>
                <w:rStyle w:val="19"/>
              </w:rPr>
              <w:t>183 ± 45</w:t>
            </w:r>
          </w:p>
        </w:tc>
        <w:tc>
          <w:tcPr>
            <w:tcW w:w="498" w:type="pct"/>
            <w:noWrap w:val="0"/>
            <w:vAlign w:val="top"/>
          </w:tcPr>
          <w:p>
            <w:pPr>
              <w:spacing w:line="360" w:lineRule="auto"/>
              <w:jc w:val="both"/>
              <w:rPr>
                <w:rFonts w:ascii="Book Antiqua" w:hAnsi="Book Antiqua" w:cs="宋体"/>
                <w:color w:val="000000"/>
              </w:rPr>
            </w:pPr>
            <w:r>
              <w:rPr>
                <w:rStyle w:val="19"/>
              </w:rPr>
              <w:t>206 ± 42</w:t>
            </w:r>
          </w:p>
        </w:tc>
        <w:tc>
          <w:tcPr>
            <w:tcW w:w="271" w:type="pct"/>
            <w:noWrap w:val="0"/>
            <w:vAlign w:val="top"/>
          </w:tcPr>
          <w:p>
            <w:pPr>
              <w:spacing w:line="360" w:lineRule="auto"/>
              <w:jc w:val="both"/>
              <w:rPr>
                <w:rFonts w:ascii="Book Antiqua" w:hAnsi="Book Antiqua" w:cs="宋体"/>
                <w:color w:val="000000"/>
              </w:rPr>
            </w:pPr>
          </w:p>
        </w:tc>
        <w:tc>
          <w:tcPr>
            <w:tcW w:w="537" w:type="pct"/>
            <w:noWrap w:val="0"/>
            <w:vAlign w:val="top"/>
          </w:tcPr>
          <w:p>
            <w:pPr>
              <w:spacing w:line="360" w:lineRule="auto"/>
              <w:jc w:val="both"/>
              <w:rPr>
                <w:rFonts w:ascii="Book Antiqua" w:hAnsi="Book Antiqua" w:cs="宋体"/>
                <w:color w:val="000000"/>
              </w:rPr>
            </w:pPr>
          </w:p>
        </w:tc>
        <w:tc>
          <w:tcPr>
            <w:tcW w:w="472" w:type="pct"/>
            <w:noWrap w:val="0"/>
            <w:vAlign w:val="top"/>
          </w:tcPr>
          <w:p>
            <w:pPr>
              <w:spacing w:line="360" w:lineRule="auto"/>
              <w:jc w:val="both"/>
              <w:rPr>
                <w:rFonts w:ascii="Book Antiqua" w:hAnsi="Book Antiqua" w:cs="宋体"/>
                <w:color w:val="000000"/>
              </w:rPr>
            </w:pPr>
          </w:p>
        </w:tc>
        <w:tc>
          <w:tcPr>
            <w:tcW w:w="635"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57" w:type="pct"/>
            <w:noWrap w:val="0"/>
            <w:vAlign w:val="top"/>
          </w:tcPr>
          <w:p>
            <w:pPr>
              <w:spacing w:line="360" w:lineRule="auto"/>
              <w:jc w:val="both"/>
              <w:rPr>
                <w:rFonts w:ascii="Book Antiqua" w:hAnsi="Book Antiqua" w:cs="宋体"/>
                <w:color w:val="000000"/>
              </w:rPr>
            </w:pPr>
          </w:p>
        </w:tc>
        <w:tc>
          <w:tcPr>
            <w:tcW w:w="654" w:type="pct"/>
            <w:noWrap w:val="0"/>
            <w:vAlign w:val="top"/>
          </w:tcPr>
          <w:p>
            <w:pPr>
              <w:spacing w:line="360" w:lineRule="auto"/>
              <w:jc w:val="both"/>
              <w:rPr>
                <w:rFonts w:ascii="Book Antiqua" w:hAnsi="Book Antiqua" w:cs="宋体"/>
                <w:color w:val="000000"/>
              </w:rPr>
            </w:pPr>
            <w:r>
              <w:rPr>
                <w:rStyle w:val="19"/>
              </w:rPr>
              <w:t>Change</w:t>
            </w:r>
          </w:p>
        </w:tc>
        <w:tc>
          <w:tcPr>
            <w:tcW w:w="621" w:type="pct"/>
            <w:noWrap w:val="0"/>
            <w:vAlign w:val="top"/>
          </w:tcPr>
          <w:p>
            <w:pPr>
              <w:spacing w:line="360" w:lineRule="auto"/>
              <w:jc w:val="both"/>
              <w:rPr>
                <w:rFonts w:ascii="Book Antiqua" w:hAnsi="Book Antiqua" w:cs="宋体"/>
                <w:color w:val="000000"/>
              </w:rPr>
            </w:pPr>
            <w:r>
              <w:rPr>
                <w:rStyle w:val="19"/>
              </w:rPr>
              <w:t>37 ± 43</w:t>
            </w:r>
          </w:p>
        </w:tc>
        <w:tc>
          <w:tcPr>
            <w:tcW w:w="655" w:type="pct"/>
            <w:noWrap w:val="0"/>
            <w:vAlign w:val="top"/>
          </w:tcPr>
          <w:p>
            <w:pPr>
              <w:spacing w:line="360" w:lineRule="auto"/>
              <w:jc w:val="both"/>
              <w:rPr>
                <w:rFonts w:ascii="Book Antiqua" w:hAnsi="Book Antiqua" w:cs="宋体"/>
                <w:color w:val="000000"/>
              </w:rPr>
            </w:pPr>
            <w:r>
              <w:rPr>
                <w:rStyle w:val="19"/>
              </w:rPr>
              <w:t>101 ± 57</w:t>
            </w:r>
          </w:p>
        </w:tc>
        <w:tc>
          <w:tcPr>
            <w:tcW w:w="498" w:type="pct"/>
            <w:noWrap w:val="0"/>
            <w:vAlign w:val="top"/>
          </w:tcPr>
          <w:p>
            <w:pPr>
              <w:spacing w:line="360" w:lineRule="auto"/>
              <w:jc w:val="both"/>
              <w:rPr>
                <w:rFonts w:ascii="Book Antiqua" w:hAnsi="Book Antiqua" w:cs="宋体"/>
                <w:color w:val="000000"/>
              </w:rPr>
            </w:pPr>
            <w:r>
              <w:rPr>
                <w:rStyle w:val="19"/>
              </w:rPr>
              <w:t>133 ± 44</w:t>
            </w:r>
          </w:p>
        </w:tc>
        <w:tc>
          <w:tcPr>
            <w:tcW w:w="271" w:type="pct"/>
            <w:noWrap w:val="0"/>
            <w:vAlign w:val="top"/>
          </w:tcPr>
          <w:p>
            <w:pPr>
              <w:spacing w:line="360" w:lineRule="auto"/>
              <w:jc w:val="both"/>
              <w:rPr>
                <w:rFonts w:ascii="Book Antiqua" w:hAnsi="Book Antiqua" w:cs="宋体"/>
                <w:color w:val="000000"/>
              </w:rPr>
            </w:pPr>
            <w:r>
              <w:rPr>
                <w:rFonts w:ascii="Book Antiqua" w:hAnsi="Book Antiqua"/>
                <w:color w:val="000000"/>
              </w:rPr>
              <w:t>0.3</w:t>
            </w:r>
          </w:p>
        </w:tc>
        <w:tc>
          <w:tcPr>
            <w:tcW w:w="537" w:type="pct"/>
            <w:noWrap w:val="0"/>
            <w:vAlign w:val="top"/>
          </w:tcPr>
          <w:p>
            <w:pPr>
              <w:spacing w:line="360" w:lineRule="auto"/>
              <w:jc w:val="both"/>
              <w:rPr>
                <w:rFonts w:ascii="Book Antiqua" w:hAnsi="Book Antiqua" w:cs="宋体"/>
                <w:color w:val="000000"/>
              </w:rPr>
            </w:pPr>
            <w:r>
              <w:rPr>
                <w:rStyle w:val="19"/>
              </w:rPr>
              <w:t>64 (-118, 247)</w:t>
            </w:r>
          </w:p>
        </w:tc>
        <w:tc>
          <w:tcPr>
            <w:tcW w:w="472" w:type="pct"/>
            <w:noWrap w:val="0"/>
            <w:vAlign w:val="top"/>
          </w:tcPr>
          <w:p>
            <w:pPr>
              <w:spacing w:line="360" w:lineRule="auto"/>
              <w:jc w:val="both"/>
              <w:rPr>
                <w:rFonts w:ascii="Book Antiqua" w:hAnsi="Book Antiqua" w:cs="宋体"/>
                <w:color w:val="000000"/>
              </w:rPr>
            </w:pPr>
            <w:r>
              <w:rPr>
                <w:rStyle w:val="19"/>
              </w:rPr>
              <w:t>96 (-61, 254)</w:t>
            </w:r>
          </w:p>
        </w:tc>
        <w:tc>
          <w:tcPr>
            <w:tcW w:w="635" w:type="pct"/>
            <w:noWrap w:val="0"/>
            <w:vAlign w:val="top"/>
          </w:tcPr>
          <w:p>
            <w:pPr>
              <w:spacing w:line="360" w:lineRule="auto"/>
              <w:jc w:val="both"/>
              <w:rPr>
                <w:rFonts w:ascii="Book Antiqua" w:hAnsi="Book Antiqua" w:cs="宋体"/>
                <w:color w:val="000000"/>
              </w:rPr>
            </w:pPr>
            <w:r>
              <w:rPr>
                <w:rStyle w:val="19"/>
              </w:rPr>
              <w:t>-32 (-215, 151)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57" w:type="pct"/>
            <w:noWrap w:val="0"/>
            <w:vAlign w:val="top"/>
          </w:tcPr>
          <w:p>
            <w:pPr>
              <w:spacing w:line="360" w:lineRule="auto"/>
              <w:jc w:val="both"/>
              <w:rPr>
                <w:rFonts w:ascii="Book Antiqua" w:hAnsi="Book Antiqua" w:cs="宋体"/>
                <w:color w:val="000000"/>
              </w:rPr>
            </w:pPr>
            <w:r>
              <w:rPr>
                <w:rStyle w:val="19"/>
              </w:rPr>
              <w:t>Iron (μg/dL)</w:t>
            </w:r>
          </w:p>
        </w:tc>
        <w:tc>
          <w:tcPr>
            <w:tcW w:w="654" w:type="pct"/>
            <w:noWrap w:val="0"/>
            <w:vAlign w:val="top"/>
          </w:tcPr>
          <w:p>
            <w:pPr>
              <w:spacing w:line="360" w:lineRule="auto"/>
              <w:jc w:val="both"/>
              <w:rPr>
                <w:rFonts w:ascii="Book Antiqua" w:hAnsi="Book Antiqua" w:cs="宋体"/>
                <w:color w:val="000000"/>
              </w:rPr>
            </w:pPr>
            <w:r>
              <w:rPr>
                <w:rStyle w:val="19"/>
              </w:rPr>
              <w:t>Admission</w:t>
            </w:r>
          </w:p>
        </w:tc>
        <w:tc>
          <w:tcPr>
            <w:tcW w:w="621" w:type="pct"/>
            <w:noWrap w:val="0"/>
            <w:vAlign w:val="top"/>
          </w:tcPr>
          <w:p>
            <w:pPr>
              <w:spacing w:line="360" w:lineRule="auto"/>
              <w:jc w:val="both"/>
              <w:rPr>
                <w:rFonts w:ascii="Book Antiqua" w:hAnsi="Book Antiqua" w:cs="宋体"/>
                <w:color w:val="000000"/>
              </w:rPr>
            </w:pPr>
            <w:r>
              <w:rPr>
                <w:rStyle w:val="19"/>
              </w:rPr>
              <w:t>19.2 ± 6.5</w:t>
            </w:r>
          </w:p>
        </w:tc>
        <w:tc>
          <w:tcPr>
            <w:tcW w:w="655" w:type="pct"/>
            <w:noWrap w:val="0"/>
            <w:vAlign w:val="top"/>
          </w:tcPr>
          <w:p>
            <w:pPr>
              <w:spacing w:line="360" w:lineRule="auto"/>
              <w:jc w:val="both"/>
              <w:rPr>
                <w:rFonts w:ascii="Book Antiqua" w:hAnsi="Book Antiqua" w:cs="宋体"/>
                <w:color w:val="000000"/>
              </w:rPr>
            </w:pPr>
            <w:r>
              <w:rPr>
                <w:rStyle w:val="19"/>
              </w:rPr>
              <w:t>23.0 ± 5.8</w:t>
            </w:r>
          </w:p>
        </w:tc>
        <w:tc>
          <w:tcPr>
            <w:tcW w:w="498" w:type="pct"/>
            <w:noWrap w:val="0"/>
            <w:vAlign w:val="top"/>
          </w:tcPr>
          <w:p>
            <w:pPr>
              <w:spacing w:line="360" w:lineRule="auto"/>
              <w:jc w:val="both"/>
              <w:rPr>
                <w:rFonts w:ascii="Book Antiqua" w:hAnsi="Book Antiqua" w:cs="宋体"/>
                <w:color w:val="000000"/>
              </w:rPr>
            </w:pPr>
            <w:r>
              <w:rPr>
                <w:rStyle w:val="19"/>
              </w:rPr>
              <w:t>25.3 ± 6.5</w:t>
            </w:r>
          </w:p>
        </w:tc>
        <w:tc>
          <w:tcPr>
            <w:tcW w:w="271" w:type="pct"/>
            <w:noWrap w:val="0"/>
            <w:vAlign w:val="top"/>
          </w:tcPr>
          <w:p>
            <w:pPr>
              <w:spacing w:line="360" w:lineRule="auto"/>
              <w:jc w:val="both"/>
              <w:rPr>
                <w:rFonts w:ascii="Book Antiqua" w:hAnsi="Book Antiqua" w:cs="宋体"/>
                <w:color w:val="000000"/>
              </w:rPr>
            </w:pPr>
          </w:p>
        </w:tc>
        <w:tc>
          <w:tcPr>
            <w:tcW w:w="537" w:type="pct"/>
            <w:noWrap w:val="0"/>
            <w:vAlign w:val="top"/>
          </w:tcPr>
          <w:p>
            <w:pPr>
              <w:spacing w:line="360" w:lineRule="auto"/>
              <w:jc w:val="both"/>
              <w:rPr>
                <w:rFonts w:ascii="Book Antiqua" w:hAnsi="Book Antiqua" w:cs="宋体"/>
                <w:color w:val="000000"/>
              </w:rPr>
            </w:pPr>
          </w:p>
        </w:tc>
        <w:tc>
          <w:tcPr>
            <w:tcW w:w="472" w:type="pct"/>
            <w:noWrap w:val="0"/>
            <w:vAlign w:val="top"/>
          </w:tcPr>
          <w:p>
            <w:pPr>
              <w:spacing w:line="360" w:lineRule="auto"/>
              <w:jc w:val="both"/>
              <w:rPr>
                <w:rFonts w:ascii="Book Antiqua" w:hAnsi="Book Antiqua" w:cs="宋体"/>
                <w:color w:val="000000"/>
              </w:rPr>
            </w:pPr>
          </w:p>
        </w:tc>
        <w:tc>
          <w:tcPr>
            <w:tcW w:w="635"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57" w:type="pct"/>
            <w:noWrap w:val="0"/>
            <w:vAlign w:val="top"/>
          </w:tcPr>
          <w:p>
            <w:pPr>
              <w:spacing w:line="360" w:lineRule="auto"/>
              <w:jc w:val="both"/>
              <w:rPr>
                <w:rFonts w:ascii="Book Antiqua" w:hAnsi="Book Antiqua" w:cs="宋体"/>
                <w:color w:val="000000"/>
              </w:rPr>
            </w:pPr>
            <w:r>
              <w:rPr>
                <w:rStyle w:val="19"/>
              </w:rPr>
              <w:t>(</w:t>
            </w:r>
            <w:r>
              <w:rPr>
                <w:rStyle w:val="19"/>
                <w:i/>
              </w:rPr>
              <w:t>n</w:t>
            </w:r>
            <w:r>
              <w:rPr>
                <w:rStyle w:val="19"/>
                <w:lang w:eastAsia="zh-CN"/>
              </w:rPr>
              <w:t xml:space="preserve"> </w:t>
            </w:r>
            <w:r>
              <w:rPr>
                <w:rStyle w:val="19"/>
              </w:rPr>
              <w:t>=</w:t>
            </w:r>
            <w:r>
              <w:rPr>
                <w:rStyle w:val="19"/>
                <w:lang w:eastAsia="zh-CN"/>
              </w:rPr>
              <w:t xml:space="preserve"> </w:t>
            </w:r>
            <w:r>
              <w:rPr>
                <w:rStyle w:val="19"/>
              </w:rPr>
              <w:t>43)</w:t>
            </w:r>
          </w:p>
        </w:tc>
        <w:tc>
          <w:tcPr>
            <w:tcW w:w="654" w:type="pct"/>
            <w:noWrap w:val="0"/>
            <w:vAlign w:val="top"/>
          </w:tcPr>
          <w:p>
            <w:pPr>
              <w:spacing w:line="360" w:lineRule="auto"/>
              <w:jc w:val="both"/>
              <w:rPr>
                <w:rFonts w:ascii="Book Antiqua" w:hAnsi="Book Antiqua" w:cs="宋体"/>
                <w:color w:val="000000"/>
              </w:rPr>
            </w:pPr>
            <w:r>
              <w:rPr>
                <w:rStyle w:val="19"/>
              </w:rPr>
              <w:t>Follow-up</w:t>
            </w:r>
          </w:p>
        </w:tc>
        <w:tc>
          <w:tcPr>
            <w:tcW w:w="621" w:type="pct"/>
            <w:noWrap w:val="0"/>
            <w:vAlign w:val="top"/>
          </w:tcPr>
          <w:p>
            <w:pPr>
              <w:spacing w:line="360" w:lineRule="auto"/>
              <w:jc w:val="both"/>
              <w:rPr>
                <w:rFonts w:ascii="Book Antiqua" w:hAnsi="Book Antiqua" w:cs="宋体"/>
                <w:color w:val="000000"/>
              </w:rPr>
            </w:pPr>
            <w:r>
              <w:rPr>
                <w:rStyle w:val="19"/>
              </w:rPr>
              <w:t>27.5 ± 7.0</w:t>
            </w:r>
          </w:p>
        </w:tc>
        <w:tc>
          <w:tcPr>
            <w:tcW w:w="655" w:type="pct"/>
            <w:noWrap w:val="0"/>
            <w:vAlign w:val="top"/>
          </w:tcPr>
          <w:p>
            <w:pPr>
              <w:spacing w:line="360" w:lineRule="auto"/>
              <w:jc w:val="both"/>
              <w:rPr>
                <w:rFonts w:ascii="Book Antiqua" w:hAnsi="Book Antiqua" w:cs="宋体"/>
                <w:color w:val="000000"/>
              </w:rPr>
            </w:pPr>
            <w:r>
              <w:rPr>
                <w:rStyle w:val="19"/>
              </w:rPr>
              <w:t>80.7 ± 8.0</w:t>
            </w:r>
          </w:p>
        </w:tc>
        <w:tc>
          <w:tcPr>
            <w:tcW w:w="498" w:type="pct"/>
            <w:noWrap w:val="0"/>
            <w:vAlign w:val="top"/>
          </w:tcPr>
          <w:p>
            <w:pPr>
              <w:spacing w:line="360" w:lineRule="auto"/>
              <w:jc w:val="both"/>
              <w:rPr>
                <w:rFonts w:ascii="Book Antiqua" w:hAnsi="Book Antiqua" w:cs="宋体"/>
                <w:color w:val="000000"/>
              </w:rPr>
            </w:pPr>
            <w:r>
              <w:rPr>
                <w:rStyle w:val="19"/>
              </w:rPr>
              <w:t>67.1 ± 7.4</w:t>
            </w:r>
          </w:p>
        </w:tc>
        <w:tc>
          <w:tcPr>
            <w:tcW w:w="271" w:type="pct"/>
            <w:noWrap w:val="0"/>
            <w:vAlign w:val="top"/>
          </w:tcPr>
          <w:p>
            <w:pPr>
              <w:spacing w:line="360" w:lineRule="auto"/>
              <w:jc w:val="both"/>
              <w:rPr>
                <w:rFonts w:ascii="Book Antiqua" w:hAnsi="Book Antiqua" w:cs="宋体"/>
                <w:color w:val="000000"/>
              </w:rPr>
            </w:pPr>
          </w:p>
        </w:tc>
        <w:tc>
          <w:tcPr>
            <w:tcW w:w="537" w:type="pct"/>
            <w:noWrap w:val="0"/>
            <w:vAlign w:val="top"/>
          </w:tcPr>
          <w:p>
            <w:pPr>
              <w:spacing w:line="360" w:lineRule="auto"/>
              <w:jc w:val="both"/>
              <w:rPr>
                <w:rFonts w:ascii="Book Antiqua" w:hAnsi="Book Antiqua" w:cs="宋体"/>
                <w:color w:val="000000"/>
              </w:rPr>
            </w:pPr>
          </w:p>
        </w:tc>
        <w:tc>
          <w:tcPr>
            <w:tcW w:w="472" w:type="pct"/>
            <w:noWrap w:val="0"/>
            <w:vAlign w:val="top"/>
          </w:tcPr>
          <w:p>
            <w:pPr>
              <w:spacing w:line="360" w:lineRule="auto"/>
              <w:jc w:val="both"/>
              <w:rPr>
                <w:rFonts w:ascii="Book Antiqua" w:hAnsi="Book Antiqua" w:cs="宋体"/>
                <w:color w:val="000000"/>
              </w:rPr>
            </w:pPr>
          </w:p>
        </w:tc>
        <w:tc>
          <w:tcPr>
            <w:tcW w:w="635" w:type="pct"/>
            <w:noWrap w:val="0"/>
            <w:vAlign w:val="top"/>
          </w:tcPr>
          <w:p>
            <w:pPr>
              <w:spacing w:line="360" w:lineRule="auto"/>
              <w:jc w:val="both"/>
              <w:rPr>
                <w:rFonts w:ascii="Book Antiqua" w:hAnsi="Book Antiqua"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57" w:type="pct"/>
            <w:noWrap w:val="0"/>
            <w:vAlign w:val="top"/>
          </w:tcPr>
          <w:p>
            <w:pPr>
              <w:spacing w:line="360" w:lineRule="auto"/>
              <w:jc w:val="both"/>
              <w:rPr>
                <w:rFonts w:ascii="Book Antiqua" w:hAnsi="Book Antiqua" w:cs="宋体"/>
                <w:color w:val="000000"/>
              </w:rPr>
            </w:pPr>
          </w:p>
        </w:tc>
        <w:tc>
          <w:tcPr>
            <w:tcW w:w="654" w:type="pct"/>
            <w:noWrap w:val="0"/>
            <w:vAlign w:val="top"/>
          </w:tcPr>
          <w:p>
            <w:pPr>
              <w:spacing w:line="360" w:lineRule="auto"/>
              <w:jc w:val="both"/>
              <w:rPr>
                <w:rFonts w:ascii="Book Antiqua" w:hAnsi="Book Antiqua" w:cs="宋体"/>
                <w:color w:val="000000"/>
              </w:rPr>
            </w:pPr>
            <w:r>
              <w:rPr>
                <w:rStyle w:val="19"/>
              </w:rPr>
              <w:t>Change</w:t>
            </w:r>
          </w:p>
        </w:tc>
        <w:tc>
          <w:tcPr>
            <w:tcW w:w="621" w:type="pct"/>
            <w:noWrap w:val="0"/>
            <w:vAlign w:val="top"/>
          </w:tcPr>
          <w:p>
            <w:pPr>
              <w:spacing w:line="360" w:lineRule="auto"/>
              <w:jc w:val="both"/>
              <w:rPr>
                <w:rFonts w:ascii="Book Antiqua" w:hAnsi="Book Antiqua" w:cs="宋体"/>
                <w:color w:val="000000"/>
              </w:rPr>
            </w:pPr>
            <w:r>
              <w:rPr>
                <w:rStyle w:val="19"/>
              </w:rPr>
              <w:t>8.3 ± 7.1</w:t>
            </w:r>
            <w:r>
              <w:rPr>
                <w:rStyle w:val="19"/>
                <w:vertAlign w:val="superscript"/>
              </w:rPr>
              <w:t>a</w:t>
            </w:r>
            <w:r>
              <w:rPr>
                <w:rStyle w:val="19"/>
              </w:rPr>
              <w:t xml:space="preserve"> </w:t>
            </w:r>
          </w:p>
        </w:tc>
        <w:tc>
          <w:tcPr>
            <w:tcW w:w="655" w:type="pct"/>
            <w:noWrap w:val="0"/>
            <w:vAlign w:val="top"/>
          </w:tcPr>
          <w:p>
            <w:pPr>
              <w:spacing w:line="360" w:lineRule="auto"/>
              <w:jc w:val="both"/>
              <w:rPr>
                <w:rFonts w:ascii="Book Antiqua" w:hAnsi="Book Antiqua" w:cs="宋体"/>
                <w:color w:val="000000"/>
              </w:rPr>
            </w:pPr>
            <w:r>
              <w:rPr>
                <w:rStyle w:val="19"/>
              </w:rPr>
              <w:t>57.7 ± 9.7</w:t>
            </w:r>
            <w:r>
              <w:rPr>
                <w:rStyle w:val="19"/>
                <w:vertAlign w:val="superscript"/>
              </w:rPr>
              <w:t>b</w:t>
            </w:r>
          </w:p>
        </w:tc>
        <w:tc>
          <w:tcPr>
            <w:tcW w:w="498" w:type="pct"/>
            <w:noWrap w:val="0"/>
            <w:vAlign w:val="top"/>
          </w:tcPr>
          <w:p>
            <w:pPr>
              <w:spacing w:line="360" w:lineRule="auto"/>
              <w:jc w:val="both"/>
              <w:rPr>
                <w:rFonts w:ascii="Book Antiqua" w:hAnsi="Book Antiqua" w:cs="宋体"/>
                <w:color w:val="000000"/>
              </w:rPr>
            </w:pPr>
            <w:r>
              <w:rPr>
                <w:rStyle w:val="19"/>
              </w:rPr>
              <w:t>41.7 ±</w:t>
            </w:r>
            <w:r>
              <w:rPr>
                <w:rStyle w:val="19"/>
                <w:lang w:eastAsia="zh-CN"/>
              </w:rPr>
              <w:t xml:space="preserve"> </w:t>
            </w:r>
            <w:r>
              <w:rPr>
                <w:rStyle w:val="19"/>
              </w:rPr>
              <w:t>7.3</w:t>
            </w:r>
            <w:r>
              <w:rPr>
                <w:rStyle w:val="19"/>
                <w:vertAlign w:val="superscript"/>
              </w:rPr>
              <w:t>b</w:t>
            </w:r>
          </w:p>
        </w:tc>
        <w:tc>
          <w:tcPr>
            <w:tcW w:w="271" w:type="pct"/>
            <w:noWrap w:val="0"/>
            <w:vAlign w:val="top"/>
          </w:tcPr>
          <w:p>
            <w:pPr>
              <w:spacing w:line="360" w:lineRule="auto"/>
              <w:jc w:val="both"/>
              <w:rPr>
                <w:rFonts w:ascii="Book Antiqua" w:hAnsi="Book Antiqua" w:cs="宋体"/>
                <w:color w:val="000000"/>
              </w:rPr>
            </w:pPr>
            <w:r>
              <w:rPr>
                <w:rFonts w:ascii="Book Antiqua" w:hAnsi="Book Antiqua"/>
                <w:color w:val="000000"/>
              </w:rPr>
              <w:t>0.0006</w:t>
            </w:r>
          </w:p>
        </w:tc>
        <w:tc>
          <w:tcPr>
            <w:tcW w:w="537" w:type="pct"/>
            <w:noWrap w:val="0"/>
            <w:vAlign w:val="top"/>
          </w:tcPr>
          <w:p>
            <w:pPr>
              <w:spacing w:line="360" w:lineRule="auto"/>
              <w:jc w:val="both"/>
              <w:rPr>
                <w:rFonts w:ascii="Book Antiqua" w:hAnsi="Book Antiqua" w:cs="宋体"/>
                <w:color w:val="000000"/>
                <w:lang w:eastAsia="zh-CN"/>
              </w:rPr>
            </w:pPr>
            <w:r>
              <w:rPr>
                <w:rStyle w:val="19"/>
              </w:rPr>
              <w:t>49.4 (18.5, 80.2)</w:t>
            </w:r>
            <w:r>
              <w:rPr>
                <w:rStyle w:val="19"/>
                <w:vertAlign w:val="superscript"/>
                <w:lang w:eastAsia="zh-CN"/>
              </w:rPr>
              <w:t>c</w:t>
            </w:r>
          </w:p>
        </w:tc>
        <w:tc>
          <w:tcPr>
            <w:tcW w:w="472" w:type="pct"/>
            <w:noWrap w:val="0"/>
            <w:vAlign w:val="top"/>
          </w:tcPr>
          <w:p>
            <w:pPr>
              <w:spacing w:line="360" w:lineRule="auto"/>
              <w:jc w:val="both"/>
              <w:rPr>
                <w:rFonts w:ascii="Book Antiqua" w:hAnsi="Book Antiqua" w:cs="宋体"/>
                <w:color w:val="000000"/>
                <w:lang w:eastAsia="zh-CN"/>
              </w:rPr>
            </w:pPr>
            <w:r>
              <w:rPr>
                <w:rStyle w:val="19"/>
              </w:rPr>
              <w:t>33.5 (7.4, 59.6)</w:t>
            </w:r>
            <w:r>
              <w:rPr>
                <w:rStyle w:val="19"/>
                <w:vertAlign w:val="superscript"/>
                <w:lang w:eastAsia="zh-CN"/>
              </w:rPr>
              <w:t>b</w:t>
            </w:r>
          </w:p>
        </w:tc>
        <w:tc>
          <w:tcPr>
            <w:tcW w:w="635" w:type="pct"/>
            <w:noWrap w:val="0"/>
            <w:vAlign w:val="top"/>
          </w:tcPr>
          <w:p>
            <w:pPr>
              <w:spacing w:line="360" w:lineRule="auto"/>
              <w:jc w:val="both"/>
              <w:rPr>
                <w:rFonts w:ascii="Book Antiqua" w:hAnsi="Book Antiqua" w:cs="宋体"/>
                <w:color w:val="000000"/>
              </w:rPr>
            </w:pPr>
            <w:r>
              <w:rPr>
                <w:rStyle w:val="19"/>
              </w:rPr>
              <w:t>15.9 (-15.0, 46.8)</w:t>
            </w:r>
          </w:p>
        </w:tc>
      </w:tr>
    </w:tbl>
    <w:p>
      <w:pPr>
        <w:spacing w:line="360" w:lineRule="auto"/>
        <w:jc w:val="both"/>
        <w:rPr>
          <w:rFonts w:ascii="Book Antiqua" w:hAnsi="Book Antiqua"/>
          <w:lang w:eastAsia="zh-CN"/>
        </w:rPr>
      </w:pPr>
      <w:r>
        <w:rPr>
          <w:rFonts w:ascii="Book Antiqua" w:hAnsi="Book Antiqua"/>
          <w:vertAlign w:val="superscript"/>
          <w:lang w:eastAsia="zh-CN"/>
        </w:rPr>
        <w:t>a</w:t>
      </w:r>
      <w:r>
        <w:rPr>
          <w:rFonts w:ascii="Book Antiqua" w:hAnsi="Book Antiqua"/>
          <w:i/>
          <w:lang w:eastAsia="zh-CN"/>
        </w:rPr>
        <w:t>P</w:t>
      </w:r>
      <w:r>
        <w:rPr>
          <w:rFonts w:ascii="Book Antiqua" w:hAnsi="Book Antiqua"/>
          <w:lang w:eastAsia="zh-CN"/>
        </w:rPr>
        <w:t xml:space="preserve"> &lt; 0.05.</w:t>
      </w:r>
    </w:p>
    <w:p>
      <w:pPr>
        <w:spacing w:line="360" w:lineRule="auto"/>
        <w:jc w:val="both"/>
        <w:rPr>
          <w:rFonts w:ascii="Book Antiqua" w:hAnsi="Book Antiqua"/>
          <w:lang w:eastAsia="zh-CN"/>
        </w:rPr>
      </w:pPr>
      <w:r>
        <w:rPr>
          <w:rFonts w:ascii="Book Antiqua" w:hAnsi="Book Antiqua"/>
          <w:vertAlign w:val="superscript"/>
          <w:lang w:eastAsia="zh-CN"/>
        </w:rPr>
        <w:t>b</w:t>
      </w:r>
      <w:r>
        <w:rPr>
          <w:rFonts w:ascii="Book Antiqua" w:hAnsi="Book Antiqua"/>
          <w:i/>
          <w:lang w:eastAsia="zh-CN"/>
        </w:rPr>
        <w:t>P</w:t>
      </w:r>
      <w:r>
        <w:rPr>
          <w:rFonts w:ascii="Book Antiqua" w:hAnsi="Book Antiqua"/>
          <w:lang w:eastAsia="zh-CN"/>
        </w:rPr>
        <w:t xml:space="preserve"> &lt; 0.01.</w:t>
      </w:r>
    </w:p>
    <w:p>
      <w:pPr>
        <w:spacing w:line="360" w:lineRule="auto"/>
        <w:jc w:val="both"/>
        <w:rPr>
          <w:rFonts w:ascii="Book Antiqua" w:hAnsi="Book Antiqua"/>
          <w:lang w:eastAsia="zh-CN"/>
        </w:rPr>
      </w:pPr>
      <w:r>
        <w:rPr>
          <w:rFonts w:ascii="Book Antiqua" w:hAnsi="Book Antiqua"/>
          <w:vertAlign w:val="superscript"/>
          <w:lang w:eastAsia="zh-CN"/>
        </w:rPr>
        <w:t>c</w:t>
      </w:r>
      <w:r>
        <w:rPr>
          <w:rFonts w:ascii="Book Antiqua" w:hAnsi="Book Antiqua"/>
          <w:i/>
          <w:lang w:eastAsia="zh-CN"/>
        </w:rPr>
        <w:t>P</w:t>
      </w:r>
      <w:r>
        <w:rPr>
          <w:rFonts w:ascii="Book Antiqua" w:hAnsi="Book Antiqua"/>
          <w:lang w:eastAsia="zh-CN"/>
        </w:rPr>
        <w:t xml:space="preserve"> &lt; 0.001.</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lang w:eastAsia="zh-CN"/>
        </w:rPr>
        <w:t xml:space="preserve">Effects with different superscripts are statistically significant at </w:t>
      </w:r>
      <w:r>
        <w:rPr>
          <w:rFonts w:ascii="Book Antiqua" w:hAnsi="Book Antiqua"/>
          <w:i/>
          <w:lang w:eastAsia="zh-CN"/>
        </w:rPr>
        <w:t>P</w:t>
      </w:r>
      <w:r>
        <w:rPr>
          <w:rFonts w:ascii="Book Antiqua" w:hAnsi="Book Antiqua"/>
          <w:lang w:eastAsia="zh-CN"/>
        </w:rPr>
        <w:t xml:space="preserve"> &lt; 0.05, mean ± standard error at admission, follow-up encounter, and change over time are shown. Results are from a repeated measures linear model adjusted for baseline outcome, age at admission, sex, diagnosis, baseline iron dose, and the number of days between admission and follow-up labs. The 95% confidence interval is adjusted for multiple comparisons using the Bonferroni step-down procedure. Hb: Hemoglobin; CI: Confidence interval; INFeD: </w:t>
      </w:r>
      <w:r>
        <w:rPr>
          <w:rFonts w:ascii="Book Antiqua" w:hAnsi="Book Antiqua" w:eastAsia="Book Antiqua" w:cs="Book Antiqua"/>
          <w:color w:val="000000"/>
        </w:rPr>
        <w:t>Low-molecular-weight iron dextran</w:t>
      </w:r>
      <w:r>
        <w:rPr>
          <w:rFonts w:ascii="Book Antiqua" w:hAnsi="Book Antiqua"/>
          <w:lang w:eastAsia="zh-CN"/>
        </w:rPr>
        <w:t>.</w:t>
      </w:r>
      <w:r>
        <w:rPr>
          <w:rFonts w:ascii="Book Antiqua" w:hAnsi="Book Antiqua"/>
          <w:lang w:eastAsia="zh-CN"/>
        </w:rPr>
        <w:cr/>
      </w:r>
      <w:r>
        <w:rPr>
          <w:rFonts w:ascii="Book Antiqua" w:hAnsi="Book Antiqua"/>
          <w:lang w:eastAsia="zh-CN"/>
        </w:rPr>
        <w:cr/>
      </w:r>
    </w:p>
    <w:p>
      <w:pP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widowControl/>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right"/>
        <w:rPr>
          <w:rFonts w:ascii="Book Antiqua" w:hAnsi="Book Antiqua"/>
          <w:color w:val="000000" w:themeColor="text1"/>
          <w14:textFill>
            <w14:solidFill>
              <w14:schemeClr w14:val="tx1"/>
            </w14:solidFill>
          </w14:textFill>
        </w:rPr>
      </w:pPr>
    </w:p>
    <w:p>
      <w:pPr>
        <w:widowControl/>
        <w:snapToGrid w:val="0"/>
        <w:jc w:val="center"/>
        <w:rPr>
          <w:rFonts w:ascii="Book Antiqua" w:hAnsi="Book Antiqua"/>
          <w:shd w:val="clear" w:color="auto" w:fill="FFFFFF"/>
        </w:rPr>
      </w:pPr>
      <w:r>
        <w:rPr>
          <w:rFonts w:ascii="Book Antiqua" w:hAnsi="Book Antiqua" w:eastAsia="BookAntiqua-Bold" w:cs="BookAntiqua-Bold"/>
          <w:b/>
          <w:bCs/>
          <w:color w:val="000000" w:themeColor="text1"/>
          <w14:textFill>
            <w14:solidFill>
              <w14:schemeClr w14:val="tx1"/>
            </w14:solidFill>
          </w14:textFill>
        </w:rPr>
        <w:t>© 202</w:t>
      </w:r>
      <w:r>
        <w:rPr>
          <w:rFonts w:ascii="Book Antiqua" w:hAnsi="Book Antiqua" w:cs="BookAntiqua-Bold"/>
          <w:b/>
          <w:bCs/>
          <w:color w:val="000000" w:themeColor="text1"/>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ascii="Book Antiqua" w:hAnsi="Book Antiqua" w:cs="Book Antiqua"/>
          <w:b/>
          <w:bCs/>
          <w:color w:val="000000"/>
        </w:rPr>
      </w:pP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Palatino Linotype">
    <w:panose1 w:val="02040502050505030304"/>
    <w:charset w:val="00"/>
    <w:family w:val="roman"/>
    <w:pitch w:val="default"/>
    <w:sig w:usb0="E0000287" w:usb1="40000013" w:usb2="00000000" w:usb3="00000000" w:csb0="2000019F" w:csb1="00000000"/>
  </w:font>
  <w:font w:name="Garamond-Bold">
    <w:altName w:val="Segoe Print"/>
    <w:panose1 w:val="020B0604020202020204"/>
    <w:charset w:val="00"/>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29</w:t>
    </w:r>
    <w:r>
      <w:rPr>
        <w:rFonts w:ascii="Book Antiqua" w:hAnsi="Book Antiqua"/>
        <w:b/>
        <w:bCs/>
        <w:sz w:val="24"/>
        <w:szCs w:val="24"/>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008A1"/>
    <w:multiLevelType w:val="multilevel"/>
    <w:tmpl w:val="19D008A1"/>
    <w:lvl w:ilvl="0" w:tentative="0">
      <w:start w:val="1"/>
      <w:numFmt w:val="decimal"/>
      <w:pStyle w:val="22"/>
      <w:lvlText w:val="%1."/>
      <w:lvlJc w:val="left"/>
      <w:pPr>
        <w:ind w:left="425" w:hanging="425"/>
      </w:pPr>
      <w:rPr>
        <w:b w:val="0"/>
        <w:i w:val="0"/>
        <w:sz w:val="2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NTJjYzQ1MTQxMThkZjIwYTZlZjAxZTQ1ZGIzMGEifQ=="/>
  </w:docVars>
  <w:rsids>
    <w:rsidRoot w:val="00A77B3E"/>
    <w:rsid w:val="000217B4"/>
    <w:rsid w:val="000246DB"/>
    <w:rsid w:val="00055864"/>
    <w:rsid w:val="00064AD7"/>
    <w:rsid w:val="00065735"/>
    <w:rsid w:val="00086E28"/>
    <w:rsid w:val="00091034"/>
    <w:rsid w:val="000A1AF8"/>
    <w:rsid w:val="000A75DE"/>
    <w:rsid w:val="000D13C9"/>
    <w:rsid w:val="000E1ABC"/>
    <w:rsid w:val="000F76CE"/>
    <w:rsid w:val="001055FA"/>
    <w:rsid w:val="001062FA"/>
    <w:rsid w:val="00120D64"/>
    <w:rsid w:val="001435E3"/>
    <w:rsid w:val="00174D08"/>
    <w:rsid w:val="001757D4"/>
    <w:rsid w:val="00175D91"/>
    <w:rsid w:val="001776D6"/>
    <w:rsid w:val="00187DCB"/>
    <w:rsid w:val="001B0BBB"/>
    <w:rsid w:val="001D0BC8"/>
    <w:rsid w:val="001D2719"/>
    <w:rsid w:val="001D280C"/>
    <w:rsid w:val="001D709D"/>
    <w:rsid w:val="00200770"/>
    <w:rsid w:val="00201AC0"/>
    <w:rsid w:val="00207187"/>
    <w:rsid w:val="00220E4D"/>
    <w:rsid w:val="002231B1"/>
    <w:rsid w:val="0022411D"/>
    <w:rsid w:val="00235952"/>
    <w:rsid w:val="002D3E33"/>
    <w:rsid w:val="003013FD"/>
    <w:rsid w:val="00304741"/>
    <w:rsid w:val="00314E11"/>
    <w:rsid w:val="003366DC"/>
    <w:rsid w:val="00344DCB"/>
    <w:rsid w:val="003673CB"/>
    <w:rsid w:val="00371F13"/>
    <w:rsid w:val="003A0F31"/>
    <w:rsid w:val="003B0310"/>
    <w:rsid w:val="003D18EE"/>
    <w:rsid w:val="003D58B0"/>
    <w:rsid w:val="0040709D"/>
    <w:rsid w:val="00410135"/>
    <w:rsid w:val="00444454"/>
    <w:rsid w:val="00475E2D"/>
    <w:rsid w:val="004836F2"/>
    <w:rsid w:val="004A4980"/>
    <w:rsid w:val="004C1116"/>
    <w:rsid w:val="004D1D96"/>
    <w:rsid w:val="004E5E6D"/>
    <w:rsid w:val="004F6012"/>
    <w:rsid w:val="00500564"/>
    <w:rsid w:val="00523E7C"/>
    <w:rsid w:val="00524937"/>
    <w:rsid w:val="0052605A"/>
    <w:rsid w:val="00540569"/>
    <w:rsid w:val="00542635"/>
    <w:rsid w:val="0059587D"/>
    <w:rsid w:val="005A3115"/>
    <w:rsid w:val="005A6F16"/>
    <w:rsid w:val="005A7792"/>
    <w:rsid w:val="005B3176"/>
    <w:rsid w:val="005C62AE"/>
    <w:rsid w:val="005E3DE8"/>
    <w:rsid w:val="005F240C"/>
    <w:rsid w:val="006416C9"/>
    <w:rsid w:val="00677CDC"/>
    <w:rsid w:val="00685093"/>
    <w:rsid w:val="00704149"/>
    <w:rsid w:val="00725E34"/>
    <w:rsid w:val="007514B3"/>
    <w:rsid w:val="00754A30"/>
    <w:rsid w:val="00773B25"/>
    <w:rsid w:val="00786B01"/>
    <w:rsid w:val="007A1228"/>
    <w:rsid w:val="007E7683"/>
    <w:rsid w:val="00800D44"/>
    <w:rsid w:val="00806B1C"/>
    <w:rsid w:val="008146C2"/>
    <w:rsid w:val="00816FD5"/>
    <w:rsid w:val="00826395"/>
    <w:rsid w:val="00836898"/>
    <w:rsid w:val="00856DDB"/>
    <w:rsid w:val="008A03B2"/>
    <w:rsid w:val="008E0C17"/>
    <w:rsid w:val="00916DE0"/>
    <w:rsid w:val="00933E18"/>
    <w:rsid w:val="00941B53"/>
    <w:rsid w:val="00955A3E"/>
    <w:rsid w:val="00960F30"/>
    <w:rsid w:val="0096277D"/>
    <w:rsid w:val="0097220F"/>
    <w:rsid w:val="00974FFF"/>
    <w:rsid w:val="009835CB"/>
    <w:rsid w:val="00990458"/>
    <w:rsid w:val="009B4611"/>
    <w:rsid w:val="009B5023"/>
    <w:rsid w:val="009C7DBE"/>
    <w:rsid w:val="00A351C7"/>
    <w:rsid w:val="00A41B8E"/>
    <w:rsid w:val="00A66F3F"/>
    <w:rsid w:val="00A71AB0"/>
    <w:rsid w:val="00A77B3E"/>
    <w:rsid w:val="00A8732B"/>
    <w:rsid w:val="00A9020B"/>
    <w:rsid w:val="00A92EB4"/>
    <w:rsid w:val="00AA3BBC"/>
    <w:rsid w:val="00AA7160"/>
    <w:rsid w:val="00B05138"/>
    <w:rsid w:val="00B06642"/>
    <w:rsid w:val="00B164E1"/>
    <w:rsid w:val="00B2479C"/>
    <w:rsid w:val="00B30BC2"/>
    <w:rsid w:val="00B30FEC"/>
    <w:rsid w:val="00B64B25"/>
    <w:rsid w:val="00B736AA"/>
    <w:rsid w:val="00B77C97"/>
    <w:rsid w:val="00B8280F"/>
    <w:rsid w:val="00B96D58"/>
    <w:rsid w:val="00BA0179"/>
    <w:rsid w:val="00BB4670"/>
    <w:rsid w:val="00BC35CE"/>
    <w:rsid w:val="00BE2A9C"/>
    <w:rsid w:val="00BE5421"/>
    <w:rsid w:val="00BF745B"/>
    <w:rsid w:val="00C022FD"/>
    <w:rsid w:val="00C16A0B"/>
    <w:rsid w:val="00C41BF7"/>
    <w:rsid w:val="00C56AE1"/>
    <w:rsid w:val="00C7014D"/>
    <w:rsid w:val="00C74626"/>
    <w:rsid w:val="00C869F1"/>
    <w:rsid w:val="00C94964"/>
    <w:rsid w:val="00CA2A55"/>
    <w:rsid w:val="00CC56D0"/>
    <w:rsid w:val="00CD1F56"/>
    <w:rsid w:val="00CD23EC"/>
    <w:rsid w:val="00CF6AE6"/>
    <w:rsid w:val="00D03D4F"/>
    <w:rsid w:val="00D16B15"/>
    <w:rsid w:val="00D4028B"/>
    <w:rsid w:val="00D50B2D"/>
    <w:rsid w:val="00D8294C"/>
    <w:rsid w:val="00DA7C11"/>
    <w:rsid w:val="00DC0684"/>
    <w:rsid w:val="00E127D1"/>
    <w:rsid w:val="00E15B1F"/>
    <w:rsid w:val="00E2151C"/>
    <w:rsid w:val="00E31DC7"/>
    <w:rsid w:val="00E4341B"/>
    <w:rsid w:val="00E56DDA"/>
    <w:rsid w:val="00E57C34"/>
    <w:rsid w:val="00E60B4D"/>
    <w:rsid w:val="00E9159B"/>
    <w:rsid w:val="00E9409F"/>
    <w:rsid w:val="00EC26E7"/>
    <w:rsid w:val="00EE0583"/>
    <w:rsid w:val="00EE6C0E"/>
    <w:rsid w:val="00F00E3E"/>
    <w:rsid w:val="00F14D9A"/>
    <w:rsid w:val="00F15014"/>
    <w:rsid w:val="00F30E10"/>
    <w:rsid w:val="00F51578"/>
    <w:rsid w:val="00FA3832"/>
    <w:rsid w:val="00FA3CA3"/>
    <w:rsid w:val="00FA68F0"/>
    <w:rsid w:val="00FC0FEA"/>
    <w:rsid w:val="00FE0486"/>
    <w:rsid w:val="0429273F"/>
    <w:rsid w:val="06E15F8D"/>
    <w:rsid w:val="0AA320E3"/>
    <w:rsid w:val="0D8A5D36"/>
    <w:rsid w:val="112F395E"/>
    <w:rsid w:val="140D3685"/>
    <w:rsid w:val="1BCA00BC"/>
    <w:rsid w:val="1F6D440A"/>
    <w:rsid w:val="2BB37649"/>
    <w:rsid w:val="35154817"/>
    <w:rsid w:val="35366055"/>
    <w:rsid w:val="390E5CB1"/>
    <w:rsid w:val="3B7D4DC7"/>
    <w:rsid w:val="624D70D9"/>
    <w:rsid w:val="6BDB41D9"/>
    <w:rsid w:val="745A3D7B"/>
    <w:rsid w:val="75945438"/>
    <w:rsid w:val="78D82D56"/>
    <w:rsid w:val="7C174F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en-US" w:bidi="ar-SA"/>
    </w:rPr>
  </w:style>
  <w:style w:type="character" w:default="1" w:styleId="10">
    <w:name w:val="Default Paragraph Font"/>
    <w:autoRedefine/>
    <w:unhideWhenUsed/>
    <w:qFormat/>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2">
    <w:name w:val="annotation text"/>
    <w:basedOn w:val="1"/>
    <w:link w:val="13"/>
    <w:autoRedefine/>
    <w:qFormat/>
    <w:uiPriority w:val="0"/>
  </w:style>
  <w:style w:type="paragraph" w:styleId="3">
    <w:name w:val="Balloon Text"/>
    <w:basedOn w:val="1"/>
    <w:link w:val="14"/>
    <w:autoRedefine/>
    <w:qFormat/>
    <w:uiPriority w:val="0"/>
    <w:rPr>
      <w:sz w:val="18"/>
      <w:szCs w:val="18"/>
    </w:rPr>
  </w:style>
  <w:style w:type="paragraph" w:styleId="4">
    <w:name w:val="footer"/>
    <w:basedOn w:val="1"/>
    <w:link w:val="15"/>
    <w:autoRedefine/>
    <w:qFormat/>
    <w:uiPriority w:val="99"/>
    <w:pPr>
      <w:tabs>
        <w:tab w:val="center" w:pos="4153"/>
        <w:tab w:val="right" w:pos="8306"/>
      </w:tabs>
      <w:snapToGrid w:val="0"/>
    </w:pPr>
    <w:rPr>
      <w:sz w:val="18"/>
      <w:szCs w:val="18"/>
    </w:rPr>
  </w:style>
  <w:style w:type="paragraph" w:styleId="5">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7"/>
    <w:autoRedefine/>
    <w:qFormat/>
    <w:uiPriority w:val="0"/>
    <w:rPr>
      <w:b/>
      <w:bCs/>
    </w:rPr>
  </w:style>
  <w:style w:type="table" w:styleId="9">
    <w:name w:val="Table Grid"/>
    <w:basedOn w:val="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autoRedefine/>
    <w:qFormat/>
    <w:uiPriority w:val="0"/>
    <w:rPr>
      <w:color w:val="0000FF"/>
      <w:u w:val="single"/>
    </w:rPr>
  </w:style>
  <w:style w:type="character" w:styleId="12">
    <w:name w:val="annotation reference"/>
    <w:autoRedefine/>
    <w:qFormat/>
    <w:uiPriority w:val="0"/>
    <w:rPr>
      <w:sz w:val="21"/>
      <w:szCs w:val="21"/>
    </w:rPr>
  </w:style>
  <w:style w:type="character" w:customStyle="1" w:styleId="13">
    <w:name w:val="批注文字 Char"/>
    <w:link w:val="2"/>
    <w:autoRedefine/>
    <w:qFormat/>
    <w:uiPriority w:val="0"/>
    <w:rPr>
      <w:sz w:val="24"/>
      <w:szCs w:val="24"/>
    </w:rPr>
  </w:style>
  <w:style w:type="character" w:customStyle="1" w:styleId="14">
    <w:name w:val="批注框文本 Char"/>
    <w:link w:val="3"/>
    <w:autoRedefine/>
    <w:qFormat/>
    <w:uiPriority w:val="0"/>
    <w:rPr>
      <w:sz w:val="18"/>
      <w:szCs w:val="18"/>
    </w:rPr>
  </w:style>
  <w:style w:type="character" w:customStyle="1" w:styleId="15">
    <w:name w:val="页脚 Char"/>
    <w:link w:val="4"/>
    <w:autoRedefine/>
    <w:qFormat/>
    <w:uiPriority w:val="99"/>
    <w:rPr>
      <w:sz w:val="18"/>
      <w:szCs w:val="18"/>
    </w:rPr>
  </w:style>
  <w:style w:type="character" w:customStyle="1" w:styleId="16">
    <w:name w:val="页眉 Char"/>
    <w:link w:val="5"/>
    <w:autoRedefine/>
    <w:qFormat/>
    <w:uiPriority w:val="0"/>
    <w:rPr>
      <w:sz w:val="18"/>
      <w:szCs w:val="18"/>
    </w:rPr>
  </w:style>
  <w:style w:type="character" w:customStyle="1" w:styleId="17">
    <w:name w:val="批注主题 Char"/>
    <w:link w:val="7"/>
    <w:autoRedefine/>
    <w:qFormat/>
    <w:uiPriority w:val="0"/>
    <w:rPr>
      <w:b/>
      <w:bCs/>
      <w:sz w:val="24"/>
      <w:szCs w:val="24"/>
    </w:rPr>
  </w:style>
  <w:style w:type="character" w:customStyle="1" w:styleId="18">
    <w:name w:val="il"/>
    <w:basedOn w:val="10"/>
    <w:autoRedefine/>
    <w:qFormat/>
    <w:uiPriority w:val="0"/>
  </w:style>
  <w:style w:type="character" w:customStyle="1" w:styleId="19">
    <w:name w:val="font11"/>
    <w:autoRedefine/>
    <w:qFormat/>
    <w:uiPriority w:val="0"/>
    <w:rPr>
      <w:rFonts w:hint="default" w:ascii="Book Antiqua" w:hAnsi="Book Antiqua"/>
      <w:color w:val="000000"/>
      <w:sz w:val="24"/>
      <w:szCs w:val="24"/>
      <w:u w:val="none"/>
    </w:rPr>
  </w:style>
  <w:style w:type="character" w:customStyle="1" w:styleId="20">
    <w:name w:val="dxdefaultcursor"/>
    <w:basedOn w:val="10"/>
    <w:autoRedefine/>
    <w:qFormat/>
    <w:uiPriority w:val="0"/>
  </w:style>
  <w:style w:type="paragraph" w:customStyle="1" w:styleId="21">
    <w:name w:val="_Style 20"/>
    <w:autoRedefine/>
    <w:semiHidden/>
    <w:qFormat/>
    <w:uiPriority w:val="99"/>
    <w:rPr>
      <w:rFonts w:ascii="Times New Roman" w:hAnsi="Times New Roman" w:eastAsia="宋体" w:cs="Times New Roman"/>
      <w:sz w:val="24"/>
      <w:szCs w:val="24"/>
      <w:lang w:val="en-US" w:eastAsia="en-US" w:bidi="ar-SA"/>
    </w:rPr>
  </w:style>
  <w:style w:type="paragraph" w:customStyle="1" w:styleId="22">
    <w:name w:val="MDPI_7.1_References"/>
    <w:autoRedefine/>
    <w:qFormat/>
    <w:uiPriority w:val="0"/>
    <w:pPr>
      <w:numPr>
        <w:ilvl w:val="0"/>
        <w:numId w:val="1"/>
      </w:numPr>
      <w:adjustRightInd w:val="0"/>
      <w:snapToGrid w:val="0"/>
      <w:spacing w:line="228" w:lineRule="auto"/>
      <w:jc w:val="both"/>
    </w:pPr>
    <w:rPr>
      <w:rFonts w:ascii="Palatino Linotype" w:hAnsi="Palatino Linotype" w:eastAsia="Times New Roman" w:cs="Times New Roman"/>
      <w:color w:val="000000"/>
      <w:sz w:val="18"/>
      <w:lang w:val="en-US" w:eastAsia="de-DE"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7093</Words>
  <Characters>40434</Characters>
  <Lines>336</Lines>
  <Paragraphs>94</Paragraphs>
  <TotalTime>0</TotalTime>
  <ScaleCrop>false</ScaleCrop>
  <LinksUpToDate>false</LinksUpToDate>
  <CharactersWithSpaces>47433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2024-01-19T11:50:00Z</dcterms:created>
  <dc:creator>Krishanth Manokaran</dc:creator>
  <cp:lastModifiedBy>赵雨晴</cp:lastModifiedBy>
  <dcterms:modified xsi:type="dcterms:W3CDTF">2024-03-01T06:12:09Z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6DBDDBA9D4B24D3893CAB85807AF9664_13</vt:lpwstr>
  </property>
</Properties>
</file>