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rPr>
        <w:t xml:space="preserve">Name of Journal: </w:t>
      </w:r>
      <w:r>
        <w:rPr>
          <w:rFonts w:ascii="Book Antiqua" w:hAnsi="Book Antiqua" w:eastAsia="Book Antiqua" w:cs="Book Antiqua"/>
          <w:i/>
        </w:rPr>
        <w:t>World Journal of Gastrointestinal Surgery</w:t>
      </w:r>
    </w:p>
    <w:p>
      <w:pPr>
        <w:spacing w:line="360" w:lineRule="auto"/>
        <w:jc w:val="both"/>
        <w:rPr>
          <w:rFonts w:ascii="Book Antiqua" w:hAnsi="Book Antiqua"/>
        </w:rPr>
      </w:pPr>
      <w:r>
        <w:rPr>
          <w:rFonts w:ascii="Book Antiqua" w:hAnsi="Book Antiqua" w:eastAsia="Book Antiqua" w:cs="Book Antiqua"/>
          <w:b/>
        </w:rPr>
        <w:t xml:space="preserve">Manuscript NO: </w:t>
      </w:r>
      <w:r>
        <w:rPr>
          <w:rFonts w:ascii="Book Antiqua" w:hAnsi="Book Antiqua" w:eastAsia="Book Antiqua" w:cs="Book Antiqua"/>
        </w:rPr>
        <w:t>89672</w:t>
      </w:r>
    </w:p>
    <w:p>
      <w:pPr>
        <w:spacing w:line="360" w:lineRule="auto"/>
        <w:jc w:val="both"/>
        <w:rPr>
          <w:rFonts w:ascii="Book Antiqua" w:hAnsi="Book Antiqua"/>
        </w:rPr>
      </w:pPr>
      <w:r>
        <w:rPr>
          <w:rFonts w:ascii="Book Antiqua" w:hAnsi="Book Antiqua" w:eastAsia="Book Antiqua" w:cs="Book Antiqua"/>
          <w:b/>
        </w:rPr>
        <w:t xml:space="preserve">Manuscript Type: </w:t>
      </w:r>
      <w:r>
        <w:rPr>
          <w:rFonts w:ascii="Book Antiqua" w:hAnsi="Book Antiqua" w:eastAsia="Book Antiqua" w:cs="Book Antiqua"/>
        </w:rPr>
        <w:t>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Percutaneous ultrasound-guided coaxial core needle biopsy for the diagnosis of multiple splenic lesions</w:t>
      </w:r>
      <w:r>
        <w:rPr>
          <w:rFonts w:ascii="Book Antiqua" w:hAnsi="Book Antiqua" w:eastAsia="宋体" w:cs="宋体"/>
          <w:b/>
          <w:bCs/>
          <w:color w:val="000000"/>
          <w:lang w:eastAsia="zh-CN"/>
        </w:rPr>
        <w:t xml:space="preserve">: </w:t>
      </w:r>
      <w:r>
        <w:rPr>
          <w:rFonts w:ascii="Book Antiqua" w:hAnsi="Book Antiqua" w:eastAsia="Book Antiqua" w:cs="Book Antiqua"/>
          <w:b/>
          <w:bCs/>
          <w:color w:val="000000"/>
        </w:rPr>
        <w:t>A 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Pu SH </w:t>
      </w:r>
      <w:r>
        <w:rPr>
          <w:rFonts w:ascii="Book Antiqua" w:hAnsi="Book Antiqua" w:eastAsia="Book Antiqua" w:cs="Book Antiqua"/>
          <w:i/>
          <w:iCs/>
          <w:color w:val="000000"/>
        </w:rPr>
        <w:t xml:space="preserve">et al. </w:t>
      </w:r>
      <w:r>
        <w:rPr>
          <w:rFonts w:ascii="Book Antiqua" w:hAnsi="Book Antiqua" w:eastAsia="Book Antiqua" w:cs="Book Antiqua"/>
          <w:color w:val="000000"/>
        </w:rPr>
        <w:t>US-guided coaxial CNB in splenic diseases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Sha-Hong Pu, Wu-Yong-Ga Bao, Zhen-Peng Jiang, Rui Yang, Qiang Lu</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Sha-Hong Pu, Wu-Yong-Ga Bao, Zhen-Peng Jiang, Rui Yang, Qiang Lu, </w:t>
      </w:r>
      <w:r>
        <w:rPr>
          <w:rFonts w:ascii="Book Antiqua" w:hAnsi="Book Antiqua" w:eastAsia="Book Antiqua" w:cs="Book Antiqua"/>
          <w:color w:val="000000"/>
        </w:rPr>
        <w:t>Department of Medical Ultrasound, West China Hospital of Sichuan University, Chengdu 610041, Sichuan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Lu Q contributed to the study conceptualization and supervision; Pu SH contributed to manuscript writing; Yang R contributed to data collection; Bao WYG, Jiang ZP and Lu Q contributed to manuscript revision; and all authors have approved the final manuscript.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Qiang Lu, MD, Professor, </w:t>
      </w:r>
      <w:r>
        <w:rPr>
          <w:rFonts w:ascii="Book Antiqua" w:hAnsi="Book Antiqua" w:eastAsia="Book Antiqua" w:cs="Book Antiqua"/>
          <w:color w:val="000000"/>
        </w:rPr>
        <w:t>Department of Medical Ultrasound, West China Hospital of Sichuan University, No. 37 Guoxue Xiang, Chengdu 610041, Sichuan Province, China. luqiang@scu.edu.cn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Received: </w:t>
      </w:r>
      <w:r>
        <w:rPr>
          <w:rFonts w:ascii="Book Antiqua" w:hAnsi="Book Antiqua" w:eastAsia="Book Antiqua" w:cs="Book Antiqua"/>
        </w:rPr>
        <w:t>November 8, 2023</w:t>
      </w:r>
    </w:p>
    <w:p>
      <w:pPr>
        <w:spacing w:line="360" w:lineRule="auto"/>
        <w:jc w:val="both"/>
        <w:rPr>
          <w:rFonts w:ascii="Book Antiqua" w:hAnsi="Book Antiqua"/>
        </w:rPr>
      </w:pPr>
      <w:r>
        <w:rPr>
          <w:rFonts w:ascii="Book Antiqua" w:hAnsi="Book Antiqua" w:eastAsia="Book Antiqua" w:cs="Book Antiqua"/>
          <w:b/>
          <w:bCs/>
        </w:rPr>
        <w:t xml:space="preserve">Revised: </w:t>
      </w:r>
      <w:r>
        <w:rPr>
          <w:rFonts w:ascii="Book Antiqua" w:hAnsi="Book Antiqua" w:eastAsia="Book Antiqua" w:cs="Book Antiqua"/>
        </w:rPr>
        <w:t>December 18, 2023</w:t>
      </w:r>
    </w:p>
    <w:p>
      <w:pPr>
        <w:spacing w:line="360" w:lineRule="auto"/>
        <w:jc w:val="left"/>
        <w:rPr>
          <w:rFonts w:ascii="Book Antiqua" w:hAnsi="Book Antiqua"/>
        </w:rPr>
      </w:pPr>
      <w:r>
        <w:rPr>
          <w:rFonts w:ascii="Book Antiqua" w:hAnsi="Book Antiqua" w:eastAsia="Book Antiqua" w:cs="Book Antiqua"/>
          <w:b/>
          <w:bCs/>
        </w:rPr>
        <w:t xml:space="preserve">Accepted: </w:t>
      </w:r>
      <w:bookmarkStart w:id="0" w:name="OLE_LINK174"/>
      <w:bookmarkStart w:id="1" w:name="OLE_LINK220"/>
      <w:bookmarkStart w:id="2" w:name="OLE_LINK236"/>
      <w:bookmarkStart w:id="3" w:name="OLE_LINK26"/>
      <w:bookmarkStart w:id="4" w:name="OLE_LINK19"/>
      <w:bookmarkStart w:id="5" w:name="OLE_LINK192"/>
      <w:bookmarkStart w:id="6" w:name="OLE_LINK108"/>
      <w:bookmarkStart w:id="7" w:name="OLE_LINK200"/>
      <w:bookmarkStart w:id="8" w:name="OLE_LINK219"/>
      <w:bookmarkStart w:id="9" w:name="OLE_LINK216"/>
      <w:bookmarkStart w:id="10" w:name="OLE_LINK30"/>
      <w:bookmarkStart w:id="11" w:name="OLE_LINK197"/>
      <w:bookmarkStart w:id="12" w:name="OLE_LINK103"/>
      <w:bookmarkStart w:id="13" w:name="OLE_LINK1318"/>
      <w:bookmarkStart w:id="14" w:name="OLE_LINK1326"/>
      <w:bookmarkStart w:id="15" w:name="OLE_LINK226"/>
      <w:bookmarkStart w:id="16" w:name="OLE_LINK184"/>
      <w:bookmarkStart w:id="17" w:name="OLE_LINK6"/>
      <w:bookmarkStart w:id="18" w:name="OLE_LINK203"/>
      <w:bookmarkStart w:id="19" w:name="OLE_LINK100"/>
      <w:bookmarkStart w:id="20" w:name="OLE_LINK1303"/>
      <w:bookmarkStart w:id="21" w:name="OLE_LINK1327"/>
      <w:bookmarkStart w:id="22" w:name="OLE_LINK208"/>
      <w:bookmarkStart w:id="23" w:name="OLE_LINK1334"/>
      <w:bookmarkStart w:id="24" w:name="OLE_LINK61"/>
      <w:bookmarkStart w:id="25" w:name="OLE_LINK1340"/>
      <w:bookmarkStart w:id="26" w:name="OLE_LINK66"/>
      <w:bookmarkStart w:id="27" w:name="OLE_LINK1299"/>
      <w:bookmarkStart w:id="28" w:name="OLE_LINK1255"/>
      <w:bookmarkStart w:id="29" w:name="OLE_LINK1232"/>
      <w:bookmarkStart w:id="30" w:name="OLE_LINK12"/>
      <w:bookmarkStart w:id="31" w:name="OLE_LINK42"/>
      <w:bookmarkStart w:id="32" w:name="OLE_LINK1295"/>
      <w:bookmarkStart w:id="33" w:name="OLE_LINK1233"/>
      <w:bookmarkStart w:id="34" w:name="OLE_LINK1219"/>
      <w:bookmarkStart w:id="35" w:name="OLE_LINK233"/>
      <w:bookmarkStart w:id="36" w:name="OLE_LINK1236"/>
      <w:bookmarkStart w:id="37" w:name="OLE_LINK241"/>
      <w:bookmarkStart w:id="38" w:name="OLE_LINK36"/>
      <w:bookmarkStart w:id="39" w:name="OLE_LINK229"/>
      <w:bookmarkStart w:id="40" w:name="OLE_LINK1325"/>
      <w:bookmarkStart w:id="41" w:name="OLE_LINK177"/>
      <w:bookmarkStart w:id="42" w:name="OLE_LINK1310"/>
      <w:bookmarkStart w:id="43" w:name="OLE_LINK51"/>
      <w:bookmarkStart w:id="44" w:name="OLE_LINK1247"/>
      <w:bookmarkStart w:id="45" w:name="OLE_LINK1324"/>
      <w:bookmarkStart w:id="46" w:name="OLE_LINK1269"/>
      <w:bookmarkStart w:id="47" w:name="OLE_LINK1352"/>
      <w:bookmarkStart w:id="48" w:name="OLE_LINK74"/>
      <w:bookmarkStart w:id="49" w:name="OLE_LINK1272"/>
      <w:bookmarkStart w:id="50" w:name="OLE_LINK1307"/>
      <w:bookmarkStart w:id="51" w:name="OLE_LINK1267"/>
      <w:bookmarkStart w:id="52" w:name="OLE_LINK1342"/>
      <w:bookmarkStart w:id="53" w:name="OLE_LINK1290"/>
      <w:bookmarkStart w:id="54" w:name="OLE_LINK1199"/>
      <w:bookmarkStart w:id="55" w:name="OLE_LINK6803"/>
      <w:bookmarkStart w:id="56" w:name="OLE_LINK6798"/>
      <w:bookmarkStart w:id="57" w:name="OLE_LINK1220"/>
      <w:bookmarkStart w:id="58" w:name="OLE_LINK6834"/>
      <w:bookmarkStart w:id="59" w:name="OLE_LINK7122"/>
      <w:bookmarkStart w:id="60" w:name="OLE_LINK1222"/>
      <w:bookmarkStart w:id="61" w:name="OLE_LINK1346"/>
      <w:bookmarkStart w:id="62" w:name="OLE_LINK1241"/>
      <w:bookmarkStart w:id="63" w:name="OLE_LINK1291"/>
      <w:bookmarkStart w:id="64" w:name="OLE_LINK187"/>
      <w:bookmarkStart w:id="65" w:name="OLE_LINK1261"/>
      <w:bookmarkStart w:id="66" w:name="OLE_LINK1286"/>
      <w:bookmarkStart w:id="67" w:name="OLE_LINK1311"/>
      <w:bookmarkStart w:id="68" w:name="OLE_LINK78"/>
      <w:bookmarkStart w:id="69" w:name="OLE_LINK1282"/>
      <w:bookmarkStart w:id="70" w:name="OLE_LINK7127"/>
      <w:bookmarkStart w:id="71" w:name="OLE_LINK6827"/>
      <w:bookmarkStart w:id="72" w:name="OLE_LINK1223"/>
      <w:bookmarkStart w:id="73" w:name="OLE_LINK7130"/>
      <w:bookmarkStart w:id="74" w:name="OLE_LINK7141"/>
      <w:bookmarkStart w:id="75" w:name="OLE_LINK7140"/>
      <w:bookmarkStart w:id="76" w:name="OLE_LINK1224"/>
      <w:bookmarkStart w:id="77" w:name="OLE_LINK7150"/>
      <w:bookmarkStart w:id="78" w:name="OLE_LINK1218"/>
      <w:bookmarkStart w:id="79" w:name="OLE_LINK7167"/>
      <w:bookmarkStart w:id="80" w:name="OLE_LINK1231"/>
      <w:bookmarkStart w:id="81" w:name="OLE_LINK7559"/>
      <w:bookmarkStart w:id="82" w:name="OLE_LINK7215"/>
      <w:bookmarkStart w:id="83" w:name="OLE_LINK7213"/>
      <w:bookmarkStart w:id="84" w:name="OLE_LINK1198"/>
      <w:bookmarkStart w:id="85" w:name="OLE_LINK7153"/>
      <w:bookmarkStart w:id="86" w:name="OLE_LINK7119"/>
      <w:bookmarkStart w:id="87" w:name="OLE_LINK6830"/>
      <w:bookmarkStart w:id="88" w:name="OLE_LINK7125"/>
      <w:bookmarkStart w:id="89" w:name="OLE_LINK7616"/>
      <w:bookmarkStart w:id="90" w:name="OLE_LINK1242"/>
      <w:bookmarkStart w:id="91" w:name="OLE_LINK7611"/>
      <w:bookmarkStart w:id="92" w:name="OLE_LINK7513"/>
      <w:bookmarkStart w:id="93" w:name="OLE_LINK7250"/>
      <w:bookmarkStart w:id="94" w:name="OLE_LINK7243"/>
      <w:bookmarkStart w:id="95" w:name="OLE_LINK6812"/>
      <w:bookmarkStart w:id="96" w:name="OLE_LINK1227"/>
      <w:bookmarkStart w:id="97" w:name="OLE_LINK7625"/>
      <w:bookmarkStart w:id="98" w:name="OLE_LINK7550"/>
      <w:bookmarkStart w:id="99" w:name="OLE_LINK7571"/>
      <w:bookmarkStart w:id="100" w:name="OLE_LINK7240"/>
      <w:bookmarkStart w:id="101" w:name="OLE_LINK7212"/>
      <w:bookmarkStart w:id="102" w:name="OLE_LINK7602"/>
      <w:bookmarkStart w:id="103" w:name="OLE_LINK7133"/>
      <w:bookmarkStart w:id="104" w:name="OLE_LINK1246"/>
      <w:bookmarkStart w:id="105" w:name="OLE_LINK7173"/>
      <w:bookmarkStart w:id="106" w:name="OLE_LINK7126"/>
      <w:bookmarkStart w:id="107" w:name="OLE_LINK7116"/>
      <w:bookmarkStart w:id="108" w:name="OLE_LINK7158"/>
      <w:bookmarkStart w:id="109" w:name="OLE_LINK6816"/>
      <w:bookmarkStart w:id="110" w:name="OLE_LINK7145"/>
      <w:bookmarkStart w:id="111" w:name="OLE_LINK7253"/>
      <w:bookmarkStart w:id="112" w:name="OLE_LINK7620"/>
      <w:bookmarkStart w:id="113" w:name="OLE_LINK7608"/>
      <w:bookmarkStart w:id="114" w:name="OLE_LINK7633"/>
      <w:bookmarkStart w:id="115" w:name="OLE_LINK7530"/>
      <w:bookmarkStart w:id="116" w:name="OLE_LINK7610"/>
      <w:bookmarkStart w:id="117" w:name="OLE_LINK7555"/>
      <w:bookmarkStart w:id="118" w:name="OLE_LINK7628"/>
      <w:bookmarkStart w:id="119" w:name="OLE_LINK7515"/>
      <w:bookmarkStart w:id="120" w:name="OLE_LINK7235"/>
      <w:bookmarkStart w:id="121" w:name="OLE_LINK7629"/>
      <w:bookmarkStart w:id="122" w:name="OLE_LINK7687"/>
      <w:bookmarkStart w:id="123" w:name="OLE_LINK7684"/>
      <w:bookmarkStart w:id="124" w:name="OLE_LINK7569"/>
      <w:bookmarkStart w:id="125" w:name="OLE_LINK7711"/>
      <w:bookmarkStart w:id="126" w:name="OLE_LINK7706"/>
      <w:bookmarkStart w:id="127" w:name="OLE_LINK7617"/>
      <w:bookmarkStart w:id="128" w:name="OLE_LINK7843"/>
      <w:bookmarkStart w:id="129" w:name="OLE_LINK7527"/>
      <w:bookmarkStart w:id="130" w:name="OLE_LINK7873"/>
      <w:bookmarkStart w:id="131" w:name="OLE_LINK7237"/>
      <w:bookmarkStart w:id="132" w:name="OLE_LINK7605"/>
      <w:bookmarkStart w:id="133" w:name="OLE_LINK7649"/>
      <w:bookmarkStart w:id="134" w:name="OLE_LINK7695"/>
      <w:bookmarkStart w:id="135" w:name="OLE_LINK7236"/>
      <w:bookmarkStart w:id="136" w:name="OLE_LINK7568"/>
      <w:bookmarkStart w:id="137" w:name="OLE_LINK7522"/>
      <w:bookmarkStart w:id="138" w:name="OLE_LINK7896"/>
      <w:bookmarkStart w:id="139" w:name="OLE_LINK7796"/>
      <w:bookmarkStart w:id="140" w:name="OLE_LINK7547"/>
      <w:bookmarkStart w:id="141" w:name="OLE_LINK7561"/>
      <w:bookmarkStart w:id="142" w:name="OLE_LINK7228"/>
      <w:bookmarkStart w:id="143" w:name="OLE_LINK7578"/>
      <w:bookmarkStart w:id="144" w:name="OLE_LINK7587"/>
      <w:bookmarkStart w:id="145" w:name="OLE_LINK7703"/>
      <w:bookmarkStart w:id="146" w:name="OLE_LINK7583"/>
      <w:bookmarkStart w:id="147" w:name="OLE_LINK7606"/>
      <w:bookmarkStart w:id="148" w:name="OLE_LINK7223"/>
      <w:bookmarkStart w:id="149" w:name="OLE_LINK7635"/>
      <w:bookmarkStart w:id="150" w:name="OLE_LINK7652"/>
      <w:bookmarkStart w:id="151" w:name="OLE_LINK7710"/>
      <w:bookmarkStart w:id="152" w:name="OLE_LINK7641"/>
      <w:bookmarkStart w:id="153" w:name="OLE_LINK7214"/>
      <w:bookmarkStart w:id="154" w:name="OLE_LINK7597"/>
      <w:bookmarkStart w:id="155" w:name="OLE_LINK7712"/>
      <w:bookmarkStart w:id="156" w:name="OLE_LINK7735"/>
      <w:bookmarkStart w:id="157" w:name="OLE_LINK7574"/>
      <w:bookmarkStart w:id="158" w:name="OLE_LINK7820"/>
      <w:bookmarkStart w:id="159" w:name="OLE_LINK7846"/>
      <w:bookmarkStart w:id="160" w:name="OLE_LINK7882"/>
      <w:bookmarkStart w:id="161" w:name="OLE_LINK7699"/>
      <w:bookmarkStart w:id="162" w:name="OLE_LINK7655"/>
      <w:bookmarkStart w:id="163" w:name="OLE_LINK7690"/>
      <w:bookmarkStart w:id="164" w:name="OLE_LINK7691"/>
      <w:bookmarkStart w:id="165" w:name="OLE_LINK7738"/>
      <w:bookmarkStart w:id="166" w:name="OLE_LINK7577"/>
      <w:bookmarkStart w:id="167" w:name="OLE_LINK7903"/>
      <w:bookmarkStart w:id="168" w:name="OLE_LINK7722"/>
      <w:bookmarkStart w:id="169" w:name="OLE_LINK7734"/>
      <w:bookmarkStart w:id="170" w:name="OLE_LINK7721"/>
      <w:bookmarkStart w:id="171" w:name="OLE_LINK7665"/>
      <w:bookmarkStart w:id="172" w:name="OLE_LINK7709"/>
      <w:bookmarkStart w:id="173" w:name="OLE_LINK7736"/>
      <w:bookmarkStart w:id="174" w:name="OLE_LINK7897"/>
      <w:bookmarkStart w:id="175" w:name="OLE_LINK7885"/>
      <w:bookmarkStart w:id="176" w:name="OLE_LINK84"/>
      <w:bookmarkStart w:id="177" w:name="OLE_LINK7730"/>
      <w:bookmarkStart w:id="178" w:name="OLE_LINK7839"/>
      <w:bookmarkStart w:id="179" w:name="OLE_LINK7876"/>
      <w:bookmarkStart w:id="180" w:name="OLE_LINK7836"/>
      <w:bookmarkStart w:id="181" w:name="OLE_LINK7894"/>
      <w:bookmarkStart w:id="182" w:name="OLE_LINK46"/>
      <w:bookmarkStart w:id="183" w:name="OLE_LINK7809"/>
      <w:bookmarkStart w:id="184" w:name="OLE_LINK7867"/>
      <w:bookmarkStart w:id="185" w:name="OLE_LINK7837"/>
      <w:bookmarkStart w:id="186" w:name="OLE_LINK7838"/>
      <w:bookmarkStart w:id="187" w:name="OLE_LINK7879"/>
      <w:bookmarkStart w:id="188" w:name="OLE_LINK7737"/>
      <w:bookmarkStart w:id="189" w:name="OLE_LINK7718"/>
      <w:bookmarkStart w:id="190" w:name="OLE_LINK2"/>
      <w:bookmarkStart w:id="191" w:name="OLE_LINK7910"/>
      <w:bookmarkStart w:id="192" w:name="OLE_LINK7813"/>
      <w:bookmarkStart w:id="193" w:name="OLE_LINK7895"/>
      <w:bookmarkStart w:id="194" w:name="OLE_LINK7799"/>
      <w:bookmarkStart w:id="195" w:name="OLE_LINK20"/>
      <w:bookmarkStart w:id="196" w:name="OLE_LINK54"/>
      <w:bookmarkStart w:id="197" w:name="OLE_LINK7977"/>
      <w:bookmarkStart w:id="198" w:name="OLE_LINK7979"/>
      <w:bookmarkStart w:id="199" w:name="OLE_LINK7984"/>
      <w:bookmarkStart w:id="200" w:name="OLE_LINK11"/>
      <w:bookmarkStart w:id="201" w:name="OLE_LINK7985"/>
      <w:bookmarkStart w:id="202" w:name="OLE_LINK75"/>
      <w:bookmarkStart w:id="203" w:name="OLE_LINK7"/>
      <w:bookmarkStart w:id="204" w:name="OLE_LINK29"/>
      <w:bookmarkStart w:id="205" w:name="OLE_LINK41"/>
      <w:bookmarkStart w:id="206" w:name="OLE_LINK40"/>
      <w:bookmarkStart w:id="207" w:name="OLE_LINK82"/>
      <w:bookmarkStart w:id="208" w:name="OLE_LINK17"/>
      <w:bookmarkStart w:id="209" w:name="OLE_LINK14"/>
      <w:bookmarkStart w:id="210" w:name="OLE_LINK4"/>
      <w:bookmarkStart w:id="211" w:name="OLE_LINK60"/>
      <w:bookmarkStart w:id="212" w:name="OLE_LINK72"/>
      <w:bookmarkStart w:id="213" w:name="OLE_LINK7983"/>
      <w:bookmarkStart w:id="214" w:name="OLE_LINK10"/>
      <w:bookmarkStart w:id="215" w:name="OLE_LINK1"/>
      <w:bookmarkStart w:id="216" w:name="OLE_LINK87"/>
      <w:bookmarkStart w:id="217" w:name="OLE_LINK34"/>
      <w:bookmarkStart w:id="218" w:name="OLE_LINK65"/>
      <w:bookmarkStart w:id="219" w:name="OLE_LINK57"/>
      <w:bookmarkStart w:id="220" w:name="OLE_LINK7889"/>
      <w:bookmarkStart w:id="221" w:name="OLE_LINK7789"/>
      <w:bookmarkStart w:id="222" w:name="OLE_LINK7841"/>
      <w:bookmarkStart w:id="223" w:name="OLE_LINK7816"/>
      <w:bookmarkStart w:id="224" w:name="OLE_LINK7781"/>
      <w:bookmarkStart w:id="225" w:name="OLE_LINK49"/>
      <w:bookmarkStart w:id="226" w:name="OLE_LINK1343"/>
      <w:bookmarkStart w:id="227" w:name="OLE_LINK7854"/>
      <w:bookmarkStart w:id="228" w:name="OLE_LINK7900"/>
      <w:bookmarkStart w:id="229" w:name="OLE_LINK7878"/>
      <w:bookmarkStart w:id="230" w:name="OLE_LINK1348"/>
      <w:bookmarkStart w:id="231" w:name="OLE_LINK7771"/>
      <w:bookmarkStart w:id="232" w:name="OLE_LINK7777"/>
      <w:bookmarkStart w:id="233" w:name="OLE_LINK7787"/>
      <w:bookmarkStart w:id="234" w:name="OLE_LINK1365"/>
      <w:bookmarkStart w:id="235" w:name="OLE_LINK1364"/>
      <w:bookmarkStart w:id="236" w:name="OLE_LINK7916"/>
      <w:bookmarkStart w:id="237" w:name="OLE_LINK7747"/>
      <w:bookmarkStart w:id="238" w:name="OLE_LINK7913"/>
      <w:bookmarkStart w:id="239" w:name="OLE_LINK37"/>
      <w:bookmarkStart w:id="240" w:name="OLE_LINK7804"/>
      <w:bookmarkStart w:id="241" w:name="OLE_LINK7906"/>
      <w:bookmarkStart w:id="242" w:name="OLE_LINK1361"/>
      <w:bookmarkStart w:id="243" w:name="OLE_LINK1335"/>
      <w:bookmarkStart w:id="244" w:name="OLE_LINK1356"/>
      <w:bookmarkStart w:id="245" w:name="OLE_LINK1399"/>
      <w:bookmarkStart w:id="246" w:name="OLE_LINK7795"/>
      <w:bookmarkStart w:id="247" w:name="OLE_LINK1466"/>
      <w:bookmarkStart w:id="248" w:name="OLE_LINK1452"/>
      <w:bookmarkStart w:id="249" w:name="OLE_LINK7848"/>
      <w:bookmarkStart w:id="250" w:name="OLE_LINK1375"/>
      <w:bookmarkStart w:id="251" w:name="OLE_LINK7866"/>
      <w:bookmarkStart w:id="252" w:name="OLE_LINK7776"/>
      <w:bookmarkStart w:id="253" w:name="OLE_LINK7714"/>
      <w:bookmarkStart w:id="254" w:name="OLE_LINK7704"/>
      <w:bookmarkStart w:id="255" w:name="OLE_LINK7729"/>
      <w:bookmarkStart w:id="256" w:name="OLE_LINK1474"/>
      <w:bookmarkStart w:id="257" w:name="OLE_LINK1353"/>
      <w:bookmarkStart w:id="258" w:name="OLE_LINK1387"/>
      <w:bookmarkStart w:id="259" w:name="OLE_LINK7909"/>
      <w:bookmarkStart w:id="260" w:name="OLE_LINK1395"/>
      <w:bookmarkStart w:id="261" w:name="OLE_LINK1433"/>
      <w:bookmarkStart w:id="262" w:name="OLE_LINK1391"/>
      <w:bookmarkStart w:id="263" w:name="OLE_LINK1412"/>
      <w:bookmarkStart w:id="264" w:name="OLE_LINK1237"/>
      <w:bookmarkStart w:id="265" w:name="OLE_LINK1256"/>
      <w:bookmarkStart w:id="266" w:name="OLE_LINK1379"/>
      <w:bookmarkStart w:id="267" w:name="OLE_LINK1457"/>
      <w:bookmarkStart w:id="268" w:name="OLE_LINK1508"/>
      <w:bookmarkStart w:id="269" w:name="OLE_LINK1276"/>
      <w:bookmarkStart w:id="270" w:name="OLE_LINK7754"/>
      <w:bookmarkStart w:id="271" w:name="OLE_LINK1402"/>
      <w:bookmarkStart w:id="272" w:name="OLE_LINK7725"/>
      <w:bookmarkStart w:id="273" w:name="OLE_LINK1477"/>
      <w:bookmarkStart w:id="274" w:name="OLE_LINK1344"/>
      <w:bookmarkStart w:id="275" w:name="OLE_LINK1492"/>
      <w:bookmarkStart w:id="276" w:name="OLE_LINK1436"/>
      <w:bookmarkStart w:id="277" w:name="OLE_LINK7683"/>
      <w:bookmarkStart w:id="278" w:name="OLE_LINK7674"/>
      <w:bookmarkStart w:id="279" w:name="OLE_LINK1490"/>
      <w:bookmarkStart w:id="280" w:name="OLE_LINK1371"/>
      <w:bookmarkStart w:id="281" w:name="OLE_LINK1251"/>
      <w:bookmarkStart w:id="282" w:name="OLE_LINK1292"/>
      <w:bookmarkStart w:id="283" w:name="OLE_LINK1496"/>
      <w:bookmarkStart w:id="284" w:name="OLE_LINK15"/>
      <w:bookmarkStart w:id="285" w:name="OLE_LINK1478"/>
      <w:bookmarkStart w:id="286" w:name="OLE_LINK7268"/>
      <w:bookmarkStart w:id="287" w:name="OLE_LINK1312"/>
      <w:bookmarkStart w:id="288" w:name="OLE_LINK1429"/>
      <w:bookmarkStart w:id="289" w:name="OLE_LINK1250"/>
      <w:bookmarkStart w:id="290" w:name="OLE_LINK1384"/>
      <w:bookmarkStart w:id="291" w:name="OLE_LINK7681"/>
      <w:bookmarkStart w:id="292" w:name="OLE_LINK7224"/>
      <w:bookmarkStart w:id="293" w:name="OLE_LINK23"/>
      <w:bookmarkStart w:id="294" w:name="OLE_LINK1499"/>
      <w:bookmarkStart w:id="295" w:name="OLE_LINK7229"/>
      <w:bookmarkStart w:id="296" w:name="OLE_LINK1305"/>
      <w:bookmarkStart w:id="297" w:name="OLE_LINK7274"/>
      <w:bookmarkStart w:id="298" w:name="OLE_LINK1301"/>
      <w:bookmarkStart w:id="299" w:name="OLE_LINK1225"/>
      <w:bookmarkStart w:id="300" w:name="OLE_LINK1315"/>
      <w:bookmarkStart w:id="301" w:name="OLE_LINK1503"/>
      <w:bookmarkStart w:id="302" w:name="OLE_LINK7279"/>
      <w:bookmarkStart w:id="303" w:name="OLE_LINK7264"/>
      <w:bookmarkStart w:id="304" w:name="OLE_LINK1449"/>
      <w:bookmarkStart w:id="305" w:name="OLE_LINK7288"/>
      <w:bookmarkStart w:id="306" w:name="OLE_LINK1319"/>
      <w:bookmarkStart w:id="307" w:name="OLE_LINK1273"/>
      <w:bookmarkStart w:id="308" w:name="OLE_LINK1262"/>
      <w:bookmarkStart w:id="309" w:name="OLE_LINK7241"/>
      <w:bookmarkStart w:id="310" w:name="OLE_LINK1484"/>
      <w:bookmarkStart w:id="311" w:name="OLE_LINK7666"/>
      <w:bookmarkStart w:id="312" w:name="OLE_LINK7761"/>
      <w:bookmarkStart w:id="313" w:name="OLE_LINK7244"/>
      <w:bookmarkStart w:id="314" w:name="OLE_LINK7700"/>
      <w:bookmarkStart w:id="315" w:name="OLE_LINK1244"/>
      <w:bookmarkStart w:id="316" w:name="OLE_LINK7305"/>
      <w:bookmarkStart w:id="317" w:name="OLE_LINK7654"/>
      <w:bookmarkStart w:id="318" w:name="OLE_LINK7732"/>
      <w:bookmarkStart w:id="319" w:name="OLE_LINK7639"/>
      <w:bookmarkStart w:id="320" w:name="OLE_LINK7300"/>
      <w:bookmarkStart w:id="321" w:name="OLE_LINK7727"/>
      <w:bookmarkStart w:id="322" w:name="OLE_LINK7308"/>
      <w:bookmarkStart w:id="323" w:name="OLE_LINK7234"/>
      <w:bookmarkStart w:id="324" w:name="OLE_LINK7744"/>
      <w:bookmarkStart w:id="325" w:name="OLE_LINK7644"/>
      <w:bookmarkStart w:id="326" w:name="OLE_LINK7688"/>
      <w:bookmarkStart w:id="327" w:name="OLE_LINK7670"/>
      <w:bookmarkStart w:id="328" w:name="OLE_LINK1283"/>
      <w:bookmarkStart w:id="329" w:name="OLE_LINK7772"/>
      <w:bookmarkStart w:id="330" w:name="OLE_LINK7724"/>
      <w:bookmarkStart w:id="331" w:name="OLE_LINK7630"/>
      <w:bookmarkStart w:id="332" w:name="OLE_LINK3"/>
      <w:bookmarkStart w:id="333" w:name="OLE_LINK7675"/>
      <w:bookmarkStart w:id="334" w:name="OLE_LINK7301"/>
      <w:bookmarkStart w:id="335" w:name="OLE_LINK7650"/>
      <w:bookmarkStart w:id="336" w:name="OLE_LINK1297"/>
      <w:bookmarkStart w:id="337" w:name="OLE_LINK7259"/>
      <w:bookmarkStart w:id="338" w:name="OLE_LINK21"/>
      <w:bookmarkStart w:id="339" w:name="OLE_LINK7295"/>
      <w:bookmarkStart w:id="340" w:name="OLE_LINK1322"/>
      <w:bookmarkStart w:id="341" w:name="OLE_LINK7317"/>
      <w:bookmarkStart w:id="342" w:name="OLE_LINK7313"/>
      <w:bookmarkStart w:id="343" w:name="OLE_LINK7806"/>
      <w:bookmarkStart w:id="344" w:name="OLE_LINK7245"/>
      <w:bookmarkStart w:id="345" w:name="OLE_LINK7282"/>
      <w:bookmarkStart w:id="346" w:name="OLE_LINK7287"/>
      <w:bookmarkStart w:id="347" w:name="OLE_LINK7322"/>
      <w:bookmarkStart w:id="348" w:name="OLE_LINK7379"/>
      <w:bookmarkStart w:id="349" w:name="OLE_LINK7753"/>
      <w:bookmarkStart w:id="350" w:name="OLE_LINK7785"/>
      <w:bookmarkStart w:id="351" w:name="OLE_LINK7791"/>
      <w:bookmarkStart w:id="352" w:name="OLE_LINK7272"/>
      <w:bookmarkStart w:id="353" w:name="OLE_LINK7326"/>
      <w:bookmarkStart w:id="354" w:name="OLE_LINK7803"/>
      <w:bookmarkStart w:id="355" w:name="OLE_LINK7618"/>
      <w:bookmarkStart w:id="356" w:name="OLE_LINK7238"/>
      <w:bookmarkStart w:id="357" w:name="OLE_LINK7779"/>
      <w:bookmarkStart w:id="358" w:name="OLE_LINK7682"/>
      <w:bookmarkStart w:id="359" w:name="OLE_LINK7693"/>
      <w:bookmarkStart w:id="360" w:name="OLE_LINK7765"/>
      <w:bookmarkStart w:id="361" w:name="OLE_LINK7302"/>
      <w:bookmarkStart w:id="362" w:name="OLE_LINK7623"/>
      <w:bookmarkStart w:id="363" w:name="OLE_LINK7769"/>
      <w:bookmarkStart w:id="364" w:name="OLE_LINK7794"/>
      <w:bookmarkStart w:id="365" w:name="OLE_LINK7775"/>
      <w:bookmarkStart w:id="366" w:name="OLE_LINK7800"/>
      <w:bookmarkStart w:id="367" w:name="OLE_LINK7376"/>
      <w:bookmarkStart w:id="368" w:name="OLE_LINK7265"/>
      <w:bookmarkStart w:id="369" w:name="OLE_LINK7811"/>
      <w:bookmarkStart w:id="370" w:name="OLE_LINK7562"/>
      <w:bookmarkStart w:id="371" w:name="OLE_LINK7642"/>
      <w:bookmarkStart w:id="372" w:name="OLE_LINK7593"/>
      <w:bookmarkStart w:id="373" w:name="OLE_LINK7292"/>
      <w:bookmarkStart w:id="374" w:name="OLE_LINK7548"/>
      <w:bookmarkStart w:id="375" w:name="OLE_LINK7619"/>
      <w:bookmarkStart w:id="376" w:name="OLE_LINK7631"/>
      <w:bookmarkStart w:id="377" w:name="OLE_LINK7810"/>
      <w:bookmarkStart w:id="378" w:name="OLE_LINK7579"/>
      <w:bookmarkStart w:id="379" w:name="OLE_LINK7266"/>
      <w:bookmarkStart w:id="380" w:name="OLE_LINK7290"/>
      <w:bookmarkStart w:id="381" w:name="OLE_LINK7572"/>
      <w:bookmarkStart w:id="382" w:name="OLE_LINK7788"/>
      <w:bookmarkStart w:id="383" w:name="OLE_LINK7440"/>
      <w:bookmarkStart w:id="384" w:name="OLE_LINK7303"/>
      <w:bookmarkStart w:id="385" w:name="OLE_LINK7648"/>
      <w:bookmarkStart w:id="386" w:name="OLE_LINK7260"/>
      <w:bookmarkStart w:id="387" w:name="OLE_LINK7296"/>
      <w:bookmarkStart w:id="388" w:name="OLE_LINK7815"/>
      <w:bookmarkStart w:id="389" w:name="OLE_LINK7526"/>
      <w:bookmarkStart w:id="390" w:name="OLE_LINK7422"/>
      <w:bookmarkStart w:id="391" w:name="OLE_LINK7383"/>
      <w:bookmarkStart w:id="392" w:name="OLE_LINK7386"/>
      <w:bookmarkStart w:id="393" w:name="OLE_LINK7538"/>
      <w:bookmarkStart w:id="394" w:name="OLE_LINK7263"/>
      <w:bookmarkStart w:id="395" w:name="OLE_LINK7573"/>
      <w:bookmarkStart w:id="396" w:name="OLE_LINK7658"/>
      <w:bookmarkStart w:id="397" w:name="OLE_LINK7646"/>
      <w:bookmarkStart w:id="398" w:name="OLE_LINK7254"/>
      <w:bookmarkStart w:id="399" w:name="OLE_LINK7307"/>
      <w:bookmarkStart w:id="400" w:name="OLE_LINK7871"/>
      <w:bookmarkStart w:id="401" w:name="OLE_LINK7306"/>
      <w:bookmarkStart w:id="402" w:name="OLE_LINK7805"/>
      <w:bookmarkStart w:id="403" w:name="OLE_LINK7756"/>
      <w:bookmarkStart w:id="404" w:name="OLE_LINK7389"/>
      <w:bookmarkStart w:id="405" w:name="OLE_LINK7403"/>
      <w:bookmarkStart w:id="406" w:name="OLE_LINK7275"/>
      <w:bookmarkStart w:id="407" w:name="OLE_LINK7822"/>
      <w:bookmarkStart w:id="408" w:name="OLE_LINK7394"/>
      <w:bookmarkStart w:id="409" w:name="OLE_LINK7280"/>
      <w:bookmarkStart w:id="410" w:name="OLE_LINK7286"/>
      <w:bookmarkStart w:id="411" w:name="OLE_LINK7793"/>
      <w:bookmarkStart w:id="412" w:name="OLE_LINK7432"/>
      <w:bookmarkStart w:id="413" w:name="OLE_LINK7534"/>
      <w:bookmarkStart w:id="414" w:name="OLE_LINK7749"/>
      <w:bookmarkStart w:id="415" w:name="OLE_LINK7523"/>
      <w:bookmarkStart w:id="416" w:name="OLE_LINK7255"/>
      <w:bookmarkStart w:id="417" w:name="OLE_LINK7844"/>
      <w:bookmarkStart w:id="418" w:name="OLE_LINK7814"/>
      <w:bookmarkStart w:id="419" w:name="OLE_LINK7304"/>
      <w:bookmarkStart w:id="420" w:name="OLE_LINK7850"/>
      <w:bookmarkStart w:id="421" w:name="OLE_LINK7877"/>
      <w:bookmarkStart w:id="422" w:name="OLE_LINK7552"/>
      <w:bookmarkStart w:id="423" w:name="OLE_LINK7418"/>
      <w:bookmarkStart w:id="424" w:name="OLE_LINK7883"/>
      <w:bookmarkStart w:id="425" w:name="OLE_LINK7743"/>
      <w:bookmarkStart w:id="426" w:name="OLE_LINK7340"/>
      <w:bookmarkStart w:id="427" w:name="OLE_LINK7378"/>
      <w:bookmarkStart w:id="428" w:name="OLE_LINK7708"/>
      <w:bookmarkStart w:id="429" w:name="OLE_LINK7888"/>
      <w:bookmarkStart w:id="430" w:name="OLE_LINK7864"/>
      <w:bookmarkStart w:id="431" w:name="OLE_LINK7269"/>
      <w:bookmarkStart w:id="432" w:name="OLE_LINK7825"/>
      <w:bookmarkStart w:id="433" w:name="OLE_LINK7360"/>
      <w:bookmarkStart w:id="434" w:name="OLE_LINK7368"/>
      <w:bookmarkStart w:id="435" w:name="OLE_LINK7862"/>
      <w:bookmarkStart w:id="436" w:name="OLE_LINK7344"/>
      <w:bookmarkStart w:id="437" w:name="OLE_LINK7667"/>
      <w:bookmarkStart w:id="438" w:name="OLE_LINK7426"/>
      <w:bookmarkStart w:id="439" w:name="OLE_LINK7293"/>
      <w:bookmarkStart w:id="440" w:name="OLE_LINK7898"/>
      <w:bookmarkStart w:id="441" w:name="OLE_LINK7739"/>
      <w:bookmarkStart w:id="442" w:name="OLE_LINK7415"/>
      <w:bookmarkStart w:id="443" w:name="OLE_LINK7533"/>
      <w:bookmarkStart w:id="444" w:name="OLE_LINK7588"/>
      <w:bookmarkStart w:id="445" w:name="OLE_LINK7786"/>
      <w:bookmarkStart w:id="446" w:name="OLE_LINK7685"/>
      <w:bookmarkStart w:id="447" w:name="OLE_LINK7840"/>
      <w:bookmarkStart w:id="448" w:name="OLE_LINK7901"/>
      <w:bookmarkStart w:id="449" w:name="OLE_LINK7343"/>
      <w:bookmarkStart w:id="450" w:name="OLE_LINK7818"/>
      <w:bookmarkStart w:id="451" w:name="OLE_LINK7902"/>
      <w:bookmarkStart w:id="452" w:name="OLE_LINK7858"/>
      <w:bookmarkStart w:id="453" w:name="OLE_LINK7384"/>
      <w:bookmarkStart w:id="454" w:name="OLE_LINK7689"/>
      <w:bookmarkStart w:id="455" w:name="OLE_LINK7261"/>
      <w:bookmarkStart w:id="456" w:name="OLE_LINK7863"/>
      <w:bookmarkStart w:id="457" w:name="OLE_LINK7407"/>
      <w:bookmarkStart w:id="458" w:name="OLE_LINK7335"/>
      <w:bookmarkStart w:id="459" w:name="OLE_LINK7701"/>
      <w:bookmarkStart w:id="460" w:name="OLE_LINK7817"/>
      <w:bookmarkStart w:id="461" w:name="OLE_LINK8015"/>
      <w:bookmarkStart w:id="462" w:name="OLE_LINK7372"/>
      <w:bookmarkStart w:id="463" w:name="OLE_LINK7853"/>
      <w:bookmarkStart w:id="464" w:name="OLE_LINK8011"/>
      <w:bookmarkStart w:id="465" w:name="OLE_LINK7936"/>
      <w:bookmarkStart w:id="466" w:name="OLE_LINK8023"/>
      <w:bookmarkStart w:id="467" w:name="OLE_LINK7755"/>
      <w:bookmarkStart w:id="468" w:name="OLE_LINK7842"/>
      <w:bookmarkStart w:id="469" w:name="OLE_LINK7330"/>
      <w:bookmarkStart w:id="470" w:name="OLE_LINK7801"/>
      <w:bookmarkStart w:id="471" w:name="OLE_LINK8012"/>
      <w:bookmarkStart w:id="472" w:name="OLE_LINK7740"/>
      <w:bookmarkStart w:id="473" w:name="OLE_LINK7676"/>
      <w:bookmarkStart w:id="474" w:name="OLE_LINK7361"/>
      <w:bookmarkStart w:id="475" w:name="OLE_LINK7960"/>
      <w:bookmarkStart w:id="476" w:name="OLE_LINK7324"/>
      <w:bookmarkStart w:id="477" w:name="OLE_LINK7834"/>
      <w:bookmarkStart w:id="478" w:name="OLE_LINK8010"/>
      <w:bookmarkStart w:id="479" w:name="OLE_LINK7395"/>
      <w:bookmarkStart w:id="480" w:name="OLE_LINK7947"/>
      <w:bookmarkStart w:id="481" w:name="OLE_LINK7314"/>
      <w:bookmarkStart w:id="482" w:name="OLE_LINK7411"/>
      <w:bookmarkStart w:id="483" w:name="OLE_LINK7404"/>
      <w:bookmarkStart w:id="484" w:name="OLE_LINK7720"/>
      <w:bookmarkStart w:id="485" w:name="OLE_LINK7927"/>
      <w:bookmarkStart w:id="486" w:name="OLE_LINK7780"/>
      <w:bookmarkStart w:id="487" w:name="OLE_LINK7923"/>
      <w:bookmarkStart w:id="488" w:name="OLE_LINK7920"/>
      <w:bookmarkStart w:id="489" w:name="OLE_LINK7952"/>
      <w:bookmarkStart w:id="490" w:name="OLE_LINK7807"/>
      <w:bookmarkStart w:id="491" w:name="OLE_LINK7851"/>
      <w:bookmarkStart w:id="492" w:name="OLE_LINK7907"/>
      <w:bookmarkStart w:id="493" w:name="OLE_LINK8139"/>
      <w:bookmarkStart w:id="494" w:name="OLE_LINK8081"/>
      <w:bookmarkStart w:id="495" w:name="OLE_LINK7357"/>
      <w:bookmarkStart w:id="496" w:name="OLE_LINK8188"/>
      <w:bookmarkStart w:id="497" w:name="OLE_LINK7859"/>
      <w:bookmarkStart w:id="498" w:name="OLE_LINK7938"/>
      <w:bookmarkStart w:id="499" w:name="OLE_LINK7933"/>
      <w:bookmarkStart w:id="500" w:name="OLE_LINK7348"/>
      <w:bookmarkStart w:id="501" w:name="OLE_LINK7424"/>
      <w:bookmarkStart w:id="502" w:name="OLE_LINK7884"/>
      <w:bookmarkStart w:id="503" w:name="OLE_LINK7868"/>
      <w:bookmarkStart w:id="504" w:name="OLE_LINK7351"/>
      <w:bookmarkStart w:id="505" w:name="OLE_LINK7762"/>
      <w:bookmarkStart w:id="506" w:name="OLE_LINK8026"/>
      <w:bookmarkStart w:id="507" w:name="OLE_LINK7745"/>
      <w:bookmarkStart w:id="508" w:name="OLE_LINK8171"/>
      <w:bookmarkStart w:id="509" w:name="OLE_LINK8089"/>
      <w:bookmarkStart w:id="510" w:name="OLE_LINK8072"/>
      <w:bookmarkStart w:id="511" w:name="OLE_LINK7766"/>
      <w:bookmarkStart w:id="512" w:name="OLE_LINK8066"/>
      <w:bookmarkStart w:id="513" w:name="OLE_LINK8179"/>
      <w:bookmarkStart w:id="514" w:name="OLE_LINK8037"/>
      <w:bookmarkStart w:id="515" w:name="OLE_LINK1372"/>
      <w:bookmarkStart w:id="516" w:name="OLE_LINK8034"/>
      <w:bookmarkStart w:id="517" w:name="OLE_LINK8230"/>
      <w:bookmarkStart w:id="518" w:name="OLE_LINK8144"/>
      <w:bookmarkStart w:id="519" w:name="OLE_LINK8078"/>
      <w:bookmarkStart w:id="520" w:name="OLE_LINK8192"/>
      <w:bookmarkStart w:id="521" w:name="OLE_LINK7917"/>
      <w:bookmarkStart w:id="522" w:name="OLE_LINK8046"/>
      <w:bookmarkStart w:id="523" w:name="OLE_LINK8175"/>
      <w:bookmarkStart w:id="524" w:name="OLE_LINK7797"/>
      <w:bookmarkStart w:id="525" w:name="OLE_LINK8148"/>
      <w:bookmarkStart w:id="526" w:name="OLE_LINK8027"/>
      <w:bookmarkStart w:id="527" w:name="OLE_LINK8185"/>
      <w:bookmarkStart w:id="528" w:name="OLE_LINK8055"/>
      <w:bookmarkStart w:id="529" w:name="OLE_LINK8138"/>
      <w:bookmarkStart w:id="530" w:name="OLE_LINK8166"/>
      <w:bookmarkStart w:id="531" w:name="OLE_LINK8160"/>
      <w:bookmarkStart w:id="532" w:name="OLE_LINK7731"/>
      <w:bookmarkStart w:id="533" w:name="OLE_LINK8141"/>
      <w:bookmarkStart w:id="534" w:name="OLE_LINK8064"/>
      <w:bookmarkStart w:id="535" w:name="OLE_LINK8137"/>
      <w:bookmarkStart w:id="536" w:name="OLE_LINK1357"/>
      <w:bookmarkStart w:id="537" w:name="OLE_LINK8049"/>
      <w:bookmarkStart w:id="538" w:name="OLE_LINK8226"/>
      <w:bookmarkStart w:id="539" w:name="OLE_LINK1381"/>
      <w:bookmarkStart w:id="540" w:name="OLE_LINK8222"/>
      <w:bookmarkStart w:id="541" w:name="OLE_LINK8239"/>
      <w:bookmarkStart w:id="542" w:name="OLE_LINK8059"/>
      <w:bookmarkStart w:id="543" w:name="OLE_LINK8203"/>
      <w:bookmarkStart w:id="544" w:name="OLE_LINK8153"/>
      <w:bookmarkStart w:id="545" w:name="OLE_LINK8134"/>
      <w:bookmarkStart w:id="546" w:name="OLE_LINK8229"/>
      <w:bookmarkStart w:id="547" w:name="OLE_LINK1397"/>
      <w:bookmarkStart w:id="548" w:name="OLE_LINK8232"/>
      <w:bookmarkStart w:id="549" w:name="OLE_LINK8157"/>
      <w:bookmarkStart w:id="550" w:name="OLE_LINK8217"/>
      <w:bookmarkStart w:id="551" w:name="OLE_LINK1382"/>
      <w:bookmarkStart w:id="552" w:name="OLE_LINK8199"/>
      <w:bookmarkStart w:id="553" w:name="OLE_LINK8209"/>
      <w:r>
        <w:rPr>
          <w:rFonts w:ascii="Book Antiqua" w:hAnsi="Book Antiqua"/>
        </w:rPr>
        <w:t>January 25, 2024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p>
    <w:p>
      <w:pPr>
        <w:spacing w:line="360" w:lineRule="auto"/>
        <w:jc w:val="both"/>
        <w:rPr>
          <w:rFonts w:ascii="Book Antiqua" w:hAnsi="Book Antiqua"/>
        </w:rPr>
      </w:pPr>
      <w:r>
        <w:rPr>
          <w:rFonts w:ascii="Book Antiqua" w:hAnsi="Book Antiqua" w:eastAsia="Book Antiqua" w:cs="Book Antiqua"/>
          <w:b/>
          <w:bCs/>
        </w:rPr>
        <w:t xml:space="preserve">Published online: </w:t>
      </w:r>
      <w:r>
        <w:rPr>
          <w:rFonts w:hint="eastAsia" w:ascii="Book Antiqua" w:hAnsi="Book Antiqua" w:eastAsia="Book Antiqua" w:cs="Book Antiqua"/>
          <w:b w:val="0"/>
          <w:bCs w:val="0"/>
        </w:rPr>
        <w:t>February 27, 2024</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Style w:val="9"/>
          <w:rFonts w:eastAsia="Book Antiqua" w:cs="Book Antiqua"/>
          <w:color w:val="0E101A"/>
        </w:rPr>
      </w:pPr>
      <w:r>
        <w:rPr>
          <w:rStyle w:val="9"/>
          <w:rFonts w:ascii="Book Antiqua" w:hAnsi="Book Antiqua" w:eastAsia="Book Antiqua" w:cs="Book Antiqua"/>
          <w:color w:val="0E101A"/>
        </w:rPr>
        <w:t>The overlap of imaging manifestations among distinct splenic lesions gives rise to a diagnostic dilemma. Consequently, a definitive diagnosis primarily relies on histological results. The ultrasound (US)-guided coaxial core needle biopsy (CNB) not only procures sufficient tissue to help clarify the diagnosis, but reduces the incidence of puncture-related complications.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rPr>
      </w:pPr>
      <w:r>
        <w:rPr>
          <w:rFonts w:ascii="Book Antiqua" w:hAnsi="Book Antiqua" w:eastAsia="Book Antiqua" w:cs="Book Antiqua"/>
          <w:color w:val="0E101A"/>
        </w:rPr>
        <w:t>A 41-year-old female, with a history of pulmonary tuberculosis, was admitted to our hospital with multiple indeterminate splenic lesions. Gray-scale ultrasonography demonstrated splenomegaly with numerous well-defined hypoechoic masses. Abdominal contrast-enhanced computed tomography (CT) showed an enlarged spleen with multiple irregular-shaped, peripherally enhancing, hypodense lesions. Positron emission CT revealed numerous abnormal hyperglycemia foci. These imaging findings strongly indicated the possibility of infectious disease as the primary concern, with neoplastic lesions requiring exclusion. To obtain the precise pathological diagnosis, the US-guided coaxial CNB of the spleen was carried out. The patient did not express any discomfort during the procedure.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E101A"/>
        </w:rPr>
        <w:t>Percutaneous US-guided coaxial CNB is an excellent and safe option for obtaining precise splenic tissue samples, as it significantly enhances sample yield for exact pathological analysis with minimum trauma to the spleen parenchyma and surrounding tissue.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Key Words: </w:t>
      </w:r>
      <w:r>
        <w:rPr>
          <w:rFonts w:ascii="Book Antiqua" w:hAnsi="Book Antiqua" w:eastAsia="Book Antiqua" w:cs="Book Antiqua"/>
          <w:color w:val="0E101A"/>
        </w:rPr>
        <w:t>Spleen; Splenic disease; Ultrasound; Biopsy; Ultrasound-guided coaxial core needle biopsy; Case report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4</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cs="Book Antiqua"/>
          <w:lang w:eastAsia="zh-CN"/>
        </w:rPr>
      </w:pPr>
      <w:r>
        <w:rPr>
          <w:rFonts w:hint="eastAsia" w:ascii="Book Antiqua" w:hAnsi="Book Antiqua" w:eastAsia="宋体" w:cs="Book Antiqua"/>
          <w:b/>
          <w:bCs/>
          <w:lang w:val="en-US" w:eastAsia="zh-CN"/>
        </w:rPr>
        <w:t>Citation</w:t>
      </w:r>
      <w:r>
        <w:rPr>
          <w:rFonts w:hint="eastAsia" w:ascii="Book Antiqua" w:hAnsi="Book Antiqua" w:eastAsia="宋体" w:cs="Book Antiqua"/>
          <w:lang w:val="en-US" w:eastAsia="zh-CN"/>
        </w:rPr>
        <w:t xml:space="preserve">: </w:t>
      </w:r>
      <w:r>
        <w:rPr>
          <w:rFonts w:ascii="Book Antiqua" w:hAnsi="Book Antiqua" w:eastAsia="Book Antiqua" w:cs="Book Antiqua"/>
        </w:rPr>
        <w:t xml:space="preserve">Pu SH, Bao WYG, Jiang ZP, Yang R, Lu Q. Percutaneous ultrasound-guided coaxial core needle biopsy for the diagnosis of multiple splenic lesions: A case report. </w:t>
      </w:r>
      <w:r>
        <w:rPr>
          <w:rFonts w:ascii="Book Antiqua" w:hAnsi="Book Antiqua" w:eastAsia="Book Antiqua" w:cs="Book Antiqua"/>
          <w:i/>
          <w:iCs/>
        </w:rPr>
        <w:t>World J Gastrointest Surg</w:t>
      </w:r>
      <w:r>
        <w:rPr>
          <w:rFonts w:ascii="Book Antiqua" w:hAnsi="Book Antiqua" w:eastAsia="Book Antiqua" w:cs="Book Antiqua"/>
        </w:rPr>
        <w:t xml:space="preserve"> 202</w:t>
      </w:r>
      <w:r>
        <w:rPr>
          <w:rFonts w:hint="eastAsia" w:ascii="Book Antiqua" w:hAnsi="Book Antiqua" w:cs="Book Antiqua"/>
          <w:lang w:eastAsia="zh-CN"/>
        </w:rPr>
        <w:t>4</w:t>
      </w:r>
      <w:r>
        <w:rPr>
          <w:rFonts w:ascii="Book Antiqua" w:hAnsi="Book Antiqua" w:eastAsia="Book Antiqua" w:cs="Book Antiqua"/>
        </w:rPr>
        <w:t>; 1</w:t>
      </w:r>
      <w:r>
        <w:rPr>
          <w:rFonts w:hint="eastAsia" w:ascii="Book Antiqua" w:hAnsi="Book Antiqua" w:cs="Book Antiqua"/>
          <w:lang w:eastAsia="zh-CN"/>
        </w:rPr>
        <w:t>6</w:t>
      </w:r>
      <w:r>
        <w:rPr>
          <w:rFonts w:ascii="Book Antiqua" w:hAnsi="Book Antiqua" w:eastAsia="Book Antiqua" w:cs="Book Antiqua"/>
        </w:rPr>
        <w:t>(</w:t>
      </w:r>
      <w:r>
        <w:rPr>
          <w:rFonts w:hint="eastAsia" w:ascii="Book Antiqua" w:hAnsi="Book Antiqua" w:cs="Book Antiqua"/>
          <w:lang w:eastAsia="zh-CN"/>
        </w:rPr>
        <w:t>2</w:t>
      </w:r>
      <w:r>
        <w:rPr>
          <w:rFonts w:ascii="Book Antiqua" w:hAnsi="Book Antiqua" w:eastAsia="Book Antiqua" w:cs="Book Antiqua"/>
        </w:rPr>
        <w:t xml:space="preserve">): </w:t>
      </w:r>
      <w:r>
        <w:rPr>
          <w:rStyle w:val="17"/>
          <w:rFonts w:hint="default" w:ascii="Book Antiqua" w:hAnsi="Book Antiqua" w:eastAsia="宋体" w:cs="Book Antiqua"/>
          <w:sz w:val="24"/>
          <w:szCs w:val="24"/>
          <w:lang w:val="en-US" w:eastAsia="zh-CN" w:bidi="ar"/>
        </w:rPr>
        <w:t>616-621</w:t>
      </w:r>
      <w:r>
        <w:rPr>
          <w:rFonts w:hint="eastAsia" w:ascii="Book Antiqua" w:hAnsi="Book Antiqua" w:cs="Book Antiqua"/>
          <w:lang w:eastAsia="zh-CN"/>
        </w:rPr>
        <w:t xml:space="preserve"> </w:t>
      </w:r>
    </w:p>
    <w:p>
      <w:pPr>
        <w:spacing w:line="360" w:lineRule="auto"/>
        <w:jc w:val="both"/>
        <w:rPr>
          <w:rFonts w:hint="eastAsia" w:ascii="Book Antiqua" w:hAnsi="Book Antiqua" w:cs="Book Antiqua"/>
          <w:lang w:eastAsia="zh-CN"/>
        </w:rPr>
      </w:pPr>
      <w:r>
        <w:rPr>
          <w:rFonts w:ascii="Book Antiqua" w:hAnsi="Book Antiqua" w:eastAsia="Book Antiqua" w:cs="Book Antiqua"/>
          <w:b/>
          <w:bCs/>
        </w:rPr>
        <w:t>URL</w:t>
      </w:r>
      <w:r>
        <w:rPr>
          <w:rFonts w:ascii="Book Antiqua" w:hAnsi="Book Antiqua" w:eastAsia="Book Antiqua" w:cs="Book Antiqua"/>
          <w:b w:val="0"/>
          <w:bCs w:val="0"/>
        </w:rPr>
        <w:t>:</w:t>
      </w:r>
      <w:r>
        <w:rPr>
          <w:rFonts w:ascii="Book Antiqua" w:hAnsi="Book Antiqua" w:eastAsia="Book Antiqua" w:cs="Book Antiqua"/>
        </w:rPr>
        <w:t xml:space="preserve"> https://www.wjgnet.com/1948-9366/full/v1</w:t>
      </w:r>
      <w:r>
        <w:rPr>
          <w:rFonts w:hint="eastAsia" w:ascii="Book Antiqua" w:hAnsi="Book Antiqua" w:cs="Book Antiqua"/>
          <w:lang w:eastAsia="zh-CN"/>
        </w:rPr>
        <w:t>6</w:t>
      </w:r>
      <w:r>
        <w:rPr>
          <w:rFonts w:ascii="Book Antiqua" w:hAnsi="Book Antiqua" w:eastAsia="Book Antiqua" w:cs="Book Antiqua"/>
        </w:rPr>
        <w:t>/i</w:t>
      </w:r>
      <w:r>
        <w:rPr>
          <w:rFonts w:hint="eastAsia" w:ascii="Book Antiqua" w:hAnsi="Book Antiqua" w:cs="Book Antiqua"/>
          <w:lang w:eastAsia="zh-CN"/>
        </w:rPr>
        <w:t>2</w:t>
      </w:r>
      <w:r>
        <w:rPr>
          <w:rFonts w:ascii="Book Antiqua" w:hAnsi="Book Antiqua" w:eastAsia="Book Antiqua" w:cs="Book Antiqua"/>
        </w:rPr>
        <w:t>/</w:t>
      </w:r>
      <w:r>
        <w:rPr>
          <w:rStyle w:val="17"/>
          <w:rFonts w:hint="default" w:ascii="Book Antiqua" w:hAnsi="Book Antiqua" w:eastAsia="宋体" w:cs="Book Antiqua"/>
          <w:sz w:val="24"/>
          <w:szCs w:val="24"/>
          <w:lang w:val="en-US" w:eastAsia="zh-CN" w:bidi="ar"/>
        </w:rPr>
        <w:t>616</w:t>
      </w:r>
      <w:r>
        <w:rPr>
          <w:rFonts w:ascii="Book Antiqua" w:hAnsi="Book Antiqua" w:eastAsia="Book Antiqua" w:cs="Book Antiqua"/>
        </w:rPr>
        <w:t xml:space="preserve">.htm </w:t>
      </w:r>
      <w:r>
        <w:rPr>
          <w:rFonts w:hint="eastAsia" w:ascii="Book Antiqua" w:hAnsi="Book Antiqua" w:cs="Book Antiqua"/>
          <w:lang w:eastAsia="zh-CN"/>
        </w:rPr>
        <w:t xml:space="preserve"> </w:t>
      </w:r>
    </w:p>
    <w:p>
      <w:pPr>
        <w:spacing w:line="360" w:lineRule="auto"/>
        <w:jc w:val="both"/>
        <w:rPr>
          <w:rFonts w:ascii="Book Antiqua" w:hAnsi="Book Antiqua"/>
        </w:rPr>
      </w:pPr>
      <w:r>
        <w:rPr>
          <w:rFonts w:ascii="Book Antiqua" w:hAnsi="Book Antiqua" w:eastAsia="Book Antiqua" w:cs="Book Antiqua"/>
          <w:b/>
          <w:bCs/>
        </w:rPr>
        <w:t>DOI</w:t>
      </w:r>
      <w:r>
        <w:rPr>
          <w:rFonts w:ascii="Book Antiqua" w:hAnsi="Book Antiqua" w:eastAsia="Book Antiqua" w:cs="Book Antiqua"/>
          <w:b w:val="0"/>
          <w:bCs w:val="0"/>
        </w:rPr>
        <w:t>:</w:t>
      </w:r>
      <w:r>
        <w:rPr>
          <w:rFonts w:ascii="Book Antiqua" w:hAnsi="Book Antiqua" w:eastAsia="Book Antiqua" w:cs="Book Antiqua"/>
        </w:rPr>
        <w:t xml:space="preserve"> https://dx.doi.org/10.4240/wjgs.v1</w:t>
      </w:r>
      <w:r>
        <w:rPr>
          <w:rFonts w:hint="eastAsia" w:ascii="Book Antiqua" w:hAnsi="Book Antiqua" w:cs="Book Antiqua"/>
          <w:lang w:eastAsia="zh-CN"/>
        </w:rPr>
        <w:t>6</w:t>
      </w:r>
      <w:r>
        <w:rPr>
          <w:rFonts w:ascii="Book Antiqua" w:hAnsi="Book Antiqua" w:eastAsia="Book Antiqua" w:cs="Book Antiqua"/>
        </w:rPr>
        <w:t>.i</w:t>
      </w:r>
      <w:r>
        <w:rPr>
          <w:rFonts w:hint="eastAsia" w:ascii="Book Antiqua" w:hAnsi="Book Antiqua" w:cs="Book Antiqua"/>
          <w:lang w:eastAsia="zh-CN"/>
        </w:rPr>
        <w:t>2</w:t>
      </w:r>
      <w:r>
        <w:rPr>
          <w:rFonts w:ascii="Book Antiqua" w:hAnsi="Book Antiqua" w:eastAsia="Book Antiqua" w:cs="Book Antiqua"/>
        </w:rPr>
        <w:t>.</w:t>
      </w:r>
      <w:r>
        <w:rPr>
          <w:rStyle w:val="17"/>
          <w:rFonts w:hint="default" w:ascii="Book Antiqua" w:hAnsi="Book Antiqua" w:eastAsia="宋体" w:cs="Book Antiqua"/>
          <w:sz w:val="24"/>
          <w:szCs w:val="24"/>
          <w:lang w:val="en-US" w:eastAsia="zh-CN" w:bidi="ar"/>
        </w:rPr>
        <w:t>616</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E101A"/>
        </w:rPr>
      </w:pPr>
      <w:r>
        <w:rPr>
          <w:rFonts w:ascii="Book Antiqua" w:hAnsi="Book Antiqua" w:eastAsia="Book Antiqua" w:cs="Book Antiqua"/>
          <w:b/>
          <w:bCs/>
        </w:rPr>
        <w:t xml:space="preserve">Core Tip: </w:t>
      </w:r>
      <w:r>
        <w:rPr>
          <w:rFonts w:ascii="Book Antiqua" w:hAnsi="Book Antiqua" w:eastAsia="Book Antiqua" w:cs="Book Antiqua"/>
          <w:color w:val="0E101A"/>
        </w:rPr>
        <w:t xml:space="preserve">Multiple splenic lesions caused by infection, lymphoma, sarcoid, metastasis and infarction may have similar imaging features. The overlapping imaging characteristics of splenic lesions cause a diagnostic dilemma. Consequently, a definitive diagnosis primarily relies on histological results. We describe a case of multiple indeterminate splenic lesions and confirmed the diagnosis with an ultrasound (US)-guided </w:t>
      </w:r>
      <w:r>
        <w:rPr>
          <w:rFonts w:ascii="Book Antiqua" w:hAnsi="Book Antiqua" w:eastAsia="Book Antiqua" w:cs="Book Antiqua"/>
          <w:color w:val="000000"/>
        </w:rPr>
        <w:t>coaxial core needle biopsy (CNB)</w:t>
      </w:r>
      <w:r>
        <w:t xml:space="preserve">. </w:t>
      </w:r>
      <w:r>
        <w:rPr>
          <w:rFonts w:ascii="Book Antiqua" w:hAnsi="Book Antiqua" w:eastAsia="Book Antiqua" w:cs="Book Antiqua"/>
          <w:color w:val="0E101A"/>
        </w:rPr>
        <w:t xml:space="preserve">US-guided </w:t>
      </w:r>
      <w:r>
        <w:t>CNB</w:t>
      </w:r>
      <w:r>
        <w:rPr>
          <w:rFonts w:ascii="Book Antiqua" w:hAnsi="Book Antiqua" w:eastAsia="Book Antiqua" w:cs="Book Antiqua"/>
          <w:color w:val="0E101A"/>
        </w:rPr>
        <w:t xml:space="preserve"> is a safe and efficient puncture technique providing valuable diagnostic information and patient treatment guidance.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Multiple splenic lesions can be caused by a variety of benign or malignant diseases, including infection, primary tumor, and metastasis</w:t>
      </w:r>
      <w:r>
        <w:rPr>
          <w:rFonts w:ascii="Book Antiqua" w:hAnsi="Book Antiqua" w:eastAsia="Book Antiqua" w:cs="Book Antiqua"/>
          <w:color w:val="000000"/>
          <w:vertAlign w:val="superscript"/>
        </w:rPr>
        <w:t>[1]</w:t>
      </w:r>
      <w:r>
        <w:rPr>
          <w:rFonts w:ascii="Book Antiqua" w:hAnsi="Book Antiqua" w:eastAsia="Book Antiqua" w:cs="Book Antiqua"/>
          <w:color w:val="000000"/>
        </w:rPr>
        <w:t>.</w:t>
      </w:r>
      <w:r>
        <w:t xml:space="preserve"> </w:t>
      </w:r>
      <w:r>
        <w:rPr>
          <w:rFonts w:ascii="Book Antiqua" w:hAnsi="Book Antiqua" w:eastAsia="Book Antiqua" w:cs="Book Antiqua"/>
          <w:color w:val="000000"/>
        </w:rPr>
        <w:t>Non-specific characteristics on imaging frequently pose a diagnostic dilemma</w:t>
      </w:r>
      <w:r>
        <w:rPr>
          <w:rFonts w:ascii="Book Antiqua" w:hAnsi="Book Antiqua" w:eastAsia="Book Antiqua" w:cs="Book Antiqua"/>
          <w:color w:val="000000"/>
          <w:vertAlign w:val="superscript"/>
        </w:rPr>
        <w:t>[2,3]</w:t>
      </w:r>
      <w:r>
        <w:rPr>
          <w:rFonts w:ascii="Book Antiqua" w:hAnsi="Book Antiqua" w:eastAsia="Book Antiqua" w:cs="Book Antiqua"/>
          <w:color w:val="000000"/>
        </w:rPr>
        <w:t>. Histological examination of the spleen is considered a valuable approach in achieving precise diagnoses. Splenic tissue specimens can be obtained by either splenectomy or percutaneous puncture biopsy</w:t>
      </w:r>
      <w:r>
        <w:rPr>
          <w:rFonts w:ascii="Book Antiqua" w:hAnsi="Book Antiqua" w:eastAsia="Book Antiqua" w:cs="Book Antiqua"/>
          <w:color w:val="000000"/>
          <w:vertAlign w:val="superscript"/>
        </w:rPr>
        <w:t>[4]</w:t>
      </w:r>
      <w:r>
        <w:rPr>
          <w:rFonts w:ascii="Book Antiqua" w:hAnsi="Book Antiqua" w:eastAsia="Book Antiqua" w:cs="Book Antiqua"/>
          <w:color w:val="000000"/>
        </w:rPr>
        <w:t>. However, splenectomy may potentially cause complications, such as infection, arterial and venous thrombosis, as well as pulmonary hypertension</w:t>
      </w:r>
      <w:r>
        <w:rPr>
          <w:rFonts w:ascii="Book Antiqua" w:hAnsi="Book Antiqua" w:eastAsia="Book Antiqua" w:cs="Book Antiqua"/>
          <w:color w:val="000000"/>
          <w:vertAlign w:val="superscript"/>
        </w:rPr>
        <w:t>[5,6]</w:t>
      </w:r>
      <w:r>
        <w:rPr>
          <w:rFonts w:ascii="Book Antiqua" w:hAnsi="Book Antiqua" w:eastAsia="Book Antiqua" w:cs="Book Antiqua"/>
          <w:color w:val="000000"/>
        </w:rPr>
        <w:t>. Compared with splenectomy, percutaneous ultrasound (US)-guided coaxial core needle biopsy (CNB) is a less invasive procedure that reduces the occurrence of complications</w:t>
      </w:r>
      <w:r>
        <w:rPr>
          <w:rFonts w:ascii="Book Antiqua" w:hAnsi="Book Antiqua" w:eastAsia="Book Antiqua" w:cs="Book Antiqua"/>
          <w:color w:val="000000"/>
          <w:vertAlign w:val="superscript"/>
        </w:rPr>
        <w:t>[4,7]</w:t>
      </w:r>
      <w:r>
        <w:rPr>
          <w:rFonts w:ascii="Book Antiqua" w:hAnsi="Book Antiqua" w:eastAsia="Book Antiqua" w:cs="Book Antiqua"/>
          <w:color w:val="000000"/>
        </w:rPr>
        <w:t>. We present a case of multiple splenic lesions in which US-guided coaxial CNB successfully obtained larger, unfragmented samples with high diagnostic accuracy</w:t>
      </w:r>
      <w:r>
        <w:rPr>
          <w:rFonts w:ascii="Book Antiqua" w:hAnsi="Book Antiqua" w:eastAsia="Book Antiqua" w:cs="Book Antiqua"/>
          <w:color w:val="000000"/>
          <w:vertAlign w:val="superscript"/>
        </w:rPr>
        <w:t>[8]</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rPr>
      </w:pPr>
      <w:r>
        <w:rPr>
          <w:rFonts w:ascii="Book Antiqua" w:hAnsi="Book Antiqua" w:eastAsia="Book Antiqua" w:cs="Book Antiqua"/>
          <w:color w:val="000000"/>
        </w:rPr>
        <w:t>A 41-year-old female was admitted to our hospital with focal splenic lesions discovered during routine abdominal ultrasonography as a part of health checkup.</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rPr>
      </w:pPr>
      <w:r>
        <w:rPr>
          <w:rFonts w:ascii="Book Antiqua" w:hAnsi="Book Antiqua" w:eastAsia="Book Antiqua" w:cs="Book Antiqua"/>
          <w:color w:val="000000"/>
        </w:rPr>
        <w:t>The patient was in good health and did not report any discomfort.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One year ago, the patient was admitted to the tuberculosis (TB) medical unit due to recurrent fever and cough, and was diagnosed with pulmonary TB. Subsequently, 2HRZE/7HRE (strengthening period: Isoniazid 300 mg, rifampicin 450 mg, pyrazinamide 0.75 g, ethambutol 0.75 g, once a day, given for 2 months; consolidation period: Isoniazid 300 mg, rifampicin 450 mg, ethambutol 0.75 g, once a day, given for 7 months) therapy was administered. The patient discontinued anti-TB medication 3 months ago following a reexamination at the TB clinic.</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rPr>
      </w:pPr>
      <w:r>
        <w:rPr>
          <w:rFonts w:ascii="Book Antiqua" w:hAnsi="Book Antiqua" w:eastAsia="Book Antiqua" w:cs="Book Antiqua"/>
          <w:color w:val="000000"/>
        </w:rPr>
        <w:t>Patient and family histories were negative.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rPr>
      </w:pPr>
      <w:r>
        <w:rPr>
          <w:rFonts w:ascii="Book Antiqua" w:hAnsi="Book Antiqua" w:eastAsia="Book Antiqua" w:cs="Book Antiqua"/>
          <w:color w:val="000000"/>
        </w:rPr>
        <w:t>The patient did not complain of any abdominal pain or distension.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rPr>
      </w:pPr>
      <w:r>
        <w:rPr>
          <w:rFonts w:ascii="Book Antiqua" w:hAnsi="Book Antiqua" w:eastAsia="Book Antiqua" w:cs="Book Antiqua"/>
          <w:color w:val="000000"/>
        </w:rPr>
        <w:t>Carbohydrate antigen 125 was mildly elevated, and other tumor markers including alpha-fetoprotein, carcinoembryonic antigen, and carbohydrate antigen 199 were within the normal range. Other biochemical results were unremarkable.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Grayscale US demonstrated splenomegaly with numerous well-defined hypoechoic masses (Figure 1A). Color Doppler imaging indicated no significant blood flow signals within these lesions (Figure 1B). Contrast-enhanced US (CEUS) showed peripheral heterogeneous slight hyper-enhancement in the arterial phase </w:t>
      </w:r>
      <w:r>
        <w:rPr>
          <w:rFonts w:ascii="Book Antiqua" w:hAnsi="Book Antiqua"/>
        </w:rPr>
        <w:t>(</w:t>
      </w:r>
      <w:bookmarkStart w:id="554" w:name="OLE_LINK1401"/>
      <w:bookmarkStart w:id="555" w:name="OLE_LINK1403"/>
      <w:r>
        <w:rPr>
          <w:rFonts w:ascii="Book Antiqua" w:hAnsi="Book Antiqua"/>
        </w:rPr>
        <w:t>Fig</w:t>
      </w:r>
      <w:bookmarkEnd w:id="554"/>
      <w:bookmarkEnd w:id="555"/>
      <w:r>
        <w:rPr>
          <w:rFonts w:ascii="Book Antiqua" w:hAnsi="Book Antiqua"/>
        </w:rPr>
        <w:t xml:space="preserve">ure 1C) </w:t>
      </w:r>
      <w:r>
        <w:rPr>
          <w:rFonts w:ascii="Book Antiqua" w:hAnsi="Book Antiqua" w:eastAsia="Book Antiqua" w:cs="Book Antiqua"/>
          <w:color w:val="000000"/>
        </w:rPr>
        <w:t xml:space="preserve">and hypo-enhancement in the venous phase </w:t>
      </w:r>
      <w:r>
        <w:rPr>
          <w:rFonts w:ascii="Book Antiqua" w:hAnsi="Book Antiqua"/>
        </w:rPr>
        <w:t>(Figure 1D)</w:t>
      </w:r>
      <w:r>
        <w:rPr>
          <w:rFonts w:ascii="Book Antiqua" w:hAnsi="Book Antiqua" w:eastAsia="Book Antiqua" w:cs="Book Antiqua"/>
          <w:color w:val="000000"/>
        </w:rPr>
        <w:t>, while no enhancement was observed in the central area during the CEUS procedure. CEUS findings suggested an infectious disease. Abdominal contrast-enhanced computed tomography</w:t>
      </w:r>
      <w:r>
        <w:rPr>
          <w:rFonts w:ascii="Book Antiqua" w:hAnsi="Book Antiqua" w:eastAsia="Book Antiqua" w:cs="Book Antiqua"/>
          <w:color w:val="0E101A"/>
        </w:rPr>
        <w:t xml:space="preserve"> (CT) </w:t>
      </w:r>
      <w:r>
        <w:rPr>
          <w:rFonts w:ascii="Book Antiqua" w:hAnsi="Book Antiqua" w:eastAsia="Book Antiqua" w:cs="Book Antiqua"/>
          <w:color w:val="000000"/>
        </w:rPr>
        <w:t xml:space="preserve">was performed which showed an enlarged spleen with multiple irregular nodular and patchy low density shadows, the largest measuring approximately 1.7 cm × 1.7 cm, with a suspicion of chronic infection </w:t>
      </w:r>
      <w:r>
        <w:rPr>
          <w:rFonts w:ascii="Book Antiqua" w:hAnsi="Book Antiqua"/>
        </w:rPr>
        <w:t>(Figure 2)</w:t>
      </w:r>
      <w:r>
        <w:rPr>
          <w:rFonts w:ascii="Book Antiqua" w:hAnsi="Book Antiqua" w:eastAsia="Book Antiqua" w:cs="Book Antiqua"/>
          <w:color w:val="000000"/>
        </w:rPr>
        <w:t xml:space="preserve">. A great many abnormal hyperglycemia foci detected by positron emission </w:t>
      </w:r>
      <w:r>
        <w:rPr>
          <w:rFonts w:ascii="Book Antiqua" w:hAnsi="Book Antiqua" w:eastAsia="Book Antiqua" w:cs="Book Antiqua"/>
          <w:color w:val="0E101A"/>
        </w:rPr>
        <w:t>CT</w:t>
      </w:r>
      <w:r>
        <w:rPr>
          <w:rFonts w:ascii="Book Antiqua" w:hAnsi="Book Antiqua" w:eastAsia="Book Antiqua" w:cs="Book Antiqua"/>
          <w:color w:val="000000"/>
        </w:rPr>
        <w:t xml:space="preserve"> indicated an infectious disease, but the possibility of neoplastic lesions could not be definitively excluded.</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b/>
          <w:bCs/>
          <w:i/>
          <w:iCs/>
        </w:rPr>
      </w:pPr>
      <w:r>
        <w:rPr>
          <w:rFonts w:ascii="Book Antiqua" w:hAnsi="Book Antiqua"/>
          <w:b/>
          <w:bCs/>
          <w:i/>
          <w:iCs/>
        </w:rPr>
        <w:t>Further diagnostic work-up</w:t>
      </w:r>
    </w:p>
    <w:p>
      <w:pPr>
        <w:spacing w:line="360" w:lineRule="auto"/>
        <w:jc w:val="both"/>
        <w:rPr>
          <w:rFonts w:ascii="Book Antiqua" w:hAnsi="Book Antiqua"/>
        </w:rPr>
      </w:pPr>
      <w:r>
        <w:rPr>
          <w:rFonts w:ascii="Book Antiqua" w:hAnsi="Book Antiqua"/>
        </w:rPr>
        <w:t>The differential diagnoses based on clinical and radiological results included splenic tuberculosis, fungal infection, metastasis, lymphoma and hemangioma. For further diagnostic analyses, the US-guided coaxial CNB for histological diagnosis was performed by a doctor with over 5 years of experience in interventional US. Platelet count and prothrombin time were within normal limits at the time of the procedure. The procedure was conducted with the patient in the right lateral decubitus position, ensuring opt</w:t>
      </w:r>
      <w:r>
        <w:rPr>
          <w:rFonts w:hint="eastAsia" w:ascii="Book Antiqua" w:hAnsi="Book Antiqua"/>
        </w:rPr>
        <w:t>imal visualization and access to the target area. First</w:t>
      </w:r>
      <w:r>
        <w:rPr>
          <w:rFonts w:hint="eastAsia" w:ascii="Book Antiqua" w:hAnsi="Book Antiqua"/>
          <w:lang w:eastAsia="zh-CN"/>
        </w:rPr>
        <w:t>,</w:t>
      </w:r>
      <w:r>
        <w:rPr>
          <w:rFonts w:ascii="Book Antiqua" w:hAnsi="Book Antiqua"/>
          <w:lang w:eastAsia="zh-CN"/>
        </w:rPr>
        <w:t xml:space="preserve"> </w:t>
      </w:r>
      <w:r>
        <w:rPr>
          <w:rFonts w:hint="eastAsia" w:ascii="Book Antiqua" w:hAnsi="Book Antiqua"/>
        </w:rPr>
        <w:t>conventional US was performed to determine the optimal puncture route. Subsequently, 5 m</w:t>
      </w:r>
      <w:r>
        <w:rPr>
          <w:rFonts w:ascii="Book Antiqua" w:hAnsi="Book Antiqua"/>
        </w:rPr>
        <w:t>L</w:t>
      </w:r>
      <w:r>
        <w:rPr>
          <w:rFonts w:hint="eastAsia" w:ascii="Book Antiqua" w:hAnsi="Book Antiqua"/>
        </w:rPr>
        <w:t xml:space="preserve"> of 2% lidocaine was infiltrated into the subcutaneous tissues. A 18G coaxial needle was introduced through the</w:t>
      </w:r>
      <w:r>
        <w:rPr>
          <w:rFonts w:ascii="Book Antiqua" w:hAnsi="Book Antiqua"/>
        </w:rPr>
        <w:t xml:space="preserve"> coaxial system under real-time US guidance. Three cores were obtained with the 18G biopsy needle via the access established by the sheath of the aforementioned coaxial needle (Figure 3A). The biopsy specimens were fixed in 95% ethanol and sent to the Pathology Department for histological and immunohistochemical evaluation. In order to reduce the risk of bleeding, a muddy mixture of gelfoam and saline was injected into the coaxial needle sheath to block the needle path immediately after the sampling procedure (Figure 3B).</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rPr>
      </w:pPr>
      <w:r>
        <w:rPr>
          <w:rFonts w:ascii="Book Antiqua" w:hAnsi="Book Antiqua" w:eastAsia="Book Antiqua" w:cs="Book Antiqua"/>
          <w:color w:val="000000"/>
        </w:rPr>
        <w:t>Histological analysis showed no evidence of malignancy, but the proliferation of fibrous tissue and hyaline degeneration were observed in some areas. Granulomas were noted in focal areas, accompanied by peripheral lymphoid hyperplasia involving infiltration of neutrophils, monocytes, and plasma cells (</w:t>
      </w:r>
      <w:bookmarkStart w:id="556" w:name="OLE_LINK1405"/>
      <w:bookmarkStart w:id="557" w:name="OLE_LINK1404"/>
      <w:r>
        <w:rPr>
          <w:rFonts w:ascii="Book Antiqua" w:hAnsi="Book Antiqua" w:eastAsia="Book Antiqua" w:cs="Book Antiqua"/>
          <w:color w:val="000000"/>
        </w:rPr>
        <w:t>Fig</w:t>
      </w:r>
      <w:bookmarkEnd w:id="556"/>
      <w:bookmarkEnd w:id="557"/>
      <w:r>
        <w:rPr>
          <w:rFonts w:ascii="Book Antiqua" w:hAnsi="Book Antiqua" w:eastAsia="Book Antiqua" w:cs="Book Antiqua"/>
          <w:color w:val="000000"/>
        </w:rPr>
        <w:t>ure 4). Immunohistochemistry revealed CD20+ and CD3+ cells, in addition to some CD8+ cells. Acid-fast and methenamine silver stain did not reveal any pathogens. No mycobacterium TB DNA fragments were observed in the TB-quantitative real-time polymerase chain reaction. These findings supported the diagnosis of chronic granulomatous inflammation with necrosis, but did not exclude specific infections (TB).</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rPr>
      </w:pPr>
      <w:r>
        <w:rPr>
          <w:rFonts w:ascii="Book Antiqua" w:hAnsi="Book Antiqua" w:eastAsia="Book Antiqua" w:cs="Book Antiqua"/>
          <w:color w:val="000000"/>
        </w:rPr>
        <w:t>The patient opted for follow-up observation and underwent regular conventional US for ongoing monitoring.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Follow-up US 6 months later revealed that the lesions found on the initial examination were unchanged. The patient is presently in good physical condition without any discomfort.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Multiple splenic lesions caused by infection, lymphoma, sarcoid, metastasis and infarction may have similar imaging features</w:t>
      </w:r>
      <w:r>
        <w:rPr>
          <w:rFonts w:ascii="Book Antiqua" w:hAnsi="Book Antiqua" w:eastAsia="Book Antiqua" w:cs="Book Antiqua"/>
          <w:color w:val="000000"/>
          <w:vertAlign w:val="superscript"/>
        </w:rPr>
        <w:t>[1]</w:t>
      </w:r>
      <w:r>
        <w:rPr>
          <w:rFonts w:ascii="Book Antiqua" w:hAnsi="Book Antiqua" w:eastAsia="Book Antiqua" w:cs="Book Antiqua"/>
          <w:color w:val="000000"/>
        </w:rPr>
        <w:t>. The overlapping imaging characteristics of splenic lesions cause a diagnostic dilemma</w:t>
      </w:r>
      <w:r>
        <w:rPr>
          <w:rFonts w:ascii="Book Antiqua" w:hAnsi="Book Antiqua" w:eastAsia="Book Antiqua" w:cs="Book Antiqua"/>
          <w:color w:val="000000"/>
          <w:vertAlign w:val="superscript"/>
        </w:rPr>
        <w:t>[2,3]</w:t>
      </w:r>
      <w:r>
        <w:rPr>
          <w:rFonts w:ascii="Book Antiqua" w:hAnsi="Book Antiqua" w:eastAsia="Book Antiqua" w:cs="Book Antiqua"/>
          <w:color w:val="000000"/>
        </w:rPr>
        <w:t>. Hence, there is a need for confirmation by tissue biopsy. The US-guided coaxial CNB is considered a valuable technique for obtaining ample tissue for definitive diagnosis and to reduce puncture-related complications</w:t>
      </w:r>
      <w:r>
        <w:rPr>
          <w:rFonts w:ascii="Book Antiqua" w:hAnsi="Book Antiqua" w:eastAsia="Book Antiqua" w:cs="Book Antiqua"/>
          <w:color w:val="000000"/>
          <w:vertAlign w:val="superscript"/>
        </w:rPr>
        <w:t>[8,9]</w:t>
      </w:r>
      <w:r>
        <w:rPr>
          <w:rFonts w:ascii="Book Antiqua" w:hAnsi="Book Antiqua" w:eastAsia="Book Antiqua" w:cs="Book Antiqua"/>
          <w:color w:val="000000"/>
        </w:rPr>
        <w:t>.</w:t>
      </w:r>
      <w:r>
        <w:t xml:space="preserve"> </w:t>
      </w:r>
    </w:p>
    <w:p>
      <w:pPr>
        <w:spacing w:line="360" w:lineRule="auto"/>
        <w:ind w:firstLine="480" w:firstLineChars="200"/>
        <w:jc w:val="both"/>
        <w:rPr>
          <w:rFonts w:ascii="Book Antiqua" w:hAnsi="Book Antiqua" w:eastAsia="Book Antiqua" w:cs="Book Antiqua"/>
          <w:color w:val="000000"/>
        </w:rPr>
      </w:pPr>
      <w:r>
        <w:rPr>
          <w:rFonts w:ascii="Book Antiqua" w:hAnsi="Book Antiqua" w:eastAsia="Book Antiqua" w:cs="Book Antiqua"/>
          <w:color w:val="000000"/>
        </w:rPr>
        <w:t>Spleen tissue samples can be obtained by splenectomy or percutaneous biopsy</w:t>
      </w:r>
      <w:r>
        <w:rPr>
          <w:rFonts w:ascii="Book Antiqua" w:hAnsi="Book Antiqua" w:eastAsia="Book Antiqua" w:cs="Book Antiqua"/>
          <w:color w:val="000000"/>
          <w:vertAlign w:val="superscript"/>
        </w:rPr>
        <w:t>[4]</w:t>
      </w:r>
      <w:r>
        <w:rPr>
          <w:rFonts w:ascii="Book Antiqua" w:hAnsi="Book Antiqua" w:eastAsia="Book Antiqua" w:cs="Book Antiqua"/>
          <w:color w:val="000000"/>
        </w:rPr>
        <w:t>. Splenectomy is an invasive technique and can potentially cause complications, including infection, arterial and venous thrombosis, and pulmonary hypertension</w:t>
      </w:r>
      <w:r>
        <w:rPr>
          <w:rFonts w:ascii="Book Antiqua" w:hAnsi="Book Antiqua" w:eastAsia="Book Antiqua" w:cs="Book Antiqua"/>
          <w:color w:val="000000"/>
          <w:vertAlign w:val="superscript"/>
        </w:rPr>
        <w:t>[5,6]</w:t>
      </w:r>
      <w:r>
        <w:rPr>
          <w:rFonts w:ascii="Book Antiqua" w:hAnsi="Book Antiqua" w:eastAsia="Book Antiqua" w:cs="Book Antiqua"/>
          <w:color w:val="000000"/>
        </w:rPr>
        <w:t>. The infrequency of image-guided percutaneous spleen biopsies can be attributed to concerns regarding potential bleeding</w:t>
      </w:r>
      <w:r>
        <w:rPr>
          <w:rFonts w:ascii="Book Antiqua" w:hAnsi="Book Antiqua" w:eastAsia="Book Antiqua" w:cs="Book Antiqua"/>
          <w:color w:val="000000"/>
          <w:vertAlign w:val="superscript"/>
        </w:rPr>
        <w:t>[10]</w:t>
      </w:r>
      <w:r>
        <w:rPr>
          <w:rFonts w:ascii="Book Antiqua" w:hAnsi="Book Antiqua" w:eastAsia="Book Antiqua" w:cs="Book Antiqua"/>
          <w:color w:val="000000"/>
        </w:rPr>
        <w:t>. In addition, adjacent tissues or organs may be injured during the procedure, such as the pleura, lung, or splenic flexure of the colon</w:t>
      </w:r>
      <w:r>
        <w:rPr>
          <w:rFonts w:ascii="Book Antiqua" w:hAnsi="Book Antiqua" w:eastAsia="Book Antiqua" w:cs="Book Antiqua"/>
          <w:color w:val="000000"/>
          <w:vertAlign w:val="superscript"/>
        </w:rPr>
        <w:t>[11,12]</w:t>
      </w:r>
      <w:r>
        <w:rPr>
          <w:rFonts w:ascii="Book Antiqua" w:hAnsi="Book Antiqua" w:eastAsia="Book Antiqua" w:cs="Book Antiqua"/>
          <w:color w:val="000000"/>
        </w:rPr>
        <w:t>. However, a recent meta-analysis reported a high overall diagnostic accuracy and a low complication rate of 4.2% with image-guided percutaneous spleen biopsy. The overall sensitivity and specificity were 87.0% and 96.4%, respectively</w:t>
      </w:r>
      <w:r>
        <w:rPr>
          <w:rFonts w:ascii="Book Antiqua" w:hAnsi="Book Antiqua" w:eastAsia="Book Antiqua" w:cs="Book Antiqua"/>
          <w:color w:val="000000"/>
          <w:vertAlign w:val="superscript"/>
        </w:rPr>
        <w:t>[4]</w:t>
      </w:r>
      <w:r>
        <w:rPr>
          <w:rFonts w:ascii="Book Antiqua" w:hAnsi="Book Antiqua" w:eastAsia="Book Antiqua" w:cs="Book Antiqua"/>
          <w:color w:val="000000"/>
        </w:rPr>
        <w:t xml:space="preserve">. </w:t>
      </w:r>
    </w:p>
    <w:p>
      <w:pPr>
        <w:spacing w:line="360" w:lineRule="auto"/>
        <w:ind w:firstLine="480" w:firstLineChars="200"/>
        <w:jc w:val="both"/>
        <w:rPr>
          <w:rFonts w:ascii="Book Antiqua" w:hAnsi="Book Antiqua" w:eastAsia="Book Antiqua" w:cs="Book Antiqua"/>
          <w:color w:val="000000"/>
        </w:rPr>
      </w:pPr>
      <w:r>
        <w:rPr>
          <w:rFonts w:ascii="Book Antiqua" w:hAnsi="Book Antiqua" w:eastAsia="Book Antiqua" w:cs="Book Antiqua"/>
          <w:color w:val="000000"/>
        </w:rPr>
        <w:t>Percutaneous biopsy is performed under US or CT guidance. US guidance is sometimes preferred over CT due to real-time guidance and no radiation risk. US-guided coaxial CNB demonstrates a high diagnostic accuracy, reduces complications and provides a specific therapeutic direction for patients</w:t>
      </w:r>
      <w:r>
        <w:rPr>
          <w:rFonts w:ascii="Book Antiqua" w:hAnsi="Book Antiqua" w:eastAsia="Book Antiqua" w:cs="Book Antiqua"/>
          <w:color w:val="000000"/>
          <w:vertAlign w:val="superscript"/>
        </w:rPr>
        <w:t>[7,13-15]</w:t>
      </w:r>
      <w:r>
        <w:rPr>
          <w:rFonts w:ascii="Book Antiqua" w:hAnsi="Book Antiqua" w:eastAsia="Book Antiqua" w:cs="Book Antiqua"/>
          <w:color w:val="000000"/>
        </w:rPr>
        <w:t>. The coaxial technique has had a positive impact on percutaneous image-guided biopsy since its introduction. The outer cannula is inserted into the spleen, and on the one hand, specimen collection yields can be improved using the same path by making slight adjustments to the angle of the introducer needle; on the other hand, changes in tissue cutting length can be achieved by adjusting the degree to which the introducer needle protrudes the outer cannula</w:t>
      </w:r>
      <w:r>
        <w:rPr>
          <w:rFonts w:ascii="Book Antiqua" w:hAnsi="Book Antiqua" w:eastAsia="Book Antiqua" w:cs="Book Antiqua"/>
          <w:color w:val="000000"/>
          <w:vertAlign w:val="superscript"/>
        </w:rPr>
        <w:t>[16]</w:t>
      </w:r>
      <w:r>
        <w:rPr>
          <w:rFonts w:ascii="Book Antiqua" w:hAnsi="Book Antiqua" w:eastAsia="Book Antiqua" w:cs="Book Antiqua"/>
          <w:color w:val="000000"/>
        </w:rPr>
        <w:t xml:space="preserve">. Adequate tissue samples ensure comprehensive pathological analysis and avoid another puncture at the same time. Liang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[8]</w:t>
      </w:r>
      <w:r>
        <w:rPr>
          <w:rFonts w:ascii="Book Antiqua" w:hAnsi="Book Antiqua" w:eastAsia="Book Antiqua" w:cs="Book Antiqua"/>
          <w:color w:val="000000"/>
        </w:rPr>
        <w:t xml:space="preserve"> investigated the difference in spleen biopsy using 18G CNB and 21G fine needle aspiration. Their findings revealed that using 18G CNB enabled the acquisition of larger, unfragmented tissue samples with high diagnostic accuracy. Importantly, protection of the outer cannula and reduction in the puncture frequency can mitigate tissue damage. With regard to bleeding after spleen puncture, Kunin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[17]</w:t>
      </w:r>
      <w:r>
        <w:rPr>
          <w:rFonts w:ascii="Book Antiqua" w:hAnsi="Book Antiqua" w:eastAsia="Book Antiqua" w:cs="Book Antiqua"/>
          <w:color w:val="000000"/>
        </w:rPr>
        <w:t xml:space="preserve"> retrospectively analyzed 232 spleen biopsies and showed that higher systolic blood pressure, lower platelet count, and the lack of US guidance were independent predictors of major hemorrhage. Therefore, careful evaluation of preoperative indications, real-time US guidance throughout the procedure, coupled with tract embolization at the end of the procedure can prevent hemorrhage, thereby reducing the incidence of complications</w:t>
      </w:r>
      <w:r>
        <w:rPr>
          <w:rFonts w:ascii="Book Antiqua" w:hAnsi="Book Antiqua" w:eastAsia="Book Antiqua" w:cs="Book Antiqua"/>
          <w:color w:val="000000"/>
          <w:vertAlign w:val="superscript"/>
        </w:rPr>
        <w:t>[17-19]</w:t>
      </w:r>
      <w:r>
        <w:rPr>
          <w:rFonts w:ascii="Book Antiqua" w:hAnsi="Book Antiqua" w:eastAsia="Book Antiqua" w:cs="Book Antiqua"/>
          <w:color w:val="000000"/>
        </w:rPr>
        <w:t>. Tract embolization can be achieved by gelfoam, embolization coils, autologous blood clots, microfibrous collagen and other materials. The most commonly used embolic agent is gelfoam, which can be used in the form of either a gelfoam slurry or gelfoam torpedo. Compared with alternative materials such as autologous blood clots, gelfoam slurry is inexpensive and can be easily prepared by mixing gelfoam with saline</w:t>
      </w:r>
      <w:r>
        <w:rPr>
          <w:rFonts w:ascii="Book Antiqua" w:hAnsi="Book Antiqua" w:eastAsia="Book Antiqua" w:cs="Book Antiqua"/>
          <w:color w:val="000000"/>
          <w:vertAlign w:val="superscript"/>
        </w:rPr>
        <w:t>[18,20]</w:t>
      </w:r>
      <w:r>
        <w:rPr>
          <w:rFonts w:ascii="Book Antiqua" w:hAnsi="Book Antiqua" w:eastAsia="Book Antiqua" w:cs="Book Antiqua"/>
          <w:color w:val="000000"/>
        </w:rPr>
        <w:t>. Even pediatric patients benefit from the application of gelfoam in closing transhepatic and transsplenic parenchymal access</w:t>
      </w:r>
      <w:r>
        <w:rPr>
          <w:rFonts w:ascii="Book Antiqua" w:hAnsi="Book Antiqua" w:eastAsia="Book Antiqua" w:cs="Book Antiqua"/>
          <w:color w:val="000000"/>
          <w:vertAlign w:val="superscript"/>
        </w:rPr>
        <w:t>[21]</w:t>
      </w:r>
      <w:r>
        <w:rPr>
          <w:rFonts w:ascii="Book Antiqua" w:hAnsi="Book Antiqua" w:eastAsia="Book Antiqua" w:cs="Book Antiqua"/>
          <w:color w:val="000000"/>
        </w:rPr>
        <w:t xml:space="preserve">. Furthermore, the coaxial technique expedites the procedure by minimizing the time required to reposition the biopsy needle after each specimen acquisition. US-guided coaxial CNB also protects patients from splenectomy with potential complications, providing patients with a treatment choice. </w:t>
      </w:r>
    </w:p>
    <w:p>
      <w:pPr>
        <w:spacing w:line="360" w:lineRule="auto"/>
        <w:ind w:firstLine="480" w:firstLineChars="200"/>
        <w:jc w:val="both"/>
        <w:rPr>
          <w:rFonts w:ascii="Book Antiqua" w:hAnsi="Book Antiqua" w:eastAsia="Book Antiqua" w:cs="Book Antiqua"/>
          <w:color w:val="000000"/>
        </w:rPr>
      </w:pPr>
      <w:r>
        <w:rPr>
          <w:rFonts w:ascii="Book Antiqua" w:hAnsi="Book Antiqua" w:eastAsia="Book Antiqua" w:cs="Book Antiqua"/>
          <w:color w:val="000000"/>
        </w:rPr>
        <w:t xml:space="preserve"> US-guided coaxial CNB for the diagnosis of multiple splenic lesions is rarely performed clinically, and this case report provides a direction for clinical patient management and treatment. However, we lack the support of corresponding research data, which may not be very convincing.</w:t>
      </w:r>
    </w:p>
    <w:p>
      <w:pPr>
        <w:spacing w:line="360" w:lineRule="auto"/>
        <w:ind w:firstLine="48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US-guided coaxial CNB is a safe and efficient puncture technique for the diagnosis of multiple splenic lesions. It not only provides valuable diagnostic information but guides patient treatment based on histological analysis.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ACKNOWLEDGEMENTS</w:t>
      </w:r>
    </w:p>
    <w:p>
      <w:pPr>
        <w:spacing w:line="360" w:lineRule="auto"/>
        <w:jc w:val="both"/>
        <w:rPr>
          <w:rFonts w:ascii="Book Antiqua" w:hAnsi="Book Antiqua"/>
        </w:rPr>
      </w:pPr>
      <w:r>
        <w:rPr>
          <w:rFonts w:ascii="Book Antiqua" w:hAnsi="Book Antiqua" w:eastAsia="Book Antiqua" w:cs="Book Antiqua"/>
          <w:color w:val="000000"/>
        </w:rPr>
        <w:t>Thank Bao WYG, Jiang ZP and Lu Q for their suggestions on revising the draft.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bookmarkStart w:id="558" w:name="OLE_LINK1400"/>
      <w:bookmarkStart w:id="559" w:name="OLE_LINK1398"/>
      <w:r>
        <w:rPr>
          <w:rFonts w:ascii="Book Antiqua" w:hAnsi="Book Antiqua" w:eastAsia="Book Antiqua" w:cs="Book Antiqua"/>
        </w:rPr>
        <w:t xml:space="preserve">1 </w:t>
      </w:r>
      <w:r>
        <w:rPr>
          <w:rFonts w:ascii="Book Antiqua" w:hAnsi="Book Antiqua" w:eastAsia="Book Antiqua" w:cs="Book Antiqua"/>
          <w:b/>
          <w:bCs/>
        </w:rPr>
        <w:t>Dhyani M</w:t>
      </w:r>
      <w:r>
        <w:rPr>
          <w:rFonts w:ascii="Book Antiqua" w:hAnsi="Book Antiqua" w:eastAsia="Book Antiqua" w:cs="Book Antiqua"/>
        </w:rPr>
        <w:t xml:space="preserve">, Anupindi SA, Ayyala R, Hahn PF, Gee MS. Defining an imaging algorithm for noncystic splenic lesions identified in young patients. </w:t>
      </w:r>
      <w:r>
        <w:rPr>
          <w:rFonts w:ascii="Book Antiqua" w:hAnsi="Book Antiqua" w:eastAsia="Book Antiqua" w:cs="Book Antiqua"/>
          <w:i/>
          <w:iCs/>
        </w:rPr>
        <w:t>AJR Am J Roentgenol</w:t>
      </w:r>
      <w:r>
        <w:rPr>
          <w:rFonts w:ascii="Book Antiqua" w:hAnsi="Book Antiqua" w:eastAsia="Book Antiqua" w:cs="Book Antiqua"/>
        </w:rPr>
        <w:t xml:space="preserve"> 2013; </w:t>
      </w:r>
      <w:r>
        <w:rPr>
          <w:rFonts w:ascii="Book Antiqua" w:hAnsi="Book Antiqua" w:eastAsia="Book Antiqua" w:cs="Book Antiqua"/>
          <w:b/>
          <w:bCs/>
        </w:rPr>
        <w:t>201</w:t>
      </w:r>
      <w:r>
        <w:rPr>
          <w:rFonts w:ascii="Book Antiqua" w:hAnsi="Book Antiqua" w:eastAsia="Book Antiqua" w:cs="Book Antiqua"/>
        </w:rPr>
        <w:t>: W893-W899 [PMID: 24261396 DOI: 10.2214/AJR.12.10105]</w:t>
      </w:r>
    </w:p>
    <w:p>
      <w:pPr>
        <w:spacing w:line="360" w:lineRule="auto"/>
        <w:jc w:val="both"/>
        <w:rPr>
          <w:rFonts w:ascii="Book Antiqua" w:hAnsi="Book Antiqua"/>
        </w:rPr>
      </w:pPr>
      <w:r>
        <w:rPr>
          <w:rFonts w:ascii="Book Antiqua" w:hAnsi="Book Antiqua" w:eastAsia="Book Antiqua" w:cs="Book Antiqua"/>
        </w:rPr>
        <w:t xml:space="preserve">2 </w:t>
      </w:r>
      <w:r>
        <w:rPr>
          <w:rFonts w:ascii="Book Antiqua" w:hAnsi="Book Antiqua" w:eastAsia="Book Antiqua" w:cs="Book Antiqua"/>
          <w:b/>
          <w:bCs/>
        </w:rPr>
        <w:t>Kamaya A</w:t>
      </w:r>
      <w:r>
        <w:rPr>
          <w:rFonts w:ascii="Book Antiqua" w:hAnsi="Book Antiqua" w:eastAsia="Book Antiqua" w:cs="Book Antiqua"/>
        </w:rPr>
        <w:t xml:space="preserve">, Weinstein S, Desser TS. Multiple lesions of the spleen: differential diagnosis of cystic and solid lesions. </w:t>
      </w:r>
      <w:r>
        <w:rPr>
          <w:rFonts w:ascii="Book Antiqua" w:hAnsi="Book Antiqua" w:eastAsia="Book Antiqua" w:cs="Book Antiqua"/>
          <w:i/>
          <w:iCs/>
        </w:rPr>
        <w:t>Semin Ultrasound CT MR</w:t>
      </w:r>
      <w:r>
        <w:rPr>
          <w:rFonts w:ascii="Book Antiqua" w:hAnsi="Book Antiqua" w:eastAsia="Book Antiqua" w:cs="Book Antiqua"/>
        </w:rPr>
        <w:t xml:space="preserve"> 2006; </w:t>
      </w:r>
      <w:r>
        <w:rPr>
          <w:rFonts w:ascii="Book Antiqua" w:hAnsi="Book Antiqua" w:eastAsia="Book Antiqua" w:cs="Book Antiqua"/>
          <w:b/>
          <w:bCs/>
        </w:rPr>
        <w:t>27</w:t>
      </w:r>
      <w:r>
        <w:rPr>
          <w:rFonts w:ascii="Book Antiqua" w:hAnsi="Book Antiqua" w:eastAsia="Book Antiqua" w:cs="Book Antiqua"/>
        </w:rPr>
        <w:t>: 389-403 [PMID: 17048454 DOI: 10.1053/j.sult.2006.06.004]</w:t>
      </w:r>
    </w:p>
    <w:p>
      <w:pPr>
        <w:spacing w:line="360" w:lineRule="auto"/>
        <w:jc w:val="both"/>
        <w:rPr>
          <w:rFonts w:ascii="Book Antiqua" w:hAnsi="Book Antiqua"/>
        </w:rPr>
      </w:pPr>
      <w:r>
        <w:rPr>
          <w:rFonts w:ascii="Book Antiqua" w:hAnsi="Book Antiqua" w:eastAsia="Book Antiqua" w:cs="Book Antiqua"/>
        </w:rPr>
        <w:t xml:space="preserve">3 </w:t>
      </w:r>
      <w:r>
        <w:rPr>
          <w:rFonts w:ascii="Book Antiqua" w:hAnsi="Book Antiqua" w:eastAsia="Book Antiqua" w:cs="Book Antiqua"/>
          <w:b/>
          <w:bCs/>
        </w:rPr>
        <w:t>Tan M</w:t>
      </w:r>
      <w:r>
        <w:rPr>
          <w:rFonts w:ascii="Book Antiqua" w:hAnsi="Book Antiqua" w:eastAsia="Book Antiqua" w:cs="Book Antiqua"/>
        </w:rPr>
        <w:t xml:space="preserve">, Low HM, Shelat V, Tan CH. Imaging patterns in non-traumatic spleen lesions in adults-a review. </w:t>
      </w:r>
      <w:r>
        <w:rPr>
          <w:rFonts w:ascii="Book Antiqua" w:hAnsi="Book Antiqua" w:eastAsia="Book Antiqua" w:cs="Book Antiqua"/>
          <w:i/>
          <w:iCs/>
        </w:rPr>
        <w:t>Jpn J Radiol</w:t>
      </w:r>
      <w:r>
        <w:rPr>
          <w:rFonts w:ascii="Book Antiqua" w:hAnsi="Book Antiqua" w:eastAsia="Book Antiqua" w:cs="Book Antiqua"/>
        </w:rPr>
        <w:t xml:space="preserve"> 2022; </w:t>
      </w:r>
      <w:r>
        <w:rPr>
          <w:rFonts w:ascii="Book Antiqua" w:hAnsi="Book Antiqua" w:eastAsia="Book Antiqua" w:cs="Book Antiqua"/>
          <w:b/>
          <w:bCs/>
        </w:rPr>
        <w:t>40</w:t>
      </w:r>
      <w:r>
        <w:rPr>
          <w:rFonts w:ascii="Book Antiqua" w:hAnsi="Book Antiqua" w:eastAsia="Book Antiqua" w:cs="Book Antiqua"/>
        </w:rPr>
        <w:t>: 664-677 [PMID: 35099683 DOI: 10.1007/s11604-022-01250-9]</w:t>
      </w:r>
    </w:p>
    <w:p>
      <w:pPr>
        <w:spacing w:line="360" w:lineRule="auto"/>
        <w:jc w:val="both"/>
        <w:rPr>
          <w:rFonts w:ascii="Book Antiqua" w:hAnsi="Book Antiqua"/>
        </w:rPr>
      </w:pPr>
      <w:r>
        <w:rPr>
          <w:rFonts w:ascii="Book Antiqua" w:hAnsi="Book Antiqua" w:eastAsia="Book Antiqua" w:cs="Book Antiqua"/>
        </w:rPr>
        <w:t xml:space="preserve">4 </w:t>
      </w:r>
      <w:r>
        <w:rPr>
          <w:rFonts w:ascii="Book Antiqua" w:hAnsi="Book Antiqua" w:eastAsia="Book Antiqua" w:cs="Book Antiqua"/>
          <w:b/>
          <w:bCs/>
        </w:rPr>
        <w:t>McInnes MD</w:t>
      </w:r>
      <w:r>
        <w:rPr>
          <w:rFonts w:ascii="Book Antiqua" w:hAnsi="Book Antiqua" w:eastAsia="Book Antiqua" w:cs="Book Antiqua"/>
        </w:rPr>
        <w:t xml:space="preserve">, Kielar AZ, Macdonald DB. Percutaneous image-guided biopsy of the spleen: systematic review and meta-analysis of the complication rate and diagnostic accuracy. </w:t>
      </w:r>
      <w:r>
        <w:rPr>
          <w:rFonts w:ascii="Book Antiqua" w:hAnsi="Book Antiqua" w:eastAsia="Book Antiqua" w:cs="Book Antiqua"/>
          <w:i/>
          <w:iCs/>
        </w:rPr>
        <w:t>Radiology</w:t>
      </w:r>
      <w:r>
        <w:rPr>
          <w:rFonts w:ascii="Book Antiqua" w:hAnsi="Book Antiqua" w:eastAsia="Book Antiqua" w:cs="Book Antiqua"/>
        </w:rPr>
        <w:t xml:space="preserve"> 2011; </w:t>
      </w:r>
      <w:r>
        <w:rPr>
          <w:rFonts w:ascii="Book Antiqua" w:hAnsi="Book Antiqua" w:eastAsia="Book Antiqua" w:cs="Book Antiqua"/>
          <w:b/>
          <w:bCs/>
        </w:rPr>
        <w:t>260</w:t>
      </w:r>
      <w:r>
        <w:rPr>
          <w:rFonts w:ascii="Book Antiqua" w:hAnsi="Book Antiqua" w:eastAsia="Book Antiqua" w:cs="Book Antiqua"/>
        </w:rPr>
        <w:t>: 699-708 [PMID: 21693659 DOI: 10.1148/radiol.11110333]</w:t>
      </w:r>
    </w:p>
    <w:p>
      <w:pPr>
        <w:spacing w:line="360" w:lineRule="auto"/>
        <w:jc w:val="both"/>
        <w:rPr>
          <w:rFonts w:ascii="Book Antiqua" w:hAnsi="Book Antiqua"/>
        </w:rPr>
      </w:pPr>
      <w:r>
        <w:rPr>
          <w:rFonts w:ascii="Book Antiqua" w:hAnsi="Book Antiqua" w:eastAsia="Book Antiqua" w:cs="Book Antiqua"/>
        </w:rPr>
        <w:t xml:space="preserve">5 </w:t>
      </w:r>
      <w:r>
        <w:rPr>
          <w:rFonts w:ascii="Book Antiqua" w:hAnsi="Book Antiqua" w:eastAsia="Book Antiqua" w:cs="Book Antiqua"/>
          <w:b/>
          <w:bCs/>
        </w:rPr>
        <w:t>Long B</w:t>
      </w:r>
      <w:r>
        <w:rPr>
          <w:rFonts w:ascii="Book Antiqua" w:hAnsi="Book Antiqua" w:eastAsia="Book Antiqua" w:cs="Book Antiqua"/>
        </w:rPr>
        <w:t xml:space="preserve">, Koyfman A, Gottlieb M. Complications in the adult asplenic patient: A review for the emergency clinician. </w:t>
      </w:r>
      <w:r>
        <w:rPr>
          <w:rFonts w:ascii="Book Antiqua" w:hAnsi="Book Antiqua" w:eastAsia="Book Antiqua" w:cs="Book Antiqua"/>
          <w:i/>
          <w:iCs/>
        </w:rPr>
        <w:t>Am J Emerg Med</w:t>
      </w:r>
      <w:r>
        <w:rPr>
          <w:rFonts w:ascii="Book Antiqua" w:hAnsi="Book Antiqua" w:eastAsia="Book Antiqua" w:cs="Book Antiqua"/>
        </w:rPr>
        <w:t xml:space="preserve"> 2021; </w:t>
      </w:r>
      <w:r>
        <w:rPr>
          <w:rFonts w:ascii="Book Antiqua" w:hAnsi="Book Antiqua" w:eastAsia="Book Antiqua" w:cs="Book Antiqua"/>
          <w:b/>
          <w:bCs/>
        </w:rPr>
        <w:t>44</w:t>
      </w:r>
      <w:r>
        <w:rPr>
          <w:rFonts w:ascii="Book Antiqua" w:hAnsi="Book Antiqua" w:eastAsia="Book Antiqua" w:cs="Book Antiqua"/>
        </w:rPr>
        <w:t>: 452-457 [PMID: 32247651 DOI: 10.1016/j.ajem.2020.03.049]</w:t>
      </w:r>
    </w:p>
    <w:p>
      <w:pPr>
        <w:spacing w:line="360" w:lineRule="auto"/>
        <w:jc w:val="both"/>
        <w:rPr>
          <w:rFonts w:ascii="Book Antiqua" w:hAnsi="Book Antiqua"/>
        </w:rPr>
      </w:pPr>
      <w:r>
        <w:rPr>
          <w:rFonts w:ascii="Book Antiqua" w:hAnsi="Book Antiqua" w:eastAsia="Book Antiqua" w:cs="Book Antiqua"/>
        </w:rPr>
        <w:t xml:space="preserve">6 </w:t>
      </w:r>
      <w:r>
        <w:rPr>
          <w:rFonts w:ascii="Book Antiqua" w:hAnsi="Book Antiqua" w:eastAsia="Book Antiqua" w:cs="Book Antiqua"/>
          <w:b/>
          <w:bCs/>
        </w:rPr>
        <w:t>Cadili A</w:t>
      </w:r>
      <w:r>
        <w:rPr>
          <w:rFonts w:ascii="Book Antiqua" w:hAnsi="Book Antiqua" w:eastAsia="Book Antiqua" w:cs="Book Antiqua"/>
        </w:rPr>
        <w:t xml:space="preserve">, de Gara C. Complications of splenectomy. </w:t>
      </w:r>
      <w:r>
        <w:rPr>
          <w:rFonts w:ascii="Book Antiqua" w:hAnsi="Book Antiqua" w:eastAsia="Book Antiqua" w:cs="Book Antiqua"/>
          <w:i/>
          <w:iCs/>
        </w:rPr>
        <w:t>Am J Med</w:t>
      </w:r>
      <w:r>
        <w:rPr>
          <w:rFonts w:ascii="Book Antiqua" w:hAnsi="Book Antiqua" w:eastAsia="Book Antiqua" w:cs="Book Antiqua"/>
        </w:rPr>
        <w:t xml:space="preserve"> 2008; </w:t>
      </w:r>
      <w:r>
        <w:rPr>
          <w:rFonts w:ascii="Book Antiqua" w:hAnsi="Book Antiqua" w:eastAsia="Book Antiqua" w:cs="Book Antiqua"/>
          <w:b/>
          <w:bCs/>
        </w:rPr>
        <w:t>121</w:t>
      </w:r>
      <w:r>
        <w:rPr>
          <w:rFonts w:ascii="Book Antiqua" w:hAnsi="Book Antiqua" w:eastAsia="Book Antiqua" w:cs="Book Antiqua"/>
        </w:rPr>
        <w:t>: 371-375 [PMID: 18456028 DOI: 10.1016/j.amjmed.2008.02.014]</w:t>
      </w:r>
    </w:p>
    <w:p>
      <w:pPr>
        <w:spacing w:line="360" w:lineRule="auto"/>
        <w:jc w:val="both"/>
        <w:rPr>
          <w:rFonts w:ascii="Book Antiqua" w:hAnsi="Book Antiqua"/>
        </w:rPr>
      </w:pPr>
      <w:r>
        <w:rPr>
          <w:rFonts w:ascii="Book Antiqua" w:hAnsi="Book Antiqua" w:eastAsia="Book Antiqua" w:cs="Book Antiqua"/>
        </w:rPr>
        <w:t xml:space="preserve">7 </w:t>
      </w:r>
      <w:r>
        <w:rPr>
          <w:rFonts w:ascii="Book Antiqua" w:hAnsi="Book Antiqua" w:eastAsia="Book Antiqua" w:cs="Book Antiqua"/>
          <w:b/>
          <w:bCs/>
        </w:rPr>
        <w:t>Olson MC</w:t>
      </w:r>
      <w:r>
        <w:rPr>
          <w:rFonts w:ascii="Book Antiqua" w:hAnsi="Book Antiqua" w:eastAsia="Book Antiqua" w:cs="Book Antiqua"/>
        </w:rPr>
        <w:t xml:space="preserve">, Atwell TD, Harmsen WS, Konrad A, King RL, Lin Y, Wall DJ. Safety and Accuracy of Percutaneous Image-Guided Core Biopsy of the Spleen. </w:t>
      </w:r>
      <w:r>
        <w:rPr>
          <w:rFonts w:ascii="Book Antiqua" w:hAnsi="Book Antiqua" w:eastAsia="Book Antiqua" w:cs="Book Antiqua"/>
          <w:i/>
          <w:iCs/>
        </w:rPr>
        <w:t>AJR Am J Roentgenol</w:t>
      </w:r>
      <w:r>
        <w:rPr>
          <w:rFonts w:ascii="Book Antiqua" w:hAnsi="Book Antiqua" w:eastAsia="Book Antiqua" w:cs="Book Antiqua"/>
        </w:rPr>
        <w:t xml:space="preserve"> 2016; </w:t>
      </w:r>
      <w:r>
        <w:rPr>
          <w:rFonts w:ascii="Book Antiqua" w:hAnsi="Book Antiqua" w:eastAsia="Book Antiqua" w:cs="Book Antiqua"/>
          <w:b/>
          <w:bCs/>
        </w:rPr>
        <w:t>206</w:t>
      </w:r>
      <w:r>
        <w:rPr>
          <w:rFonts w:ascii="Book Antiqua" w:hAnsi="Book Antiqua" w:eastAsia="Book Antiqua" w:cs="Book Antiqua"/>
        </w:rPr>
        <w:t>: 655-659 [PMID: 26901024 DOI: 10.2214/AJR.15.15125]</w:t>
      </w:r>
    </w:p>
    <w:p>
      <w:pPr>
        <w:spacing w:line="360" w:lineRule="auto"/>
        <w:jc w:val="both"/>
        <w:rPr>
          <w:rFonts w:ascii="Book Antiqua" w:hAnsi="Book Antiqua"/>
        </w:rPr>
      </w:pPr>
      <w:r>
        <w:rPr>
          <w:rFonts w:ascii="Book Antiqua" w:hAnsi="Book Antiqua" w:eastAsia="Book Antiqua" w:cs="Book Antiqua"/>
        </w:rPr>
        <w:t xml:space="preserve">8 </w:t>
      </w:r>
      <w:r>
        <w:rPr>
          <w:rFonts w:ascii="Book Antiqua" w:hAnsi="Book Antiqua" w:eastAsia="Book Antiqua" w:cs="Book Antiqua"/>
          <w:b/>
          <w:bCs/>
        </w:rPr>
        <w:t>Liang P</w:t>
      </w:r>
      <w:r>
        <w:rPr>
          <w:rFonts w:ascii="Book Antiqua" w:hAnsi="Book Antiqua" w:eastAsia="Book Antiqua" w:cs="Book Antiqua"/>
        </w:rPr>
        <w:t xml:space="preserve">, Gao Y, Wang Y, Yu X, Yu D, Dong B. US-guided percutaneous needle biopsy of the spleen using 18-gauge </w:t>
      </w:r>
      <w:r>
        <w:rPr>
          <w:rFonts w:ascii="Book Antiqua" w:hAnsi="Book Antiqua" w:eastAsia="Book Antiqua" w:cs="Book Antiqua"/>
          <w:i/>
          <w:iCs/>
        </w:rPr>
        <w:t>versus</w:t>
      </w:r>
      <w:r>
        <w:rPr>
          <w:rFonts w:ascii="Book Antiqua" w:hAnsi="Book Antiqua" w:eastAsia="Book Antiqua" w:cs="Book Antiqua"/>
        </w:rPr>
        <w:t xml:space="preserve"> 21-gauge needles. </w:t>
      </w:r>
      <w:r>
        <w:rPr>
          <w:rFonts w:ascii="Book Antiqua" w:hAnsi="Book Antiqua" w:eastAsia="Book Antiqua" w:cs="Book Antiqua"/>
          <w:i/>
          <w:iCs/>
        </w:rPr>
        <w:t>J Clin Ultrasound</w:t>
      </w:r>
      <w:r>
        <w:rPr>
          <w:rFonts w:ascii="Book Antiqua" w:hAnsi="Book Antiqua" w:eastAsia="Book Antiqua" w:cs="Book Antiqua"/>
        </w:rPr>
        <w:t xml:space="preserve"> 2007; </w:t>
      </w:r>
      <w:r>
        <w:rPr>
          <w:rFonts w:ascii="Book Antiqua" w:hAnsi="Book Antiqua" w:eastAsia="Book Antiqua" w:cs="Book Antiqua"/>
          <w:b/>
          <w:bCs/>
        </w:rPr>
        <w:t>35</w:t>
      </w:r>
      <w:r>
        <w:rPr>
          <w:rFonts w:ascii="Book Antiqua" w:hAnsi="Book Antiqua" w:eastAsia="Book Antiqua" w:cs="Book Antiqua"/>
        </w:rPr>
        <w:t>: 477-482 [PMID: 17583561 DOI: 10.1002/jcu.20390]</w:t>
      </w:r>
    </w:p>
    <w:p>
      <w:pPr>
        <w:spacing w:line="360" w:lineRule="auto"/>
        <w:jc w:val="both"/>
        <w:rPr>
          <w:rFonts w:ascii="Book Antiqua" w:hAnsi="Book Antiqua"/>
        </w:rPr>
      </w:pPr>
      <w:r>
        <w:rPr>
          <w:rFonts w:ascii="Book Antiqua" w:hAnsi="Book Antiqua" w:eastAsia="Book Antiqua" w:cs="Book Antiqua"/>
        </w:rPr>
        <w:t xml:space="preserve">9 </w:t>
      </w:r>
      <w:r>
        <w:rPr>
          <w:rFonts w:ascii="Book Antiqua" w:hAnsi="Book Antiqua" w:eastAsia="Book Antiqua" w:cs="Book Antiqua"/>
          <w:b/>
          <w:bCs/>
        </w:rPr>
        <w:t>Muraca S</w:t>
      </w:r>
      <w:r>
        <w:rPr>
          <w:rFonts w:ascii="Book Antiqua" w:hAnsi="Book Antiqua" w:eastAsia="Book Antiqua" w:cs="Book Antiqua"/>
        </w:rPr>
        <w:t xml:space="preserve">, Chait PG, Connolly BL, Baskin KM, Temple MJ. US-guided core biopsy of the spleen in children. </w:t>
      </w:r>
      <w:r>
        <w:rPr>
          <w:rFonts w:ascii="Book Antiqua" w:hAnsi="Book Antiqua" w:eastAsia="Book Antiqua" w:cs="Book Antiqua"/>
          <w:i/>
          <w:iCs/>
        </w:rPr>
        <w:t>Radiology</w:t>
      </w:r>
      <w:r>
        <w:rPr>
          <w:rFonts w:ascii="Book Antiqua" w:hAnsi="Book Antiqua" w:eastAsia="Book Antiqua" w:cs="Book Antiqua"/>
        </w:rPr>
        <w:t xml:space="preserve"> 2001; </w:t>
      </w:r>
      <w:r>
        <w:rPr>
          <w:rFonts w:ascii="Book Antiqua" w:hAnsi="Book Antiqua" w:eastAsia="Book Antiqua" w:cs="Book Antiqua"/>
          <w:b/>
          <w:bCs/>
        </w:rPr>
        <w:t>218</w:t>
      </w:r>
      <w:r>
        <w:rPr>
          <w:rFonts w:ascii="Book Antiqua" w:hAnsi="Book Antiqua" w:eastAsia="Book Antiqua" w:cs="Book Antiqua"/>
        </w:rPr>
        <w:t>: 200-206 [PMID: 11152802 DOI: 10.1148/radiology.218.1.r01ja16200]</w:t>
      </w:r>
    </w:p>
    <w:p>
      <w:pPr>
        <w:spacing w:line="360" w:lineRule="auto"/>
        <w:jc w:val="both"/>
        <w:rPr>
          <w:rFonts w:ascii="Book Antiqua" w:hAnsi="Book Antiqua"/>
        </w:rPr>
      </w:pPr>
      <w:r>
        <w:rPr>
          <w:rFonts w:ascii="Book Antiqua" w:hAnsi="Book Antiqua" w:eastAsia="Book Antiqua" w:cs="Book Antiqua"/>
        </w:rPr>
        <w:t xml:space="preserve">10 </w:t>
      </w:r>
      <w:r>
        <w:rPr>
          <w:rFonts w:ascii="Book Antiqua" w:hAnsi="Book Antiqua" w:eastAsia="Book Antiqua" w:cs="Book Antiqua"/>
          <w:b/>
          <w:bCs/>
        </w:rPr>
        <w:t>Strnad BS</w:t>
      </w:r>
      <w:r>
        <w:rPr>
          <w:rFonts w:ascii="Book Antiqua" w:hAnsi="Book Antiqua" w:eastAsia="Book Antiqua" w:cs="Book Antiqua"/>
        </w:rPr>
        <w:t xml:space="preserve">, Itani M, Middleton WD. Detection and management of bleeding in the setting of image-guided percutaneous needle biopsy. </w:t>
      </w:r>
      <w:r>
        <w:rPr>
          <w:rFonts w:ascii="Book Antiqua" w:hAnsi="Book Antiqua" w:eastAsia="Book Antiqua" w:cs="Book Antiqua"/>
          <w:i/>
          <w:iCs/>
        </w:rPr>
        <w:t>Abdom Radiol (NY)</w:t>
      </w:r>
      <w:r>
        <w:rPr>
          <w:rFonts w:ascii="Book Antiqua" w:hAnsi="Book Antiqua" w:eastAsia="Book Antiqua" w:cs="Book Antiqua"/>
        </w:rPr>
        <w:t xml:space="preserve"> 2022; </w:t>
      </w:r>
      <w:r>
        <w:rPr>
          <w:rFonts w:ascii="Book Antiqua" w:hAnsi="Book Antiqua" w:eastAsia="Book Antiqua" w:cs="Book Antiqua"/>
          <w:b/>
          <w:bCs/>
        </w:rPr>
        <w:t>47</w:t>
      </w:r>
      <w:r>
        <w:rPr>
          <w:rFonts w:ascii="Book Antiqua" w:hAnsi="Book Antiqua" w:eastAsia="Book Antiqua" w:cs="Book Antiqua"/>
        </w:rPr>
        <w:t>: 2681-2696 [PMID: 34882270 DOI: 10.1007/s00261-021-03357-5]</w:t>
      </w:r>
    </w:p>
    <w:p>
      <w:pPr>
        <w:spacing w:line="360" w:lineRule="auto"/>
        <w:jc w:val="both"/>
        <w:rPr>
          <w:rFonts w:ascii="Book Antiqua" w:hAnsi="Book Antiqua"/>
        </w:rPr>
      </w:pPr>
      <w:r>
        <w:rPr>
          <w:rFonts w:ascii="Book Antiqua" w:hAnsi="Book Antiqua" w:eastAsia="Book Antiqua" w:cs="Book Antiqua"/>
        </w:rPr>
        <w:t xml:space="preserve">11 </w:t>
      </w:r>
      <w:r>
        <w:rPr>
          <w:rFonts w:ascii="Book Antiqua" w:hAnsi="Book Antiqua" w:eastAsia="Book Antiqua" w:cs="Book Antiqua"/>
          <w:b/>
          <w:bCs/>
        </w:rPr>
        <w:t>Singh AK</w:t>
      </w:r>
      <w:r>
        <w:rPr>
          <w:rFonts w:ascii="Book Antiqua" w:hAnsi="Book Antiqua" w:eastAsia="Book Antiqua" w:cs="Book Antiqua"/>
        </w:rPr>
        <w:t xml:space="preserve">, Shankar S, Gervais DA, Hahn PF, Mueller PR. Image-guided percutaneous splenic interventions. </w:t>
      </w:r>
      <w:r>
        <w:rPr>
          <w:rFonts w:ascii="Book Antiqua" w:hAnsi="Book Antiqua" w:eastAsia="Book Antiqua" w:cs="Book Antiqua"/>
          <w:i/>
          <w:iCs/>
        </w:rPr>
        <w:t>Radiographics</w:t>
      </w:r>
      <w:r>
        <w:rPr>
          <w:rFonts w:ascii="Book Antiqua" w:hAnsi="Book Antiqua" w:eastAsia="Book Antiqua" w:cs="Book Antiqua"/>
        </w:rPr>
        <w:t xml:space="preserve"> 2012; </w:t>
      </w:r>
      <w:r>
        <w:rPr>
          <w:rFonts w:ascii="Book Antiqua" w:hAnsi="Book Antiqua" w:eastAsia="Book Antiqua" w:cs="Book Antiqua"/>
          <w:b/>
          <w:bCs/>
        </w:rPr>
        <w:t>32</w:t>
      </w:r>
      <w:r>
        <w:rPr>
          <w:rFonts w:ascii="Book Antiqua" w:hAnsi="Book Antiqua" w:eastAsia="Book Antiqua" w:cs="Book Antiqua"/>
        </w:rPr>
        <w:t>: 523-534 [PMID: 22411947 DOI: 10.1148/rg.322115135]</w:t>
      </w:r>
    </w:p>
    <w:p>
      <w:pPr>
        <w:spacing w:line="360" w:lineRule="auto"/>
        <w:jc w:val="both"/>
        <w:rPr>
          <w:rFonts w:ascii="Book Antiqua" w:hAnsi="Book Antiqua"/>
        </w:rPr>
      </w:pPr>
      <w:r>
        <w:rPr>
          <w:rFonts w:ascii="Book Antiqua" w:hAnsi="Book Antiqua" w:eastAsia="Book Antiqua" w:cs="Book Antiqua"/>
        </w:rPr>
        <w:t xml:space="preserve">12 </w:t>
      </w:r>
      <w:r>
        <w:rPr>
          <w:rFonts w:ascii="Book Antiqua" w:hAnsi="Book Antiqua" w:eastAsia="Book Antiqua" w:cs="Book Antiqua"/>
          <w:b/>
          <w:bCs/>
        </w:rPr>
        <w:t>Tam A</w:t>
      </w:r>
      <w:r>
        <w:rPr>
          <w:rFonts w:ascii="Book Antiqua" w:hAnsi="Book Antiqua" w:eastAsia="Book Antiqua" w:cs="Book Antiqua"/>
        </w:rPr>
        <w:t xml:space="preserve">, Krishnamurthy S, Pillsbury EP, Ensor JE, Gupta S, Murthy R, Ahrar K, Wallace MJ, Hicks ME, Madoff DC. Percutaneous image-guided splenic biopsy in the oncology patient: an audit of 156 consecutive cases. </w:t>
      </w:r>
      <w:r>
        <w:rPr>
          <w:rFonts w:ascii="Book Antiqua" w:hAnsi="Book Antiqua" w:eastAsia="Book Antiqua" w:cs="Book Antiqua"/>
          <w:i/>
          <w:iCs/>
        </w:rPr>
        <w:t>J Vasc Interv Radiol</w:t>
      </w:r>
      <w:r>
        <w:rPr>
          <w:rFonts w:ascii="Book Antiqua" w:hAnsi="Book Antiqua" w:eastAsia="Book Antiqua" w:cs="Book Antiqua"/>
        </w:rPr>
        <w:t xml:space="preserve"> 2008; </w:t>
      </w:r>
      <w:r>
        <w:rPr>
          <w:rFonts w:ascii="Book Antiqua" w:hAnsi="Book Antiqua" w:eastAsia="Book Antiqua" w:cs="Book Antiqua"/>
          <w:b/>
          <w:bCs/>
        </w:rPr>
        <w:t>19</w:t>
      </w:r>
      <w:r>
        <w:rPr>
          <w:rFonts w:ascii="Book Antiqua" w:hAnsi="Book Antiqua" w:eastAsia="Book Antiqua" w:cs="Book Antiqua"/>
        </w:rPr>
        <w:t>: 80-87 [PMID: 18192471 DOI: 10.1016/j.jvir.2007.08.025]</w:t>
      </w:r>
    </w:p>
    <w:p>
      <w:pPr>
        <w:spacing w:line="360" w:lineRule="auto"/>
        <w:jc w:val="both"/>
        <w:rPr>
          <w:rFonts w:ascii="Book Antiqua" w:hAnsi="Book Antiqua"/>
        </w:rPr>
      </w:pPr>
      <w:r>
        <w:rPr>
          <w:rFonts w:ascii="Book Antiqua" w:hAnsi="Book Antiqua" w:eastAsia="Book Antiqua" w:cs="Book Antiqua"/>
        </w:rPr>
        <w:t xml:space="preserve">13 </w:t>
      </w:r>
      <w:r>
        <w:rPr>
          <w:rFonts w:ascii="Book Antiqua" w:hAnsi="Book Antiqua" w:eastAsia="Book Antiqua" w:cs="Book Antiqua"/>
          <w:b/>
          <w:bCs/>
        </w:rPr>
        <w:t>Gómez-Rubio M</w:t>
      </w:r>
      <w:r>
        <w:rPr>
          <w:rFonts w:ascii="Book Antiqua" w:hAnsi="Book Antiqua" w:eastAsia="Book Antiqua" w:cs="Book Antiqua"/>
        </w:rPr>
        <w:t xml:space="preserve">, López-Cano A, Rendón P, Muñoz-Benvenuty A, Macías M, Garre C, Segura-Cabral JM. Safety and diagnostic accuracy of percutaneous ultrasound-guided biopsy of the spleen: a multicenter study. </w:t>
      </w:r>
      <w:r>
        <w:rPr>
          <w:rFonts w:ascii="Book Antiqua" w:hAnsi="Book Antiqua" w:eastAsia="Book Antiqua" w:cs="Book Antiqua"/>
          <w:i/>
          <w:iCs/>
        </w:rPr>
        <w:t>J Clin Ultrasound</w:t>
      </w:r>
      <w:r>
        <w:rPr>
          <w:rFonts w:ascii="Book Antiqua" w:hAnsi="Book Antiqua" w:eastAsia="Book Antiqua" w:cs="Book Antiqua"/>
        </w:rPr>
        <w:t xml:space="preserve"> 2009; </w:t>
      </w:r>
      <w:r>
        <w:rPr>
          <w:rFonts w:ascii="Book Antiqua" w:hAnsi="Book Antiqua" w:eastAsia="Book Antiqua" w:cs="Book Antiqua"/>
          <w:b/>
          <w:bCs/>
        </w:rPr>
        <w:t>37</w:t>
      </w:r>
      <w:r>
        <w:rPr>
          <w:rFonts w:ascii="Book Antiqua" w:hAnsi="Book Antiqua" w:eastAsia="Book Antiqua" w:cs="Book Antiqua"/>
        </w:rPr>
        <w:t>: 445-450 [PMID: 19582827 DOI: 10.1002/jcu.20608]</w:t>
      </w:r>
    </w:p>
    <w:p>
      <w:pPr>
        <w:spacing w:line="360" w:lineRule="auto"/>
        <w:jc w:val="both"/>
        <w:rPr>
          <w:rFonts w:ascii="Book Antiqua" w:hAnsi="Book Antiqua"/>
        </w:rPr>
      </w:pPr>
      <w:r>
        <w:rPr>
          <w:rFonts w:ascii="Book Antiqua" w:hAnsi="Book Antiqua" w:eastAsia="Book Antiqua" w:cs="Book Antiqua"/>
        </w:rPr>
        <w:t xml:space="preserve">14 </w:t>
      </w:r>
      <w:r>
        <w:rPr>
          <w:rFonts w:ascii="Book Antiqua" w:hAnsi="Book Antiqua" w:eastAsia="Book Antiqua" w:cs="Book Antiqua"/>
          <w:b/>
          <w:bCs/>
        </w:rPr>
        <w:t>Patel N</w:t>
      </w:r>
      <w:r>
        <w:rPr>
          <w:rFonts w:ascii="Book Antiqua" w:hAnsi="Book Antiqua" w:eastAsia="Book Antiqua" w:cs="Book Antiqua"/>
        </w:rPr>
        <w:t xml:space="preserve">, Dawe G, Tung K. Ultrasound-guided percutaneous splenic biopsy using an 18-G core biopsy needle: our experience with 52 cases. </w:t>
      </w:r>
      <w:r>
        <w:rPr>
          <w:rFonts w:ascii="Book Antiqua" w:hAnsi="Book Antiqua" w:eastAsia="Book Antiqua" w:cs="Book Antiqua"/>
          <w:i/>
          <w:iCs/>
        </w:rPr>
        <w:t>Br J Radiol</w:t>
      </w:r>
      <w:r>
        <w:rPr>
          <w:rFonts w:ascii="Book Antiqua" w:hAnsi="Book Antiqua" w:eastAsia="Book Antiqua" w:cs="Book Antiqua"/>
        </w:rPr>
        <w:t xml:space="preserve"> 2015; </w:t>
      </w:r>
      <w:r>
        <w:rPr>
          <w:rFonts w:ascii="Book Antiqua" w:hAnsi="Book Antiqua" w:eastAsia="Book Antiqua" w:cs="Book Antiqua"/>
          <w:b/>
          <w:bCs/>
        </w:rPr>
        <w:t>88</w:t>
      </w:r>
      <w:r>
        <w:rPr>
          <w:rFonts w:ascii="Book Antiqua" w:hAnsi="Book Antiqua" w:eastAsia="Book Antiqua" w:cs="Book Antiqua"/>
        </w:rPr>
        <w:t>: 20150400 [PMID: 26337505 DOI: 10.1259/bjr.20150400]</w:t>
      </w:r>
    </w:p>
    <w:p>
      <w:pPr>
        <w:spacing w:line="360" w:lineRule="auto"/>
        <w:jc w:val="both"/>
        <w:rPr>
          <w:rFonts w:ascii="Book Antiqua" w:hAnsi="Book Antiqua"/>
        </w:rPr>
      </w:pPr>
      <w:r>
        <w:rPr>
          <w:rFonts w:ascii="Book Antiqua" w:hAnsi="Book Antiqua" w:eastAsia="Book Antiqua" w:cs="Book Antiqua"/>
        </w:rPr>
        <w:t xml:space="preserve">15 </w:t>
      </w:r>
      <w:r>
        <w:rPr>
          <w:rFonts w:ascii="Book Antiqua" w:hAnsi="Book Antiqua" w:eastAsia="Book Antiqua" w:cs="Book Antiqua"/>
          <w:b/>
          <w:bCs/>
        </w:rPr>
        <w:t>Sangiorgio VFI</w:t>
      </w:r>
      <w:r>
        <w:rPr>
          <w:rFonts w:ascii="Book Antiqua" w:hAnsi="Book Antiqua" w:eastAsia="Book Antiqua" w:cs="Book Antiqua"/>
        </w:rPr>
        <w:t xml:space="preserve">, Rizvi H, Padayatty J, Thayur N, Fujiwara T, Anyanwu FA, Calaminici M. Radiologically guided percutaneous core needle biopsy of the spleen: a reliable and safe diagnostic procedure for neoplastic and reactive conditions. </w:t>
      </w:r>
      <w:r>
        <w:rPr>
          <w:rFonts w:ascii="Book Antiqua" w:hAnsi="Book Antiqua" w:eastAsia="Book Antiqua" w:cs="Book Antiqua"/>
          <w:i/>
          <w:iCs/>
        </w:rPr>
        <w:t>Histopathology</w:t>
      </w:r>
      <w:r>
        <w:rPr>
          <w:rFonts w:ascii="Book Antiqua" w:hAnsi="Book Antiqua" w:eastAsia="Book Antiqua" w:cs="Book Antiqua"/>
        </w:rPr>
        <w:t xml:space="preserve"> 2021; </w:t>
      </w:r>
      <w:r>
        <w:rPr>
          <w:rFonts w:ascii="Book Antiqua" w:hAnsi="Book Antiqua" w:eastAsia="Book Antiqua" w:cs="Book Antiqua"/>
          <w:b/>
          <w:bCs/>
        </w:rPr>
        <w:t>78</w:t>
      </w:r>
      <w:r>
        <w:rPr>
          <w:rFonts w:ascii="Book Antiqua" w:hAnsi="Book Antiqua" w:eastAsia="Book Antiqua" w:cs="Book Antiqua"/>
        </w:rPr>
        <w:t>: 1051-1055 [PMID: 33393079 DOI: 10.1111/his.14327]</w:t>
      </w:r>
    </w:p>
    <w:p>
      <w:pPr>
        <w:spacing w:line="360" w:lineRule="auto"/>
        <w:jc w:val="both"/>
        <w:rPr>
          <w:rFonts w:ascii="Book Antiqua" w:hAnsi="Book Antiqua"/>
        </w:rPr>
      </w:pPr>
      <w:r>
        <w:rPr>
          <w:rFonts w:ascii="Book Antiqua" w:hAnsi="Book Antiqua" w:eastAsia="Book Antiqua" w:cs="Book Antiqua"/>
        </w:rPr>
        <w:t xml:space="preserve">16 </w:t>
      </w:r>
      <w:r>
        <w:rPr>
          <w:rFonts w:ascii="Book Antiqua" w:hAnsi="Book Antiqua" w:eastAsia="Book Antiqua" w:cs="Book Antiqua"/>
          <w:b/>
          <w:bCs/>
        </w:rPr>
        <w:t>Habibi HA</w:t>
      </w:r>
      <w:r>
        <w:rPr>
          <w:rFonts w:ascii="Book Antiqua" w:hAnsi="Book Antiqua" w:eastAsia="Book Antiqua" w:cs="Book Antiqua"/>
        </w:rPr>
        <w:t xml:space="preserve">, Cevener M, Yilmaz S. Image-guided percutaneous cutting needle biopsy in difficult locations. </w:t>
      </w:r>
      <w:r>
        <w:rPr>
          <w:rFonts w:ascii="Book Antiqua" w:hAnsi="Book Antiqua" w:eastAsia="Book Antiqua" w:cs="Book Antiqua"/>
          <w:i/>
          <w:iCs/>
        </w:rPr>
        <w:t>Jpn J Radiol</w:t>
      </w:r>
      <w:r>
        <w:rPr>
          <w:rFonts w:ascii="Book Antiqua" w:hAnsi="Book Antiqua" w:eastAsia="Book Antiqua" w:cs="Book Antiqua"/>
        </w:rPr>
        <w:t xml:space="preserve"> 2022; </w:t>
      </w:r>
      <w:r>
        <w:rPr>
          <w:rFonts w:ascii="Book Antiqua" w:hAnsi="Book Antiqua" w:eastAsia="Book Antiqua" w:cs="Book Antiqua"/>
          <w:b/>
          <w:bCs/>
        </w:rPr>
        <w:t>40</w:t>
      </w:r>
      <w:r>
        <w:rPr>
          <w:rFonts w:ascii="Book Antiqua" w:hAnsi="Book Antiqua" w:eastAsia="Book Antiqua" w:cs="Book Antiqua"/>
        </w:rPr>
        <w:t>: 560-567 [PMID: 35064440 DOI: 10.1007/s11604-021-01238-x]</w:t>
      </w:r>
    </w:p>
    <w:p>
      <w:pPr>
        <w:spacing w:line="360" w:lineRule="auto"/>
        <w:jc w:val="both"/>
        <w:rPr>
          <w:rFonts w:ascii="Book Antiqua" w:hAnsi="Book Antiqua"/>
        </w:rPr>
      </w:pPr>
      <w:r>
        <w:rPr>
          <w:rFonts w:ascii="Book Antiqua" w:hAnsi="Book Antiqua" w:eastAsia="Book Antiqua" w:cs="Book Antiqua"/>
        </w:rPr>
        <w:t xml:space="preserve">17 </w:t>
      </w:r>
      <w:r>
        <w:rPr>
          <w:rFonts w:ascii="Book Antiqua" w:hAnsi="Book Antiqua" w:eastAsia="Book Antiqua" w:cs="Book Antiqua"/>
          <w:b/>
          <w:bCs/>
        </w:rPr>
        <w:t>Kunin H</w:t>
      </w:r>
      <w:r>
        <w:rPr>
          <w:rFonts w:ascii="Book Antiqua" w:hAnsi="Book Antiqua" w:eastAsia="Book Antiqua" w:cs="Book Antiqua"/>
        </w:rPr>
        <w:t xml:space="preserve">, Wijetunga NA, Erinjeri JP, Noy A, Deipolyi AR. Predictors of Major Hemorrhage After Spleen Core Biopsy in Cancer Patients. </w:t>
      </w:r>
      <w:r>
        <w:rPr>
          <w:rFonts w:ascii="Book Antiqua" w:hAnsi="Book Antiqua" w:eastAsia="Book Antiqua" w:cs="Book Antiqua"/>
          <w:i/>
          <w:iCs/>
        </w:rPr>
        <w:t>J Vasc Interv Radiol</w:t>
      </w:r>
      <w:r>
        <w:rPr>
          <w:rFonts w:ascii="Book Antiqua" w:hAnsi="Book Antiqua" w:eastAsia="Book Antiqua" w:cs="Book Antiqua"/>
        </w:rPr>
        <w:t xml:space="preserve"> 2022; </w:t>
      </w:r>
      <w:r>
        <w:rPr>
          <w:rFonts w:ascii="Book Antiqua" w:hAnsi="Book Antiqua" w:eastAsia="Book Antiqua" w:cs="Book Antiqua"/>
          <w:b/>
          <w:bCs/>
        </w:rPr>
        <w:t>33</w:t>
      </w:r>
      <w:r>
        <w:rPr>
          <w:rFonts w:ascii="Book Antiqua" w:hAnsi="Book Antiqua" w:eastAsia="Book Antiqua" w:cs="Book Antiqua"/>
        </w:rPr>
        <w:t>: 1055-1060.e1 [PMID: 36049840 DOI: 10.1016/j.jvir.2022.06.002]</w:t>
      </w:r>
    </w:p>
    <w:p>
      <w:pPr>
        <w:spacing w:line="360" w:lineRule="auto"/>
        <w:jc w:val="both"/>
        <w:rPr>
          <w:rFonts w:ascii="Book Antiqua" w:hAnsi="Book Antiqua"/>
        </w:rPr>
      </w:pPr>
      <w:r>
        <w:rPr>
          <w:rFonts w:ascii="Book Antiqua" w:hAnsi="Book Antiqua" w:eastAsia="Book Antiqua" w:cs="Book Antiqua"/>
        </w:rPr>
        <w:t xml:space="preserve">18 </w:t>
      </w:r>
      <w:r>
        <w:rPr>
          <w:rFonts w:ascii="Book Antiqua" w:hAnsi="Book Antiqua" w:eastAsia="Book Antiqua" w:cs="Book Antiqua"/>
          <w:b/>
          <w:bCs/>
        </w:rPr>
        <w:t>Guo RQ</w:t>
      </w:r>
      <w:r>
        <w:rPr>
          <w:rFonts w:ascii="Book Antiqua" w:hAnsi="Book Antiqua" w:eastAsia="Book Antiqua" w:cs="Book Antiqua"/>
        </w:rPr>
        <w:t xml:space="preserve">, Li XG. Seven case reports on the prevention of hemorrhage after percutaneous computed tomography-guided core-needle biopsy of the spleen. </w:t>
      </w:r>
      <w:r>
        <w:rPr>
          <w:rFonts w:ascii="Book Antiqua" w:hAnsi="Book Antiqua" w:eastAsia="Book Antiqua" w:cs="Book Antiqua"/>
          <w:i/>
          <w:iCs/>
        </w:rPr>
        <w:t>J Cancer Res Ther</w:t>
      </w:r>
      <w:r>
        <w:rPr>
          <w:rFonts w:ascii="Book Antiqua" w:hAnsi="Book Antiqua" w:eastAsia="Book Antiqua" w:cs="Book Antiqua"/>
        </w:rPr>
        <w:t xml:space="preserve"> 2020; </w:t>
      </w:r>
      <w:r>
        <w:rPr>
          <w:rFonts w:ascii="Book Antiqua" w:hAnsi="Book Antiqua" w:eastAsia="Book Antiqua" w:cs="Book Antiqua"/>
          <w:b/>
          <w:bCs/>
        </w:rPr>
        <w:t>16</w:t>
      </w:r>
      <w:r>
        <w:rPr>
          <w:rFonts w:ascii="Book Antiqua" w:hAnsi="Book Antiqua" w:eastAsia="Book Antiqua" w:cs="Book Antiqua"/>
        </w:rPr>
        <w:t>: 1182-1185 [PMID: 33004768 DOI: 10.4103/jcrt.JCRT_815_19]</w:t>
      </w:r>
    </w:p>
    <w:p>
      <w:pPr>
        <w:spacing w:line="360" w:lineRule="auto"/>
        <w:jc w:val="both"/>
        <w:rPr>
          <w:rFonts w:ascii="Book Antiqua" w:hAnsi="Book Antiqua"/>
        </w:rPr>
      </w:pPr>
      <w:r>
        <w:rPr>
          <w:rFonts w:ascii="Book Antiqua" w:hAnsi="Book Antiqua" w:eastAsia="Book Antiqua" w:cs="Book Antiqua"/>
        </w:rPr>
        <w:t xml:space="preserve">19 </w:t>
      </w:r>
      <w:r>
        <w:rPr>
          <w:rFonts w:ascii="Book Antiqua" w:hAnsi="Book Antiqua" w:eastAsia="Book Antiqua" w:cs="Book Antiqua"/>
          <w:b/>
          <w:bCs/>
        </w:rPr>
        <w:t>Civardi G</w:t>
      </w:r>
      <w:r>
        <w:rPr>
          <w:rFonts w:ascii="Book Antiqua" w:hAnsi="Book Antiqua" w:eastAsia="Book Antiqua" w:cs="Book Antiqua"/>
        </w:rPr>
        <w:t xml:space="preserve">, Vallisa D, Bertè R, Giorgio A, Filice C, Caremani M, Caturelli E, Pompili M, De Sio I, Buscarini E, Cavanna L. Ultrasound-guided fine needle biopsy of the spleen: high clinical efficacy and low risk in a multicenter Italian study. </w:t>
      </w:r>
      <w:r>
        <w:rPr>
          <w:rFonts w:ascii="Book Antiqua" w:hAnsi="Book Antiqua" w:eastAsia="Book Antiqua" w:cs="Book Antiqua"/>
          <w:i/>
          <w:iCs/>
        </w:rPr>
        <w:t>Am J Hematol</w:t>
      </w:r>
      <w:r>
        <w:rPr>
          <w:rFonts w:ascii="Book Antiqua" w:hAnsi="Book Antiqua" w:eastAsia="Book Antiqua" w:cs="Book Antiqua"/>
        </w:rPr>
        <w:t xml:space="preserve"> 2001; </w:t>
      </w:r>
      <w:r>
        <w:rPr>
          <w:rFonts w:ascii="Book Antiqua" w:hAnsi="Book Antiqua" w:eastAsia="Book Antiqua" w:cs="Book Antiqua"/>
          <w:b/>
          <w:bCs/>
        </w:rPr>
        <w:t>67</w:t>
      </w:r>
      <w:r>
        <w:rPr>
          <w:rFonts w:ascii="Book Antiqua" w:hAnsi="Book Antiqua" w:eastAsia="Book Antiqua" w:cs="Book Antiqua"/>
        </w:rPr>
        <w:t>: 93-99 [PMID: 11343380 DOI: 10.1002/ajh.1085]</w:t>
      </w:r>
    </w:p>
    <w:p>
      <w:pPr>
        <w:spacing w:line="360" w:lineRule="auto"/>
        <w:jc w:val="both"/>
        <w:rPr>
          <w:rFonts w:ascii="Book Antiqua" w:hAnsi="Book Antiqua"/>
        </w:rPr>
      </w:pPr>
      <w:r>
        <w:rPr>
          <w:rFonts w:ascii="Book Antiqua" w:hAnsi="Book Antiqua" w:eastAsia="Book Antiqua" w:cs="Book Antiqua"/>
        </w:rPr>
        <w:t xml:space="preserve">20 </w:t>
      </w:r>
      <w:r>
        <w:rPr>
          <w:rFonts w:ascii="Book Antiqua" w:hAnsi="Book Antiqua" w:eastAsia="Book Antiqua" w:cs="Book Antiqua"/>
          <w:b/>
          <w:bCs/>
        </w:rPr>
        <w:t>Handke NA</w:t>
      </w:r>
      <w:r>
        <w:rPr>
          <w:rFonts w:ascii="Book Antiqua" w:hAnsi="Book Antiqua" w:eastAsia="Book Antiqua" w:cs="Book Antiqua"/>
        </w:rPr>
        <w:t xml:space="preserve">, Koch DC, Muschler E, Thomas D, Luetkens JA, Attenberger UI, Kuetting D, Pieper CC, Wilhelm K. Bleeding management in computed tomography-guided liver biopsies by biopsy tract plugging with gelatin sponge slurry. </w:t>
      </w:r>
      <w:r>
        <w:rPr>
          <w:rFonts w:ascii="Book Antiqua" w:hAnsi="Book Antiqua" w:eastAsia="Book Antiqua" w:cs="Book Antiqua"/>
          <w:i/>
          <w:iCs/>
        </w:rPr>
        <w:t>Sci Rep</w:t>
      </w:r>
      <w:r>
        <w:rPr>
          <w:rFonts w:ascii="Book Antiqua" w:hAnsi="Book Antiqua" w:eastAsia="Book Antiqua" w:cs="Book Antiqua"/>
        </w:rPr>
        <w:t xml:space="preserve"> 2021; </w:t>
      </w:r>
      <w:r>
        <w:rPr>
          <w:rFonts w:ascii="Book Antiqua" w:hAnsi="Book Antiqua" w:eastAsia="Book Antiqua" w:cs="Book Antiqua"/>
          <w:b/>
          <w:bCs/>
        </w:rPr>
        <w:t>11</w:t>
      </w:r>
      <w:r>
        <w:rPr>
          <w:rFonts w:ascii="Book Antiqua" w:hAnsi="Book Antiqua" w:eastAsia="Book Antiqua" w:cs="Book Antiqua"/>
        </w:rPr>
        <w:t>: 24506 [PMID: 34969958 DOI: 10.1038/s41598-021-04155-1]</w:t>
      </w:r>
    </w:p>
    <w:p>
      <w:pPr>
        <w:spacing w:line="360" w:lineRule="auto"/>
        <w:jc w:val="both"/>
        <w:rPr>
          <w:rFonts w:ascii="Book Antiqua" w:hAnsi="Book Antiqua"/>
        </w:rPr>
      </w:pPr>
      <w:r>
        <w:rPr>
          <w:rFonts w:ascii="Book Antiqua" w:hAnsi="Book Antiqua" w:eastAsia="Book Antiqua" w:cs="Book Antiqua"/>
        </w:rPr>
        <w:t xml:space="preserve">21 </w:t>
      </w:r>
      <w:r>
        <w:rPr>
          <w:rFonts w:ascii="Book Antiqua" w:hAnsi="Book Antiqua" w:eastAsia="Book Antiqua" w:cs="Book Antiqua"/>
          <w:b/>
          <w:bCs/>
        </w:rPr>
        <w:t>Uller W</w:t>
      </w:r>
      <w:r>
        <w:rPr>
          <w:rFonts w:ascii="Book Antiqua" w:hAnsi="Book Antiqua" w:eastAsia="Book Antiqua" w:cs="Book Antiqua"/>
        </w:rPr>
        <w:t xml:space="preserve">, Müller-Wille R, Grothues D, Schelling J, Zausig N, Loss M, Stroszczynski C, Wohlgemuth WA. Gelfoam for closure of large percutaneous transhepatic and transsplenic puncture tracts in pediatric patients. </w:t>
      </w:r>
      <w:r>
        <w:rPr>
          <w:rFonts w:ascii="Book Antiqua" w:hAnsi="Book Antiqua" w:eastAsia="Book Antiqua" w:cs="Book Antiqua"/>
          <w:i/>
          <w:iCs/>
        </w:rPr>
        <w:t>Rofo</w:t>
      </w:r>
      <w:r>
        <w:rPr>
          <w:rFonts w:ascii="Book Antiqua" w:hAnsi="Book Antiqua" w:eastAsia="Book Antiqua" w:cs="Book Antiqua"/>
        </w:rPr>
        <w:t xml:space="preserve"> 2014; </w:t>
      </w:r>
      <w:r>
        <w:rPr>
          <w:rFonts w:ascii="Book Antiqua" w:hAnsi="Book Antiqua" w:eastAsia="Book Antiqua" w:cs="Book Antiqua"/>
          <w:b/>
          <w:bCs/>
        </w:rPr>
        <w:t>186</w:t>
      </w:r>
      <w:r>
        <w:rPr>
          <w:rFonts w:ascii="Book Antiqua" w:hAnsi="Book Antiqua" w:eastAsia="Book Antiqua" w:cs="Book Antiqua"/>
        </w:rPr>
        <w:t>: 693-697 [PMID: 24458376 DOI: 10.1055/s-0033-1355905]</w:t>
      </w:r>
    </w:p>
    <w:bookmarkEnd w:id="558"/>
    <w:bookmarkEnd w:id="559"/>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eastAsia="Book Antiqua" w:cs="Book Antiqua"/>
        </w:rPr>
      </w:pPr>
      <w:r>
        <w:rPr>
          <w:rFonts w:ascii="Book Antiqua" w:hAnsi="Book Antiqua" w:eastAsia="Book Antiqua" w:cs="Book Antiqua"/>
          <w:b/>
          <w:bCs/>
        </w:rPr>
        <w:t>Informed consent statement:</w:t>
      </w:r>
      <w:r>
        <w:rPr>
          <w:rFonts w:ascii="Book Antiqua" w:hAnsi="Book Antiqua" w:eastAsia="Book Antiqua" w:cs="Book Antiqua"/>
        </w:rPr>
        <w:t xml:space="preserve"> Informed written consent was obtained from the patient for publication of this report and any accompanying images.</w:t>
      </w:r>
    </w:p>
    <w:p>
      <w:pPr>
        <w:spacing w:line="360" w:lineRule="auto"/>
        <w:jc w:val="both"/>
        <w:rPr>
          <w:rFonts w:ascii="Book Antiqua" w:hAnsi="Book Antiqua" w:eastAsia="Book Antiqua" w:cs="Book Antiqua"/>
          <w:b/>
          <w:bCs/>
        </w:rPr>
      </w:pPr>
    </w:p>
    <w:p>
      <w:pPr>
        <w:spacing w:line="360" w:lineRule="auto"/>
        <w:jc w:val="both"/>
        <w:rPr>
          <w:rFonts w:ascii="Book Antiqua" w:hAnsi="Book Antiqua" w:eastAsia="Book Antiqua" w:cs="Book Antiqua"/>
        </w:rPr>
      </w:pPr>
      <w:r>
        <w:rPr>
          <w:rFonts w:ascii="Book Antiqua" w:hAnsi="Book Antiqua" w:eastAsia="Book Antiqua" w:cs="Book Antiqua"/>
          <w:b/>
          <w:bCs/>
        </w:rPr>
        <w:t xml:space="preserve">Conflict-of-interest statement: </w:t>
      </w:r>
      <w:r>
        <w:rPr>
          <w:rFonts w:ascii="Book Antiqua" w:hAnsi="Book Antiqua" w:eastAsia="Book Antiqua" w:cs="Book Antiqua"/>
        </w:rPr>
        <w:t>The authors declare that they have no conflict of interest.</w:t>
      </w:r>
    </w:p>
    <w:p>
      <w:pPr>
        <w:spacing w:line="360" w:lineRule="auto"/>
        <w:jc w:val="both"/>
        <w:rPr>
          <w:rFonts w:ascii="Book Antiqua" w:hAnsi="Book Antiqua" w:eastAsia="Book Antiqua" w:cs="Book Antiqua"/>
          <w:b/>
          <w:bCs/>
        </w:rPr>
      </w:pPr>
    </w:p>
    <w:p>
      <w:pPr>
        <w:spacing w:line="360" w:lineRule="auto"/>
        <w:jc w:val="both"/>
        <w:rPr>
          <w:rFonts w:ascii="Book Antiqua" w:hAnsi="Book Antiqua" w:eastAsia="Book Antiqua" w:cs="Book Antiqua"/>
        </w:rPr>
      </w:pPr>
      <w:r>
        <w:rPr>
          <w:rFonts w:ascii="Book Antiqua" w:hAnsi="Book Antiqua" w:eastAsia="Book Antiqua" w:cs="Book Antiqua"/>
          <w:b/>
          <w:bCs/>
        </w:rPr>
        <w:t xml:space="preserve">CARE Checklist (2016) statement: </w:t>
      </w:r>
      <w:r>
        <w:rPr>
          <w:rFonts w:ascii="Book Antiqua" w:hAnsi="Book Antiqua" w:eastAsia="Book Antiqua" w:cs="Book Antiqua"/>
        </w:rPr>
        <w:t>The authors have read the CARE Checklist (2016), and the manuscript was prepared and revised according to the CARE Checklist (2016).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Open-Access: </w:t>
      </w:r>
      <w:r>
        <w:rPr>
          <w:rFonts w:ascii="Book Antiqua" w:hAnsi="Book Antiqua" w:eastAsia="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eastAsia="Book Antiqua" w:cs="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rPr>
        <w:t>Unsolicited article; Externally peer reviewed.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rPr>
        <w:t>November 8, 2023</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rPr>
        <w:t>December 6, 2023</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rPr>
        <w:t>January 25, 2024</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rPr>
        <w:t>Gastroenterology and hepatology</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rPr>
        <w:t>Grade A (Excellent): A</w:t>
      </w:r>
    </w:p>
    <w:p>
      <w:pPr>
        <w:spacing w:line="360" w:lineRule="auto"/>
        <w:jc w:val="both"/>
        <w:rPr>
          <w:rFonts w:ascii="Book Antiqua" w:hAnsi="Book Antiqua"/>
        </w:rPr>
      </w:pPr>
      <w:r>
        <w:rPr>
          <w:rFonts w:ascii="Book Antiqua" w:hAnsi="Book Antiqua" w:eastAsia="Book Antiqua" w:cs="Book Antiqua"/>
        </w:rPr>
        <w:t>Grade B (Very good): 0</w:t>
      </w:r>
    </w:p>
    <w:p>
      <w:pPr>
        <w:spacing w:line="360" w:lineRule="auto"/>
        <w:jc w:val="both"/>
        <w:rPr>
          <w:rFonts w:ascii="Book Antiqua" w:hAnsi="Book Antiqua"/>
        </w:rPr>
      </w:pPr>
      <w:r>
        <w:rPr>
          <w:rFonts w:ascii="Book Antiqua" w:hAnsi="Book Antiqua" w:eastAsia="Book Antiqua" w:cs="Book Antiqua"/>
        </w:rPr>
        <w:t>Grade C (Good): 0</w:t>
      </w:r>
    </w:p>
    <w:p>
      <w:pPr>
        <w:spacing w:line="360" w:lineRule="auto"/>
        <w:jc w:val="both"/>
        <w:rPr>
          <w:rFonts w:ascii="Book Antiqua" w:hAnsi="Book Antiqua"/>
        </w:rPr>
      </w:pPr>
      <w:r>
        <w:rPr>
          <w:rFonts w:ascii="Book Antiqua" w:hAnsi="Book Antiqua" w:eastAsia="Book Antiqua" w:cs="Book Antiqua"/>
        </w:rPr>
        <w:t>Grade D (Fair): 0</w:t>
      </w:r>
    </w:p>
    <w:p>
      <w:pPr>
        <w:spacing w:line="360" w:lineRule="auto"/>
        <w:jc w:val="both"/>
        <w:rPr>
          <w:rFonts w:ascii="Book Antiqua" w:hAnsi="Book Antiqua"/>
        </w:rPr>
      </w:pPr>
      <w:r>
        <w:rPr>
          <w:rFonts w:ascii="Book Antiqua" w:hAnsi="Book Antiqua" w:eastAsia="Book Antiqua" w:cs="Book Antiqua"/>
        </w:rPr>
        <w:t>Grade E (Poor): 0</w:t>
      </w:r>
    </w:p>
    <w:p>
      <w:pPr>
        <w:spacing w:line="360" w:lineRule="auto"/>
        <w:jc w:val="both"/>
        <w:rPr>
          <w:rFonts w:ascii="Book Antiqua" w:hAnsi="Book Antiqua"/>
        </w:rPr>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 xml:space="preserve">P-Reviewer: </w:t>
      </w:r>
      <w:r>
        <w:rPr>
          <w:rFonts w:ascii="Book Antiqua" w:hAnsi="Book Antiqua" w:eastAsia="Book Antiqua" w:cs="Book Antiqua"/>
        </w:rPr>
        <w:t>Eysselein VE, United States</w:t>
      </w:r>
      <w:r>
        <w:rPr>
          <w:rFonts w:ascii="Book Antiqua" w:hAnsi="Book Antiqua" w:eastAsia="Book Antiqua" w:cs="Book Antiqua"/>
          <w:b/>
          <w:color w:val="000000"/>
        </w:rPr>
        <w:t xml:space="preserve"> S-Editor: </w:t>
      </w:r>
      <w:r>
        <w:rPr>
          <w:rFonts w:ascii="Book Antiqua" w:hAnsi="Book Antiqua" w:eastAsia="Book Antiqua" w:cs="Book Antiqua"/>
          <w:bCs/>
          <w:color w:val="000000"/>
        </w:rPr>
        <w:t>Qu XL</w:t>
      </w:r>
      <w:r>
        <w:rPr>
          <w:rFonts w:ascii="Book Antiqua" w:hAnsi="Book Antiqua" w:eastAsia="Book Antiqua" w:cs="Book Antiqua"/>
          <w:b/>
          <w:color w:val="000000"/>
        </w:rPr>
        <w:t xml:space="preserve"> L-Editor: </w:t>
      </w:r>
      <w:r>
        <w:rPr>
          <w:rFonts w:hint="eastAsia" w:ascii="Book Antiqua" w:hAnsi="Book Antiqua" w:eastAsia="Book Antiqua" w:cs="Book Antiqua"/>
          <w:b w:val="0"/>
          <w:bCs/>
          <w:color w:val="000000"/>
          <w:lang w:eastAsia="zh-CN"/>
        </w:rPr>
        <w:t>A</w:t>
      </w:r>
      <w:r>
        <w:rPr>
          <w:rFonts w:ascii="Book Antiqua" w:hAnsi="Book Antiqua" w:eastAsia="Book Antiqua" w:cs="Book Antiqua"/>
          <w:b/>
          <w:color w:val="000000"/>
        </w:rPr>
        <w:t xml:space="preserve"> P-Editor: </w:t>
      </w:r>
      <w:r>
        <w:rPr>
          <w:rFonts w:ascii="Book Antiqua" w:hAnsi="Book Antiqua" w:eastAsia="Book Antiqua" w:cs="Book Antiqua"/>
          <w:bCs/>
          <w:color w:val="000000"/>
        </w:rPr>
        <w:t>Qu XL</w:t>
      </w:r>
    </w:p>
    <w:p>
      <w:pPr>
        <w:adjustRightInd w:val="0"/>
        <w:spacing w:line="360" w:lineRule="auto"/>
        <w:rPr>
          <w:rFonts w:ascii="Book Antiqua" w:hAnsi="Book Antiqua" w:eastAsia="Book Antiqua" w:cs="Book Antiqua"/>
          <w:b/>
          <w:color w:val="000000"/>
        </w:rPr>
      </w:pPr>
      <w:r>
        <w:rPr>
          <w:rFonts w:ascii="Book Antiqua" w:hAnsi="Book Antiqua" w:eastAsia="Book Antiqua" w:cs="Book Antiqua"/>
          <w:b/>
          <w:color w:val="000000"/>
        </w:rPr>
        <w:br w:type="page"/>
      </w:r>
      <w:r>
        <w:rPr>
          <w:rFonts w:ascii="Book Antiqua" w:hAnsi="Book Antiqua" w:eastAsia="Book Antiqua" w:cs="Book Antiqua"/>
          <w:b/>
          <w:color w:val="000000"/>
        </w:rPr>
        <w:t>Figure Legends</w:t>
      </w:r>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5942330" cy="3889375"/>
            <wp:effectExtent l="0" t="0" r="1270" b="6350"/>
            <wp:docPr id="7" name="图片 7" descr="WJGS-16-616-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GS-16-616-g001"/>
                    <pic:cNvPicPr>
                      <a:picLocks noChangeAspect="1"/>
                    </pic:cNvPicPr>
                  </pic:nvPicPr>
                  <pic:blipFill>
                    <a:blip r:embed="rId5"/>
                    <a:stretch>
                      <a:fillRect/>
                    </a:stretch>
                  </pic:blipFill>
                  <pic:spPr>
                    <a:xfrm>
                      <a:off x="0" y="0"/>
                      <a:ext cx="5942330" cy="3889375"/>
                    </a:xfrm>
                    <a:prstGeom prst="rect">
                      <a:avLst/>
                    </a:prstGeom>
                  </pic:spPr>
                </pic:pic>
              </a:graphicData>
            </a:graphic>
          </wp:inline>
        </w:drawing>
      </w:r>
    </w:p>
    <w:p>
      <w:pPr>
        <w:spacing w:line="360" w:lineRule="auto"/>
        <w:jc w:val="both"/>
        <w:rPr>
          <w:rFonts w:ascii="Book Antiqua" w:hAnsi="Book Antiqua"/>
        </w:rPr>
      </w:pPr>
      <w:r>
        <w:rPr>
          <w:rFonts w:ascii="Book Antiqua" w:hAnsi="Book Antiqua"/>
          <w:b/>
          <w:bCs/>
        </w:rPr>
        <w:t>Figure 1 Ultrasonography images of the patient.</w:t>
      </w:r>
      <w:r>
        <w:rPr>
          <w:rFonts w:ascii="Book Antiqua" w:hAnsi="Book Antiqua"/>
        </w:rPr>
        <w:t xml:space="preserve"> A: Conventional grayscale ultrasound (US) showed multiple hypoechoic nodules and masses in the spleen; B: There were no blood flow signals in the splenic lesions on Color Doppler US; C: Arterial phase imaging on contrast-enhanced US; D: Venous phase imaging on contrast-enhanced US.</w:t>
      </w:r>
      <w:r>
        <w:rPr>
          <w:rFonts w:ascii="Book Antiqua" w:hAnsi="Book Antiqua"/>
        </w:rPr>
        <w:cr/>
      </w:r>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3009900" cy="1903730"/>
            <wp:effectExtent l="0" t="0" r="0" b="1270"/>
            <wp:docPr id="8" name="图片 8" descr="WJGS-16-616-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GS-16-616-g002"/>
                    <pic:cNvPicPr>
                      <a:picLocks noChangeAspect="1"/>
                    </pic:cNvPicPr>
                  </pic:nvPicPr>
                  <pic:blipFill>
                    <a:blip r:embed="rId6"/>
                    <a:stretch>
                      <a:fillRect/>
                    </a:stretch>
                  </pic:blipFill>
                  <pic:spPr>
                    <a:xfrm>
                      <a:off x="0" y="0"/>
                      <a:ext cx="3009900" cy="1903730"/>
                    </a:xfrm>
                    <a:prstGeom prst="rect">
                      <a:avLst/>
                    </a:prstGeom>
                  </pic:spPr>
                </pic:pic>
              </a:graphicData>
            </a:graphic>
          </wp:inline>
        </w:drawing>
      </w:r>
    </w:p>
    <w:p>
      <w:pPr>
        <w:spacing w:line="360" w:lineRule="auto"/>
        <w:jc w:val="both"/>
        <w:rPr>
          <w:rFonts w:ascii="Book Antiqua" w:hAnsi="Book Antiqua"/>
          <w:b/>
          <w:bCs/>
        </w:rPr>
      </w:pPr>
      <w:r>
        <w:rPr>
          <w:rFonts w:ascii="Book Antiqua" w:hAnsi="Book Antiqua"/>
          <w:b/>
          <w:bCs/>
        </w:rPr>
        <w:t xml:space="preserve">Figure 2 Contrast-enhanced computed tomography images of the patient. </w:t>
      </w:r>
      <w:r>
        <w:rPr>
          <w:rFonts w:ascii="Book Antiqua" w:hAnsi="Book Antiqua"/>
        </w:rPr>
        <w:t xml:space="preserve">Contrast-enhanced computed tomography revealed an enlarged spleen, with multiple irregular nodular and patchy low density shadows, the largest measuring approximately 1.7 cm </w:t>
      </w:r>
      <w:r>
        <w:rPr>
          <w:rFonts w:ascii="Book Antiqua" w:hAnsi="Book Antiqua" w:eastAsia="Book Antiqua" w:cs="Book Antiqua"/>
          <w:color w:val="000000"/>
        </w:rPr>
        <w:t>×</w:t>
      </w:r>
      <w:r>
        <w:rPr>
          <w:rFonts w:ascii="Book Antiqua" w:hAnsi="Book Antiqua"/>
        </w:rPr>
        <w:t xml:space="preserve"> 1.7 cm.</w:t>
      </w:r>
      <w:r>
        <w:rPr>
          <w:rFonts w:ascii="Book Antiqua" w:hAnsi="Book Antiqua"/>
        </w:rPr>
        <w:cr/>
      </w:r>
    </w:p>
    <w:p>
      <w:pPr>
        <w:spacing w:line="360" w:lineRule="auto"/>
        <w:jc w:val="both"/>
        <w:rPr>
          <w:rFonts w:ascii="Book Antiqua" w:hAnsi="Book Antiqua"/>
          <w:b/>
          <w:bCs/>
        </w:rPr>
      </w:pPr>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5941060" cy="2037080"/>
            <wp:effectExtent l="0" t="0" r="2540" b="1270"/>
            <wp:docPr id="9" name="图片 9" descr="WJGS-16-616-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JGS-16-616-g003"/>
                    <pic:cNvPicPr>
                      <a:picLocks noChangeAspect="1"/>
                    </pic:cNvPicPr>
                  </pic:nvPicPr>
                  <pic:blipFill>
                    <a:blip r:embed="rId7"/>
                    <a:stretch>
                      <a:fillRect/>
                    </a:stretch>
                  </pic:blipFill>
                  <pic:spPr>
                    <a:xfrm>
                      <a:off x="0" y="0"/>
                      <a:ext cx="5941060" cy="2037080"/>
                    </a:xfrm>
                    <a:prstGeom prst="rect">
                      <a:avLst/>
                    </a:prstGeom>
                  </pic:spPr>
                </pic:pic>
              </a:graphicData>
            </a:graphic>
          </wp:inline>
        </w:drawing>
      </w:r>
    </w:p>
    <w:p>
      <w:pPr>
        <w:spacing w:line="360" w:lineRule="auto"/>
        <w:jc w:val="both"/>
        <w:rPr>
          <w:rFonts w:ascii="Book Antiqua" w:hAnsi="Book Antiqua"/>
        </w:rPr>
      </w:pPr>
      <w:r>
        <w:rPr>
          <w:rFonts w:ascii="Book Antiqua" w:hAnsi="Book Antiqua"/>
          <w:b/>
          <w:bCs/>
        </w:rPr>
        <w:t xml:space="preserve">Figure 3 Images of the puncture procedure. </w:t>
      </w:r>
      <w:r>
        <w:rPr>
          <w:rFonts w:ascii="Book Antiqua" w:hAnsi="Book Antiqua"/>
        </w:rPr>
        <w:t>A: A 18G coaxial needle (arrow) was applied under real-time ultrasound guidance; B: A muddy mixture(arrowheads) of gelfoam and saline was injected into the coaxial needle sheath to prevent hemorrhage at the end of procedure.</w:t>
      </w:r>
      <w:r>
        <w:rPr>
          <w:rFonts w:ascii="Book Antiqua" w:hAnsi="Book Antiqua"/>
        </w:rPr>
        <w:cr/>
      </w:r>
    </w:p>
    <w:p>
      <w:pPr>
        <w:spacing w:line="360" w:lineRule="auto"/>
        <w:jc w:val="both"/>
        <w:rPr>
          <w:rFonts w:ascii="Book Antiqua" w:hAnsi="Book Antiqua"/>
          <w:b/>
          <w:bCs/>
        </w:rPr>
      </w:pPr>
    </w:p>
    <w:p>
      <w:pPr>
        <w:spacing w:line="360" w:lineRule="auto"/>
        <w:jc w:val="both"/>
        <w:rPr>
          <w:rFonts w:ascii="Book Antiqua" w:hAnsi="Book Antiqua"/>
          <w:b/>
          <w:bCs/>
          <w:lang w:eastAsia="zh-CN"/>
        </w:rPr>
      </w:pPr>
      <w:r>
        <w:rPr>
          <w:rFonts w:ascii="Book Antiqua" w:hAnsi="Book Antiqua"/>
          <w:b/>
          <w:bCs/>
          <w:lang w:eastAsia="zh-CN"/>
        </w:rPr>
        <w:drawing>
          <wp:inline distT="0" distB="0" distL="114300" distR="114300">
            <wp:extent cx="3025140" cy="2044700"/>
            <wp:effectExtent l="0" t="0" r="3810" b="3175"/>
            <wp:docPr id="10" name="图片 10" descr="WJGS-16-616-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JGS-16-616-g004"/>
                    <pic:cNvPicPr>
                      <a:picLocks noChangeAspect="1"/>
                    </pic:cNvPicPr>
                  </pic:nvPicPr>
                  <pic:blipFill>
                    <a:blip r:embed="rId8"/>
                    <a:stretch>
                      <a:fillRect/>
                    </a:stretch>
                  </pic:blipFill>
                  <pic:spPr>
                    <a:xfrm>
                      <a:off x="0" y="0"/>
                      <a:ext cx="3025140" cy="2044700"/>
                    </a:xfrm>
                    <a:prstGeom prst="rect">
                      <a:avLst/>
                    </a:prstGeom>
                  </pic:spPr>
                </pic:pic>
              </a:graphicData>
            </a:graphic>
          </wp:inline>
        </w:drawing>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r>
        <w:rPr>
          <w:rFonts w:ascii="Book Antiqua" w:hAnsi="Book Antiqua"/>
          <w:b/>
          <w:bCs/>
        </w:rPr>
        <w:t>Figure 4 Histopathological findings by hematoxylin-eosin staining (40 ×).</w:t>
      </w:r>
      <w:r>
        <w:rPr>
          <w:rFonts w:ascii="Book Antiqua" w:hAnsi="Book Antiqua"/>
        </w:rPr>
        <w:t xml:space="preserve"> Granulomas were noted in focal areas, accompanied by peripheral lymphoid hyperplasia involving infiltration of neutrophils, monocytes, and plasma cells.</w:t>
      </w:r>
      <w:r>
        <w:rPr>
          <w:rFonts w:ascii="Book Antiqua" w:hAnsi="Book Antiqua"/>
        </w:rPr>
        <w:cr/>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5715" b="7620"/>
            <wp:docPr id="4" name="图片 4"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bookmarkStart w:id="560" w:name="_GoBack"/>
      <w:bookmarkEnd w:id="560"/>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office@baishideng.com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rPr>
        <w:t>© 202</w:t>
      </w:r>
      <w:r>
        <w:rPr>
          <w:rFonts w:hint="eastAsia" w:ascii="Book Antiqua" w:hAnsi="Book Antiqua" w:cs="BookAntiqua-Bold"/>
          <w:b/>
          <w:bCs/>
          <w:color w:val="000000" w:themeColor="text1"/>
          <w:lang w:val="en-US" w:eastAsia="zh-CN"/>
        </w:rPr>
        <w:t>4</w:t>
      </w:r>
      <w:r>
        <w:rPr>
          <w:rFonts w:ascii="Book Antiqua" w:hAnsi="Book Antiqua" w:eastAsia="BookAntiqua-Bold" w:cs="BookAntiqua-Bold"/>
          <w:b/>
          <w:bCs/>
          <w:color w:val="000000" w:themeColor="text1"/>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99254835"/>
    </w:sdtPr>
    <w:sdtContent>
      <w:sdt>
        <w:sdtPr>
          <w:id w:val="-1769616900"/>
        </w:sdtPr>
        <w:sdtContent>
          <w:p>
            <w:pPr>
              <w:pStyle w:val="3"/>
              <w:jc w:val="right"/>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 xml:space="preserve">PAGE</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 xml:space="preserve">NUMPAGES</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p>
        </w:sdtContent>
      </w:sdt>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NTFmY2M5ZTlmZDY0NjQzZDFiMTRmMDdmYTM1YjkzZTgifQ=="/>
  </w:docVars>
  <w:rsids>
    <w:rsidRoot w:val="00A77B3E"/>
    <w:rsid w:val="00026EF7"/>
    <w:rsid w:val="000A5E62"/>
    <w:rsid w:val="000D0952"/>
    <w:rsid w:val="00125DD8"/>
    <w:rsid w:val="00225F8C"/>
    <w:rsid w:val="00246CA1"/>
    <w:rsid w:val="00262E5B"/>
    <w:rsid w:val="002B428B"/>
    <w:rsid w:val="002D1249"/>
    <w:rsid w:val="00342C92"/>
    <w:rsid w:val="003513DB"/>
    <w:rsid w:val="00364A2D"/>
    <w:rsid w:val="003725DE"/>
    <w:rsid w:val="003E335C"/>
    <w:rsid w:val="0041729F"/>
    <w:rsid w:val="00417C76"/>
    <w:rsid w:val="00427ABB"/>
    <w:rsid w:val="00456F5E"/>
    <w:rsid w:val="0049044C"/>
    <w:rsid w:val="004A25AC"/>
    <w:rsid w:val="004B520B"/>
    <w:rsid w:val="004D6C13"/>
    <w:rsid w:val="00500AA9"/>
    <w:rsid w:val="00542756"/>
    <w:rsid w:val="005A1870"/>
    <w:rsid w:val="005A2D47"/>
    <w:rsid w:val="005B6491"/>
    <w:rsid w:val="00623F2A"/>
    <w:rsid w:val="00643BE5"/>
    <w:rsid w:val="006912A0"/>
    <w:rsid w:val="006C3C9B"/>
    <w:rsid w:val="006C5CE2"/>
    <w:rsid w:val="006C6A91"/>
    <w:rsid w:val="006C7697"/>
    <w:rsid w:val="007139EF"/>
    <w:rsid w:val="00715BBE"/>
    <w:rsid w:val="00720A2B"/>
    <w:rsid w:val="00722C4C"/>
    <w:rsid w:val="00744F10"/>
    <w:rsid w:val="007951E8"/>
    <w:rsid w:val="007B3C56"/>
    <w:rsid w:val="007D3969"/>
    <w:rsid w:val="00807505"/>
    <w:rsid w:val="00812C17"/>
    <w:rsid w:val="00855ABE"/>
    <w:rsid w:val="00894464"/>
    <w:rsid w:val="008A12D6"/>
    <w:rsid w:val="008A7E9E"/>
    <w:rsid w:val="008C4E05"/>
    <w:rsid w:val="00941A0D"/>
    <w:rsid w:val="00957632"/>
    <w:rsid w:val="009B2D0E"/>
    <w:rsid w:val="009C4698"/>
    <w:rsid w:val="00A235DB"/>
    <w:rsid w:val="00A30CCC"/>
    <w:rsid w:val="00A77B3E"/>
    <w:rsid w:val="00A91DAB"/>
    <w:rsid w:val="00AA7900"/>
    <w:rsid w:val="00B21567"/>
    <w:rsid w:val="00B3600D"/>
    <w:rsid w:val="00B61E25"/>
    <w:rsid w:val="00BB47B2"/>
    <w:rsid w:val="00BD0AE6"/>
    <w:rsid w:val="00C6427A"/>
    <w:rsid w:val="00C818B1"/>
    <w:rsid w:val="00C83AD1"/>
    <w:rsid w:val="00C97BBD"/>
    <w:rsid w:val="00CA2A55"/>
    <w:rsid w:val="00CB4054"/>
    <w:rsid w:val="00D07433"/>
    <w:rsid w:val="00D40254"/>
    <w:rsid w:val="00D5637E"/>
    <w:rsid w:val="00D6789D"/>
    <w:rsid w:val="00D83D1E"/>
    <w:rsid w:val="00DA6ED0"/>
    <w:rsid w:val="00E42EA2"/>
    <w:rsid w:val="00E712E2"/>
    <w:rsid w:val="00E87CBF"/>
    <w:rsid w:val="00EB7A80"/>
    <w:rsid w:val="00EC623B"/>
    <w:rsid w:val="00F24213"/>
    <w:rsid w:val="00F3705E"/>
    <w:rsid w:val="00FC0721"/>
    <w:rsid w:val="00FC1BCA"/>
    <w:rsid w:val="00FE138E"/>
    <w:rsid w:val="1DA653E3"/>
    <w:rsid w:val="2CC06D7B"/>
    <w:rsid w:val="3A1E65D5"/>
    <w:rsid w:val="3F4A11B2"/>
    <w:rsid w:val="44364454"/>
    <w:rsid w:val="56A11347"/>
    <w:rsid w:val="5F4520EB"/>
    <w:rsid w:val="61ED6709"/>
    <w:rsid w:val="653B59DE"/>
    <w:rsid w:val="699833FF"/>
    <w:rsid w:val="783A50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7">
    <w:name w:val="Default Paragraph Font"/>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2">
    <w:name w:val="annotation text"/>
    <w:basedOn w:val="1"/>
    <w:link w:val="13"/>
    <w:autoRedefine/>
    <w:qFormat/>
    <w:uiPriority w:val="0"/>
  </w:style>
  <w:style w:type="paragraph" w:styleId="3">
    <w:name w:val="footer"/>
    <w:basedOn w:val="1"/>
    <w:link w:val="11"/>
    <w:autoRedefine/>
    <w:qFormat/>
    <w:uiPriority w:val="99"/>
    <w:pPr>
      <w:tabs>
        <w:tab w:val="center" w:pos="4153"/>
        <w:tab w:val="right" w:pos="8306"/>
      </w:tabs>
      <w:snapToGrid w:val="0"/>
    </w:pPr>
    <w:rPr>
      <w:sz w:val="18"/>
      <w:szCs w:val="18"/>
    </w:rPr>
  </w:style>
  <w:style w:type="paragraph" w:styleId="4">
    <w:name w:val="header"/>
    <w:basedOn w:val="1"/>
    <w:link w:val="10"/>
    <w:autoRedefine/>
    <w:qFormat/>
    <w:uiPriority w:val="0"/>
    <w:pPr>
      <w:tabs>
        <w:tab w:val="center" w:pos="4153"/>
        <w:tab w:val="right" w:pos="8306"/>
      </w:tabs>
      <w:snapToGrid w:val="0"/>
      <w:jc w:val="center"/>
    </w:pPr>
    <w:rPr>
      <w:sz w:val="18"/>
      <w:szCs w:val="18"/>
    </w:rPr>
  </w:style>
  <w:style w:type="paragraph" w:styleId="5">
    <w:name w:val="annotation subject"/>
    <w:basedOn w:val="2"/>
    <w:next w:val="2"/>
    <w:link w:val="14"/>
    <w:autoRedefine/>
    <w:qFormat/>
    <w:uiPriority w:val="0"/>
    <w:rPr>
      <w:b/>
      <w:bCs/>
    </w:rPr>
  </w:style>
  <w:style w:type="character" w:styleId="8">
    <w:name w:val="annotation reference"/>
    <w:basedOn w:val="7"/>
    <w:autoRedefine/>
    <w:qFormat/>
    <w:uiPriority w:val="0"/>
    <w:rPr>
      <w:sz w:val="21"/>
      <w:szCs w:val="21"/>
    </w:rPr>
  </w:style>
  <w:style w:type="character" w:customStyle="1" w:styleId="9">
    <w:name w:val="15"/>
    <w:basedOn w:val="7"/>
    <w:autoRedefine/>
    <w:qFormat/>
    <w:uiPriority w:val="0"/>
  </w:style>
  <w:style w:type="character" w:customStyle="1" w:styleId="10">
    <w:name w:val="页眉 字符"/>
    <w:basedOn w:val="7"/>
    <w:link w:val="4"/>
    <w:autoRedefine/>
    <w:qFormat/>
    <w:uiPriority w:val="0"/>
    <w:rPr>
      <w:sz w:val="18"/>
      <w:szCs w:val="18"/>
    </w:rPr>
  </w:style>
  <w:style w:type="character" w:customStyle="1" w:styleId="11">
    <w:name w:val="页脚 字符"/>
    <w:basedOn w:val="7"/>
    <w:link w:val="3"/>
    <w:autoRedefine/>
    <w:qFormat/>
    <w:uiPriority w:val="99"/>
    <w:rPr>
      <w:sz w:val="18"/>
      <w:szCs w:val="18"/>
    </w:rPr>
  </w:style>
  <w:style w:type="paragraph" w:customStyle="1" w:styleId="12">
    <w:name w:val="修订1"/>
    <w:autoRedefine/>
    <w:hidden/>
    <w:semiHidden/>
    <w:qFormat/>
    <w:uiPriority w:val="99"/>
    <w:rPr>
      <w:rFonts w:ascii="Times New Roman" w:hAnsi="Times New Roman" w:cs="Times New Roman" w:eastAsiaTheme="minorEastAsia"/>
      <w:sz w:val="24"/>
      <w:szCs w:val="24"/>
      <w:lang w:val="en-US" w:eastAsia="en-US" w:bidi="ar-SA"/>
    </w:rPr>
  </w:style>
  <w:style w:type="character" w:customStyle="1" w:styleId="13">
    <w:name w:val="批注文字 字符"/>
    <w:basedOn w:val="7"/>
    <w:link w:val="2"/>
    <w:autoRedefine/>
    <w:qFormat/>
    <w:uiPriority w:val="0"/>
    <w:rPr>
      <w:sz w:val="24"/>
      <w:szCs w:val="24"/>
    </w:rPr>
  </w:style>
  <w:style w:type="character" w:customStyle="1" w:styleId="14">
    <w:name w:val="批注主题 字符"/>
    <w:basedOn w:val="13"/>
    <w:link w:val="5"/>
    <w:autoRedefine/>
    <w:qFormat/>
    <w:uiPriority w:val="0"/>
    <w:rPr>
      <w:b/>
      <w:bCs/>
      <w:sz w:val="24"/>
      <w:szCs w:val="24"/>
    </w:rPr>
  </w:style>
  <w:style w:type="paragraph" w:customStyle="1" w:styleId="15">
    <w:name w:val="修订2"/>
    <w:autoRedefine/>
    <w:hidden/>
    <w:unhideWhenUsed/>
    <w:qFormat/>
    <w:uiPriority w:val="99"/>
    <w:rPr>
      <w:rFonts w:ascii="Times New Roman" w:hAnsi="Times New Roman" w:cs="Times New Roman" w:eastAsiaTheme="minorEastAsia"/>
      <w:sz w:val="24"/>
      <w:szCs w:val="24"/>
      <w:lang w:val="en-US" w:eastAsia="en-US" w:bidi="ar-SA"/>
    </w:rPr>
  </w:style>
  <w:style w:type="paragraph" w:customStyle="1" w:styleId="16">
    <w:name w:val="Revision"/>
    <w:autoRedefine/>
    <w:hidden/>
    <w:unhideWhenUsed/>
    <w:qFormat/>
    <w:uiPriority w:val="99"/>
    <w:rPr>
      <w:rFonts w:ascii="Times New Roman" w:hAnsi="Times New Roman" w:cs="Times New Roman" w:eastAsiaTheme="minorEastAsia"/>
      <w:sz w:val="24"/>
      <w:szCs w:val="24"/>
      <w:lang w:val="en-US" w:eastAsia="en-US" w:bidi="ar-SA"/>
    </w:rPr>
  </w:style>
  <w:style w:type="character" w:customStyle="1" w:styleId="17">
    <w:name w:val="font31"/>
    <w:basedOn w:val="7"/>
    <w:autoRedefine/>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15</Pages>
  <Words>3118</Words>
  <Characters>17777</Characters>
  <Lines>148</Lines>
  <Paragraphs>41</Paragraphs>
  <TotalTime>0</TotalTime>
  <ScaleCrop>false</ScaleCrop>
  <LinksUpToDate>false</LinksUpToDate>
  <CharactersWithSpaces>20854</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2024-01-17T13:13:00Z</dcterms:created>
  <dc:creator>10447</dc:creator>
  <cp:lastModifiedBy>xzh</cp:lastModifiedBy>
  <dcterms:modified xsi:type="dcterms:W3CDTF">2024-02-25T10:02:07Z</dcterms:modified>
  <cp:revision>344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0AA30444953E4432A0E19A685CEF42C7_12</vt:lpwstr>
  </property>
</Properties>
</file>