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1551" w14:textId="17D98DDC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Name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of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Journal: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i/>
        </w:rPr>
        <w:t>World</w:t>
      </w:r>
      <w:r w:rsidR="00CB4810" w:rsidRPr="00B505C8">
        <w:rPr>
          <w:rFonts w:ascii="Book Antiqua" w:eastAsia="Book Antiqua" w:hAnsi="Book Antiqua" w:cs="Book Antiqua"/>
          <w:i/>
        </w:rPr>
        <w:t xml:space="preserve"> </w:t>
      </w:r>
      <w:r w:rsidRPr="00B505C8">
        <w:rPr>
          <w:rFonts w:ascii="Book Antiqua" w:eastAsia="Book Antiqua" w:hAnsi="Book Antiqua" w:cs="Book Antiqua"/>
          <w:i/>
        </w:rPr>
        <w:t>Journal</w:t>
      </w:r>
      <w:r w:rsidR="00CB4810" w:rsidRPr="00B505C8">
        <w:rPr>
          <w:rFonts w:ascii="Book Antiqua" w:eastAsia="Book Antiqua" w:hAnsi="Book Antiqua" w:cs="Book Antiqua"/>
          <w:i/>
        </w:rPr>
        <w:t xml:space="preserve"> </w:t>
      </w:r>
      <w:r w:rsidRPr="00B505C8">
        <w:rPr>
          <w:rFonts w:ascii="Book Antiqua" w:eastAsia="Book Antiqua" w:hAnsi="Book Antiqua" w:cs="Book Antiqua"/>
          <w:i/>
        </w:rPr>
        <w:t>of</w:t>
      </w:r>
      <w:r w:rsidR="00CB4810" w:rsidRPr="00B505C8">
        <w:rPr>
          <w:rFonts w:ascii="Book Antiqua" w:eastAsia="Book Antiqua" w:hAnsi="Book Antiqua" w:cs="Book Antiqua"/>
          <w:i/>
        </w:rPr>
        <w:t xml:space="preserve"> </w:t>
      </w:r>
      <w:r w:rsidRPr="00B505C8">
        <w:rPr>
          <w:rFonts w:ascii="Book Antiqua" w:eastAsia="Book Antiqua" w:hAnsi="Book Antiqua" w:cs="Book Antiqua"/>
          <w:i/>
        </w:rPr>
        <w:t>Hepatology</w:t>
      </w:r>
    </w:p>
    <w:p w14:paraId="15C4888A" w14:textId="2C3120C8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Manuscript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NO: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</w:rPr>
        <w:t>89977</w:t>
      </w:r>
    </w:p>
    <w:p w14:paraId="2FB6CDE1" w14:textId="1D246FD3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Manuscript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Type: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</w:rPr>
        <w:t>EDITORIAL</w:t>
      </w:r>
    </w:p>
    <w:p w14:paraId="13050FFA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44429820" w14:textId="2540178B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Can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rifaximin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for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hepatic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encephalopathy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be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discontinued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during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broad-spectrum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antibiotic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treatment?</w:t>
      </w:r>
    </w:p>
    <w:p w14:paraId="49D2E734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3AFC9F17" w14:textId="74A2E0A1" w:rsidR="00A77B3E" w:rsidRPr="00B505C8" w:rsidRDefault="009C2F87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Huang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al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discontinuation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during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broad-spectrum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treatment</w:t>
      </w:r>
    </w:p>
    <w:p w14:paraId="08701019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4E264149" w14:textId="45DB57B2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Chien-Hao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Huang,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Piero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Amodio</w:t>
      </w:r>
    </w:p>
    <w:p w14:paraId="2CA35BD2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12065A03" w14:textId="3AC4D55F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Chien-Hao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Huang,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Division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Hepatology,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Department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Gastroenterology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Hepatology,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Chang-Gung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Memorial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Hospital,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Linkou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Medical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Center,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Taoyuan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333,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Taiwan</w:t>
      </w:r>
    </w:p>
    <w:p w14:paraId="18B7ECF3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6309E12B" w14:textId="77A916BA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Piero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Amodio,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Department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Clinical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Experimental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Medicine,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University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Padua,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Padova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35122,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</w:t>
      </w:r>
      <w:bookmarkStart w:id="0" w:name="OLE_LINK8206"/>
      <w:bookmarkStart w:id="1" w:name="OLE_LINK8207"/>
      <w:r w:rsidRPr="00B505C8">
        <w:rPr>
          <w:rFonts w:ascii="Book Antiqua" w:eastAsia="Book Antiqua" w:hAnsi="Book Antiqua" w:cs="Book Antiqua"/>
        </w:rPr>
        <w:t>taly</w:t>
      </w:r>
      <w:bookmarkEnd w:id="0"/>
      <w:bookmarkEnd w:id="1"/>
    </w:p>
    <w:p w14:paraId="0D1025FC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3F8DF596" w14:textId="172C5F3D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Author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contributions: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Huang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wrote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original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manuscript;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Amodio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reviewed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revised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manuscript.</w:t>
      </w:r>
    </w:p>
    <w:p w14:paraId="44134872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32CF05CC" w14:textId="1ED90DAE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Supported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Chang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Medical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Research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Project,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CMRPG3M1931-1932;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National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Science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Technology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Council,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MOST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110-2314-B-182A-093-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NMRPG3L0331.</w:t>
      </w:r>
    </w:p>
    <w:p w14:paraId="4B1E286B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5F016B62" w14:textId="05356FAC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Corresponding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author: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Piero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Amodio,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Doctor,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MD,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Academic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Editor,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Additional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Professor,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Department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Clinical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Experimental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Medicine,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University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Padua,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Giustiniani,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Padova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35122,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Italy.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piero.amodio@unipd.it</w:t>
      </w:r>
    </w:p>
    <w:p w14:paraId="548178A0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05FD6CCB" w14:textId="2450EB3E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November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2023</w:t>
      </w:r>
    </w:p>
    <w:p w14:paraId="664352FA" w14:textId="1E4710DB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Revised: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January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2024</w:t>
      </w:r>
    </w:p>
    <w:p w14:paraId="3FD3399B" w14:textId="2D0229BB" w:rsidR="00A77B3E" w:rsidRPr="00B505C8" w:rsidRDefault="00852A10" w:rsidP="00386B2E">
      <w:pPr>
        <w:spacing w:line="360" w:lineRule="auto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Accepted: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r w:rsidR="00941B76">
        <w:rPr>
          <w:rFonts w:ascii="Book Antiqua" w:hAnsi="Book Antiqua"/>
        </w:rPr>
        <w:t>January 24, 2024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</w:p>
    <w:p w14:paraId="2555C1A8" w14:textId="192CB358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Published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online: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="00386B2E">
        <w:rPr>
          <w:rFonts w:ascii="Book Antiqua" w:hAnsi="Book Antiqua"/>
          <w:color w:val="000000"/>
          <w:shd w:val="clear" w:color="auto" w:fill="FFFFFF"/>
        </w:rPr>
        <w:t>February 27, 2024</w:t>
      </w:r>
    </w:p>
    <w:p w14:paraId="65F31568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  <w:sectPr w:rsidR="00A77B3E" w:rsidRPr="00B505C8" w:rsidSect="005C426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92CA5" w14:textId="77777777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lastRenderedPageBreak/>
        <w:t>Abstract</w:t>
      </w:r>
    </w:p>
    <w:p w14:paraId="5E828510" w14:textId="12D3BDF4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(HE)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formidable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complication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decompensated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often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necessitating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administration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(RFX)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management.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RFX,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gut-restricted,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13073E" w:rsidRPr="00B505C8">
        <w:rPr>
          <w:rStyle w:val="15"/>
          <w:rFonts w:ascii="Book Antiqua" w:eastAsia="Book Antiqua" w:hAnsi="Book Antiqua" w:cs="Book Antiqua"/>
        </w:rPr>
        <w:t>poorly</w:t>
      </w:r>
      <w:r w:rsidRPr="00B505C8">
        <w:rPr>
          <w:rStyle w:val="15"/>
          <w:rFonts w:ascii="Book Antiqua" w:eastAsia="Book Antiqua" w:hAnsi="Book Antiqua" w:cs="Book Antiqua"/>
        </w:rPr>
        <w:t>-absorbable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oral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rifamycin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derived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antibiotic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that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can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be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used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addition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lactulose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secondary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prophylaxis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shown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notable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reductions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infection,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hospital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readmission,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duration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hospital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stay</w:t>
      </w:r>
      <w:proofErr w:type="gramEnd"/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mortality</w:t>
      </w:r>
      <w:r w:rsidRPr="00B505C8">
        <w:rPr>
          <w:rStyle w:val="15"/>
          <w:rFonts w:ascii="Book Antiqua" w:eastAsia="Book Antiqua" w:hAnsi="Book Antiqua" w:cs="Book Antiqua"/>
        </w:rPr>
        <w:t>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However,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limited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data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exist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about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concurrent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use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RFX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with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broad-spectrum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antibiotics,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because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patients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are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typically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excluded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from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studies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assessing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RFX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efficacy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HE.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pharmacist-driven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quasi-experimental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pilot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done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address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gap.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argue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against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necessity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during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broad-spectrum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particularly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critically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intensive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care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unit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(ICU)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potential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safe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discontinuation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without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adverse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clearly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illuminated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valuable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insight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optimization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therapeutic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strategies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offered.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findings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also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indicate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that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RFX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discontinuation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during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broad-spectrum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antibiotic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therapy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was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not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associated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with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higher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rates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of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delirium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or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coma,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and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this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result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remained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robust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after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adjustment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in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multivariate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analysis.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Furthermore,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</w:t>
      </w:r>
      <w:r w:rsidRPr="00B505C8">
        <w:rPr>
          <w:rStyle w:val="15"/>
          <w:rFonts w:ascii="Book Antiqua" w:eastAsia="Book Antiqua" w:hAnsi="Book Antiqua" w:cs="Book Antiqua"/>
        </w:rPr>
        <w:t>ates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other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secondary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clinical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safety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outcomes,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including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ICU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mortality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48-hour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changes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vasopressor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requirements,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were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comparable.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However,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since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activity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mainly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confined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modulation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potential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utility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undergoing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extensive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therapy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debatable,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given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overlapping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antibiotic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activity.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1A7E3A" w:rsidRPr="00B505C8">
        <w:rPr>
          <w:rFonts w:ascii="Book Antiqua" w:eastAsia="Book Antiqua" w:hAnsi="Book Antiqua" w:cs="Book Antiqua"/>
        </w:rPr>
        <w:t xml:space="preserve">Further, this </w:t>
      </w:r>
      <w:bookmarkStart w:id="542" w:name="_Hlk156972188"/>
      <w:r w:rsidR="001A7E3A" w:rsidRPr="00B505C8">
        <w:rPr>
          <w:rFonts w:ascii="Book Antiqua" w:eastAsia="Book Antiqua" w:hAnsi="Book Antiqua" w:cs="Book Antiqua"/>
        </w:rPr>
        <w:t xml:space="preserve">suggests that the action of RFX </w:t>
      </w:r>
      <w:bookmarkEnd w:id="542"/>
      <w:r w:rsidR="001A7E3A" w:rsidRPr="00B505C8">
        <w:rPr>
          <w:rFonts w:ascii="Book Antiqua" w:eastAsia="Book Antiqua" w:hAnsi="Book Antiqua" w:cs="Book Antiqua"/>
        </w:rPr>
        <w:t xml:space="preserve">on HE is </w:t>
      </w:r>
      <w:r w:rsidR="00521A08" w:rsidRPr="00B505C8">
        <w:rPr>
          <w:rFonts w:ascii="Book Antiqua" w:eastAsia="Book Antiqua" w:hAnsi="Book Antiqua" w:cs="Book Antiqua"/>
        </w:rPr>
        <w:t>class-</w:t>
      </w:r>
      <w:r w:rsidR="001A7E3A" w:rsidRPr="00B505C8">
        <w:rPr>
          <w:rFonts w:ascii="Book Antiqua" w:eastAsia="Book Antiqua" w:hAnsi="Book Antiqua" w:cs="Book Antiqua"/>
        </w:rPr>
        <w:t xml:space="preserve">specific (related to its </w:t>
      </w:r>
      <w:bookmarkStart w:id="543" w:name="_Hlk156972191"/>
      <w:r w:rsidR="001A7E3A" w:rsidRPr="00B505C8">
        <w:rPr>
          <w:rFonts w:ascii="Book Antiqua" w:eastAsia="Book Antiqua" w:hAnsi="Book Antiqua" w:cs="Book Antiqua"/>
        </w:rPr>
        <w:t xml:space="preserve">activity on gut microbiota), rather </w:t>
      </w:r>
      <w:bookmarkEnd w:id="543"/>
      <w:r w:rsidR="001A7E3A" w:rsidRPr="00B505C8">
        <w:rPr>
          <w:rFonts w:ascii="Book Antiqua" w:eastAsia="Book Antiqua" w:hAnsi="Book Antiqua" w:cs="Book Antiqua"/>
        </w:rPr>
        <w:t>than drug</w:t>
      </w:r>
      <w:r w:rsidR="00521A08" w:rsidRPr="00B505C8">
        <w:rPr>
          <w:rFonts w:ascii="Book Antiqua" w:eastAsia="Book Antiqua" w:hAnsi="Book Antiqua" w:cs="Book Antiqua"/>
        </w:rPr>
        <w:t>-</w:t>
      </w:r>
      <w:r w:rsidR="001A7E3A" w:rsidRPr="00B505C8">
        <w:rPr>
          <w:rFonts w:ascii="Book Antiqua" w:eastAsia="Book Antiqua" w:hAnsi="Book Antiqua" w:cs="Book Antiqua"/>
        </w:rPr>
        <w:t xml:space="preserve">specific.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double-blind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randomized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controlled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</w:t>
      </w:r>
      <w:proofErr w:type="spellStart"/>
      <w:r w:rsidRPr="00B505C8">
        <w:rPr>
          <w:rFonts w:ascii="Book Antiqua" w:eastAsia="Book Antiqua" w:hAnsi="Book Antiqua" w:cs="Book Antiqua"/>
        </w:rPr>
        <w:t>ARiE</w:t>
      </w:r>
      <w:proofErr w:type="spellEnd"/>
      <w:r w:rsidRPr="00B505C8">
        <w:rPr>
          <w:rFonts w:ascii="Book Antiqua" w:eastAsia="Book Antiqua" w:hAnsi="Book Antiqua" w:cs="Book Antiqua"/>
        </w:rPr>
        <w:t>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provided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further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evidence-based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support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withdrawal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critically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ICU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receiving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broad-spectrum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Both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studies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prompt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further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discussion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about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optimal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therapeutic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strategy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facing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dual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challenge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infections.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Despite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these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compelling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results,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both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studies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have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limitations.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prospective,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multi-center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evaluation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larger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sample,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with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placebo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control,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comprehensive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neurologic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evaluation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warranted.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lastRenderedPageBreak/>
        <w:t>should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include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exploration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longer-term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outcome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impact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this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protocol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non-critically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ill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liver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disease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patients.</w:t>
      </w:r>
    </w:p>
    <w:p w14:paraId="5037AFD2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0360F28B" w14:textId="73D08E62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Key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Words: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discontinuation;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Broad-spectrum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antibiotics;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Crit-</w:t>
      </w:r>
      <w:proofErr w:type="spellStart"/>
      <w:r w:rsidRPr="00B505C8">
        <w:rPr>
          <w:rFonts w:ascii="Book Antiqua" w:eastAsia="Book Antiqua" w:hAnsi="Book Antiqua" w:cs="Book Antiqua"/>
        </w:rPr>
        <w:t>ically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Medical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intensive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unit;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Pharmacist-driven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protocol</w:t>
      </w:r>
    </w:p>
    <w:p w14:paraId="39457D83" w14:textId="5245B99B" w:rsidR="00A77B3E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6E89C52B" w14:textId="77777777" w:rsidR="00AC2ABD" w:rsidRDefault="00AC2ABD" w:rsidP="00AC2ABD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57EE5D9A" w14:textId="77777777" w:rsidR="00AC2ABD" w:rsidRPr="00B505C8" w:rsidRDefault="00AC2ABD" w:rsidP="009C2F87">
      <w:pPr>
        <w:spacing w:line="360" w:lineRule="auto"/>
        <w:jc w:val="both"/>
        <w:rPr>
          <w:rFonts w:ascii="Book Antiqua" w:hAnsi="Book Antiqua"/>
        </w:rPr>
      </w:pPr>
    </w:p>
    <w:p w14:paraId="321BC26D" w14:textId="71BA6E4E" w:rsidR="00AC2ABD" w:rsidRDefault="00366C1E" w:rsidP="009C2F87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hint="eastAsia"/>
          <w:b/>
          <w:bCs/>
        </w:rPr>
        <w:t>Citation</w:t>
      </w:r>
      <w:r w:rsidRPr="00F25858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Huang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CH,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Amodio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P.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Can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encephalopathy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be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discontinued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during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broad-spectrum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treatment?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  <w:i/>
          <w:iCs/>
        </w:rPr>
        <w:t>World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="00852A10"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="00852A10"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52A10" w:rsidRPr="00B505C8">
        <w:rPr>
          <w:rFonts w:ascii="Book Antiqua" w:eastAsia="Book Antiqua" w:hAnsi="Book Antiqua" w:cs="Book Antiqua"/>
        </w:rPr>
        <w:t>2024;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386B2E" w:rsidRPr="00386B2E">
        <w:rPr>
          <w:rFonts w:ascii="Book Antiqua" w:eastAsia="Book Antiqua" w:hAnsi="Book Antiqua" w:cs="Book Antiqua"/>
        </w:rPr>
        <w:t xml:space="preserve">16(2): </w:t>
      </w:r>
      <w:r>
        <w:rPr>
          <w:rFonts w:ascii="Book Antiqua" w:eastAsia="Book Antiqua" w:hAnsi="Book Antiqua" w:cs="Book Antiqua"/>
        </w:rPr>
        <w:t>115</w:t>
      </w:r>
      <w:r w:rsidR="00386B2E" w:rsidRPr="00386B2E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119</w:t>
      </w:r>
    </w:p>
    <w:p w14:paraId="5B07FE44" w14:textId="1826ABB6" w:rsidR="00AC2ABD" w:rsidRDefault="00386B2E" w:rsidP="009C2F8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66C1E">
        <w:rPr>
          <w:rFonts w:ascii="Book Antiqua" w:eastAsia="Book Antiqua" w:hAnsi="Book Antiqua" w:cs="Book Antiqua"/>
          <w:b/>
          <w:bCs/>
        </w:rPr>
        <w:t>URL</w:t>
      </w:r>
      <w:r w:rsidRPr="00386B2E">
        <w:rPr>
          <w:rFonts w:ascii="Book Antiqua" w:eastAsia="Book Antiqua" w:hAnsi="Book Antiqua" w:cs="Book Antiqua"/>
        </w:rPr>
        <w:t xml:space="preserve">: </w:t>
      </w:r>
      <w:hyperlink r:id="rId7" w:history="1">
        <w:r w:rsidR="00366C1E" w:rsidRPr="00366C1E">
          <w:rPr>
            <w:rStyle w:val="ad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https://www.wjgnet.com/1948-5182/full/v16/i2/115.htm</w:t>
        </w:r>
      </w:hyperlink>
    </w:p>
    <w:p w14:paraId="39ECDB37" w14:textId="198A940E" w:rsidR="00A77B3E" w:rsidRPr="00B505C8" w:rsidRDefault="00386B2E" w:rsidP="009C2F87">
      <w:pPr>
        <w:spacing w:line="360" w:lineRule="auto"/>
        <w:jc w:val="both"/>
        <w:rPr>
          <w:rFonts w:ascii="Book Antiqua" w:hAnsi="Book Antiqua"/>
        </w:rPr>
      </w:pPr>
      <w:r w:rsidRPr="00366C1E">
        <w:rPr>
          <w:rFonts w:ascii="Book Antiqua" w:eastAsia="Book Antiqua" w:hAnsi="Book Antiqua" w:cs="Book Antiqua"/>
          <w:b/>
          <w:bCs/>
        </w:rPr>
        <w:t>DOI</w:t>
      </w:r>
      <w:r w:rsidRPr="00386B2E">
        <w:rPr>
          <w:rFonts w:ascii="Book Antiqua" w:eastAsia="Book Antiqua" w:hAnsi="Book Antiqua" w:cs="Book Antiqua"/>
        </w:rPr>
        <w:t>: https://dx.doi.org/10.4254/wjh.v16.i2.</w:t>
      </w:r>
      <w:r w:rsidR="00366C1E">
        <w:rPr>
          <w:rFonts w:ascii="Book Antiqua" w:eastAsia="Book Antiqua" w:hAnsi="Book Antiqua" w:cs="Book Antiqua"/>
        </w:rPr>
        <w:t>115</w:t>
      </w:r>
    </w:p>
    <w:p w14:paraId="4EA2918A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4DB63CB0" w14:textId="02E71889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Core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Tip: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(RFX)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gut-restricted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adjunct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lactulose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minimizes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(HE)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recurrence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minimal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absorption.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Despite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established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benefits,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limited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Food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Drug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Administration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approval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for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acute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raises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concern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about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its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use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treating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acute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overt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HE.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evidence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challenges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routine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broad-spec</w:t>
      </w:r>
      <w:bookmarkStart w:id="544" w:name="_Hlk156972175"/>
      <w:r w:rsidRPr="00B505C8">
        <w:rPr>
          <w:rFonts w:ascii="Book Antiqua" w:eastAsia="Book Antiqua" w:hAnsi="Book Antiqua" w:cs="Book Antiqua"/>
        </w:rPr>
        <w:t>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emphasizi</w:t>
      </w:r>
      <w:bookmarkEnd w:id="544"/>
      <w:r w:rsidRPr="00B505C8">
        <w:rPr>
          <w:rFonts w:ascii="Book Antiqua" w:eastAsia="Book Antiqua" w:hAnsi="Book Antiqua" w:cs="Book Antiqua"/>
        </w:rPr>
        <w:t>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521A08" w:rsidRPr="00B505C8">
        <w:rPr>
          <w:rFonts w:ascii="Book Antiqua" w:eastAsia="Book Antiqua" w:hAnsi="Book Antiqua" w:cs="Book Antiqua"/>
        </w:rPr>
        <w:t>their class</w:t>
      </w:r>
      <w:r w:rsidRPr="00B505C8">
        <w:rPr>
          <w:rFonts w:ascii="Book Antiqua" w:eastAsia="Book Antiqua" w:hAnsi="Book Antiqua" w:cs="Book Antiqua"/>
        </w:rPr>
        <w:t>-specific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critically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sheds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light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safety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discontinuing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during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broad-spectrum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therapy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intensive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disease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also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prompts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reevaluation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role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amid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overlapping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activity.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evidence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underscores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further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investigations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optimize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management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both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infections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disease,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including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those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critically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ill.</w:t>
      </w:r>
    </w:p>
    <w:p w14:paraId="634318CE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201B941E" w14:textId="77777777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2063DE95" w14:textId="62837E1C" w:rsidR="00FC7ABD" w:rsidRPr="00B505C8" w:rsidRDefault="00FC7ABD" w:rsidP="00FC7ABD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lastRenderedPageBreak/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(HE),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neuropsychiatric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complication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decompensated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manifests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across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clinical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from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minimal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cognitive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dysfunction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lethargy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coma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1,2]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carries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substantial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mortality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recurrence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risks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3]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impacts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health-related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quality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life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significant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degree</w:t>
      </w:r>
      <w:r w:rsidRPr="00B505C8">
        <w:rPr>
          <w:rFonts w:ascii="Book Antiqua" w:eastAsia="Book Antiqua" w:hAnsi="Book Antiqua" w:cs="Book Antiqua"/>
          <w:vertAlign w:val="superscript"/>
        </w:rPr>
        <w:t>[4]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Despite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incomplete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understanding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comprehensive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mechanisms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3]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pseudo-neurotrans</w:t>
      </w:r>
      <w:r w:rsidRPr="00B505C8">
        <w:rPr>
          <w:rFonts w:ascii="Book Antiqua" w:eastAsia="Book Antiqua" w:hAnsi="Book Antiqua" w:cs="Book Antiqua"/>
        </w:rPr>
        <w:softHyphen/>
        <w:t>mitters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like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gamma-aminobutyric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acid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(GABA),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indole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well-established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neurotoxins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implicated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Pr="00B505C8">
        <w:rPr>
          <w:rFonts w:ascii="Book Antiqua" w:eastAsia="Book Antiqua" w:hAnsi="Book Antiqua" w:cs="Book Antiqua"/>
          <w:vertAlign w:val="superscript"/>
        </w:rPr>
        <w:t>[5,6]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suggested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neurotoxins,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produced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colonic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bacteria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enterocytes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metabolize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proteins,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enter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circulation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through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portal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vein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blood-brain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barrier,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contribute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neurologic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dysfunction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under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conditions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7]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gastrointestinal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tract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serves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primary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source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growing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recognition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another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significant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contributor.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Current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drug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therapies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lactulose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(RFX),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focus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reduction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plasma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levels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improvement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dysbiosis.</w:t>
      </w:r>
    </w:p>
    <w:p w14:paraId="325EC402" w14:textId="30C8479D" w:rsidR="00FC7ABD" w:rsidRPr="00B505C8" w:rsidRDefault="00FC7ABD" w:rsidP="00FC7ABD">
      <w:pPr>
        <w:spacing w:line="360" w:lineRule="auto"/>
        <w:ind w:firstLine="480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RFX,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very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low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absorption,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used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adjunctive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lactulose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prevent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recurrence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HE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3,8]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This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gut-restricted,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non-absorbable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rifamycin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derived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oral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antibiotic,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acts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against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ammonia-producing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gram-positive,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gram-negative,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anaerobic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Style w:val="15"/>
          <w:rFonts w:ascii="Book Antiqua" w:eastAsia="Book Antiqua" w:hAnsi="Book Antiqua" w:cs="Book Antiqua"/>
        </w:rPr>
        <w:t>bacteria</w:t>
      </w:r>
      <w:r w:rsidRPr="00B505C8">
        <w:rPr>
          <w:rStyle w:val="15"/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Style w:val="15"/>
          <w:rFonts w:ascii="Book Antiqua" w:eastAsia="Book Antiqua" w:hAnsi="Book Antiqua" w:cs="Book Antiqua"/>
          <w:vertAlign w:val="superscript"/>
        </w:rPr>
        <w:t>9,10]</w:t>
      </w:r>
      <w:r w:rsidRPr="00B505C8">
        <w:rPr>
          <w:rStyle w:val="15"/>
          <w:rFonts w:ascii="Book Antiqua" w:eastAsia="Book Antiqua" w:hAnsi="Book Antiqua" w:cs="Book Antiqua"/>
        </w:rPr>
        <w:t>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RFX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demonstrates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efficacy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preventing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overt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(OHE)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recurrence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linked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to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significant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reduction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infections,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hospital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readmissions,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durations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hospital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Style w:val="15"/>
          <w:rFonts w:ascii="Book Antiqua" w:eastAsia="Book Antiqua" w:hAnsi="Book Antiqua" w:cs="Book Antiqua"/>
        </w:rPr>
        <w:t>stay</w:t>
      </w:r>
      <w:r w:rsidRPr="00B505C8">
        <w:rPr>
          <w:rStyle w:val="15"/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Style w:val="15"/>
          <w:rFonts w:ascii="Book Antiqua" w:eastAsia="Book Antiqua" w:hAnsi="Book Antiqua" w:cs="Book Antiqua"/>
          <w:vertAlign w:val="superscript"/>
        </w:rPr>
        <w:t>11,12]</w:t>
      </w:r>
      <w:r w:rsidRPr="00B505C8">
        <w:rPr>
          <w:rStyle w:val="15"/>
          <w:rFonts w:ascii="Book Antiqua" w:eastAsia="Book Antiqua" w:hAnsi="Book Antiqua" w:cs="Book Antiqua"/>
        </w:rPr>
        <w:t>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RFX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actively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improves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quality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Style w:val="15"/>
          <w:rFonts w:ascii="Book Antiqua" w:eastAsia="Book Antiqua" w:hAnsi="Book Antiqua" w:cs="Book Antiqua"/>
        </w:rPr>
        <w:t>life</w:t>
      </w:r>
      <w:r w:rsidRPr="00B505C8">
        <w:rPr>
          <w:rStyle w:val="15"/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Style w:val="15"/>
          <w:rFonts w:ascii="Book Antiqua" w:eastAsia="Book Antiqua" w:hAnsi="Book Antiqua" w:cs="Book Antiqua"/>
          <w:vertAlign w:val="superscript"/>
        </w:rPr>
        <w:t>13]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</w:t>
      </w:r>
      <w:r w:rsidRPr="00B505C8">
        <w:rPr>
          <w:rFonts w:ascii="Book Antiqua" w:eastAsia="Book Antiqua" w:hAnsi="Book Antiqua" w:cs="Book Antiqua"/>
        </w:rPr>
        <w:t>ingle-center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studies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suggest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potential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survival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benefit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Pr="00B505C8">
        <w:rPr>
          <w:rFonts w:ascii="Book Antiqua" w:eastAsia="Book Antiqua" w:hAnsi="Book Antiqua" w:cs="Book Antiqua"/>
          <w:vertAlign w:val="superscript"/>
        </w:rPr>
        <w:t>[12]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However,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despite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frequently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used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prevention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acute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HE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12]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stills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awaits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Food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Drug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Administration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approval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acute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due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limited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amount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supportive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evidence</w:t>
      </w:r>
      <w:r w:rsidRPr="00B505C8">
        <w:rPr>
          <w:rFonts w:ascii="Book Antiqua" w:eastAsia="Book Antiqua" w:hAnsi="Book Antiqua" w:cs="Book Antiqua"/>
          <w:vertAlign w:val="superscript"/>
        </w:rPr>
        <w:t>[14]</w:t>
      </w:r>
      <w:r w:rsidRPr="00B505C8">
        <w:rPr>
          <w:rFonts w:ascii="Book Antiqua" w:eastAsia="Book Antiqua" w:hAnsi="Book Antiqua" w:cs="Book Antiqua"/>
        </w:rPr>
        <w:t>.</w:t>
      </w:r>
    </w:p>
    <w:p w14:paraId="78925E4F" w14:textId="022A4611" w:rsidR="00FC7ABD" w:rsidRPr="00B505C8" w:rsidRDefault="00FC7ABD" w:rsidP="00FC7ABD">
      <w:pPr>
        <w:spacing w:line="360" w:lineRule="auto"/>
        <w:ind w:firstLine="480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Antibiotics,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acting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reduce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indole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potentially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converted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neurotoxic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substance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oxindole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brain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15]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also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attenuate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inflammatory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response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driven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pathogen-associated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molecular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pattern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molecules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(PAMPS)/</w:t>
      </w:r>
      <w:proofErr w:type="gramStart"/>
      <w:r w:rsidRPr="00B505C8">
        <w:rPr>
          <w:rFonts w:ascii="Book Antiqua" w:eastAsia="Book Antiqua" w:hAnsi="Book Antiqua" w:cs="Book Antiqua"/>
        </w:rPr>
        <w:t>endotoxins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16]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prevent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binding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GABA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central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nervous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</w:t>
      </w:r>
      <w:r w:rsidRPr="00B505C8">
        <w:rPr>
          <w:rFonts w:ascii="Book Antiqua" w:eastAsia="Book Antiqua" w:hAnsi="Book Antiqua" w:cs="Book Antiqua"/>
          <w:vertAlign w:val="superscript"/>
        </w:rPr>
        <w:t>[17]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Notably,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proinflammatory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interleukins,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produced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during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infection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lastRenderedPageBreak/>
        <w:t>inflammatory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state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interact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contribute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alterations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brain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function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18]</w:t>
      </w:r>
      <w:r w:rsidRPr="00B505C8">
        <w:rPr>
          <w:rFonts w:ascii="Book Antiqua" w:eastAsia="Book Antiqua" w:hAnsi="Book Antiqua" w:cs="Book Antiqua"/>
        </w:rPr>
        <w:t>.</w:t>
      </w:r>
    </w:p>
    <w:p w14:paraId="2238F7E2" w14:textId="3C685DB7" w:rsidR="00FC7ABD" w:rsidRPr="00B505C8" w:rsidRDefault="00FC7ABD" w:rsidP="00FC7ABD">
      <w:pPr>
        <w:spacing w:line="360" w:lineRule="auto"/>
        <w:ind w:firstLine="480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medical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intensive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(MICU),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where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infection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prevalence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high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19]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infection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commonly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precipitant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critically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Pr="00B505C8">
        <w:rPr>
          <w:rStyle w:val="15"/>
          <w:rFonts w:ascii="Book Antiqua" w:eastAsia="Book Antiqua" w:hAnsi="Book Antiqua" w:cs="Book Antiqua"/>
          <w:vertAlign w:val="superscript"/>
        </w:rPr>
        <w:t>[20]</w:t>
      </w:r>
      <w:r w:rsidRPr="00B505C8">
        <w:rPr>
          <w:rStyle w:val="15"/>
          <w:rFonts w:ascii="Book Antiqua" w:eastAsia="Book Antiqua" w:hAnsi="Book Antiqua" w:cs="Book Antiqua"/>
        </w:rPr>
        <w:t>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individuals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frequently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receive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RFX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alongside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broad-spectrum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antibiotics.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This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practice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persists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despite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absence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endorsement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current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practice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guidelines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for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treating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presence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Style w:val="15"/>
          <w:rFonts w:ascii="Book Antiqua" w:eastAsia="Book Antiqua" w:hAnsi="Book Antiqua" w:cs="Book Antiqua"/>
        </w:rPr>
        <w:t>infection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14]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Therefore,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Ward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  <w:i/>
          <w:iCs/>
        </w:rPr>
        <w:t>al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21]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conducted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addressed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crucial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knowledge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gap;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demonstrated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safely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discontinued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without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adverse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severe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disease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undergoing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extensive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broad-spectrum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MICU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implicit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rationale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suggests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beneficial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were</w:t>
      </w:r>
      <w:proofErr w:type="gram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mainly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A46A97" w:rsidRPr="00B505C8">
        <w:rPr>
          <w:rFonts w:ascii="Book Antiqua" w:eastAsia="Book Antiqua" w:hAnsi="Book Antiqua" w:cs="Book Antiqua"/>
        </w:rPr>
        <w:t>class</w:t>
      </w:r>
      <w:r w:rsidRPr="00B505C8">
        <w:rPr>
          <w:rFonts w:ascii="Book Antiqua" w:eastAsia="Book Antiqua" w:hAnsi="Book Antiqua" w:cs="Book Antiqua"/>
        </w:rPr>
        <w:t>-specific,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A46A97" w:rsidRPr="00B505C8">
        <w:rPr>
          <w:rFonts w:ascii="Book Antiqua" w:eastAsia="Book Antiqua" w:hAnsi="Book Antiqua" w:cs="Book Antiqua"/>
        </w:rPr>
        <w:t>drug</w:t>
      </w:r>
      <w:r w:rsidRPr="00B505C8">
        <w:rPr>
          <w:rFonts w:ascii="Book Antiqua" w:eastAsia="Book Antiqua" w:hAnsi="Book Antiqua" w:cs="Book Antiqua"/>
        </w:rPr>
        <w:t>-specific.</w:t>
      </w:r>
    </w:p>
    <w:p w14:paraId="7E8A6440" w14:textId="265972B9" w:rsidR="00FC7ABD" w:rsidRPr="00B505C8" w:rsidRDefault="00FC7ABD" w:rsidP="00FC7ABD">
      <w:pPr>
        <w:spacing w:line="360" w:lineRule="auto"/>
        <w:ind w:firstLine="480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plethora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demonstrated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efficacy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initial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recognition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tetracyclines'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utility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coma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22]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Subsequent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investigations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highlighted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crucial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role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reducing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activity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reverse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leading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exploration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metronidazole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23]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poorly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absorbed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like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vancomycin</w:t>
      </w:r>
      <w:r w:rsidRPr="00B505C8">
        <w:rPr>
          <w:rFonts w:ascii="Book Antiqua" w:eastAsia="Book Antiqua" w:hAnsi="Book Antiqua" w:cs="Book Antiqua"/>
          <w:vertAlign w:val="superscript"/>
        </w:rPr>
        <w:t>[24]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neomycin</w:t>
      </w:r>
      <w:r w:rsidRPr="00B505C8">
        <w:rPr>
          <w:rFonts w:ascii="Book Antiqua" w:eastAsia="Book Antiqua" w:hAnsi="Book Antiqua" w:cs="Book Antiqua"/>
          <w:vertAlign w:val="superscript"/>
        </w:rPr>
        <w:t>[25]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Pr="00B505C8">
        <w:rPr>
          <w:rFonts w:ascii="Book Antiqua" w:eastAsia="Book Antiqua" w:hAnsi="Book Antiqua" w:cs="Book Antiqua"/>
          <w:vertAlign w:val="superscript"/>
        </w:rPr>
        <w:t>[26]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agents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were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preferred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due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their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capacity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diminish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avoid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unnecessary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considering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frequent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associated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toxicity.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Particularly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noteworthy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which,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among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poorly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absorbed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exhibits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safer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profile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aminoglycosides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27]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Importantly,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development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bacterial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resistance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compromise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activity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antibiotics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28]</w:t>
      </w:r>
      <w:r w:rsidRPr="00B505C8">
        <w:rPr>
          <w:rFonts w:ascii="Book Antiqua" w:eastAsia="Book Antiqua" w:hAnsi="Book Antiqua" w:cs="Book Antiqua"/>
        </w:rPr>
        <w:t>.</w:t>
      </w:r>
    </w:p>
    <w:p w14:paraId="1E34F293" w14:textId="111C558C" w:rsidR="00FC7ABD" w:rsidRPr="00B505C8" w:rsidRDefault="00FC7ABD" w:rsidP="00FC7ABD">
      <w:pPr>
        <w:spacing w:line="360" w:lineRule="auto"/>
        <w:ind w:firstLine="480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Thus,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class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action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29]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shared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found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profound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activity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first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Pr="00B505C8">
        <w:rPr>
          <w:rFonts w:ascii="Book Antiqua" w:eastAsia="Book Antiqua" w:hAnsi="Book Antiqua" w:cs="Book Antiqua"/>
          <w:vertAlign w:val="superscript"/>
        </w:rPr>
        <w:t>[30]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Later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studies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based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microbiome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analysis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found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remarkable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effect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31]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suggested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could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modulation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metabolism.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However,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conclusions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were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driven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analysis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relative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abundance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bacteria.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Changes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absolute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burden,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determinant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metabolic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might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yielded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different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results.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lastRenderedPageBreak/>
        <w:t>recent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elegant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Eriksen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  <w:i/>
          <w:iCs/>
        </w:rPr>
        <w:t>al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32]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showed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RFX+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lactulose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administration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reduces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inflow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20%,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plasma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level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poorly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changed,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thus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suggesting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single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measure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fasting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less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accurate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estimating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production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</w:t>
      </w:r>
      <w:r w:rsidRPr="00B505C8">
        <w:rPr>
          <w:rFonts w:ascii="Book Antiqua" w:eastAsia="Book Antiqua" w:hAnsi="Book Antiqua" w:cs="Book Antiqua"/>
          <w:vertAlign w:val="superscript"/>
        </w:rPr>
        <w:t>[32]</w:t>
      </w:r>
      <w:r w:rsidRPr="00B505C8">
        <w:rPr>
          <w:rFonts w:ascii="Book Antiqua" w:eastAsia="Book Antiqua" w:hAnsi="Book Antiqua" w:cs="Book Antiqua"/>
        </w:rPr>
        <w:t>.</w:t>
      </w:r>
    </w:p>
    <w:p w14:paraId="704AA6AC" w14:textId="6D53689C" w:rsidR="00FC7ABD" w:rsidRPr="00B505C8" w:rsidRDefault="00FC7ABD" w:rsidP="00FC7ABD">
      <w:pPr>
        <w:spacing w:line="360" w:lineRule="auto"/>
        <w:ind w:firstLine="480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Considering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mechanism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mainly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related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positive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modulation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distorted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profile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burden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(bacterial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overgrowth)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advanced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possibility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might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useful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subjects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undergoing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massive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evident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priori,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overlapping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spectra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antibiotic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activity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with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broad-spectrum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antibiotics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are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expected</w:t>
      </w:r>
      <w:r w:rsidRPr="00B505C8">
        <w:rPr>
          <w:rFonts w:ascii="Book Antiqua" w:eastAsia="Book Antiqua" w:hAnsi="Book Antiqua" w:cs="Book Antiqua"/>
        </w:rPr>
        <w:t>.</w:t>
      </w:r>
    </w:p>
    <w:p w14:paraId="7AE91A4E" w14:textId="05F94A48" w:rsidR="00FC7ABD" w:rsidRPr="00B505C8" w:rsidRDefault="00FC7ABD" w:rsidP="00FC7ABD">
      <w:pPr>
        <w:spacing w:line="360" w:lineRule="auto"/>
        <w:ind w:firstLine="480"/>
        <w:jc w:val="both"/>
        <w:rPr>
          <w:rFonts w:ascii="Book Antiqua" w:hAnsi="Book Antiqua"/>
        </w:rPr>
      </w:pPr>
      <w:r w:rsidRPr="00B505C8">
        <w:rPr>
          <w:rStyle w:val="16"/>
          <w:rFonts w:ascii="Book Antiqua" w:eastAsia="Book Antiqua" w:hAnsi="Book Antiqua" w:cs="Book Antiqua"/>
        </w:rPr>
        <w:t>The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Ward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  <w:i/>
          <w:iCs/>
        </w:rPr>
        <w:t>al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21]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several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limitations.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single-center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generalizability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limited,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variations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populations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across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centers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impact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external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validity.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Second,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retrospective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data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collection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introduces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inherent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limitations,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including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incomplete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missing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data,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recall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bias,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inability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control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confounding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variables.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Third,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despite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including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both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acute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chronic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absence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subgroup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analysis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limit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result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interpretation.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Fourth,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reliance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surrogate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endpoints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days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alive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freedom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from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delirium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instead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West-Haven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grades,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introduce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variability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might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fully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capture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impact,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especially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assessing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acute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episodes.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Fifth,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assess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long-term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outcomes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sustained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withheld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therapy,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could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underestimate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beneficial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role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Sixth,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despite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generally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balanced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groups,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observed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baseline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differences,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norepinephrine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requirements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race,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potentially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confound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results.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Seventh,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enrolled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critically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disease,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representing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from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compensated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decompensated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without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analyzing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their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hAnsi="Book Antiqua"/>
        </w:rPr>
        <w:t>Model</w:t>
      </w:r>
      <w:r w:rsidR="00CB4810" w:rsidRPr="00B505C8">
        <w:rPr>
          <w:rFonts w:ascii="Book Antiqua" w:hAnsi="Book Antiqua"/>
        </w:rPr>
        <w:t xml:space="preserve"> </w:t>
      </w:r>
      <w:r w:rsidRPr="00B505C8">
        <w:rPr>
          <w:rFonts w:ascii="Book Antiqua" w:hAnsi="Book Antiqua"/>
        </w:rPr>
        <w:t>for</w:t>
      </w:r>
      <w:r w:rsidR="00CB4810" w:rsidRPr="00B505C8">
        <w:rPr>
          <w:rFonts w:ascii="Book Antiqua" w:hAnsi="Book Antiqua"/>
        </w:rPr>
        <w:t xml:space="preserve"> </w:t>
      </w:r>
      <w:r w:rsidRPr="00B505C8">
        <w:rPr>
          <w:rFonts w:ascii="Book Antiqua" w:hAnsi="Book Antiqua"/>
        </w:rPr>
        <w:t>end</w:t>
      </w:r>
      <w:r w:rsidR="00CB4810" w:rsidRPr="00B505C8">
        <w:rPr>
          <w:rFonts w:ascii="Book Antiqua" w:hAnsi="Book Antiqua"/>
        </w:rPr>
        <w:t xml:space="preserve"> </w:t>
      </w:r>
      <w:r w:rsidRPr="00B505C8">
        <w:rPr>
          <w:rFonts w:ascii="Book Antiqua" w:hAnsi="Book Antiqua"/>
        </w:rPr>
        <w:t>stage</w:t>
      </w:r>
      <w:r w:rsidR="00CB4810" w:rsidRPr="00B505C8">
        <w:rPr>
          <w:rFonts w:ascii="Book Antiqua" w:hAnsi="Book Antiqua"/>
        </w:rPr>
        <w:t xml:space="preserve"> </w:t>
      </w:r>
      <w:r w:rsidRPr="00B505C8">
        <w:rPr>
          <w:rFonts w:ascii="Book Antiqua" w:hAnsi="Book Antiqua"/>
        </w:rPr>
        <w:t>liver</w:t>
      </w:r>
      <w:r w:rsidR="00CB4810" w:rsidRPr="00B505C8">
        <w:rPr>
          <w:rFonts w:ascii="Book Antiqua" w:hAnsi="Book Antiqua"/>
        </w:rPr>
        <w:t xml:space="preserve"> </w:t>
      </w:r>
      <w:r w:rsidRPr="00B505C8">
        <w:rPr>
          <w:rFonts w:ascii="Book Antiqua" w:hAnsi="Book Antiqua"/>
        </w:rPr>
        <w:t>disease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scores,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greatly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impact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prognoses.</w:t>
      </w:r>
    </w:p>
    <w:p w14:paraId="5BA30C0F" w14:textId="77777777" w:rsidR="00FC7ABD" w:rsidRPr="00B505C8" w:rsidRDefault="00FC7ABD" w:rsidP="00FC7ABD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91280AE" w14:textId="77777777" w:rsidR="00FC7ABD" w:rsidRPr="00B505C8" w:rsidRDefault="00FC7ABD" w:rsidP="00FC7ABD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5DF55E5" w14:textId="68873473" w:rsidR="00FC7ABD" w:rsidRPr="00B505C8" w:rsidRDefault="00FC7ABD" w:rsidP="00FC7ABD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rate,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data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supporting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combination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use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RFX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with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broad-spectrum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antibiotics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are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limited,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patients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on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broad-spectrum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antibiotics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have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generally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been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lastRenderedPageBreak/>
        <w:t>excluded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from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studies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on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RFX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efficacy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in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HE.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Therefore,</w:t>
      </w:r>
      <w:r w:rsidR="00CB4810" w:rsidRPr="00B505C8">
        <w:rPr>
          <w:rStyle w:val="16"/>
          <w:rFonts w:ascii="Book Antiqua" w:eastAsia="Book Antiqua" w:hAnsi="Book Antiqua" w:cs="Book Antiqua"/>
        </w:rPr>
        <w:t xml:space="preserve"> </w:t>
      </w:r>
      <w:r w:rsidRPr="00B505C8">
        <w:rPr>
          <w:rStyle w:val="16"/>
          <w:rFonts w:ascii="Book Antiqua" w:eastAsia="Book Antiqua" w:hAnsi="Book Antiqua" w:cs="Book Antiqua"/>
        </w:rPr>
        <w:t>t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Ward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  <w:i/>
          <w:iCs/>
        </w:rPr>
        <w:t>al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21]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great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merit,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since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provides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evidence-based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argument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justify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withdrawal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receive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broad-spectrum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Further,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agreement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recent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article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Kulkarni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  <w:i/>
          <w:iCs/>
        </w:rPr>
        <w:t>al</w:t>
      </w:r>
      <w:r w:rsidRPr="00B505C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05C8">
        <w:rPr>
          <w:rFonts w:ascii="Book Antiqua" w:eastAsia="Book Antiqua" w:hAnsi="Book Antiqua" w:cs="Book Antiqua"/>
          <w:vertAlign w:val="superscript"/>
        </w:rPr>
        <w:t>14]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show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advantage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without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RFX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Thus,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both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articles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provide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empirical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evidence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could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assumed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only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a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priori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</w:rPr>
        <w:t>based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action.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Despite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these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compelling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results,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crucial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to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acknowledge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limitations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these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studies.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prospective,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multi-center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evaluation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larger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sample,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with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placebo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control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and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comprehensive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neurologic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evaluations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for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HE,</w:t>
      </w:r>
      <w:r w:rsidR="00C8622D" w:rsidRPr="00B505C8">
        <w:rPr>
          <w:rStyle w:val="15"/>
          <w:rFonts w:ascii="Book Antiqua" w:eastAsia="Book Antiqua" w:hAnsi="Book Antiqua" w:cs="Book Antiqua"/>
        </w:rPr>
        <w:t xml:space="preserve"> might be useful</w:t>
      </w:r>
      <w:r w:rsidRPr="00B505C8">
        <w:rPr>
          <w:rStyle w:val="15"/>
          <w:rFonts w:ascii="Book Antiqua" w:eastAsia="Book Antiqua" w:hAnsi="Book Antiqua" w:cs="Book Antiqua"/>
        </w:rPr>
        <w:t>.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Additionally,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exploring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impact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of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this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protocol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in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non-critically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ill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liver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disease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patients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should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be</w:t>
      </w:r>
      <w:r w:rsidR="00CB4810" w:rsidRPr="00B505C8">
        <w:rPr>
          <w:rStyle w:val="15"/>
          <w:rFonts w:ascii="Book Antiqua" w:eastAsia="Book Antiqua" w:hAnsi="Book Antiqua" w:cs="Book Antiqua"/>
        </w:rPr>
        <w:t xml:space="preserve"> </w:t>
      </w:r>
      <w:r w:rsidRPr="00B505C8">
        <w:rPr>
          <w:rStyle w:val="15"/>
          <w:rFonts w:ascii="Book Antiqua" w:eastAsia="Book Antiqua" w:hAnsi="Book Antiqua" w:cs="Book Antiqua"/>
        </w:rPr>
        <w:t>considered.</w:t>
      </w:r>
    </w:p>
    <w:p w14:paraId="13EF255C" w14:textId="77777777" w:rsidR="00FC7ABD" w:rsidRPr="00B505C8" w:rsidRDefault="00FC7ABD" w:rsidP="00FC7ABD"/>
    <w:p w14:paraId="3DAB790F" w14:textId="77777777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REFERENCES</w:t>
      </w:r>
    </w:p>
    <w:p w14:paraId="76500359" w14:textId="2D1860C2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bookmarkStart w:id="545" w:name="OLE_LINK8204"/>
      <w:bookmarkStart w:id="546" w:name="OLE_LINK8205"/>
      <w:r w:rsidRPr="00B505C8">
        <w:rPr>
          <w:rFonts w:ascii="Book Antiqua" w:eastAsia="Book Antiqua" w:hAnsi="Book Antiqua" w:cs="Book Antiqua"/>
        </w:rPr>
        <w:t>1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Vilstrup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H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Amodio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Bajaj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Cordoba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Ferenci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Mullen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Weissenborn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Wong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chronic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disease: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Practice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Guideline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American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Association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Diseases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European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Association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Hepatology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2014;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60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715-735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25042402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10.1002/hep.27210]</w:t>
      </w:r>
    </w:p>
    <w:p w14:paraId="769D516F" w14:textId="07A174F5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European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Association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for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the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Study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of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the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Liver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EASL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Clinical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Practice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Guidelines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management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2022;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77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807-824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35724930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10.1016/j.jhep.2022.06.001]</w:t>
      </w:r>
    </w:p>
    <w:p w14:paraId="0C4A02F1" w14:textId="70DDE939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3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b/>
          <w:bCs/>
        </w:rPr>
        <w:t>Wijdicks</w:t>
      </w:r>
      <w:proofErr w:type="spellEnd"/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EF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N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Engl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Med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2016;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375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1660-1670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27783916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10.1056/NEJMra1600561]</w:t>
      </w:r>
    </w:p>
    <w:p w14:paraId="0E5F9585" w14:textId="23A9AFC6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b/>
          <w:bCs/>
        </w:rPr>
        <w:t>Montagnese</w:t>
      </w:r>
      <w:proofErr w:type="spellEnd"/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S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Bajaj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Impact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Quality-of-Life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Issues.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Drugs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2019;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79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11-16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30706419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10.1007/s40265-018-1019-y]</w:t>
      </w:r>
    </w:p>
    <w:p w14:paraId="03F7CB1D" w14:textId="7352AAEB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5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Aldridge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DR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Tranah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Shawcross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DL.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Pathogenesis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role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inflammation.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Clin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Exp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2015;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5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S7-S20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26041962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10.1016/j.jceh.2014.06.004]</w:t>
      </w:r>
    </w:p>
    <w:p w14:paraId="5437C910" w14:textId="7C452B45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lang w:val="pt-PT"/>
        </w:rPr>
        <w:lastRenderedPageBreak/>
        <w:t>6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  <w:lang w:val="pt-PT"/>
        </w:rPr>
        <w:t>Moroni</w:t>
      </w:r>
      <w:r w:rsidR="00CB4810" w:rsidRPr="00B505C8">
        <w:rPr>
          <w:rFonts w:ascii="Book Antiqua" w:eastAsia="Book Antiqua" w:hAnsi="Book Antiqua" w:cs="Book Antiqua"/>
          <w:b/>
          <w:bCs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  <w:lang w:val="pt-PT"/>
        </w:rPr>
        <w:t>F</w:t>
      </w:r>
      <w:r w:rsidRPr="00B505C8">
        <w:rPr>
          <w:rFonts w:ascii="Book Antiqua" w:eastAsia="Book Antiqua" w:hAnsi="Book Antiqua" w:cs="Book Antiqua"/>
          <w:lang w:val="pt-PT"/>
        </w:rPr>
        <w:t>,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lang w:val="pt-PT"/>
        </w:rPr>
        <w:t>Carpenedo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lang w:val="pt-PT"/>
        </w:rPr>
        <w:t>R,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lang w:val="pt-PT"/>
        </w:rPr>
        <w:t>Venturini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lang w:val="pt-PT"/>
        </w:rPr>
        <w:t>I,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lang w:val="pt-PT"/>
        </w:rPr>
        <w:t>Baraldi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lang w:val="pt-PT"/>
        </w:rPr>
        <w:t>M,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lang w:val="pt-PT"/>
        </w:rPr>
        <w:t>Zeneroli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  <w:lang w:val="pt-PT"/>
        </w:rPr>
        <w:t>ML.</w:t>
      </w:r>
      <w:r w:rsidR="00CB4810" w:rsidRPr="00B505C8">
        <w:rPr>
          <w:rFonts w:ascii="Book Antiqua" w:eastAsia="Book Antiqua" w:hAnsi="Book Antiqua" w:cs="Book Antiqua"/>
          <w:lang w:val="pt-PT"/>
        </w:rPr>
        <w:t xml:space="preserve"> </w:t>
      </w:r>
      <w:r w:rsidRPr="00B505C8">
        <w:rPr>
          <w:rFonts w:ascii="Book Antiqua" w:eastAsia="Book Antiqua" w:hAnsi="Book Antiqua" w:cs="Book Antiqua"/>
        </w:rPr>
        <w:t>Oxindole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pathogenesis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Lancet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1998;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351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1861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9652676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10.1016/S0140-6736(05)78807-3]</w:t>
      </w:r>
    </w:p>
    <w:p w14:paraId="7B29471F" w14:textId="1FA5D4C5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7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b/>
          <w:bCs/>
        </w:rPr>
        <w:t>Hadjihambi</w:t>
      </w:r>
      <w:proofErr w:type="spellEnd"/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Arias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Sheikh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Jalan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current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review.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Int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2018;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12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135-147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28770516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10.1007/s12072-017-9812-3]</w:t>
      </w:r>
    </w:p>
    <w:p w14:paraId="799A6812" w14:textId="6269259D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b/>
          <w:bCs/>
        </w:rPr>
        <w:t>Häussinger</w:t>
      </w:r>
      <w:proofErr w:type="spellEnd"/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D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Dhiman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RK,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Felipo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Görg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Jalan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Kircheis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Merli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Montagnese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Romero-Gomez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Schnitzler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Taylor-Robinson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Vilstrup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Nat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Rev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Dis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Primers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2022;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8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43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35739133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10.1038/s41572-022-00366-6]</w:t>
      </w:r>
    </w:p>
    <w:p w14:paraId="33976576" w14:textId="237ECE91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9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Adachi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JA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DuPont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HL.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novel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nonabsorbed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rifamycin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gastrointestinal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disorders.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Clin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Infect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Dis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2006;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42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541-547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16421799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10.1086/499950]</w:t>
      </w:r>
    </w:p>
    <w:p w14:paraId="521C417F" w14:textId="1F8A9BCB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Calanni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F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Renzulli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Barbanti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Viscomi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GC.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beyond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traditional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activity.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i/>
          <w:iCs/>
        </w:rPr>
        <w:t>Antibiot</w:t>
      </w:r>
      <w:proofErr w:type="spellEnd"/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(Tokyo)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2014;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67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667-670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25095806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10.1038/ja.2014.106]</w:t>
      </w:r>
    </w:p>
    <w:p w14:paraId="210998FA" w14:textId="7B41CD78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11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Salehi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S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Tranah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Heaton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Heneghan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Aluvihare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Patel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Shawcross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DL.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reduces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incidence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spontaneous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bacterial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peritonitis,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variceal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bleeding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all-cause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admissions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transplant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waiting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list.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Aliment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2019;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50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435-441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31169941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10.1111/apt.15326]</w:t>
      </w:r>
    </w:p>
    <w:p w14:paraId="083E819F" w14:textId="3CE63362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Kimer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N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Krag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Møller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Bendtsen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Gluud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LL.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review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meta-analysis: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Aliment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Ther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2014;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40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123-132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24849268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10.1111/apt.12803]</w:t>
      </w:r>
    </w:p>
    <w:p w14:paraId="60FF5939" w14:textId="59685711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13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b/>
          <w:bCs/>
        </w:rPr>
        <w:t>Bakulin</w:t>
      </w:r>
      <w:proofErr w:type="spellEnd"/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IG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Ivanova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Eremina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Marchenko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NV;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NORMIND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study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team.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Comparative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Analysis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Efficacy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Different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Regimens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Months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Rifaximin-Alfa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Therapy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Minimal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Diagnostics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(Basel)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2023;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13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37892060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10.3390/diagnostics13203239]</w:t>
      </w:r>
    </w:p>
    <w:p w14:paraId="3F0EBCD8" w14:textId="7E757A62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Kulkarni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AV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Avadhanam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Karandikar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Rakam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Gupta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Simhadri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Premkumar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Zuberi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Gujjarlapudi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Narendran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Shaik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Sharma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Iyengar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Alla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Venishetty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Reddy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Rao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PN.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Without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Acute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Critically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gramStart"/>
      <w:r w:rsidRPr="00B505C8">
        <w:rPr>
          <w:rFonts w:ascii="Book Antiqua" w:eastAsia="Book Antiqua" w:hAnsi="Book Antiqua" w:cs="Book Antiqua"/>
        </w:rPr>
        <w:t>With</w:t>
      </w:r>
      <w:proofErr w:type="gram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Double-Blind,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lastRenderedPageBreak/>
        <w:t>Randomized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Controlled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</w:t>
      </w:r>
      <w:proofErr w:type="spellStart"/>
      <w:r w:rsidRPr="00B505C8">
        <w:rPr>
          <w:rFonts w:ascii="Book Antiqua" w:eastAsia="Book Antiqua" w:hAnsi="Book Antiqua" w:cs="Book Antiqua"/>
        </w:rPr>
        <w:t>ARiE</w:t>
      </w:r>
      <w:proofErr w:type="spellEnd"/>
      <w:r w:rsidRPr="00B505C8">
        <w:rPr>
          <w:rFonts w:ascii="Book Antiqua" w:eastAsia="Book Antiqua" w:hAnsi="Book Antiqua" w:cs="Book Antiqua"/>
        </w:rPr>
        <w:t>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Trial.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Am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Gastroenterol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37942950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10.14309/ajg.0000000000002575]</w:t>
      </w:r>
    </w:p>
    <w:p w14:paraId="336F7BD8" w14:textId="1F5ED74E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15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b/>
          <w:bCs/>
        </w:rPr>
        <w:t>Carpenedo</w:t>
      </w:r>
      <w:proofErr w:type="spellEnd"/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R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Mannaioni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Moroni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Oxindole,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sedative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tryptophan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metabolite,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accumulates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blood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brain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rats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acute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failure.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i/>
          <w:iCs/>
        </w:rPr>
        <w:t>Neurochem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1998;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70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1998-2003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9572285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10.1046/j.1471-4159.</w:t>
      </w:r>
      <w:proofErr w:type="gramStart"/>
      <w:r w:rsidRPr="00B505C8">
        <w:rPr>
          <w:rFonts w:ascii="Book Antiqua" w:eastAsia="Book Antiqua" w:hAnsi="Book Antiqua" w:cs="Book Antiqua"/>
        </w:rPr>
        <w:t>1998.70051998.x</w:t>
      </w:r>
      <w:proofErr w:type="gramEnd"/>
      <w:r w:rsidRPr="00B505C8">
        <w:rPr>
          <w:rFonts w:ascii="Book Antiqua" w:eastAsia="Book Antiqua" w:hAnsi="Book Antiqua" w:cs="Book Antiqua"/>
        </w:rPr>
        <w:t>]</w:t>
      </w:r>
    </w:p>
    <w:p w14:paraId="56EECAFC" w14:textId="0D7C9488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Bernardi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M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Moreau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Angeli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Schnabl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Arroyo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Mechanisms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decompensation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organ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failure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From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peripheral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arterial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vasodilation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inflammation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hypothesis.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2015;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63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1272-1284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26192220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10.1016/j.jhep.2015.07.004]</w:t>
      </w:r>
    </w:p>
    <w:p w14:paraId="21EE0442" w14:textId="62C3CF98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17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Smolders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I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Gousseau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Marchand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Couet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Ebinger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Michotte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Convulsant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subconvulsant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doses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norfloxacin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presence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absence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biphenylacetic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acid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alter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extracellular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hippocampal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glutamate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gamma-aminobutyric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acid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levels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conscious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rats.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i/>
          <w:iCs/>
        </w:rPr>
        <w:t>Antimicrob</w:t>
      </w:r>
      <w:proofErr w:type="spellEnd"/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Agents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i/>
          <w:iCs/>
        </w:rPr>
        <w:t>Chemother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2002;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46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471-477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11796360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10.1128/AAC.46.2.471-477.2002]</w:t>
      </w:r>
    </w:p>
    <w:p w14:paraId="4326223B" w14:textId="189E4BED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Shawcross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DL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Davies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Williams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Jalan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inflammatory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response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exacerbates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neuropsychological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induced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hyperammonemia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2004;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40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247-254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14739095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10.1016/j.jhep.2003.10.016]</w:t>
      </w:r>
    </w:p>
    <w:p w14:paraId="28FC0B80" w14:textId="61C90EFC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19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Vincent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JL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Sakr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Singer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Martin-</w:t>
      </w:r>
      <w:proofErr w:type="spellStart"/>
      <w:r w:rsidRPr="00B505C8">
        <w:rPr>
          <w:rFonts w:ascii="Book Antiqua" w:eastAsia="Book Antiqua" w:hAnsi="Book Antiqua" w:cs="Book Antiqua"/>
        </w:rPr>
        <w:t>Loeches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Machado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Marshall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Finfer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Pelosi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Brazzi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Aditianingsih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Timsit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JF,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Du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Wittebole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X,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Máca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Kannan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Gorordo-Delsol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Waele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Mehta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Bonten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MJM,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Khanna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AK,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Kollef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Human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Angus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DC;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EPIC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III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Investigators.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Prevalence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Outcomes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Infection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Among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Intensive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Units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2017.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JAMA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2020;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323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1478-1487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32207816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10.1001/jama.2020.2717]</w:t>
      </w:r>
    </w:p>
    <w:p w14:paraId="6851EDB6" w14:textId="4BCB2855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Shawcross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DL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Sharifi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Canavan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JB,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Yeoman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Abeles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Taylor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Auzinger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Bernal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Wendon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JA.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Infection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systemic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inflammation,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associated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Grade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3/4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mortality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2011;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54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640-649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21163546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10.1016/j.jhep.2010.07.045]</w:t>
      </w:r>
    </w:p>
    <w:p w14:paraId="2A195282" w14:textId="4420BD03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21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Ward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JA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Yerke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Lumpkin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Kapoor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Lindenmeyer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Evaluation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protocol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discontinuation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critically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patients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disease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lastRenderedPageBreak/>
        <w:t>receiving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broad-spectrum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therapy.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World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2023;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15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1226-1236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38075005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10.4254/</w:t>
      </w:r>
      <w:proofErr w:type="gramStart"/>
      <w:r w:rsidRPr="00B505C8">
        <w:rPr>
          <w:rFonts w:ascii="Book Antiqua" w:eastAsia="Book Antiqua" w:hAnsi="Book Antiqua" w:cs="Book Antiqua"/>
        </w:rPr>
        <w:t>wjh.v15.i</w:t>
      </w:r>
      <w:proofErr w:type="gramEnd"/>
      <w:r w:rsidRPr="00B505C8">
        <w:rPr>
          <w:rFonts w:ascii="Book Antiqua" w:eastAsia="Book Antiqua" w:hAnsi="Book Antiqua" w:cs="Book Antiqua"/>
        </w:rPr>
        <w:t>11.1226]</w:t>
      </w:r>
    </w:p>
    <w:p w14:paraId="287F1494" w14:textId="4BEDF3BB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Dawson </w:t>
      </w:r>
      <w:r w:rsidRPr="00B505C8">
        <w:rPr>
          <w:rFonts w:ascii="Book Antiqua" w:eastAsia="Book Antiqua" w:hAnsi="Book Antiqua" w:cs="Book Antiqua"/>
          <w:b/>
          <w:bCs/>
        </w:rPr>
        <w:t>AM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Sherlock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="00CB4810" w:rsidRPr="00B505C8">
        <w:rPr>
          <w:rFonts w:ascii="Book Antiqua" w:eastAsia="Book Antiqua" w:hAnsi="Book Antiqua" w:cs="Book Antiqua"/>
        </w:rPr>
        <w:t>Summerskill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prognosis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coma.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Lancet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1956;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271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689-694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13368499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10.1016/S0140-6736(56)92383-2]</w:t>
      </w:r>
    </w:p>
    <w:p w14:paraId="2E4532F4" w14:textId="5C8FB52C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23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Morgan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MH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Read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Speller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DC.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metronidazole.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1982;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23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1-7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7035298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10.1136/gut.23.1.1]</w:t>
      </w:r>
    </w:p>
    <w:p w14:paraId="2FC09588" w14:textId="0F4B1908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24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b/>
          <w:bCs/>
        </w:rPr>
        <w:t>Tarao</w:t>
      </w:r>
      <w:proofErr w:type="spellEnd"/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K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Ikeda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Hayashi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Sakurai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Okada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Karube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Nomoto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Mizuno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Shindo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Successful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vancomycin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hydrochloride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lactulose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resistant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chronic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Gut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1990;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31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702-706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2199349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10.1136/gut.31.6.702]</w:t>
      </w:r>
    </w:p>
    <w:p w14:paraId="0A35428C" w14:textId="03632813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25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="008E2550" w:rsidRPr="00B505C8">
        <w:rPr>
          <w:rFonts w:ascii="Book Antiqua" w:eastAsia="Book Antiqua" w:hAnsi="Book Antiqua" w:cs="Book Antiqua"/>
          <w:b/>
          <w:bCs/>
        </w:rPr>
        <w:t>Summerskill</w:t>
      </w:r>
      <w:proofErr w:type="spellEnd"/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WH</w:t>
      </w:r>
      <w:r w:rsidRPr="00B505C8">
        <w:rPr>
          <w:rFonts w:ascii="Book Antiqua" w:eastAsia="Book Antiqua" w:hAnsi="Book Antiqua" w:cs="Book Antiqua"/>
        </w:rPr>
        <w:t>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liver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failure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gastro-intestinal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haemorrhage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neomycin.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Br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Med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1958;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2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1322-1325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13596598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10.1136/bmj.2.5108.1322]</w:t>
      </w:r>
    </w:p>
    <w:p w14:paraId="3846BAEB" w14:textId="07A23837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Bass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NM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Mullen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Sanyal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Poordad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Neff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Leevy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CB,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Sigal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Sheikh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Beavers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Frederick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Teperman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Hillebrand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Huang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Merchant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Shaw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Bortey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Forbes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WP.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N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Engl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Med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2010;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362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1071-1081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20335583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10.1056/NEJMoa0907893]</w:t>
      </w:r>
    </w:p>
    <w:p w14:paraId="0C7D9CD8" w14:textId="440E2CB3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27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Mullen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KD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Sanyal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Poordad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FF,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Sheikh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Frederick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Bortey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Forbes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WP.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safe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well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tolerated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long-term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maintenance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remission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from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overt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Clin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Gastroenterol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2014;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12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1390-</w:t>
      </w:r>
      <w:proofErr w:type="gramStart"/>
      <w:r w:rsidRPr="00B505C8">
        <w:rPr>
          <w:rFonts w:ascii="Book Antiqua" w:eastAsia="Book Antiqua" w:hAnsi="Book Antiqua" w:cs="Book Antiqua"/>
        </w:rPr>
        <w:t>7.e</w:t>
      </w:r>
      <w:proofErr w:type="gramEnd"/>
      <w:r w:rsidRPr="00B505C8">
        <w:rPr>
          <w:rFonts w:ascii="Book Antiqua" w:eastAsia="Book Antiqua" w:hAnsi="Book Antiqua" w:cs="Book Antiqua"/>
        </w:rPr>
        <w:t>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24365449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10.1016/j.cgh.2013.12.021]</w:t>
      </w:r>
    </w:p>
    <w:p w14:paraId="49F6CB48" w14:textId="0E050F23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b/>
          <w:bCs/>
        </w:rPr>
        <w:t>Scarpignato</w:t>
      </w:r>
      <w:proofErr w:type="spellEnd"/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C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Pelosini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poorly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absorbed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antibiotic: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pharmacology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clinical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potential.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Chemotherapy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2005;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51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36-66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15855748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10.1159/000081990]</w:t>
      </w:r>
    </w:p>
    <w:p w14:paraId="1BE16792" w14:textId="7C26DA7C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29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="008E2550" w:rsidRPr="00B505C8">
        <w:rPr>
          <w:rFonts w:ascii="Book Antiqua" w:eastAsia="Book Antiqua" w:hAnsi="Book Antiqua" w:cs="Book Antiqua"/>
        </w:rPr>
        <w:t>Antibiotics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coma.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Br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Med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1958;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1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512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13510715]</w:t>
      </w:r>
    </w:p>
    <w:p w14:paraId="314EFA6C" w14:textId="020B2E9B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30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Testa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R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Eftimiadi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Sukkar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Leo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Rovida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Schito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Celle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non-absorbable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rifamycin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hepatic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encephalopathy.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Drugs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Exp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Clin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Res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1985;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11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387-392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3836135]</w:t>
      </w:r>
    </w:p>
    <w:p w14:paraId="3DE9C56B" w14:textId="4FA3DD0A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31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Kang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DJ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Kakiyama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Betrapally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Herzog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Nittono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Hylemon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PB,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Zhou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Carroll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Yang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Gillevet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Jiao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Takei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Pandak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Iida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Heuman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lastRenderedPageBreak/>
        <w:t>Fiehn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Kurosawa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Sikaroodi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Sartor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RB,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Bajaj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Rifaximin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Exerts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Beneficial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Independent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Ability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Alter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Microbiota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Composition.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Clin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Gastroenterol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2016;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7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e187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27560928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10.1038/ctg.2016.44]</w:t>
      </w:r>
    </w:p>
    <w:p w14:paraId="4C477EF3" w14:textId="221D342E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32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Eriksen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PL</w:t>
      </w:r>
      <w:r w:rsidRPr="00B505C8">
        <w:rPr>
          <w:rFonts w:ascii="Book Antiqua" w:eastAsia="Book Antiqua" w:hAnsi="Book Antiqua" w:cs="Book Antiqua"/>
        </w:rPr>
        <w:t>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Djernes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Vilstrup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Ott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Clearance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production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quantified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humans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constant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infusion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-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effects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cirrhosis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ammonia-targeting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treatments.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J</w:t>
      </w:r>
      <w:r w:rsidR="00CB4810" w:rsidRPr="00B505C8">
        <w:rPr>
          <w:rFonts w:ascii="Book Antiqua" w:eastAsia="Book Antiqua" w:hAnsi="Book Antiqua" w:cs="Book Antiqua"/>
          <w:i/>
          <w:iCs/>
        </w:rPr>
        <w:t xml:space="preserve"> </w:t>
      </w:r>
      <w:r w:rsidRPr="00B505C8">
        <w:rPr>
          <w:rFonts w:ascii="Book Antiqua" w:eastAsia="Book Antiqua" w:hAnsi="Book Antiqua" w:cs="Book Antiqua"/>
          <w:i/>
          <w:iCs/>
        </w:rPr>
        <w:t>Hepatol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2023;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79</w:t>
      </w:r>
      <w:r w:rsidRPr="00B505C8">
        <w:rPr>
          <w:rFonts w:ascii="Book Antiqua" w:eastAsia="Book Antiqua" w:hAnsi="Book Antiqua" w:cs="Book Antiqua"/>
        </w:rPr>
        <w:t>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340-348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[PMID: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37061198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DOI: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10.1016/j.jhep.2023.03.042]</w:t>
      </w:r>
    </w:p>
    <w:bookmarkEnd w:id="545"/>
    <w:bookmarkEnd w:id="546"/>
    <w:p w14:paraId="6DDE0B63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  <w:sectPr w:rsidR="00A77B3E" w:rsidRPr="00B505C8" w:rsidSect="005C42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67D05E" w14:textId="77777777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lastRenderedPageBreak/>
        <w:t>Footnotes</w:t>
      </w:r>
    </w:p>
    <w:p w14:paraId="7BB1ACA4" w14:textId="5B74C0E2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Conflict-of-interest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  <w:b/>
          <w:bCs/>
        </w:rPr>
        <w:t>statement: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All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authors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report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relevant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conflicts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of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interest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article.</w:t>
      </w:r>
    </w:p>
    <w:p w14:paraId="6A391194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2A643A4D" w14:textId="3618D5F0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  <w:bCs/>
        </w:rPr>
        <w:t>Open-Access:</w:t>
      </w:r>
      <w:r w:rsidR="00CB4810" w:rsidRPr="00B505C8">
        <w:rPr>
          <w:rFonts w:ascii="Book Antiqua" w:eastAsia="Book Antiqua" w:hAnsi="Book Antiqua" w:cs="Book Antiqua"/>
          <w:b/>
          <w:bCs/>
        </w:rPr>
        <w:t xml:space="preserve"> </w:t>
      </w:r>
      <w:r w:rsidRPr="00B505C8">
        <w:rPr>
          <w:rFonts w:ascii="Book Antiqua" w:eastAsia="Book Antiqua" w:hAnsi="Book Antiqua" w:cs="Book Antiqua"/>
        </w:rPr>
        <w:t>This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article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open-access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article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that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was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selected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in-house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editor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fully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peer-reviewed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external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reviewers.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distributed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accordance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with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Creative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Commons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Attribution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proofErr w:type="spellStart"/>
      <w:r w:rsidRPr="00B505C8">
        <w:rPr>
          <w:rFonts w:ascii="Book Antiqua" w:eastAsia="Book Antiqua" w:hAnsi="Book Antiqua" w:cs="Book Antiqua"/>
        </w:rPr>
        <w:t>NonCommercial</w:t>
      </w:r>
      <w:proofErr w:type="spellEnd"/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(CC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BY-NC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4.0)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license,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which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permits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others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distribute,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remix,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adapt,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build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upon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work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non-commercially,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license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their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derivative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works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on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different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terms,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provided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original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work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properly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cited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and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the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use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is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non-commercial.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See: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https://creativecommons.org/Licenses/by-nc/4.0/</w:t>
      </w:r>
    </w:p>
    <w:p w14:paraId="621D6626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1CE4B944" w14:textId="1180D45B" w:rsidR="00A77B3E" w:rsidRPr="00B505C8" w:rsidRDefault="00852A10" w:rsidP="009C2F8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05C8">
        <w:rPr>
          <w:rFonts w:ascii="Book Antiqua" w:eastAsia="Book Antiqua" w:hAnsi="Book Antiqua" w:cs="Book Antiqua"/>
          <w:b/>
        </w:rPr>
        <w:t>Provenance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and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peer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review: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</w:rPr>
        <w:t>Invited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article;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Externally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peer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reviewed.</w:t>
      </w:r>
    </w:p>
    <w:p w14:paraId="72AE1030" w14:textId="77777777" w:rsidR="008E2550" w:rsidRPr="00B505C8" w:rsidRDefault="008E2550" w:rsidP="009C2F87">
      <w:pPr>
        <w:spacing w:line="360" w:lineRule="auto"/>
        <w:jc w:val="both"/>
        <w:rPr>
          <w:rFonts w:ascii="Book Antiqua" w:hAnsi="Book Antiqua"/>
        </w:rPr>
      </w:pPr>
    </w:p>
    <w:p w14:paraId="0DA42A0B" w14:textId="6DB52715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Peer-review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model: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</w:rPr>
        <w:t>Single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blind</w:t>
      </w:r>
    </w:p>
    <w:p w14:paraId="6DED8E48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4D785964" w14:textId="5528E10A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Peer-review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started: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</w:rPr>
        <w:t>November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19,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2023</w:t>
      </w:r>
    </w:p>
    <w:p w14:paraId="1D0A2746" w14:textId="087C293B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First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decision: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</w:rPr>
        <w:t>December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8,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2023</w:t>
      </w:r>
    </w:p>
    <w:p w14:paraId="29916905" w14:textId="1FF7E636" w:rsidR="00A77B3E" w:rsidRPr="00B505C8" w:rsidRDefault="00852A10" w:rsidP="009C2F87">
      <w:pPr>
        <w:spacing w:line="360" w:lineRule="auto"/>
        <w:jc w:val="both"/>
        <w:rPr>
          <w:rFonts w:ascii="Book Antiqua" w:hAnsi="Book Antiqua"/>
          <w:bCs/>
        </w:rPr>
      </w:pPr>
      <w:r w:rsidRPr="00B505C8">
        <w:rPr>
          <w:rFonts w:ascii="Book Antiqua" w:eastAsia="Book Antiqua" w:hAnsi="Book Antiqua" w:cs="Book Antiqua"/>
          <w:b/>
        </w:rPr>
        <w:t>Article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in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press: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="00386B2E">
        <w:rPr>
          <w:rFonts w:ascii="Book Antiqua" w:hAnsi="Book Antiqua"/>
        </w:rPr>
        <w:t>January 24, 2024</w:t>
      </w:r>
    </w:p>
    <w:p w14:paraId="4A76AE52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460A60E5" w14:textId="5E7D3878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Specialty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type: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bookmarkStart w:id="547" w:name="_Hlk149728984"/>
      <w:r w:rsidR="009D2BB9" w:rsidRPr="00B505C8">
        <w:rPr>
          <w:rFonts w:ascii="Book Antiqua" w:eastAsia="微软雅黑" w:hAnsi="Book Antiqua" w:cs="宋体"/>
        </w:rPr>
        <w:t>Gastroenterology and hepatology</w:t>
      </w:r>
      <w:bookmarkEnd w:id="547"/>
    </w:p>
    <w:p w14:paraId="17341A9E" w14:textId="6FF859FB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Country/Territory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of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origin: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</w:rPr>
        <w:t>Taiwan</w:t>
      </w:r>
    </w:p>
    <w:p w14:paraId="44EDE8AE" w14:textId="4458FE8D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  <w:b/>
        </w:rPr>
        <w:t>Peer-review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report’s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scientific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quality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classification</w:t>
      </w:r>
    </w:p>
    <w:p w14:paraId="76042769" w14:textId="7544C7D9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Grade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(Excellent):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0</w:t>
      </w:r>
    </w:p>
    <w:p w14:paraId="1868DCEF" w14:textId="1C5DED26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Grade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(Very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good):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B</w:t>
      </w:r>
    </w:p>
    <w:p w14:paraId="09F084FC" w14:textId="10F2E8DA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Grade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C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(Good):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0</w:t>
      </w:r>
    </w:p>
    <w:p w14:paraId="6B2A67F3" w14:textId="7A17DA5F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Grade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D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(Fair):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0</w:t>
      </w:r>
    </w:p>
    <w:p w14:paraId="54E2BC27" w14:textId="6C96EEF7" w:rsidR="00A77B3E" w:rsidRPr="00B505C8" w:rsidRDefault="00852A10" w:rsidP="009C2F87">
      <w:pPr>
        <w:spacing w:line="360" w:lineRule="auto"/>
        <w:jc w:val="both"/>
        <w:rPr>
          <w:rFonts w:ascii="Book Antiqua" w:hAnsi="Book Antiqua"/>
        </w:rPr>
      </w:pPr>
      <w:r w:rsidRPr="00B505C8">
        <w:rPr>
          <w:rFonts w:ascii="Book Antiqua" w:eastAsia="Book Antiqua" w:hAnsi="Book Antiqua" w:cs="Book Antiqua"/>
        </w:rPr>
        <w:t>Grade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E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(Poor):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0</w:t>
      </w:r>
    </w:p>
    <w:p w14:paraId="19590D25" w14:textId="77777777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p w14:paraId="085A0A47" w14:textId="6647D17E" w:rsidR="00AC2ABD" w:rsidRDefault="00852A10" w:rsidP="009C2F87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B505C8">
        <w:rPr>
          <w:rFonts w:ascii="Book Antiqua" w:eastAsia="Book Antiqua" w:hAnsi="Book Antiqua" w:cs="Book Antiqua"/>
          <w:b/>
        </w:rPr>
        <w:lastRenderedPageBreak/>
        <w:t>P-Reviewer: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</w:rPr>
        <w:t>Perazzo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JC,</w:t>
      </w:r>
      <w:r w:rsidR="00CB4810" w:rsidRPr="00B505C8">
        <w:rPr>
          <w:rFonts w:ascii="Book Antiqua" w:eastAsia="Book Antiqua" w:hAnsi="Book Antiqua" w:cs="Book Antiqua"/>
        </w:rPr>
        <w:t xml:space="preserve"> </w:t>
      </w:r>
      <w:r w:rsidRPr="00B505C8">
        <w:rPr>
          <w:rFonts w:ascii="Book Antiqua" w:eastAsia="Book Antiqua" w:hAnsi="Book Antiqua" w:cs="Book Antiqua"/>
        </w:rPr>
        <w:t>Argentina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Pr="00B505C8">
        <w:rPr>
          <w:rFonts w:ascii="Book Antiqua" w:eastAsia="Book Antiqua" w:hAnsi="Book Antiqua" w:cs="Book Antiqua"/>
          <w:b/>
        </w:rPr>
        <w:t>S-Editor: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="009D2BB9" w:rsidRPr="00B505C8">
        <w:rPr>
          <w:rFonts w:ascii="Book Antiqua" w:eastAsia="Book Antiqua" w:hAnsi="Book Antiqua" w:cs="Book Antiqua"/>
          <w:bCs/>
        </w:rPr>
        <w:t xml:space="preserve">Li L </w:t>
      </w:r>
      <w:r w:rsidRPr="00B505C8">
        <w:rPr>
          <w:rFonts w:ascii="Book Antiqua" w:eastAsia="Book Antiqua" w:hAnsi="Book Antiqua" w:cs="Book Antiqua"/>
          <w:b/>
        </w:rPr>
        <w:t>L-Editor: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="00FB75F0" w:rsidRPr="00B505C8">
        <w:rPr>
          <w:rFonts w:ascii="Book Antiqua" w:eastAsia="Book Antiqua" w:hAnsi="Book Antiqua" w:cs="Book Antiqua"/>
          <w:bCs/>
        </w:rPr>
        <w:t xml:space="preserve">A </w:t>
      </w:r>
      <w:r w:rsidRPr="00B505C8">
        <w:rPr>
          <w:rFonts w:ascii="Book Antiqua" w:eastAsia="Book Antiqua" w:hAnsi="Book Antiqua" w:cs="Book Antiqua"/>
          <w:b/>
        </w:rPr>
        <w:t>P-Editor:</w:t>
      </w:r>
      <w:r w:rsidR="00CB4810" w:rsidRPr="00B505C8">
        <w:rPr>
          <w:rFonts w:ascii="Book Antiqua" w:eastAsia="Book Antiqua" w:hAnsi="Book Antiqua" w:cs="Book Antiqua"/>
          <w:b/>
        </w:rPr>
        <w:t xml:space="preserve"> </w:t>
      </w:r>
      <w:r w:rsidR="00895C1C" w:rsidRPr="00B505C8">
        <w:rPr>
          <w:rFonts w:ascii="Book Antiqua" w:eastAsia="Book Antiqua" w:hAnsi="Book Antiqua" w:cs="Book Antiqua"/>
          <w:bCs/>
        </w:rPr>
        <w:t>Li L</w:t>
      </w:r>
    </w:p>
    <w:p w14:paraId="6C3CB473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Book Antiqua" w:hAnsi="Book Antiqua" w:cs="Book Antiqua"/>
          <w:bCs/>
        </w:rPr>
        <w:br w:type="page"/>
      </w:r>
    </w:p>
    <w:p w14:paraId="6FE38C45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8933DF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97AEC8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18EE0C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27E3C0B2" wp14:editId="676445E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10F76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6AF82F" w14:textId="77777777" w:rsidR="00AC2ABD" w:rsidRPr="006D4EDA" w:rsidRDefault="00AC2ABD" w:rsidP="00AC2ABD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0C00681" w14:textId="77777777" w:rsidR="00AC2ABD" w:rsidRPr="006D4EDA" w:rsidRDefault="00AC2ABD" w:rsidP="00AC2AB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1C65E21" w14:textId="77777777" w:rsidR="00AC2ABD" w:rsidRPr="006D4EDA" w:rsidRDefault="00AC2ABD" w:rsidP="00AC2AB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215D49B" w14:textId="77777777" w:rsidR="00AC2ABD" w:rsidRPr="006D4EDA" w:rsidRDefault="00AC2ABD" w:rsidP="00AC2AB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2A8A1620" w14:textId="77777777" w:rsidR="00AC2ABD" w:rsidRPr="006D4EDA" w:rsidRDefault="00AC2ABD" w:rsidP="00AC2AB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E7F9EF9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10265A9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02EEDE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9298C2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FB29B7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0CDA9593" wp14:editId="38A8D60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BFFC9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10A59A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ADC7C9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D61E65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58E142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C66F46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A7C983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0EA94CF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5BAA74" w14:textId="77777777" w:rsidR="00AC2ABD" w:rsidRPr="006D4EDA" w:rsidRDefault="00AC2ABD" w:rsidP="00AC2ABD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A71BA7" w14:textId="77777777" w:rsidR="00AC2ABD" w:rsidRPr="006D4EDA" w:rsidRDefault="00AC2ABD" w:rsidP="00AC2ABD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2DCA4B8" w14:textId="77777777" w:rsidR="00AC2ABD" w:rsidRPr="006D4EDA" w:rsidRDefault="00AC2ABD" w:rsidP="00AC2ABD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25A7F286" w14:textId="77777777" w:rsidR="00AC2ABD" w:rsidRPr="006D4EDA" w:rsidRDefault="00AC2ABD" w:rsidP="00AC2ABD">
      <w:pPr>
        <w:rPr>
          <w:rFonts w:ascii="Book Antiqua" w:hAnsi="Book Antiqua" w:cs="Book Antiqua"/>
          <w:b/>
          <w:bCs/>
          <w:color w:val="000000"/>
        </w:rPr>
      </w:pPr>
    </w:p>
    <w:p w14:paraId="62BF7712" w14:textId="72D31BF0" w:rsidR="00A77B3E" w:rsidRPr="00B505C8" w:rsidRDefault="00A77B3E" w:rsidP="009C2F87">
      <w:pPr>
        <w:spacing w:line="360" w:lineRule="auto"/>
        <w:jc w:val="both"/>
        <w:rPr>
          <w:rFonts w:ascii="Book Antiqua" w:hAnsi="Book Antiqua"/>
        </w:rPr>
      </w:pPr>
    </w:p>
    <w:sectPr w:rsidR="00A77B3E" w:rsidRPr="00B5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0D9B" w14:textId="77777777" w:rsidR="00D50CEB" w:rsidRDefault="00D50CEB" w:rsidP="00BB11C4">
      <w:r>
        <w:separator/>
      </w:r>
    </w:p>
  </w:endnote>
  <w:endnote w:type="continuationSeparator" w:id="0">
    <w:p w14:paraId="00FC03AB" w14:textId="77777777" w:rsidR="00D50CEB" w:rsidRDefault="00D50CEB" w:rsidP="00BB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701981514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077312" w14:textId="54F9738E" w:rsidR="00BB11C4" w:rsidRPr="00BB11C4" w:rsidRDefault="00BB11C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B11C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B11C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BB11C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03852" w14:textId="77777777" w:rsidR="00BB11C4" w:rsidRPr="00BB11C4" w:rsidRDefault="00BB11C4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8059" w14:textId="77777777" w:rsidR="00D50CEB" w:rsidRDefault="00D50CEB" w:rsidP="00BB11C4">
      <w:r>
        <w:separator/>
      </w:r>
    </w:p>
  </w:footnote>
  <w:footnote w:type="continuationSeparator" w:id="0">
    <w:p w14:paraId="78FC8318" w14:textId="77777777" w:rsidR="00D50CEB" w:rsidRDefault="00D50CEB" w:rsidP="00BB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C03"/>
    <w:rsid w:val="00091663"/>
    <w:rsid w:val="000B310A"/>
    <w:rsid w:val="0013073E"/>
    <w:rsid w:val="001A30FA"/>
    <w:rsid w:val="001A7E3A"/>
    <w:rsid w:val="0029308D"/>
    <w:rsid w:val="00316749"/>
    <w:rsid w:val="00366C1E"/>
    <w:rsid w:val="00386B2E"/>
    <w:rsid w:val="004F235B"/>
    <w:rsid w:val="00521A08"/>
    <w:rsid w:val="005C426D"/>
    <w:rsid w:val="006E5CA9"/>
    <w:rsid w:val="00837DC9"/>
    <w:rsid w:val="00852A10"/>
    <w:rsid w:val="00853B4A"/>
    <w:rsid w:val="00895C1C"/>
    <w:rsid w:val="008E2550"/>
    <w:rsid w:val="00910856"/>
    <w:rsid w:val="00941B76"/>
    <w:rsid w:val="009C2F87"/>
    <w:rsid w:val="009D2BB9"/>
    <w:rsid w:val="00A46A97"/>
    <w:rsid w:val="00A77B3E"/>
    <w:rsid w:val="00A96F70"/>
    <w:rsid w:val="00AC2ABD"/>
    <w:rsid w:val="00B43680"/>
    <w:rsid w:val="00B505C8"/>
    <w:rsid w:val="00BB11C4"/>
    <w:rsid w:val="00BB3B04"/>
    <w:rsid w:val="00C8622D"/>
    <w:rsid w:val="00CA2A55"/>
    <w:rsid w:val="00CB4810"/>
    <w:rsid w:val="00CE5027"/>
    <w:rsid w:val="00D10E07"/>
    <w:rsid w:val="00D50CEB"/>
    <w:rsid w:val="00DE29A2"/>
    <w:rsid w:val="00E5390A"/>
    <w:rsid w:val="00F5254B"/>
    <w:rsid w:val="00F81935"/>
    <w:rsid w:val="00FB75F0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86CDE"/>
  <w15:docId w15:val="{D269228F-6A77-47EC-98D9-E8714CB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character" w:customStyle="1" w:styleId="16">
    <w:name w:val="16"/>
    <w:basedOn w:val="a0"/>
  </w:style>
  <w:style w:type="paragraph" w:styleId="a3">
    <w:name w:val="header"/>
    <w:basedOn w:val="a"/>
    <w:link w:val="a4"/>
    <w:rsid w:val="00BB11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11C4"/>
    <w:rPr>
      <w:sz w:val="18"/>
      <w:szCs w:val="18"/>
    </w:rPr>
  </w:style>
  <w:style w:type="paragraph" w:styleId="a5">
    <w:name w:val="footer"/>
    <w:basedOn w:val="a"/>
    <w:link w:val="a6"/>
    <w:uiPriority w:val="99"/>
    <w:rsid w:val="00BB11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1C4"/>
    <w:rPr>
      <w:sz w:val="18"/>
      <w:szCs w:val="18"/>
    </w:rPr>
  </w:style>
  <w:style w:type="character" w:styleId="a7">
    <w:name w:val="annotation reference"/>
    <w:basedOn w:val="a0"/>
    <w:rsid w:val="009C2F87"/>
    <w:rPr>
      <w:sz w:val="21"/>
      <w:szCs w:val="21"/>
    </w:rPr>
  </w:style>
  <w:style w:type="paragraph" w:styleId="a8">
    <w:name w:val="annotation text"/>
    <w:basedOn w:val="a"/>
    <w:link w:val="a9"/>
    <w:rsid w:val="009C2F87"/>
  </w:style>
  <w:style w:type="character" w:customStyle="1" w:styleId="a9">
    <w:name w:val="批注文字 字符"/>
    <w:basedOn w:val="a0"/>
    <w:link w:val="a8"/>
    <w:rsid w:val="009C2F87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9C2F87"/>
    <w:rPr>
      <w:b/>
      <w:bCs/>
    </w:rPr>
  </w:style>
  <w:style w:type="character" w:customStyle="1" w:styleId="ab">
    <w:name w:val="批注主题 字符"/>
    <w:basedOn w:val="a9"/>
    <w:link w:val="aa"/>
    <w:rsid w:val="009C2F87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852A10"/>
    <w:rPr>
      <w:sz w:val="24"/>
      <w:szCs w:val="24"/>
    </w:rPr>
  </w:style>
  <w:style w:type="character" w:styleId="ad">
    <w:name w:val="Hyperlink"/>
    <w:basedOn w:val="a0"/>
    <w:rsid w:val="00AC2ABD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C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82/full/v16/i2/1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一瑄 蔡</cp:lastModifiedBy>
  <cp:revision>32</cp:revision>
  <dcterms:created xsi:type="dcterms:W3CDTF">2024-01-19T00:22:00Z</dcterms:created>
  <dcterms:modified xsi:type="dcterms:W3CDTF">2024-02-22T07:53:00Z</dcterms:modified>
</cp:coreProperties>
</file>