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92F1" w14:textId="77777777" w:rsidR="00A77B3E" w:rsidRPr="003D31C5" w:rsidRDefault="004E1343">
      <w:pPr>
        <w:spacing w:line="360" w:lineRule="auto"/>
        <w:jc w:val="both"/>
      </w:pPr>
      <w:r w:rsidRPr="003D31C5">
        <w:rPr>
          <w:rFonts w:ascii="Book Antiqua" w:eastAsia="Book Antiqua" w:hAnsi="Book Antiqua" w:cs="Book Antiqua"/>
          <w:b/>
        </w:rPr>
        <w:t xml:space="preserve">Name of Journal: </w:t>
      </w:r>
      <w:r w:rsidRPr="003D31C5">
        <w:rPr>
          <w:rFonts w:ascii="Book Antiqua" w:eastAsia="Book Antiqua" w:hAnsi="Book Antiqua" w:cs="Book Antiqua"/>
          <w:i/>
        </w:rPr>
        <w:t>World Journal of Gastroenterology</w:t>
      </w:r>
    </w:p>
    <w:p w14:paraId="347DDFD3" w14:textId="77777777" w:rsidR="00A77B3E" w:rsidRPr="003D31C5" w:rsidRDefault="004E1343">
      <w:pPr>
        <w:spacing w:line="360" w:lineRule="auto"/>
        <w:jc w:val="both"/>
      </w:pPr>
      <w:r w:rsidRPr="003D31C5">
        <w:rPr>
          <w:rFonts w:ascii="Book Antiqua" w:eastAsia="Book Antiqua" w:hAnsi="Book Antiqua" w:cs="Book Antiqua"/>
          <w:b/>
        </w:rPr>
        <w:t xml:space="preserve">Manuscript NO: </w:t>
      </w:r>
      <w:r w:rsidRPr="003D31C5">
        <w:rPr>
          <w:rFonts w:ascii="Book Antiqua" w:eastAsia="Book Antiqua" w:hAnsi="Book Antiqua" w:cs="Book Antiqua"/>
        </w:rPr>
        <w:t>90033</w:t>
      </w:r>
    </w:p>
    <w:p w14:paraId="5C0064F0" w14:textId="77777777" w:rsidR="00A77B3E" w:rsidRPr="003D31C5" w:rsidRDefault="004E1343">
      <w:pPr>
        <w:spacing w:line="360" w:lineRule="auto"/>
        <w:jc w:val="both"/>
      </w:pPr>
      <w:r w:rsidRPr="003D31C5">
        <w:rPr>
          <w:rFonts w:ascii="Book Antiqua" w:eastAsia="Book Antiqua" w:hAnsi="Book Antiqua" w:cs="Book Antiqua"/>
          <w:b/>
        </w:rPr>
        <w:t xml:space="preserve">Manuscript Type: </w:t>
      </w:r>
      <w:r w:rsidRPr="003D31C5">
        <w:rPr>
          <w:rFonts w:ascii="Book Antiqua" w:eastAsia="Book Antiqua" w:hAnsi="Book Antiqua" w:cs="Book Antiqua"/>
        </w:rPr>
        <w:t>EDITORIAL</w:t>
      </w:r>
    </w:p>
    <w:p w14:paraId="162D4061" w14:textId="77777777" w:rsidR="00A77B3E" w:rsidRPr="003D31C5" w:rsidRDefault="00A77B3E">
      <w:pPr>
        <w:spacing w:line="360" w:lineRule="auto"/>
        <w:jc w:val="both"/>
      </w:pPr>
    </w:p>
    <w:p w14:paraId="610B8002" w14:textId="2C5E0FC8" w:rsidR="00A77B3E" w:rsidRPr="003D31C5" w:rsidRDefault="00E03028">
      <w:pPr>
        <w:spacing w:line="360" w:lineRule="auto"/>
        <w:jc w:val="both"/>
      </w:pPr>
      <w:r w:rsidRPr="003D31C5">
        <w:rPr>
          <w:rFonts w:ascii="Book Antiqua" w:eastAsia="Book Antiqua" w:hAnsi="Book Antiqua" w:cs="Book Antiqua"/>
          <w:b/>
          <w:bCs/>
          <w:color w:val="000000"/>
        </w:rPr>
        <w:t>Leveraging machine learning for early recurrence prediction in hepatocellular carcinoma: A step towards precision medicine</w:t>
      </w:r>
    </w:p>
    <w:p w14:paraId="113AC477" w14:textId="77777777" w:rsidR="00A77B3E" w:rsidRPr="003D31C5" w:rsidRDefault="00A77B3E">
      <w:pPr>
        <w:spacing w:line="360" w:lineRule="auto"/>
        <w:jc w:val="both"/>
      </w:pPr>
    </w:p>
    <w:p w14:paraId="168FC6C0" w14:textId="6EEADC0F" w:rsidR="00A77B3E" w:rsidRPr="003D31C5" w:rsidRDefault="004E1343">
      <w:pPr>
        <w:spacing w:line="360" w:lineRule="auto"/>
        <w:jc w:val="both"/>
      </w:pPr>
      <w:r w:rsidRPr="003D31C5">
        <w:rPr>
          <w:rFonts w:ascii="Book Antiqua" w:eastAsia="Book Antiqua" w:hAnsi="Book Antiqua" w:cs="Book Antiqua"/>
          <w:color w:val="000000"/>
        </w:rPr>
        <w:t xml:space="preserve">Ravikulan </w:t>
      </w:r>
      <w:r w:rsidR="00E03028" w:rsidRPr="003D31C5">
        <w:rPr>
          <w:rFonts w:ascii="Book Antiqua" w:eastAsia="Book Antiqua" w:hAnsi="Book Antiqua" w:cs="Book Antiqua"/>
          <w:color w:val="000000"/>
        </w:rPr>
        <w:t xml:space="preserve">A </w:t>
      </w:r>
      <w:r w:rsidRPr="003D31C5">
        <w:rPr>
          <w:rFonts w:ascii="Book Antiqua" w:eastAsia="Book Antiqua" w:hAnsi="Book Antiqua" w:cs="Book Antiqua"/>
          <w:i/>
          <w:iCs/>
          <w:color w:val="000000"/>
        </w:rPr>
        <w:t>et al</w:t>
      </w:r>
      <w:r w:rsidRPr="003D31C5">
        <w:rPr>
          <w:rFonts w:ascii="Book Antiqua" w:eastAsia="Book Antiqua" w:hAnsi="Book Antiqua" w:cs="Book Antiqua"/>
          <w:color w:val="000000"/>
        </w:rPr>
        <w:t xml:space="preserve">. </w:t>
      </w:r>
      <w:r w:rsidR="00DD2771" w:rsidRPr="003D31C5">
        <w:rPr>
          <w:rFonts w:ascii="Book Antiqua" w:eastAsia="Book Antiqua" w:hAnsi="Book Antiqua" w:cs="Book Antiqua"/>
          <w:color w:val="000000"/>
        </w:rPr>
        <w:t>AI</w:t>
      </w:r>
      <w:r w:rsidRPr="003D31C5">
        <w:rPr>
          <w:rFonts w:ascii="Book Antiqua" w:eastAsia="Book Antiqua" w:hAnsi="Book Antiqua" w:cs="Book Antiqua"/>
          <w:color w:val="000000"/>
        </w:rPr>
        <w:t xml:space="preserve"> in predicting HCC recurrence</w:t>
      </w:r>
    </w:p>
    <w:p w14:paraId="24C86C19" w14:textId="77777777" w:rsidR="00A77B3E" w:rsidRPr="003D31C5" w:rsidRDefault="00A77B3E">
      <w:pPr>
        <w:spacing w:line="360" w:lineRule="auto"/>
        <w:jc w:val="both"/>
      </w:pPr>
    </w:p>
    <w:p w14:paraId="37E7C556" w14:textId="77777777" w:rsidR="00A77B3E" w:rsidRPr="003D31C5" w:rsidRDefault="004E1343">
      <w:pPr>
        <w:spacing w:line="360" w:lineRule="auto"/>
        <w:jc w:val="both"/>
      </w:pPr>
      <w:r w:rsidRPr="003D31C5">
        <w:rPr>
          <w:rFonts w:ascii="Book Antiqua" w:eastAsia="Book Antiqua" w:hAnsi="Book Antiqua" w:cs="Book Antiqua"/>
          <w:color w:val="000000"/>
        </w:rPr>
        <w:t>Abhimati Ravikulan, Kamran Rostami</w:t>
      </w:r>
    </w:p>
    <w:p w14:paraId="518A4E4E" w14:textId="77777777" w:rsidR="00A77B3E" w:rsidRPr="003D31C5" w:rsidRDefault="00A77B3E">
      <w:pPr>
        <w:spacing w:line="360" w:lineRule="auto"/>
        <w:jc w:val="both"/>
      </w:pPr>
    </w:p>
    <w:p w14:paraId="41EAECEA" w14:textId="697F730D" w:rsidR="00A77B3E" w:rsidRPr="003D31C5" w:rsidRDefault="004E1343">
      <w:pPr>
        <w:spacing w:line="360" w:lineRule="auto"/>
        <w:jc w:val="both"/>
      </w:pPr>
      <w:r w:rsidRPr="003D31C5">
        <w:rPr>
          <w:rFonts w:ascii="Book Antiqua" w:eastAsia="Book Antiqua" w:hAnsi="Book Antiqua" w:cs="Book Antiqua"/>
          <w:b/>
          <w:bCs/>
          <w:color w:val="000000"/>
        </w:rPr>
        <w:t xml:space="preserve">Abhimati Ravikulan, Kamran Rostami, </w:t>
      </w:r>
      <w:r w:rsidR="00E03028" w:rsidRPr="003D31C5">
        <w:rPr>
          <w:rFonts w:ascii="Book Antiqua" w:eastAsia="Book Antiqua" w:hAnsi="Book Antiqua" w:cs="Book Antiqua"/>
          <w:color w:val="000000"/>
        </w:rPr>
        <w:t>Department of</w:t>
      </w:r>
      <w:r w:rsidR="00E03028" w:rsidRPr="003D31C5">
        <w:rPr>
          <w:rFonts w:ascii="Book Antiqua" w:eastAsia="Book Antiqua" w:hAnsi="Book Antiqua" w:cs="Book Antiqua"/>
          <w:b/>
          <w:bCs/>
          <w:color w:val="000000"/>
        </w:rPr>
        <w:t xml:space="preserve"> </w:t>
      </w:r>
      <w:r w:rsidRPr="003D31C5">
        <w:rPr>
          <w:rFonts w:ascii="Book Antiqua" w:eastAsia="Book Antiqua" w:hAnsi="Book Antiqua" w:cs="Book Antiqua"/>
          <w:color w:val="000000"/>
        </w:rPr>
        <w:t>Gastroenterology, Palmerston North Hospital, Palmerston North 4442, New Zealand</w:t>
      </w:r>
    </w:p>
    <w:p w14:paraId="6C8F9A08" w14:textId="77777777" w:rsidR="00A77B3E" w:rsidRPr="003D31C5" w:rsidRDefault="00A77B3E">
      <w:pPr>
        <w:spacing w:line="360" w:lineRule="auto"/>
        <w:jc w:val="both"/>
      </w:pPr>
    </w:p>
    <w:p w14:paraId="5C151A9E" w14:textId="50B18E26" w:rsidR="00A77B3E" w:rsidRPr="003D31C5" w:rsidRDefault="004E1343">
      <w:pPr>
        <w:spacing w:line="360" w:lineRule="auto"/>
        <w:jc w:val="both"/>
        <w:rPr>
          <w:rFonts w:ascii="Book Antiqua" w:eastAsia="Book Antiqua" w:hAnsi="Book Antiqua" w:cs="Book Antiqua"/>
          <w:color w:val="000000"/>
        </w:rPr>
      </w:pPr>
      <w:r w:rsidRPr="003D31C5">
        <w:rPr>
          <w:rFonts w:ascii="Book Antiqua" w:eastAsia="Book Antiqua" w:hAnsi="Book Antiqua" w:cs="Book Antiqua"/>
          <w:b/>
          <w:bCs/>
          <w:color w:val="000000"/>
          <w:szCs w:val="22"/>
        </w:rPr>
        <w:t xml:space="preserve">Author contributions: </w:t>
      </w:r>
      <w:r w:rsidRPr="003D31C5">
        <w:rPr>
          <w:rFonts w:ascii="Book Antiqua" w:eastAsia="Book Antiqua" w:hAnsi="Book Antiqua" w:cs="Book Antiqua"/>
          <w:color w:val="000000"/>
        </w:rPr>
        <w:t xml:space="preserve">Ravikulan A </w:t>
      </w:r>
      <w:r w:rsidR="00E87F1D" w:rsidRPr="003D31C5">
        <w:rPr>
          <w:rFonts w:ascii="Book Antiqua" w:eastAsia="Book Antiqua" w:hAnsi="Book Antiqua" w:cs="Book Antiqua"/>
          <w:color w:val="000000"/>
        </w:rPr>
        <w:t>wrote the first draft</w:t>
      </w:r>
      <w:r w:rsidR="0075257B" w:rsidRPr="003D31C5">
        <w:rPr>
          <w:rFonts w:ascii="Book Antiqua" w:eastAsia="Book Antiqua" w:hAnsi="Book Antiqua" w:cs="Book Antiqua"/>
          <w:color w:val="000000"/>
        </w:rPr>
        <w:t>;</w:t>
      </w:r>
      <w:r w:rsidRPr="003D31C5">
        <w:rPr>
          <w:rFonts w:ascii="Book Antiqua" w:eastAsia="Book Antiqua" w:hAnsi="Book Antiqua" w:cs="Book Antiqua"/>
          <w:color w:val="000000"/>
        </w:rPr>
        <w:t xml:space="preserve"> Rostami K reviewed </w:t>
      </w:r>
      <w:r w:rsidR="00E87F1D" w:rsidRPr="003D31C5">
        <w:rPr>
          <w:rFonts w:ascii="Book Antiqua" w:eastAsia="Book Antiqua" w:hAnsi="Book Antiqua" w:cs="Book Antiqua"/>
          <w:color w:val="000000"/>
        </w:rPr>
        <w:t>the manuscript</w:t>
      </w:r>
      <w:r w:rsidR="00167AB3" w:rsidRPr="003D31C5">
        <w:rPr>
          <w:rFonts w:ascii="Book Antiqua" w:eastAsia="Book Antiqua" w:hAnsi="Book Antiqua" w:cs="Book Antiqua"/>
          <w:color w:val="000000"/>
        </w:rPr>
        <w:t xml:space="preserve">; </w:t>
      </w:r>
      <w:r w:rsidR="00E87F1D" w:rsidRPr="003D31C5">
        <w:rPr>
          <w:rFonts w:ascii="Book Antiqua" w:eastAsia="Book Antiqua" w:hAnsi="Book Antiqua" w:cs="Book Antiqua"/>
          <w:color w:val="000000"/>
        </w:rPr>
        <w:t xml:space="preserve">and both authors finalized the </w:t>
      </w:r>
      <w:r w:rsidRPr="003D31C5">
        <w:rPr>
          <w:rFonts w:ascii="Book Antiqua" w:eastAsia="Book Antiqua" w:hAnsi="Book Antiqua" w:cs="Book Antiqua"/>
          <w:color w:val="000000"/>
        </w:rPr>
        <w:t>editorial.</w:t>
      </w:r>
    </w:p>
    <w:p w14:paraId="30AB0707" w14:textId="77777777" w:rsidR="00A77B3E" w:rsidRPr="003D31C5" w:rsidRDefault="00A77B3E">
      <w:pPr>
        <w:spacing w:line="360" w:lineRule="auto"/>
        <w:jc w:val="both"/>
      </w:pPr>
    </w:p>
    <w:p w14:paraId="2C39530A" w14:textId="1D692E5D" w:rsidR="00A77B3E" w:rsidRPr="003D31C5" w:rsidRDefault="004E1343">
      <w:pPr>
        <w:spacing w:line="360" w:lineRule="auto"/>
        <w:jc w:val="both"/>
      </w:pPr>
      <w:r w:rsidRPr="003D31C5">
        <w:rPr>
          <w:rFonts w:ascii="Book Antiqua" w:eastAsia="Book Antiqua" w:hAnsi="Book Antiqua" w:cs="Book Antiqua"/>
          <w:b/>
          <w:bCs/>
          <w:color w:val="000000"/>
        </w:rPr>
        <w:t xml:space="preserve">Corresponding author: Abhimati Ravikulan, Doctor, Research Fellow, Researcher, </w:t>
      </w:r>
      <w:r w:rsidR="006B3A18" w:rsidRPr="003D31C5">
        <w:rPr>
          <w:rFonts w:ascii="Book Antiqua" w:eastAsia="Book Antiqua" w:hAnsi="Book Antiqua" w:cs="Book Antiqua"/>
          <w:color w:val="000000"/>
        </w:rPr>
        <w:t>Department of</w:t>
      </w:r>
      <w:r w:rsidR="006B3A18" w:rsidRPr="003D31C5">
        <w:rPr>
          <w:rFonts w:ascii="Book Antiqua" w:eastAsia="Book Antiqua" w:hAnsi="Book Antiqua" w:cs="Book Antiqua"/>
          <w:b/>
          <w:bCs/>
          <w:color w:val="000000"/>
        </w:rPr>
        <w:t xml:space="preserve"> </w:t>
      </w:r>
      <w:r w:rsidRPr="003D31C5">
        <w:rPr>
          <w:rFonts w:ascii="Book Antiqua" w:eastAsia="Book Antiqua" w:hAnsi="Book Antiqua" w:cs="Book Antiqua"/>
          <w:color w:val="000000"/>
        </w:rPr>
        <w:t>Gastroenterology, Palmerston North Hospital, 50 Ruahine Street, Roslyn, Palmerston North 4442</w:t>
      </w:r>
      <w:r w:rsidR="000F3F80" w:rsidRPr="003D31C5">
        <w:rPr>
          <w:rFonts w:ascii="Book Antiqua" w:eastAsia="Book Antiqua" w:hAnsi="Book Antiqua" w:cs="Book Antiqua"/>
          <w:color w:val="000000"/>
        </w:rPr>
        <w:t>,</w:t>
      </w:r>
      <w:r w:rsidRPr="003D31C5">
        <w:rPr>
          <w:rFonts w:ascii="Book Antiqua" w:eastAsia="Book Antiqua" w:hAnsi="Book Antiqua" w:cs="Book Antiqua"/>
          <w:color w:val="000000"/>
        </w:rPr>
        <w:t xml:space="preserve"> New Zealand. </w:t>
      </w:r>
      <w:hyperlink r:id="rId6" w:history="1">
        <w:r w:rsidR="0059312D" w:rsidRPr="003D31C5">
          <w:rPr>
            <w:rFonts w:ascii="Book Antiqua" w:eastAsia="Book Antiqua" w:hAnsi="Book Antiqua" w:cs="Book Antiqua"/>
            <w:color w:val="000000"/>
          </w:rPr>
          <w:t>arav175@aucklanduni.ac.nz</w:t>
        </w:r>
      </w:hyperlink>
    </w:p>
    <w:p w14:paraId="2E3362A7" w14:textId="77777777" w:rsidR="00A77B3E" w:rsidRPr="003D31C5" w:rsidRDefault="00A77B3E">
      <w:pPr>
        <w:spacing w:line="360" w:lineRule="auto"/>
        <w:jc w:val="both"/>
      </w:pPr>
    </w:p>
    <w:p w14:paraId="045C671B" w14:textId="77777777" w:rsidR="00A77B3E" w:rsidRPr="003D31C5" w:rsidRDefault="004E1343">
      <w:pPr>
        <w:spacing w:line="360" w:lineRule="auto"/>
        <w:jc w:val="both"/>
      </w:pPr>
      <w:r w:rsidRPr="003D31C5">
        <w:rPr>
          <w:rFonts w:ascii="Book Antiqua" w:eastAsia="Book Antiqua" w:hAnsi="Book Antiqua" w:cs="Book Antiqua"/>
          <w:b/>
          <w:bCs/>
        </w:rPr>
        <w:t xml:space="preserve">Received: </w:t>
      </w:r>
      <w:r w:rsidRPr="003D31C5">
        <w:rPr>
          <w:rFonts w:ascii="Book Antiqua" w:eastAsia="Book Antiqua" w:hAnsi="Book Antiqua" w:cs="Book Antiqua"/>
        </w:rPr>
        <w:t>November 21, 2023</w:t>
      </w:r>
    </w:p>
    <w:p w14:paraId="67EC2064" w14:textId="77777777" w:rsidR="00A77B3E" w:rsidRPr="003D31C5" w:rsidRDefault="004E1343">
      <w:pPr>
        <w:spacing w:line="360" w:lineRule="auto"/>
        <w:jc w:val="both"/>
      </w:pPr>
      <w:r w:rsidRPr="003D31C5">
        <w:rPr>
          <w:rFonts w:ascii="Book Antiqua" w:eastAsia="Book Antiqua" w:hAnsi="Book Antiqua" w:cs="Book Antiqua"/>
          <w:b/>
          <w:bCs/>
        </w:rPr>
        <w:t xml:space="preserve">Revised: </w:t>
      </w:r>
      <w:r w:rsidRPr="003D31C5">
        <w:rPr>
          <w:rFonts w:ascii="Book Antiqua" w:eastAsia="Book Antiqua" w:hAnsi="Book Antiqua" w:cs="Book Antiqua"/>
        </w:rPr>
        <w:t>December 19, 2023</w:t>
      </w:r>
    </w:p>
    <w:p w14:paraId="68A39543" w14:textId="1C222A15" w:rsidR="00A77B3E" w:rsidRPr="003D31C5" w:rsidRDefault="004E1343" w:rsidP="00907BFA">
      <w:pPr>
        <w:spacing w:line="360" w:lineRule="auto"/>
        <w:rPr>
          <w:rFonts w:ascii="Book Antiqua" w:hAnsi="Book Antiqua"/>
        </w:rPr>
      </w:pPr>
      <w:r w:rsidRPr="003D31C5">
        <w:rPr>
          <w:rFonts w:ascii="Book Antiqua" w:eastAsia="Book Antiqua" w:hAnsi="Book Antiqua" w:cs="Book Antiqua"/>
          <w:b/>
          <w:bCs/>
        </w:rPr>
        <w:t xml:space="preserve">Accepted: </w:t>
      </w:r>
      <w:bookmarkStart w:id="0" w:name="OLE_LINK1198"/>
      <w:bookmarkStart w:id="1" w:name="OLE_LINK1199"/>
      <w:bookmarkStart w:id="2" w:name="OLE_LINK1218"/>
      <w:bookmarkStart w:id="3" w:name="OLE_LINK1222"/>
      <w:bookmarkStart w:id="4" w:name="OLE_LINK1223"/>
      <w:bookmarkStart w:id="5" w:name="OLE_LINK1224"/>
      <w:bookmarkStart w:id="6" w:name="OLE_LINK1227"/>
      <w:bookmarkStart w:id="7" w:name="OLE_LINK1231"/>
      <w:bookmarkStart w:id="8" w:name="OLE_LINK1242"/>
      <w:bookmarkStart w:id="9" w:name="OLE_LINK1246"/>
      <w:bookmarkStart w:id="10" w:name="OLE_LINK6798"/>
      <w:bookmarkStart w:id="11" w:name="OLE_LINK6803"/>
      <w:bookmarkStart w:id="12" w:name="OLE_LINK6812"/>
      <w:bookmarkStart w:id="13" w:name="OLE_LINK6816"/>
      <w:bookmarkStart w:id="14" w:name="OLE_LINK6827"/>
      <w:bookmarkStart w:id="15" w:name="OLE_LINK6830"/>
      <w:bookmarkStart w:id="16" w:name="OLE_LINK6834"/>
      <w:bookmarkStart w:id="17" w:name="OLE_LINK7116"/>
      <w:bookmarkStart w:id="18" w:name="OLE_LINK7119"/>
      <w:bookmarkStart w:id="19" w:name="OLE_LINK7122"/>
      <w:bookmarkStart w:id="20" w:name="OLE_LINK7125"/>
      <w:bookmarkStart w:id="21" w:name="OLE_LINK7126"/>
      <w:bookmarkStart w:id="22" w:name="OLE_LINK7127"/>
      <w:bookmarkStart w:id="23" w:name="OLE_LINK7130"/>
      <w:bookmarkStart w:id="24" w:name="OLE_LINK7133"/>
      <w:bookmarkStart w:id="25" w:name="OLE_LINK7140"/>
      <w:bookmarkStart w:id="26" w:name="OLE_LINK7141"/>
      <w:bookmarkStart w:id="27" w:name="OLE_LINK7145"/>
      <w:bookmarkStart w:id="28" w:name="OLE_LINK7150"/>
      <w:bookmarkStart w:id="29" w:name="OLE_LINK7153"/>
      <w:bookmarkStart w:id="30" w:name="OLE_LINK7158"/>
      <w:bookmarkStart w:id="31" w:name="OLE_LINK7167"/>
      <w:bookmarkStart w:id="32" w:name="OLE_LINK7173"/>
      <w:bookmarkStart w:id="33" w:name="OLE_LINK7212"/>
      <w:bookmarkStart w:id="34" w:name="OLE_LINK7213"/>
      <w:bookmarkStart w:id="35" w:name="OLE_LINK7214"/>
      <w:bookmarkStart w:id="36" w:name="OLE_LINK7215"/>
      <w:bookmarkStart w:id="37" w:name="OLE_LINK7223"/>
      <w:bookmarkStart w:id="38" w:name="OLE_LINK7228"/>
      <w:bookmarkStart w:id="39" w:name="OLE_LINK7235"/>
      <w:bookmarkStart w:id="40" w:name="OLE_LINK7236"/>
      <w:bookmarkStart w:id="41" w:name="OLE_LINK7237"/>
      <w:bookmarkStart w:id="42" w:name="OLE_LINK7240"/>
      <w:bookmarkStart w:id="43" w:name="OLE_LINK7243"/>
      <w:bookmarkStart w:id="44" w:name="OLE_LINK7250"/>
      <w:bookmarkStart w:id="45" w:name="OLE_LINK7253"/>
      <w:bookmarkStart w:id="46" w:name="OLE_LINK7513"/>
      <w:bookmarkStart w:id="47" w:name="OLE_LINK7515"/>
      <w:bookmarkStart w:id="48" w:name="OLE_LINK7522"/>
      <w:bookmarkStart w:id="49" w:name="OLE_LINK7527"/>
      <w:bookmarkStart w:id="50" w:name="OLE_LINK7530"/>
      <w:bookmarkStart w:id="51" w:name="OLE_LINK7547"/>
      <w:bookmarkStart w:id="52" w:name="OLE_LINK7550"/>
      <w:bookmarkStart w:id="53" w:name="OLE_LINK7555"/>
      <w:bookmarkStart w:id="54" w:name="OLE_LINK7559"/>
      <w:bookmarkStart w:id="55" w:name="OLE_LINK7561"/>
      <w:bookmarkStart w:id="56" w:name="OLE_LINK7608"/>
      <w:bookmarkStart w:id="57" w:name="OLE_LINK7611"/>
      <w:bookmarkStart w:id="58" w:name="OLE_LINK7616"/>
      <w:bookmarkStart w:id="59" w:name="OLE_LINK7625"/>
      <w:bookmarkStart w:id="60" w:name="OLE_LINK7628"/>
      <w:bookmarkStart w:id="61" w:name="OLE_LINK7629"/>
      <w:bookmarkStart w:id="62" w:name="OLE_LINK7633"/>
      <w:bookmarkStart w:id="63" w:name="OLE_LINK7641"/>
      <w:bookmarkStart w:id="64" w:name="OLE_LINK7568"/>
      <w:bookmarkStart w:id="65" w:name="OLE_LINK7569"/>
      <w:bookmarkStart w:id="66" w:name="OLE_LINK7571"/>
      <w:bookmarkStart w:id="67" w:name="OLE_LINK7574"/>
      <w:bookmarkStart w:id="68" w:name="OLE_LINK7577"/>
      <w:bookmarkStart w:id="69" w:name="OLE_LINK7578"/>
      <w:bookmarkStart w:id="70" w:name="OLE_LINK7583"/>
      <w:bookmarkStart w:id="71" w:name="OLE_LINK7587"/>
      <w:bookmarkStart w:id="72" w:name="OLE_LINK7597"/>
      <w:bookmarkStart w:id="73" w:name="OLE_LINK7602"/>
      <w:bookmarkStart w:id="74" w:name="OLE_LINK7605"/>
      <w:bookmarkStart w:id="75" w:name="OLE_LINK7606"/>
      <w:bookmarkStart w:id="76" w:name="OLE_LINK7610"/>
      <w:bookmarkStart w:id="77" w:name="OLE_LINK7617"/>
      <w:bookmarkStart w:id="78" w:name="OLE_LINK7620"/>
      <w:bookmarkStart w:id="79" w:name="OLE_LINK7635"/>
      <w:bookmarkStart w:id="80" w:name="OLE_LINK7649"/>
      <w:bookmarkStart w:id="81" w:name="OLE_LINK7652"/>
      <w:bookmarkStart w:id="82" w:name="OLE_LINK7655"/>
      <w:bookmarkStart w:id="83" w:name="OLE_LINK7665"/>
      <w:bookmarkStart w:id="84" w:name="OLE_LINK7684"/>
      <w:bookmarkStart w:id="85" w:name="OLE_LINK7687"/>
      <w:bookmarkStart w:id="86" w:name="OLE_LINK7690"/>
      <w:bookmarkStart w:id="87" w:name="OLE_LINK7691"/>
      <w:bookmarkStart w:id="88" w:name="OLE_LINK7695"/>
      <w:bookmarkStart w:id="89" w:name="OLE_LINK7699"/>
      <w:bookmarkStart w:id="90" w:name="OLE_LINK7703"/>
      <w:bookmarkStart w:id="91" w:name="OLE_LINK7706"/>
      <w:bookmarkStart w:id="92" w:name="OLE_LINK7709"/>
      <w:bookmarkStart w:id="93" w:name="OLE_LINK7710"/>
      <w:bookmarkStart w:id="94" w:name="OLE_LINK7711"/>
      <w:bookmarkStart w:id="95" w:name="OLE_LINK7712"/>
      <w:bookmarkStart w:id="96" w:name="OLE_LINK7718"/>
      <w:bookmarkStart w:id="97" w:name="OLE_LINK7721"/>
      <w:bookmarkStart w:id="98" w:name="OLE_LINK7722"/>
      <w:bookmarkStart w:id="99" w:name="OLE_LINK7730"/>
      <w:bookmarkStart w:id="100" w:name="OLE_LINK7734"/>
      <w:bookmarkStart w:id="101" w:name="OLE_LINK7735"/>
      <w:bookmarkStart w:id="102" w:name="OLE_LINK7736"/>
      <w:bookmarkStart w:id="103" w:name="OLE_LINK7737"/>
      <w:bookmarkStart w:id="104" w:name="OLE_LINK7738"/>
      <w:bookmarkStart w:id="105" w:name="OLE_LINK7796"/>
      <w:bookmarkStart w:id="106" w:name="OLE_LINK7799"/>
      <w:bookmarkStart w:id="107" w:name="OLE_LINK7809"/>
      <w:bookmarkStart w:id="108" w:name="OLE_LINK7813"/>
      <w:bookmarkStart w:id="109" w:name="OLE_LINK7820"/>
      <w:bookmarkStart w:id="110" w:name="OLE_LINK7836"/>
      <w:bookmarkStart w:id="111" w:name="OLE_LINK7837"/>
      <w:bookmarkStart w:id="112" w:name="OLE_LINK7838"/>
      <w:bookmarkStart w:id="113" w:name="OLE_LINK7839"/>
      <w:bookmarkStart w:id="114" w:name="OLE_LINK7843"/>
      <w:bookmarkStart w:id="115" w:name="OLE_LINK7846"/>
      <w:bookmarkStart w:id="116" w:name="OLE_LINK7867"/>
      <w:bookmarkStart w:id="117" w:name="OLE_LINK7873"/>
      <w:bookmarkStart w:id="118" w:name="OLE_LINK7876"/>
      <w:bookmarkStart w:id="119" w:name="OLE_LINK7879"/>
      <w:bookmarkStart w:id="120" w:name="OLE_LINK7882"/>
      <w:bookmarkStart w:id="121" w:name="OLE_LINK7885"/>
      <w:bookmarkStart w:id="122" w:name="OLE_LINK7894"/>
      <w:bookmarkStart w:id="123" w:name="OLE_LINK7895"/>
      <w:bookmarkStart w:id="124" w:name="OLE_LINK7896"/>
      <w:bookmarkStart w:id="125" w:name="OLE_LINK7897"/>
      <w:bookmarkStart w:id="126" w:name="OLE_LINK7903"/>
      <w:bookmarkStart w:id="127" w:name="OLE_LINK7910"/>
      <w:bookmarkStart w:id="128" w:name="OLE_LINK7977"/>
      <w:bookmarkStart w:id="129" w:name="OLE_LINK7979"/>
      <w:bookmarkStart w:id="130" w:name="OLE_LINK7983"/>
      <w:bookmarkStart w:id="131" w:name="OLE_LINK7984"/>
      <w:bookmarkStart w:id="132" w:name="OLE_LINK7985"/>
      <w:bookmarkStart w:id="133" w:name="OLE_LINK1"/>
      <w:bookmarkStart w:id="134" w:name="OLE_LINK4"/>
      <w:bookmarkStart w:id="135" w:name="OLE_LINK7"/>
      <w:bookmarkStart w:id="136" w:name="OLE_LINK10"/>
      <w:bookmarkStart w:id="137" w:name="OLE_LINK14"/>
      <w:bookmarkStart w:id="138" w:name="OLE_LINK17"/>
      <w:bookmarkStart w:id="139" w:name="OLE_LINK2"/>
      <w:bookmarkStart w:id="140" w:name="OLE_LINK11"/>
      <w:bookmarkStart w:id="141" w:name="OLE_LINK20"/>
      <w:bookmarkStart w:id="142" w:name="OLE_LINK29"/>
      <w:bookmarkStart w:id="143" w:name="OLE_LINK34"/>
      <w:bookmarkStart w:id="144" w:name="OLE_LINK37"/>
      <w:bookmarkStart w:id="145" w:name="OLE_LINK40"/>
      <w:bookmarkStart w:id="146" w:name="OLE_LINK41"/>
      <w:bookmarkStart w:id="147" w:name="OLE_LINK46"/>
      <w:bookmarkStart w:id="148" w:name="OLE_LINK49"/>
      <w:bookmarkStart w:id="149" w:name="OLE_LINK54"/>
      <w:bookmarkStart w:id="150" w:name="OLE_LINK57"/>
      <w:bookmarkStart w:id="151" w:name="OLE_LINK60"/>
      <w:bookmarkStart w:id="152" w:name="OLE_LINK65"/>
      <w:bookmarkStart w:id="153" w:name="OLE_LINK72"/>
      <w:bookmarkStart w:id="154" w:name="OLE_LINK75"/>
      <w:bookmarkStart w:id="155" w:name="OLE_LINK82"/>
      <w:bookmarkStart w:id="156" w:name="OLE_LINK84"/>
      <w:bookmarkStart w:id="157" w:name="OLE_LINK87"/>
      <w:bookmarkStart w:id="158" w:name="OLE_LINK100"/>
      <w:bookmarkStart w:id="159" w:name="OLE_LINK103"/>
      <w:bookmarkStart w:id="160" w:name="OLE_LINK108"/>
      <w:bookmarkStart w:id="161" w:name="OLE_LINK174"/>
      <w:bookmarkStart w:id="162" w:name="OLE_LINK177"/>
      <w:bookmarkStart w:id="163" w:name="OLE_LINK184"/>
      <w:bookmarkStart w:id="164" w:name="OLE_LINK187"/>
      <w:bookmarkStart w:id="165" w:name="OLE_LINK192"/>
      <w:bookmarkStart w:id="166" w:name="OLE_LINK197"/>
      <w:bookmarkStart w:id="167" w:name="OLE_LINK200"/>
      <w:bookmarkStart w:id="168" w:name="OLE_LINK203"/>
      <w:bookmarkStart w:id="169" w:name="OLE_LINK208"/>
      <w:bookmarkStart w:id="170" w:name="OLE_LINK216"/>
      <w:bookmarkStart w:id="171" w:name="OLE_LINK219"/>
      <w:bookmarkStart w:id="172" w:name="OLE_LINK220"/>
      <w:bookmarkStart w:id="173" w:name="OLE_LINK226"/>
      <w:bookmarkStart w:id="174" w:name="OLE_LINK229"/>
      <w:bookmarkStart w:id="175" w:name="OLE_LINK233"/>
      <w:bookmarkStart w:id="176" w:name="OLE_LINK236"/>
      <w:bookmarkStart w:id="177" w:name="OLE_LINK241"/>
      <w:bookmarkStart w:id="178" w:name="OLE_LINK1310"/>
      <w:bookmarkStart w:id="179" w:name="OLE_LINK1318"/>
      <w:bookmarkStart w:id="180" w:name="OLE_LINK1324"/>
      <w:bookmarkStart w:id="181" w:name="OLE_LINK1325"/>
      <w:bookmarkStart w:id="182" w:name="OLE_LINK1326"/>
      <w:bookmarkStart w:id="183" w:name="OLE_LINK6"/>
      <w:bookmarkStart w:id="184" w:name="OLE_LINK12"/>
      <w:bookmarkStart w:id="185" w:name="OLE_LINK19"/>
      <w:bookmarkStart w:id="186" w:name="OLE_LINK26"/>
      <w:bookmarkStart w:id="187" w:name="OLE_LINK30"/>
      <w:bookmarkStart w:id="188" w:name="OLE_LINK36"/>
      <w:bookmarkStart w:id="189" w:name="OLE_LINK42"/>
      <w:bookmarkStart w:id="190" w:name="OLE_LINK51"/>
      <w:bookmarkStart w:id="191" w:name="OLE_LINK61"/>
      <w:bookmarkStart w:id="192" w:name="OLE_LINK66"/>
      <w:bookmarkStart w:id="193" w:name="OLE_LINK74"/>
      <w:bookmarkStart w:id="194" w:name="OLE_LINK78"/>
      <w:bookmarkStart w:id="195" w:name="OLE_LINK1219"/>
      <w:bookmarkStart w:id="196" w:name="OLE_LINK1220"/>
      <w:bookmarkStart w:id="197" w:name="OLE_LINK1232"/>
      <w:bookmarkStart w:id="198" w:name="OLE_LINK1233"/>
      <w:bookmarkStart w:id="199" w:name="OLE_LINK1236"/>
      <w:bookmarkStart w:id="200" w:name="OLE_LINK1241"/>
      <w:bookmarkStart w:id="201" w:name="OLE_LINK1247"/>
      <w:bookmarkStart w:id="202" w:name="OLE_LINK1255"/>
      <w:bookmarkStart w:id="203" w:name="OLE_LINK1261"/>
      <w:bookmarkStart w:id="204" w:name="OLE_LINK1267"/>
      <w:bookmarkStart w:id="205" w:name="OLE_LINK1269"/>
      <w:bookmarkStart w:id="206" w:name="OLE_LINK1272"/>
      <w:bookmarkStart w:id="207" w:name="OLE_LINK1282"/>
      <w:bookmarkStart w:id="208" w:name="OLE_LINK1286"/>
      <w:bookmarkStart w:id="209" w:name="OLE_LINK1290"/>
      <w:bookmarkStart w:id="210" w:name="OLE_LINK1291"/>
      <w:bookmarkStart w:id="211" w:name="OLE_LINK1295"/>
      <w:bookmarkStart w:id="212" w:name="OLE_LINK1299"/>
      <w:bookmarkStart w:id="213" w:name="OLE_LINK1303"/>
      <w:bookmarkStart w:id="214" w:name="OLE_LINK1307"/>
      <w:bookmarkStart w:id="215" w:name="OLE_LINK1311"/>
      <w:bookmarkStart w:id="216" w:name="OLE_LINK1327"/>
      <w:bookmarkStart w:id="217" w:name="OLE_LINK1334"/>
      <w:bookmarkStart w:id="218" w:name="OLE_LINK1340"/>
      <w:bookmarkStart w:id="219" w:name="OLE_LINK1342"/>
      <w:bookmarkStart w:id="220" w:name="OLE_LINK1346"/>
      <w:bookmarkStart w:id="221" w:name="OLE_LINK1352"/>
      <w:bookmarkStart w:id="222" w:name="OLE_LINK3"/>
      <w:bookmarkStart w:id="223" w:name="OLE_LINK15"/>
      <w:bookmarkStart w:id="224" w:name="OLE_LINK23"/>
      <w:bookmarkStart w:id="225" w:name="OLE_LINK21"/>
      <w:bookmarkStart w:id="226" w:name="OLE_LINK1225"/>
      <w:bookmarkStart w:id="227" w:name="OLE_LINK1237"/>
      <w:bookmarkStart w:id="228" w:name="OLE_LINK1244"/>
      <w:bookmarkStart w:id="229" w:name="OLE_LINK1250"/>
      <w:bookmarkStart w:id="230" w:name="OLE_LINK1251"/>
      <w:bookmarkStart w:id="231" w:name="OLE_LINK1256"/>
      <w:bookmarkStart w:id="232" w:name="OLE_LINK1262"/>
      <w:bookmarkStart w:id="233" w:name="OLE_LINK1273"/>
      <w:bookmarkStart w:id="234" w:name="OLE_LINK1276"/>
      <w:bookmarkStart w:id="235" w:name="OLE_LINK1283"/>
      <w:bookmarkStart w:id="236" w:name="OLE_LINK1292"/>
      <w:bookmarkStart w:id="237" w:name="OLE_LINK1297"/>
      <w:bookmarkStart w:id="238" w:name="OLE_LINK1301"/>
      <w:bookmarkStart w:id="239" w:name="OLE_LINK1305"/>
      <w:bookmarkStart w:id="240" w:name="OLE_LINK1312"/>
      <w:bookmarkStart w:id="241" w:name="OLE_LINK1315"/>
      <w:bookmarkStart w:id="242" w:name="OLE_LINK1319"/>
      <w:bookmarkStart w:id="243" w:name="OLE_LINK1322"/>
      <w:bookmarkStart w:id="244" w:name="OLE_LINK7224"/>
      <w:bookmarkStart w:id="245" w:name="OLE_LINK7229"/>
      <w:bookmarkStart w:id="246" w:name="OLE_LINK7234"/>
      <w:bookmarkStart w:id="247" w:name="OLE_LINK7241"/>
      <w:bookmarkStart w:id="248" w:name="OLE_LINK7244"/>
      <w:bookmarkStart w:id="249" w:name="OLE_LINK7259"/>
      <w:bookmarkStart w:id="250" w:name="OLE_LINK7264"/>
      <w:bookmarkStart w:id="251" w:name="OLE_LINK7268"/>
      <w:bookmarkStart w:id="252" w:name="OLE_LINK7274"/>
      <w:bookmarkStart w:id="253" w:name="OLE_LINK7279"/>
      <w:bookmarkStart w:id="254" w:name="OLE_LINK7288"/>
      <w:bookmarkStart w:id="255" w:name="OLE_LINK7290"/>
      <w:bookmarkStart w:id="256" w:name="OLE_LINK7295"/>
      <w:bookmarkStart w:id="257" w:name="OLE_LINK7300"/>
      <w:bookmarkStart w:id="258" w:name="OLE_LINK7301"/>
      <w:bookmarkStart w:id="259" w:name="OLE_LINK7302"/>
      <w:bookmarkStart w:id="260" w:name="OLE_LINK7305"/>
      <w:bookmarkStart w:id="261" w:name="OLE_LINK7308"/>
      <w:bookmarkStart w:id="262" w:name="OLE_LINK7618"/>
      <w:bookmarkStart w:id="263" w:name="OLE_LINK7623"/>
      <w:bookmarkStart w:id="264" w:name="OLE_LINK7630"/>
      <w:bookmarkStart w:id="265" w:name="OLE_LINK7639"/>
      <w:bookmarkStart w:id="266" w:name="OLE_LINK7644"/>
      <w:bookmarkStart w:id="267" w:name="OLE_LINK7650"/>
      <w:bookmarkStart w:id="268" w:name="OLE_LINK7654"/>
      <w:bookmarkStart w:id="269" w:name="OLE_LINK7666"/>
      <w:bookmarkStart w:id="270" w:name="OLE_LINK7670"/>
      <w:bookmarkStart w:id="271" w:name="OLE_LINK7675"/>
      <w:bookmarkStart w:id="272" w:name="OLE_LINK7681"/>
      <w:bookmarkStart w:id="273" w:name="OLE_LINK7682"/>
      <w:bookmarkStart w:id="274" w:name="OLE_LINK7688"/>
      <w:bookmarkStart w:id="275" w:name="OLE_LINK7693"/>
      <w:bookmarkStart w:id="276" w:name="OLE_LINK7700"/>
      <w:bookmarkStart w:id="277" w:name="OLE_LINK7724"/>
      <w:bookmarkStart w:id="278" w:name="OLE_LINK7727"/>
      <w:bookmarkStart w:id="279" w:name="OLE_LINK7732"/>
      <w:bookmarkStart w:id="280" w:name="OLE_LINK7744"/>
      <w:bookmarkStart w:id="281" w:name="OLE_LINK7753"/>
      <w:bookmarkStart w:id="282" w:name="OLE_LINK7761"/>
      <w:bookmarkStart w:id="283" w:name="OLE_LINK7765"/>
      <w:bookmarkStart w:id="284" w:name="OLE_LINK7769"/>
      <w:bookmarkStart w:id="285" w:name="OLE_LINK7772"/>
      <w:bookmarkStart w:id="286" w:name="OLE_LINK7775"/>
      <w:bookmarkStart w:id="287" w:name="OLE_LINK7779"/>
      <w:bookmarkStart w:id="288" w:name="OLE_LINK7785"/>
      <w:bookmarkStart w:id="289" w:name="OLE_LINK7788"/>
      <w:bookmarkStart w:id="290" w:name="OLE_LINK7791"/>
      <w:bookmarkStart w:id="291" w:name="OLE_LINK7794"/>
      <w:bookmarkStart w:id="292" w:name="OLE_LINK7800"/>
      <w:bookmarkStart w:id="293" w:name="OLE_LINK7803"/>
      <w:bookmarkStart w:id="294" w:name="OLE_LINK7806"/>
      <w:bookmarkStart w:id="295" w:name="OLE_LINK7810"/>
      <w:bookmarkStart w:id="296" w:name="OLE_LINK7811"/>
      <w:bookmarkStart w:id="297" w:name="OLE_LINK7815"/>
      <w:bookmarkStart w:id="298" w:name="OLE_LINK7238"/>
      <w:bookmarkStart w:id="299" w:name="OLE_LINK7245"/>
      <w:bookmarkStart w:id="300" w:name="OLE_LINK7254"/>
      <w:bookmarkStart w:id="301" w:name="OLE_LINK7260"/>
      <w:bookmarkStart w:id="302" w:name="OLE_LINK7263"/>
      <w:bookmarkStart w:id="303" w:name="OLE_LINK7265"/>
      <w:bookmarkStart w:id="304" w:name="OLE_LINK7266"/>
      <w:bookmarkStart w:id="305" w:name="OLE_LINK7272"/>
      <w:bookmarkStart w:id="306" w:name="OLE_LINK7282"/>
      <w:bookmarkStart w:id="307" w:name="OLE_LINK7287"/>
      <w:bookmarkStart w:id="308" w:name="OLE_LINK7292"/>
      <w:bookmarkStart w:id="309" w:name="OLE_LINK7296"/>
      <w:bookmarkStart w:id="310" w:name="OLE_LINK7303"/>
      <w:bookmarkStart w:id="311" w:name="OLE_LINK7307"/>
      <w:bookmarkStart w:id="312" w:name="OLE_LINK7313"/>
      <w:bookmarkStart w:id="313" w:name="OLE_LINK7317"/>
      <w:bookmarkStart w:id="314" w:name="OLE_LINK7322"/>
      <w:bookmarkStart w:id="315" w:name="OLE_LINK7326"/>
      <w:bookmarkStart w:id="316" w:name="OLE_LINK7376"/>
      <w:bookmarkStart w:id="317" w:name="OLE_LINK7379"/>
      <w:bookmarkStart w:id="318" w:name="OLE_LINK7383"/>
      <w:bookmarkStart w:id="319" w:name="OLE_LINK7386"/>
      <w:bookmarkStart w:id="320" w:name="OLE_LINK7389"/>
      <w:bookmarkStart w:id="321" w:name="OLE_LINK7394"/>
      <w:bookmarkStart w:id="322" w:name="OLE_LINK7403"/>
      <w:bookmarkStart w:id="323" w:name="OLE_LINK7422"/>
      <w:bookmarkStart w:id="324" w:name="OLE_LINK7426"/>
      <w:bookmarkStart w:id="325" w:name="OLE_LINK7432"/>
      <w:bookmarkStart w:id="326" w:name="OLE_LINK7440"/>
      <w:bookmarkStart w:id="327" w:name="OLE_LINK7523"/>
      <w:bookmarkStart w:id="328" w:name="OLE_LINK7526"/>
      <w:bookmarkStart w:id="329" w:name="OLE_LINK7533"/>
      <w:bookmarkStart w:id="330" w:name="OLE_LINK7534"/>
      <w:bookmarkStart w:id="331" w:name="OLE_LINK7538"/>
      <w:bookmarkStart w:id="332" w:name="OLE_LINK7548"/>
      <w:bookmarkStart w:id="333" w:name="OLE_LINK7552"/>
      <w:bookmarkStart w:id="334" w:name="OLE_LINK7562"/>
      <w:bookmarkStart w:id="335" w:name="OLE_LINK7572"/>
      <w:bookmarkStart w:id="336" w:name="OLE_LINK7573"/>
      <w:bookmarkStart w:id="337" w:name="OLE_LINK7579"/>
      <w:bookmarkStart w:id="338" w:name="OLE_LINK7588"/>
      <w:bookmarkStart w:id="339" w:name="OLE_LINK7593"/>
      <w:bookmarkStart w:id="340" w:name="OLE_LINK7619"/>
      <w:bookmarkStart w:id="341" w:name="OLE_LINK7631"/>
      <w:bookmarkStart w:id="342" w:name="OLE_LINK7642"/>
      <w:bookmarkStart w:id="343" w:name="OLE_LINK7646"/>
      <w:bookmarkStart w:id="344" w:name="OLE_LINK7648"/>
      <w:bookmarkStart w:id="345" w:name="OLE_LINK7658"/>
      <w:bookmarkStart w:id="346" w:name="OLE_LINK7739"/>
      <w:r w:rsidR="00F809DC" w:rsidRPr="003D31C5">
        <w:rPr>
          <w:rFonts w:ascii="Book Antiqua" w:hAnsi="Book Antiqua"/>
        </w:rPr>
        <w:t>January 12, 2024</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66A20B9F" w14:textId="460AE357" w:rsidR="00A77B3E" w:rsidRPr="003D31C5" w:rsidRDefault="004E1343">
      <w:pPr>
        <w:spacing w:line="360" w:lineRule="auto"/>
        <w:jc w:val="both"/>
      </w:pPr>
      <w:r w:rsidRPr="003D31C5">
        <w:rPr>
          <w:rFonts w:ascii="Book Antiqua" w:eastAsia="Book Antiqua" w:hAnsi="Book Antiqua" w:cs="Book Antiqua"/>
          <w:b/>
          <w:bCs/>
        </w:rPr>
        <w:t xml:space="preserve">Published online: </w:t>
      </w:r>
      <w:r w:rsidR="00907BFA" w:rsidRPr="003D31C5">
        <w:rPr>
          <w:rFonts w:ascii="Book Antiqua" w:hAnsi="Book Antiqua"/>
          <w:color w:val="000000"/>
          <w:shd w:val="clear" w:color="auto" w:fill="FFFFFF"/>
        </w:rPr>
        <w:t>February 7, 2024</w:t>
      </w:r>
    </w:p>
    <w:p w14:paraId="71A4BC42" w14:textId="77777777" w:rsidR="00A77B3E" w:rsidRPr="003D31C5" w:rsidRDefault="00A77B3E">
      <w:pPr>
        <w:spacing w:line="360" w:lineRule="auto"/>
        <w:jc w:val="both"/>
        <w:sectPr w:rsidR="00A77B3E" w:rsidRPr="003D31C5" w:rsidSect="003922D4">
          <w:footerReference w:type="default" r:id="rId7"/>
          <w:pgSz w:w="12240" w:h="15840"/>
          <w:pgMar w:top="1440" w:right="1440" w:bottom="1440" w:left="1440" w:header="720" w:footer="720" w:gutter="0"/>
          <w:cols w:space="720"/>
          <w:docGrid w:linePitch="360"/>
        </w:sectPr>
      </w:pPr>
    </w:p>
    <w:p w14:paraId="57D72696" w14:textId="77777777" w:rsidR="00A77B3E" w:rsidRPr="003D31C5" w:rsidRDefault="004E1343">
      <w:pPr>
        <w:spacing w:line="360" w:lineRule="auto"/>
        <w:jc w:val="both"/>
      </w:pPr>
      <w:r w:rsidRPr="003D31C5">
        <w:rPr>
          <w:rFonts w:ascii="Book Antiqua" w:eastAsia="Book Antiqua" w:hAnsi="Book Antiqua" w:cs="Book Antiqua"/>
          <w:b/>
          <w:color w:val="000000"/>
        </w:rPr>
        <w:lastRenderedPageBreak/>
        <w:t>Abstract</w:t>
      </w:r>
    </w:p>
    <w:p w14:paraId="0B0B86F8" w14:textId="36B66473" w:rsidR="00A77B3E" w:rsidRPr="003D31C5" w:rsidRDefault="004E1343">
      <w:pPr>
        <w:spacing w:line="360" w:lineRule="auto"/>
        <w:jc w:val="both"/>
      </w:pPr>
      <w:r w:rsidRPr="003D31C5">
        <w:rPr>
          <w:rFonts w:ascii="Book Antiqua" w:eastAsia="Book Antiqua" w:hAnsi="Book Antiqua" w:cs="Book Antiqua"/>
          <w:color w:val="000000"/>
        </w:rPr>
        <w:t xml:space="preserve">The high rate of early recurrence in </w:t>
      </w:r>
      <w:bookmarkStart w:id="347" w:name="_Hlk155796374"/>
      <w:r w:rsidR="006341D6" w:rsidRPr="003D31C5">
        <w:rPr>
          <w:rFonts w:ascii="Book Antiqua" w:eastAsia="Book Antiqua" w:hAnsi="Book Antiqua" w:cs="Book Antiqua"/>
          <w:color w:val="000000"/>
        </w:rPr>
        <w:t>h</w:t>
      </w:r>
      <w:r w:rsidRPr="003D31C5">
        <w:rPr>
          <w:rFonts w:ascii="Book Antiqua" w:eastAsia="Book Antiqua" w:hAnsi="Book Antiqua" w:cs="Book Antiqua"/>
          <w:color w:val="000000"/>
        </w:rPr>
        <w:t>epatocellular carcinoma</w:t>
      </w:r>
      <w:bookmarkEnd w:id="347"/>
      <w:r w:rsidRPr="003D31C5">
        <w:rPr>
          <w:rFonts w:ascii="Book Antiqua" w:eastAsia="Book Antiqua" w:hAnsi="Book Antiqua" w:cs="Book Antiqua"/>
          <w:color w:val="000000"/>
        </w:rPr>
        <w:t xml:space="preserve"> (HCC) post curative surgical intervention poses a substantial clinical hurdle, impacting patient outcomes and complicating postoperative management. The advent of machine learning provides a unique opportunity to harness vast datasets, identifying subtle patterns and factors that elude conventional prognostic methods.</w:t>
      </w:r>
      <w:r w:rsidR="005C63FE" w:rsidRPr="003D31C5">
        <w:rPr>
          <w:rFonts w:hint="eastAsia"/>
          <w:lang w:eastAsia="zh-CN"/>
        </w:rPr>
        <w:t xml:space="preserve"> </w:t>
      </w:r>
      <w:r w:rsidRPr="003D31C5">
        <w:rPr>
          <w:rFonts w:ascii="Book Antiqua" w:eastAsia="Book Antiqua" w:hAnsi="Book Antiqua" w:cs="Book Antiqua"/>
          <w:color w:val="000000"/>
        </w:rPr>
        <w:t>Machine learning models, equipped with the ability to analyse intricate relationships within datasets, have shown promise in predicting outcomes in various medical disciplines. In the context of HCC, the application of machine learning to predict early recurrence holds potential for personalized postoperative care strategies.</w:t>
      </w:r>
      <w:r w:rsidR="005C63FE" w:rsidRPr="003D31C5">
        <w:rPr>
          <w:rFonts w:hint="eastAsia"/>
          <w:lang w:eastAsia="zh-CN"/>
        </w:rPr>
        <w:t xml:space="preserve"> </w:t>
      </w:r>
      <w:r w:rsidRPr="003D31C5">
        <w:rPr>
          <w:rFonts w:ascii="Book Antiqua" w:eastAsia="Book Antiqua" w:hAnsi="Book Antiqua" w:cs="Book Antiqua"/>
          <w:color w:val="000000"/>
        </w:rPr>
        <w:t xml:space="preserve">This editorial comments on the study carried out exploring the merits and efficacy of random survival forests (RSF) in identifying significant risk factors for recurrence, stratifying patients at low and high risk of HCC recurrence and comparing this to traditional COX proportional </w:t>
      </w:r>
      <w:r w:rsidR="009A2FD9" w:rsidRPr="003D31C5">
        <w:rPr>
          <w:rFonts w:ascii="Book Antiqua" w:eastAsia="Book Antiqua" w:hAnsi="Book Antiqua" w:cs="Book Antiqua"/>
          <w:color w:val="000000"/>
        </w:rPr>
        <w:t>h</w:t>
      </w:r>
      <w:r w:rsidRPr="003D31C5">
        <w:rPr>
          <w:rFonts w:ascii="Book Antiqua" w:eastAsia="Book Antiqua" w:hAnsi="Book Antiqua" w:cs="Book Antiqua"/>
          <w:color w:val="000000"/>
        </w:rPr>
        <w:t xml:space="preserve">azard models (CPH). In doing so, the study demonstrated that the RSF models are superior to traditional CPH models in predicting recurrence of HCC and represent a giant leap towards precision medicine. </w:t>
      </w:r>
    </w:p>
    <w:p w14:paraId="54458EB7" w14:textId="77777777" w:rsidR="00A77B3E" w:rsidRPr="003D31C5" w:rsidRDefault="00A77B3E">
      <w:pPr>
        <w:spacing w:line="360" w:lineRule="auto"/>
        <w:jc w:val="both"/>
      </w:pPr>
    </w:p>
    <w:p w14:paraId="0B80EC48" w14:textId="77777777" w:rsidR="00A77B3E" w:rsidRPr="003D31C5" w:rsidRDefault="004E1343">
      <w:pPr>
        <w:spacing w:line="360" w:lineRule="auto"/>
        <w:jc w:val="both"/>
      </w:pPr>
      <w:r w:rsidRPr="003D31C5">
        <w:rPr>
          <w:rFonts w:ascii="Book Antiqua" w:eastAsia="Book Antiqua" w:hAnsi="Book Antiqua" w:cs="Book Antiqua"/>
          <w:b/>
          <w:bCs/>
        </w:rPr>
        <w:t xml:space="preserve">Key Words: </w:t>
      </w:r>
      <w:r w:rsidRPr="003D31C5">
        <w:rPr>
          <w:rFonts w:ascii="Book Antiqua" w:eastAsia="Book Antiqua" w:hAnsi="Book Antiqua" w:cs="Book Antiqua"/>
          <w:color w:val="000000"/>
        </w:rPr>
        <w:t>Machine learning; Artificial intelligence; Hepatocellular carcinoma; Hepatology; Early recurrence; Liver resection</w:t>
      </w:r>
    </w:p>
    <w:p w14:paraId="6BF54BEA" w14:textId="77777777" w:rsidR="00A77B3E" w:rsidRPr="003D31C5" w:rsidRDefault="00A77B3E">
      <w:pPr>
        <w:spacing w:line="360" w:lineRule="auto"/>
        <w:jc w:val="both"/>
      </w:pPr>
    </w:p>
    <w:p w14:paraId="115BB6D5" w14:textId="77777777" w:rsidR="00A604FA" w:rsidRPr="003D31C5" w:rsidRDefault="00A604FA" w:rsidP="00A604FA">
      <w:pPr>
        <w:spacing w:line="360" w:lineRule="auto"/>
        <w:jc w:val="both"/>
        <w:rPr>
          <w:rFonts w:ascii="Book Antiqua" w:eastAsia="Book Antiqua" w:hAnsi="Book Antiqua" w:cs="Book Antiqua"/>
          <w:color w:val="000000"/>
        </w:rPr>
      </w:pPr>
      <w:bookmarkStart w:id="348" w:name="_Hlk88512344"/>
      <w:bookmarkStart w:id="349" w:name="_Hlk88512883"/>
      <w:bookmarkStart w:id="350" w:name="_Hlk88513225"/>
      <w:bookmarkStart w:id="351" w:name="_Hlk88512545"/>
      <w:r w:rsidRPr="003D31C5">
        <w:rPr>
          <w:rFonts w:ascii="Book Antiqua" w:eastAsia="Book Antiqua" w:hAnsi="Book Antiqua" w:cs="Book Antiqua" w:hint="eastAsia"/>
          <w:b/>
          <w:color w:val="000000"/>
        </w:rPr>
        <w:t>©</w:t>
      </w:r>
      <w:r w:rsidRPr="003D31C5">
        <w:rPr>
          <w:rFonts w:ascii="Book Antiqua" w:eastAsia="Book Antiqua" w:hAnsi="Book Antiqua" w:cs="Book Antiqua"/>
          <w:b/>
          <w:color w:val="000000"/>
        </w:rPr>
        <w:t>The</w:t>
      </w:r>
      <w:r w:rsidRPr="003D31C5">
        <w:rPr>
          <w:rFonts w:ascii="Book Antiqua" w:eastAsia="Book Antiqua" w:hAnsi="Book Antiqua" w:cs="Book Antiqua"/>
          <w:color w:val="000000"/>
        </w:rPr>
        <w:t xml:space="preserve"> </w:t>
      </w:r>
      <w:r w:rsidRPr="003D31C5">
        <w:rPr>
          <w:rFonts w:ascii="Book Antiqua" w:eastAsia="Book Antiqua" w:hAnsi="Book Antiqua" w:cs="Book Antiqua"/>
          <w:b/>
          <w:color w:val="000000"/>
        </w:rPr>
        <w:t xml:space="preserve">Author(s) 2024. </w:t>
      </w:r>
      <w:r w:rsidRPr="003D31C5">
        <w:rPr>
          <w:rFonts w:ascii="Book Antiqua" w:eastAsia="Book Antiqua" w:hAnsi="Book Antiqua" w:cs="Book Antiqua"/>
          <w:color w:val="000000"/>
        </w:rPr>
        <w:t>Published by Baishideng Publishing Group Inc. All rights reserved.</w:t>
      </w:r>
      <w:bookmarkEnd w:id="348"/>
      <w:r w:rsidRPr="003D31C5">
        <w:rPr>
          <w:rFonts w:ascii="Book Antiqua" w:eastAsia="Book Antiqua" w:hAnsi="Book Antiqua" w:cs="Book Antiqua"/>
          <w:color w:val="000000"/>
        </w:rPr>
        <w:t xml:space="preserve"> </w:t>
      </w:r>
    </w:p>
    <w:bookmarkEnd w:id="349"/>
    <w:p w14:paraId="0681C03B" w14:textId="77777777" w:rsidR="00A604FA" w:rsidRPr="003D31C5" w:rsidRDefault="00A604FA" w:rsidP="00A604FA">
      <w:pPr>
        <w:spacing w:line="360" w:lineRule="auto"/>
        <w:jc w:val="both"/>
        <w:rPr>
          <w:lang w:eastAsia="zh-CN"/>
        </w:rPr>
      </w:pPr>
    </w:p>
    <w:p w14:paraId="049F3DD5" w14:textId="77777777" w:rsidR="00A604FA" w:rsidRPr="003D31C5" w:rsidRDefault="00A604FA" w:rsidP="00A604FA">
      <w:pPr>
        <w:spacing w:line="360" w:lineRule="auto"/>
        <w:jc w:val="both"/>
        <w:rPr>
          <w:rFonts w:ascii="Book Antiqua" w:eastAsia="Book Antiqua" w:hAnsi="Book Antiqua" w:cs="Book Antiqua"/>
        </w:rPr>
      </w:pPr>
      <w:bookmarkStart w:id="352" w:name="_Hlk88512899"/>
      <w:bookmarkStart w:id="353" w:name="_Hlk88512352"/>
      <w:bookmarkEnd w:id="350"/>
      <w:r w:rsidRPr="003D31C5">
        <w:rPr>
          <w:rFonts w:ascii="Book Antiqua" w:hAnsi="Book Antiqua" w:cs="Book Antiqua" w:hint="eastAsia"/>
          <w:b/>
          <w:color w:val="000000"/>
          <w:lang w:eastAsia="zh-CN"/>
        </w:rPr>
        <w:t>Citation:</w:t>
      </w:r>
      <w:bookmarkEnd w:id="351"/>
      <w:bookmarkEnd w:id="352"/>
      <w:r w:rsidRPr="003D31C5">
        <w:rPr>
          <w:rFonts w:ascii="Book Antiqua" w:hAnsi="Book Antiqua" w:cs="Book Antiqua" w:hint="eastAsia"/>
          <w:color w:val="000000"/>
          <w:lang w:eastAsia="zh-CN"/>
        </w:rPr>
        <w:t xml:space="preserve"> </w:t>
      </w:r>
      <w:bookmarkEnd w:id="353"/>
      <w:r w:rsidR="004E1343" w:rsidRPr="003D31C5">
        <w:rPr>
          <w:rFonts w:ascii="Book Antiqua" w:eastAsia="Book Antiqua" w:hAnsi="Book Antiqua" w:cs="Book Antiqua"/>
        </w:rPr>
        <w:t xml:space="preserve">Ravikulan A, Rostami K. </w:t>
      </w:r>
      <w:r w:rsidR="009A2FD9" w:rsidRPr="003D31C5">
        <w:rPr>
          <w:rFonts w:ascii="Book Antiqua" w:eastAsia="Book Antiqua" w:hAnsi="Book Antiqua" w:cs="Book Antiqua"/>
        </w:rPr>
        <w:t>Leveraging machine learning for early recurrence prediction in hepatocellular carcinoma: A step towards precision medicine</w:t>
      </w:r>
      <w:r w:rsidR="004E1343" w:rsidRPr="003D31C5">
        <w:rPr>
          <w:rFonts w:ascii="Book Antiqua" w:eastAsia="Book Antiqua" w:hAnsi="Book Antiqua" w:cs="Book Antiqua"/>
        </w:rPr>
        <w:t xml:space="preserve">. </w:t>
      </w:r>
      <w:r w:rsidR="004E1343" w:rsidRPr="003D31C5">
        <w:rPr>
          <w:rFonts w:ascii="Book Antiqua" w:eastAsia="Book Antiqua" w:hAnsi="Book Antiqua" w:cs="Book Antiqua"/>
          <w:i/>
          <w:iCs/>
        </w:rPr>
        <w:t>World J Gastroenterol</w:t>
      </w:r>
      <w:r w:rsidR="004E1343" w:rsidRPr="003D31C5">
        <w:rPr>
          <w:rFonts w:ascii="Book Antiqua" w:eastAsia="Book Antiqua" w:hAnsi="Book Antiqua" w:cs="Book Antiqua"/>
        </w:rPr>
        <w:t xml:space="preserve"> 2024; </w:t>
      </w:r>
      <w:r w:rsidR="00071E32" w:rsidRPr="003D31C5">
        <w:rPr>
          <w:rFonts w:ascii="Book Antiqua" w:eastAsia="Book Antiqua" w:hAnsi="Book Antiqua" w:cs="Book Antiqua"/>
        </w:rPr>
        <w:t xml:space="preserve">30(5): </w:t>
      </w:r>
      <w:r w:rsidRPr="003D31C5">
        <w:rPr>
          <w:rFonts w:ascii="Book Antiqua" w:eastAsia="Book Antiqua" w:hAnsi="Book Antiqua" w:cs="Book Antiqua"/>
        </w:rPr>
        <w:t>424</w:t>
      </w:r>
      <w:r w:rsidR="00071E32" w:rsidRPr="003D31C5">
        <w:rPr>
          <w:rFonts w:ascii="Book Antiqua" w:eastAsia="Book Antiqua" w:hAnsi="Book Antiqua" w:cs="Book Antiqua"/>
        </w:rPr>
        <w:t>-</w:t>
      </w:r>
      <w:r w:rsidRPr="003D31C5">
        <w:rPr>
          <w:rFonts w:ascii="Book Antiqua" w:eastAsia="Book Antiqua" w:hAnsi="Book Antiqua" w:cs="Book Antiqua"/>
        </w:rPr>
        <w:t>428</w:t>
      </w:r>
    </w:p>
    <w:p w14:paraId="50DA6EFA" w14:textId="0AC4D0C4" w:rsidR="00A604FA" w:rsidRPr="003D31C5" w:rsidRDefault="00071E32" w:rsidP="00A604FA">
      <w:pPr>
        <w:spacing w:line="360" w:lineRule="auto"/>
        <w:jc w:val="both"/>
        <w:rPr>
          <w:rFonts w:ascii="Book Antiqua" w:eastAsia="Book Antiqua" w:hAnsi="Book Antiqua" w:cs="Book Antiqua"/>
        </w:rPr>
      </w:pPr>
      <w:r w:rsidRPr="003D31C5">
        <w:rPr>
          <w:rFonts w:ascii="Book Antiqua" w:eastAsia="Book Antiqua" w:hAnsi="Book Antiqua" w:cs="Book Antiqua"/>
          <w:b/>
          <w:bCs/>
        </w:rPr>
        <w:t xml:space="preserve">URL: </w:t>
      </w:r>
      <w:hyperlink r:id="rId8" w:history="1">
        <w:r w:rsidR="00A604FA" w:rsidRPr="003D31C5">
          <w:rPr>
            <w:rStyle w:val="ae"/>
            <w:rFonts w:ascii="Book Antiqua" w:eastAsia="Book Antiqua" w:hAnsi="Book Antiqua" w:cs="Book Antiqua"/>
          </w:rPr>
          <w:t>https://www.wjgnet.com/1007-9327/full/v30/i5/424.htm</w:t>
        </w:r>
      </w:hyperlink>
    </w:p>
    <w:p w14:paraId="3C6E2DF8" w14:textId="4D79B325" w:rsidR="00A77B3E" w:rsidRPr="003D31C5" w:rsidRDefault="00071E32" w:rsidP="00A604FA">
      <w:pPr>
        <w:spacing w:line="360" w:lineRule="auto"/>
        <w:jc w:val="both"/>
      </w:pPr>
      <w:r w:rsidRPr="003D31C5">
        <w:rPr>
          <w:rFonts w:ascii="Book Antiqua" w:eastAsia="Book Antiqua" w:hAnsi="Book Antiqua" w:cs="Book Antiqua"/>
          <w:b/>
          <w:bCs/>
        </w:rPr>
        <w:t xml:space="preserve">DOI: </w:t>
      </w:r>
      <w:r w:rsidRPr="003D31C5">
        <w:rPr>
          <w:rFonts w:ascii="Book Antiqua" w:eastAsia="Book Antiqua" w:hAnsi="Book Antiqua" w:cs="Book Antiqua"/>
        </w:rPr>
        <w:t>https://dx.doi.org/10.3748/wjg.v30.i5.</w:t>
      </w:r>
      <w:r w:rsidR="00A604FA" w:rsidRPr="003D31C5">
        <w:rPr>
          <w:rFonts w:ascii="Book Antiqua" w:eastAsia="Book Antiqua" w:hAnsi="Book Antiqua" w:cs="Book Antiqua"/>
        </w:rPr>
        <w:t>424</w:t>
      </w:r>
    </w:p>
    <w:p w14:paraId="69E6548A" w14:textId="77777777" w:rsidR="00A77B3E" w:rsidRPr="003D31C5" w:rsidRDefault="00A77B3E">
      <w:pPr>
        <w:spacing w:line="360" w:lineRule="auto"/>
        <w:jc w:val="both"/>
      </w:pPr>
    </w:p>
    <w:p w14:paraId="44461CFB" w14:textId="56E8999F" w:rsidR="00A77B3E" w:rsidRPr="003D31C5" w:rsidRDefault="004E1343">
      <w:pPr>
        <w:spacing w:line="360" w:lineRule="auto"/>
        <w:jc w:val="both"/>
      </w:pPr>
      <w:r w:rsidRPr="003D31C5">
        <w:rPr>
          <w:rFonts w:ascii="Book Antiqua" w:eastAsia="Book Antiqua" w:hAnsi="Book Antiqua" w:cs="Book Antiqua"/>
          <w:b/>
          <w:bCs/>
          <w:szCs w:val="22"/>
        </w:rPr>
        <w:lastRenderedPageBreak/>
        <w:t xml:space="preserve">Core Tip: </w:t>
      </w:r>
      <w:r w:rsidRPr="003D31C5">
        <w:rPr>
          <w:rFonts w:ascii="Book Antiqua" w:eastAsia="Book Antiqua" w:hAnsi="Book Antiqua" w:cs="Book Antiqua"/>
          <w:color w:val="000000"/>
        </w:rPr>
        <w:t xml:space="preserve">This study addresses the crucial issue of early recurrence in </w:t>
      </w:r>
      <w:r w:rsidR="00DE4045" w:rsidRPr="003D31C5">
        <w:rPr>
          <w:rFonts w:ascii="Book Antiqua" w:eastAsia="Book Antiqua" w:hAnsi="Book Antiqua" w:cs="Book Antiqua"/>
          <w:color w:val="000000"/>
        </w:rPr>
        <w:t>hepatocellular carcinoma</w:t>
      </w:r>
      <w:r w:rsidRPr="003D31C5">
        <w:rPr>
          <w:rFonts w:ascii="Book Antiqua" w:eastAsia="Book Antiqua" w:hAnsi="Book Antiqua" w:cs="Book Antiqua"/>
          <w:color w:val="000000"/>
        </w:rPr>
        <w:t xml:space="preserve">, emphasizing the significance of aggressive tumour characteristics. </w:t>
      </w:r>
      <w:r w:rsidR="00DE4045" w:rsidRPr="003D31C5">
        <w:rPr>
          <w:rFonts w:ascii="Book Antiqua" w:eastAsia="Book Antiqua" w:hAnsi="Book Antiqua" w:cs="Book Antiqua"/>
          <w:color w:val="000000"/>
        </w:rPr>
        <w:t>random survival forests</w:t>
      </w:r>
      <w:r w:rsidRPr="003D31C5">
        <w:rPr>
          <w:rFonts w:ascii="Book Antiqua" w:eastAsia="Book Antiqua" w:hAnsi="Book Antiqua" w:cs="Book Antiqua"/>
          <w:color w:val="000000"/>
        </w:rPr>
        <w:t xml:space="preserve">, a machine learning model, surpasses conventional </w:t>
      </w:r>
      <w:r w:rsidR="00DE4045" w:rsidRPr="003D31C5">
        <w:rPr>
          <w:rFonts w:ascii="Book Antiqua" w:eastAsia="Book Antiqua" w:hAnsi="Book Antiqua" w:cs="Book Antiqua"/>
          <w:color w:val="000000"/>
        </w:rPr>
        <w:t>COX proportional hazard</w:t>
      </w:r>
      <w:r w:rsidRPr="003D31C5">
        <w:rPr>
          <w:rFonts w:ascii="Book Antiqua" w:eastAsia="Book Antiqua" w:hAnsi="Book Antiqua" w:cs="Book Antiqua"/>
          <w:color w:val="000000"/>
        </w:rPr>
        <w:t xml:space="preserve"> models, offering improved prediction, clinical usefulness, and overall performance. The model's ability to stratify risk facilitates targeted postoperative strategies, showcasing its potential as a guide for personalized patient care.</w:t>
      </w:r>
    </w:p>
    <w:p w14:paraId="50D2A3C5" w14:textId="77777777" w:rsidR="00A77B3E" w:rsidRPr="003D31C5" w:rsidRDefault="00A77B3E">
      <w:pPr>
        <w:spacing w:line="360" w:lineRule="auto"/>
        <w:jc w:val="both"/>
      </w:pPr>
    </w:p>
    <w:p w14:paraId="3BE1AD8F" w14:textId="77777777" w:rsidR="00A77B3E" w:rsidRPr="003D31C5" w:rsidRDefault="004E1343">
      <w:pPr>
        <w:spacing w:line="360" w:lineRule="auto"/>
        <w:jc w:val="both"/>
      </w:pPr>
      <w:r w:rsidRPr="003D31C5">
        <w:rPr>
          <w:rFonts w:ascii="Book Antiqua" w:eastAsia="Book Antiqua" w:hAnsi="Book Antiqua" w:cs="Book Antiqua"/>
          <w:b/>
          <w:caps/>
          <w:color w:val="000000"/>
          <w:u w:val="single"/>
        </w:rPr>
        <w:t>INTRODUCTION</w:t>
      </w:r>
    </w:p>
    <w:p w14:paraId="5BCC1D7D" w14:textId="77777777" w:rsidR="00A77B3E" w:rsidRPr="003D31C5" w:rsidRDefault="004E1343">
      <w:pPr>
        <w:spacing w:line="360" w:lineRule="auto"/>
        <w:jc w:val="both"/>
      </w:pPr>
      <w:r w:rsidRPr="003D31C5">
        <w:rPr>
          <w:rFonts w:ascii="Book Antiqua" w:eastAsia="Book Antiqua" w:hAnsi="Book Antiqua" w:cs="Book Antiqua"/>
          <w:color w:val="000000"/>
        </w:rPr>
        <w:t xml:space="preserve">Developing a reliable pre-operative prediction model for postoperative recurrence of hepatocellular carcinoma (HCC) is essential in guiding individualized treatment and prognostication process of HCC. </w:t>
      </w:r>
    </w:p>
    <w:p w14:paraId="40943CBF" w14:textId="406E4ECC" w:rsidR="00A77B3E" w:rsidRPr="003D31C5" w:rsidRDefault="004E1343" w:rsidP="000B53B4">
      <w:pPr>
        <w:spacing w:line="360" w:lineRule="auto"/>
        <w:ind w:firstLineChars="200" w:firstLine="480"/>
        <w:jc w:val="both"/>
      </w:pPr>
      <w:r w:rsidRPr="003D31C5">
        <w:rPr>
          <w:rFonts w:ascii="Book Antiqua" w:eastAsia="Book Antiqua" w:hAnsi="Book Antiqua" w:cs="Book Antiqua"/>
          <w:color w:val="000000"/>
        </w:rPr>
        <w:t xml:space="preserve">In this issue of </w:t>
      </w:r>
      <w:r w:rsidR="000B53B4" w:rsidRPr="003D31C5">
        <w:rPr>
          <w:rFonts w:ascii="Book Antiqua" w:eastAsia="Book Antiqua" w:hAnsi="Book Antiqua" w:cs="Book Antiqua"/>
          <w:i/>
          <w:iCs/>
          <w:color w:val="000000"/>
        </w:rPr>
        <w:t>World Journal of Gastroenterology</w:t>
      </w:r>
      <w:r w:rsidRPr="003D31C5">
        <w:rPr>
          <w:rFonts w:ascii="Book Antiqua" w:eastAsia="Book Antiqua" w:hAnsi="Book Antiqua" w:cs="Book Antiqua"/>
          <w:color w:val="000000"/>
        </w:rPr>
        <w:t>, Z</w:t>
      </w:r>
      <w:r w:rsidR="0081022E" w:rsidRPr="003D31C5">
        <w:rPr>
          <w:rFonts w:ascii="Book Antiqua" w:eastAsia="Book Antiqua" w:hAnsi="Book Antiqua" w:cs="Book Antiqua"/>
          <w:color w:val="000000"/>
        </w:rPr>
        <w:t>en</w:t>
      </w:r>
      <w:r w:rsidRPr="003D31C5">
        <w:rPr>
          <w:rFonts w:ascii="Book Antiqua" w:eastAsia="Book Antiqua" w:hAnsi="Book Antiqua" w:cs="Book Antiqua"/>
          <w:color w:val="000000"/>
        </w:rPr>
        <w:t>g</w:t>
      </w:r>
      <w:r w:rsidR="000B53B4" w:rsidRPr="003D31C5">
        <w:rPr>
          <w:rFonts w:ascii="Book Antiqua" w:eastAsia="Book Antiqua" w:hAnsi="Book Antiqua" w:cs="Book Antiqua"/>
          <w:color w:val="000000"/>
        </w:rPr>
        <w:t xml:space="preserve"> </w:t>
      </w:r>
      <w:r w:rsidRPr="003D31C5">
        <w:rPr>
          <w:rFonts w:ascii="Book Antiqua" w:eastAsia="Book Antiqua" w:hAnsi="Book Antiqua" w:cs="Book Antiqua"/>
          <w:i/>
          <w:iCs/>
          <w:color w:val="000000"/>
        </w:rPr>
        <w:t>et al</w:t>
      </w:r>
      <w:r w:rsidR="000B53B4" w:rsidRPr="003D31C5">
        <w:rPr>
          <w:rFonts w:ascii="Book Antiqua" w:eastAsia="Book Antiqua" w:hAnsi="Book Antiqua" w:cs="Book Antiqua"/>
          <w:color w:val="000000"/>
          <w:szCs w:val="30"/>
          <w:vertAlign w:val="superscript"/>
        </w:rPr>
        <w:t>[1]</w:t>
      </w:r>
      <w:r w:rsidRPr="003D31C5">
        <w:rPr>
          <w:rFonts w:ascii="Book Antiqua" w:eastAsia="Book Antiqua" w:hAnsi="Book Antiqua" w:cs="Book Antiqua"/>
          <w:color w:val="000000"/>
        </w:rPr>
        <w:t xml:space="preserve"> endeavour to identify key variables in pre-operative clinical and imaging data using machine learning algorithms to construct multiple risk prediction models for early postoperative recurrence of HCC. </w:t>
      </w:r>
    </w:p>
    <w:p w14:paraId="11EB3A4A" w14:textId="6C068B98" w:rsidR="00A77B3E" w:rsidRPr="003D31C5" w:rsidRDefault="006341D6" w:rsidP="000B53B4">
      <w:pPr>
        <w:spacing w:line="360" w:lineRule="auto"/>
        <w:ind w:firstLineChars="200" w:firstLine="480"/>
        <w:jc w:val="both"/>
      </w:pPr>
      <w:r w:rsidRPr="003D31C5">
        <w:rPr>
          <w:rFonts w:ascii="Book Antiqua" w:eastAsia="Book Antiqua" w:hAnsi="Book Antiqua" w:cs="Book Antiqua"/>
          <w:color w:val="000000"/>
        </w:rPr>
        <w:t>HCC remains a significant challenge in the realm of oncology, particularly due to its propensity for early recurrence following curative resection</w:t>
      </w:r>
      <w:r w:rsidRPr="003D31C5">
        <w:rPr>
          <w:rFonts w:ascii="Book Antiqua" w:eastAsia="Book Antiqua" w:hAnsi="Book Antiqua" w:cs="Book Antiqua"/>
          <w:color w:val="000000"/>
          <w:szCs w:val="30"/>
          <w:vertAlign w:val="superscript"/>
        </w:rPr>
        <w:t>[2,3]</w:t>
      </w:r>
      <w:r w:rsidRPr="003D31C5">
        <w:rPr>
          <w:rFonts w:ascii="Book Antiqua" w:eastAsia="Book Antiqua" w:hAnsi="Book Antiqua" w:cs="Book Antiqua"/>
          <w:color w:val="000000"/>
        </w:rPr>
        <w:t>. It is the sixth most common cancer worldwide</w:t>
      </w:r>
      <w:r w:rsidRPr="003D31C5">
        <w:rPr>
          <w:rFonts w:ascii="Book Antiqua" w:eastAsia="Book Antiqua" w:hAnsi="Book Antiqua" w:cs="Book Antiqua"/>
          <w:color w:val="000000"/>
          <w:szCs w:val="30"/>
          <w:vertAlign w:val="superscript"/>
        </w:rPr>
        <w:t>[4]</w:t>
      </w:r>
      <w:r w:rsidRPr="003D31C5">
        <w:rPr>
          <w:rFonts w:ascii="Book Antiqua" w:eastAsia="Book Antiqua" w:hAnsi="Book Antiqua" w:cs="Book Antiqua"/>
          <w:color w:val="000000"/>
        </w:rPr>
        <w:t>. Though surgical resection remains the mainstay of curative therapy for HCC, early recurrence of HCC (within 1 year) stands as a substantial barrier to positive patient outcomes</w:t>
      </w:r>
      <w:r w:rsidRPr="003D31C5">
        <w:rPr>
          <w:rFonts w:ascii="Book Antiqua" w:eastAsia="Book Antiqua" w:hAnsi="Book Antiqua" w:cs="Book Antiqua"/>
          <w:color w:val="000000"/>
          <w:szCs w:val="30"/>
          <w:vertAlign w:val="superscript"/>
        </w:rPr>
        <w:t>[3,5]</w:t>
      </w:r>
      <w:r w:rsidRPr="003D31C5">
        <w:rPr>
          <w:rFonts w:ascii="Book Antiqua" w:eastAsia="Book Antiqua" w:hAnsi="Book Antiqua" w:cs="Book Antiqua"/>
          <w:color w:val="000000"/>
        </w:rPr>
        <w:t>. Survival rates in early recurrence of HCC can be as low as 25% at 3-5 years post resection</w:t>
      </w:r>
      <w:r w:rsidRPr="003D31C5">
        <w:rPr>
          <w:rFonts w:ascii="Book Antiqua" w:eastAsia="Book Antiqua" w:hAnsi="Book Antiqua" w:cs="Book Antiqua"/>
          <w:color w:val="000000"/>
          <w:szCs w:val="30"/>
          <w:vertAlign w:val="superscript"/>
        </w:rPr>
        <w:t>[5]</w:t>
      </w:r>
      <w:r w:rsidRPr="003D31C5">
        <w:rPr>
          <w:rFonts w:ascii="Book Antiqua" w:eastAsia="Book Antiqua" w:hAnsi="Book Antiqua" w:cs="Book Antiqua"/>
          <w:color w:val="000000"/>
        </w:rPr>
        <w:t>. There are no current approved therapeutic regimens available for the recurrence of HCC</w:t>
      </w:r>
      <w:r w:rsidRPr="003D31C5">
        <w:rPr>
          <w:rFonts w:ascii="Book Antiqua" w:eastAsia="Book Antiqua" w:hAnsi="Book Antiqua" w:cs="Book Antiqua"/>
          <w:color w:val="000000"/>
          <w:szCs w:val="30"/>
          <w:vertAlign w:val="superscript"/>
        </w:rPr>
        <w:t>[6]</w:t>
      </w:r>
      <w:r w:rsidRPr="003D31C5">
        <w:rPr>
          <w:rFonts w:ascii="Book Antiqua" w:eastAsia="Book Antiqua" w:hAnsi="Book Antiqua" w:cs="Book Antiqua"/>
          <w:color w:val="000000"/>
        </w:rPr>
        <w:t xml:space="preserve">. </w:t>
      </w:r>
    </w:p>
    <w:p w14:paraId="0827E6A1" w14:textId="20AD7422" w:rsidR="00A77B3E" w:rsidRPr="003D31C5" w:rsidRDefault="004E1343" w:rsidP="000B53B4">
      <w:pPr>
        <w:spacing w:line="360" w:lineRule="auto"/>
        <w:ind w:firstLineChars="200" w:firstLine="480"/>
        <w:jc w:val="both"/>
      </w:pPr>
      <w:r w:rsidRPr="003D31C5">
        <w:rPr>
          <w:rFonts w:ascii="Book Antiqua" w:eastAsia="Book Antiqua" w:hAnsi="Book Antiqua" w:cs="Book Antiqua"/>
          <w:color w:val="000000"/>
        </w:rPr>
        <w:t>This raises a significant need to improve models for the early detection of patients at risk of recurrence. Many factors have been identified in predicting risk of recurrence of HCC</w:t>
      </w:r>
      <w:r w:rsidRPr="003D31C5">
        <w:rPr>
          <w:rFonts w:ascii="Book Antiqua" w:eastAsia="Book Antiqua" w:hAnsi="Book Antiqua" w:cs="Book Antiqua"/>
          <w:color w:val="000000"/>
          <w:szCs w:val="30"/>
          <w:vertAlign w:val="superscript"/>
        </w:rPr>
        <w:t>[2]</w:t>
      </w:r>
      <w:r w:rsidRPr="003D31C5">
        <w:rPr>
          <w:rFonts w:ascii="Book Antiqua" w:eastAsia="Book Antiqua" w:hAnsi="Book Antiqua" w:cs="Book Antiqua"/>
          <w:color w:val="000000"/>
        </w:rPr>
        <w:t xml:space="preserve"> and this editorial explores the promising avenue in the quest for precision medicine</w:t>
      </w:r>
      <w:r w:rsidRPr="003D31C5">
        <w:rPr>
          <w:rFonts w:ascii="Book Antiqua" w:eastAsia="Book Antiqua" w:hAnsi="Book Antiqua" w:cs="Book Antiqua"/>
          <w:color w:val="000000"/>
          <w:szCs w:val="30"/>
          <w:vertAlign w:val="superscript"/>
        </w:rPr>
        <w:t>[1]</w:t>
      </w:r>
      <w:r w:rsidRPr="003D31C5">
        <w:rPr>
          <w:rFonts w:ascii="Book Antiqua" w:eastAsia="Book Antiqua" w:hAnsi="Book Antiqua" w:cs="Book Antiqua"/>
          <w:color w:val="000000"/>
        </w:rPr>
        <w:t xml:space="preserve"> the development of a machine learning model as highlighted by the authors aimed at predicting early recurrence after surgical intervention</w:t>
      </w:r>
      <w:r w:rsidRPr="003D31C5">
        <w:rPr>
          <w:rFonts w:ascii="Book Antiqua" w:eastAsia="Book Antiqua" w:hAnsi="Book Antiqua" w:cs="Book Antiqua"/>
          <w:color w:val="000000"/>
          <w:szCs w:val="30"/>
          <w:vertAlign w:val="superscript"/>
        </w:rPr>
        <w:t>[</w:t>
      </w:r>
      <w:r w:rsidR="00551E4C" w:rsidRPr="003D31C5">
        <w:rPr>
          <w:rFonts w:ascii="Book Antiqua" w:eastAsia="Book Antiqua" w:hAnsi="Book Antiqua" w:cs="Book Antiqua"/>
          <w:color w:val="000000"/>
          <w:szCs w:val="30"/>
          <w:vertAlign w:val="superscript"/>
        </w:rPr>
        <w:t>7</w:t>
      </w:r>
      <w:r w:rsidRPr="003D31C5">
        <w:rPr>
          <w:rFonts w:ascii="Book Antiqua" w:eastAsia="Book Antiqua" w:hAnsi="Book Antiqua" w:cs="Book Antiqua"/>
          <w:color w:val="000000"/>
          <w:szCs w:val="30"/>
          <w:vertAlign w:val="superscript"/>
        </w:rPr>
        <w:t>]</w:t>
      </w:r>
      <w:r w:rsidRPr="003D31C5">
        <w:rPr>
          <w:rFonts w:ascii="Book Antiqua" w:eastAsia="Book Antiqua" w:hAnsi="Book Antiqua" w:cs="Book Antiqua"/>
          <w:color w:val="000000"/>
        </w:rPr>
        <w:t>. The advent of machine learning provides a unique opportunity to harness vast datasets, identifying subtle patterns and factors that elude conventional prognostic methods</w:t>
      </w:r>
      <w:r w:rsidRPr="003D31C5">
        <w:rPr>
          <w:rFonts w:ascii="Book Antiqua" w:eastAsia="Book Antiqua" w:hAnsi="Book Antiqua" w:cs="Book Antiqua"/>
          <w:color w:val="000000"/>
          <w:szCs w:val="30"/>
          <w:vertAlign w:val="superscript"/>
        </w:rPr>
        <w:t>[</w:t>
      </w:r>
      <w:r w:rsidR="00551E4C" w:rsidRPr="003D31C5">
        <w:rPr>
          <w:rFonts w:ascii="Book Antiqua" w:eastAsia="Book Antiqua" w:hAnsi="Book Antiqua" w:cs="Book Antiqua"/>
          <w:color w:val="000000"/>
          <w:szCs w:val="30"/>
          <w:vertAlign w:val="superscript"/>
        </w:rPr>
        <w:t>8,9</w:t>
      </w:r>
      <w:r w:rsidRPr="003D31C5">
        <w:rPr>
          <w:rFonts w:ascii="Book Antiqua" w:eastAsia="Book Antiqua" w:hAnsi="Book Antiqua" w:cs="Book Antiqua"/>
          <w:color w:val="000000"/>
          <w:szCs w:val="30"/>
          <w:vertAlign w:val="superscript"/>
        </w:rPr>
        <w:t>]</w:t>
      </w:r>
      <w:r w:rsidRPr="003D31C5">
        <w:rPr>
          <w:rFonts w:ascii="Book Antiqua" w:eastAsia="Book Antiqua" w:hAnsi="Book Antiqua" w:cs="Book Antiqua"/>
          <w:color w:val="000000"/>
        </w:rPr>
        <w:t>.</w:t>
      </w:r>
    </w:p>
    <w:p w14:paraId="7DC7555F" w14:textId="54A83682" w:rsidR="00A77B3E" w:rsidRPr="003D31C5" w:rsidRDefault="004E1343" w:rsidP="000B53B4">
      <w:pPr>
        <w:spacing w:line="360" w:lineRule="auto"/>
        <w:ind w:firstLineChars="200" w:firstLine="480"/>
        <w:jc w:val="both"/>
      </w:pPr>
      <w:r w:rsidRPr="003D31C5">
        <w:rPr>
          <w:rFonts w:ascii="Book Antiqua" w:eastAsia="Book Antiqua" w:hAnsi="Book Antiqua" w:cs="Book Antiqua"/>
          <w:color w:val="000000"/>
        </w:rPr>
        <w:lastRenderedPageBreak/>
        <w:t>Machine learning models, equipped with the ability to analyse intricate relationships within datasets, have shown promise in predicting outcomes in various medical disciplines</w:t>
      </w:r>
      <w:r w:rsidRPr="003D31C5">
        <w:rPr>
          <w:rFonts w:ascii="Book Antiqua" w:eastAsia="Book Antiqua" w:hAnsi="Book Antiqua" w:cs="Book Antiqua"/>
          <w:color w:val="000000"/>
          <w:szCs w:val="30"/>
          <w:vertAlign w:val="superscript"/>
        </w:rPr>
        <w:t>[</w:t>
      </w:r>
      <w:r w:rsidR="00551E4C" w:rsidRPr="003D31C5">
        <w:rPr>
          <w:rFonts w:ascii="Book Antiqua" w:eastAsia="Book Antiqua" w:hAnsi="Book Antiqua" w:cs="Book Antiqua"/>
          <w:color w:val="000000"/>
          <w:szCs w:val="30"/>
          <w:vertAlign w:val="superscript"/>
        </w:rPr>
        <w:t>8</w:t>
      </w:r>
      <w:r w:rsidRPr="003D31C5">
        <w:rPr>
          <w:rFonts w:ascii="Book Antiqua" w:eastAsia="Book Antiqua" w:hAnsi="Book Antiqua" w:cs="Book Antiqua"/>
          <w:color w:val="000000"/>
          <w:szCs w:val="30"/>
          <w:vertAlign w:val="superscript"/>
        </w:rPr>
        <w:t>]</w:t>
      </w:r>
      <w:r w:rsidRPr="003D31C5">
        <w:rPr>
          <w:rFonts w:ascii="Book Antiqua" w:eastAsia="Book Antiqua" w:hAnsi="Book Antiqua" w:cs="Book Antiqua"/>
          <w:color w:val="000000"/>
        </w:rPr>
        <w:t>. In the context of HCC, the application of machine learning to predict early recurrence holds potential for personalized postoperative care strategies</w:t>
      </w:r>
      <w:r w:rsidRPr="003D31C5">
        <w:rPr>
          <w:rFonts w:ascii="Book Antiqua" w:eastAsia="Book Antiqua" w:hAnsi="Book Antiqua" w:cs="Book Antiqua"/>
          <w:color w:val="000000"/>
          <w:szCs w:val="30"/>
          <w:vertAlign w:val="superscript"/>
        </w:rPr>
        <w:t>[</w:t>
      </w:r>
      <w:r w:rsidR="00BB0162" w:rsidRPr="003D31C5">
        <w:rPr>
          <w:rFonts w:ascii="Book Antiqua" w:eastAsia="Book Antiqua" w:hAnsi="Book Antiqua" w:cs="Book Antiqua"/>
          <w:color w:val="000000"/>
          <w:szCs w:val="30"/>
          <w:vertAlign w:val="superscript"/>
        </w:rPr>
        <w:t>10</w:t>
      </w:r>
      <w:r w:rsidRPr="003D31C5">
        <w:rPr>
          <w:rFonts w:ascii="Book Antiqua" w:eastAsia="Book Antiqua" w:hAnsi="Book Antiqua" w:cs="Book Antiqua"/>
          <w:color w:val="000000"/>
          <w:szCs w:val="30"/>
          <w:vertAlign w:val="superscript"/>
        </w:rPr>
        <w:t>]</w:t>
      </w:r>
      <w:r w:rsidRPr="003D31C5">
        <w:rPr>
          <w:rFonts w:ascii="Book Antiqua" w:eastAsia="Book Antiqua" w:hAnsi="Book Antiqua" w:cs="Book Antiqua"/>
          <w:color w:val="000000"/>
        </w:rPr>
        <w:t>.</w:t>
      </w:r>
    </w:p>
    <w:p w14:paraId="63232821" w14:textId="3E0E1F42" w:rsidR="00A77B3E" w:rsidRPr="003D31C5" w:rsidRDefault="004E1343" w:rsidP="000B53B4">
      <w:pPr>
        <w:spacing w:line="360" w:lineRule="auto"/>
        <w:ind w:firstLineChars="200" w:firstLine="480"/>
        <w:jc w:val="both"/>
      </w:pPr>
      <w:r w:rsidRPr="003D31C5">
        <w:rPr>
          <w:rFonts w:ascii="Book Antiqua" w:eastAsia="Book Antiqua" w:hAnsi="Book Antiqua" w:cs="Book Antiqua"/>
          <w:color w:val="000000"/>
        </w:rPr>
        <w:t>Traditionally, predictive models, such as COX proportional hazard (CPH) models, have been employed, but their limitations have spurred the exploration of innovative methodologies</w:t>
      </w:r>
      <w:r w:rsidRPr="003D31C5">
        <w:rPr>
          <w:rFonts w:ascii="Book Antiqua" w:eastAsia="Book Antiqua" w:hAnsi="Book Antiqua" w:cs="Book Antiqua"/>
          <w:color w:val="000000"/>
          <w:szCs w:val="30"/>
          <w:vertAlign w:val="superscript"/>
        </w:rPr>
        <w:t>[</w:t>
      </w:r>
      <w:r w:rsidR="00551E4C" w:rsidRPr="003D31C5">
        <w:rPr>
          <w:rFonts w:ascii="Book Antiqua" w:eastAsia="Book Antiqua" w:hAnsi="Book Antiqua" w:cs="Book Antiqua"/>
          <w:color w:val="000000"/>
          <w:szCs w:val="30"/>
          <w:vertAlign w:val="superscript"/>
        </w:rPr>
        <w:t>9</w:t>
      </w:r>
      <w:r w:rsidRPr="003D31C5">
        <w:rPr>
          <w:rFonts w:ascii="Book Antiqua" w:eastAsia="Book Antiqua" w:hAnsi="Book Antiqua" w:cs="Book Antiqua"/>
          <w:color w:val="000000"/>
          <w:szCs w:val="30"/>
          <w:vertAlign w:val="superscript"/>
        </w:rPr>
        <w:t>-1</w:t>
      </w:r>
      <w:r w:rsidR="00551E4C" w:rsidRPr="003D31C5">
        <w:rPr>
          <w:rFonts w:ascii="Book Antiqua" w:eastAsia="Book Antiqua" w:hAnsi="Book Antiqua" w:cs="Book Antiqua"/>
          <w:color w:val="000000"/>
          <w:szCs w:val="30"/>
          <w:vertAlign w:val="superscript"/>
        </w:rPr>
        <w:t>1</w:t>
      </w:r>
      <w:r w:rsidRPr="003D31C5">
        <w:rPr>
          <w:rFonts w:ascii="Book Antiqua" w:eastAsia="Book Antiqua" w:hAnsi="Book Antiqua" w:cs="Book Antiqua"/>
          <w:color w:val="000000"/>
          <w:szCs w:val="30"/>
          <w:vertAlign w:val="superscript"/>
        </w:rPr>
        <w:t>]</w:t>
      </w:r>
      <w:r w:rsidRPr="003D31C5">
        <w:rPr>
          <w:rFonts w:ascii="Book Antiqua" w:eastAsia="Book Antiqua" w:hAnsi="Book Antiqua" w:cs="Book Antiqua"/>
          <w:color w:val="000000"/>
        </w:rPr>
        <w:t>. This study undertakes a critical examination, comparing the efficacy of random survival forests (RSF) with CPH models in forecasting early recurrence for HCC patients following curative resection.</w:t>
      </w:r>
    </w:p>
    <w:p w14:paraId="56C75553" w14:textId="0C6B3FD6" w:rsidR="00A77B3E" w:rsidRPr="003D31C5" w:rsidRDefault="004E1343" w:rsidP="000B53B4">
      <w:pPr>
        <w:spacing w:line="360" w:lineRule="auto"/>
        <w:ind w:firstLineChars="200" w:firstLine="480"/>
        <w:jc w:val="both"/>
      </w:pPr>
      <w:r w:rsidRPr="003D31C5">
        <w:rPr>
          <w:rFonts w:ascii="Book Antiqua" w:eastAsia="Book Antiqua" w:hAnsi="Book Antiqua" w:cs="Book Antiqua"/>
          <w:color w:val="000000"/>
        </w:rPr>
        <w:t xml:space="preserve">Drawing from a comprehensive cohort of 4758 patients across two medical centres, this study utilized 15 key features to construct the RSF model. Features encompassed demographic, clinical, and tumour-specific factors. The RSF model was rigorously evaluated for discrimination, calibration, clinical utility, and overall performance, benchmarked against traditional models. </w:t>
      </w:r>
    </w:p>
    <w:p w14:paraId="38213B1A" w14:textId="4492FEA5" w:rsidR="00A77B3E" w:rsidRPr="003D31C5" w:rsidRDefault="004E1343" w:rsidP="000B53B4">
      <w:pPr>
        <w:spacing w:line="360" w:lineRule="auto"/>
        <w:ind w:firstLineChars="200" w:firstLine="480"/>
        <w:jc w:val="both"/>
        <w:rPr>
          <w:rFonts w:ascii="Book Antiqua" w:eastAsia="Book Antiqua" w:hAnsi="Book Antiqua" w:cs="Book Antiqua"/>
          <w:color w:val="000000"/>
        </w:rPr>
      </w:pPr>
      <w:r w:rsidRPr="003D31C5">
        <w:rPr>
          <w:rFonts w:ascii="Book Antiqua" w:eastAsia="Book Antiqua" w:hAnsi="Book Antiqua" w:cs="Book Antiqua"/>
          <w:color w:val="000000"/>
        </w:rPr>
        <w:t>Out of 5686 patients with HCC undergoing definitive surgical therapy at Eastern Hepatobiliary Surgery Hospital (January 2008 to December 2015), 4376 met inclusion criteria. The study included patients with Child-Pugh A cirrhosis or B7 Liver function, without extrahepatic metastases, and complete resection of macroscopic tumour with histological evidence of tumour free margins. Exclusions (</w:t>
      </w:r>
      <w:r w:rsidRPr="003D31C5">
        <w:rPr>
          <w:rFonts w:ascii="Book Antiqua" w:eastAsia="Book Antiqua" w:hAnsi="Book Antiqua" w:cs="Book Antiqua"/>
          <w:i/>
          <w:iCs/>
          <w:color w:val="000000"/>
        </w:rPr>
        <w:t>n</w:t>
      </w:r>
      <w:r w:rsidRPr="003D31C5">
        <w:rPr>
          <w:rFonts w:ascii="Book Antiqua" w:eastAsia="Book Antiqua" w:hAnsi="Book Antiqua" w:cs="Book Antiqua"/>
          <w:color w:val="000000"/>
        </w:rPr>
        <w:t xml:space="preserve"> = 1310) were due to preoperative anticancer treatment, history of other malignancies, palliative surgery, loss to follow up within 2 months of surgery, and perioperative death. The training cohort comprised 3370 patients (January 2008 to December 2013), internal validation cohort 1006 patients (January 2014 to December 2015), and external validation cohort 382 patients from Mengchao Hepatobiliary Hospital of Fujian Medical University.</w:t>
      </w:r>
    </w:p>
    <w:p w14:paraId="0B41C2CD" w14:textId="7B1CFEE4" w:rsidR="00A77B3E" w:rsidRPr="003D31C5" w:rsidRDefault="004E1343" w:rsidP="00E57ACC">
      <w:pPr>
        <w:spacing w:line="360" w:lineRule="auto"/>
        <w:ind w:firstLineChars="200" w:firstLine="480"/>
        <w:jc w:val="both"/>
        <w:rPr>
          <w:rFonts w:ascii="Book Antiqua" w:eastAsia="Book Antiqua" w:hAnsi="Book Antiqua" w:cs="Book Antiqua"/>
          <w:color w:val="000000"/>
        </w:rPr>
      </w:pPr>
      <w:r w:rsidRPr="003D31C5">
        <w:rPr>
          <w:rFonts w:ascii="Book Antiqua" w:eastAsia="Book Antiqua" w:hAnsi="Book Antiqua" w:cs="Book Antiqua"/>
          <w:color w:val="000000"/>
        </w:rPr>
        <w:t>The RSF model was constructed and used as a regression algorithm with faster training and lower estimation bias. This was achieved by using techniques of random forests such as feature and sample bragging. The model was constructed using fifteen factors including age, gender, aetiology, platelet count, albumin, total bilirubin, alpha-fetoprotein</w:t>
      </w:r>
      <w:r w:rsidR="00152102" w:rsidRPr="003D31C5">
        <w:rPr>
          <w:rFonts w:ascii="Book Antiqua" w:eastAsia="Book Antiqua" w:hAnsi="Book Antiqua" w:cs="Book Antiqua"/>
          <w:color w:val="000000"/>
        </w:rPr>
        <w:t xml:space="preserve"> (AFP)</w:t>
      </w:r>
      <w:r w:rsidRPr="003D31C5">
        <w:rPr>
          <w:rFonts w:ascii="Book Antiqua" w:eastAsia="Book Antiqua" w:hAnsi="Book Antiqua" w:cs="Book Antiqua"/>
          <w:color w:val="000000"/>
        </w:rPr>
        <w:t xml:space="preserve">, tumour size, tumour number, microvascular invasion, macrovascular </w:t>
      </w:r>
      <w:r w:rsidRPr="003D31C5">
        <w:rPr>
          <w:rFonts w:ascii="Book Antiqua" w:eastAsia="Book Antiqua" w:hAnsi="Book Antiqua" w:cs="Book Antiqua"/>
          <w:color w:val="000000"/>
        </w:rPr>
        <w:lastRenderedPageBreak/>
        <w:t>invasion, Edmondson-Steiner grade, tumour capsular, satellite nodules and liver cirrhosis. As 200 survival trees were built, the prediction error was significantly low and at 500 trees constructed, the variable importance for all 15 features was also generated. Utilizing cut-off values (50</w:t>
      </w:r>
      <w:r w:rsidRPr="003D31C5">
        <w:rPr>
          <w:rFonts w:ascii="Book Antiqua" w:eastAsia="Book Antiqua" w:hAnsi="Book Antiqua" w:cs="Book Antiqua"/>
          <w:color w:val="000000"/>
          <w:vertAlign w:val="superscript"/>
        </w:rPr>
        <w:t>th</w:t>
      </w:r>
      <w:r w:rsidRPr="003D31C5">
        <w:rPr>
          <w:rFonts w:ascii="Book Antiqua" w:eastAsia="Book Antiqua" w:hAnsi="Book Antiqua" w:cs="Book Antiqua"/>
          <w:color w:val="000000"/>
        </w:rPr>
        <w:t xml:space="preserve"> and 85</w:t>
      </w:r>
      <w:r w:rsidRPr="003D31C5">
        <w:rPr>
          <w:rFonts w:ascii="Book Antiqua" w:eastAsia="Book Antiqua" w:hAnsi="Book Antiqua" w:cs="Book Antiqua"/>
          <w:color w:val="000000"/>
          <w:vertAlign w:val="superscript"/>
        </w:rPr>
        <w:t>th</w:t>
      </w:r>
      <w:r w:rsidRPr="003D31C5">
        <w:rPr>
          <w:rFonts w:ascii="Book Antiqua" w:eastAsia="Book Antiqua" w:hAnsi="Book Antiqua" w:cs="Book Antiqua"/>
          <w:color w:val="000000"/>
        </w:rPr>
        <w:t xml:space="preserve"> centiles) from the training cohort's risk index, RSF classified patients into low-risk, intermediate-risk, and high-risk groups, providing valuable insights for postoperative follow-up and adjuvant therapy. Kaplan-Meier analysis validated the stratification in all cohorts (</w:t>
      </w:r>
      <w:r w:rsidRPr="003D31C5">
        <w:rPr>
          <w:rFonts w:ascii="Book Antiqua" w:eastAsia="Book Antiqua" w:hAnsi="Book Antiqua" w:cs="Book Antiqua"/>
          <w:i/>
          <w:iCs/>
          <w:color w:val="000000"/>
        </w:rPr>
        <w:t>P</w:t>
      </w:r>
      <w:r w:rsidR="00E57ACC" w:rsidRPr="003D31C5">
        <w:rPr>
          <w:rFonts w:ascii="Book Antiqua" w:eastAsia="Book Antiqua" w:hAnsi="Book Antiqua" w:cs="Book Antiqua"/>
          <w:color w:val="000000"/>
        </w:rPr>
        <w:t xml:space="preserve"> </w:t>
      </w:r>
      <w:r w:rsidRPr="003D31C5">
        <w:rPr>
          <w:rFonts w:ascii="Book Antiqua" w:eastAsia="Book Antiqua" w:hAnsi="Book Antiqua" w:cs="Book Antiqua"/>
          <w:color w:val="000000"/>
        </w:rPr>
        <w:t>&lt;</w:t>
      </w:r>
      <w:r w:rsidR="00E57ACC" w:rsidRPr="003D31C5">
        <w:rPr>
          <w:rFonts w:ascii="Book Antiqua" w:eastAsia="Book Antiqua" w:hAnsi="Book Antiqua" w:cs="Book Antiqua"/>
          <w:color w:val="000000"/>
        </w:rPr>
        <w:t xml:space="preserve"> </w:t>
      </w:r>
      <w:r w:rsidRPr="003D31C5">
        <w:rPr>
          <w:rFonts w:ascii="Book Antiqua" w:eastAsia="Book Antiqua" w:hAnsi="Book Antiqua" w:cs="Book Antiqua"/>
          <w:color w:val="000000"/>
        </w:rPr>
        <w:t>0.0001)</w:t>
      </w:r>
      <w:r w:rsidR="00E57ACC" w:rsidRPr="003D31C5">
        <w:rPr>
          <w:rFonts w:ascii="Book Antiqua" w:eastAsia="Book Antiqua" w:hAnsi="Book Antiqua" w:cs="Book Antiqua"/>
          <w:color w:val="000000"/>
        </w:rPr>
        <w:t xml:space="preserve"> </w:t>
      </w:r>
      <w:r w:rsidRPr="003D31C5">
        <w:rPr>
          <w:rFonts w:ascii="Book Antiqua" w:eastAsia="Book Antiqua" w:hAnsi="Book Antiqua" w:cs="Book Antiqua"/>
          <w:color w:val="000000"/>
        </w:rPr>
        <w:t>(Figure 1)</w:t>
      </w:r>
      <w:r w:rsidR="00E57ACC" w:rsidRPr="003D31C5">
        <w:rPr>
          <w:rFonts w:ascii="Book Antiqua" w:eastAsia="Book Antiqua" w:hAnsi="Book Antiqua" w:cs="Book Antiqua"/>
          <w:color w:val="000000"/>
        </w:rPr>
        <w:t>.</w:t>
      </w:r>
    </w:p>
    <w:p w14:paraId="74DADE27" w14:textId="66731D5B" w:rsidR="00A77B3E" w:rsidRPr="003D31C5" w:rsidRDefault="004E1343" w:rsidP="000B53B4">
      <w:pPr>
        <w:spacing w:line="360" w:lineRule="auto"/>
        <w:ind w:firstLineChars="200" w:firstLine="480"/>
        <w:jc w:val="both"/>
        <w:rPr>
          <w:rFonts w:ascii="Book Antiqua" w:eastAsia="Book Antiqua" w:hAnsi="Book Antiqua" w:cs="Book Antiqua"/>
          <w:color w:val="000000"/>
        </w:rPr>
      </w:pPr>
      <w:r w:rsidRPr="003D31C5">
        <w:rPr>
          <w:rFonts w:ascii="Book Antiqua" w:eastAsia="Book Antiqua" w:hAnsi="Book Antiqua" w:cs="Book Antiqua"/>
          <w:color w:val="000000"/>
        </w:rPr>
        <w:t>Model performance was assessed across several methods including model discrimination, model calibration, clinical usefulness and overall performance. In training, internal, and external validation cohorts, RSF outperformed existing models with C-index values of 0.725, 0.762, and 0.747, respectively. Overall performance time-dependent Brier (2 years) were 0.147, 0.129, and 0.156. RSF excelled against five other models that follow CPH. Decision curve analysis affirmed RSF’s superior net benefit over other models</w:t>
      </w:r>
      <w:r w:rsidR="0073179A" w:rsidRPr="003D31C5">
        <w:rPr>
          <w:rFonts w:ascii="Book Antiqua" w:eastAsia="Book Antiqua" w:hAnsi="Book Antiqua" w:cs="Book Antiqua"/>
          <w:color w:val="000000"/>
        </w:rPr>
        <w:t xml:space="preserve"> </w:t>
      </w:r>
      <w:r w:rsidRPr="003D31C5">
        <w:rPr>
          <w:rFonts w:ascii="Book Antiqua" w:eastAsia="Book Antiqua" w:hAnsi="Book Antiqua" w:cs="Book Antiqua"/>
          <w:color w:val="000000"/>
        </w:rPr>
        <w:t>(Table 1)</w:t>
      </w:r>
      <w:r w:rsidR="0073179A" w:rsidRPr="003D31C5">
        <w:rPr>
          <w:rFonts w:ascii="Book Antiqua" w:eastAsia="Book Antiqua" w:hAnsi="Book Antiqua" w:cs="Book Antiqua"/>
          <w:color w:val="000000"/>
        </w:rPr>
        <w:t>.</w:t>
      </w:r>
    </w:p>
    <w:p w14:paraId="0B897A67" w14:textId="779FF0BC" w:rsidR="00A77B3E" w:rsidRPr="003D31C5" w:rsidRDefault="004E1343" w:rsidP="000B53B4">
      <w:pPr>
        <w:spacing w:line="360" w:lineRule="auto"/>
        <w:ind w:firstLineChars="200" w:firstLine="480"/>
        <w:jc w:val="both"/>
      </w:pPr>
      <w:r w:rsidRPr="003D31C5">
        <w:rPr>
          <w:rFonts w:ascii="Book Antiqua" w:eastAsia="Book Antiqua" w:hAnsi="Book Antiqua" w:cs="Book Antiqua"/>
          <w:color w:val="000000"/>
        </w:rPr>
        <w:t xml:space="preserve">The RSF model, employing 500 survival trees, showcased superior predictive power. Key factors influencing recurrence were tumour size (which was the most significant risk factor for early recurrence), followed by macrovascular invasion, microvascular invasion, tumour number, and </w:t>
      </w:r>
      <w:r w:rsidR="00152102" w:rsidRPr="003D31C5">
        <w:rPr>
          <w:rFonts w:ascii="Book Antiqua" w:eastAsia="Book Antiqua" w:hAnsi="Book Antiqua" w:cs="Book Antiqua"/>
          <w:color w:val="000000"/>
        </w:rPr>
        <w:t>AFP</w:t>
      </w:r>
      <w:r w:rsidRPr="003D31C5">
        <w:rPr>
          <w:rFonts w:ascii="Book Antiqua" w:eastAsia="Book Antiqua" w:hAnsi="Book Antiqua" w:cs="Book Antiqua"/>
          <w:color w:val="000000"/>
        </w:rPr>
        <w:t xml:space="preserve"> levels. </w:t>
      </w:r>
    </w:p>
    <w:p w14:paraId="34297B30" w14:textId="77777777" w:rsidR="00A77B3E" w:rsidRPr="003D31C5" w:rsidRDefault="004E1343" w:rsidP="000B53B4">
      <w:pPr>
        <w:spacing w:line="360" w:lineRule="auto"/>
        <w:ind w:firstLineChars="200" w:firstLine="480"/>
        <w:jc w:val="both"/>
        <w:rPr>
          <w:rFonts w:ascii="Book Antiqua" w:eastAsia="Book Antiqua" w:hAnsi="Book Antiqua" w:cs="Book Antiqua"/>
          <w:color w:val="000000"/>
        </w:rPr>
      </w:pPr>
      <w:r w:rsidRPr="003D31C5">
        <w:rPr>
          <w:rFonts w:ascii="Book Antiqua" w:eastAsia="Book Antiqua" w:hAnsi="Book Antiqua" w:cs="Book Antiqua"/>
          <w:color w:val="000000"/>
        </w:rPr>
        <w:t>The limitations to this study include selection bias as the cohort of patients largely had liver disease secondary to hepatitis B, which leaves a large space to question the applicability of these outcomes to other aetiologies of liver disease, and indeed, the RSF model did not consider aetiology and liver cirrhosis as important predictors of recurrence. Further studies will need to be conducted with the RSF model using patients of different aetiologies of liver disease to validate its use across different demographics in predicting HCC recurrence and reduce selection bias.</w:t>
      </w:r>
    </w:p>
    <w:p w14:paraId="3667BC00" w14:textId="77777777" w:rsidR="00A77B3E" w:rsidRPr="003D31C5" w:rsidRDefault="004E1343" w:rsidP="000B53B4">
      <w:pPr>
        <w:spacing w:line="360" w:lineRule="auto"/>
        <w:ind w:firstLineChars="200" w:firstLine="480"/>
        <w:jc w:val="both"/>
        <w:rPr>
          <w:rFonts w:ascii="Book Antiqua" w:eastAsia="Book Antiqua" w:hAnsi="Book Antiqua" w:cs="Book Antiqua"/>
          <w:color w:val="000000"/>
        </w:rPr>
      </w:pPr>
      <w:r w:rsidRPr="003D31C5">
        <w:rPr>
          <w:rFonts w:ascii="Book Antiqua" w:eastAsia="Book Antiqua" w:hAnsi="Book Antiqua" w:cs="Book Antiqua"/>
          <w:color w:val="000000"/>
        </w:rPr>
        <w:t>The user-friendly aspect of the web-tool developed, encompasses multiple complex aspects of the predictive model to increase its application in clinical practice.</w:t>
      </w:r>
    </w:p>
    <w:p w14:paraId="44A4247E" w14:textId="077C9361" w:rsidR="00A77B3E" w:rsidRPr="003D31C5" w:rsidRDefault="004E1343" w:rsidP="000B53B4">
      <w:pPr>
        <w:spacing w:line="360" w:lineRule="auto"/>
        <w:ind w:firstLineChars="200" w:firstLine="480"/>
        <w:jc w:val="both"/>
        <w:rPr>
          <w:rFonts w:ascii="Book Antiqua" w:eastAsia="Book Antiqua" w:hAnsi="Book Antiqua" w:cs="Book Antiqua"/>
          <w:color w:val="000000"/>
        </w:rPr>
      </w:pPr>
      <w:r w:rsidRPr="003D31C5">
        <w:rPr>
          <w:rFonts w:ascii="Book Antiqua" w:eastAsia="Book Antiqua" w:hAnsi="Book Antiqua" w:cs="Book Antiqua"/>
          <w:color w:val="000000"/>
        </w:rPr>
        <w:t xml:space="preserve">In conclusion, the RSF model emerges as a beacon in the quest for precision postoperative care in HCC. Its demonstrated superiority over traditional models, </w:t>
      </w:r>
      <w:r w:rsidRPr="003D31C5">
        <w:rPr>
          <w:rFonts w:ascii="Book Antiqua" w:eastAsia="Book Antiqua" w:hAnsi="Book Antiqua" w:cs="Book Antiqua"/>
          <w:color w:val="000000"/>
        </w:rPr>
        <w:lastRenderedPageBreak/>
        <w:t xml:space="preserve">coupled with its ability to stratify risk, ushers in a new era of individualized treatment strategies. The future role of artificial intelligence (AI) in evaluating hepatic diseases holds tremendous promise for revolutionizing diagnostic and treatment approaches. AI technologies, particularly machine learning algorithms, can analyse vast amounts of medical data, including imaging studies, laboratory results, and patient histories, to identify patterns and subtle anomalies that may escape the human eye. In hepatic diseases, AI can play a crucial role in early detection, risk assessment, and personalized treatment planning. Advanced imaging techniques, such as </w:t>
      </w:r>
      <w:r w:rsidR="00B42269" w:rsidRPr="003D31C5">
        <w:rPr>
          <w:rFonts w:ascii="Book Antiqua" w:eastAsia="Book Antiqua" w:hAnsi="Book Antiqua" w:cs="Book Antiqua"/>
          <w:color w:val="000000"/>
        </w:rPr>
        <w:t>magnetic resonance imaging (MRI)</w:t>
      </w:r>
      <w:r w:rsidRPr="003D31C5">
        <w:rPr>
          <w:rFonts w:ascii="Book Antiqua" w:eastAsia="Book Antiqua" w:hAnsi="Book Antiqua" w:cs="Book Antiqua"/>
          <w:color w:val="000000"/>
        </w:rPr>
        <w:t xml:space="preserve"> and </w:t>
      </w:r>
      <w:r w:rsidR="00B42269" w:rsidRPr="003D31C5">
        <w:rPr>
          <w:rFonts w:ascii="Book Antiqua" w:eastAsia="Book Antiqua" w:hAnsi="Book Antiqua" w:cs="Book Antiqua"/>
          <w:color w:val="000000"/>
        </w:rPr>
        <w:t>computed tomography (CT)</w:t>
      </w:r>
      <w:r w:rsidRPr="003D31C5">
        <w:rPr>
          <w:rFonts w:ascii="Book Antiqua" w:eastAsia="Book Antiqua" w:hAnsi="Book Antiqua" w:cs="Book Antiqua"/>
          <w:color w:val="000000"/>
        </w:rPr>
        <w:t xml:space="preserve"> scans, can be enhanced by AI algorithms to provide more accurate and timely diagnoses of liver conditions. Machine learning models can also predict disease progression, helping healthcare professionals tailor interventions based on individual patient profiles.</w:t>
      </w:r>
    </w:p>
    <w:p w14:paraId="6818BD1A" w14:textId="77777777" w:rsidR="00A77B3E" w:rsidRPr="003D31C5" w:rsidRDefault="004E1343" w:rsidP="000B53B4">
      <w:pPr>
        <w:spacing w:line="360" w:lineRule="auto"/>
        <w:ind w:firstLineChars="200" w:firstLine="480"/>
        <w:jc w:val="both"/>
      </w:pPr>
      <w:r w:rsidRPr="003D31C5">
        <w:rPr>
          <w:rFonts w:ascii="Book Antiqua" w:eastAsia="Book Antiqua" w:hAnsi="Book Antiqua" w:cs="Book Antiqua"/>
          <w:color w:val="000000"/>
        </w:rPr>
        <w:t>As we navigate this machine learning odyssey, the RSF model stands poised to redefine the landscape of HCC prognostication and guide clinicians toward more informed and personalized patient care.</w:t>
      </w:r>
    </w:p>
    <w:p w14:paraId="181B8BA7" w14:textId="77777777" w:rsidR="00A77B3E" w:rsidRPr="003D31C5" w:rsidRDefault="00A77B3E">
      <w:pPr>
        <w:spacing w:line="360" w:lineRule="auto"/>
        <w:jc w:val="both"/>
      </w:pPr>
    </w:p>
    <w:p w14:paraId="73C94D26" w14:textId="77777777" w:rsidR="00A77B3E" w:rsidRPr="003D31C5" w:rsidRDefault="004E1343">
      <w:pPr>
        <w:spacing w:line="360" w:lineRule="auto"/>
        <w:jc w:val="both"/>
      </w:pPr>
      <w:r w:rsidRPr="003D31C5">
        <w:rPr>
          <w:rFonts w:ascii="Book Antiqua" w:eastAsia="Book Antiqua" w:hAnsi="Book Antiqua" w:cs="Book Antiqua"/>
          <w:b/>
          <w:caps/>
          <w:color w:val="000000"/>
          <w:u w:val="single"/>
        </w:rPr>
        <w:t>CONCLUSION</w:t>
      </w:r>
    </w:p>
    <w:p w14:paraId="0CA18F96" w14:textId="21596586" w:rsidR="00A77B3E" w:rsidRPr="003D31C5" w:rsidRDefault="004E1343" w:rsidP="009C308E">
      <w:pPr>
        <w:spacing w:line="360" w:lineRule="auto"/>
        <w:jc w:val="both"/>
        <w:rPr>
          <w:rFonts w:ascii="Book Antiqua" w:eastAsia="Book Antiqua" w:hAnsi="Book Antiqua" w:cs="Book Antiqua"/>
          <w:color w:val="000000"/>
        </w:rPr>
      </w:pPr>
      <w:r w:rsidRPr="003D31C5">
        <w:rPr>
          <w:rFonts w:ascii="Book Antiqua" w:eastAsia="Book Antiqua" w:hAnsi="Book Antiqua" w:cs="Book Antiqua"/>
          <w:color w:val="000000"/>
        </w:rPr>
        <w:t xml:space="preserve">In conclusion, the RSF model emerges as a beacon in the quest for precision postoperative care in HCC. Its demonstrated superiority over traditional models, coupled with its ability to stratify risk, ushers in a new era of individualized treatment strategies. The future role of </w:t>
      </w:r>
      <w:r w:rsidR="00B42269" w:rsidRPr="003D31C5">
        <w:rPr>
          <w:rFonts w:ascii="Book Antiqua" w:eastAsia="Book Antiqua" w:hAnsi="Book Antiqua" w:cs="Book Antiqua"/>
          <w:color w:val="000000"/>
        </w:rPr>
        <w:t>AI</w:t>
      </w:r>
      <w:r w:rsidRPr="003D31C5">
        <w:rPr>
          <w:rFonts w:ascii="Book Antiqua" w:eastAsia="Book Antiqua" w:hAnsi="Book Antiqua" w:cs="Book Antiqua"/>
          <w:color w:val="000000"/>
        </w:rPr>
        <w:t xml:space="preserve"> in evaluating hepatic diseases holds tremendous promise for revolutionizing diagnostic and treatment approaches. AI technologies, particularly machine learning algorithms, can analyse vast amounts of medical data, including imaging studies, laboratory results, and patient histories, to identify patterns and subtle anomalies that may escape the human eye. In hepatic diseases, AI can play a crucial role in early detection, risk assessment, and personalized treatment planning. Advanced imaging techniques, such as MRI and CT scans, can be enhanced by AI algorithms to provide more accurate and timely diagnoses of liver conditions. Machine learning </w:t>
      </w:r>
      <w:r w:rsidRPr="003D31C5">
        <w:rPr>
          <w:rFonts w:ascii="Book Antiqua" w:eastAsia="Book Antiqua" w:hAnsi="Book Antiqua" w:cs="Book Antiqua"/>
          <w:color w:val="000000"/>
        </w:rPr>
        <w:lastRenderedPageBreak/>
        <w:t>models can also predict disease progression, helping healthcare professionals tailor interventions based on individual patient profiles.</w:t>
      </w:r>
    </w:p>
    <w:p w14:paraId="2D0E2CCF" w14:textId="77777777" w:rsidR="00A77B3E" w:rsidRPr="003D31C5" w:rsidRDefault="004E1343" w:rsidP="009C308E">
      <w:pPr>
        <w:spacing w:line="360" w:lineRule="auto"/>
        <w:ind w:firstLineChars="200" w:firstLine="480"/>
        <w:jc w:val="both"/>
      </w:pPr>
      <w:r w:rsidRPr="003D31C5">
        <w:rPr>
          <w:rFonts w:ascii="Book Antiqua" w:eastAsia="Book Antiqua" w:hAnsi="Book Antiqua" w:cs="Book Antiqua"/>
          <w:color w:val="000000"/>
        </w:rPr>
        <w:t>As we navigate this machine learning odyssey, the RSF model stands poised to redefine the landscape of HCC prognostication and guide clinicians toward more informed and personalized patient care.</w:t>
      </w:r>
    </w:p>
    <w:p w14:paraId="13D9C756" w14:textId="77777777" w:rsidR="00A77B3E" w:rsidRPr="003D31C5" w:rsidRDefault="00A77B3E">
      <w:pPr>
        <w:spacing w:line="360" w:lineRule="auto"/>
        <w:jc w:val="both"/>
      </w:pPr>
    </w:p>
    <w:p w14:paraId="24C0E252" w14:textId="77777777" w:rsidR="00A77B3E" w:rsidRPr="003D31C5" w:rsidRDefault="004E1343">
      <w:pPr>
        <w:spacing w:line="360" w:lineRule="auto"/>
        <w:jc w:val="both"/>
      </w:pPr>
      <w:r w:rsidRPr="003D31C5">
        <w:rPr>
          <w:rFonts w:ascii="Book Antiqua" w:eastAsia="Book Antiqua" w:hAnsi="Book Antiqua" w:cs="Book Antiqua"/>
          <w:b/>
          <w:color w:val="000000"/>
        </w:rPr>
        <w:t>REFERENCES</w:t>
      </w:r>
    </w:p>
    <w:p w14:paraId="16B7207C" w14:textId="77777777" w:rsidR="00A77B3E" w:rsidRPr="003D31C5" w:rsidRDefault="004E1343">
      <w:pPr>
        <w:spacing w:line="360" w:lineRule="auto"/>
        <w:jc w:val="both"/>
      </w:pPr>
      <w:bookmarkStart w:id="354" w:name="OLE_LINK7740"/>
      <w:bookmarkStart w:id="355" w:name="OLE_LINK7741"/>
      <w:r w:rsidRPr="003D31C5">
        <w:rPr>
          <w:rFonts w:ascii="Book Antiqua" w:eastAsia="Book Antiqua" w:hAnsi="Book Antiqua" w:cs="Book Antiqua"/>
        </w:rPr>
        <w:t xml:space="preserve">1 </w:t>
      </w:r>
      <w:r w:rsidRPr="003D31C5">
        <w:rPr>
          <w:rFonts w:ascii="Book Antiqua" w:eastAsia="Book Antiqua" w:hAnsi="Book Antiqua" w:cs="Book Antiqua"/>
          <w:b/>
          <w:bCs/>
        </w:rPr>
        <w:t>Zeng J</w:t>
      </w:r>
      <w:r w:rsidRPr="003D31C5">
        <w:rPr>
          <w:rFonts w:ascii="Book Antiqua" w:eastAsia="Book Antiqua" w:hAnsi="Book Antiqua" w:cs="Book Antiqua"/>
        </w:rPr>
        <w:t xml:space="preserve">, Zeng J, Lin K, Lin H, Wu Q, Guo P, Zhou W, Liu J. Development of a machine learning model to predict early recurrence for hepatocellular carcinoma after curative resection. </w:t>
      </w:r>
      <w:r w:rsidRPr="003D31C5">
        <w:rPr>
          <w:rFonts w:ascii="Book Antiqua" w:eastAsia="Book Antiqua" w:hAnsi="Book Antiqua" w:cs="Book Antiqua"/>
          <w:i/>
          <w:iCs/>
        </w:rPr>
        <w:t>Hepatobiliary Surg Nutr</w:t>
      </w:r>
      <w:r w:rsidRPr="003D31C5">
        <w:rPr>
          <w:rFonts w:ascii="Book Antiqua" w:eastAsia="Book Antiqua" w:hAnsi="Book Antiqua" w:cs="Book Antiqua"/>
        </w:rPr>
        <w:t xml:space="preserve"> 2022; </w:t>
      </w:r>
      <w:r w:rsidRPr="003D31C5">
        <w:rPr>
          <w:rFonts w:ascii="Book Antiqua" w:eastAsia="Book Antiqua" w:hAnsi="Book Antiqua" w:cs="Book Antiqua"/>
          <w:b/>
          <w:bCs/>
        </w:rPr>
        <w:t>11</w:t>
      </w:r>
      <w:r w:rsidRPr="003D31C5">
        <w:rPr>
          <w:rFonts w:ascii="Book Antiqua" w:eastAsia="Book Antiqua" w:hAnsi="Book Antiqua" w:cs="Book Antiqua"/>
        </w:rPr>
        <w:t>: 176-187 [PMID: 35464276 DOI: 10.21037/hbsn-20-466]</w:t>
      </w:r>
    </w:p>
    <w:p w14:paraId="0A65ED79" w14:textId="77777777" w:rsidR="00A77B3E" w:rsidRPr="003D31C5" w:rsidRDefault="004E1343">
      <w:pPr>
        <w:spacing w:line="360" w:lineRule="auto"/>
        <w:jc w:val="both"/>
      </w:pPr>
      <w:r w:rsidRPr="003D31C5">
        <w:rPr>
          <w:rFonts w:ascii="Book Antiqua" w:eastAsia="Book Antiqua" w:hAnsi="Book Antiqua" w:cs="Book Antiqua"/>
        </w:rPr>
        <w:t xml:space="preserve">2 </w:t>
      </w:r>
      <w:r w:rsidRPr="003D31C5">
        <w:rPr>
          <w:rFonts w:ascii="Book Antiqua" w:eastAsia="Book Antiqua" w:hAnsi="Book Antiqua" w:cs="Book Antiqua"/>
          <w:b/>
          <w:bCs/>
        </w:rPr>
        <w:t>Nevola R</w:t>
      </w:r>
      <w:r w:rsidRPr="003D31C5">
        <w:rPr>
          <w:rFonts w:ascii="Book Antiqua" w:eastAsia="Book Antiqua" w:hAnsi="Book Antiqua" w:cs="Book Antiqua"/>
        </w:rPr>
        <w:t xml:space="preserve">, Ruocco R, Criscuolo L, Villani A, Alfano M, Beccia D, Imbriani S, Claar E, Cozzolino D, Sasso FC, Marrone A, Adinolfi LE, Rinaldi L. Predictors of early and late hepatocellular carcinoma recurrence. </w:t>
      </w:r>
      <w:r w:rsidRPr="003D31C5">
        <w:rPr>
          <w:rFonts w:ascii="Book Antiqua" w:eastAsia="Book Antiqua" w:hAnsi="Book Antiqua" w:cs="Book Antiqua"/>
          <w:i/>
          <w:iCs/>
        </w:rPr>
        <w:t>World J Gastroenterol</w:t>
      </w:r>
      <w:r w:rsidRPr="003D31C5">
        <w:rPr>
          <w:rFonts w:ascii="Book Antiqua" w:eastAsia="Book Antiqua" w:hAnsi="Book Antiqua" w:cs="Book Antiqua"/>
        </w:rPr>
        <w:t xml:space="preserve"> 2023; </w:t>
      </w:r>
      <w:r w:rsidRPr="003D31C5">
        <w:rPr>
          <w:rFonts w:ascii="Book Antiqua" w:eastAsia="Book Antiqua" w:hAnsi="Book Antiqua" w:cs="Book Antiqua"/>
          <w:b/>
          <w:bCs/>
        </w:rPr>
        <w:t>29</w:t>
      </w:r>
      <w:r w:rsidRPr="003D31C5">
        <w:rPr>
          <w:rFonts w:ascii="Book Antiqua" w:eastAsia="Book Antiqua" w:hAnsi="Book Antiqua" w:cs="Book Antiqua"/>
        </w:rPr>
        <w:t>: 1243-1260 [PMID: 36925456 DOI: 10.3748/wjg.v29.i8.1243]</w:t>
      </w:r>
    </w:p>
    <w:p w14:paraId="0353E5D2" w14:textId="77777777" w:rsidR="00A77B3E" w:rsidRPr="003D31C5" w:rsidRDefault="004E1343">
      <w:pPr>
        <w:spacing w:line="360" w:lineRule="auto"/>
        <w:jc w:val="both"/>
      </w:pPr>
      <w:r w:rsidRPr="003D31C5">
        <w:rPr>
          <w:rFonts w:ascii="Book Antiqua" w:eastAsia="Book Antiqua" w:hAnsi="Book Antiqua" w:cs="Book Antiqua"/>
        </w:rPr>
        <w:t xml:space="preserve">3 </w:t>
      </w:r>
      <w:r w:rsidRPr="003D31C5">
        <w:rPr>
          <w:rFonts w:ascii="Book Antiqua" w:eastAsia="Book Antiqua" w:hAnsi="Book Antiqua" w:cs="Book Antiqua"/>
          <w:b/>
          <w:bCs/>
        </w:rPr>
        <w:t>Poon RT</w:t>
      </w:r>
      <w:r w:rsidRPr="003D31C5">
        <w:rPr>
          <w:rFonts w:ascii="Book Antiqua" w:eastAsia="Book Antiqua" w:hAnsi="Book Antiqua" w:cs="Book Antiqua"/>
        </w:rPr>
        <w:t xml:space="preserve">, Fan ST, Lo CM, Liu CL, Wong J. Long-term survival and pattern of recurrence after resection of small hepatocellular carcinoma in patients with preserved liver function: implications for a strategy of salvage transplantation. </w:t>
      </w:r>
      <w:r w:rsidRPr="003D31C5">
        <w:rPr>
          <w:rFonts w:ascii="Book Antiqua" w:eastAsia="Book Antiqua" w:hAnsi="Book Antiqua" w:cs="Book Antiqua"/>
          <w:i/>
          <w:iCs/>
        </w:rPr>
        <w:t>Ann Surg</w:t>
      </w:r>
      <w:r w:rsidRPr="003D31C5">
        <w:rPr>
          <w:rFonts w:ascii="Book Antiqua" w:eastAsia="Book Antiqua" w:hAnsi="Book Antiqua" w:cs="Book Antiqua"/>
        </w:rPr>
        <w:t xml:space="preserve"> 2002; </w:t>
      </w:r>
      <w:r w:rsidRPr="003D31C5">
        <w:rPr>
          <w:rFonts w:ascii="Book Antiqua" w:eastAsia="Book Antiqua" w:hAnsi="Book Antiqua" w:cs="Book Antiqua"/>
          <w:b/>
          <w:bCs/>
        </w:rPr>
        <w:t>235</w:t>
      </w:r>
      <w:r w:rsidRPr="003D31C5">
        <w:rPr>
          <w:rFonts w:ascii="Book Antiqua" w:eastAsia="Book Antiqua" w:hAnsi="Book Antiqua" w:cs="Book Antiqua"/>
        </w:rPr>
        <w:t>: 373-382 [PMID: 11882759 DOI: 10.1097/00000658-200203000-00009]</w:t>
      </w:r>
    </w:p>
    <w:p w14:paraId="44A458DE" w14:textId="77777777" w:rsidR="00A77B3E" w:rsidRPr="003D31C5" w:rsidRDefault="004E1343">
      <w:pPr>
        <w:spacing w:line="360" w:lineRule="auto"/>
        <w:jc w:val="both"/>
      </w:pPr>
      <w:r w:rsidRPr="003D31C5">
        <w:rPr>
          <w:rFonts w:ascii="Book Antiqua" w:eastAsia="Book Antiqua" w:hAnsi="Book Antiqua" w:cs="Book Antiqua"/>
        </w:rPr>
        <w:t xml:space="preserve">4 </w:t>
      </w:r>
      <w:r w:rsidRPr="003D31C5">
        <w:rPr>
          <w:rFonts w:ascii="Book Antiqua" w:eastAsia="Book Antiqua" w:hAnsi="Book Antiqua" w:cs="Book Antiqua"/>
          <w:b/>
          <w:bCs/>
        </w:rPr>
        <w:t>Sung H</w:t>
      </w:r>
      <w:r w:rsidRPr="003D31C5">
        <w:rPr>
          <w:rFonts w:ascii="Book Antiqua" w:eastAsia="Book Antiqua" w:hAnsi="Book Antiqua" w:cs="Book Antiqua"/>
        </w:rPr>
        <w:t xml:space="preserve">, Ferlay J, Siegel RL, Laversanne M, Soerjomataram I, Jemal A, Bray F. Global Cancer Statistics 2020: GLOBOCAN Estimates of Incidence and Mortality Worldwide for 36 Cancers in 185 Countries. </w:t>
      </w:r>
      <w:r w:rsidRPr="003D31C5">
        <w:rPr>
          <w:rFonts w:ascii="Book Antiqua" w:eastAsia="Book Antiqua" w:hAnsi="Book Antiqua" w:cs="Book Antiqua"/>
          <w:i/>
          <w:iCs/>
        </w:rPr>
        <w:t>CA Cancer J Clin</w:t>
      </w:r>
      <w:r w:rsidRPr="003D31C5">
        <w:rPr>
          <w:rFonts w:ascii="Book Antiqua" w:eastAsia="Book Antiqua" w:hAnsi="Book Antiqua" w:cs="Book Antiqua"/>
        </w:rPr>
        <w:t xml:space="preserve"> 2021; </w:t>
      </w:r>
      <w:r w:rsidRPr="003D31C5">
        <w:rPr>
          <w:rFonts w:ascii="Book Antiqua" w:eastAsia="Book Antiqua" w:hAnsi="Book Antiqua" w:cs="Book Antiqua"/>
          <w:b/>
          <w:bCs/>
        </w:rPr>
        <w:t>71</w:t>
      </w:r>
      <w:r w:rsidRPr="003D31C5">
        <w:rPr>
          <w:rFonts w:ascii="Book Antiqua" w:eastAsia="Book Antiqua" w:hAnsi="Book Antiqua" w:cs="Book Antiqua"/>
        </w:rPr>
        <w:t>: 209-249 [PMID: 33538338 DOI: 10.3322/caac.21660]</w:t>
      </w:r>
    </w:p>
    <w:p w14:paraId="6FF2239A" w14:textId="77777777" w:rsidR="00A77B3E" w:rsidRPr="003D31C5" w:rsidRDefault="004E1343">
      <w:pPr>
        <w:spacing w:line="360" w:lineRule="auto"/>
        <w:jc w:val="both"/>
      </w:pPr>
      <w:r w:rsidRPr="003D31C5">
        <w:rPr>
          <w:rFonts w:ascii="Book Antiqua" w:eastAsia="Book Antiqua" w:hAnsi="Book Antiqua" w:cs="Book Antiqua"/>
        </w:rPr>
        <w:t xml:space="preserve">5 </w:t>
      </w:r>
      <w:r w:rsidRPr="003D31C5">
        <w:rPr>
          <w:rFonts w:ascii="Book Antiqua" w:eastAsia="Book Antiqua" w:hAnsi="Book Antiqua" w:cs="Book Antiqua"/>
          <w:b/>
          <w:bCs/>
        </w:rPr>
        <w:t>Portolani N</w:t>
      </w:r>
      <w:r w:rsidRPr="003D31C5">
        <w:rPr>
          <w:rFonts w:ascii="Book Antiqua" w:eastAsia="Book Antiqua" w:hAnsi="Book Antiqua" w:cs="Book Antiqua"/>
        </w:rPr>
        <w:t xml:space="preserve">, Coniglio A, Ghidoni S, Giovanelli M, Benetti A, Tiberio GA, Giulini SM. Early and late recurrence after liver resection for hepatocellular carcinoma: prognostic and therapeutic implications. </w:t>
      </w:r>
      <w:r w:rsidRPr="003D31C5">
        <w:rPr>
          <w:rFonts w:ascii="Book Antiqua" w:eastAsia="Book Antiqua" w:hAnsi="Book Antiqua" w:cs="Book Antiqua"/>
          <w:i/>
          <w:iCs/>
        </w:rPr>
        <w:t>Ann Surg</w:t>
      </w:r>
      <w:r w:rsidRPr="003D31C5">
        <w:rPr>
          <w:rFonts w:ascii="Book Antiqua" w:eastAsia="Book Antiqua" w:hAnsi="Book Antiqua" w:cs="Book Antiqua"/>
        </w:rPr>
        <w:t xml:space="preserve"> 2006; </w:t>
      </w:r>
      <w:r w:rsidRPr="003D31C5">
        <w:rPr>
          <w:rFonts w:ascii="Book Antiqua" w:eastAsia="Book Antiqua" w:hAnsi="Book Antiqua" w:cs="Book Antiqua"/>
          <w:b/>
          <w:bCs/>
        </w:rPr>
        <w:t>243</w:t>
      </w:r>
      <w:r w:rsidRPr="003D31C5">
        <w:rPr>
          <w:rFonts w:ascii="Book Antiqua" w:eastAsia="Book Antiqua" w:hAnsi="Book Antiqua" w:cs="Book Antiqua"/>
        </w:rPr>
        <w:t>: 229-235 [PMID: 16432356 DOI: 10.1097/01.sla.0000197706.21803.a1]</w:t>
      </w:r>
    </w:p>
    <w:p w14:paraId="374CAB74" w14:textId="77777777" w:rsidR="00A77B3E" w:rsidRPr="003D31C5" w:rsidRDefault="004E1343">
      <w:pPr>
        <w:spacing w:line="360" w:lineRule="auto"/>
        <w:jc w:val="both"/>
        <w:rPr>
          <w:rFonts w:ascii="Book Antiqua" w:eastAsia="Book Antiqua" w:hAnsi="Book Antiqua" w:cs="Book Antiqua"/>
        </w:rPr>
      </w:pPr>
      <w:r w:rsidRPr="003D31C5">
        <w:rPr>
          <w:rFonts w:ascii="Book Antiqua" w:eastAsia="Book Antiqua" w:hAnsi="Book Antiqua" w:cs="Book Antiqua"/>
        </w:rPr>
        <w:lastRenderedPageBreak/>
        <w:t xml:space="preserve">6 </w:t>
      </w:r>
      <w:r w:rsidRPr="003D31C5">
        <w:rPr>
          <w:rFonts w:ascii="Book Antiqua" w:eastAsia="Book Antiqua" w:hAnsi="Book Antiqua" w:cs="Book Antiqua"/>
          <w:b/>
          <w:bCs/>
        </w:rPr>
        <w:t>Gao YX</w:t>
      </w:r>
      <w:r w:rsidRPr="003D31C5">
        <w:rPr>
          <w:rFonts w:ascii="Book Antiqua" w:eastAsia="Book Antiqua" w:hAnsi="Book Antiqua" w:cs="Book Antiqua"/>
        </w:rPr>
        <w:t xml:space="preserve">, Ning QQ, Yang PX, Guan YY, Liu PX, Liu ML, Qiao LX, Guo XH, Yang TW, Chen DX. Recent advances in recurrent hepatocellular carcinoma therapy. </w:t>
      </w:r>
      <w:r w:rsidRPr="003D31C5">
        <w:rPr>
          <w:rFonts w:ascii="Book Antiqua" w:eastAsia="Book Antiqua" w:hAnsi="Book Antiqua" w:cs="Book Antiqua"/>
          <w:i/>
          <w:iCs/>
        </w:rPr>
        <w:t>World J Hepatol</w:t>
      </w:r>
      <w:r w:rsidRPr="003D31C5">
        <w:rPr>
          <w:rFonts w:ascii="Book Antiqua" w:eastAsia="Book Antiqua" w:hAnsi="Book Antiqua" w:cs="Book Antiqua"/>
        </w:rPr>
        <w:t xml:space="preserve"> 2023; </w:t>
      </w:r>
      <w:r w:rsidRPr="003D31C5">
        <w:rPr>
          <w:rFonts w:ascii="Book Antiqua" w:eastAsia="Book Antiqua" w:hAnsi="Book Antiqua" w:cs="Book Antiqua"/>
          <w:b/>
          <w:bCs/>
        </w:rPr>
        <w:t>15</w:t>
      </w:r>
      <w:r w:rsidRPr="003D31C5">
        <w:rPr>
          <w:rFonts w:ascii="Book Antiqua" w:eastAsia="Book Antiqua" w:hAnsi="Book Antiqua" w:cs="Book Antiqua"/>
        </w:rPr>
        <w:t>: 460-476 [PMID: 37206651 DOI: 10.4254/wjh.v15.i4.460]</w:t>
      </w:r>
    </w:p>
    <w:p w14:paraId="3DD2ECB0" w14:textId="1EBDE73D" w:rsidR="00A140D8" w:rsidRPr="003D31C5" w:rsidRDefault="00A140D8" w:rsidP="00A140D8">
      <w:pPr>
        <w:spacing w:line="360" w:lineRule="auto"/>
        <w:jc w:val="both"/>
      </w:pPr>
      <w:r w:rsidRPr="003D31C5">
        <w:rPr>
          <w:rFonts w:ascii="Book Antiqua" w:eastAsia="Book Antiqua" w:hAnsi="Book Antiqua" w:cs="Book Antiqua"/>
        </w:rPr>
        <w:t xml:space="preserve">7 </w:t>
      </w:r>
      <w:r w:rsidRPr="003D31C5">
        <w:rPr>
          <w:rFonts w:ascii="Book Antiqua" w:eastAsia="Book Antiqua" w:hAnsi="Book Antiqua" w:cs="Book Antiqua"/>
          <w:b/>
          <w:bCs/>
        </w:rPr>
        <w:t>Wang D</w:t>
      </w:r>
      <w:r w:rsidRPr="003D31C5">
        <w:rPr>
          <w:rFonts w:ascii="Book Antiqua" w:eastAsia="Book Antiqua" w:hAnsi="Book Antiqua" w:cs="Book Antiqua"/>
        </w:rPr>
        <w:t xml:space="preserve">, Xiao M, Wan ZM, Lin X, Li QY, Zheng SS. Surgical treatment for recurrent hepatocellular carcinoma: Current status and challenges. </w:t>
      </w:r>
      <w:r w:rsidRPr="003D31C5">
        <w:rPr>
          <w:rFonts w:ascii="Book Antiqua" w:eastAsia="Book Antiqua" w:hAnsi="Book Antiqua" w:cs="Book Antiqua"/>
          <w:i/>
          <w:iCs/>
        </w:rPr>
        <w:t>World J Gastrointest Surg</w:t>
      </w:r>
      <w:r w:rsidRPr="003D31C5">
        <w:rPr>
          <w:rFonts w:ascii="Book Antiqua" w:eastAsia="Book Antiqua" w:hAnsi="Book Antiqua" w:cs="Book Antiqua"/>
        </w:rPr>
        <w:t xml:space="preserve"> 2023; </w:t>
      </w:r>
      <w:r w:rsidRPr="003D31C5">
        <w:rPr>
          <w:rFonts w:ascii="Book Antiqua" w:eastAsia="Book Antiqua" w:hAnsi="Book Antiqua" w:cs="Book Antiqua"/>
          <w:b/>
          <w:bCs/>
        </w:rPr>
        <w:t>15</w:t>
      </w:r>
      <w:r w:rsidRPr="003D31C5">
        <w:rPr>
          <w:rFonts w:ascii="Book Antiqua" w:eastAsia="Book Antiqua" w:hAnsi="Book Antiqua" w:cs="Book Antiqua"/>
        </w:rPr>
        <w:t>: 544-552 [PMID: 37206072 DOI: 10.4240/wjgs.v15.i4.544]</w:t>
      </w:r>
    </w:p>
    <w:p w14:paraId="43FF8D0C" w14:textId="77777777" w:rsidR="00A140D8" w:rsidRPr="003D31C5" w:rsidRDefault="00A140D8">
      <w:pPr>
        <w:spacing w:line="360" w:lineRule="auto"/>
        <w:jc w:val="both"/>
      </w:pPr>
    </w:p>
    <w:p w14:paraId="135A592F" w14:textId="62417AC1" w:rsidR="00A77B3E" w:rsidRPr="003D31C5" w:rsidRDefault="00A140D8">
      <w:pPr>
        <w:spacing w:line="360" w:lineRule="auto"/>
        <w:jc w:val="both"/>
      </w:pPr>
      <w:r w:rsidRPr="003D31C5">
        <w:rPr>
          <w:rFonts w:ascii="Book Antiqua" w:eastAsia="Book Antiqua" w:hAnsi="Book Antiqua" w:cs="Book Antiqua"/>
        </w:rPr>
        <w:t xml:space="preserve">8 </w:t>
      </w:r>
      <w:r w:rsidRPr="003D31C5">
        <w:rPr>
          <w:rFonts w:ascii="Book Antiqua" w:eastAsia="Book Antiqua" w:hAnsi="Book Antiqua" w:cs="Book Antiqua"/>
          <w:b/>
          <w:bCs/>
        </w:rPr>
        <w:t>Ngiam KY</w:t>
      </w:r>
      <w:r w:rsidRPr="003D31C5">
        <w:rPr>
          <w:rFonts w:ascii="Book Antiqua" w:eastAsia="Book Antiqua" w:hAnsi="Book Antiqua" w:cs="Book Antiqua"/>
        </w:rPr>
        <w:t xml:space="preserve">, Khor IW. Big data and machine learning algorithms for health-care delivery. </w:t>
      </w:r>
      <w:r w:rsidRPr="003D31C5">
        <w:rPr>
          <w:rFonts w:ascii="Book Antiqua" w:eastAsia="Book Antiqua" w:hAnsi="Book Antiqua" w:cs="Book Antiqua"/>
          <w:i/>
          <w:iCs/>
        </w:rPr>
        <w:t>Lancet Oncol</w:t>
      </w:r>
      <w:r w:rsidRPr="003D31C5">
        <w:rPr>
          <w:rFonts w:ascii="Book Antiqua" w:eastAsia="Book Antiqua" w:hAnsi="Book Antiqua" w:cs="Book Antiqua"/>
        </w:rPr>
        <w:t xml:space="preserve"> 2019; </w:t>
      </w:r>
      <w:r w:rsidRPr="003D31C5">
        <w:rPr>
          <w:rFonts w:ascii="Book Antiqua" w:eastAsia="Book Antiqua" w:hAnsi="Book Antiqua" w:cs="Book Antiqua"/>
          <w:b/>
          <w:bCs/>
        </w:rPr>
        <w:t>20</w:t>
      </w:r>
      <w:r w:rsidRPr="003D31C5">
        <w:rPr>
          <w:rFonts w:ascii="Book Antiqua" w:eastAsia="Book Antiqua" w:hAnsi="Book Antiqua" w:cs="Book Antiqua"/>
        </w:rPr>
        <w:t>: e262-e273 [PMID: 31044724 DOI: 10.1016/S1470-2045(19)30149-4]</w:t>
      </w:r>
    </w:p>
    <w:p w14:paraId="0C1C23F6" w14:textId="2EDD3FE6" w:rsidR="00A77B3E" w:rsidRPr="003D31C5" w:rsidRDefault="00A140D8">
      <w:pPr>
        <w:spacing w:line="360" w:lineRule="auto"/>
        <w:jc w:val="both"/>
      </w:pPr>
      <w:r w:rsidRPr="003D31C5">
        <w:rPr>
          <w:rFonts w:ascii="Book Antiqua" w:eastAsia="Book Antiqua" w:hAnsi="Book Antiqua" w:cs="Book Antiqua"/>
        </w:rPr>
        <w:t xml:space="preserve">9 </w:t>
      </w:r>
      <w:r w:rsidRPr="003D31C5">
        <w:rPr>
          <w:rFonts w:ascii="Book Antiqua" w:eastAsia="Book Antiqua" w:hAnsi="Book Antiqua" w:cs="Book Antiqua"/>
          <w:b/>
          <w:bCs/>
        </w:rPr>
        <w:t>Christou CD</w:t>
      </w:r>
      <w:r w:rsidRPr="003D31C5">
        <w:rPr>
          <w:rFonts w:ascii="Book Antiqua" w:eastAsia="Book Antiqua" w:hAnsi="Book Antiqua" w:cs="Book Antiqua"/>
        </w:rPr>
        <w:t xml:space="preserve">, Tsoulfas G. Challenges and opportunities in the application of artificial intelligence in gastroenterology and hepatology. </w:t>
      </w:r>
      <w:r w:rsidRPr="003D31C5">
        <w:rPr>
          <w:rFonts w:ascii="Book Antiqua" w:eastAsia="Book Antiqua" w:hAnsi="Book Antiqua" w:cs="Book Antiqua"/>
          <w:i/>
          <w:iCs/>
        </w:rPr>
        <w:t>World J Gastroenterol</w:t>
      </w:r>
      <w:r w:rsidRPr="003D31C5">
        <w:rPr>
          <w:rFonts w:ascii="Book Antiqua" w:eastAsia="Book Antiqua" w:hAnsi="Book Antiqua" w:cs="Book Antiqua"/>
        </w:rPr>
        <w:t xml:space="preserve"> 2021; </w:t>
      </w:r>
      <w:r w:rsidRPr="003D31C5">
        <w:rPr>
          <w:rFonts w:ascii="Book Antiqua" w:eastAsia="Book Antiqua" w:hAnsi="Book Antiqua" w:cs="Book Antiqua"/>
          <w:b/>
          <w:bCs/>
        </w:rPr>
        <w:t>27</w:t>
      </w:r>
      <w:r w:rsidRPr="003D31C5">
        <w:rPr>
          <w:rFonts w:ascii="Book Antiqua" w:eastAsia="Book Antiqua" w:hAnsi="Book Antiqua" w:cs="Book Antiqua"/>
        </w:rPr>
        <w:t>: 6191-6223 [PMID: 34712027 DOI: 10.3748/wjg.v27.i37.6191]</w:t>
      </w:r>
    </w:p>
    <w:p w14:paraId="2E9C5D93" w14:textId="28393586" w:rsidR="00A77B3E" w:rsidRPr="003D31C5" w:rsidRDefault="00A140D8">
      <w:pPr>
        <w:spacing w:line="360" w:lineRule="auto"/>
        <w:jc w:val="both"/>
      </w:pPr>
      <w:r w:rsidRPr="003D31C5">
        <w:rPr>
          <w:rFonts w:ascii="Book Antiqua" w:eastAsia="Book Antiqua" w:hAnsi="Book Antiqua" w:cs="Book Antiqua"/>
        </w:rPr>
        <w:t xml:space="preserve">10 </w:t>
      </w:r>
      <w:r w:rsidRPr="003D31C5">
        <w:rPr>
          <w:rFonts w:ascii="Book Antiqua" w:eastAsia="Book Antiqua" w:hAnsi="Book Antiqua" w:cs="Book Antiqua"/>
          <w:b/>
          <w:bCs/>
        </w:rPr>
        <w:t>Singal AG</w:t>
      </w:r>
      <w:r w:rsidRPr="003D31C5">
        <w:rPr>
          <w:rFonts w:ascii="Book Antiqua" w:eastAsia="Book Antiqua" w:hAnsi="Book Antiqua" w:cs="Book Antiqua"/>
        </w:rPr>
        <w:t xml:space="preserve">, Mukherjee A, Elmunzer BJ, Higgins PD, Lok AS, Zhu J, Marrero JA, Waljee AK. Machine learning algorithms outperform conventional regression models in predicting development of hepatocellular carcinoma. </w:t>
      </w:r>
      <w:r w:rsidRPr="003D31C5">
        <w:rPr>
          <w:rFonts w:ascii="Book Antiqua" w:eastAsia="Book Antiqua" w:hAnsi="Book Antiqua" w:cs="Book Antiqua"/>
          <w:i/>
          <w:iCs/>
        </w:rPr>
        <w:t>Am J Gastroenterol</w:t>
      </w:r>
      <w:r w:rsidRPr="003D31C5">
        <w:rPr>
          <w:rFonts w:ascii="Book Antiqua" w:eastAsia="Book Antiqua" w:hAnsi="Book Antiqua" w:cs="Book Antiqua"/>
        </w:rPr>
        <w:t xml:space="preserve"> 2013; </w:t>
      </w:r>
      <w:r w:rsidRPr="003D31C5">
        <w:rPr>
          <w:rFonts w:ascii="Book Antiqua" w:eastAsia="Book Antiqua" w:hAnsi="Book Antiqua" w:cs="Book Antiqua"/>
          <w:b/>
          <w:bCs/>
        </w:rPr>
        <w:t>108</w:t>
      </w:r>
      <w:r w:rsidRPr="003D31C5">
        <w:rPr>
          <w:rFonts w:ascii="Book Antiqua" w:eastAsia="Book Antiqua" w:hAnsi="Book Antiqua" w:cs="Book Antiqua"/>
        </w:rPr>
        <w:t>: 1723-1730 [PMID: 24169273 DOI: 10.1038/ajg.2013.332]</w:t>
      </w:r>
    </w:p>
    <w:p w14:paraId="3FBE95A3" w14:textId="03CDE96D" w:rsidR="00A77B3E" w:rsidRPr="003D31C5" w:rsidRDefault="004E1343">
      <w:pPr>
        <w:spacing w:line="360" w:lineRule="auto"/>
        <w:jc w:val="both"/>
      </w:pPr>
      <w:r w:rsidRPr="003D31C5">
        <w:rPr>
          <w:rFonts w:ascii="Book Antiqua" w:eastAsia="Book Antiqua" w:hAnsi="Book Antiqua" w:cs="Book Antiqua"/>
        </w:rPr>
        <w:t>1</w:t>
      </w:r>
      <w:r w:rsidR="00D260A9" w:rsidRPr="003D31C5">
        <w:rPr>
          <w:rFonts w:ascii="Book Antiqua" w:eastAsia="Book Antiqua" w:hAnsi="Book Antiqua" w:cs="Book Antiqua"/>
        </w:rPr>
        <w:t>1</w:t>
      </w:r>
      <w:r w:rsidRPr="003D31C5">
        <w:rPr>
          <w:rFonts w:ascii="Book Antiqua" w:eastAsia="Book Antiqua" w:hAnsi="Book Antiqua" w:cs="Book Antiqua"/>
        </w:rPr>
        <w:t xml:space="preserve"> </w:t>
      </w:r>
      <w:r w:rsidRPr="003D31C5">
        <w:rPr>
          <w:rFonts w:ascii="Book Antiqua" w:eastAsia="Book Antiqua" w:hAnsi="Book Antiqua" w:cs="Book Antiqua"/>
          <w:b/>
          <w:bCs/>
        </w:rPr>
        <w:t>Pickett KL</w:t>
      </w:r>
      <w:r w:rsidRPr="003D31C5">
        <w:rPr>
          <w:rFonts w:ascii="Book Antiqua" w:eastAsia="Book Antiqua" w:hAnsi="Book Antiqua" w:cs="Book Antiqua"/>
        </w:rPr>
        <w:t xml:space="preserve">, Suresh K, Campbell KR, Davis S, Juarez-Colunga E. Random survival forests for dynamic predictions of a time-to-event outcome using a longitudinal biomarker. </w:t>
      </w:r>
      <w:r w:rsidRPr="003D31C5">
        <w:rPr>
          <w:rFonts w:ascii="Book Antiqua" w:eastAsia="Book Antiqua" w:hAnsi="Book Antiqua" w:cs="Book Antiqua"/>
          <w:i/>
          <w:iCs/>
        </w:rPr>
        <w:t>BMC Med Res Methodol</w:t>
      </w:r>
      <w:r w:rsidRPr="003D31C5">
        <w:rPr>
          <w:rFonts w:ascii="Book Antiqua" w:eastAsia="Book Antiqua" w:hAnsi="Book Antiqua" w:cs="Book Antiqua"/>
        </w:rPr>
        <w:t xml:space="preserve"> 2021; </w:t>
      </w:r>
      <w:r w:rsidRPr="003D31C5">
        <w:rPr>
          <w:rFonts w:ascii="Book Antiqua" w:eastAsia="Book Antiqua" w:hAnsi="Book Antiqua" w:cs="Book Antiqua"/>
          <w:b/>
          <w:bCs/>
        </w:rPr>
        <w:t>21</w:t>
      </w:r>
      <w:r w:rsidRPr="003D31C5">
        <w:rPr>
          <w:rFonts w:ascii="Book Antiqua" w:eastAsia="Book Antiqua" w:hAnsi="Book Antiqua" w:cs="Book Antiqua"/>
        </w:rPr>
        <w:t>: 216 [PMID: 34657597 DOI: 10.1186/s12874-021-01375-x]</w:t>
      </w:r>
    </w:p>
    <w:bookmarkEnd w:id="354"/>
    <w:bookmarkEnd w:id="355"/>
    <w:p w14:paraId="6AD63D9E" w14:textId="77777777" w:rsidR="00A77B3E" w:rsidRPr="003D31C5" w:rsidRDefault="00A77B3E">
      <w:pPr>
        <w:spacing w:line="360" w:lineRule="auto"/>
        <w:jc w:val="both"/>
        <w:sectPr w:rsidR="00A77B3E" w:rsidRPr="003D31C5" w:rsidSect="003922D4">
          <w:pgSz w:w="12240" w:h="15840"/>
          <w:pgMar w:top="1440" w:right="1440" w:bottom="1440" w:left="1440" w:header="720" w:footer="720" w:gutter="0"/>
          <w:cols w:space="720"/>
          <w:docGrid w:linePitch="360"/>
        </w:sectPr>
      </w:pPr>
    </w:p>
    <w:p w14:paraId="3806D70D" w14:textId="77777777" w:rsidR="00A77B3E" w:rsidRPr="003D31C5" w:rsidRDefault="004E1343">
      <w:pPr>
        <w:spacing w:line="360" w:lineRule="auto"/>
        <w:jc w:val="both"/>
      </w:pPr>
      <w:r w:rsidRPr="003D31C5">
        <w:rPr>
          <w:rFonts w:ascii="Book Antiqua" w:eastAsia="Book Antiqua" w:hAnsi="Book Antiqua" w:cs="Book Antiqua"/>
          <w:b/>
          <w:color w:val="000000"/>
        </w:rPr>
        <w:lastRenderedPageBreak/>
        <w:t>Footnotes</w:t>
      </w:r>
    </w:p>
    <w:p w14:paraId="7974E2EA" w14:textId="7B0EE982" w:rsidR="00A77B3E" w:rsidRPr="003D31C5" w:rsidRDefault="004E1343">
      <w:pPr>
        <w:spacing w:line="360" w:lineRule="auto"/>
        <w:jc w:val="both"/>
      </w:pPr>
      <w:r w:rsidRPr="003D31C5">
        <w:rPr>
          <w:rFonts w:ascii="Book Antiqua" w:eastAsia="Book Antiqua" w:hAnsi="Book Antiqua" w:cs="Book Antiqua"/>
          <w:b/>
          <w:bCs/>
        </w:rPr>
        <w:t xml:space="preserve">Conflict-of-interest statement: </w:t>
      </w:r>
      <w:r w:rsidRPr="003D31C5">
        <w:rPr>
          <w:rFonts w:ascii="Book Antiqua" w:eastAsia="Book Antiqua" w:hAnsi="Book Antiqua" w:cs="Book Antiqua"/>
          <w:szCs w:val="22"/>
        </w:rPr>
        <w:t>The authors declare no conflict of interest</w:t>
      </w:r>
      <w:r w:rsidR="00DF0DAA" w:rsidRPr="003D31C5">
        <w:rPr>
          <w:rFonts w:ascii="Book Antiqua" w:eastAsia="Book Antiqua" w:hAnsi="Book Antiqua" w:cs="Book Antiqua"/>
          <w:szCs w:val="22"/>
        </w:rPr>
        <w:t>.</w:t>
      </w:r>
    </w:p>
    <w:p w14:paraId="14321901" w14:textId="77777777" w:rsidR="00A77B3E" w:rsidRPr="003D31C5" w:rsidRDefault="00A77B3E">
      <w:pPr>
        <w:spacing w:line="360" w:lineRule="auto"/>
        <w:jc w:val="both"/>
      </w:pPr>
    </w:p>
    <w:p w14:paraId="60F607B7" w14:textId="77777777" w:rsidR="00A77B3E" w:rsidRPr="003D31C5" w:rsidRDefault="004E1343">
      <w:pPr>
        <w:spacing w:line="360" w:lineRule="auto"/>
        <w:jc w:val="both"/>
      </w:pPr>
      <w:r w:rsidRPr="003D31C5">
        <w:rPr>
          <w:rFonts w:ascii="Book Antiqua" w:eastAsia="Book Antiqua" w:hAnsi="Book Antiqua" w:cs="Book Antiqua"/>
          <w:b/>
          <w:bCs/>
        </w:rPr>
        <w:t xml:space="preserve">Open-Access: </w:t>
      </w:r>
      <w:r w:rsidRPr="003D31C5">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992D4D7" w14:textId="77777777" w:rsidR="00A77B3E" w:rsidRPr="003D31C5" w:rsidRDefault="00A77B3E">
      <w:pPr>
        <w:spacing w:line="360" w:lineRule="auto"/>
        <w:jc w:val="both"/>
      </w:pPr>
    </w:p>
    <w:p w14:paraId="70FC2261" w14:textId="77777777" w:rsidR="00A77B3E" w:rsidRPr="003D31C5" w:rsidRDefault="004E1343">
      <w:pPr>
        <w:spacing w:line="360" w:lineRule="auto"/>
        <w:jc w:val="both"/>
        <w:rPr>
          <w:rFonts w:ascii="Book Antiqua" w:eastAsia="Book Antiqua" w:hAnsi="Book Antiqua" w:cs="Book Antiqua"/>
        </w:rPr>
      </w:pPr>
      <w:r w:rsidRPr="003D31C5">
        <w:rPr>
          <w:rFonts w:ascii="Book Antiqua" w:eastAsia="Book Antiqua" w:hAnsi="Book Antiqua" w:cs="Book Antiqua"/>
          <w:b/>
          <w:color w:val="000000"/>
        </w:rPr>
        <w:t xml:space="preserve">Provenance and peer review: </w:t>
      </w:r>
      <w:r w:rsidRPr="003D31C5">
        <w:rPr>
          <w:rFonts w:ascii="Book Antiqua" w:eastAsia="Book Antiqua" w:hAnsi="Book Antiqua" w:cs="Book Antiqua"/>
        </w:rPr>
        <w:t>Invited article; Externally peer reviewed.</w:t>
      </w:r>
    </w:p>
    <w:p w14:paraId="3D146E18" w14:textId="77777777" w:rsidR="00DF0DAA" w:rsidRPr="003D31C5" w:rsidRDefault="00DF0DAA">
      <w:pPr>
        <w:spacing w:line="360" w:lineRule="auto"/>
        <w:jc w:val="both"/>
      </w:pPr>
    </w:p>
    <w:p w14:paraId="13BFE11F" w14:textId="77777777" w:rsidR="00A77B3E" w:rsidRPr="003D31C5" w:rsidRDefault="004E1343">
      <w:pPr>
        <w:spacing w:line="360" w:lineRule="auto"/>
        <w:jc w:val="both"/>
      </w:pPr>
      <w:r w:rsidRPr="003D31C5">
        <w:rPr>
          <w:rFonts w:ascii="Book Antiqua" w:eastAsia="Book Antiqua" w:hAnsi="Book Antiqua" w:cs="Book Antiqua"/>
          <w:b/>
          <w:color w:val="000000"/>
        </w:rPr>
        <w:t xml:space="preserve">Peer-review model: </w:t>
      </w:r>
      <w:r w:rsidRPr="003D31C5">
        <w:rPr>
          <w:rFonts w:ascii="Book Antiqua" w:eastAsia="Book Antiqua" w:hAnsi="Book Antiqua" w:cs="Book Antiqua"/>
        </w:rPr>
        <w:t>Single blind</w:t>
      </w:r>
    </w:p>
    <w:p w14:paraId="432C1BBB" w14:textId="77777777" w:rsidR="00A77B3E" w:rsidRPr="003D31C5" w:rsidRDefault="00A77B3E">
      <w:pPr>
        <w:spacing w:line="360" w:lineRule="auto"/>
        <w:jc w:val="both"/>
      </w:pPr>
    </w:p>
    <w:p w14:paraId="0E30BAFD" w14:textId="77777777" w:rsidR="00A77B3E" w:rsidRPr="003D31C5" w:rsidRDefault="004E1343">
      <w:pPr>
        <w:spacing w:line="360" w:lineRule="auto"/>
        <w:jc w:val="both"/>
      </w:pPr>
      <w:r w:rsidRPr="003D31C5">
        <w:rPr>
          <w:rFonts w:ascii="Book Antiqua" w:eastAsia="Book Antiqua" w:hAnsi="Book Antiqua" w:cs="Book Antiqua"/>
          <w:b/>
          <w:color w:val="000000"/>
        </w:rPr>
        <w:t xml:space="preserve">Peer-review started: </w:t>
      </w:r>
      <w:r w:rsidRPr="003D31C5">
        <w:rPr>
          <w:rFonts w:ascii="Book Antiqua" w:eastAsia="Book Antiqua" w:hAnsi="Book Antiqua" w:cs="Book Antiqua"/>
        </w:rPr>
        <w:t>November 21, 2023</w:t>
      </w:r>
    </w:p>
    <w:p w14:paraId="7E823E85" w14:textId="77777777" w:rsidR="00A77B3E" w:rsidRPr="003D31C5" w:rsidRDefault="004E1343">
      <w:pPr>
        <w:spacing w:line="360" w:lineRule="auto"/>
        <w:jc w:val="both"/>
      </w:pPr>
      <w:r w:rsidRPr="003D31C5">
        <w:rPr>
          <w:rFonts w:ascii="Book Antiqua" w:eastAsia="Book Antiqua" w:hAnsi="Book Antiqua" w:cs="Book Antiqua"/>
          <w:b/>
          <w:color w:val="000000"/>
        </w:rPr>
        <w:t xml:space="preserve">First decision: </w:t>
      </w:r>
      <w:r w:rsidRPr="003D31C5">
        <w:rPr>
          <w:rFonts w:ascii="Book Antiqua" w:eastAsia="Book Antiqua" w:hAnsi="Book Antiqua" w:cs="Book Antiqua"/>
        </w:rPr>
        <w:t>December 5, 2023</w:t>
      </w:r>
    </w:p>
    <w:p w14:paraId="65A56083" w14:textId="63DC8607" w:rsidR="00A77B3E" w:rsidRPr="003D31C5" w:rsidRDefault="004E1343">
      <w:pPr>
        <w:spacing w:line="360" w:lineRule="auto"/>
        <w:jc w:val="both"/>
      </w:pPr>
      <w:r w:rsidRPr="003D31C5">
        <w:rPr>
          <w:rFonts w:ascii="Book Antiqua" w:eastAsia="Book Antiqua" w:hAnsi="Book Antiqua" w:cs="Book Antiqua"/>
          <w:b/>
          <w:color w:val="000000"/>
        </w:rPr>
        <w:t xml:space="preserve">Article in press: </w:t>
      </w:r>
      <w:bookmarkStart w:id="356" w:name="_Hlk156312016"/>
      <w:r w:rsidR="00907BFA" w:rsidRPr="003D31C5">
        <w:rPr>
          <w:rFonts w:ascii="Book Antiqua" w:hAnsi="Book Antiqua"/>
        </w:rPr>
        <w:t>January 12, 2024</w:t>
      </w:r>
      <w:bookmarkEnd w:id="356"/>
    </w:p>
    <w:p w14:paraId="14746685" w14:textId="77777777" w:rsidR="00A77B3E" w:rsidRPr="003D31C5" w:rsidRDefault="00A77B3E">
      <w:pPr>
        <w:spacing w:line="360" w:lineRule="auto"/>
        <w:jc w:val="both"/>
      </w:pPr>
    </w:p>
    <w:p w14:paraId="508DC97E" w14:textId="4DB585C7" w:rsidR="00A77B3E" w:rsidRPr="003D31C5" w:rsidRDefault="004E1343">
      <w:pPr>
        <w:spacing w:line="360" w:lineRule="auto"/>
        <w:jc w:val="both"/>
      </w:pPr>
      <w:r w:rsidRPr="003D31C5">
        <w:rPr>
          <w:rFonts w:ascii="Book Antiqua" w:eastAsia="Book Antiqua" w:hAnsi="Book Antiqua" w:cs="Book Antiqua"/>
          <w:b/>
          <w:color w:val="000000"/>
        </w:rPr>
        <w:t xml:space="preserve">Specialty type: </w:t>
      </w:r>
      <w:r w:rsidR="00DF0DAA" w:rsidRPr="003D31C5">
        <w:rPr>
          <w:rFonts w:ascii="Book Antiqua" w:eastAsia="Book Antiqua" w:hAnsi="Book Antiqua" w:cs="Book Antiqua"/>
        </w:rPr>
        <w:t>Gastroenterology and hepatology</w:t>
      </w:r>
    </w:p>
    <w:p w14:paraId="6A77C40F" w14:textId="77777777" w:rsidR="00A77B3E" w:rsidRPr="003D31C5" w:rsidRDefault="004E1343">
      <w:pPr>
        <w:spacing w:line="360" w:lineRule="auto"/>
        <w:jc w:val="both"/>
      </w:pPr>
      <w:r w:rsidRPr="003D31C5">
        <w:rPr>
          <w:rFonts w:ascii="Book Antiqua" w:eastAsia="Book Antiqua" w:hAnsi="Book Antiqua" w:cs="Book Antiqua"/>
          <w:b/>
          <w:color w:val="000000"/>
        </w:rPr>
        <w:t xml:space="preserve">Country/Territory of origin: </w:t>
      </w:r>
      <w:r w:rsidRPr="003D31C5">
        <w:rPr>
          <w:rFonts w:ascii="Book Antiqua" w:eastAsia="Book Antiqua" w:hAnsi="Book Antiqua" w:cs="Book Antiqua"/>
        </w:rPr>
        <w:t>New Zealand</w:t>
      </w:r>
    </w:p>
    <w:p w14:paraId="0FA952C3" w14:textId="77777777" w:rsidR="00A77B3E" w:rsidRPr="003D31C5" w:rsidRDefault="004E1343">
      <w:pPr>
        <w:spacing w:line="360" w:lineRule="auto"/>
        <w:jc w:val="both"/>
      </w:pPr>
      <w:r w:rsidRPr="003D31C5">
        <w:rPr>
          <w:rFonts w:ascii="Book Antiqua" w:eastAsia="Book Antiqua" w:hAnsi="Book Antiqua" w:cs="Book Antiqua"/>
          <w:b/>
          <w:color w:val="000000"/>
        </w:rPr>
        <w:t>Peer-review report’s scientific quality classification</w:t>
      </w:r>
    </w:p>
    <w:p w14:paraId="6DD8B81D" w14:textId="77777777" w:rsidR="00A77B3E" w:rsidRPr="003D31C5" w:rsidRDefault="004E1343">
      <w:pPr>
        <w:spacing w:line="360" w:lineRule="auto"/>
        <w:jc w:val="both"/>
      </w:pPr>
      <w:r w:rsidRPr="003D31C5">
        <w:rPr>
          <w:rFonts w:ascii="Book Antiqua" w:eastAsia="Book Antiqua" w:hAnsi="Book Antiqua" w:cs="Book Antiqua"/>
        </w:rPr>
        <w:t>Grade A (Excellent): 0</w:t>
      </w:r>
    </w:p>
    <w:p w14:paraId="2E1C0FFF" w14:textId="77777777" w:rsidR="00A77B3E" w:rsidRPr="003D31C5" w:rsidRDefault="004E1343">
      <w:pPr>
        <w:spacing w:line="360" w:lineRule="auto"/>
        <w:jc w:val="both"/>
      </w:pPr>
      <w:r w:rsidRPr="003D31C5">
        <w:rPr>
          <w:rFonts w:ascii="Book Antiqua" w:eastAsia="Book Antiqua" w:hAnsi="Book Antiqua" w:cs="Book Antiqua"/>
        </w:rPr>
        <w:t>Grade B (Very good): B, B</w:t>
      </w:r>
    </w:p>
    <w:p w14:paraId="059E6D00" w14:textId="77777777" w:rsidR="00A77B3E" w:rsidRPr="003D31C5" w:rsidRDefault="004E1343">
      <w:pPr>
        <w:spacing w:line="360" w:lineRule="auto"/>
        <w:jc w:val="both"/>
      </w:pPr>
      <w:r w:rsidRPr="003D31C5">
        <w:rPr>
          <w:rFonts w:ascii="Book Antiqua" w:eastAsia="Book Antiqua" w:hAnsi="Book Antiqua" w:cs="Book Antiqua"/>
        </w:rPr>
        <w:t>Grade C (Good): 0</w:t>
      </w:r>
    </w:p>
    <w:p w14:paraId="29C857CB" w14:textId="77777777" w:rsidR="00A77B3E" w:rsidRPr="003D31C5" w:rsidRDefault="004E1343">
      <w:pPr>
        <w:spacing w:line="360" w:lineRule="auto"/>
        <w:jc w:val="both"/>
      </w:pPr>
      <w:r w:rsidRPr="003D31C5">
        <w:rPr>
          <w:rFonts w:ascii="Book Antiqua" w:eastAsia="Book Antiqua" w:hAnsi="Book Antiqua" w:cs="Book Antiqua"/>
        </w:rPr>
        <w:t>Grade D (Fair): 0</w:t>
      </w:r>
    </w:p>
    <w:p w14:paraId="05DCC278" w14:textId="77777777" w:rsidR="00A77B3E" w:rsidRPr="003D31C5" w:rsidRDefault="004E1343">
      <w:pPr>
        <w:spacing w:line="360" w:lineRule="auto"/>
        <w:jc w:val="both"/>
      </w:pPr>
      <w:r w:rsidRPr="003D31C5">
        <w:rPr>
          <w:rFonts w:ascii="Book Antiqua" w:eastAsia="Book Antiqua" w:hAnsi="Book Antiqua" w:cs="Book Antiqua"/>
        </w:rPr>
        <w:t>Grade E (Poor): 0</w:t>
      </w:r>
    </w:p>
    <w:p w14:paraId="011D2028" w14:textId="77777777" w:rsidR="00A77B3E" w:rsidRPr="003D31C5" w:rsidRDefault="00A77B3E">
      <w:pPr>
        <w:spacing w:line="360" w:lineRule="auto"/>
        <w:jc w:val="both"/>
      </w:pPr>
    </w:p>
    <w:p w14:paraId="5567589A" w14:textId="0F5EB27C" w:rsidR="00A77B3E" w:rsidRPr="003D31C5" w:rsidRDefault="004E1343">
      <w:pPr>
        <w:spacing w:line="360" w:lineRule="auto"/>
        <w:jc w:val="both"/>
        <w:sectPr w:rsidR="00A77B3E" w:rsidRPr="003D31C5" w:rsidSect="003922D4">
          <w:pgSz w:w="12240" w:h="15840"/>
          <w:pgMar w:top="1440" w:right="1440" w:bottom="1440" w:left="1440" w:header="720" w:footer="720" w:gutter="0"/>
          <w:cols w:space="720"/>
          <w:docGrid w:linePitch="360"/>
        </w:sectPr>
      </w:pPr>
      <w:r w:rsidRPr="003D31C5">
        <w:rPr>
          <w:rFonts w:ascii="Book Antiqua" w:eastAsia="Book Antiqua" w:hAnsi="Book Antiqua" w:cs="Book Antiqua"/>
          <w:b/>
          <w:color w:val="000000"/>
        </w:rPr>
        <w:t xml:space="preserve">P-Reviewer: </w:t>
      </w:r>
      <w:r w:rsidRPr="003D31C5">
        <w:rPr>
          <w:rFonts w:ascii="Book Antiqua" w:eastAsia="Book Antiqua" w:hAnsi="Book Antiqua" w:cs="Book Antiqua"/>
        </w:rPr>
        <w:t>Lu GR, China; M</w:t>
      </w:r>
      <w:r w:rsidR="00F809DC" w:rsidRPr="003D31C5">
        <w:rPr>
          <w:rFonts w:ascii="Book Antiqua" w:eastAsia="Book Antiqua" w:hAnsi="Book Antiqua" w:cs="Book Antiqua"/>
        </w:rPr>
        <w:t>orya</w:t>
      </w:r>
      <w:r w:rsidRPr="003D31C5">
        <w:rPr>
          <w:rFonts w:ascii="Book Antiqua" w:eastAsia="Book Antiqua" w:hAnsi="Book Antiqua" w:cs="Book Antiqua"/>
        </w:rPr>
        <w:t xml:space="preserve"> AK, India</w:t>
      </w:r>
      <w:r w:rsidRPr="003D31C5">
        <w:rPr>
          <w:rFonts w:ascii="Book Antiqua" w:eastAsia="Book Antiqua" w:hAnsi="Book Antiqua" w:cs="Book Antiqua"/>
          <w:b/>
          <w:color w:val="000000"/>
        </w:rPr>
        <w:t xml:space="preserve"> S-Editor: </w:t>
      </w:r>
      <w:r w:rsidR="00DF0DAA" w:rsidRPr="003D31C5">
        <w:rPr>
          <w:rFonts w:ascii="Book Antiqua" w:eastAsia="Book Antiqua" w:hAnsi="Book Antiqua" w:cs="Book Antiqua"/>
          <w:bCs/>
          <w:color w:val="000000"/>
        </w:rPr>
        <w:t>Qu XL</w:t>
      </w:r>
      <w:r w:rsidRPr="003D31C5">
        <w:rPr>
          <w:rFonts w:ascii="Book Antiqua" w:eastAsia="Book Antiqua" w:hAnsi="Book Antiqua" w:cs="Book Antiqua"/>
          <w:b/>
          <w:color w:val="000000"/>
        </w:rPr>
        <w:t xml:space="preserve"> L-Editor: </w:t>
      </w:r>
      <w:r w:rsidR="00F809DC" w:rsidRPr="003D31C5">
        <w:rPr>
          <w:rFonts w:ascii="Book Antiqua" w:eastAsia="Book Antiqua" w:hAnsi="Book Antiqua" w:cs="Book Antiqua"/>
          <w:bCs/>
          <w:color w:val="000000"/>
          <w:lang w:eastAsia="zh-CN"/>
        </w:rPr>
        <w:t>A</w:t>
      </w:r>
      <w:r w:rsidRPr="003D31C5">
        <w:rPr>
          <w:rFonts w:ascii="Book Antiqua" w:eastAsia="Book Antiqua" w:hAnsi="Book Antiqua" w:cs="Book Antiqua"/>
          <w:b/>
          <w:color w:val="000000"/>
        </w:rPr>
        <w:t xml:space="preserve"> P-Editor: </w:t>
      </w:r>
      <w:bookmarkStart w:id="357" w:name="_Hlk156312039"/>
      <w:r w:rsidR="00907BFA" w:rsidRPr="003D31C5">
        <w:rPr>
          <w:rFonts w:ascii="Book Antiqua" w:eastAsia="Book Antiqua" w:hAnsi="Book Antiqua" w:cs="Book Antiqua"/>
          <w:bCs/>
          <w:color w:val="000000"/>
        </w:rPr>
        <w:t>Yu HG</w:t>
      </w:r>
      <w:bookmarkEnd w:id="357"/>
    </w:p>
    <w:p w14:paraId="78BEDD04" w14:textId="77777777" w:rsidR="00A77B3E" w:rsidRPr="003D31C5" w:rsidRDefault="004E1343">
      <w:pPr>
        <w:spacing w:line="360" w:lineRule="auto"/>
        <w:jc w:val="both"/>
        <w:rPr>
          <w:rFonts w:ascii="Book Antiqua" w:eastAsia="Book Antiqua" w:hAnsi="Book Antiqua" w:cs="Book Antiqua"/>
          <w:b/>
          <w:color w:val="000000"/>
        </w:rPr>
      </w:pPr>
      <w:r w:rsidRPr="003D31C5">
        <w:rPr>
          <w:rFonts w:ascii="Book Antiqua" w:eastAsia="Book Antiqua" w:hAnsi="Book Antiqua" w:cs="Book Antiqua"/>
          <w:b/>
          <w:color w:val="000000"/>
        </w:rPr>
        <w:lastRenderedPageBreak/>
        <w:t>Figure Legends</w:t>
      </w:r>
    </w:p>
    <w:p w14:paraId="79B090D0" w14:textId="2FFB3F25" w:rsidR="004A6F36" w:rsidRPr="003D31C5" w:rsidRDefault="002875B9">
      <w:pPr>
        <w:spacing w:line="360" w:lineRule="auto"/>
        <w:jc w:val="both"/>
      </w:pPr>
      <w:r>
        <w:rPr>
          <w:noProof/>
        </w:rPr>
        <w:drawing>
          <wp:inline distT="0" distB="0" distL="0" distR="0" wp14:anchorId="0076956B" wp14:editId="54B24A4D">
            <wp:extent cx="5943600" cy="3615055"/>
            <wp:effectExtent l="0" t="0" r="0" b="4445"/>
            <wp:docPr id="101121023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3615055"/>
                    </a:xfrm>
                    <a:prstGeom prst="rect">
                      <a:avLst/>
                    </a:prstGeom>
                    <a:noFill/>
                    <a:ln>
                      <a:noFill/>
                    </a:ln>
                  </pic:spPr>
                </pic:pic>
              </a:graphicData>
            </a:graphic>
          </wp:inline>
        </w:drawing>
      </w:r>
    </w:p>
    <w:p w14:paraId="4D31DC49" w14:textId="4DE35814" w:rsidR="00072A5D" w:rsidRPr="003D31C5" w:rsidRDefault="004E1343">
      <w:pPr>
        <w:spacing w:line="360" w:lineRule="auto"/>
        <w:jc w:val="both"/>
        <w:rPr>
          <w:rFonts w:ascii="Book Antiqua" w:eastAsia="Book Antiqua" w:hAnsi="Book Antiqua" w:cs="Book Antiqua"/>
          <w:color w:val="000000"/>
        </w:rPr>
      </w:pPr>
      <w:r w:rsidRPr="003D31C5">
        <w:rPr>
          <w:rFonts w:ascii="Book Antiqua" w:eastAsia="Book Antiqua" w:hAnsi="Book Antiqua" w:cs="Book Antiqua"/>
          <w:b/>
          <w:bCs/>
          <w:color w:val="000000"/>
        </w:rPr>
        <w:t xml:space="preserve">Figure 1 Construction of </w:t>
      </w:r>
      <w:r w:rsidR="00AD0A5C" w:rsidRPr="003D31C5">
        <w:rPr>
          <w:rFonts w:ascii="Book Antiqua" w:eastAsia="Book Antiqua" w:hAnsi="Book Antiqua" w:cs="Book Antiqua"/>
          <w:b/>
          <w:bCs/>
          <w:color w:val="000000"/>
        </w:rPr>
        <w:t>random survival forests</w:t>
      </w:r>
      <w:r w:rsidRPr="003D31C5">
        <w:rPr>
          <w:rFonts w:ascii="Book Antiqua" w:eastAsia="Book Antiqua" w:hAnsi="Book Antiqua" w:cs="Book Antiqua"/>
          <w:b/>
          <w:bCs/>
          <w:color w:val="000000"/>
        </w:rPr>
        <w:t xml:space="preserve"> model. </w:t>
      </w:r>
      <w:r w:rsidRPr="003D31C5">
        <w:rPr>
          <w:rFonts w:ascii="Book Antiqua" w:eastAsia="Book Antiqua" w:hAnsi="Book Antiqua" w:cs="Book Antiqua"/>
          <w:color w:val="000000"/>
        </w:rPr>
        <w:t xml:space="preserve">15 factors used to construct </w:t>
      </w:r>
      <w:r w:rsidR="00AD0A5C" w:rsidRPr="003D31C5">
        <w:rPr>
          <w:rFonts w:ascii="Book Antiqua" w:eastAsia="Book Antiqua" w:hAnsi="Book Antiqua" w:cs="Book Antiqua"/>
          <w:color w:val="000000"/>
        </w:rPr>
        <w:t>random survival forests</w:t>
      </w:r>
      <w:r w:rsidRPr="003D31C5">
        <w:rPr>
          <w:rFonts w:ascii="Book Antiqua" w:eastAsia="Book Antiqua" w:hAnsi="Book Antiqua" w:cs="Book Antiqua"/>
          <w:color w:val="000000"/>
        </w:rPr>
        <w:t xml:space="preserve"> model in </w:t>
      </w:r>
      <w:r w:rsidR="00AD0A5C" w:rsidRPr="003D31C5">
        <w:rPr>
          <w:rFonts w:ascii="Book Antiqua" w:eastAsia="Book Antiqua" w:hAnsi="Book Antiqua" w:cs="Book Antiqua"/>
          <w:color w:val="000000"/>
        </w:rPr>
        <w:t>hepatocellular carcinoma</w:t>
      </w:r>
      <w:r w:rsidRPr="003D31C5">
        <w:rPr>
          <w:rFonts w:ascii="Book Antiqua" w:eastAsia="Book Antiqua" w:hAnsi="Book Antiqua" w:cs="Book Antiqua"/>
          <w:color w:val="000000"/>
        </w:rPr>
        <w:t xml:space="preserve"> patients who underwent R0 resection with variable importance factors emergence and risk stratification applied. </w:t>
      </w:r>
      <w:r w:rsidR="00AD0A5C" w:rsidRPr="003D31C5">
        <w:rPr>
          <w:rFonts w:ascii="Book Antiqua" w:eastAsia="Book Antiqua" w:hAnsi="Book Antiqua" w:cs="Book Antiqua"/>
          <w:color w:val="000000"/>
        </w:rPr>
        <w:t>HCC: Hepatocellular carcinoma; AFP:</w:t>
      </w:r>
      <w:r w:rsidR="0081022E" w:rsidRPr="003D31C5">
        <w:rPr>
          <w:rFonts w:ascii="Book Antiqua" w:eastAsia="Book Antiqua" w:hAnsi="Book Antiqua" w:cs="Book Antiqua"/>
          <w:color w:val="000000"/>
        </w:rPr>
        <w:t xml:space="preserve"> Alpha-fetoprotein</w:t>
      </w:r>
      <w:r w:rsidR="00AD0A5C" w:rsidRPr="003D31C5">
        <w:rPr>
          <w:rFonts w:ascii="Book Antiqua" w:eastAsia="Book Antiqua" w:hAnsi="Book Antiqua" w:cs="Book Antiqua"/>
          <w:color w:val="000000"/>
        </w:rPr>
        <w:t>.</w:t>
      </w:r>
    </w:p>
    <w:p w14:paraId="4740531C" w14:textId="41226FD0" w:rsidR="00A77B3E" w:rsidRPr="003D31C5" w:rsidRDefault="00072A5D">
      <w:pPr>
        <w:spacing w:line="360" w:lineRule="auto"/>
        <w:jc w:val="both"/>
        <w:rPr>
          <w:rFonts w:ascii="Book Antiqua" w:eastAsia="Times New Roman" w:hAnsi="Book Antiqua" w:cs="Segoe UI"/>
          <w:b/>
          <w:bCs/>
          <w:color w:val="000000"/>
          <w:lang w:eastAsia="en-NZ"/>
        </w:rPr>
      </w:pPr>
      <w:r w:rsidRPr="003D31C5">
        <w:rPr>
          <w:rFonts w:ascii="Book Antiqua" w:eastAsia="Book Antiqua" w:hAnsi="Book Antiqua" w:cs="Book Antiqua"/>
          <w:color w:val="000000"/>
        </w:rPr>
        <w:br w:type="page"/>
      </w:r>
      <w:r w:rsidRPr="003D31C5">
        <w:rPr>
          <w:rFonts w:ascii="Book Antiqua" w:eastAsia="Times New Roman" w:hAnsi="Book Antiqua" w:cs="Segoe UI"/>
          <w:b/>
          <w:bCs/>
          <w:color w:val="000000"/>
          <w:lang w:eastAsia="en-NZ"/>
        </w:rPr>
        <w:lastRenderedPageBreak/>
        <w:t xml:space="preserve">Table 1 Comparison of </w:t>
      </w:r>
      <w:r w:rsidRPr="003D31C5">
        <w:rPr>
          <w:rFonts w:ascii="Book Antiqua" w:eastAsia="Book Antiqua" w:hAnsi="Book Antiqua" w:cs="Book Antiqua"/>
          <w:b/>
          <w:bCs/>
          <w:color w:val="000000"/>
        </w:rPr>
        <w:t>random survival forests</w:t>
      </w:r>
      <w:r w:rsidRPr="003D31C5">
        <w:rPr>
          <w:rFonts w:ascii="Book Antiqua" w:eastAsia="Times New Roman" w:hAnsi="Book Antiqua" w:cs="Segoe UI"/>
          <w:b/>
          <w:bCs/>
          <w:color w:val="000000"/>
          <w:lang w:eastAsia="en-NZ"/>
        </w:rPr>
        <w:t xml:space="preserve"> model performance </w:t>
      </w:r>
      <w:r w:rsidRPr="003D31C5">
        <w:rPr>
          <w:rFonts w:ascii="Book Antiqua" w:eastAsia="Times New Roman" w:hAnsi="Book Antiqua" w:cs="Segoe UI"/>
          <w:b/>
          <w:bCs/>
          <w:i/>
          <w:iCs/>
          <w:color w:val="000000"/>
          <w:lang w:eastAsia="en-NZ"/>
        </w:rPr>
        <w:t>vs</w:t>
      </w:r>
      <w:r w:rsidRPr="003D31C5">
        <w:rPr>
          <w:rFonts w:ascii="Book Antiqua" w:eastAsia="Times New Roman" w:hAnsi="Book Antiqua" w:cs="Segoe UI"/>
          <w:b/>
          <w:bCs/>
          <w:color w:val="000000"/>
          <w:lang w:eastAsia="en-NZ"/>
        </w:rPr>
        <w:t xml:space="preserve"> 5 other models following Cox proportional hazard format to predict early recurrence</w:t>
      </w:r>
    </w:p>
    <w:tbl>
      <w:tblPr>
        <w:tblStyle w:val="a7"/>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943"/>
        <w:gridCol w:w="1171"/>
        <w:gridCol w:w="871"/>
        <w:gridCol w:w="1099"/>
        <w:gridCol w:w="1101"/>
        <w:gridCol w:w="852"/>
        <w:gridCol w:w="870"/>
        <w:gridCol w:w="1109"/>
      </w:tblGrid>
      <w:tr w:rsidR="00072A5D" w:rsidRPr="003D31C5" w14:paraId="36E132BB" w14:textId="77777777" w:rsidTr="00D25797">
        <w:tc>
          <w:tcPr>
            <w:tcW w:w="1943" w:type="dxa"/>
            <w:tcBorders>
              <w:top w:val="single" w:sz="4" w:space="0" w:color="auto"/>
              <w:bottom w:val="single" w:sz="4" w:space="0" w:color="auto"/>
            </w:tcBorders>
          </w:tcPr>
          <w:p w14:paraId="3FE3C3F4" w14:textId="77777777" w:rsidR="00072A5D" w:rsidRPr="003D31C5" w:rsidRDefault="00072A5D" w:rsidP="00AD57B5">
            <w:pPr>
              <w:spacing w:line="360" w:lineRule="auto"/>
              <w:jc w:val="both"/>
              <w:rPr>
                <w:rFonts w:ascii="Book Antiqua" w:eastAsia="Times New Roman" w:hAnsi="Book Antiqua" w:cs="Segoe UI"/>
                <w:b/>
                <w:bCs/>
                <w:color w:val="000000"/>
                <w:kern w:val="0"/>
                <w:lang w:eastAsia="en-NZ"/>
              </w:rPr>
            </w:pPr>
            <w:r w:rsidRPr="003D31C5">
              <w:rPr>
                <w:rFonts w:ascii="Book Antiqua" w:eastAsia="Times New Roman" w:hAnsi="Book Antiqua" w:cs="Segoe UI"/>
                <w:b/>
                <w:bCs/>
                <w:color w:val="000000"/>
                <w:kern w:val="0"/>
                <w:lang w:eastAsia="en-NZ"/>
              </w:rPr>
              <w:t>Performance</w:t>
            </w:r>
          </w:p>
        </w:tc>
        <w:tc>
          <w:tcPr>
            <w:tcW w:w="1171" w:type="dxa"/>
            <w:tcBorders>
              <w:top w:val="single" w:sz="4" w:space="0" w:color="auto"/>
              <w:bottom w:val="single" w:sz="4" w:space="0" w:color="auto"/>
            </w:tcBorders>
          </w:tcPr>
          <w:p w14:paraId="1FE14FDE" w14:textId="77777777" w:rsidR="00072A5D" w:rsidRPr="003D31C5" w:rsidRDefault="00072A5D" w:rsidP="00AD57B5">
            <w:pPr>
              <w:spacing w:line="360" w:lineRule="auto"/>
              <w:jc w:val="both"/>
              <w:rPr>
                <w:rFonts w:ascii="Book Antiqua" w:eastAsia="Times New Roman" w:hAnsi="Book Antiqua" w:cs="Segoe UI"/>
                <w:b/>
                <w:bCs/>
                <w:color w:val="000000"/>
                <w:kern w:val="0"/>
                <w:lang w:eastAsia="en-NZ"/>
              </w:rPr>
            </w:pPr>
            <w:r w:rsidRPr="003D31C5">
              <w:rPr>
                <w:rFonts w:ascii="Book Antiqua" w:eastAsia="Times New Roman" w:hAnsi="Book Antiqua" w:cs="Segoe UI"/>
                <w:b/>
                <w:bCs/>
                <w:color w:val="000000"/>
                <w:kern w:val="0"/>
                <w:lang w:eastAsia="en-NZ"/>
              </w:rPr>
              <w:t>Cohort</w:t>
            </w:r>
          </w:p>
        </w:tc>
        <w:tc>
          <w:tcPr>
            <w:tcW w:w="871" w:type="dxa"/>
            <w:tcBorders>
              <w:top w:val="single" w:sz="4" w:space="0" w:color="auto"/>
              <w:bottom w:val="single" w:sz="4" w:space="0" w:color="auto"/>
            </w:tcBorders>
          </w:tcPr>
          <w:p w14:paraId="21C1C487" w14:textId="77777777" w:rsidR="00072A5D" w:rsidRPr="003D31C5" w:rsidRDefault="00072A5D" w:rsidP="00AD57B5">
            <w:pPr>
              <w:spacing w:line="360" w:lineRule="auto"/>
              <w:jc w:val="both"/>
              <w:rPr>
                <w:rFonts w:ascii="Book Antiqua" w:eastAsia="Times New Roman" w:hAnsi="Book Antiqua" w:cs="Segoe UI"/>
                <w:b/>
                <w:bCs/>
                <w:color w:val="000000"/>
                <w:kern w:val="0"/>
                <w:lang w:eastAsia="en-NZ"/>
              </w:rPr>
            </w:pPr>
            <w:r w:rsidRPr="003D31C5">
              <w:rPr>
                <w:rFonts w:ascii="Book Antiqua" w:eastAsia="Times New Roman" w:hAnsi="Book Antiqua" w:cs="Segoe UI"/>
                <w:b/>
                <w:bCs/>
                <w:color w:val="000000"/>
                <w:kern w:val="0"/>
                <w:lang w:eastAsia="en-NZ"/>
              </w:rPr>
              <w:t>RSF</w:t>
            </w:r>
          </w:p>
        </w:tc>
        <w:tc>
          <w:tcPr>
            <w:tcW w:w="1099" w:type="dxa"/>
            <w:tcBorders>
              <w:top w:val="single" w:sz="4" w:space="0" w:color="auto"/>
              <w:bottom w:val="single" w:sz="4" w:space="0" w:color="auto"/>
            </w:tcBorders>
          </w:tcPr>
          <w:p w14:paraId="219D3075" w14:textId="77777777" w:rsidR="00072A5D" w:rsidRPr="003D31C5" w:rsidRDefault="00072A5D" w:rsidP="00AD57B5">
            <w:pPr>
              <w:spacing w:line="360" w:lineRule="auto"/>
              <w:jc w:val="both"/>
              <w:rPr>
                <w:rFonts w:ascii="Book Antiqua" w:eastAsia="Times New Roman" w:hAnsi="Book Antiqua" w:cs="Segoe UI"/>
                <w:b/>
                <w:bCs/>
                <w:color w:val="000000"/>
                <w:kern w:val="0"/>
                <w:lang w:eastAsia="en-NZ"/>
              </w:rPr>
            </w:pPr>
            <w:r w:rsidRPr="003D31C5">
              <w:rPr>
                <w:rFonts w:ascii="Book Antiqua" w:eastAsia="Times New Roman" w:hAnsi="Book Antiqua" w:cs="Segoe UI"/>
                <w:b/>
                <w:bCs/>
                <w:color w:val="000000"/>
                <w:kern w:val="0"/>
                <w:lang w:eastAsia="en-NZ"/>
              </w:rPr>
              <w:t>ERASL</w:t>
            </w:r>
          </w:p>
        </w:tc>
        <w:tc>
          <w:tcPr>
            <w:tcW w:w="1101" w:type="dxa"/>
            <w:tcBorders>
              <w:top w:val="single" w:sz="4" w:space="0" w:color="auto"/>
              <w:bottom w:val="single" w:sz="4" w:space="0" w:color="auto"/>
            </w:tcBorders>
          </w:tcPr>
          <w:p w14:paraId="2658C1EF" w14:textId="77777777" w:rsidR="00072A5D" w:rsidRPr="003D31C5" w:rsidRDefault="00072A5D" w:rsidP="00AD57B5">
            <w:pPr>
              <w:spacing w:line="360" w:lineRule="auto"/>
              <w:jc w:val="both"/>
              <w:rPr>
                <w:rFonts w:ascii="Book Antiqua" w:eastAsia="Times New Roman" w:hAnsi="Book Antiqua" w:cs="Segoe UI"/>
                <w:b/>
                <w:bCs/>
                <w:color w:val="000000"/>
                <w:kern w:val="0"/>
                <w:lang w:eastAsia="en-NZ"/>
              </w:rPr>
            </w:pPr>
            <w:r w:rsidRPr="003D31C5">
              <w:rPr>
                <w:rFonts w:ascii="Book Antiqua" w:eastAsia="Times New Roman" w:hAnsi="Book Antiqua" w:cs="Segoe UI"/>
                <w:b/>
                <w:bCs/>
                <w:color w:val="000000"/>
                <w:kern w:val="0"/>
                <w:lang w:eastAsia="en-NZ"/>
              </w:rPr>
              <w:t>Korean</w:t>
            </w:r>
          </w:p>
        </w:tc>
        <w:tc>
          <w:tcPr>
            <w:tcW w:w="852" w:type="dxa"/>
            <w:tcBorders>
              <w:top w:val="single" w:sz="4" w:space="0" w:color="auto"/>
              <w:bottom w:val="single" w:sz="4" w:space="0" w:color="auto"/>
            </w:tcBorders>
          </w:tcPr>
          <w:p w14:paraId="3614C7F7" w14:textId="77777777" w:rsidR="00072A5D" w:rsidRPr="003D31C5" w:rsidRDefault="00072A5D" w:rsidP="00AD57B5">
            <w:pPr>
              <w:spacing w:line="360" w:lineRule="auto"/>
              <w:jc w:val="both"/>
              <w:rPr>
                <w:rFonts w:ascii="Book Antiqua" w:eastAsia="Times New Roman" w:hAnsi="Book Antiqua" w:cs="Segoe UI"/>
                <w:b/>
                <w:bCs/>
                <w:color w:val="000000"/>
                <w:kern w:val="0"/>
                <w:lang w:eastAsia="en-NZ"/>
              </w:rPr>
            </w:pPr>
            <w:r w:rsidRPr="003D31C5">
              <w:rPr>
                <w:rFonts w:ascii="Book Antiqua" w:eastAsia="Times New Roman" w:hAnsi="Book Antiqua" w:cs="Segoe UI"/>
                <w:b/>
                <w:bCs/>
                <w:color w:val="000000"/>
                <w:kern w:val="0"/>
                <w:lang w:eastAsia="en-NZ"/>
              </w:rPr>
              <w:t>AJCC TNM</w:t>
            </w:r>
          </w:p>
        </w:tc>
        <w:tc>
          <w:tcPr>
            <w:tcW w:w="870" w:type="dxa"/>
            <w:tcBorders>
              <w:top w:val="single" w:sz="4" w:space="0" w:color="auto"/>
              <w:bottom w:val="single" w:sz="4" w:space="0" w:color="auto"/>
            </w:tcBorders>
          </w:tcPr>
          <w:p w14:paraId="564815E9" w14:textId="77777777" w:rsidR="00072A5D" w:rsidRPr="003D31C5" w:rsidRDefault="00072A5D" w:rsidP="00AD57B5">
            <w:pPr>
              <w:spacing w:line="360" w:lineRule="auto"/>
              <w:jc w:val="both"/>
              <w:rPr>
                <w:rFonts w:ascii="Book Antiqua" w:eastAsia="Times New Roman" w:hAnsi="Book Antiqua" w:cs="Segoe UI"/>
                <w:b/>
                <w:bCs/>
                <w:color w:val="000000"/>
                <w:kern w:val="0"/>
                <w:lang w:eastAsia="en-NZ"/>
              </w:rPr>
            </w:pPr>
            <w:r w:rsidRPr="003D31C5">
              <w:rPr>
                <w:rFonts w:ascii="Book Antiqua" w:eastAsia="Times New Roman" w:hAnsi="Book Antiqua" w:cs="Segoe UI"/>
                <w:b/>
                <w:bCs/>
                <w:color w:val="000000"/>
                <w:kern w:val="0"/>
                <w:lang w:eastAsia="en-NZ"/>
              </w:rPr>
              <w:t>BCLC</w:t>
            </w:r>
          </w:p>
        </w:tc>
        <w:tc>
          <w:tcPr>
            <w:tcW w:w="1109" w:type="dxa"/>
            <w:tcBorders>
              <w:top w:val="single" w:sz="4" w:space="0" w:color="auto"/>
              <w:bottom w:val="single" w:sz="4" w:space="0" w:color="auto"/>
            </w:tcBorders>
          </w:tcPr>
          <w:p w14:paraId="267D7AEA" w14:textId="77777777" w:rsidR="00072A5D" w:rsidRPr="003D31C5" w:rsidRDefault="00072A5D" w:rsidP="00AD57B5">
            <w:pPr>
              <w:spacing w:line="360" w:lineRule="auto"/>
              <w:jc w:val="both"/>
              <w:rPr>
                <w:rFonts w:ascii="Book Antiqua" w:eastAsia="Times New Roman" w:hAnsi="Book Antiqua" w:cs="Segoe UI"/>
                <w:b/>
                <w:bCs/>
                <w:color w:val="000000"/>
                <w:kern w:val="0"/>
                <w:lang w:eastAsia="en-NZ"/>
              </w:rPr>
            </w:pPr>
            <w:r w:rsidRPr="003D31C5">
              <w:rPr>
                <w:rFonts w:ascii="Book Antiqua" w:eastAsia="Times New Roman" w:hAnsi="Book Antiqua" w:cs="Segoe UI"/>
                <w:b/>
                <w:bCs/>
                <w:color w:val="000000"/>
                <w:kern w:val="0"/>
                <w:lang w:eastAsia="en-NZ"/>
              </w:rPr>
              <w:t>Chinese</w:t>
            </w:r>
          </w:p>
        </w:tc>
      </w:tr>
      <w:tr w:rsidR="00072A5D" w:rsidRPr="003D31C5" w14:paraId="651B8DB3" w14:textId="77777777" w:rsidTr="00D25797">
        <w:trPr>
          <w:trHeight w:val="670"/>
        </w:trPr>
        <w:tc>
          <w:tcPr>
            <w:tcW w:w="1943" w:type="dxa"/>
            <w:vMerge w:val="restart"/>
            <w:tcBorders>
              <w:top w:val="single" w:sz="4" w:space="0" w:color="auto"/>
            </w:tcBorders>
          </w:tcPr>
          <w:p w14:paraId="786413F6"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Model Discrimination: (Harrell’s C-Index)</w:t>
            </w:r>
          </w:p>
        </w:tc>
        <w:tc>
          <w:tcPr>
            <w:tcW w:w="1171" w:type="dxa"/>
            <w:tcBorders>
              <w:top w:val="single" w:sz="4" w:space="0" w:color="auto"/>
            </w:tcBorders>
          </w:tcPr>
          <w:p w14:paraId="325EB104"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Training</w:t>
            </w:r>
          </w:p>
        </w:tc>
        <w:tc>
          <w:tcPr>
            <w:tcW w:w="871" w:type="dxa"/>
            <w:tcBorders>
              <w:top w:val="single" w:sz="4" w:space="0" w:color="auto"/>
            </w:tcBorders>
          </w:tcPr>
          <w:p w14:paraId="75B9A89D"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0.725</w:t>
            </w:r>
          </w:p>
        </w:tc>
        <w:tc>
          <w:tcPr>
            <w:tcW w:w="1099" w:type="dxa"/>
            <w:tcBorders>
              <w:top w:val="single" w:sz="4" w:space="0" w:color="auto"/>
            </w:tcBorders>
          </w:tcPr>
          <w:p w14:paraId="6E8677C8"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0.706</w:t>
            </w:r>
          </w:p>
        </w:tc>
        <w:tc>
          <w:tcPr>
            <w:tcW w:w="1101" w:type="dxa"/>
            <w:tcBorders>
              <w:top w:val="single" w:sz="4" w:space="0" w:color="auto"/>
            </w:tcBorders>
          </w:tcPr>
          <w:p w14:paraId="37AE3176"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0.658</w:t>
            </w:r>
          </w:p>
        </w:tc>
        <w:tc>
          <w:tcPr>
            <w:tcW w:w="852" w:type="dxa"/>
            <w:tcBorders>
              <w:top w:val="single" w:sz="4" w:space="0" w:color="auto"/>
            </w:tcBorders>
          </w:tcPr>
          <w:p w14:paraId="30AC54CF"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0.674</w:t>
            </w:r>
          </w:p>
        </w:tc>
        <w:tc>
          <w:tcPr>
            <w:tcW w:w="870" w:type="dxa"/>
            <w:tcBorders>
              <w:top w:val="single" w:sz="4" w:space="0" w:color="auto"/>
            </w:tcBorders>
          </w:tcPr>
          <w:p w14:paraId="5E3E53FA"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0.635</w:t>
            </w:r>
          </w:p>
        </w:tc>
        <w:tc>
          <w:tcPr>
            <w:tcW w:w="1109" w:type="dxa"/>
            <w:tcBorders>
              <w:top w:val="single" w:sz="4" w:space="0" w:color="auto"/>
            </w:tcBorders>
          </w:tcPr>
          <w:p w14:paraId="1828824D"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0.684</w:t>
            </w:r>
          </w:p>
        </w:tc>
      </w:tr>
      <w:tr w:rsidR="00072A5D" w:rsidRPr="003D31C5" w14:paraId="4C105812" w14:textId="77777777" w:rsidTr="00AD57B5">
        <w:trPr>
          <w:trHeight w:val="692"/>
        </w:trPr>
        <w:tc>
          <w:tcPr>
            <w:tcW w:w="1943" w:type="dxa"/>
            <w:vMerge/>
          </w:tcPr>
          <w:p w14:paraId="6D180209"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p>
        </w:tc>
        <w:tc>
          <w:tcPr>
            <w:tcW w:w="1171" w:type="dxa"/>
          </w:tcPr>
          <w:p w14:paraId="4D1316B1"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Internal</w:t>
            </w:r>
          </w:p>
        </w:tc>
        <w:tc>
          <w:tcPr>
            <w:tcW w:w="871" w:type="dxa"/>
          </w:tcPr>
          <w:p w14:paraId="705A7537"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0.762</w:t>
            </w:r>
          </w:p>
        </w:tc>
        <w:tc>
          <w:tcPr>
            <w:tcW w:w="1099" w:type="dxa"/>
          </w:tcPr>
          <w:p w14:paraId="594FB4EB"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0.726</w:t>
            </w:r>
          </w:p>
        </w:tc>
        <w:tc>
          <w:tcPr>
            <w:tcW w:w="1101" w:type="dxa"/>
          </w:tcPr>
          <w:p w14:paraId="61DC719D"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0.672</w:t>
            </w:r>
          </w:p>
        </w:tc>
        <w:tc>
          <w:tcPr>
            <w:tcW w:w="852" w:type="dxa"/>
          </w:tcPr>
          <w:p w14:paraId="60FF707F"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0.711</w:t>
            </w:r>
          </w:p>
        </w:tc>
        <w:tc>
          <w:tcPr>
            <w:tcW w:w="870" w:type="dxa"/>
          </w:tcPr>
          <w:p w14:paraId="428B9785"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0.646</w:t>
            </w:r>
          </w:p>
        </w:tc>
        <w:tc>
          <w:tcPr>
            <w:tcW w:w="1109" w:type="dxa"/>
          </w:tcPr>
          <w:p w14:paraId="0040ABED"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0.709</w:t>
            </w:r>
          </w:p>
        </w:tc>
      </w:tr>
      <w:tr w:rsidR="00072A5D" w:rsidRPr="003D31C5" w14:paraId="7FFE8D32" w14:textId="77777777" w:rsidTr="00AD57B5">
        <w:trPr>
          <w:trHeight w:val="716"/>
        </w:trPr>
        <w:tc>
          <w:tcPr>
            <w:tcW w:w="1943" w:type="dxa"/>
            <w:vMerge/>
          </w:tcPr>
          <w:p w14:paraId="2A0F947E"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p>
        </w:tc>
        <w:tc>
          <w:tcPr>
            <w:tcW w:w="1171" w:type="dxa"/>
          </w:tcPr>
          <w:p w14:paraId="32C0617E"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External</w:t>
            </w:r>
          </w:p>
        </w:tc>
        <w:tc>
          <w:tcPr>
            <w:tcW w:w="871" w:type="dxa"/>
          </w:tcPr>
          <w:p w14:paraId="1968EFB3"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0.747</w:t>
            </w:r>
          </w:p>
        </w:tc>
        <w:tc>
          <w:tcPr>
            <w:tcW w:w="1099" w:type="dxa"/>
          </w:tcPr>
          <w:p w14:paraId="69C06018"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0.727</w:t>
            </w:r>
          </w:p>
        </w:tc>
        <w:tc>
          <w:tcPr>
            <w:tcW w:w="1101" w:type="dxa"/>
          </w:tcPr>
          <w:p w14:paraId="14337028"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0.722</w:t>
            </w:r>
          </w:p>
        </w:tc>
        <w:tc>
          <w:tcPr>
            <w:tcW w:w="852" w:type="dxa"/>
          </w:tcPr>
          <w:p w14:paraId="1462768A"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0.711</w:t>
            </w:r>
          </w:p>
        </w:tc>
        <w:tc>
          <w:tcPr>
            <w:tcW w:w="870" w:type="dxa"/>
          </w:tcPr>
          <w:p w14:paraId="206A54F7"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0.658</w:t>
            </w:r>
          </w:p>
        </w:tc>
        <w:tc>
          <w:tcPr>
            <w:tcW w:w="1109" w:type="dxa"/>
          </w:tcPr>
          <w:p w14:paraId="2A4A507D"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0.696</w:t>
            </w:r>
          </w:p>
        </w:tc>
      </w:tr>
      <w:tr w:rsidR="00072A5D" w:rsidRPr="003D31C5" w14:paraId="6F2FAB85" w14:textId="77777777" w:rsidTr="00AD57B5">
        <w:trPr>
          <w:trHeight w:val="1020"/>
        </w:trPr>
        <w:tc>
          <w:tcPr>
            <w:tcW w:w="1943" w:type="dxa"/>
            <w:vMerge w:val="restart"/>
          </w:tcPr>
          <w:p w14:paraId="637BA36F"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Overall Performance:</w:t>
            </w:r>
          </w:p>
          <w:p w14:paraId="1939C54C" w14:textId="16EE8169"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Time dependent Brier (2 years)</w:t>
            </w:r>
          </w:p>
        </w:tc>
        <w:tc>
          <w:tcPr>
            <w:tcW w:w="1171" w:type="dxa"/>
          </w:tcPr>
          <w:p w14:paraId="5852C4A2"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Training</w:t>
            </w:r>
          </w:p>
        </w:tc>
        <w:tc>
          <w:tcPr>
            <w:tcW w:w="871" w:type="dxa"/>
          </w:tcPr>
          <w:p w14:paraId="7A4E5463"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0.147</w:t>
            </w:r>
          </w:p>
        </w:tc>
        <w:tc>
          <w:tcPr>
            <w:tcW w:w="1099" w:type="dxa"/>
          </w:tcPr>
          <w:p w14:paraId="2A085C7E"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0.156</w:t>
            </w:r>
          </w:p>
        </w:tc>
        <w:tc>
          <w:tcPr>
            <w:tcW w:w="1101" w:type="dxa"/>
          </w:tcPr>
          <w:p w14:paraId="1DD11170"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0.174</w:t>
            </w:r>
          </w:p>
        </w:tc>
        <w:tc>
          <w:tcPr>
            <w:tcW w:w="852" w:type="dxa"/>
          </w:tcPr>
          <w:p w14:paraId="7896A9FC"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0.160</w:t>
            </w:r>
          </w:p>
        </w:tc>
        <w:tc>
          <w:tcPr>
            <w:tcW w:w="870" w:type="dxa"/>
          </w:tcPr>
          <w:p w14:paraId="47042082"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0.167</w:t>
            </w:r>
          </w:p>
        </w:tc>
        <w:tc>
          <w:tcPr>
            <w:tcW w:w="1109" w:type="dxa"/>
          </w:tcPr>
          <w:p w14:paraId="045FEDBA"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0.161</w:t>
            </w:r>
          </w:p>
        </w:tc>
      </w:tr>
      <w:tr w:rsidR="00072A5D" w:rsidRPr="003D31C5" w14:paraId="301D8C22" w14:textId="77777777" w:rsidTr="00AD57B5">
        <w:trPr>
          <w:trHeight w:val="784"/>
        </w:trPr>
        <w:tc>
          <w:tcPr>
            <w:tcW w:w="1943" w:type="dxa"/>
            <w:vMerge/>
          </w:tcPr>
          <w:p w14:paraId="12D3FAF1"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p>
        </w:tc>
        <w:tc>
          <w:tcPr>
            <w:tcW w:w="1171" w:type="dxa"/>
          </w:tcPr>
          <w:p w14:paraId="694E9922"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Internal</w:t>
            </w:r>
          </w:p>
        </w:tc>
        <w:tc>
          <w:tcPr>
            <w:tcW w:w="871" w:type="dxa"/>
          </w:tcPr>
          <w:p w14:paraId="0755A64A"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0.129</w:t>
            </w:r>
          </w:p>
        </w:tc>
        <w:tc>
          <w:tcPr>
            <w:tcW w:w="1099" w:type="dxa"/>
          </w:tcPr>
          <w:p w14:paraId="7BD91ECD"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0.143</w:t>
            </w:r>
          </w:p>
        </w:tc>
        <w:tc>
          <w:tcPr>
            <w:tcW w:w="1101" w:type="dxa"/>
          </w:tcPr>
          <w:p w14:paraId="537F87F9"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0.159</w:t>
            </w:r>
          </w:p>
        </w:tc>
        <w:tc>
          <w:tcPr>
            <w:tcW w:w="852" w:type="dxa"/>
          </w:tcPr>
          <w:p w14:paraId="5E902BB4"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0.144</w:t>
            </w:r>
          </w:p>
        </w:tc>
        <w:tc>
          <w:tcPr>
            <w:tcW w:w="870" w:type="dxa"/>
          </w:tcPr>
          <w:p w14:paraId="5BE986D5"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0.154</w:t>
            </w:r>
          </w:p>
        </w:tc>
        <w:tc>
          <w:tcPr>
            <w:tcW w:w="1109" w:type="dxa"/>
          </w:tcPr>
          <w:p w14:paraId="28E68F8B"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0.146</w:t>
            </w:r>
          </w:p>
        </w:tc>
      </w:tr>
      <w:tr w:rsidR="00072A5D" w:rsidRPr="003D31C5" w14:paraId="2BC1A196" w14:textId="77777777" w:rsidTr="00D25797">
        <w:trPr>
          <w:trHeight w:val="710"/>
        </w:trPr>
        <w:tc>
          <w:tcPr>
            <w:tcW w:w="1943" w:type="dxa"/>
            <w:vMerge/>
            <w:tcBorders>
              <w:bottom w:val="nil"/>
            </w:tcBorders>
          </w:tcPr>
          <w:p w14:paraId="7895B683"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p>
        </w:tc>
        <w:tc>
          <w:tcPr>
            <w:tcW w:w="1171" w:type="dxa"/>
            <w:tcBorders>
              <w:bottom w:val="nil"/>
            </w:tcBorders>
          </w:tcPr>
          <w:p w14:paraId="2287A857"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External</w:t>
            </w:r>
          </w:p>
        </w:tc>
        <w:tc>
          <w:tcPr>
            <w:tcW w:w="871" w:type="dxa"/>
            <w:tcBorders>
              <w:bottom w:val="nil"/>
            </w:tcBorders>
          </w:tcPr>
          <w:p w14:paraId="4951E90C"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0.156</w:t>
            </w:r>
          </w:p>
        </w:tc>
        <w:tc>
          <w:tcPr>
            <w:tcW w:w="1099" w:type="dxa"/>
            <w:tcBorders>
              <w:bottom w:val="nil"/>
            </w:tcBorders>
          </w:tcPr>
          <w:p w14:paraId="66664A39"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0.162</w:t>
            </w:r>
          </w:p>
        </w:tc>
        <w:tc>
          <w:tcPr>
            <w:tcW w:w="1101" w:type="dxa"/>
            <w:tcBorders>
              <w:bottom w:val="nil"/>
            </w:tcBorders>
          </w:tcPr>
          <w:p w14:paraId="7D3A56E1"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0.161</w:t>
            </w:r>
          </w:p>
        </w:tc>
        <w:tc>
          <w:tcPr>
            <w:tcW w:w="852" w:type="dxa"/>
            <w:tcBorders>
              <w:bottom w:val="nil"/>
            </w:tcBorders>
          </w:tcPr>
          <w:p w14:paraId="4223DE57"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0.169</w:t>
            </w:r>
          </w:p>
        </w:tc>
        <w:tc>
          <w:tcPr>
            <w:tcW w:w="870" w:type="dxa"/>
            <w:tcBorders>
              <w:bottom w:val="nil"/>
            </w:tcBorders>
          </w:tcPr>
          <w:p w14:paraId="751578F5"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0.180</w:t>
            </w:r>
          </w:p>
        </w:tc>
        <w:tc>
          <w:tcPr>
            <w:tcW w:w="1109" w:type="dxa"/>
            <w:tcBorders>
              <w:bottom w:val="nil"/>
            </w:tcBorders>
          </w:tcPr>
          <w:p w14:paraId="53CE4889"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0.176</w:t>
            </w:r>
          </w:p>
        </w:tc>
      </w:tr>
      <w:tr w:rsidR="00072A5D" w:rsidRPr="003D31C5" w14:paraId="3D7311F0" w14:textId="77777777" w:rsidTr="00D25797">
        <w:trPr>
          <w:trHeight w:val="692"/>
        </w:trPr>
        <w:tc>
          <w:tcPr>
            <w:tcW w:w="1943" w:type="dxa"/>
            <w:vMerge w:val="restart"/>
            <w:tcBorders>
              <w:top w:val="nil"/>
              <w:bottom w:val="nil"/>
            </w:tcBorders>
          </w:tcPr>
          <w:p w14:paraId="22CA215F" w14:textId="0328594A"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Clinical Usefulness:</w:t>
            </w:r>
            <w:r w:rsidRPr="003D31C5">
              <w:rPr>
                <w:rFonts w:ascii="Book Antiqua" w:hAnsi="Book Antiqua" w:cs="Segoe UI" w:hint="eastAsia"/>
                <w:color w:val="000000"/>
                <w:kern w:val="0"/>
                <w:lang w:eastAsia="zh-CN"/>
              </w:rPr>
              <w:t xml:space="preserve"> </w:t>
            </w:r>
            <w:r w:rsidRPr="003D31C5">
              <w:rPr>
                <w:rFonts w:ascii="Book Antiqua" w:eastAsia="Times New Roman" w:hAnsi="Book Antiqua" w:cs="Segoe UI"/>
                <w:color w:val="000000"/>
                <w:kern w:val="0"/>
                <w:lang w:eastAsia="en-NZ"/>
              </w:rPr>
              <w:t>Net benefit at threshold 50%</w:t>
            </w:r>
          </w:p>
        </w:tc>
        <w:tc>
          <w:tcPr>
            <w:tcW w:w="1171" w:type="dxa"/>
            <w:tcBorders>
              <w:top w:val="nil"/>
              <w:bottom w:val="nil"/>
            </w:tcBorders>
          </w:tcPr>
          <w:p w14:paraId="3F6F0C88"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Training</w:t>
            </w:r>
          </w:p>
        </w:tc>
        <w:tc>
          <w:tcPr>
            <w:tcW w:w="871" w:type="dxa"/>
            <w:tcBorders>
              <w:top w:val="nil"/>
              <w:bottom w:val="nil"/>
            </w:tcBorders>
          </w:tcPr>
          <w:p w14:paraId="2240A123"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0.166</w:t>
            </w:r>
          </w:p>
        </w:tc>
        <w:tc>
          <w:tcPr>
            <w:tcW w:w="1099" w:type="dxa"/>
            <w:tcBorders>
              <w:top w:val="nil"/>
              <w:bottom w:val="nil"/>
            </w:tcBorders>
          </w:tcPr>
          <w:p w14:paraId="24728C7D"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0.154</w:t>
            </w:r>
          </w:p>
        </w:tc>
        <w:tc>
          <w:tcPr>
            <w:tcW w:w="1101" w:type="dxa"/>
            <w:tcBorders>
              <w:top w:val="nil"/>
              <w:bottom w:val="nil"/>
            </w:tcBorders>
          </w:tcPr>
          <w:p w14:paraId="598469E8"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0.093</w:t>
            </w:r>
          </w:p>
        </w:tc>
        <w:tc>
          <w:tcPr>
            <w:tcW w:w="852" w:type="dxa"/>
            <w:tcBorders>
              <w:top w:val="nil"/>
              <w:bottom w:val="nil"/>
            </w:tcBorders>
          </w:tcPr>
          <w:p w14:paraId="47DFC298"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0.139</w:t>
            </w:r>
          </w:p>
        </w:tc>
        <w:tc>
          <w:tcPr>
            <w:tcW w:w="870" w:type="dxa"/>
            <w:tcBorders>
              <w:top w:val="nil"/>
              <w:bottom w:val="nil"/>
            </w:tcBorders>
          </w:tcPr>
          <w:p w14:paraId="6E392ED6"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0.137</w:t>
            </w:r>
          </w:p>
        </w:tc>
        <w:tc>
          <w:tcPr>
            <w:tcW w:w="1109" w:type="dxa"/>
            <w:tcBorders>
              <w:top w:val="nil"/>
              <w:bottom w:val="nil"/>
            </w:tcBorders>
          </w:tcPr>
          <w:p w14:paraId="22C6BDFB"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0.137</w:t>
            </w:r>
          </w:p>
        </w:tc>
      </w:tr>
      <w:tr w:rsidR="00072A5D" w:rsidRPr="003D31C5" w14:paraId="42557A60" w14:textId="77777777" w:rsidTr="00D25797">
        <w:trPr>
          <w:trHeight w:val="812"/>
        </w:trPr>
        <w:tc>
          <w:tcPr>
            <w:tcW w:w="1943" w:type="dxa"/>
            <w:vMerge/>
            <w:tcBorders>
              <w:top w:val="nil"/>
              <w:bottom w:val="nil"/>
            </w:tcBorders>
          </w:tcPr>
          <w:p w14:paraId="0283F02B" w14:textId="77777777" w:rsidR="00072A5D" w:rsidRPr="003D31C5" w:rsidRDefault="00072A5D" w:rsidP="00AD57B5">
            <w:pPr>
              <w:spacing w:line="360" w:lineRule="auto"/>
              <w:jc w:val="both"/>
              <w:rPr>
                <w:rFonts w:ascii="Book Antiqua" w:eastAsia="Times New Roman" w:hAnsi="Book Antiqua" w:cs="Segoe UI"/>
                <w:b/>
                <w:bCs/>
                <w:color w:val="000000"/>
                <w:kern w:val="0"/>
                <w:lang w:eastAsia="en-NZ"/>
              </w:rPr>
            </w:pPr>
          </w:p>
        </w:tc>
        <w:tc>
          <w:tcPr>
            <w:tcW w:w="1171" w:type="dxa"/>
            <w:tcBorders>
              <w:top w:val="nil"/>
              <w:bottom w:val="nil"/>
            </w:tcBorders>
          </w:tcPr>
          <w:p w14:paraId="1AA15C25"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Internal</w:t>
            </w:r>
          </w:p>
        </w:tc>
        <w:tc>
          <w:tcPr>
            <w:tcW w:w="871" w:type="dxa"/>
            <w:tcBorders>
              <w:top w:val="nil"/>
              <w:bottom w:val="nil"/>
            </w:tcBorders>
          </w:tcPr>
          <w:p w14:paraId="3B58A59A"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0.121</w:t>
            </w:r>
          </w:p>
        </w:tc>
        <w:tc>
          <w:tcPr>
            <w:tcW w:w="1099" w:type="dxa"/>
            <w:tcBorders>
              <w:top w:val="nil"/>
              <w:bottom w:val="nil"/>
            </w:tcBorders>
          </w:tcPr>
          <w:p w14:paraId="52D5CB3A"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0.092</w:t>
            </w:r>
          </w:p>
        </w:tc>
        <w:tc>
          <w:tcPr>
            <w:tcW w:w="1101" w:type="dxa"/>
            <w:tcBorders>
              <w:top w:val="nil"/>
              <w:bottom w:val="nil"/>
            </w:tcBorders>
          </w:tcPr>
          <w:p w14:paraId="6EE25871"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0.041</w:t>
            </w:r>
          </w:p>
        </w:tc>
        <w:tc>
          <w:tcPr>
            <w:tcW w:w="852" w:type="dxa"/>
            <w:tcBorders>
              <w:top w:val="nil"/>
              <w:bottom w:val="nil"/>
            </w:tcBorders>
          </w:tcPr>
          <w:p w14:paraId="7C67E839"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0.095</w:t>
            </w:r>
          </w:p>
        </w:tc>
        <w:tc>
          <w:tcPr>
            <w:tcW w:w="870" w:type="dxa"/>
            <w:tcBorders>
              <w:top w:val="nil"/>
              <w:bottom w:val="nil"/>
            </w:tcBorders>
          </w:tcPr>
          <w:p w14:paraId="3944D89B"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0.073</w:t>
            </w:r>
          </w:p>
        </w:tc>
        <w:tc>
          <w:tcPr>
            <w:tcW w:w="1109" w:type="dxa"/>
            <w:tcBorders>
              <w:top w:val="nil"/>
              <w:bottom w:val="nil"/>
            </w:tcBorders>
          </w:tcPr>
          <w:p w14:paraId="21367C91"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0.073</w:t>
            </w:r>
          </w:p>
        </w:tc>
      </w:tr>
      <w:tr w:rsidR="00072A5D" w:rsidRPr="003D31C5" w14:paraId="572435E2" w14:textId="77777777" w:rsidTr="00D25797">
        <w:tc>
          <w:tcPr>
            <w:tcW w:w="1943" w:type="dxa"/>
            <w:vMerge/>
            <w:tcBorders>
              <w:top w:val="nil"/>
              <w:bottom w:val="single" w:sz="4" w:space="0" w:color="auto"/>
            </w:tcBorders>
          </w:tcPr>
          <w:p w14:paraId="64449B73"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p>
        </w:tc>
        <w:tc>
          <w:tcPr>
            <w:tcW w:w="1171" w:type="dxa"/>
            <w:tcBorders>
              <w:top w:val="nil"/>
              <w:bottom w:val="single" w:sz="4" w:space="0" w:color="auto"/>
            </w:tcBorders>
          </w:tcPr>
          <w:p w14:paraId="370C7E2B"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External</w:t>
            </w:r>
          </w:p>
        </w:tc>
        <w:tc>
          <w:tcPr>
            <w:tcW w:w="871" w:type="dxa"/>
            <w:tcBorders>
              <w:top w:val="nil"/>
              <w:bottom w:val="single" w:sz="4" w:space="0" w:color="auto"/>
            </w:tcBorders>
          </w:tcPr>
          <w:p w14:paraId="755106F8"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0.206</w:t>
            </w:r>
          </w:p>
        </w:tc>
        <w:tc>
          <w:tcPr>
            <w:tcW w:w="1099" w:type="dxa"/>
            <w:tcBorders>
              <w:top w:val="nil"/>
              <w:bottom w:val="single" w:sz="4" w:space="0" w:color="auto"/>
            </w:tcBorders>
          </w:tcPr>
          <w:p w14:paraId="40853FA5"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0.190</w:t>
            </w:r>
          </w:p>
        </w:tc>
        <w:tc>
          <w:tcPr>
            <w:tcW w:w="1101" w:type="dxa"/>
            <w:tcBorders>
              <w:top w:val="nil"/>
              <w:bottom w:val="single" w:sz="4" w:space="0" w:color="auto"/>
            </w:tcBorders>
          </w:tcPr>
          <w:p w14:paraId="52E777FA"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0.222</w:t>
            </w:r>
          </w:p>
        </w:tc>
        <w:tc>
          <w:tcPr>
            <w:tcW w:w="852" w:type="dxa"/>
            <w:tcBorders>
              <w:top w:val="nil"/>
              <w:bottom w:val="single" w:sz="4" w:space="0" w:color="auto"/>
            </w:tcBorders>
          </w:tcPr>
          <w:p w14:paraId="14F2A643"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0.185</w:t>
            </w:r>
          </w:p>
        </w:tc>
        <w:tc>
          <w:tcPr>
            <w:tcW w:w="870" w:type="dxa"/>
            <w:tcBorders>
              <w:top w:val="nil"/>
              <w:bottom w:val="single" w:sz="4" w:space="0" w:color="auto"/>
            </w:tcBorders>
          </w:tcPr>
          <w:p w14:paraId="3BE11628"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0.154</w:t>
            </w:r>
          </w:p>
        </w:tc>
        <w:tc>
          <w:tcPr>
            <w:tcW w:w="1109" w:type="dxa"/>
            <w:tcBorders>
              <w:top w:val="nil"/>
              <w:bottom w:val="single" w:sz="4" w:space="0" w:color="auto"/>
            </w:tcBorders>
          </w:tcPr>
          <w:p w14:paraId="451BD0C0" w14:textId="77777777" w:rsidR="00072A5D" w:rsidRPr="003D31C5" w:rsidRDefault="00072A5D" w:rsidP="00AD57B5">
            <w:pPr>
              <w:spacing w:line="360" w:lineRule="auto"/>
              <w:jc w:val="both"/>
              <w:rPr>
                <w:rFonts w:ascii="Book Antiqua" w:eastAsia="Times New Roman" w:hAnsi="Book Antiqua" w:cs="Segoe UI"/>
                <w:color w:val="000000"/>
                <w:kern w:val="0"/>
                <w:lang w:eastAsia="en-NZ"/>
              </w:rPr>
            </w:pPr>
            <w:r w:rsidRPr="003D31C5">
              <w:rPr>
                <w:rFonts w:ascii="Book Antiqua" w:eastAsia="Times New Roman" w:hAnsi="Book Antiqua" w:cs="Segoe UI"/>
                <w:color w:val="000000"/>
                <w:kern w:val="0"/>
                <w:lang w:eastAsia="en-NZ"/>
              </w:rPr>
              <w:t>0.154</w:t>
            </w:r>
          </w:p>
        </w:tc>
      </w:tr>
    </w:tbl>
    <w:p w14:paraId="4C965FBD" w14:textId="3DC08336" w:rsidR="00072A5D" w:rsidRPr="003D31C5" w:rsidRDefault="00072A5D">
      <w:pPr>
        <w:spacing w:line="360" w:lineRule="auto"/>
        <w:jc w:val="both"/>
        <w:rPr>
          <w:rFonts w:ascii="Book Antiqua" w:eastAsia="Times New Roman" w:hAnsi="Book Antiqua" w:cs="Segoe UI"/>
          <w:color w:val="000000"/>
          <w:lang w:eastAsia="en-NZ"/>
        </w:rPr>
      </w:pPr>
      <w:r w:rsidRPr="003D31C5">
        <w:rPr>
          <w:rFonts w:ascii="Book Antiqua" w:eastAsia="Times New Roman" w:hAnsi="Book Antiqua" w:cs="Segoe UI"/>
          <w:color w:val="000000"/>
          <w:lang w:eastAsia="en-NZ"/>
        </w:rPr>
        <w:t xml:space="preserve">RSF: </w:t>
      </w:r>
      <w:r w:rsidR="00385811" w:rsidRPr="003D31C5">
        <w:rPr>
          <w:rFonts w:ascii="Book Antiqua" w:eastAsia="Book Antiqua" w:hAnsi="Book Antiqua" w:cs="Book Antiqua"/>
          <w:color w:val="000000"/>
        </w:rPr>
        <w:t>R</w:t>
      </w:r>
      <w:r w:rsidRPr="003D31C5">
        <w:rPr>
          <w:rFonts w:ascii="Book Antiqua" w:eastAsia="Book Antiqua" w:hAnsi="Book Antiqua" w:cs="Book Antiqua"/>
          <w:color w:val="000000"/>
        </w:rPr>
        <w:t xml:space="preserve">andom survival forest; </w:t>
      </w:r>
      <w:r w:rsidRPr="003D31C5">
        <w:rPr>
          <w:rFonts w:ascii="Book Antiqua" w:eastAsia="Times New Roman" w:hAnsi="Book Antiqua" w:cs="Segoe UI"/>
          <w:color w:val="000000"/>
          <w:lang w:eastAsia="en-NZ"/>
        </w:rPr>
        <w:t>ERASL:</w:t>
      </w:r>
      <w:r w:rsidR="0081022E" w:rsidRPr="003D31C5">
        <w:rPr>
          <w:rFonts w:ascii="Book Antiqua" w:eastAsia="Times New Roman" w:hAnsi="Book Antiqua" w:cs="Segoe UI"/>
          <w:color w:val="000000"/>
          <w:lang w:eastAsia="en-NZ"/>
        </w:rPr>
        <w:t xml:space="preserve"> Early Recurrence After Surgery for Liver tumours</w:t>
      </w:r>
      <w:r w:rsidRPr="003D31C5">
        <w:rPr>
          <w:rFonts w:ascii="Book Antiqua" w:eastAsia="Times New Roman" w:hAnsi="Book Antiqua" w:cs="Segoe UI"/>
          <w:color w:val="000000"/>
          <w:lang w:eastAsia="en-NZ"/>
        </w:rPr>
        <w:t xml:space="preserve">; </w:t>
      </w:r>
      <w:r w:rsidR="00385811" w:rsidRPr="003D31C5">
        <w:rPr>
          <w:rFonts w:ascii="Book Antiqua" w:eastAsia="Times New Roman" w:hAnsi="Book Antiqua" w:cs="Segoe UI"/>
          <w:color w:val="000000"/>
          <w:lang w:eastAsia="en-NZ"/>
        </w:rPr>
        <w:t>AJCC TNM:</w:t>
      </w:r>
      <w:r w:rsidR="0081022E" w:rsidRPr="003D31C5">
        <w:rPr>
          <w:rFonts w:ascii="Book Antiqua" w:eastAsia="Times New Roman" w:hAnsi="Book Antiqua" w:cs="Segoe UI"/>
          <w:color w:val="000000"/>
          <w:lang w:eastAsia="en-NZ"/>
        </w:rPr>
        <w:t xml:space="preserve"> American Joint Committee on Cancer tumour-node-metastasis</w:t>
      </w:r>
      <w:r w:rsidR="00385811" w:rsidRPr="003D31C5">
        <w:rPr>
          <w:rFonts w:ascii="Book Antiqua" w:eastAsia="Times New Roman" w:hAnsi="Book Antiqua" w:cs="Segoe UI"/>
          <w:color w:val="000000"/>
          <w:lang w:eastAsia="en-NZ"/>
        </w:rPr>
        <w:t>; BCLC:</w:t>
      </w:r>
      <w:r w:rsidR="0081022E" w:rsidRPr="003D31C5">
        <w:rPr>
          <w:rFonts w:ascii="Book Antiqua" w:eastAsia="Times New Roman" w:hAnsi="Book Antiqua" w:cs="Segoe UI"/>
          <w:color w:val="000000"/>
          <w:lang w:eastAsia="en-NZ"/>
        </w:rPr>
        <w:t xml:space="preserve"> Barcelona Clinic Liver Cancer stage</w:t>
      </w:r>
      <w:r w:rsidR="00385811" w:rsidRPr="003D31C5">
        <w:rPr>
          <w:rFonts w:ascii="Book Antiqua" w:eastAsia="Times New Roman" w:hAnsi="Book Antiqua" w:cs="Segoe UI"/>
          <w:color w:val="000000"/>
          <w:lang w:eastAsia="en-NZ"/>
        </w:rPr>
        <w:t>.</w:t>
      </w:r>
    </w:p>
    <w:p w14:paraId="07491DAC" w14:textId="77777777" w:rsidR="003D31C5" w:rsidRPr="003D31C5" w:rsidRDefault="003D31C5">
      <w:pPr>
        <w:spacing w:line="360" w:lineRule="auto"/>
        <w:jc w:val="both"/>
        <w:rPr>
          <w:rFonts w:ascii="Book Antiqua" w:eastAsia="Times New Roman" w:hAnsi="Book Antiqua" w:cs="Segoe UI"/>
          <w:color w:val="000000"/>
          <w:lang w:eastAsia="en-NZ"/>
        </w:rPr>
      </w:pPr>
    </w:p>
    <w:p w14:paraId="065F4D1C" w14:textId="111DD669" w:rsidR="003D31C5" w:rsidRPr="003D31C5" w:rsidRDefault="003D31C5">
      <w:pPr>
        <w:rPr>
          <w:rFonts w:ascii="Book Antiqua" w:eastAsia="Times New Roman" w:hAnsi="Book Antiqua" w:cs="Segoe UI"/>
          <w:color w:val="000000"/>
          <w:lang w:eastAsia="en-NZ"/>
        </w:rPr>
      </w:pPr>
      <w:r w:rsidRPr="003D31C5">
        <w:rPr>
          <w:rFonts w:ascii="Book Antiqua" w:eastAsia="Times New Roman" w:hAnsi="Book Antiqua" w:cs="Segoe UI"/>
          <w:color w:val="000000"/>
          <w:lang w:eastAsia="en-NZ"/>
        </w:rPr>
        <w:br w:type="page"/>
      </w:r>
    </w:p>
    <w:p w14:paraId="4D416B3D" w14:textId="77777777" w:rsidR="003D31C5" w:rsidRPr="003D31C5" w:rsidRDefault="003D31C5" w:rsidP="003D31C5">
      <w:pPr>
        <w:snapToGrid w:val="0"/>
        <w:ind w:leftChars="100" w:left="240"/>
        <w:jc w:val="center"/>
        <w:rPr>
          <w:rFonts w:ascii="Book Antiqua" w:hAnsi="Book Antiqua"/>
        </w:rPr>
      </w:pPr>
    </w:p>
    <w:p w14:paraId="61BBCE89" w14:textId="77777777" w:rsidR="003D31C5" w:rsidRPr="003D31C5" w:rsidRDefault="003D31C5" w:rsidP="003D31C5">
      <w:pPr>
        <w:snapToGrid w:val="0"/>
        <w:ind w:leftChars="100" w:left="240"/>
        <w:jc w:val="center"/>
        <w:rPr>
          <w:rFonts w:ascii="Book Antiqua" w:hAnsi="Book Antiqua"/>
        </w:rPr>
      </w:pPr>
    </w:p>
    <w:p w14:paraId="7CEF53A1" w14:textId="77777777" w:rsidR="003D31C5" w:rsidRPr="003D31C5" w:rsidRDefault="003D31C5" w:rsidP="003D31C5">
      <w:pPr>
        <w:snapToGrid w:val="0"/>
        <w:ind w:leftChars="100" w:left="240"/>
        <w:jc w:val="center"/>
        <w:rPr>
          <w:rFonts w:ascii="Book Antiqua" w:hAnsi="Book Antiqua"/>
        </w:rPr>
      </w:pPr>
    </w:p>
    <w:p w14:paraId="04683CFB" w14:textId="77777777" w:rsidR="003D31C5" w:rsidRPr="003D31C5" w:rsidRDefault="003D31C5" w:rsidP="003D31C5">
      <w:pPr>
        <w:snapToGrid w:val="0"/>
        <w:ind w:leftChars="100" w:left="240"/>
        <w:jc w:val="center"/>
        <w:rPr>
          <w:rFonts w:ascii="Book Antiqua" w:hAnsi="Book Antiqua"/>
        </w:rPr>
      </w:pPr>
    </w:p>
    <w:p w14:paraId="2DF81578" w14:textId="77777777" w:rsidR="003D31C5" w:rsidRPr="003D31C5" w:rsidRDefault="003D31C5" w:rsidP="003D31C5">
      <w:pPr>
        <w:snapToGrid w:val="0"/>
        <w:ind w:leftChars="100" w:left="240"/>
        <w:jc w:val="center"/>
        <w:rPr>
          <w:rFonts w:ascii="Book Antiqua" w:hAnsi="Book Antiqua"/>
        </w:rPr>
      </w:pPr>
    </w:p>
    <w:p w14:paraId="215C5D7C" w14:textId="77777777" w:rsidR="003D31C5" w:rsidRPr="003D31C5" w:rsidRDefault="003D31C5" w:rsidP="003D31C5">
      <w:pPr>
        <w:snapToGrid w:val="0"/>
        <w:ind w:leftChars="100" w:left="240"/>
        <w:jc w:val="center"/>
        <w:rPr>
          <w:rFonts w:ascii="Book Antiqua" w:hAnsi="Book Antiqua"/>
        </w:rPr>
      </w:pPr>
      <w:r w:rsidRPr="003D31C5">
        <w:rPr>
          <w:rFonts w:ascii="Book Antiqua" w:hAnsi="Book Antiqua"/>
          <w:noProof/>
        </w:rPr>
        <w:drawing>
          <wp:inline distT="0" distB="0" distL="0" distR="0" wp14:anchorId="256696AB" wp14:editId="6BAED99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6F7B1D0F" w14:textId="77777777" w:rsidR="003D31C5" w:rsidRPr="003D31C5" w:rsidRDefault="003D31C5" w:rsidP="003D31C5">
      <w:pPr>
        <w:snapToGrid w:val="0"/>
        <w:ind w:leftChars="100" w:left="240"/>
        <w:jc w:val="center"/>
        <w:rPr>
          <w:rFonts w:ascii="Book Antiqua" w:hAnsi="Book Antiqua"/>
        </w:rPr>
      </w:pPr>
    </w:p>
    <w:p w14:paraId="6116BF6F" w14:textId="77777777" w:rsidR="003D31C5" w:rsidRPr="003D31C5" w:rsidRDefault="003D31C5" w:rsidP="003D31C5">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3D31C5">
        <w:rPr>
          <w:rFonts w:ascii="Book Antiqua" w:eastAsia="TimesNewRomanPSMT" w:hAnsi="Book Antiqua" w:cs="TimesNewRomanPSMT"/>
          <w:color w:val="000000"/>
          <w:sz w:val="28"/>
          <w:szCs w:val="28"/>
        </w:rPr>
        <w:t xml:space="preserve">Published by </w:t>
      </w:r>
      <w:r w:rsidRPr="003D31C5">
        <w:rPr>
          <w:rFonts w:ascii="Book Antiqua" w:eastAsia="Garamond-Bold" w:hAnsi="Book Antiqua" w:cs="Garamond-Bold"/>
          <w:b/>
          <w:bCs/>
          <w:color w:val="000000"/>
          <w:sz w:val="28"/>
          <w:szCs w:val="28"/>
        </w:rPr>
        <w:t>Baishideng Publishing Group Inc</w:t>
      </w:r>
    </w:p>
    <w:p w14:paraId="40BAF03F" w14:textId="77777777" w:rsidR="003D31C5" w:rsidRPr="003D31C5" w:rsidRDefault="003D31C5" w:rsidP="003D31C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3D31C5">
        <w:rPr>
          <w:rFonts w:ascii="Book Antiqua" w:eastAsia="TimesNewRomanPSMT" w:hAnsi="Book Antiqua" w:cs="Garamond"/>
          <w:color w:val="000000"/>
          <w:sz w:val="28"/>
          <w:szCs w:val="28"/>
        </w:rPr>
        <w:t>7041 Koll Center Parkway, Suite 160, Pleasanton, CA 94566, USA</w:t>
      </w:r>
    </w:p>
    <w:p w14:paraId="5E9F8271" w14:textId="77777777" w:rsidR="003D31C5" w:rsidRPr="003D31C5" w:rsidRDefault="003D31C5" w:rsidP="003D31C5">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3D31C5">
        <w:rPr>
          <w:rFonts w:ascii="Book Antiqua" w:eastAsia="Garamond-Bold" w:hAnsi="Book Antiqua" w:cs="Garamond-Bold"/>
          <w:b/>
          <w:bCs/>
          <w:color w:val="000000"/>
          <w:sz w:val="28"/>
          <w:szCs w:val="28"/>
        </w:rPr>
        <w:t xml:space="preserve">Telephone: </w:t>
      </w:r>
      <w:r w:rsidRPr="003D31C5">
        <w:rPr>
          <w:rFonts w:ascii="Book Antiqua" w:eastAsia="TimesNewRomanPSMT" w:hAnsi="Book Antiqua" w:cs="Garamond"/>
          <w:color w:val="000000"/>
          <w:sz w:val="28"/>
          <w:szCs w:val="28"/>
        </w:rPr>
        <w:t>+1-925-3991568</w:t>
      </w:r>
    </w:p>
    <w:p w14:paraId="285C15EC" w14:textId="77777777" w:rsidR="003D31C5" w:rsidRPr="003D31C5" w:rsidRDefault="003D31C5" w:rsidP="003D31C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3D31C5">
        <w:rPr>
          <w:rFonts w:ascii="Book Antiqua" w:eastAsia="Garamond-Bold" w:hAnsi="Book Antiqua" w:cs="Garamond-Bold"/>
          <w:b/>
          <w:bCs/>
          <w:color w:val="000000"/>
          <w:sz w:val="28"/>
          <w:szCs w:val="28"/>
        </w:rPr>
        <w:t xml:space="preserve">E-mail: </w:t>
      </w:r>
      <w:r w:rsidRPr="003D31C5">
        <w:rPr>
          <w:rFonts w:ascii="Book Antiqua" w:eastAsia="TimesNewRomanPSMT" w:hAnsi="Book Antiqua" w:cs="Garamond"/>
          <w:color w:val="D56400"/>
          <w:sz w:val="28"/>
          <w:szCs w:val="28"/>
        </w:rPr>
        <w:t>office@baishideng.com</w:t>
      </w:r>
    </w:p>
    <w:p w14:paraId="6FC1D5A6" w14:textId="77777777" w:rsidR="003D31C5" w:rsidRPr="003D31C5" w:rsidRDefault="003D31C5" w:rsidP="003D31C5">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3D31C5">
        <w:rPr>
          <w:rFonts w:ascii="Book Antiqua" w:eastAsia="Garamond-Bold" w:hAnsi="Book Antiqua" w:cs="Garamond-Bold"/>
          <w:b/>
          <w:bCs/>
          <w:color w:val="000000"/>
          <w:sz w:val="28"/>
          <w:szCs w:val="28"/>
        </w:rPr>
        <w:t xml:space="preserve">Help Desk: </w:t>
      </w:r>
      <w:r w:rsidRPr="003D31C5">
        <w:rPr>
          <w:rFonts w:ascii="Book Antiqua" w:eastAsia="TimesNewRomanPSMT" w:hAnsi="Book Antiqua" w:cs="Garamond"/>
          <w:color w:val="D56400"/>
          <w:sz w:val="28"/>
          <w:szCs w:val="28"/>
        </w:rPr>
        <w:t>https://www.f6publishing.com/helpdesk</w:t>
      </w:r>
    </w:p>
    <w:p w14:paraId="7A2E361D" w14:textId="77777777" w:rsidR="003D31C5" w:rsidRPr="003D31C5" w:rsidRDefault="003D31C5" w:rsidP="003D31C5">
      <w:pPr>
        <w:snapToGrid w:val="0"/>
        <w:ind w:leftChars="100" w:left="240"/>
        <w:jc w:val="center"/>
        <w:rPr>
          <w:rFonts w:ascii="Book Antiqua" w:hAnsi="Book Antiqua"/>
        </w:rPr>
      </w:pPr>
      <w:r w:rsidRPr="003D31C5">
        <w:rPr>
          <w:rFonts w:ascii="Book Antiqua" w:eastAsia="TimesNewRomanPSMT" w:hAnsi="Book Antiqua" w:cs="Garamond"/>
          <w:color w:val="D56400"/>
          <w:sz w:val="28"/>
          <w:szCs w:val="28"/>
        </w:rPr>
        <w:t>https://www.wjgnet.com</w:t>
      </w:r>
    </w:p>
    <w:p w14:paraId="59DEFDA1" w14:textId="77777777" w:rsidR="003D31C5" w:rsidRPr="003D31C5" w:rsidRDefault="003D31C5" w:rsidP="003D31C5">
      <w:pPr>
        <w:snapToGrid w:val="0"/>
        <w:ind w:leftChars="100" w:left="240"/>
        <w:jc w:val="center"/>
        <w:rPr>
          <w:rFonts w:ascii="Book Antiqua" w:hAnsi="Book Antiqua"/>
        </w:rPr>
      </w:pPr>
    </w:p>
    <w:p w14:paraId="5AB4F682" w14:textId="77777777" w:rsidR="003D31C5" w:rsidRPr="003D31C5" w:rsidRDefault="003D31C5" w:rsidP="003D31C5">
      <w:pPr>
        <w:snapToGrid w:val="0"/>
        <w:ind w:leftChars="100" w:left="240"/>
        <w:jc w:val="center"/>
        <w:rPr>
          <w:rFonts w:ascii="Book Antiqua" w:hAnsi="Book Antiqua"/>
        </w:rPr>
      </w:pPr>
    </w:p>
    <w:p w14:paraId="6B61BE14" w14:textId="77777777" w:rsidR="003D31C5" w:rsidRPr="003D31C5" w:rsidRDefault="003D31C5" w:rsidP="003D31C5">
      <w:pPr>
        <w:snapToGrid w:val="0"/>
        <w:ind w:leftChars="100" w:left="240"/>
        <w:jc w:val="center"/>
        <w:rPr>
          <w:rFonts w:ascii="Book Antiqua" w:hAnsi="Book Antiqua"/>
        </w:rPr>
      </w:pPr>
    </w:p>
    <w:p w14:paraId="1FC5F1D7" w14:textId="77777777" w:rsidR="003D31C5" w:rsidRPr="003D31C5" w:rsidRDefault="003D31C5" w:rsidP="003D31C5">
      <w:pPr>
        <w:snapToGrid w:val="0"/>
        <w:ind w:leftChars="100" w:left="240"/>
        <w:jc w:val="center"/>
        <w:rPr>
          <w:rFonts w:ascii="Book Antiqua" w:hAnsi="Book Antiqua"/>
        </w:rPr>
      </w:pPr>
      <w:r w:rsidRPr="003D31C5">
        <w:rPr>
          <w:rFonts w:ascii="Book Antiqua" w:hAnsi="Book Antiqua"/>
          <w:noProof/>
        </w:rPr>
        <w:drawing>
          <wp:inline distT="0" distB="0" distL="0" distR="0" wp14:anchorId="2DDF3E6B" wp14:editId="686A556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7DB803A" w14:textId="77777777" w:rsidR="003D31C5" w:rsidRPr="003D31C5" w:rsidRDefault="003D31C5" w:rsidP="003D31C5">
      <w:pPr>
        <w:snapToGrid w:val="0"/>
        <w:ind w:leftChars="100" w:left="240"/>
        <w:jc w:val="center"/>
        <w:rPr>
          <w:rFonts w:ascii="Book Antiqua" w:hAnsi="Book Antiqua"/>
        </w:rPr>
      </w:pPr>
    </w:p>
    <w:p w14:paraId="0AD2F09D" w14:textId="77777777" w:rsidR="003D31C5" w:rsidRPr="003D31C5" w:rsidRDefault="003D31C5" w:rsidP="003D31C5">
      <w:pPr>
        <w:snapToGrid w:val="0"/>
        <w:ind w:leftChars="100" w:left="240"/>
        <w:jc w:val="center"/>
        <w:rPr>
          <w:rFonts w:ascii="Book Antiqua" w:hAnsi="Book Antiqua"/>
        </w:rPr>
      </w:pPr>
    </w:p>
    <w:p w14:paraId="59656BB5" w14:textId="77777777" w:rsidR="003D31C5" w:rsidRPr="003D31C5" w:rsidRDefault="003D31C5" w:rsidP="003D31C5">
      <w:pPr>
        <w:snapToGrid w:val="0"/>
        <w:ind w:leftChars="100" w:left="240"/>
        <w:jc w:val="center"/>
        <w:rPr>
          <w:rFonts w:ascii="Book Antiqua" w:hAnsi="Book Antiqua"/>
        </w:rPr>
      </w:pPr>
    </w:p>
    <w:p w14:paraId="22E1F332" w14:textId="77777777" w:rsidR="003D31C5" w:rsidRPr="003D31C5" w:rsidRDefault="003D31C5" w:rsidP="003D31C5">
      <w:pPr>
        <w:snapToGrid w:val="0"/>
        <w:ind w:leftChars="100" w:left="240"/>
        <w:jc w:val="center"/>
        <w:rPr>
          <w:rFonts w:ascii="Book Antiqua" w:hAnsi="Book Antiqua"/>
        </w:rPr>
      </w:pPr>
    </w:p>
    <w:p w14:paraId="513B82FB" w14:textId="77777777" w:rsidR="003D31C5" w:rsidRPr="003D31C5" w:rsidRDefault="003D31C5" w:rsidP="003D31C5">
      <w:pPr>
        <w:snapToGrid w:val="0"/>
        <w:ind w:leftChars="100" w:left="240"/>
        <w:jc w:val="center"/>
        <w:rPr>
          <w:rFonts w:ascii="Book Antiqua" w:hAnsi="Book Antiqua"/>
        </w:rPr>
      </w:pPr>
    </w:p>
    <w:p w14:paraId="731CAB66" w14:textId="77777777" w:rsidR="003D31C5" w:rsidRPr="003D31C5" w:rsidRDefault="003D31C5" w:rsidP="003D31C5">
      <w:pPr>
        <w:snapToGrid w:val="0"/>
        <w:ind w:leftChars="100" w:left="240"/>
        <w:jc w:val="center"/>
        <w:rPr>
          <w:rFonts w:ascii="Book Antiqua" w:hAnsi="Book Antiqua"/>
        </w:rPr>
      </w:pPr>
    </w:p>
    <w:p w14:paraId="2DE86E8D" w14:textId="77777777" w:rsidR="003D31C5" w:rsidRPr="003D31C5" w:rsidRDefault="003D31C5" w:rsidP="003D31C5">
      <w:pPr>
        <w:snapToGrid w:val="0"/>
        <w:ind w:leftChars="100" w:left="240"/>
        <w:jc w:val="center"/>
        <w:rPr>
          <w:rFonts w:ascii="Book Antiqua" w:hAnsi="Book Antiqua"/>
        </w:rPr>
      </w:pPr>
    </w:p>
    <w:p w14:paraId="48E5F2DC" w14:textId="77777777" w:rsidR="003D31C5" w:rsidRPr="003D31C5" w:rsidRDefault="003D31C5" w:rsidP="003D31C5">
      <w:pPr>
        <w:snapToGrid w:val="0"/>
        <w:ind w:leftChars="100" w:left="240"/>
        <w:jc w:val="center"/>
        <w:rPr>
          <w:rFonts w:ascii="Book Antiqua" w:hAnsi="Book Antiqua"/>
        </w:rPr>
      </w:pPr>
    </w:p>
    <w:p w14:paraId="38A2C162" w14:textId="77777777" w:rsidR="003D31C5" w:rsidRPr="003D31C5" w:rsidRDefault="003D31C5" w:rsidP="003D31C5">
      <w:pPr>
        <w:snapToGrid w:val="0"/>
        <w:ind w:leftChars="100" w:left="240"/>
        <w:jc w:val="center"/>
        <w:rPr>
          <w:rFonts w:ascii="Book Antiqua" w:hAnsi="Book Antiqua"/>
        </w:rPr>
      </w:pPr>
    </w:p>
    <w:p w14:paraId="56E18FD0" w14:textId="77777777" w:rsidR="003D31C5" w:rsidRPr="003D31C5" w:rsidRDefault="003D31C5" w:rsidP="003D31C5">
      <w:pPr>
        <w:snapToGrid w:val="0"/>
        <w:ind w:leftChars="100" w:left="240"/>
        <w:jc w:val="right"/>
        <w:rPr>
          <w:rFonts w:ascii="Book Antiqua" w:hAnsi="Book Antiqua"/>
          <w:color w:val="000000" w:themeColor="text1"/>
        </w:rPr>
      </w:pPr>
    </w:p>
    <w:p w14:paraId="2656F5C8" w14:textId="77777777" w:rsidR="003D31C5" w:rsidRPr="006D4EDA" w:rsidRDefault="003D31C5" w:rsidP="003D31C5">
      <w:pPr>
        <w:snapToGrid w:val="0"/>
        <w:jc w:val="center"/>
        <w:rPr>
          <w:rFonts w:ascii="Book Antiqua" w:hAnsi="Book Antiqua"/>
          <w:shd w:val="clear" w:color="auto" w:fill="FFFFFF"/>
        </w:rPr>
      </w:pPr>
      <w:r w:rsidRPr="003D31C5">
        <w:rPr>
          <w:rFonts w:ascii="Book Antiqua" w:eastAsia="BookAntiqua-Bold" w:hAnsi="Book Antiqua" w:cs="BookAntiqua-Bold"/>
          <w:b/>
          <w:bCs/>
          <w:color w:val="000000" w:themeColor="text1"/>
        </w:rPr>
        <w:t>© 202</w:t>
      </w:r>
      <w:r w:rsidRPr="003D31C5">
        <w:rPr>
          <w:rFonts w:ascii="Book Antiqua" w:hAnsi="Book Antiqua" w:cs="BookAntiqua-Bold"/>
          <w:b/>
          <w:bCs/>
          <w:color w:val="000000" w:themeColor="text1"/>
        </w:rPr>
        <w:t>4</w:t>
      </w:r>
      <w:r w:rsidRPr="003D31C5">
        <w:rPr>
          <w:rFonts w:ascii="Book Antiqua" w:eastAsia="BookAntiqua-Bold" w:hAnsi="Book Antiqua" w:cs="BookAntiqua-Bold"/>
          <w:b/>
          <w:bCs/>
          <w:color w:val="000000" w:themeColor="text1"/>
        </w:rPr>
        <w:t xml:space="preserve"> Baishideng Publishing Group Inc. All rights reserved.</w:t>
      </w:r>
    </w:p>
    <w:p w14:paraId="711FBD9D" w14:textId="77777777" w:rsidR="003D31C5" w:rsidRPr="006D4EDA" w:rsidRDefault="003D31C5" w:rsidP="003D31C5">
      <w:pPr>
        <w:rPr>
          <w:rFonts w:ascii="Book Antiqua" w:hAnsi="Book Antiqua" w:cs="Book Antiqua"/>
          <w:b/>
          <w:bCs/>
          <w:color w:val="000000"/>
        </w:rPr>
      </w:pPr>
    </w:p>
    <w:sectPr w:rsidR="003D31C5" w:rsidRPr="006D4E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C8823" w14:textId="77777777" w:rsidR="003922D4" w:rsidRDefault="003922D4" w:rsidP="00893A5F">
      <w:r>
        <w:separator/>
      </w:r>
    </w:p>
  </w:endnote>
  <w:endnote w:type="continuationSeparator" w:id="0">
    <w:p w14:paraId="3026F582" w14:textId="77777777" w:rsidR="003922D4" w:rsidRDefault="003922D4" w:rsidP="00893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62991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30C10882" w14:textId="043CCE5A" w:rsidR="00893A5F" w:rsidRPr="00893A5F" w:rsidRDefault="00893A5F">
            <w:pPr>
              <w:pStyle w:val="a5"/>
              <w:jc w:val="right"/>
              <w:rPr>
                <w:rFonts w:ascii="Book Antiqua" w:hAnsi="Book Antiqua"/>
                <w:sz w:val="24"/>
                <w:szCs w:val="24"/>
              </w:rPr>
            </w:pPr>
            <w:r w:rsidRPr="00893A5F">
              <w:rPr>
                <w:rFonts w:ascii="Book Antiqua" w:hAnsi="Book Antiqua"/>
                <w:sz w:val="24"/>
                <w:szCs w:val="24"/>
                <w:lang w:val="zh-CN" w:eastAsia="zh-CN"/>
              </w:rPr>
              <w:t xml:space="preserve"> </w:t>
            </w:r>
            <w:r w:rsidRPr="00893A5F">
              <w:rPr>
                <w:rFonts w:ascii="Book Antiqua" w:hAnsi="Book Antiqua"/>
                <w:sz w:val="24"/>
                <w:szCs w:val="24"/>
              </w:rPr>
              <w:fldChar w:fldCharType="begin"/>
            </w:r>
            <w:r w:rsidRPr="00893A5F">
              <w:rPr>
                <w:rFonts w:ascii="Book Antiqua" w:hAnsi="Book Antiqua"/>
                <w:sz w:val="24"/>
                <w:szCs w:val="24"/>
              </w:rPr>
              <w:instrText>PAGE</w:instrText>
            </w:r>
            <w:r w:rsidRPr="00893A5F">
              <w:rPr>
                <w:rFonts w:ascii="Book Antiqua" w:hAnsi="Book Antiqua"/>
                <w:sz w:val="24"/>
                <w:szCs w:val="24"/>
              </w:rPr>
              <w:fldChar w:fldCharType="separate"/>
            </w:r>
            <w:r w:rsidRPr="00893A5F">
              <w:rPr>
                <w:rFonts w:ascii="Book Antiqua" w:hAnsi="Book Antiqua"/>
                <w:sz w:val="24"/>
                <w:szCs w:val="24"/>
                <w:lang w:val="zh-CN" w:eastAsia="zh-CN"/>
              </w:rPr>
              <w:t>2</w:t>
            </w:r>
            <w:r w:rsidRPr="00893A5F">
              <w:rPr>
                <w:rFonts w:ascii="Book Antiqua" w:hAnsi="Book Antiqua"/>
                <w:sz w:val="24"/>
                <w:szCs w:val="24"/>
              </w:rPr>
              <w:fldChar w:fldCharType="end"/>
            </w:r>
            <w:r w:rsidRPr="00893A5F">
              <w:rPr>
                <w:rFonts w:ascii="Book Antiqua" w:hAnsi="Book Antiqua"/>
                <w:sz w:val="24"/>
                <w:szCs w:val="24"/>
                <w:lang w:val="zh-CN" w:eastAsia="zh-CN"/>
              </w:rPr>
              <w:t xml:space="preserve"> / </w:t>
            </w:r>
            <w:r w:rsidRPr="00893A5F">
              <w:rPr>
                <w:rFonts w:ascii="Book Antiqua" w:hAnsi="Book Antiqua"/>
                <w:sz w:val="24"/>
                <w:szCs w:val="24"/>
              </w:rPr>
              <w:fldChar w:fldCharType="begin"/>
            </w:r>
            <w:r w:rsidRPr="00893A5F">
              <w:rPr>
                <w:rFonts w:ascii="Book Antiqua" w:hAnsi="Book Antiqua"/>
                <w:sz w:val="24"/>
                <w:szCs w:val="24"/>
              </w:rPr>
              <w:instrText>NUMPAGES</w:instrText>
            </w:r>
            <w:r w:rsidRPr="00893A5F">
              <w:rPr>
                <w:rFonts w:ascii="Book Antiqua" w:hAnsi="Book Antiqua"/>
                <w:sz w:val="24"/>
                <w:szCs w:val="24"/>
              </w:rPr>
              <w:fldChar w:fldCharType="separate"/>
            </w:r>
            <w:r w:rsidRPr="00893A5F">
              <w:rPr>
                <w:rFonts w:ascii="Book Antiqua" w:hAnsi="Book Antiqua"/>
                <w:sz w:val="24"/>
                <w:szCs w:val="24"/>
                <w:lang w:val="zh-CN" w:eastAsia="zh-CN"/>
              </w:rPr>
              <w:t>2</w:t>
            </w:r>
            <w:r w:rsidRPr="00893A5F">
              <w:rPr>
                <w:rFonts w:ascii="Book Antiqua" w:hAnsi="Book Antiqua"/>
                <w:sz w:val="24"/>
                <w:szCs w:val="24"/>
              </w:rPr>
              <w:fldChar w:fldCharType="end"/>
            </w:r>
          </w:p>
        </w:sdtContent>
      </w:sdt>
    </w:sdtContent>
  </w:sdt>
  <w:p w14:paraId="15363622" w14:textId="77777777" w:rsidR="00893A5F" w:rsidRDefault="00893A5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1E070" w14:textId="77777777" w:rsidR="003922D4" w:rsidRDefault="003922D4" w:rsidP="00893A5F">
      <w:r>
        <w:separator/>
      </w:r>
    </w:p>
  </w:footnote>
  <w:footnote w:type="continuationSeparator" w:id="0">
    <w:p w14:paraId="4DC333A6" w14:textId="77777777" w:rsidR="003922D4" w:rsidRDefault="003922D4" w:rsidP="00893A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71E32"/>
    <w:rsid w:val="000721FA"/>
    <w:rsid w:val="00072A5D"/>
    <w:rsid w:val="000753B2"/>
    <w:rsid w:val="000B53B4"/>
    <w:rsid w:val="000C7FF9"/>
    <w:rsid w:val="000F3F80"/>
    <w:rsid w:val="0010008B"/>
    <w:rsid w:val="00152102"/>
    <w:rsid w:val="00167AB3"/>
    <w:rsid w:val="0017262D"/>
    <w:rsid w:val="00247FEA"/>
    <w:rsid w:val="00262429"/>
    <w:rsid w:val="002875B9"/>
    <w:rsid w:val="00297A89"/>
    <w:rsid w:val="002D5561"/>
    <w:rsid w:val="00357388"/>
    <w:rsid w:val="003635AD"/>
    <w:rsid w:val="00385811"/>
    <w:rsid w:val="003922D4"/>
    <w:rsid w:val="003D31C5"/>
    <w:rsid w:val="0040262A"/>
    <w:rsid w:val="00461A13"/>
    <w:rsid w:val="00484B4A"/>
    <w:rsid w:val="0049615C"/>
    <w:rsid w:val="004A6F36"/>
    <w:rsid w:val="004C04D0"/>
    <w:rsid w:val="004C059F"/>
    <w:rsid w:val="004E1343"/>
    <w:rsid w:val="004F383E"/>
    <w:rsid w:val="00514390"/>
    <w:rsid w:val="00551E4C"/>
    <w:rsid w:val="00586ACB"/>
    <w:rsid w:val="0059312D"/>
    <w:rsid w:val="00597811"/>
    <w:rsid w:val="005C5005"/>
    <w:rsid w:val="005C63FE"/>
    <w:rsid w:val="006341D6"/>
    <w:rsid w:val="006357EE"/>
    <w:rsid w:val="00637744"/>
    <w:rsid w:val="006B3A18"/>
    <w:rsid w:val="006E6B74"/>
    <w:rsid w:val="00711250"/>
    <w:rsid w:val="00712998"/>
    <w:rsid w:val="0073179A"/>
    <w:rsid w:val="0075257B"/>
    <w:rsid w:val="00791F79"/>
    <w:rsid w:val="007A792F"/>
    <w:rsid w:val="0081022E"/>
    <w:rsid w:val="008435B1"/>
    <w:rsid w:val="00893A5F"/>
    <w:rsid w:val="008972D6"/>
    <w:rsid w:val="008F5B74"/>
    <w:rsid w:val="00907BFA"/>
    <w:rsid w:val="00970AE2"/>
    <w:rsid w:val="009A2FD9"/>
    <w:rsid w:val="009C308E"/>
    <w:rsid w:val="00A140D8"/>
    <w:rsid w:val="00A604FA"/>
    <w:rsid w:val="00A77B3E"/>
    <w:rsid w:val="00AD0A5C"/>
    <w:rsid w:val="00AF40E0"/>
    <w:rsid w:val="00B2054B"/>
    <w:rsid w:val="00B33285"/>
    <w:rsid w:val="00B42269"/>
    <w:rsid w:val="00B91496"/>
    <w:rsid w:val="00BA1863"/>
    <w:rsid w:val="00BB0162"/>
    <w:rsid w:val="00BF4A4A"/>
    <w:rsid w:val="00C16431"/>
    <w:rsid w:val="00C90596"/>
    <w:rsid w:val="00C95555"/>
    <w:rsid w:val="00CA2A55"/>
    <w:rsid w:val="00CF1B11"/>
    <w:rsid w:val="00D25797"/>
    <w:rsid w:val="00D260A9"/>
    <w:rsid w:val="00D36869"/>
    <w:rsid w:val="00D61CDE"/>
    <w:rsid w:val="00DC18FD"/>
    <w:rsid w:val="00DD2771"/>
    <w:rsid w:val="00DE4045"/>
    <w:rsid w:val="00DF0DAA"/>
    <w:rsid w:val="00E03028"/>
    <w:rsid w:val="00E57ACC"/>
    <w:rsid w:val="00E87F1D"/>
    <w:rsid w:val="00F116AB"/>
    <w:rsid w:val="00F37CED"/>
    <w:rsid w:val="00F809DC"/>
    <w:rsid w:val="00F83072"/>
    <w:rsid w:val="00FB73C2"/>
    <w:rsid w:val="00FF5E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E81B6D"/>
  <w15:docId w15:val="{AFDF0B5D-6B38-4EC7-8DF0-71AEB1017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93A5F"/>
    <w:pPr>
      <w:tabs>
        <w:tab w:val="center" w:pos="4153"/>
        <w:tab w:val="right" w:pos="8306"/>
      </w:tabs>
      <w:snapToGrid w:val="0"/>
      <w:jc w:val="center"/>
    </w:pPr>
    <w:rPr>
      <w:sz w:val="18"/>
      <w:szCs w:val="18"/>
    </w:rPr>
  </w:style>
  <w:style w:type="character" w:customStyle="1" w:styleId="a4">
    <w:name w:val="页眉 字符"/>
    <w:basedOn w:val="a0"/>
    <w:link w:val="a3"/>
    <w:rsid w:val="00893A5F"/>
    <w:rPr>
      <w:sz w:val="18"/>
      <w:szCs w:val="18"/>
    </w:rPr>
  </w:style>
  <w:style w:type="paragraph" w:styleId="a5">
    <w:name w:val="footer"/>
    <w:basedOn w:val="a"/>
    <w:link w:val="a6"/>
    <w:uiPriority w:val="99"/>
    <w:rsid w:val="00893A5F"/>
    <w:pPr>
      <w:tabs>
        <w:tab w:val="center" w:pos="4153"/>
        <w:tab w:val="right" w:pos="8306"/>
      </w:tabs>
      <w:snapToGrid w:val="0"/>
    </w:pPr>
    <w:rPr>
      <w:sz w:val="18"/>
      <w:szCs w:val="18"/>
    </w:rPr>
  </w:style>
  <w:style w:type="character" w:customStyle="1" w:styleId="a6">
    <w:name w:val="页脚 字符"/>
    <w:basedOn w:val="a0"/>
    <w:link w:val="a5"/>
    <w:uiPriority w:val="99"/>
    <w:rsid w:val="00893A5F"/>
    <w:rPr>
      <w:sz w:val="18"/>
      <w:szCs w:val="18"/>
    </w:rPr>
  </w:style>
  <w:style w:type="table" w:styleId="a7">
    <w:name w:val="Table Grid"/>
    <w:basedOn w:val="a1"/>
    <w:uiPriority w:val="39"/>
    <w:rsid w:val="00072A5D"/>
    <w:rPr>
      <w:rFonts w:asciiTheme="minorHAnsi" w:hAnsiTheme="minorHAnsi" w:cstheme="minorBidi"/>
      <w:kern w:val="2"/>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4C04D0"/>
    <w:rPr>
      <w:sz w:val="24"/>
      <w:szCs w:val="24"/>
    </w:rPr>
  </w:style>
  <w:style w:type="character" w:styleId="a9">
    <w:name w:val="annotation reference"/>
    <w:basedOn w:val="a0"/>
    <w:rsid w:val="000C7FF9"/>
    <w:rPr>
      <w:sz w:val="21"/>
      <w:szCs w:val="21"/>
    </w:rPr>
  </w:style>
  <w:style w:type="paragraph" w:styleId="aa">
    <w:name w:val="annotation text"/>
    <w:basedOn w:val="a"/>
    <w:link w:val="ab"/>
    <w:rsid w:val="000C7FF9"/>
  </w:style>
  <w:style w:type="character" w:customStyle="1" w:styleId="ab">
    <w:name w:val="批注文字 字符"/>
    <w:basedOn w:val="a0"/>
    <w:link w:val="aa"/>
    <w:rsid w:val="000C7FF9"/>
    <w:rPr>
      <w:sz w:val="24"/>
      <w:szCs w:val="24"/>
    </w:rPr>
  </w:style>
  <w:style w:type="paragraph" w:styleId="ac">
    <w:name w:val="annotation subject"/>
    <w:basedOn w:val="aa"/>
    <w:next w:val="aa"/>
    <w:link w:val="ad"/>
    <w:rsid w:val="000C7FF9"/>
    <w:rPr>
      <w:b/>
      <w:bCs/>
    </w:rPr>
  </w:style>
  <w:style w:type="character" w:customStyle="1" w:styleId="ad">
    <w:name w:val="批注主题 字符"/>
    <w:basedOn w:val="ab"/>
    <w:link w:val="ac"/>
    <w:rsid w:val="000C7FF9"/>
    <w:rPr>
      <w:b/>
      <w:bCs/>
      <w:sz w:val="24"/>
      <w:szCs w:val="24"/>
    </w:rPr>
  </w:style>
  <w:style w:type="character" w:styleId="ae">
    <w:name w:val="Hyperlink"/>
    <w:basedOn w:val="a0"/>
    <w:uiPriority w:val="99"/>
    <w:unhideWhenUsed/>
    <w:rsid w:val="0059312D"/>
    <w:rPr>
      <w:color w:val="0000FF"/>
      <w:u w:val="single"/>
    </w:rPr>
  </w:style>
  <w:style w:type="character" w:styleId="af">
    <w:name w:val="Unresolved Mention"/>
    <w:basedOn w:val="a0"/>
    <w:uiPriority w:val="99"/>
    <w:semiHidden/>
    <w:unhideWhenUsed/>
    <w:rsid w:val="00A60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30/i5/424.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rav175@aucklanduni.ac.nz" TargetMode="External"/><Relationship Id="rId11" Type="http://schemas.openxmlformats.org/officeDocument/2006/relationships/image" Target="media/image3.png"/><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12</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 Rostami</dc:creator>
  <cp:lastModifiedBy>A9487</cp:lastModifiedBy>
  <cp:revision>101</cp:revision>
  <dcterms:created xsi:type="dcterms:W3CDTF">2024-01-10T22:28:00Z</dcterms:created>
  <dcterms:modified xsi:type="dcterms:W3CDTF">2024-01-30T10:03:00Z</dcterms:modified>
</cp:coreProperties>
</file>