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03" w:rsidRPr="00B977AE" w:rsidRDefault="007C2003" w:rsidP="004D1284">
      <w:pPr>
        <w:spacing w:line="360" w:lineRule="auto"/>
        <w:jc w:val="both"/>
        <w:rPr>
          <w:rFonts w:ascii="Book Antiqua" w:hAnsi="Book Antiqua" w:cs="Tahoma"/>
          <w:b/>
          <w:color w:val="000000"/>
          <w:sz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r w:rsidRPr="00B977AE">
        <w:rPr>
          <w:rFonts w:ascii="Book Antiqua" w:hAnsi="Book Antiqua" w:cs="Tahoma"/>
          <w:b/>
          <w:color w:val="0000FF"/>
          <w:sz w:val="24"/>
        </w:rPr>
        <w:t xml:space="preserve">Name of journal: </w:t>
      </w:r>
      <w:r w:rsidRPr="00B977AE">
        <w:rPr>
          <w:rFonts w:ascii="Book Antiqua" w:hAnsi="Book Antiqua" w:cs="Tahoma"/>
          <w:b/>
          <w:color w:val="000000"/>
          <w:sz w:val="24"/>
        </w:rPr>
        <w:t>World Journal of Hepatology</w:t>
      </w:r>
    </w:p>
    <w:p w:rsidR="007C2003" w:rsidRPr="00B977AE" w:rsidRDefault="007C2003" w:rsidP="004D1284">
      <w:pPr>
        <w:spacing w:line="360" w:lineRule="auto"/>
        <w:jc w:val="both"/>
        <w:rPr>
          <w:rFonts w:ascii="Book Antiqua" w:hAnsi="Book Antiqua" w:cs="Tahoma"/>
          <w:b/>
          <w:color w:val="0000FF"/>
          <w:sz w:val="24"/>
          <w:lang w:eastAsia="zh-CN"/>
        </w:rPr>
      </w:pPr>
      <w:bookmarkStart w:id="43" w:name="OLE_LINK298"/>
      <w:bookmarkStart w:id="44" w:name="OLE_LINK299"/>
      <w:r w:rsidRPr="00B977AE">
        <w:rPr>
          <w:rFonts w:ascii="Book Antiqua" w:hAnsi="Book Antiqua" w:cs="Tahoma"/>
          <w:b/>
          <w:color w:val="0000FF"/>
          <w:sz w:val="24"/>
        </w:rPr>
        <w:t>ESPS Manuscript NO:</w:t>
      </w:r>
      <w:bookmarkEnd w:id="43"/>
      <w:bookmarkEnd w:id="44"/>
      <w:r w:rsidRPr="00B977AE">
        <w:rPr>
          <w:rFonts w:ascii="Book Antiqua" w:hAnsi="Book Antiqua" w:cs="Tahoma"/>
          <w:b/>
          <w:color w:val="0000FF"/>
          <w:sz w:val="24"/>
        </w:rPr>
        <w:t xml:space="preserve"> </w:t>
      </w:r>
      <w:r w:rsidRPr="00B977AE">
        <w:rPr>
          <w:rFonts w:ascii="Book Antiqua" w:hAnsi="Book Antiqua" w:cs="Tahoma"/>
          <w:b/>
          <w:color w:val="0000FF"/>
          <w:sz w:val="24"/>
          <w:lang w:eastAsia="zh-CN"/>
        </w:rPr>
        <w:t>9392</w:t>
      </w:r>
    </w:p>
    <w:p w:rsidR="008306E0" w:rsidRPr="00B977AE" w:rsidRDefault="007C2003" w:rsidP="004D1284">
      <w:pPr>
        <w:spacing w:line="360" w:lineRule="auto"/>
        <w:jc w:val="both"/>
        <w:rPr>
          <w:rFonts w:ascii="Book Antiqua" w:hAnsi="Book Antiqua"/>
          <w:b/>
          <w:color w:val="000000"/>
          <w:sz w:val="24"/>
          <w:szCs w:val="24"/>
        </w:rPr>
      </w:pPr>
      <w:r w:rsidRPr="00B977AE">
        <w:rPr>
          <w:rFonts w:ascii="Book Antiqua" w:hAnsi="Book Antiqua" w:cs="Tahoma"/>
          <w:b/>
          <w:color w:val="0000FF"/>
          <w:sz w:val="24"/>
        </w:rPr>
        <w:t>Columns:</w:t>
      </w:r>
      <w:bookmarkStart w:id="45" w:name="OLE_LINK461"/>
      <w:bookmarkStart w:id="46" w:name="OLE_LINK462"/>
      <w:r w:rsidRPr="00B977AE">
        <w:rPr>
          <w:rFonts w:ascii="Book Antiqua" w:hAnsi="Book Antiqua" w:cs="Tahoma"/>
          <w:b/>
          <w:color w:val="0000FF"/>
          <w:sz w:val="24"/>
        </w:rPr>
        <w:t xml:space="preserve"> </w:t>
      </w:r>
      <w:bookmarkStart w:id="47" w:name="OLE_LINK508"/>
      <w:bookmarkStart w:id="48" w:name="OLE_LINK509"/>
      <w:bookmarkEnd w:id="45"/>
      <w:bookmarkEnd w:id="46"/>
      <w:r w:rsidR="008306E0" w:rsidRPr="00B977AE">
        <w:rPr>
          <w:rFonts w:ascii="Book Antiqua" w:hAnsi="Book Antiqua"/>
          <w:b/>
          <w:color w:val="000000"/>
          <w:sz w:val="24"/>
          <w:szCs w:val="24"/>
        </w:rPr>
        <w:t xml:space="preserve">Systematic Reviews </w:t>
      </w:r>
      <w:bookmarkEnd w:id="47"/>
      <w:bookmarkEnd w:id="48"/>
    </w:p>
    <w:p w:rsidR="004F20C2" w:rsidRPr="00B977AE" w:rsidRDefault="004F20C2" w:rsidP="004D1284">
      <w:pPr>
        <w:spacing w:line="360" w:lineRule="auto"/>
        <w:jc w:val="both"/>
        <w:rPr>
          <w:rFonts w:ascii="Book Antiqua" w:hAnsi="Book Antiqua" w:cs="Arial"/>
          <w:b/>
          <w:bCs/>
          <w:sz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850E51" w:rsidRPr="00B977AE" w:rsidRDefault="00850E51" w:rsidP="004D1284">
      <w:pPr>
        <w:spacing w:line="360" w:lineRule="auto"/>
        <w:jc w:val="both"/>
        <w:rPr>
          <w:rFonts w:ascii="Book Antiqua" w:hAnsi="Book Antiqua"/>
          <w:sz w:val="24"/>
          <w:lang w:val="en-US" w:eastAsia="zh-CN"/>
        </w:rPr>
      </w:pPr>
      <w:r w:rsidRPr="00B977AE">
        <w:rPr>
          <w:rFonts w:ascii="Book Antiqua" w:hAnsi="Book Antiqua"/>
          <w:sz w:val="24"/>
          <w:lang w:val="en-US"/>
        </w:rPr>
        <w:t xml:space="preserve">Assessing liver injury associated with </w:t>
      </w:r>
      <w:proofErr w:type="spellStart"/>
      <w:r w:rsidRPr="00B977AE">
        <w:rPr>
          <w:rFonts w:ascii="Book Antiqua" w:hAnsi="Book Antiqua"/>
          <w:sz w:val="24"/>
          <w:lang w:val="en-US"/>
        </w:rPr>
        <w:t>anti</w:t>
      </w:r>
      <w:r w:rsidR="001109A9" w:rsidRPr="00B977AE">
        <w:rPr>
          <w:rFonts w:ascii="Book Antiqua" w:hAnsi="Book Antiqua"/>
          <w:sz w:val="24"/>
          <w:lang w:val="en-US"/>
        </w:rPr>
        <w:t>mycotic</w:t>
      </w:r>
      <w:r w:rsidRPr="00B977AE">
        <w:rPr>
          <w:rFonts w:ascii="Book Antiqua" w:hAnsi="Book Antiqua"/>
          <w:sz w:val="24"/>
          <w:lang w:val="en-US"/>
        </w:rPr>
        <w:t>s</w:t>
      </w:r>
      <w:proofErr w:type="spellEnd"/>
      <w:r w:rsidRPr="00B977AE">
        <w:rPr>
          <w:rFonts w:ascii="Book Antiqua" w:hAnsi="Book Antiqua"/>
          <w:sz w:val="24"/>
          <w:lang w:val="en-US"/>
        </w:rPr>
        <w:t xml:space="preserve">: </w:t>
      </w:r>
      <w:r w:rsidR="00283947" w:rsidRPr="00B977AE">
        <w:rPr>
          <w:rFonts w:ascii="Book Antiqua" w:hAnsi="Book Antiqua"/>
          <w:sz w:val="24"/>
          <w:lang w:val="en-US"/>
        </w:rPr>
        <w:t>C</w:t>
      </w:r>
      <w:r w:rsidR="0029020E" w:rsidRPr="00B977AE">
        <w:rPr>
          <w:rFonts w:ascii="Book Antiqua" w:hAnsi="Book Antiqua"/>
          <w:sz w:val="24"/>
          <w:lang w:val="en-US"/>
        </w:rPr>
        <w:t xml:space="preserve">oncise literature review and </w:t>
      </w:r>
      <w:r w:rsidRPr="00B977AE">
        <w:rPr>
          <w:rFonts w:ascii="Book Antiqua" w:hAnsi="Book Antiqua"/>
          <w:sz w:val="24"/>
          <w:lang w:val="en-US"/>
        </w:rPr>
        <w:t>clues from data mining of the FAERS database</w:t>
      </w:r>
    </w:p>
    <w:p w:rsidR="00027B19" w:rsidRPr="00B977AE" w:rsidRDefault="00027B19" w:rsidP="004D1284">
      <w:pPr>
        <w:spacing w:line="360" w:lineRule="auto"/>
        <w:jc w:val="both"/>
        <w:rPr>
          <w:rFonts w:ascii="Book Antiqua" w:hAnsi="Book Antiqua"/>
          <w:sz w:val="24"/>
          <w:lang w:val="en-US" w:eastAsia="zh-CN"/>
        </w:rPr>
      </w:pPr>
    </w:p>
    <w:p w:rsidR="003235A5" w:rsidRPr="00B977AE" w:rsidRDefault="003171F1" w:rsidP="004D1284">
      <w:pPr>
        <w:autoSpaceDE w:val="0"/>
        <w:autoSpaceDN w:val="0"/>
        <w:adjustRightInd w:val="0"/>
        <w:spacing w:line="360" w:lineRule="auto"/>
        <w:jc w:val="both"/>
        <w:rPr>
          <w:rFonts w:ascii="Book Antiqua" w:hAnsi="Book Antiqua" w:cs="Arial"/>
          <w:i/>
          <w:sz w:val="24"/>
          <w:szCs w:val="20"/>
          <w:lang w:val="en-US"/>
        </w:rPr>
      </w:pPr>
      <w:r w:rsidRPr="00B977AE">
        <w:rPr>
          <w:rFonts w:ascii="Book Antiqua" w:hAnsi="Book Antiqua"/>
          <w:sz w:val="24"/>
        </w:rPr>
        <w:t>Raschi</w:t>
      </w:r>
      <w:r w:rsidRPr="00B977AE">
        <w:rPr>
          <w:rFonts w:ascii="Book Antiqua" w:hAnsi="Book Antiqua"/>
          <w:sz w:val="24"/>
          <w:lang w:eastAsia="zh-CN"/>
        </w:rPr>
        <w:t xml:space="preserve"> E </w:t>
      </w:r>
      <w:r w:rsidR="008D476C" w:rsidRPr="00B977AE">
        <w:rPr>
          <w:rFonts w:ascii="Book Antiqua" w:hAnsi="Book Antiqua"/>
          <w:i/>
          <w:sz w:val="24"/>
          <w:lang w:eastAsia="zh-CN"/>
        </w:rPr>
        <w:t>et al</w:t>
      </w:r>
      <w:r w:rsidRPr="00B977AE">
        <w:rPr>
          <w:rFonts w:ascii="Book Antiqua" w:hAnsi="Book Antiqua"/>
          <w:sz w:val="24"/>
          <w:lang w:eastAsia="zh-CN"/>
        </w:rPr>
        <w:t>.</w:t>
      </w:r>
      <w:r w:rsidR="003235A5" w:rsidRPr="00B977AE">
        <w:rPr>
          <w:rFonts w:ascii="Book Antiqua" w:hAnsi="Book Antiqua" w:cs="Arial"/>
          <w:i/>
          <w:sz w:val="24"/>
          <w:szCs w:val="20"/>
          <w:lang w:val="en-US"/>
        </w:rPr>
        <w:t xml:space="preserve"> </w:t>
      </w:r>
      <w:proofErr w:type="spellStart"/>
      <w:r w:rsidRPr="00B977AE">
        <w:rPr>
          <w:rFonts w:ascii="Book Antiqua" w:hAnsi="Book Antiqua" w:cs="Arial"/>
          <w:sz w:val="24"/>
          <w:szCs w:val="20"/>
          <w:lang w:val="en-US"/>
        </w:rPr>
        <w:t>A</w:t>
      </w:r>
      <w:r w:rsidR="003235A5" w:rsidRPr="00B977AE">
        <w:rPr>
          <w:rFonts w:ascii="Book Antiqua" w:hAnsi="Book Antiqua" w:cs="Arial"/>
          <w:sz w:val="24"/>
          <w:szCs w:val="20"/>
          <w:lang w:val="en-US"/>
        </w:rPr>
        <w:t>ntimycotics</w:t>
      </w:r>
      <w:proofErr w:type="spellEnd"/>
      <w:r w:rsidR="003235A5" w:rsidRPr="00B977AE">
        <w:rPr>
          <w:rFonts w:ascii="Book Antiqua" w:hAnsi="Book Antiqua" w:cs="Arial"/>
          <w:sz w:val="24"/>
          <w:szCs w:val="20"/>
          <w:lang w:val="en-US"/>
        </w:rPr>
        <w:t xml:space="preserve"> and liver injury</w:t>
      </w:r>
    </w:p>
    <w:p w:rsidR="003235A5" w:rsidRPr="00B977AE" w:rsidRDefault="003235A5" w:rsidP="004D1284">
      <w:pPr>
        <w:spacing w:line="360" w:lineRule="auto"/>
        <w:jc w:val="both"/>
        <w:rPr>
          <w:rFonts w:ascii="Book Antiqua" w:hAnsi="Book Antiqua"/>
          <w:sz w:val="24"/>
          <w:lang w:val="en-US" w:eastAsia="zh-CN"/>
        </w:rPr>
      </w:pPr>
    </w:p>
    <w:p w:rsidR="00BD42EE" w:rsidRPr="00B977AE" w:rsidRDefault="007D45D4" w:rsidP="004D1284">
      <w:pPr>
        <w:spacing w:line="360" w:lineRule="auto"/>
        <w:jc w:val="both"/>
        <w:rPr>
          <w:rFonts w:ascii="Book Antiqua" w:hAnsi="Book Antiqua"/>
          <w:sz w:val="24"/>
        </w:rPr>
      </w:pPr>
      <w:r w:rsidRPr="00B977AE">
        <w:rPr>
          <w:rFonts w:ascii="Book Antiqua" w:hAnsi="Book Antiqua"/>
          <w:sz w:val="24"/>
        </w:rPr>
        <w:t>E</w:t>
      </w:r>
      <w:r w:rsidR="00B0367B" w:rsidRPr="00B977AE">
        <w:rPr>
          <w:rFonts w:ascii="Book Antiqua" w:hAnsi="Book Antiqua"/>
          <w:sz w:val="24"/>
        </w:rPr>
        <w:t xml:space="preserve">manuel </w:t>
      </w:r>
      <w:r w:rsidRPr="00B977AE">
        <w:rPr>
          <w:rFonts w:ascii="Book Antiqua" w:hAnsi="Book Antiqua"/>
          <w:sz w:val="24"/>
        </w:rPr>
        <w:t>R</w:t>
      </w:r>
      <w:r w:rsidR="00B0367B" w:rsidRPr="00B977AE">
        <w:rPr>
          <w:rFonts w:ascii="Book Antiqua" w:hAnsi="Book Antiqua"/>
          <w:sz w:val="24"/>
        </w:rPr>
        <w:t>aschi</w:t>
      </w:r>
      <w:r w:rsidRPr="00B977AE">
        <w:rPr>
          <w:rFonts w:ascii="Book Antiqua" w:hAnsi="Book Antiqua"/>
          <w:sz w:val="24"/>
        </w:rPr>
        <w:t>,</w:t>
      </w:r>
      <w:r w:rsidR="00B0367B" w:rsidRPr="00B977AE">
        <w:rPr>
          <w:rFonts w:ascii="Book Antiqua" w:hAnsi="Book Antiqua"/>
          <w:sz w:val="24"/>
        </w:rPr>
        <w:t xml:space="preserve"> </w:t>
      </w:r>
      <w:r w:rsidRPr="00B977AE">
        <w:rPr>
          <w:rFonts w:ascii="Book Antiqua" w:hAnsi="Book Antiqua"/>
          <w:sz w:val="24"/>
        </w:rPr>
        <w:t>E</w:t>
      </w:r>
      <w:r w:rsidR="00B0367B" w:rsidRPr="00B977AE">
        <w:rPr>
          <w:rFonts w:ascii="Book Antiqua" w:hAnsi="Book Antiqua"/>
          <w:sz w:val="24"/>
        </w:rPr>
        <w:t xml:space="preserve">lisabetta </w:t>
      </w:r>
      <w:r w:rsidRPr="00B977AE">
        <w:rPr>
          <w:rFonts w:ascii="Book Antiqua" w:hAnsi="Book Antiqua"/>
          <w:sz w:val="24"/>
        </w:rPr>
        <w:t>P</w:t>
      </w:r>
      <w:r w:rsidR="00B0367B" w:rsidRPr="00B977AE">
        <w:rPr>
          <w:rFonts w:ascii="Book Antiqua" w:hAnsi="Book Antiqua"/>
          <w:sz w:val="24"/>
        </w:rPr>
        <w:t>oluzzi</w:t>
      </w:r>
      <w:r w:rsidRPr="00B977AE">
        <w:rPr>
          <w:rFonts w:ascii="Book Antiqua" w:hAnsi="Book Antiqua"/>
          <w:sz w:val="24"/>
        </w:rPr>
        <w:t>,</w:t>
      </w:r>
      <w:r w:rsidR="00B0367B" w:rsidRPr="00B977AE">
        <w:rPr>
          <w:rFonts w:ascii="Book Antiqua" w:hAnsi="Book Antiqua"/>
          <w:sz w:val="24"/>
        </w:rPr>
        <w:t xml:space="preserve"> </w:t>
      </w:r>
      <w:r w:rsidRPr="00B977AE">
        <w:rPr>
          <w:rFonts w:ascii="Book Antiqua" w:hAnsi="Book Antiqua"/>
          <w:sz w:val="24"/>
        </w:rPr>
        <w:t>A</w:t>
      </w:r>
      <w:r w:rsidR="00B0367B" w:rsidRPr="00B977AE">
        <w:rPr>
          <w:rFonts w:ascii="Book Antiqua" w:hAnsi="Book Antiqua"/>
          <w:sz w:val="24"/>
        </w:rPr>
        <w:t xml:space="preserve">riola </w:t>
      </w:r>
      <w:r w:rsidRPr="00B977AE">
        <w:rPr>
          <w:rFonts w:ascii="Book Antiqua" w:hAnsi="Book Antiqua"/>
          <w:sz w:val="24"/>
        </w:rPr>
        <w:t>K</w:t>
      </w:r>
      <w:r w:rsidR="00B0367B" w:rsidRPr="00B977AE">
        <w:rPr>
          <w:rFonts w:ascii="Book Antiqua" w:hAnsi="Book Antiqua"/>
          <w:sz w:val="24"/>
        </w:rPr>
        <w:t>oci</w:t>
      </w:r>
      <w:r w:rsidR="00BD2D58" w:rsidRPr="00B977AE">
        <w:rPr>
          <w:rFonts w:ascii="Book Antiqua" w:hAnsi="Book Antiqua"/>
          <w:sz w:val="24"/>
        </w:rPr>
        <w:t>, Paolo Caraceni</w:t>
      </w:r>
      <w:r w:rsidRPr="00B977AE">
        <w:rPr>
          <w:rFonts w:ascii="Book Antiqua" w:hAnsi="Book Antiqua"/>
          <w:sz w:val="24"/>
        </w:rPr>
        <w:t>, F</w:t>
      </w:r>
      <w:r w:rsidR="00B0367B" w:rsidRPr="00B977AE">
        <w:rPr>
          <w:rFonts w:ascii="Book Antiqua" w:hAnsi="Book Antiqua"/>
          <w:sz w:val="24"/>
        </w:rPr>
        <w:t xml:space="preserve">abrizio </w:t>
      </w:r>
      <w:r w:rsidRPr="00B977AE">
        <w:rPr>
          <w:rFonts w:ascii="Book Antiqua" w:hAnsi="Book Antiqua"/>
          <w:sz w:val="24"/>
        </w:rPr>
        <w:t>D</w:t>
      </w:r>
      <w:r w:rsidR="00B0367B" w:rsidRPr="00B977AE">
        <w:rPr>
          <w:rFonts w:ascii="Book Antiqua" w:hAnsi="Book Antiqua"/>
          <w:sz w:val="24"/>
        </w:rPr>
        <w:t xml:space="preserve">e </w:t>
      </w:r>
      <w:r w:rsidRPr="00B977AE">
        <w:rPr>
          <w:rFonts w:ascii="Book Antiqua" w:hAnsi="Book Antiqua"/>
          <w:sz w:val="24"/>
        </w:rPr>
        <w:t>P</w:t>
      </w:r>
      <w:r w:rsidR="00B0367B" w:rsidRPr="00B977AE">
        <w:rPr>
          <w:rFonts w:ascii="Book Antiqua" w:hAnsi="Book Antiqua"/>
          <w:sz w:val="24"/>
        </w:rPr>
        <w:t>onti</w:t>
      </w:r>
    </w:p>
    <w:p w:rsidR="007D45D4" w:rsidRPr="00B977AE" w:rsidRDefault="007D45D4" w:rsidP="004D1284">
      <w:pPr>
        <w:spacing w:line="360" w:lineRule="auto"/>
        <w:jc w:val="both"/>
        <w:rPr>
          <w:rFonts w:ascii="Book Antiqua" w:hAnsi="Book Antiqua"/>
          <w:sz w:val="24"/>
        </w:rPr>
      </w:pPr>
    </w:p>
    <w:p w:rsidR="002F2CD5" w:rsidRPr="00B977AE" w:rsidRDefault="00274747" w:rsidP="004D1284">
      <w:pPr>
        <w:spacing w:line="360" w:lineRule="auto"/>
        <w:jc w:val="both"/>
        <w:rPr>
          <w:rFonts w:ascii="Book Antiqua" w:hAnsi="Book Antiqua" w:cs="Arial"/>
          <w:b/>
          <w:sz w:val="24"/>
          <w:szCs w:val="20"/>
          <w:lang w:val="en-US"/>
        </w:rPr>
      </w:pPr>
      <w:r w:rsidRPr="00B977AE">
        <w:rPr>
          <w:rFonts w:ascii="Book Antiqua" w:hAnsi="Book Antiqua"/>
          <w:b/>
          <w:sz w:val="24"/>
        </w:rPr>
        <w:t>Emanuel Raschi, Elisabetta Poluzzi, Ariola Koci, Paolo Caraceni, Fabrizio De Ponti</w:t>
      </w:r>
      <w:r w:rsidRPr="00B977AE">
        <w:rPr>
          <w:rFonts w:ascii="Book Antiqua" w:hAnsi="Book Antiqua"/>
          <w:b/>
          <w:sz w:val="24"/>
          <w:lang w:eastAsia="zh-CN"/>
        </w:rPr>
        <w:t xml:space="preserve">, </w:t>
      </w:r>
      <w:r w:rsidR="007F6D55" w:rsidRPr="00B977AE">
        <w:rPr>
          <w:rFonts w:ascii="Book Antiqua" w:hAnsi="Book Antiqua" w:cs="Arial"/>
          <w:sz w:val="24"/>
          <w:szCs w:val="20"/>
          <w:lang w:val="en-US"/>
        </w:rPr>
        <w:t>Pharmacology Unit</w:t>
      </w:r>
      <w:r w:rsidR="007F6D55" w:rsidRPr="00B977AE">
        <w:rPr>
          <w:rFonts w:ascii="Book Antiqua" w:hAnsi="Book Antiqua" w:cs="Arial"/>
          <w:sz w:val="24"/>
          <w:szCs w:val="20"/>
          <w:lang w:val="en-US" w:eastAsia="zh-CN"/>
        </w:rPr>
        <w:t>,</w:t>
      </w:r>
      <w:r w:rsidR="007F6D55" w:rsidRPr="00B977AE">
        <w:rPr>
          <w:rFonts w:ascii="Book Antiqua" w:hAnsi="Book Antiqua" w:cs="Arial"/>
          <w:sz w:val="24"/>
          <w:szCs w:val="20"/>
          <w:lang w:val="en-US"/>
        </w:rPr>
        <w:t xml:space="preserve"> </w:t>
      </w:r>
      <w:r w:rsidR="00BF0B4C" w:rsidRPr="00B977AE">
        <w:rPr>
          <w:rFonts w:ascii="Book Antiqua" w:hAnsi="Book Antiqua" w:cs="Arial"/>
          <w:sz w:val="24"/>
          <w:szCs w:val="20"/>
          <w:lang w:val="en-US"/>
        </w:rPr>
        <w:t>Department of Medical and Surgical Sciences</w:t>
      </w:r>
      <w:r w:rsidR="00662246" w:rsidRPr="00B977AE">
        <w:rPr>
          <w:rFonts w:ascii="Book Antiqua" w:hAnsi="Book Antiqua" w:cs="Arial"/>
          <w:sz w:val="24"/>
          <w:szCs w:val="20"/>
          <w:lang w:val="en-US" w:eastAsia="zh-CN"/>
        </w:rPr>
        <w:t>,</w:t>
      </w:r>
      <w:r w:rsidR="005F6D58" w:rsidRPr="00B977AE">
        <w:rPr>
          <w:rFonts w:ascii="Book Antiqua" w:hAnsi="Book Antiqua" w:cs="Arial"/>
          <w:sz w:val="24"/>
          <w:szCs w:val="20"/>
          <w:lang w:val="en-US"/>
        </w:rPr>
        <w:t xml:space="preserve"> Alma Mater </w:t>
      </w:r>
      <w:proofErr w:type="spellStart"/>
      <w:r w:rsidR="005F6D58" w:rsidRPr="00B977AE">
        <w:rPr>
          <w:rFonts w:ascii="Book Antiqua" w:hAnsi="Book Antiqua" w:cs="Arial"/>
          <w:sz w:val="24"/>
          <w:szCs w:val="20"/>
          <w:lang w:val="en-US"/>
        </w:rPr>
        <w:t>Studiorum</w:t>
      </w:r>
      <w:proofErr w:type="spellEnd"/>
      <w:r w:rsidR="005F6D58" w:rsidRPr="00B977AE">
        <w:rPr>
          <w:rFonts w:ascii="Book Antiqua" w:hAnsi="Book Antiqua" w:cs="Arial"/>
          <w:sz w:val="24"/>
          <w:szCs w:val="20"/>
          <w:lang w:val="en-US" w:eastAsia="zh-CN"/>
        </w:rPr>
        <w:t>,</w:t>
      </w:r>
      <w:r w:rsidR="00662246" w:rsidRPr="00B977AE">
        <w:rPr>
          <w:rFonts w:ascii="Book Antiqua" w:hAnsi="Book Antiqua" w:cs="Arial"/>
          <w:sz w:val="24"/>
          <w:szCs w:val="20"/>
          <w:lang w:val="en-US" w:eastAsia="zh-CN"/>
        </w:rPr>
        <w:t xml:space="preserve"> </w:t>
      </w:r>
      <w:r w:rsidR="00BF0B4C" w:rsidRPr="00B977AE">
        <w:rPr>
          <w:rFonts w:ascii="Book Antiqua" w:hAnsi="Book Antiqua" w:cs="Arial"/>
          <w:sz w:val="24"/>
          <w:szCs w:val="20"/>
          <w:lang w:val="en-US"/>
        </w:rPr>
        <w:t xml:space="preserve">University of Bologna, </w:t>
      </w:r>
      <w:r w:rsidR="00DB3897" w:rsidRPr="00B977AE">
        <w:rPr>
          <w:rFonts w:ascii="Book Antiqua" w:hAnsi="Book Antiqua" w:cs="Arial"/>
          <w:sz w:val="24"/>
          <w:szCs w:val="20"/>
        </w:rPr>
        <w:t>I-40126 Bologna BO</w:t>
      </w:r>
      <w:r w:rsidR="00DB3897" w:rsidRPr="00B977AE">
        <w:rPr>
          <w:rFonts w:ascii="Book Antiqua" w:hAnsi="Book Antiqua" w:cs="Arial"/>
          <w:sz w:val="24"/>
          <w:szCs w:val="20"/>
          <w:lang w:eastAsia="zh-CN"/>
        </w:rPr>
        <w:t xml:space="preserve">, </w:t>
      </w:r>
      <w:r w:rsidR="00BF0B4C" w:rsidRPr="00B977AE">
        <w:rPr>
          <w:rFonts w:ascii="Book Antiqua" w:hAnsi="Book Antiqua" w:cs="Arial"/>
          <w:sz w:val="24"/>
          <w:szCs w:val="20"/>
          <w:lang w:val="en-US"/>
        </w:rPr>
        <w:t>Italy</w:t>
      </w:r>
    </w:p>
    <w:p w:rsidR="002F2CD5" w:rsidRPr="00B977AE" w:rsidRDefault="002F2CD5" w:rsidP="004D1284">
      <w:pPr>
        <w:spacing w:line="360" w:lineRule="auto"/>
        <w:jc w:val="both"/>
        <w:rPr>
          <w:rFonts w:ascii="Book Antiqua" w:hAnsi="Book Antiqua" w:cs="Arial"/>
          <w:b/>
          <w:sz w:val="24"/>
          <w:szCs w:val="20"/>
          <w:lang w:val="en-US"/>
        </w:rPr>
      </w:pPr>
    </w:p>
    <w:p w:rsidR="002F2CD5" w:rsidRPr="00B977AE" w:rsidRDefault="002F2CD5" w:rsidP="004D1284">
      <w:pPr>
        <w:spacing w:line="360" w:lineRule="auto"/>
        <w:jc w:val="both"/>
        <w:rPr>
          <w:rFonts w:ascii="Book Antiqua" w:hAnsi="Book Antiqua" w:cs="Arial"/>
          <w:b/>
          <w:sz w:val="24"/>
          <w:szCs w:val="20"/>
          <w:lang w:val="en-US"/>
        </w:rPr>
      </w:pPr>
      <w:r w:rsidRPr="00B977AE">
        <w:rPr>
          <w:rFonts w:ascii="Book Antiqua" w:hAnsi="Book Antiqua" w:cs="Arial"/>
          <w:b/>
          <w:sz w:val="24"/>
          <w:szCs w:val="20"/>
          <w:lang w:val="en-US"/>
        </w:rPr>
        <w:t>Author contributions:</w:t>
      </w:r>
      <w:r w:rsidR="00FB2690" w:rsidRPr="00B977AE">
        <w:rPr>
          <w:rFonts w:ascii="Book Antiqua" w:hAnsi="Book Antiqua" w:cs="Arial"/>
          <w:b/>
          <w:sz w:val="24"/>
          <w:szCs w:val="20"/>
          <w:lang w:val="en-US"/>
        </w:rPr>
        <w:t xml:space="preserve"> </w:t>
      </w:r>
      <w:r w:rsidR="003E711A" w:rsidRPr="00B977AE">
        <w:rPr>
          <w:rFonts w:ascii="Book Antiqua" w:hAnsi="Book Antiqua"/>
          <w:sz w:val="24"/>
        </w:rPr>
        <w:t>Raschi</w:t>
      </w:r>
      <w:r w:rsidR="003E711A" w:rsidRPr="00B977AE">
        <w:rPr>
          <w:rFonts w:ascii="Book Antiqua" w:hAnsi="Book Antiqua"/>
          <w:sz w:val="24"/>
          <w:lang w:eastAsia="zh-CN"/>
        </w:rPr>
        <w:t xml:space="preserve"> E</w:t>
      </w:r>
      <w:r w:rsidR="00FB2690" w:rsidRPr="00B977AE">
        <w:rPr>
          <w:rFonts w:ascii="Book Antiqua" w:hAnsi="Book Antiqua" w:cs="Arial"/>
          <w:sz w:val="24"/>
          <w:szCs w:val="20"/>
          <w:lang w:val="en-US"/>
        </w:rPr>
        <w:t xml:space="preserve"> and </w:t>
      </w:r>
      <w:r w:rsidR="003E711A" w:rsidRPr="00B977AE">
        <w:rPr>
          <w:rFonts w:ascii="Book Antiqua" w:hAnsi="Book Antiqua"/>
          <w:sz w:val="24"/>
        </w:rPr>
        <w:t>De Ponti</w:t>
      </w:r>
      <w:r w:rsidR="003E711A" w:rsidRPr="00B977AE">
        <w:rPr>
          <w:rFonts w:ascii="Book Antiqua" w:hAnsi="Book Antiqua"/>
          <w:sz w:val="24"/>
          <w:lang w:eastAsia="zh-CN"/>
        </w:rPr>
        <w:t xml:space="preserve"> F</w:t>
      </w:r>
      <w:r w:rsidR="00FB2690" w:rsidRPr="00B977AE">
        <w:rPr>
          <w:rFonts w:ascii="Book Antiqua" w:hAnsi="Book Antiqua" w:cs="Arial"/>
          <w:sz w:val="24"/>
          <w:szCs w:val="20"/>
          <w:lang w:val="en-US"/>
        </w:rPr>
        <w:t xml:space="preserve"> conceived the study; </w:t>
      </w:r>
      <w:r w:rsidR="003E711A" w:rsidRPr="00B977AE">
        <w:rPr>
          <w:rFonts w:ascii="Book Antiqua" w:hAnsi="Book Antiqua"/>
          <w:sz w:val="24"/>
        </w:rPr>
        <w:t>Koci</w:t>
      </w:r>
      <w:r w:rsidR="003E711A" w:rsidRPr="00B977AE">
        <w:rPr>
          <w:rFonts w:ascii="Book Antiqua" w:hAnsi="Book Antiqua"/>
          <w:sz w:val="24"/>
          <w:lang w:eastAsia="zh-CN"/>
        </w:rPr>
        <w:t xml:space="preserve"> A</w:t>
      </w:r>
      <w:r w:rsidR="00FB2690" w:rsidRPr="00B977AE">
        <w:rPr>
          <w:rFonts w:ascii="Book Antiqua" w:hAnsi="Book Antiqua" w:cs="Arial"/>
          <w:sz w:val="24"/>
          <w:szCs w:val="20"/>
          <w:lang w:val="en-US"/>
        </w:rPr>
        <w:t xml:space="preserve"> extracted data and performed statistical analysis; </w:t>
      </w:r>
      <w:r w:rsidR="00DB76FE" w:rsidRPr="00B977AE">
        <w:rPr>
          <w:rFonts w:ascii="Book Antiqua" w:hAnsi="Book Antiqua"/>
          <w:sz w:val="24"/>
        </w:rPr>
        <w:t>Raschi</w:t>
      </w:r>
      <w:r w:rsidR="00DB76FE" w:rsidRPr="00B977AE">
        <w:rPr>
          <w:rFonts w:ascii="Book Antiqua" w:hAnsi="Book Antiqua"/>
          <w:sz w:val="24"/>
          <w:lang w:eastAsia="zh-CN"/>
        </w:rPr>
        <w:t xml:space="preserve"> E</w:t>
      </w:r>
      <w:r w:rsidR="00FB2690" w:rsidRPr="00B977AE">
        <w:rPr>
          <w:rFonts w:ascii="Book Antiqua" w:hAnsi="Book Antiqua" w:cs="Arial"/>
          <w:sz w:val="24"/>
          <w:szCs w:val="20"/>
          <w:lang w:val="en-US"/>
        </w:rPr>
        <w:t xml:space="preserve"> drafted the first version of the manuscript; </w:t>
      </w:r>
      <w:r w:rsidR="007C2DF2" w:rsidRPr="00B977AE">
        <w:rPr>
          <w:rFonts w:ascii="Book Antiqua" w:hAnsi="Book Antiqua"/>
          <w:sz w:val="24"/>
        </w:rPr>
        <w:t>Poluzzi</w:t>
      </w:r>
      <w:r w:rsidR="007C2DF2" w:rsidRPr="00B977AE">
        <w:rPr>
          <w:rFonts w:ascii="Book Antiqua" w:hAnsi="Book Antiqua"/>
          <w:sz w:val="24"/>
          <w:lang w:eastAsia="zh-CN"/>
        </w:rPr>
        <w:t xml:space="preserve"> E</w:t>
      </w:r>
      <w:r w:rsidR="00FB2690" w:rsidRPr="00B977AE">
        <w:rPr>
          <w:rFonts w:ascii="Book Antiqua" w:hAnsi="Book Antiqua" w:cs="Arial"/>
          <w:sz w:val="24"/>
          <w:szCs w:val="20"/>
          <w:lang w:val="en-US"/>
        </w:rPr>
        <w:t xml:space="preserve">, </w:t>
      </w:r>
      <w:r w:rsidR="007C2DF2" w:rsidRPr="00B977AE">
        <w:rPr>
          <w:rFonts w:ascii="Book Antiqua" w:hAnsi="Book Antiqua"/>
          <w:sz w:val="24"/>
        </w:rPr>
        <w:t>Caraceni</w:t>
      </w:r>
      <w:r w:rsidR="007C2DF2" w:rsidRPr="00B977AE">
        <w:rPr>
          <w:rFonts w:ascii="Book Antiqua" w:hAnsi="Book Antiqua"/>
          <w:sz w:val="24"/>
          <w:lang w:eastAsia="zh-CN"/>
        </w:rPr>
        <w:t xml:space="preserve"> P</w:t>
      </w:r>
      <w:r w:rsidR="00FB2690" w:rsidRPr="00B977AE">
        <w:rPr>
          <w:rFonts w:ascii="Book Antiqua" w:hAnsi="Book Antiqua" w:cs="Arial"/>
          <w:sz w:val="24"/>
          <w:szCs w:val="20"/>
          <w:lang w:val="en-US"/>
        </w:rPr>
        <w:t xml:space="preserve"> and </w:t>
      </w:r>
      <w:r w:rsidR="007C2DF2" w:rsidRPr="00B977AE">
        <w:rPr>
          <w:rFonts w:ascii="Book Antiqua" w:hAnsi="Book Antiqua"/>
          <w:sz w:val="24"/>
        </w:rPr>
        <w:t>De Ponti</w:t>
      </w:r>
      <w:r w:rsidR="007C2DF2" w:rsidRPr="00B977AE">
        <w:rPr>
          <w:rFonts w:ascii="Book Antiqua" w:hAnsi="Book Antiqua"/>
          <w:sz w:val="24"/>
          <w:lang w:eastAsia="zh-CN"/>
        </w:rPr>
        <w:t xml:space="preserve"> F</w:t>
      </w:r>
      <w:r w:rsidR="00FB2690" w:rsidRPr="00B977AE">
        <w:rPr>
          <w:rFonts w:ascii="Book Antiqua" w:hAnsi="Book Antiqua" w:cs="Arial"/>
          <w:sz w:val="24"/>
          <w:szCs w:val="20"/>
          <w:lang w:val="en-US"/>
        </w:rPr>
        <w:t xml:space="preserve"> provided substantial contribution to the discussion; all authors provided comments to the first draft and approved the final version of the manuscript.</w:t>
      </w:r>
    </w:p>
    <w:p w:rsidR="002F2CD5" w:rsidRPr="00B977AE" w:rsidRDefault="002F2CD5" w:rsidP="004D1284">
      <w:pPr>
        <w:spacing w:line="360" w:lineRule="auto"/>
        <w:jc w:val="both"/>
        <w:rPr>
          <w:rFonts w:ascii="Book Antiqua" w:hAnsi="Book Antiqua" w:cs="Arial"/>
          <w:b/>
          <w:sz w:val="24"/>
          <w:szCs w:val="20"/>
          <w:lang w:val="en-US"/>
        </w:rPr>
      </w:pPr>
    </w:p>
    <w:p w:rsidR="004629E4" w:rsidRPr="00B977AE" w:rsidRDefault="002F2CD5" w:rsidP="004D1284">
      <w:pPr>
        <w:spacing w:line="360" w:lineRule="auto"/>
        <w:jc w:val="both"/>
        <w:rPr>
          <w:rFonts w:ascii="Book Antiqua" w:hAnsi="Book Antiqua" w:cs="Arial"/>
          <w:sz w:val="24"/>
          <w:szCs w:val="20"/>
          <w:lang w:eastAsia="zh-CN"/>
        </w:rPr>
      </w:pPr>
      <w:r w:rsidRPr="00B977AE">
        <w:rPr>
          <w:rFonts w:ascii="Book Antiqua" w:hAnsi="Book Antiqua" w:cs="Arial"/>
          <w:b/>
          <w:sz w:val="24"/>
          <w:szCs w:val="20"/>
          <w:lang w:val="en-US"/>
        </w:rPr>
        <w:t>Correspondence to:</w:t>
      </w:r>
      <w:r w:rsidR="007F6D55" w:rsidRPr="00B977AE">
        <w:rPr>
          <w:rFonts w:ascii="Book Antiqua" w:hAnsi="Book Antiqua" w:cs="Arial"/>
          <w:b/>
          <w:sz w:val="24"/>
          <w:szCs w:val="20"/>
          <w:lang w:val="en-US" w:eastAsia="zh-CN"/>
        </w:rPr>
        <w:t xml:space="preserve"> </w:t>
      </w:r>
      <w:proofErr w:type="spellStart"/>
      <w:r w:rsidR="004629E4" w:rsidRPr="00B977AE">
        <w:rPr>
          <w:rFonts w:ascii="Book Antiqua" w:hAnsi="Book Antiqua" w:cs="Arial"/>
          <w:b/>
          <w:sz w:val="24"/>
          <w:szCs w:val="20"/>
          <w:lang w:val="en-US"/>
        </w:rPr>
        <w:t>Fabrizio</w:t>
      </w:r>
      <w:proofErr w:type="spellEnd"/>
      <w:r w:rsidR="004629E4" w:rsidRPr="00B977AE">
        <w:rPr>
          <w:rFonts w:ascii="Book Antiqua" w:hAnsi="Book Antiqua" w:cs="Arial"/>
          <w:b/>
          <w:sz w:val="24"/>
          <w:szCs w:val="20"/>
          <w:lang w:val="en-US"/>
        </w:rPr>
        <w:t xml:space="preserve"> De </w:t>
      </w:r>
      <w:proofErr w:type="spellStart"/>
      <w:r w:rsidR="004629E4" w:rsidRPr="00B977AE">
        <w:rPr>
          <w:rFonts w:ascii="Book Antiqua" w:hAnsi="Book Antiqua" w:cs="Arial"/>
          <w:b/>
          <w:sz w:val="24"/>
          <w:szCs w:val="20"/>
          <w:lang w:val="en-US"/>
        </w:rPr>
        <w:t>Ponti</w:t>
      </w:r>
      <w:proofErr w:type="spellEnd"/>
      <w:r w:rsidR="004629E4" w:rsidRPr="00B977AE">
        <w:rPr>
          <w:rFonts w:ascii="Book Antiqua" w:hAnsi="Book Antiqua" w:cs="Arial"/>
          <w:b/>
          <w:sz w:val="24"/>
          <w:szCs w:val="20"/>
          <w:lang w:val="en-US"/>
        </w:rPr>
        <w:t>, MD, PhD</w:t>
      </w:r>
      <w:r w:rsidR="007F6D55" w:rsidRPr="00B977AE">
        <w:rPr>
          <w:rFonts w:ascii="Book Antiqua" w:hAnsi="Book Antiqua" w:cs="Arial"/>
          <w:b/>
          <w:sz w:val="24"/>
          <w:szCs w:val="20"/>
          <w:lang w:val="en-US" w:eastAsia="zh-CN"/>
        </w:rPr>
        <w:t xml:space="preserve">, </w:t>
      </w:r>
      <w:r w:rsidR="0035432E" w:rsidRPr="00B977AE">
        <w:rPr>
          <w:rFonts w:ascii="Book Antiqua" w:hAnsi="Book Antiqua" w:cs="Arial"/>
          <w:sz w:val="24"/>
          <w:szCs w:val="20"/>
          <w:lang w:val="en-US"/>
        </w:rPr>
        <w:t>Pharmacology Unit</w:t>
      </w:r>
      <w:r w:rsidR="007F6D55" w:rsidRPr="00B977AE">
        <w:rPr>
          <w:rFonts w:ascii="Book Antiqua" w:hAnsi="Book Antiqua" w:cs="Arial"/>
          <w:sz w:val="24"/>
          <w:szCs w:val="20"/>
          <w:lang w:val="en-US" w:eastAsia="zh-CN"/>
        </w:rPr>
        <w:t>,</w:t>
      </w:r>
      <w:r w:rsidR="0035432E" w:rsidRPr="00B977AE">
        <w:rPr>
          <w:rFonts w:ascii="Book Antiqua" w:hAnsi="Book Antiqua" w:cs="Arial"/>
          <w:sz w:val="24"/>
          <w:szCs w:val="20"/>
          <w:lang w:val="en-US"/>
        </w:rPr>
        <w:t xml:space="preserve"> </w:t>
      </w:r>
      <w:r w:rsidR="004629E4" w:rsidRPr="00B977AE">
        <w:rPr>
          <w:rFonts w:ascii="Book Antiqua" w:hAnsi="Book Antiqua" w:cs="Arial"/>
          <w:sz w:val="24"/>
          <w:szCs w:val="20"/>
          <w:lang w:val="en-US"/>
        </w:rPr>
        <w:t xml:space="preserve">Department of </w:t>
      </w:r>
      <w:r w:rsidR="0035432E" w:rsidRPr="00B977AE">
        <w:rPr>
          <w:rFonts w:ascii="Book Antiqua" w:hAnsi="Book Antiqua" w:cs="Arial"/>
          <w:sz w:val="24"/>
          <w:szCs w:val="20"/>
          <w:lang w:val="en-US"/>
        </w:rPr>
        <w:t>Medical and Surgical Sciences</w:t>
      </w:r>
      <w:r w:rsidR="007F6D55" w:rsidRPr="00B977AE">
        <w:rPr>
          <w:rFonts w:ascii="Book Antiqua" w:hAnsi="Book Antiqua" w:cs="Arial"/>
          <w:sz w:val="24"/>
          <w:szCs w:val="20"/>
          <w:lang w:val="en-US" w:eastAsia="zh-CN"/>
        </w:rPr>
        <w:t xml:space="preserve">, </w:t>
      </w:r>
      <w:r w:rsidR="004629E4" w:rsidRPr="00B977AE">
        <w:rPr>
          <w:rFonts w:ascii="Book Antiqua" w:hAnsi="Book Antiqua" w:cs="Arial"/>
          <w:sz w:val="24"/>
          <w:szCs w:val="20"/>
          <w:lang w:val="en-US"/>
        </w:rPr>
        <w:t xml:space="preserve">Alma Mater </w:t>
      </w:r>
      <w:proofErr w:type="spellStart"/>
      <w:r w:rsidR="004629E4" w:rsidRPr="00B977AE">
        <w:rPr>
          <w:rFonts w:ascii="Book Antiqua" w:hAnsi="Book Antiqua" w:cs="Arial"/>
          <w:sz w:val="24"/>
          <w:szCs w:val="20"/>
          <w:lang w:val="en-US"/>
        </w:rPr>
        <w:t>Studiorum</w:t>
      </w:r>
      <w:proofErr w:type="spellEnd"/>
      <w:r w:rsidR="007F6D55" w:rsidRPr="00B977AE">
        <w:rPr>
          <w:rFonts w:ascii="Book Antiqua" w:hAnsi="Book Antiqua" w:cs="Arial"/>
          <w:sz w:val="24"/>
          <w:szCs w:val="20"/>
          <w:lang w:val="en-US" w:eastAsia="zh-CN"/>
        </w:rPr>
        <w:t xml:space="preserve">, </w:t>
      </w:r>
      <w:r w:rsidR="004629E4" w:rsidRPr="00B977AE">
        <w:rPr>
          <w:rFonts w:ascii="Book Antiqua" w:hAnsi="Book Antiqua" w:cs="Arial"/>
          <w:sz w:val="24"/>
          <w:szCs w:val="20"/>
          <w:lang w:val="en-US"/>
        </w:rPr>
        <w:t>University of Bologna</w:t>
      </w:r>
      <w:r w:rsidR="005F6D58" w:rsidRPr="00B977AE">
        <w:rPr>
          <w:rFonts w:ascii="Book Antiqua" w:hAnsi="Book Antiqua" w:cs="Arial"/>
          <w:sz w:val="24"/>
          <w:szCs w:val="20"/>
          <w:lang w:val="en-US" w:eastAsia="zh-CN"/>
        </w:rPr>
        <w:t xml:space="preserve">, </w:t>
      </w:r>
      <w:r w:rsidR="004629E4" w:rsidRPr="00B977AE">
        <w:rPr>
          <w:rFonts w:ascii="Book Antiqua" w:hAnsi="Book Antiqua" w:cs="Arial"/>
          <w:sz w:val="24"/>
          <w:szCs w:val="20"/>
        </w:rPr>
        <w:t>Via Irnerio, 48</w:t>
      </w:r>
      <w:r w:rsidR="005F6D58" w:rsidRPr="00B977AE">
        <w:rPr>
          <w:rFonts w:ascii="Book Antiqua" w:hAnsi="Book Antiqua" w:cs="Arial"/>
          <w:sz w:val="24"/>
          <w:szCs w:val="20"/>
          <w:lang w:eastAsia="zh-CN"/>
        </w:rPr>
        <w:t xml:space="preserve">, </w:t>
      </w:r>
      <w:r w:rsidR="004629E4" w:rsidRPr="00B977AE">
        <w:rPr>
          <w:rFonts w:ascii="Book Antiqua" w:hAnsi="Book Antiqua" w:cs="Arial"/>
          <w:sz w:val="24"/>
          <w:szCs w:val="20"/>
        </w:rPr>
        <w:t>I-40126 Bologna BO</w:t>
      </w:r>
      <w:r w:rsidR="005F6D58" w:rsidRPr="00B977AE">
        <w:rPr>
          <w:rFonts w:ascii="Book Antiqua" w:hAnsi="Book Antiqua" w:cs="Arial"/>
          <w:sz w:val="24"/>
          <w:szCs w:val="20"/>
          <w:lang w:eastAsia="zh-CN"/>
        </w:rPr>
        <w:t xml:space="preserve">, </w:t>
      </w:r>
      <w:r w:rsidR="004629E4" w:rsidRPr="00B977AE">
        <w:rPr>
          <w:rFonts w:ascii="Book Antiqua" w:hAnsi="Book Antiqua" w:cs="Arial"/>
          <w:sz w:val="24"/>
          <w:szCs w:val="20"/>
        </w:rPr>
        <w:t>Italy</w:t>
      </w:r>
      <w:r w:rsidR="005F6D58" w:rsidRPr="00B977AE">
        <w:rPr>
          <w:rFonts w:ascii="Book Antiqua" w:hAnsi="Book Antiqua" w:cs="Arial"/>
          <w:sz w:val="24"/>
          <w:szCs w:val="20"/>
          <w:lang w:eastAsia="zh-CN"/>
        </w:rPr>
        <w:t xml:space="preserve">. </w:t>
      </w:r>
      <w:hyperlink r:id="rId9" w:history="1">
        <w:r w:rsidR="005F6D58" w:rsidRPr="00B977AE">
          <w:rPr>
            <w:rStyle w:val="ac"/>
            <w:rFonts w:ascii="Book Antiqua" w:hAnsi="Book Antiqua" w:cs="Arial"/>
            <w:sz w:val="24"/>
            <w:szCs w:val="20"/>
          </w:rPr>
          <w:t>fabrizio.deponti@unibo.it</w:t>
        </w:r>
      </w:hyperlink>
    </w:p>
    <w:p w:rsidR="005F6D58" w:rsidRPr="00B977AE" w:rsidRDefault="005F6D58" w:rsidP="004D1284">
      <w:pPr>
        <w:spacing w:line="360" w:lineRule="auto"/>
        <w:jc w:val="both"/>
        <w:rPr>
          <w:rFonts w:ascii="Book Antiqua" w:hAnsi="Book Antiqua"/>
          <w:b/>
          <w:color w:val="000000"/>
          <w:sz w:val="24"/>
        </w:rPr>
      </w:pPr>
      <w:bookmarkStart w:id="49" w:name="OLE_LINK283"/>
      <w:bookmarkStart w:id="50" w:name="OLE_LINK284"/>
      <w:bookmarkStart w:id="51" w:name="OLE_LINK368"/>
      <w:bookmarkStart w:id="52" w:name="OLE_LINK361"/>
      <w:bookmarkStart w:id="53" w:name="OLE_LINK362"/>
      <w:r w:rsidRPr="00B977AE">
        <w:rPr>
          <w:rFonts w:ascii="Book Antiqua" w:hAnsi="Book Antiqua"/>
          <w:b/>
          <w:color w:val="000000"/>
          <w:sz w:val="24"/>
        </w:rPr>
        <w:t>Telephone:</w:t>
      </w:r>
      <w:r w:rsidRPr="00B977AE">
        <w:rPr>
          <w:rFonts w:ascii="Book Antiqua" w:hAnsi="Book Antiqua" w:cs="Arial"/>
          <w:sz w:val="24"/>
          <w:szCs w:val="20"/>
          <w:lang w:val="en-US"/>
        </w:rPr>
        <w:t xml:space="preserve"> +39-051-2091805</w:t>
      </w:r>
      <w:r w:rsidRPr="00B977AE">
        <w:rPr>
          <w:rFonts w:ascii="Book Antiqua" w:hAnsi="Book Antiqua"/>
          <w:color w:val="000000"/>
          <w:sz w:val="24"/>
        </w:rPr>
        <w:t xml:space="preserve">         </w:t>
      </w:r>
      <w:r w:rsidRPr="00B977AE">
        <w:rPr>
          <w:rFonts w:ascii="Book Antiqua" w:hAnsi="Book Antiqua"/>
          <w:b/>
          <w:color w:val="000000"/>
          <w:sz w:val="24"/>
        </w:rPr>
        <w:t>Fax:</w:t>
      </w:r>
      <w:r w:rsidRPr="00B977AE">
        <w:rPr>
          <w:rFonts w:ascii="Book Antiqua" w:hAnsi="Book Antiqua" w:cs="Arial"/>
          <w:sz w:val="24"/>
          <w:szCs w:val="20"/>
          <w:lang w:val="en-US"/>
        </w:rPr>
        <w:t xml:space="preserve"> +39-051-2091780</w:t>
      </w:r>
    </w:p>
    <w:p w:rsidR="005F6D58" w:rsidRPr="00B977AE" w:rsidRDefault="005F6D58" w:rsidP="004D1284">
      <w:pPr>
        <w:spacing w:line="360" w:lineRule="auto"/>
        <w:jc w:val="both"/>
        <w:rPr>
          <w:rFonts w:ascii="Book Antiqua" w:hAnsi="Book Antiqua"/>
          <w:b/>
          <w:color w:val="000000"/>
          <w:sz w:val="24"/>
          <w:lang w:eastAsia="zh-CN"/>
        </w:rPr>
      </w:pPr>
      <w:bookmarkStart w:id="54" w:name="OLE_LINK357"/>
      <w:bookmarkStart w:id="55" w:name="OLE_LINK358"/>
      <w:bookmarkEnd w:id="49"/>
      <w:bookmarkEnd w:id="50"/>
      <w:bookmarkEnd w:id="51"/>
    </w:p>
    <w:p w:rsidR="005F6D58" w:rsidRPr="00B977AE" w:rsidRDefault="005F6D58" w:rsidP="004D1284">
      <w:pPr>
        <w:spacing w:line="360" w:lineRule="auto"/>
        <w:jc w:val="both"/>
        <w:rPr>
          <w:rFonts w:ascii="Book Antiqua" w:hAnsi="Book Antiqua"/>
          <w:b/>
          <w:color w:val="000000"/>
          <w:sz w:val="24"/>
          <w:lang w:eastAsia="zh-CN"/>
        </w:rPr>
      </w:pPr>
      <w:r w:rsidRPr="00B977AE">
        <w:rPr>
          <w:rFonts w:ascii="Book Antiqua" w:hAnsi="Book Antiqua"/>
          <w:b/>
          <w:color w:val="000000"/>
          <w:sz w:val="24"/>
        </w:rPr>
        <w:t>Received:</w:t>
      </w:r>
      <w:bookmarkStart w:id="56" w:name="OLE_LINK59"/>
      <w:bookmarkStart w:id="57" w:name="OLE_LINK60"/>
      <w:bookmarkStart w:id="58" w:name="OLE_LINK12"/>
      <w:bookmarkStart w:id="59" w:name="OLE_LINK13"/>
      <w:bookmarkStart w:id="60" w:name="OLE_LINK81"/>
      <w:bookmarkStart w:id="61" w:name="OLE_LINK106"/>
      <w:r w:rsidR="00A32440" w:rsidRPr="00B977AE">
        <w:rPr>
          <w:rFonts w:ascii="Book Antiqua" w:hAnsi="Book Antiqua"/>
          <w:sz w:val="24"/>
          <w:szCs w:val="24"/>
        </w:rPr>
        <w:t xml:space="preserve"> February</w:t>
      </w:r>
      <w:bookmarkEnd w:id="56"/>
      <w:bookmarkEnd w:id="57"/>
      <w:bookmarkEnd w:id="58"/>
      <w:bookmarkEnd w:id="59"/>
      <w:bookmarkEnd w:id="60"/>
      <w:bookmarkEnd w:id="61"/>
      <w:r w:rsidR="00A32440" w:rsidRPr="00B977AE">
        <w:rPr>
          <w:rFonts w:ascii="Book Antiqua" w:hAnsi="Book Antiqua"/>
          <w:sz w:val="24"/>
          <w:szCs w:val="24"/>
          <w:lang w:eastAsia="zh-CN"/>
        </w:rPr>
        <w:t xml:space="preserve"> 10, 2014    </w:t>
      </w:r>
      <w:r w:rsidRPr="00B977AE">
        <w:rPr>
          <w:rFonts w:ascii="Book Antiqua" w:hAnsi="Book Antiqua"/>
          <w:b/>
          <w:color w:val="000000"/>
          <w:sz w:val="24"/>
        </w:rPr>
        <w:t xml:space="preserve"> </w:t>
      </w:r>
      <w:r w:rsidRPr="00B977AE">
        <w:rPr>
          <w:rFonts w:ascii="Book Antiqua" w:hAnsi="Book Antiqua"/>
          <w:color w:val="000000"/>
          <w:sz w:val="24"/>
        </w:rPr>
        <w:t xml:space="preserve">     </w:t>
      </w:r>
      <w:r w:rsidRPr="00B977AE">
        <w:rPr>
          <w:rFonts w:ascii="Book Antiqua" w:hAnsi="Book Antiqua"/>
          <w:b/>
          <w:color w:val="000000"/>
          <w:sz w:val="24"/>
        </w:rPr>
        <w:t xml:space="preserve">Revised: </w:t>
      </w:r>
      <w:bookmarkStart w:id="62" w:name="OLE_LINK82"/>
      <w:bookmarkStart w:id="63" w:name="OLE_LINK83"/>
      <w:bookmarkStart w:id="64" w:name="OLE_LINK302"/>
      <w:bookmarkStart w:id="65" w:name="OLE_LINK485"/>
      <w:r w:rsidR="00A32440" w:rsidRPr="00B977AE">
        <w:rPr>
          <w:rFonts w:ascii="Book Antiqua" w:hAnsi="Book Antiqua"/>
          <w:sz w:val="24"/>
          <w:szCs w:val="24"/>
        </w:rPr>
        <w:t>March</w:t>
      </w:r>
      <w:bookmarkEnd w:id="62"/>
      <w:bookmarkEnd w:id="63"/>
      <w:bookmarkEnd w:id="64"/>
      <w:bookmarkEnd w:id="65"/>
      <w:r w:rsidR="00A32440" w:rsidRPr="00B977AE">
        <w:rPr>
          <w:rFonts w:ascii="Book Antiqua" w:hAnsi="Book Antiqua"/>
          <w:sz w:val="24"/>
          <w:szCs w:val="24"/>
          <w:lang w:eastAsia="zh-CN"/>
        </w:rPr>
        <w:t xml:space="preserve"> 26, 2014</w:t>
      </w:r>
    </w:p>
    <w:p w:rsidR="0010250C" w:rsidRDefault="005F6D58" w:rsidP="0010250C">
      <w:pPr>
        <w:rPr>
          <w:rFonts w:ascii="Book Antiqua" w:hAnsi="Book Antiqua"/>
          <w:color w:val="000000"/>
          <w:sz w:val="24"/>
        </w:rPr>
      </w:pPr>
      <w:r w:rsidRPr="00B977AE">
        <w:rPr>
          <w:rFonts w:ascii="Book Antiqua" w:hAnsi="Book Antiqua"/>
          <w:b/>
          <w:color w:val="000000"/>
          <w:sz w:val="24"/>
        </w:rPr>
        <w:t xml:space="preserve">Accepted: </w:t>
      </w:r>
      <w:bookmarkStart w:id="66" w:name="OLE_LINK1"/>
      <w:bookmarkStart w:id="67" w:name="OLE_LINK2"/>
      <w:bookmarkStart w:id="68" w:name="OLE_LINK3"/>
      <w:bookmarkStart w:id="69" w:name="OLE_LINK4"/>
      <w:bookmarkStart w:id="70" w:name="OLE_LINK5"/>
      <w:bookmarkStart w:id="71" w:name="OLE_LINK6"/>
      <w:bookmarkStart w:id="72" w:name="OLE_LINK7"/>
      <w:bookmarkStart w:id="73" w:name="OLE_LINK9"/>
      <w:bookmarkStart w:id="74" w:name="OLE_LINK10"/>
      <w:bookmarkStart w:id="75" w:name="OLE_LINK14"/>
      <w:bookmarkStart w:id="76" w:name="OLE_LINK17"/>
      <w:bookmarkStart w:id="77" w:name="OLE_LINK18"/>
      <w:bookmarkStart w:id="78" w:name="OLE_LINK19"/>
      <w:bookmarkStart w:id="79" w:name="OLE_LINK22"/>
      <w:bookmarkStart w:id="80" w:name="OLE_LINK24"/>
      <w:bookmarkStart w:id="81" w:name="OLE_LINK25"/>
      <w:bookmarkStart w:id="82" w:name="OLE_LINK26"/>
      <w:bookmarkStart w:id="83" w:name="OLE_LINK27"/>
      <w:bookmarkStart w:id="84" w:name="OLE_LINK28"/>
      <w:bookmarkStart w:id="85" w:name="OLE_LINK29"/>
      <w:bookmarkStart w:id="86" w:name="OLE_LINK30"/>
      <w:bookmarkStart w:id="87" w:name="OLE_LINK31"/>
      <w:bookmarkStart w:id="88" w:name="OLE_LINK32"/>
      <w:bookmarkStart w:id="89" w:name="OLE_LINK34"/>
      <w:bookmarkStart w:id="90" w:name="OLE_LINK38"/>
      <w:bookmarkStart w:id="91" w:name="OLE_LINK41"/>
      <w:bookmarkStart w:id="92" w:name="OLE_LINK42"/>
      <w:bookmarkStart w:id="93" w:name="OLE_LINK44"/>
      <w:bookmarkStart w:id="94" w:name="OLE_LINK45"/>
      <w:bookmarkStart w:id="95" w:name="OLE_LINK46"/>
      <w:bookmarkStart w:id="96" w:name="OLE_LINK47"/>
      <w:bookmarkStart w:id="97" w:name="OLE_LINK52"/>
      <w:bookmarkStart w:id="98" w:name="OLE_LINK43"/>
      <w:bookmarkStart w:id="99" w:name="OLE_LINK57"/>
      <w:bookmarkStart w:id="100" w:name="OLE_LINK58"/>
      <w:bookmarkStart w:id="101" w:name="OLE_LINK8"/>
      <w:bookmarkStart w:id="102" w:name="OLE_LINK62"/>
      <w:bookmarkStart w:id="103" w:name="OLE_LINK66"/>
      <w:r w:rsidR="0010250C">
        <w:rPr>
          <w:rFonts w:ascii="Book Antiqua" w:hAnsi="Book Antiqua"/>
          <w:color w:val="000000"/>
          <w:sz w:val="24"/>
        </w:rPr>
        <w:t>July 17, 2014</w:t>
      </w:r>
    </w:p>
    <w:p w:rsidR="005F6D58" w:rsidRPr="00B977AE" w:rsidRDefault="005F6D58" w:rsidP="004D1284">
      <w:pPr>
        <w:spacing w:line="360" w:lineRule="auto"/>
        <w:jc w:val="both"/>
        <w:rPr>
          <w:rFonts w:ascii="Book Antiqua" w:hAnsi="Book Antiqua"/>
          <w:b/>
          <w:color w:val="000000"/>
          <w:sz w:val="24"/>
        </w:rPr>
      </w:pPr>
      <w:bookmarkStart w:id="104" w:name="_GoBack"/>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F2CD5" w:rsidRPr="00B977AE" w:rsidRDefault="005F6D58" w:rsidP="004D1284">
      <w:pPr>
        <w:spacing w:line="360" w:lineRule="auto"/>
        <w:jc w:val="both"/>
        <w:rPr>
          <w:rFonts w:ascii="Book Antiqua" w:hAnsi="Book Antiqua" w:cs="Arial"/>
          <w:b/>
          <w:sz w:val="24"/>
          <w:szCs w:val="20"/>
        </w:rPr>
      </w:pPr>
      <w:r w:rsidRPr="00B977AE">
        <w:rPr>
          <w:rFonts w:ascii="Book Antiqua" w:hAnsi="Book Antiqua"/>
          <w:b/>
          <w:color w:val="000000"/>
          <w:sz w:val="24"/>
        </w:rPr>
        <w:t xml:space="preserve">Published online: </w:t>
      </w:r>
      <w:bookmarkEnd w:id="52"/>
      <w:bookmarkEnd w:id="53"/>
      <w:bookmarkEnd w:id="54"/>
      <w:bookmarkEnd w:id="55"/>
      <w:r w:rsidR="002F2CD5" w:rsidRPr="00B977AE">
        <w:rPr>
          <w:rFonts w:ascii="Book Antiqua" w:hAnsi="Book Antiqua" w:cs="Arial"/>
          <w:b/>
          <w:sz w:val="24"/>
          <w:szCs w:val="20"/>
        </w:rPr>
        <w:br w:type="page"/>
      </w:r>
    </w:p>
    <w:p w:rsidR="002F2CD5" w:rsidRPr="00B977AE" w:rsidRDefault="002F2CD5" w:rsidP="004D1284">
      <w:pPr>
        <w:spacing w:line="360" w:lineRule="auto"/>
        <w:jc w:val="both"/>
        <w:rPr>
          <w:rFonts w:ascii="Book Antiqua" w:hAnsi="Book Antiqua" w:cs="Arial"/>
          <w:b/>
          <w:sz w:val="24"/>
          <w:szCs w:val="20"/>
          <w:lang w:val="en-US"/>
        </w:rPr>
      </w:pPr>
      <w:r w:rsidRPr="00B977AE">
        <w:rPr>
          <w:rFonts w:ascii="Book Antiqua" w:hAnsi="Book Antiqua" w:cs="Arial"/>
          <w:b/>
          <w:sz w:val="24"/>
          <w:szCs w:val="20"/>
          <w:lang w:val="en-US"/>
        </w:rPr>
        <w:lastRenderedPageBreak/>
        <w:t>Abstract</w:t>
      </w:r>
    </w:p>
    <w:p w:rsidR="00AA1631" w:rsidRPr="00B977AE" w:rsidRDefault="00AA1631" w:rsidP="004D1284">
      <w:pPr>
        <w:spacing w:line="360" w:lineRule="auto"/>
        <w:contextualSpacing/>
        <w:jc w:val="both"/>
        <w:rPr>
          <w:rFonts w:ascii="Book Antiqua" w:hAnsi="Book Antiqua" w:cs="Arial"/>
          <w:sz w:val="24"/>
          <w:szCs w:val="20"/>
          <w:lang w:val="en-US" w:eastAsia="zh-CN"/>
        </w:rPr>
      </w:pPr>
      <w:r w:rsidRPr="00B977AE">
        <w:rPr>
          <w:rFonts w:ascii="Book Antiqua" w:hAnsi="Book Antiqua" w:cs="Arial"/>
          <w:b/>
          <w:sz w:val="24"/>
          <w:szCs w:val="20"/>
          <w:lang w:val="en-US"/>
        </w:rPr>
        <w:t>AIM</w:t>
      </w:r>
      <w:r w:rsidR="00BC76AA" w:rsidRPr="00B977AE">
        <w:rPr>
          <w:rFonts w:ascii="Book Antiqua" w:hAnsi="Book Antiqua" w:cs="Arial"/>
          <w:b/>
          <w:sz w:val="24"/>
          <w:szCs w:val="20"/>
          <w:lang w:val="en-US" w:eastAsia="zh-CN"/>
        </w:rPr>
        <w:t>:</w:t>
      </w:r>
      <w:r w:rsidR="002105A0" w:rsidRPr="00B977AE">
        <w:rPr>
          <w:rFonts w:ascii="Book Antiqua" w:hAnsi="Book Antiqua" w:cs="Arial"/>
          <w:b/>
          <w:sz w:val="24"/>
          <w:szCs w:val="20"/>
          <w:lang w:val="en-US"/>
        </w:rPr>
        <w:t xml:space="preserve"> </w:t>
      </w:r>
      <w:r w:rsidR="002105A0" w:rsidRPr="00B977AE">
        <w:rPr>
          <w:rFonts w:ascii="Book Antiqua" w:hAnsi="Book Antiqua" w:cs="Arial"/>
          <w:sz w:val="24"/>
          <w:szCs w:val="20"/>
          <w:lang w:val="en-US"/>
        </w:rPr>
        <w:t xml:space="preserve">To inform clinicians on the level of </w:t>
      </w:r>
      <w:r w:rsidR="00F31FA9" w:rsidRPr="00B977AE">
        <w:rPr>
          <w:rFonts w:ascii="Book Antiqua" w:hAnsi="Book Antiqua" w:cs="Arial"/>
          <w:sz w:val="24"/>
          <w:szCs w:val="20"/>
          <w:lang w:val="en-US"/>
        </w:rPr>
        <w:t xml:space="preserve">hepatotoxic </w:t>
      </w:r>
      <w:r w:rsidR="002105A0" w:rsidRPr="00B977AE">
        <w:rPr>
          <w:rFonts w:ascii="Book Antiqua" w:hAnsi="Book Antiqua" w:cs="Arial"/>
          <w:sz w:val="24"/>
          <w:szCs w:val="20"/>
          <w:lang w:val="en-US"/>
        </w:rPr>
        <w:t xml:space="preserve">risk among </w:t>
      </w:r>
      <w:proofErr w:type="spellStart"/>
      <w:r w:rsidR="002105A0" w:rsidRPr="00B977AE">
        <w:rPr>
          <w:rFonts w:ascii="Book Antiqua" w:hAnsi="Book Antiqua" w:cs="Arial"/>
          <w:sz w:val="24"/>
          <w:szCs w:val="20"/>
          <w:lang w:val="en-US"/>
        </w:rPr>
        <w:t>antimycotics</w:t>
      </w:r>
      <w:proofErr w:type="spellEnd"/>
      <w:r w:rsidR="002105A0" w:rsidRPr="00B977AE">
        <w:rPr>
          <w:rFonts w:ascii="Book Antiqua" w:hAnsi="Book Antiqua" w:cs="Arial"/>
          <w:sz w:val="24"/>
          <w:szCs w:val="20"/>
          <w:lang w:val="en-US"/>
        </w:rPr>
        <w:t xml:space="preserve"> </w:t>
      </w:r>
      <w:r w:rsidR="00C21FED" w:rsidRPr="00B977AE">
        <w:rPr>
          <w:rFonts w:ascii="Book Antiqua" w:hAnsi="Book Antiqua" w:cs="Arial"/>
          <w:sz w:val="24"/>
          <w:szCs w:val="20"/>
          <w:lang w:val="en-US"/>
        </w:rPr>
        <w:t>in the</w:t>
      </w:r>
      <w:r w:rsidR="00960850" w:rsidRPr="00B977AE">
        <w:rPr>
          <w:rFonts w:ascii="Book Antiqua" w:hAnsi="Book Antiqua" w:cs="Arial"/>
          <w:sz w:val="24"/>
          <w:szCs w:val="20"/>
          <w:lang w:val="en-US"/>
        </w:rPr>
        <w:t xml:space="preserve"> post-marketing </w:t>
      </w:r>
      <w:r w:rsidR="00C21FED" w:rsidRPr="00B977AE">
        <w:rPr>
          <w:rFonts w:ascii="Book Antiqua" w:hAnsi="Book Antiqua" w:cs="Arial"/>
          <w:sz w:val="24"/>
          <w:szCs w:val="20"/>
          <w:lang w:val="en-US"/>
        </w:rPr>
        <w:t>setting, following the marketing suspension of oral ketoconazole</w:t>
      </w:r>
      <w:r w:rsidR="00F31FA9" w:rsidRPr="00B977AE">
        <w:rPr>
          <w:rFonts w:ascii="Book Antiqua" w:hAnsi="Book Antiqua" w:cs="Arial"/>
          <w:sz w:val="24"/>
          <w:szCs w:val="20"/>
          <w:lang w:val="en-US"/>
        </w:rPr>
        <w:t xml:space="preserve"> for drug-induced liver injury (DILI)</w:t>
      </w:r>
      <w:r w:rsidR="002105A0" w:rsidRPr="00B977AE">
        <w:rPr>
          <w:rFonts w:ascii="Book Antiqua" w:hAnsi="Book Antiqua" w:cs="Arial"/>
          <w:sz w:val="24"/>
          <w:szCs w:val="20"/>
          <w:lang w:val="en-US"/>
        </w:rPr>
        <w:t>.</w:t>
      </w:r>
    </w:p>
    <w:p w:rsidR="008920C4" w:rsidRPr="00B977AE" w:rsidRDefault="008920C4" w:rsidP="004D1284">
      <w:pPr>
        <w:spacing w:line="360" w:lineRule="auto"/>
        <w:contextualSpacing/>
        <w:jc w:val="both"/>
        <w:rPr>
          <w:rFonts w:ascii="Book Antiqua" w:hAnsi="Book Antiqua" w:cs="Arial"/>
          <w:sz w:val="24"/>
          <w:szCs w:val="20"/>
          <w:lang w:val="en-US" w:eastAsia="zh-CN"/>
        </w:rPr>
      </w:pPr>
    </w:p>
    <w:p w:rsidR="00636899" w:rsidRPr="00B977AE" w:rsidRDefault="00AA1631" w:rsidP="004D1284">
      <w:pPr>
        <w:spacing w:line="360" w:lineRule="auto"/>
        <w:contextualSpacing/>
        <w:jc w:val="both"/>
        <w:rPr>
          <w:rFonts w:ascii="Book Antiqua" w:hAnsi="Book Antiqua" w:cs="Arial"/>
          <w:sz w:val="24"/>
          <w:szCs w:val="20"/>
          <w:lang w:val="en-US" w:eastAsia="zh-CN"/>
        </w:rPr>
      </w:pPr>
      <w:r w:rsidRPr="00B977AE">
        <w:rPr>
          <w:rFonts w:ascii="Book Antiqua" w:hAnsi="Book Antiqua" w:cs="Arial"/>
          <w:b/>
          <w:sz w:val="24"/>
          <w:szCs w:val="20"/>
          <w:lang w:val="en-US"/>
        </w:rPr>
        <w:t>METHODS</w:t>
      </w:r>
      <w:r w:rsidR="008920C4" w:rsidRPr="00B977AE">
        <w:rPr>
          <w:rFonts w:ascii="Book Antiqua" w:hAnsi="Book Antiqua" w:cs="Arial"/>
          <w:b/>
          <w:sz w:val="24"/>
          <w:szCs w:val="20"/>
          <w:lang w:val="en-US" w:eastAsia="zh-CN"/>
        </w:rPr>
        <w:t xml:space="preserve">: </w:t>
      </w:r>
      <w:r w:rsidR="002105A0" w:rsidRPr="00B977AE">
        <w:rPr>
          <w:rFonts w:ascii="Book Antiqua" w:hAnsi="Book Antiqua" w:cs="Arial"/>
          <w:sz w:val="24"/>
          <w:szCs w:val="20"/>
          <w:lang w:val="en-US"/>
        </w:rPr>
        <w:t>The publicly available international FAERS database (2004-2011)</w:t>
      </w:r>
      <w:r w:rsidR="00960850" w:rsidRPr="00B977AE">
        <w:rPr>
          <w:rFonts w:ascii="Book Antiqua" w:hAnsi="Book Antiqua" w:cs="Arial"/>
          <w:sz w:val="24"/>
          <w:szCs w:val="20"/>
          <w:lang w:val="en-US"/>
        </w:rPr>
        <w:t xml:space="preserve"> was used to extract </w:t>
      </w:r>
      <w:r w:rsidR="00F31FA9" w:rsidRPr="00B977AE">
        <w:rPr>
          <w:rFonts w:ascii="Book Antiqua" w:hAnsi="Book Antiqua" w:cs="Arial"/>
          <w:sz w:val="24"/>
          <w:szCs w:val="20"/>
          <w:lang w:val="en-US"/>
        </w:rPr>
        <w:t xml:space="preserve">DILI </w:t>
      </w:r>
      <w:r w:rsidR="00960850" w:rsidRPr="00B977AE">
        <w:rPr>
          <w:rFonts w:ascii="Book Antiqua" w:hAnsi="Book Antiqua" w:cs="Arial"/>
          <w:sz w:val="24"/>
          <w:szCs w:val="20"/>
          <w:lang w:val="en-US"/>
        </w:rPr>
        <w:t xml:space="preserve">cases </w:t>
      </w:r>
      <w:r w:rsidR="00380564" w:rsidRPr="00B977AE">
        <w:rPr>
          <w:rFonts w:ascii="Book Antiqua" w:hAnsi="Book Antiqua" w:cs="Arial"/>
          <w:sz w:val="24"/>
          <w:szCs w:val="20"/>
          <w:lang w:val="en-US"/>
        </w:rPr>
        <w:t>(including acute liver failure events)</w:t>
      </w:r>
      <w:r w:rsidR="00960850" w:rsidRPr="00B977AE">
        <w:rPr>
          <w:rFonts w:ascii="Book Antiqua" w:hAnsi="Book Antiqua" w:cs="Arial"/>
          <w:sz w:val="24"/>
          <w:szCs w:val="20"/>
          <w:lang w:val="en-US"/>
        </w:rPr>
        <w:t xml:space="preserve">, where </w:t>
      </w:r>
      <w:proofErr w:type="spellStart"/>
      <w:r w:rsidR="00960850" w:rsidRPr="00B977AE">
        <w:rPr>
          <w:rFonts w:ascii="Book Antiqua" w:hAnsi="Book Antiqua" w:cs="Arial"/>
          <w:sz w:val="24"/>
          <w:szCs w:val="20"/>
          <w:lang w:val="en-US"/>
        </w:rPr>
        <w:t>antimycotics</w:t>
      </w:r>
      <w:proofErr w:type="spellEnd"/>
      <w:r w:rsidR="00960850" w:rsidRPr="00B977AE">
        <w:rPr>
          <w:rFonts w:ascii="Book Antiqua" w:hAnsi="Book Antiqua" w:cs="Arial"/>
          <w:sz w:val="24"/>
          <w:szCs w:val="20"/>
          <w:lang w:val="en-US"/>
        </w:rPr>
        <w:t xml:space="preserve"> </w:t>
      </w:r>
      <w:r w:rsidR="00636899" w:rsidRPr="00B977AE">
        <w:rPr>
          <w:rFonts w:ascii="Book Antiqua" w:hAnsi="Book Antiqua" w:cs="Arial"/>
          <w:sz w:val="24"/>
          <w:szCs w:val="20"/>
          <w:lang w:val="en-US"/>
        </w:rPr>
        <w:t xml:space="preserve">with systemic use or potential systemic absorption </w:t>
      </w:r>
      <w:r w:rsidR="00960850" w:rsidRPr="00B977AE">
        <w:rPr>
          <w:rFonts w:ascii="Book Antiqua" w:hAnsi="Book Antiqua" w:cs="Arial"/>
          <w:sz w:val="24"/>
          <w:szCs w:val="20"/>
          <w:lang w:val="en-US"/>
        </w:rPr>
        <w:t>were reported as suspect o</w:t>
      </w:r>
      <w:r w:rsidR="00380564" w:rsidRPr="00B977AE">
        <w:rPr>
          <w:rFonts w:ascii="Book Antiqua" w:hAnsi="Book Antiqua" w:cs="Arial"/>
          <w:sz w:val="24"/>
          <w:szCs w:val="20"/>
          <w:lang w:val="en-US"/>
        </w:rPr>
        <w:t>r</w:t>
      </w:r>
      <w:r w:rsidR="00960850" w:rsidRPr="00B977AE">
        <w:rPr>
          <w:rFonts w:ascii="Book Antiqua" w:hAnsi="Book Antiqua" w:cs="Arial"/>
          <w:sz w:val="24"/>
          <w:szCs w:val="20"/>
          <w:lang w:val="en-US"/>
        </w:rPr>
        <w:t xml:space="preserve"> interacting agents.</w:t>
      </w:r>
      <w:r w:rsidR="00C94B07" w:rsidRPr="00B977AE">
        <w:rPr>
          <w:rFonts w:ascii="Book Antiqua" w:hAnsi="Book Antiqua" w:cs="Arial"/>
          <w:sz w:val="24"/>
          <w:szCs w:val="20"/>
          <w:lang w:val="en-US"/>
        </w:rPr>
        <w:t xml:space="preserve"> The reporting pattern was analyzed by calculating the </w:t>
      </w:r>
      <w:r w:rsidR="008920C4" w:rsidRPr="00B977AE">
        <w:rPr>
          <w:rFonts w:ascii="Book Antiqua" w:hAnsi="Book Antiqua" w:cs="Arial"/>
          <w:sz w:val="24"/>
          <w:szCs w:val="20"/>
          <w:lang w:val="en-US"/>
        </w:rPr>
        <w:t>reporting odds r</w:t>
      </w:r>
      <w:r w:rsidR="00C94B07" w:rsidRPr="00B977AE">
        <w:rPr>
          <w:rFonts w:ascii="Book Antiqua" w:hAnsi="Book Antiqua" w:cs="Arial"/>
          <w:sz w:val="24"/>
          <w:szCs w:val="20"/>
          <w:lang w:val="en-US"/>
        </w:rPr>
        <w:t>atio</w:t>
      </w:r>
      <w:r w:rsidR="00C918B0" w:rsidRPr="00B977AE">
        <w:rPr>
          <w:rFonts w:ascii="Book Antiqua" w:hAnsi="Book Antiqua" w:cs="Arial"/>
          <w:sz w:val="24"/>
          <w:szCs w:val="20"/>
          <w:lang w:val="en-US"/>
        </w:rPr>
        <w:t xml:space="preserve"> (ROR) and corresponding 95%CI</w:t>
      </w:r>
      <w:r w:rsidR="00C94B07" w:rsidRPr="00B977AE">
        <w:rPr>
          <w:rFonts w:ascii="Book Antiqua" w:hAnsi="Book Antiqua" w:cs="Arial"/>
          <w:sz w:val="24"/>
          <w:szCs w:val="20"/>
          <w:lang w:val="en-US"/>
        </w:rPr>
        <w:t>, a measure of disproportionality</w:t>
      </w:r>
      <w:r w:rsidR="00274F24" w:rsidRPr="00B977AE">
        <w:rPr>
          <w:rFonts w:ascii="Book Antiqua" w:hAnsi="Book Antiqua" w:cs="Arial"/>
          <w:sz w:val="24"/>
          <w:szCs w:val="20"/>
          <w:lang w:val="en-US"/>
        </w:rPr>
        <w:t>, with time-trend analysis where appropriate.</w:t>
      </w:r>
    </w:p>
    <w:p w:rsidR="008920C4" w:rsidRPr="00B977AE" w:rsidRDefault="008920C4" w:rsidP="004D1284">
      <w:pPr>
        <w:spacing w:line="360" w:lineRule="auto"/>
        <w:contextualSpacing/>
        <w:jc w:val="both"/>
        <w:rPr>
          <w:rFonts w:ascii="Book Antiqua" w:hAnsi="Book Antiqua" w:cs="Arial"/>
          <w:sz w:val="24"/>
          <w:szCs w:val="20"/>
          <w:lang w:val="en-US" w:eastAsia="zh-CN"/>
        </w:rPr>
      </w:pPr>
    </w:p>
    <w:p w:rsidR="00CB41BF" w:rsidRPr="00B977AE" w:rsidRDefault="00AA1631" w:rsidP="004D1284">
      <w:pPr>
        <w:spacing w:line="360" w:lineRule="auto"/>
        <w:contextualSpacing/>
        <w:jc w:val="both"/>
        <w:rPr>
          <w:rFonts w:ascii="Book Antiqua" w:hAnsi="Book Antiqua" w:cs="Arial"/>
          <w:sz w:val="24"/>
          <w:szCs w:val="20"/>
          <w:lang w:val="en-US" w:eastAsia="zh-CN"/>
        </w:rPr>
      </w:pPr>
      <w:r w:rsidRPr="00B977AE">
        <w:rPr>
          <w:rFonts w:ascii="Book Antiqua" w:hAnsi="Book Antiqua" w:cs="Arial"/>
          <w:b/>
          <w:sz w:val="24"/>
          <w:szCs w:val="20"/>
          <w:lang w:val="en-US"/>
        </w:rPr>
        <w:t>RESULTS</w:t>
      </w:r>
      <w:r w:rsidR="008920C4" w:rsidRPr="00B977AE">
        <w:rPr>
          <w:rFonts w:ascii="Book Antiqua" w:hAnsi="Book Antiqua" w:cs="Arial"/>
          <w:b/>
          <w:sz w:val="24"/>
          <w:szCs w:val="20"/>
          <w:lang w:val="en-US" w:eastAsia="zh-CN"/>
        </w:rPr>
        <w:t>:</w:t>
      </w:r>
      <w:r w:rsidR="00636899" w:rsidRPr="00B977AE">
        <w:rPr>
          <w:rFonts w:ascii="Book Antiqua" w:hAnsi="Book Antiqua" w:cs="Arial"/>
          <w:sz w:val="24"/>
          <w:szCs w:val="20"/>
          <w:lang w:val="en-US"/>
        </w:rPr>
        <w:t xml:space="preserve"> From 1687284 reports subm</w:t>
      </w:r>
      <w:r w:rsidR="0011315A" w:rsidRPr="00B977AE">
        <w:rPr>
          <w:rFonts w:ascii="Book Antiqua" w:hAnsi="Book Antiqua" w:cs="Arial"/>
          <w:sz w:val="24"/>
          <w:szCs w:val="20"/>
          <w:lang w:val="en-US"/>
        </w:rPr>
        <w:t>itted over the 8-year period, 68</w:t>
      </w:r>
      <w:r w:rsidR="00636899" w:rsidRPr="00B977AE">
        <w:rPr>
          <w:rFonts w:ascii="Book Antiqua" w:hAnsi="Book Antiqua" w:cs="Arial"/>
          <w:sz w:val="24"/>
          <w:szCs w:val="20"/>
          <w:lang w:val="en-US"/>
        </w:rPr>
        <w:t>11</w:t>
      </w:r>
      <w:r w:rsidR="0011315A" w:rsidRPr="00B977AE">
        <w:rPr>
          <w:rFonts w:ascii="Book Antiqua" w:hAnsi="Book Antiqua" w:cs="Arial"/>
          <w:sz w:val="24"/>
          <w:szCs w:val="20"/>
          <w:lang w:val="en-US"/>
        </w:rPr>
        <w:t>5</w:t>
      </w:r>
      <w:r w:rsidR="00636899" w:rsidRPr="00B977AE">
        <w:rPr>
          <w:rFonts w:ascii="Book Antiqua" w:hAnsi="Book Antiqua" w:cs="Arial"/>
          <w:sz w:val="24"/>
          <w:szCs w:val="20"/>
          <w:lang w:val="en-US"/>
        </w:rPr>
        <w:t xml:space="preserve"> regarded liver injury</w:t>
      </w:r>
      <w:r w:rsidR="00380564" w:rsidRPr="00B977AE">
        <w:rPr>
          <w:rFonts w:ascii="Book Antiqua" w:hAnsi="Book Antiqua" w:cs="Arial"/>
          <w:sz w:val="24"/>
          <w:szCs w:val="20"/>
          <w:lang w:val="en-US"/>
        </w:rPr>
        <w:t>. O</w:t>
      </w:r>
      <w:r w:rsidR="00636899" w:rsidRPr="00B977AE">
        <w:rPr>
          <w:rFonts w:ascii="Book Antiqua" w:hAnsi="Book Antiqua" w:cs="Arial"/>
          <w:sz w:val="24"/>
          <w:szCs w:val="20"/>
          <w:lang w:val="en-US"/>
        </w:rPr>
        <w:t xml:space="preserve">f these, </w:t>
      </w:r>
      <w:r w:rsidR="00BB1D14" w:rsidRPr="00B977AE">
        <w:rPr>
          <w:rFonts w:ascii="Book Antiqua" w:hAnsi="Book Antiqua" w:cs="Arial"/>
          <w:sz w:val="24"/>
          <w:szCs w:val="20"/>
          <w:lang w:val="en-US"/>
        </w:rPr>
        <w:t>2</w:t>
      </w:r>
      <w:r w:rsidR="00760399" w:rsidRPr="00B977AE">
        <w:rPr>
          <w:rFonts w:ascii="Book Antiqua" w:hAnsi="Book Antiqua" w:cs="Arial"/>
          <w:sz w:val="24"/>
          <w:szCs w:val="20"/>
          <w:lang w:val="en-US"/>
        </w:rPr>
        <w:t xml:space="preserve">.9% </w:t>
      </w:r>
      <w:r w:rsidR="00380564" w:rsidRPr="00B977AE">
        <w:rPr>
          <w:rFonts w:ascii="Book Antiqua" w:hAnsi="Book Antiqua" w:cs="Arial"/>
          <w:sz w:val="24"/>
          <w:szCs w:val="20"/>
          <w:lang w:val="en-US"/>
        </w:rPr>
        <w:t xml:space="preserve">are </w:t>
      </w:r>
      <w:r w:rsidR="00636899" w:rsidRPr="00B977AE">
        <w:rPr>
          <w:rFonts w:ascii="Book Antiqua" w:hAnsi="Book Antiqua" w:cs="Arial"/>
          <w:sz w:val="24"/>
          <w:szCs w:val="20"/>
          <w:lang w:val="en-US"/>
        </w:rPr>
        <w:t xml:space="preserve">related to </w:t>
      </w:r>
      <w:proofErr w:type="spellStart"/>
      <w:r w:rsidR="00636899" w:rsidRPr="00B977AE">
        <w:rPr>
          <w:rFonts w:ascii="Book Antiqua" w:hAnsi="Book Antiqua" w:cs="Arial"/>
          <w:sz w:val="24"/>
          <w:szCs w:val="20"/>
          <w:lang w:val="en-US"/>
        </w:rPr>
        <w:t>antimycotics</w:t>
      </w:r>
      <w:proofErr w:type="spellEnd"/>
      <w:r w:rsidR="00636899" w:rsidRPr="00B977AE">
        <w:rPr>
          <w:rFonts w:ascii="Book Antiqua" w:hAnsi="Book Antiqua" w:cs="Arial"/>
          <w:sz w:val="24"/>
          <w:szCs w:val="20"/>
          <w:lang w:val="en-US"/>
        </w:rPr>
        <w:t xml:space="preserve"> (</w:t>
      </w:r>
      <w:r w:rsidR="00760399" w:rsidRPr="00B977AE">
        <w:rPr>
          <w:rFonts w:ascii="Book Antiqua" w:hAnsi="Book Antiqua" w:cs="Arial"/>
          <w:sz w:val="24"/>
          <w:szCs w:val="20"/>
          <w:lang w:val="en-US"/>
        </w:rPr>
        <w:t xml:space="preserve">1964 cases, of which </w:t>
      </w:r>
      <w:r w:rsidR="00380564" w:rsidRPr="00B977AE">
        <w:rPr>
          <w:rFonts w:ascii="Book Antiqua" w:hAnsi="Book Antiqua" w:cs="Arial"/>
          <w:sz w:val="24"/>
          <w:szCs w:val="20"/>
          <w:lang w:val="en-US"/>
        </w:rPr>
        <w:t>112</w:t>
      </w:r>
      <w:r w:rsidR="00636899" w:rsidRPr="00B977AE">
        <w:rPr>
          <w:rFonts w:ascii="Book Antiqua" w:hAnsi="Book Antiqua" w:cs="Arial"/>
          <w:sz w:val="24"/>
          <w:szCs w:val="20"/>
          <w:lang w:val="en-US"/>
        </w:rPr>
        <w:t xml:space="preserve"> </w:t>
      </w:r>
      <w:r w:rsidR="00760399" w:rsidRPr="00B977AE">
        <w:rPr>
          <w:rFonts w:ascii="Book Antiqua" w:hAnsi="Book Antiqua" w:cs="Arial"/>
          <w:sz w:val="24"/>
          <w:szCs w:val="20"/>
          <w:lang w:val="en-US"/>
        </w:rPr>
        <w:t>of acute liver failure</w:t>
      </w:r>
      <w:r w:rsidR="00636899" w:rsidRPr="00B977AE">
        <w:rPr>
          <w:rFonts w:ascii="Book Antiqua" w:hAnsi="Book Antiqua" w:cs="Arial"/>
          <w:sz w:val="24"/>
          <w:szCs w:val="20"/>
          <w:lang w:val="en-US"/>
        </w:rPr>
        <w:t xml:space="preserve">). </w:t>
      </w:r>
      <w:r w:rsidR="00E255BC" w:rsidRPr="00B977AE">
        <w:rPr>
          <w:rFonts w:ascii="Book Antiqua" w:hAnsi="Book Antiqua" w:cs="Arial"/>
          <w:sz w:val="24"/>
          <w:szCs w:val="20"/>
          <w:lang w:val="en-US"/>
        </w:rPr>
        <w:t xml:space="preserve">Eleven </w:t>
      </w:r>
      <w:r w:rsidR="0089530A" w:rsidRPr="00B977AE">
        <w:rPr>
          <w:rFonts w:ascii="Book Antiqua" w:hAnsi="Book Antiqua" w:cs="Arial"/>
          <w:sz w:val="24"/>
          <w:szCs w:val="20"/>
          <w:lang w:val="en-US"/>
        </w:rPr>
        <w:t xml:space="preserve">systemic </w:t>
      </w:r>
      <w:proofErr w:type="spellStart"/>
      <w:r w:rsidR="00636899" w:rsidRPr="00B977AE">
        <w:rPr>
          <w:rFonts w:ascii="Book Antiqua" w:hAnsi="Book Antiqua" w:cs="Arial"/>
          <w:sz w:val="24"/>
          <w:szCs w:val="20"/>
          <w:lang w:val="en-US"/>
        </w:rPr>
        <w:t>antimycotics</w:t>
      </w:r>
      <w:proofErr w:type="spellEnd"/>
      <w:r w:rsidR="00636899" w:rsidRPr="00B977AE">
        <w:rPr>
          <w:rFonts w:ascii="Book Antiqua" w:hAnsi="Book Antiqua" w:cs="Arial"/>
          <w:sz w:val="24"/>
          <w:szCs w:val="20"/>
          <w:lang w:val="en-US"/>
        </w:rPr>
        <w:t xml:space="preserve"> </w:t>
      </w:r>
      <w:r w:rsidR="00CB41BF" w:rsidRPr="00B977AE">
        <w:rPr>
          <w:rFonts w:ascii="Book Antiqua" w:hAnsi="Book Antiqua" w:cs="Arial"/>
          <w:sz w:val="24"/>
          <w:szCs w:val="20"/>
          <w:lang w:val="en-US"/>
        </w:rPr>
        <w:t>(including</w:t>
      </w:r>
      <w:r w:rsidR="00373814" w:rsidRPr="00B977AE">
        <w:rPr>
          <w:rFonts w:ascii="Book Antiqua" w:hAnsi="Book Antiqua" w:cs="Arial"/>
          <w:sz w:val="24"/>
          <w:szCs w:val="20"/>
          <w:lang w:val="en-US"/>
        </w:rPr>
        <w:t xml:space="preserve"> ketoconazole and</w:t>
      </w:r>
      <w:r w:rsidR="00CB41BF" w:rsidRPr="00B977AE">
        <w:rPr>
          <w:rFonts w:ascii="Book Antiqua" w:hAnsi="Book Antiqua" w:cs="Arial"/>
          <w:sz w:val="24"/>
          <w:szCs w:val="20"/>
          <w:lang w:val="en-US"/>
        </w:rPr>
        <w:t xml:space="preserve"> the newer </w:t>
      </w:r>
      <w:proofErr w:type="spellStart"/>
      <w:r w:rsidR="002E6EFA" w:rsidRPr="00B977AE">
        <w:rPr>
          <w:rFonts w:ascii="Book Antiqua" w:hAnsi="Book Antiqua" w:cs="Arial"/>
          <w:sz w:val="24"/>
          <w:szCs w:val="20"/>
          <w:lang w:val="en-US"/>
        </w:rPr>
        <w:t>triazole</w:t>
      </w:r>
      <w:proofErr w:type="spellEnd"/>
      <w:r w:rsidR="002E6EFA" w:rsidRPr="00B977AE">
        <w:rPr>
          <w:rFonts w:ascii="Book Antiqua" w:hAnsi="Book Antiqua" w:cs="Arial"/>
          <w:sz w:val="24"/>
          <w:szCs w:val="20"/>
          <w:lang w:val="en-US"/>
        </w:rPr>
        <w:t xml:space="preserve"> derivatives </w:t>
      </w:r>
      <w:proofErr w:type="spellStart"/>
      <w:r w:rsidR="00CB41BF" w:rsidRPr="00B977AE">
        <w:rPr>
          <w:rFonts w:ascii="Book Antiqua" w:hAnsi="Book Antiqua" w:cs="Arial"/>
          <w:sz w:val="24"/>
          <w:szCs w:val="20"/>
          <w:lang w:val="en-US"/>
        </w:rPr>
        <w:t>voriconazole</w:t>
      </w:r>
      <w:proofErr w:type="spellEnd"/>
      <w:r w:rsidR="00CB41BF" w:rsidRPr="00B977AE">
        <w:rPr>
          <w:rFonts w:ascii="Book Antiqua" w:hAnsi="Book Antiqua" w:cs="Arial"/>
          <w:sz w:val="24"/>
          <w:szCs w:val="20"/>
          <w:lang w:val="en-US"/>
        </w:rPr>
        <w:t xml:space="preserve"> and </w:t>
      </w:r>
      <w:proofErr w:type="spellStart"/>
      <w:r w:rsidR="00CB41BF" w:rsidRPr="00B977AE">
        <w:rPr>
          <w:rFonts w:ascii="Book Antiqua" w:hAnsi="Book Antiqua" w:cs="Arial"/>
          <w:sz w:val="24"/>
          <w:szCs w:val="20"/>
          <w:lang w:val="en-US"/>
        </w:rPr>
        <w:t>posaconazole</w:t>
      </w:r>
      <w:proofErr w:type="spellEnd"/>
      <w:r w:rsidR="0089530A" w:rsidRPr="00B977AE">
        <w:rPr>
          <w:rFonts w:ascii="Book Antiqua" w:hAnsi="Book Antiqua" w:cs="Arial"/>
          <w:sz w:val="24"/>
          <w:szCs w:val="20"/>
          <w:lang w:val="en-US"/>
        </w:rPr>
        <w:t xml:space="preserve">) and </w:t>
      </w:r>
      <w:proofErr w:type="spellStart"/>
      <w:r w:rsidR="00B1325C" w:rsidRPr="00B977AE">
        <w:rPr>
          <w:rFonts w:ascii="Book Antiqua" w:hAnsi="Book Antiqua" w:cs="Arial"/>
          <w:sz w:val="24"/>
          <w:szCs w:val="20"/>
          <w:lang w:val="en-US"/>
        </w:rPr>
        <w:t>terbinafine</w:t>
      </w:r>
      <w:proofErr w:type="spellEnd"/>
      <w:r w:rsidR="0089530A" w:rsidRPr="00B977AE">
        <w:rPr>
          <w:rFonts w:ascii="Book Antiqua" w:hAnsi="Book Antiqua" w:cs="Arial"/>
          <w:sz w:val="24"/>
          <w:szCs w:val="20"/>
          <w:lang w:val="en-US"/>
        </w:rPr>
        <w:t xml:space="preserve"> (</w:t>
      </w:r>
      <w:r w:rsidR="00E90892" w:rsidRPr="00B977AE">
        <w:rPr>
          <w:rFonts w:ascii="Book Antiqua" w:hAnsi="Book Antiqua" w:cs="Arial"/>
          <w:sz w:val="24"/>
          <w:szCs w:val="20"/>
          <w:lang w:val="en-US"/>
        </w:rPr>
        <w:t xml:space="preserve">used systemically to treat </w:t>
      </w:r>
      <w:proofErr w:type="spellStart"/>
      <w:r w:rsidR="00E90892" w:rsidRPr="00B977AE">
        <w:rPr>
          <w:rFonts w:ascii="Book Antiqua" w:hAnsi="Book Antiqua" w:cs="Arial"/>
          <w:sz w:val="24"/>
          <w:szCs w:val="20"/>
          <w:lang w:val="en-US"/>
        </w:rPr>
        <w:t>onychomicosis</w:t>
      </w:r>
      <w:proofErr w:type="spellEnd"/>
      <w:r w:rsidR="0089530A" w:rsidRPr="00B977AE">
        <w:rPr>
          <w:rFonts w:ascii="Book Antiqua" w:hAnsi="Book Antiqua" w:cs="Arial"/>
          <w:sz w:val="24"/>
          <w:szCs w:val="20"/>
          <w:lang w:val="en-US"/>
        </w:rPr>
        <w:t>)</w:t>
      </w:r>
      <w:r w:rsidR="00CB41BF" w:rsidRPr="00B977AE">
        <w:rPr>
          <w:rFonts w:ascii="Book Antiqua" w:hAnsi="Book Antiqua" w:cs="Arial"/>
          <w:sz w:val="24"/>
          <w:szCs w:val="20"/>
          <w:lang w:val="en-US"/>
        </w:rPr>
        <w:t xml:space="preserve"> </w:t>
      </w:r>
      <w:r w:rsidR="00636899" w:rsidRPr="00B977AE">
        <w:rPr>
          <w:rFonts w:ascii="Book Antiqua" w:hAnsi="Book Antiqua" w:cs="Arial"/>
          <w:sz w:val="24"/>
          <w:szCs w:val="20"/>
          <w:lang w:val="en-US"/>
        </w:rPr>
        <w:t>generated a significant disproportionality</w:t>
      </w:r>
      <w:r w:rsidR="00CB41BF" w:rsidRPr="00B977AE">
        <w:rPr>
          <w:rFonts w:ascii="Book Antiqua" w:hAnsi="Book Antiqua" w:cs="Arial"/>
          <w:sz w:val="24"/>
          <w:szCs w:val="20"/>
          <w:lang w:val="en-US"/>
        </w:rPr>
        <w:t>, indicating a post-marketing signal of risk.</w:t>
      </w:r>
    </w:p>
    <w:p w:rsidR="00F152D8" w:rsidRPr="00B977AE" w:rsidRDefault="00F152D8" w:rsidP="004D1284">
      <w:pPr>
        <w:spacing w:line="360" w:lineRule="auto"/>
        <w:contextualSpacing/>
        <w:jc w:val="both"/>
        <w:rPr>
          <w:rFonts w:ascii="Book Antiqua" w:hAnsi="Book Antiqua" w:cs="Arial"/>
          <w:sz w:val="24"/>
          <w:szCs w:val="20"/>
          <w:lang w:val="en-US" w:eastAsia="zh-CN"/>
        </w:rPr>
      </w:pPr>
    </w:p>
    <w:p w:rsidR="00AA1631" w:rsidRPr="00B977AE" w:rsidRDefault="00AA1631" w:rsidP="004D1284">
      <w:pPr>
        <w:spacing w:line="360" w:lineRule="auto"/>
        <w:contextualSpacing/>
        <w:jc w:val="both"/>
        <w:rPr>
          <w:rFonts w:ascii="Book Antiqua" w:hAnsi="Book Antiqua" w:cs="Arial"/>
          <w:sz w:val="24"/>
          <w:szCs w:val="20"/>
          <w:lang w:val="en-US"/>
        </w:rPr>
      </w:pPr>
      <w:r w:rsidRPr="00B977AE">
        <w:rPr>
          <w:rFonts w:ascii="Book Antiqua" w:hAnsi="Book Antiqua" w:cs="Arial"/>
          <w:b/>
          <w:sz w:val="24"/>
          <w:szCs w:val="20"/>
          <w:lang w:val="en-US"/>
        </w:rPr>
        <w:t>CONCLUSION</w:t>
      </w:r>
      <w:r w:rsidR="00F152D8" w:rsidRPr="00B977AE">
        <w:rPr>
          <w:rFonts w:ascii="Book Antiqua" w:hAnsi="Book Antiqua" w:cs="Arial"/>
          <w:b/>
          <w:sz w:val="24"/>
          <w:szCs w:val="20"/>
          <w:lang w:val="en-US" w:eastAsia="zh-CN"/>
        </w:rPr>
        <w:t>:</w:t>
      </w:r>
      <w:r w:rsidR="00C323BB" w:rsidRPr="00B977AE">
        <w:rPr>
          <w:rFonts w:ascii="Book Antiqua" w:hAnsi="Book Antiqua" w:cs="Arial"/>
          <w:sz w:val="24"/>
          <w:szCs w:val="20"/>
          <w:lang w:val="en-US"/>
        </w:rPr>
        <w:t xml:space="preserve"> </w:t>
      </w:r>
      <w:r w:rsidR="00DE0E21" w:rsidRPr="00B977AE">
        <w:rPr>
          <w:rFonts w:ascii="Book Antiqua" w:hAnsi="Book Antiqua" w:cs="Arial"/>
          <w:sz w:val="24"/>
          <w:szCs w:val="20"/>
          <w:lang w:val="en-US"/>
        </w:rPr>
        <w:t xml:space="preserve">Virtually all </w:t>
      </w:r>
      <w:proofErr w:type="spellStart"/>
      <w:r w:rsidR="00DE0E21" w:rsidRPr="00B977AE">
        <w:rPr>
          <w:rFonts w:ascii="Book Antiqua" w:hAnsi="Book Antiqua" w:cs="Arial"/>
          <w:sz w:val="24"/>
          <w:szCs w:val="20"/>
          <w:lang w:val="en-US"/>
        </w:rPr>
        <w:t>antimycotics</w:t>
      </w:r>
      <w:proofErr w:type="spellEnd"/>
      <w:r w:rsidR="00DE0E21" w:rsidRPr="00B977AE">
        <w:rPr>
          <w:rFonts w:ascii="Book Antiqua" w:hAnsi="Book Antiqua" w:cs="Arial"/>
          <w:sz w:val="24"/>
          <w:szCs w:val="20"/>
          <w:lang w:val="en-US"/>
        </w:rPr>
        <w:t xml:space="preserve"> with systemic action or absorption are </w:t>
      </w:r>
      <w:r w:rsidR="00542FC2" w:rsidRPr="00B977AE">
        <w:rPr>
          <w:rFonts w:ascii="Book Antiqua" w:hAnsi="Book Antiqua" w:cs="Arial"/>
          <w:sz w:val="24"/>
          <w:szCs w:val="20"/>
          <w:lang w:val="en-US"/>
        </w:rPr>
        <w:t xml:space="preserve">commonly reported in </w:t>
      </w:r>
      <w:r w:rsidR="00DE0E21" w:rsidRPr="00B977AE">
        <w:rPr>
          <w:rFonts w:ascii="Book Antiqua" w:hAnsi="Book Antiqua" w:cs="Arial"/>
          <w:sz w:val="24"/>
          <w:szCs w:val="20"/>
          <w:lang w:val="en-US"/>
        </w:rPr>
        <w:t xml:space="preserve">clinically significant </w:t>
      </w:r>
      <w:r w:rsidR="00542FC2" w:rsidRPr="00B977AE">
        <w:rPr>
          <w:rFonts w:ascii="Book Antiqua" w:hAnsi="Book Antiqua" w:cs="Arial"/>
          <w:sz w:val="24"/>
          <w:szCs w:val="20"/>
          <w:lang w:val="en-US"/>
        </w:rPr>
        <w:t>cases</w:t>
      </w:r>
      <w:r w:rsidR="00DE0E21" w:rsidRPr="00B977AE">
        <w:rPr>
          <w:rFonts w:ascii="Book Antiqua" w:hAnsi="Book Antiqua" w:cs="Arial"/>
          <w:sz w:val="24"/>
          <w:szCs w:val="20"/>
          <w:lang w:val="en-US"/>
        </w:rPr>
        <w:t xml:space="preserve"> of DILI.</w:t>
      </w:r>
      <w:r w:rsidR="00FB7CB3" w:rsidRPr="00B977AE">
        <w:rPr>
          <w:rFonts w:ascii="Book Antiqua" w:hAnsi="Book Antiqua" w:cs="Arial"/>
          <w:sz w:val="24"/>
          <w:szCs w:val="20"/>
          <w:lang w:val="en-US"/>
        </w:rPr>
        <w:t xml:space="preserve"> Clinicians must be aware of this aspect</w:t>
      </w:r>
      <w:r w:rsidR="00D32F0D" w:rsidRPr="00B977AE">
        <w:rPr>
          <w:rFonts w:ascii="Book Antiqua" w:hAnsi="Book Antiqua" w:cs="Arial"/>
          <w:sz w:val="24"/>
          <w:szCs w:val="20"/>
          <w:lang w:val="en-US"/>
        </w:rPr>
        <w:t xml:space="preserve"> and monitor patients in case </w:t>
      </w:r>
      <w:r w:rsidR="00FB7CB3" w:rsidRPr="00B977AE">
        <w:rPr>
          <w:rFonts w:ascii="Book Antiqua" w:hAnsi="Book Antiqua" w:cs="Arial"/>
          <w:sz w:val="24"/>
          <w:szCs w:val="20"/>
          <w:lang w:val="en-US"/>
        </w:rPr>
        <w:t>switch</w:t>
      </w:r>
      <w:r w:rsidR="00EF4DC2" w:rsidRPr="00B977AE">
        <w:rPr>
          <w:rFonts w:ascii="Book Antiqua" w:hAnsi="Book Antiqua" w:cs="Arial"/>
          <w:sz w:val="24"/>
          <w:szCs w:val="20"/>
          <w:lang w:val="en-US"/>
        </w:rPr>
        <w:t xml:space="preserve"> </w:t>
      </w:r>
      <w:r w:rsidR="00017DE4" w:rsidRPr="00B977AE">
        <w:rPr>
          <w:rFonts w:ascii="Book Antiqua" w:hAnsi="Book Antiqua" w:cs="Arial"/>
          <w:sz w:val="24"/>
          <w:szCs w:val="20"/>
          <w:lang w:val="en-US"/>
        </w:rPr>
        <w:t>is considered</w:t>
      </w:r>
      <w:r w:rsidR="00EF4DC2" w:rsidRPr="00B977AE">
        <w:rPr>
          <w:rFonts w:ascii="Book Antiqua" w:hAnsi="Book Antiqua" w:cs="Arial"/>
          <w:sz w:val="24"/>
          <w:szCs w:val="20"/>
          <w:lang w:val="en-US"/>
        </w:rPr>
        <w:t>, especially in critical poly-treated patients under chronic treatment</w:t>
      </w:r>
      <w:r w:rsidR="00FB7CB3" w:rsidRPr="00B977AE">
        <w:rPr>
          <w:rFonts w:ascii="Book Antiqua" w:hAnsi="Book Antiqua" w:cs="Arial"/>
          <w:sz w:val="24"/>
          <w:szCs w:val="20"/>
          <w:lang w:val="en-US"/>
        </w:rPr>
        <w:t>.</w:t>
      </w:r>
    </w:p>
    <w:p w:rsidR="00B32395" w:rsidRPr="00B977AE" w:rsidRDefault="00B32395" w:rsidP="004D1284">
      <w:pPr>
        <w:spacing w:line="360" w:lineRule="auto"/>
        <w:contextualSpacing/>
        <w:jc w:val="both"/>
        <w:rPr>
          <w:rFonts w:ascii="Book Antiqua" w:hAnsi="Book Antiqua" w:cs="Arial"/>
          <w:b/>
          <w:sz w:val="24"/>
          <w:szCs w:val="20"/>
          <w:lang w:val="en-US"/>
        </w:rPr>
      </w:pPr>
    </w:p>
    <w:p w:rsidR="00F152D8" w:rsidRPr="00B977AE" w:rsidRDefault="00F152D8" w:rsidP="004D1284">
      <w:pPr>
        <w:spacing w:line="360" w:lineRule="auto"/>
        <w:jc w:val="both"/>
        <w:rPr>
          <w:rFonts w:ascii="Book Antiqua" w:hAnsi="Book Antiqua" w:cs="宋体"/>
          <w:sz w:val="24"/>
        </w:rPr>
      </w:pPr>
      <w:bookmarkStart w:id="105" w:name="OLE_LINK475"/>
      <w:r w:rsidRPr="00B977AE">
        <w:rPr>
          <w:rFonts w:ascii="Book Antiqua" w:hAnsi="Book Antiqua"/>
          <w:sz w:val="24"/>
        </w:rPr>
        <w:t xml:space="preserve">© </w:t>
      </w:r>
      <w:r w:rsidRPr="00B977AE">
        <w:rPr>
          <w:rFonts w:ascii="Book Antiqua" w:hAnsi="Book Antiqua" w:cs="宋体"/>
          <w:sz w:val="24"/>
        </w:rPr>
        <w:t xml:space="preserve">2014 Baishideng Publishing Group Inc. All rights reserved. </w:t>
      </w:r>
    </w:p>
    <w:bookmarkEnd w:id="105"/>
    <w:p w:rsidR="00B32395" w:rsidRPr="00B977AE" w:rsidRDefault="00B32395" w:rsidP="004D1284">
      <w:pPr>
        <w:spacing w:line="360" w:lineRule="auto"/>
        <w:contextualSpacing/>
        <w:jc w:val="both"/>
        <w:rPr>
          <w:rFonts w:ascii="Book Antiqua" w:hAnsi="Book Antiqua" w:cs="Arial"/>
          <w:b/>
          <w:sz w:val="24"/>
          <w:szCs w:val="20"/>
        </w:rPr>
      </w:pPr>
    </w:p>
    <w:p w:rsidR="002F2CD5" w:rsidRPr="00B977AE" w:rsidRDefault="002F2CD5" w:rsidP="004D1284">
      <w:pPr>
        <w:spacing w:line="360" w:lineRule="auto"/>
        <w:contextualSpacing/>
        <w:jc w:val="both"/>
        <w:rPr>
          <w:rFonts w:ascii="Book Antiqua" w:hAnsi="Book Antiqua" w:cs="Arial"/>
          <w:sz w:val="24"/>
          <w:szCs w:val="20"/>
          <w:lang w:val="en-US"/>
        </w:rPr>
      </w:pPr>
      <w:r w:rsidRPr="00B977AE">
        <w:rPr>
          <w:rFonts w:ascii="Book Antiqua" w:hAnsi="Book Antiqua" w:cs="Arial"/>
          <w:b/>
          <w:sz w:val="24"/>
          <w:szCs w:val="20"/>
          <w:lang w:val="en-US"/>
        </w:rPr>
        <w:t>Key</w:t>
      </w:r>
      <w:r w:rsidR="00AB4802" w:rsidRPr="00B977AE">
        <w:rPr>
          <w:rFonts w:ascii="Book Antiqua" w:hAnsi="Book Antiqua" w:cs="Arial"/>
          <w:b/>
          <w:sz w:val="24"/>
          <w:szCs w:val="20"/>
          <w:lang w:val="en-US" w:eastAsia="zh-CN"/>
        </w:rPr>
        <w:t xml:space="preserve"> </w:t>
      </w:r>
      <w:r w:rsidRPr="00B977AE">
        <w:rPr>
          <w:rFonts w:ascii="Book Antiqua" w:hAnsi="Book Antiqua" w:cs="Arial"/>
          <w:b/>
          <w:sz w:val="24"/>
          <w:szCs w:val="20"/>
          <w:lang w:val="en-US"/>
        </w:rPr>
        <w:t>words</w:t>
      </w:r>
      <w:r w:rsidR="004D6E68" w:rsidRPr="00B977AE">
        <w:rPr>
          <w:rFonts w:ascii="Book Antiqua" w:hAnsi="Book Antiqua" w:cs="Arial"/>
          <w:b/>
          <w:sz w:val="24"/>
          <w:szCs w:val="20"/>
          <w:lang w:val="en-US"/>
        </w:rPr>
        <w:t>:</w:t>
      </w:r>
      <w:r w:rsidR="00981A3A" w:rsidRPr="00B977AE">
        <w:rPr>
          <w:rFonts w:ascii="Book Antiqua" w:hAnsi="Book Antiqua" w:cs="Arial"/>
          <w:b/>
          <w:i/>
          <w:sz w:val="24"/>
          <w:szCs w:val="20"/>
          <w:lang w:val="en-US"/>
        </w:rPr>
        <w:t xml:space="preserve"> </w:t>
      </w:r>
      <w:r w:rsidR="00F152D8" w:rsidRPr="00B977AE">
        <w:rPr>
          <w:rFonts w:ascii="Book Antiqua" w:hAnsi="Book Antiqua" w:cs="Arial"/>
          <w:sz w:val="24"/>
          <w:szCs w:val="20"/>
          <w:lang w:val="en-US"/>
        </w:rPr>
        <w:t>D</w:t>
      </w:r>
      <w:r w:rsidR="000F139F" w:rsidRPr="00B977AE">
        <w:rPr>
          <w:rFonts w:ascii="Book Antiqua" w:hAnsi="Book Antiqua" w:cs="Arial"/>
          <w:sz w:val="24"/>
          <w:szCs w:val="20"/>
          <w:lang w:val="en-US"/>
        </w:rPr>
        <w:t>rug-induced</w:t>
      </w:r>
      <w:r w:rsidR="000F139F" w:rsidRPr="00B977AE">
        <w:rPr>
          <w:rFonts w:ascii="Book Antiqua" w:hAnsi="Book Antiqua" w:cs="Arial"/>
          <w:b/>
          <w:sz w:val="24"/>
          <w:szCs w:val="20"/>
          <w:lang w:val="en-US"/>
        </w:rPr>
        <w:t xml:space="preserve"> </w:t>
      </w:r>
      <w:r w:rsidR="00981A3A" w:rsidRPr="00B977AE">
        <w:rPr>
          <w:rFonts w:ascii="Book Antiqua" w:hAnsi="Book Antiqua" w:cs="Arial"/>
          <w:sz w:val="24"/>
          <w:szCs w:val="20"/>
          <w:lang w:val="en-US"/>
        </w:rPr>
        <w:t>hepatotoxicity</w:t>
      </w:r>
      <w:r w:rsidR="00F152D8" w:rsidRPr="00B977AE">
        <w:rPr>
          <w:rFonts w:ascii="Book Antiqua" w:hAnsi="Book Antiqua" w:cs="Arial"/>
          <w:sz w:val="24"/>
          <w:szCs w:val="20"/>
          <w:lang w:val="en-US" w:eastAsia="zh-CN"/>
        </w:rPr>
        <w:t>;</w:t>
      </w:r>
      <w:r w:rsidR="00981A3A" w:rsidRPr="00B977AE">
        <w:rPr>
          <w:rFonts w:ascii="Book Antiqua" w:hAnsi="Book Antiqua" w:cs="Arial"/>
          <w:sz w:val="24"/>
          <w:szCs w:val="20"/>
          <w:lang w:val="en-US"/>
        </w:rPr>
        <w:t xml:space="preserve"> </w:t>
      </w:r>
      <w:proofErr w:type="spellStart"/>
      <w:r w:rsidR="00F152D8" w:rsidRPr="00B977AE">
        <w:rPr>
          <w:rFonts w:ascii="Book Antiqua" w:hAnsi="Book Antiqua" w:cs="Arial"/>
          <w:sz w:val="24"/>
          <w:szCs w:val="20"/>
          <w:lang w:val="en-US"/>
        </w:rPr>
        <w:t>A</w:t>
      </w:r>
      <w:r w:rsidR="00C93A5A" w:rsidRPr="00B977AE">
        <w:rPr>
          <w:rFonts w:ascii="Book Antiqua" w:hAnsi="Book Antiqua" w:cs="Arial"/>
          <w:sz w:val="24"/>
          <w:szCs w:val="20"/>
          <w:lang w:val="en-US"/>
        </w:rPr>
        <w:t>ntimycotics</w:t>
      </w:r>
      <w:proofErr w:type="spellEnd"/>
      <w:r w:rsidR="00F152D8" w:rsidRPr="00B977AE">
        <w:rPr>
          <w:rFonts w:ascii="Book Antiqua" w:hAnsi="Book Antiqua" w:cs="Arial"/>
          <w:sz w:val="24"/>
          <w:szCs w:val="20"/>
          <w:lang w:val="en-US" w:eastAsia="zh-CN"/>
        </w:rPr>
        <w:t xml:space="preserve">; </w:t>
      </w:r>
      <w:r w:rsidR="00F152D8" w:rsidRPr="00B977AE">
        <w:rPr>
          <w:rFonts w:ascii="Book Antiqua" w:hAnsi="Book Antiqua" w:cs="Arial"/>
          <w:sz w:val="24"/>
          <w:szCs w:val="20"/>
          <w:lang w:val="en-US"/>
        </w:rPr>
        <w:t>D</w:t>
      </w:r>
      <w:r w:rsidR="006E616B" w:rsidRPr="00B977AE">
        <w:rPr>
          <w:rFonts w:ascii="Book Antiqua" w:hAnsi="Book Antiqua" w:cs="Arial"/>
          <w:sz w:val="24"/>
          <w:szCs w:val="20"/>
          <w:lang w:val="en-US"/>
        </w:rPr>
        <w:t>rug safety</w:t>
      </w:r>
      <w:r w:rsidR="00F152D8" w:rsidRPr="00B977AE">
        <w:rPr>
          <w:rFonts w:ascii="Book Antiqua" w:hAnsi="Book Antiqua" w:cs="Arial"/>
          <w:sz w:val="24"/>
          <w:szCs w:val="20"/>
          <w:lang w:val="en-US" w:eastAsia="zh-CN"/>
        </w:rPr>
        <w:t>;</w:t>
      </w:r>
      <w:r w:rsidR="006E616B" w:rsidRPr="00B977AE">
        <w:rPr>
          <w:rFonts w:ascii="Book Antiqua" w:hAnsi="Book Antiqua" w:cs="Arial"/>
          <w:sz w:val="24"/>
          <w:szCs w:val="20"/>
          <w:lang w:val="en-US"/>
        </w:rPr>
        <w:t xml:space="preserve"> </w:t>
      </w:r>
      <w:proofErr w:type="spellStart"/>
      <w:r w:rsidR="00F152D8" w:rsidRPr="00B977AE">
        <w:rPr>
          <w:rFonts w:ascii="Book Antiqua" w:hAnsi="Book Antiqua" w:cs="Arial"/>
          <w:sz w:val="24"/>
          <w:szCs w:val="20"/>
          <w:lang w:val="en-US"/>
        </w:rPr>
        <w:t>P</w:t>
      </w:r>
      <w:r w:rsidR="00981A3A" w:rsidRPr="00B977AE">
        <w:rPr>
          <w:rFonts w:ascii="Book Antiqua" w:hAnsi="Book Antiqua" w:cs="Arial"/>
          <w:sz w:val="24"/>
          <w:szCs w:val="20"/>
          <w:lang w:val="en-US"/>
        </w:rPr>
        <w:t>harmacovigilance</w:t>
      </w:r>
      <w:proofErr w:type="spellEnd"/>
      <w:r w:rsidR="00F152D8" w:rsidRPr="00B977AE">
        <w:rPr>
          <w:rFonts w:ascii="Book Antiqua" w:hAnsi="Book Antiqua" w:cs="Arial"/>
          <w:sz w:val="24"/>
          <w:szCs w:val="20"/>
          <w:lang w:val="en-US" w:eastAsia="zh-CN"/>
        </w:rPr>
        <w:t>;</w:t>
      </w:r>
      <w:r w:rsidR="00981A3A" w:rsidRPr="00B977AE">
        <w:rPr>
          <w:rFonts w:ascii="Book Antiqua" w:hAnsi="Book Antiqua" w:cs="Arial"/>
          <w:sz w:val="24"/>
          <w:szCs w:val="20"/>
          <w:lang w:val="en-US"/>
        </w:rPr>
        <w:t xml:space="preserve"> </w:t>
      </w:r>
      <w:r w:rsidR="00F152D8" w:rsidRPr="00B977AE">
        <w:rPr>
          <w:rFonts w:ascii="Book Antiqua" w:hAnsi="Book Antiqua" w:cs="Arial"/>
          <w:sz w:val="24"/>
          <w:szCs w:val="20"/>
          <w:lang w:val="en-US"/>
        </w:rPr>
        <w:t>S</w:t>
      </w:r>
      <w:r w:rsidR="00981A3A" w:rsidRPr="00B977AE">
        <w:rPr>
          <w:rFonts w:ascii="Book Antiqua" w:hAnsi="Book Antiqua" w:cs="Arial"/>
          <w:sz w:val="24"/>
          <w:szCs w:val="20"/>
          <w:lang w:val="en-US"/>
        </w:rPr>
        <w:t>pontaneous reporting systems</w:t>
      </w:r>
    </w:p>
    <w:p w:rsidR="002F2CD5" w:rsidRPr="00B977AE" w:rsidRDefault="002F2CD5" w:rsidP="004D1284">
      <w:pPr>
        <w:spacing w:line="360" w:lineRule="auto"/>
        <w:jc w:val="both"/>
        <w:rPr>
          <w:rFonts w:ascii="Book Antiqua" w:hAnsi="Book Antiqua" w:cs="Arial"/>
          <w:b/>
          <w:sz w:val="24"/>
          <w:szCs w:val="20"/>
          <w:lang w:val="en-US"/>
        </w:rPr>
      </w:pPr>
    </w:p>
    <w:p w:rsidR="002D68E5" w:rsidRPr="00B977AE" w:rsidRDefault="002F2CD5" w:rsidP="004D1284">
      <w:pPr>
        <w:spacing w:line="360" w:lineRule="auto"/>
        <w:jc w:val="both"/>
        <w:rPr>
          <w:rFonts w:ascii="Book Antiqua" w:hAnsi="Book Antiqua" w:cs="Arial"/>
          <w:sz w:val="24"/>
          <w:szCs w:val="20"/>
          <w:lang w:val="en-US" w:eastAsia="zh-CN"/>
        </w:rPr>
      </w:pPr>
      <w:r w:rsidRPr="00B977AE">
        <w:rPr>
          <w:rFonts w:ascii="Book Antiqua" w:hAnsi="Book Antiqua" w:cs="Arial"/>
          <w:b/>
          <w:sz w:val="24"/>
          <w:szCs w:val="20"/>
          <w:lang w:val="en-US"/>
        </w:rPr>
        <w:t>Core tip</w:t>
      </w:r>
      <w:r w:rsidR="00AB4802" w:rsidRPr="00B977AE">
        <w:rPr>
          <w:rFonts w:ascii="Book Antiqua" w:hAnsi="Book Antiqua" w:cs="Arial"/>
          <w:b/>
          <w:sz w:val="24"/>
          <w:szCs w:val="20"/>
          <w:lang w:val="en-US" w:eastAsia="zh-CN"/>
        </w:rPr>
        <w:t xml:space="preserve">: </w:t>
      </w:r>
      <w:r w:rsidR="00EB4E30" w:rsidRPr="00B977AE">
        <w:rPr>
          <w:rFonts w:ascii="Book Antiqua" w:hAnsi="Book Antiqua" w:cs="Arial"/>
          <w:sz w:val="24"/>
          <w:szCs w:val="20"/>
          <w:lang w:val="en-US"/>
        </w:rPr>
        <w:t xml:space="preserve">The recent </w:t>
      </w:r>
      <w:r w:rsidR="0035432E" w:rsidRPr="00B977AE">
        <w:rPr>
          <w:rFonts w:ascii="Book Antiqua" w:hAnsi="Book Antiqua" w:cs="Arial"/>
          <w:sz w:val="24"/>
          <w:szCs w:val="20"/>
          <w:lang w:val="en-US"/>
        </w:rPr>
        <w:t xml:space="preserve">regulatory interventions </w:t>
      </w:r>
      <w:r w:rsidR="00E81452" w:rsidRPr="00B977AE">
        <w:rPr>
          <w:rFonts w:ascii="Book Antiqua" w:hAnsi="Book Antiqua" w:cs="Arial"/>
          <w:sz w:val="24"/>
          <w:szCs w:val="20"/>
          <w:lang w:val="en-US"/>
        </w:rPr>
        <w:t>(US restriction and EU suspension</w:t>
      </w:r>
      <w:proofErr w:type="gramStart"/>
      <w:r w:rsidR="00E81452" w:rsidRPr="00B977AE">
        <w:rPr>
          <w:rFonts w:ascii="Book Antiqua" w:hAnsi="Book Antiqua" w:cs="Arial"/>
          <w:sz w:val="24"/>
          <w:szCs w:val="20"/>
          <w:lang w:val="en-US"/>
        </w:rPr>
        <w:t xml:space="preserve">) </w:t>
      </w:r>
      <w:r w:rsidR="0096334F" w:rsidRPr="00B977AE">
        <w:rPr>
          <w:rFonts w:ascii="Book Antiqua" w:hAnsi="Book Antiqua" w:cs="Arial"/>
          <w:sz w:val="24"/>
          <w:szCs w:val="20"/>
          <w:lang w:val="en-US"/>
        </w:rPr>
        <w:t>concerning</w:t>
      </w:r>
      <w:proofErr w:type="gramEnd"/>
      <w:r w:rsidR="00EB4E30" w:rsidRPr="00B977AE">
        <w:rPr>
          <w:rFonts w:ascii="Book Antiqua" w:hAnsi="Book Antiqua" w:cs="Arial"/>
          <w:sz w:val="24"/>
          <w:szCs w:val="20"/>
          <w:lang w:val="en-US"/>
        </w:rPr>
        <w:t xml:space="preserve"> ketoconazole</w:t>
      </w:r>
      <w:r w:rsidR="0035432E" w:rsidRPr="00B977AE">
        <w:rPr>
          <w:rFonts w:ascii="Book Antiqua" w:hAnsi="Book Antiqua" w:cs="Arial"/>
          <w:sz w:val="24"/>
          <w:szCs w:val="20"/>
          <w:lang w:val="en-US"/>
        </w:rPr>
        <w:t xml:space="preserve"> for </w:t>
      </w:r>
      <w:r w:rsidR="00E81452" w:rsidRPr="00B977AE">
        <w:rPr>
          <w:rFonts w:ascii="Book Antiqua" w:hAnsi="Book Antiqua" w:cs="Arial"/>
          <w:sz w:val="24"/>
          <w:szCs w:val="20"/>
          <w:lang w:val="en-US"/>
        </w:rPr>
        <w:t>drug-induced liver injury (</w:t>
      </w:r>
      <w:r w:rsidR="0035432E" w:rsidRPr="00B977AE">
        <w:rPr>
          <w:rFonts w:ascii="Book Antiqua" w:hAnsi="Book Antiqua" w:cs="Arial"/>
          <w:sz w:val="24"/>
          <w:szCs w:val="20"/>
          <w:lang w:val="en-US"/>
        </w:rPr>
        <w:t>DILI</w:t>
      </w:r>
      <w:r w:rsidR="00E81452" w:rsidRPr="00B977AE">
        <w:rPr>
          <w:rFonts w:ascii="Book Antiqua" w:hAnsi="Book Antiqua" w:cs="Arial"/>
          <w:sz w:val="24"/>
          <w:szCs w:val="20"/>
          <w:lang w:val="en-US"/>
        </w:rPr>
        <w:t>)</w:t>
      </w:r>
      <w:r w:rsidR="0035432E" w:rsidRPr="00B977AE">
        <w:rPr>
          <w:rFonts w:ascii="Book Antiqua" w:hAnsi="Book Antiqua" w:cs="Arial"/>
          <w:sz w:val="24"/>
          <w:szCs w:val="20"/>
          <w:lang w:val="en-US"/>
        </w:rPr>
        <w:t xml:space="preserve"> </w:t>
      </w:r>
      <w:r w:rsidR="00EB4E30" w:rsidRPr="00B977AE">
        <w:rPr>
          <w:rFonts w:ascii="Book Antiqua" w:hAnsi="Book Antiqua" w:cs="Arial"/>
          <w:sz w:val="24"/>
          <w:szCs w:val="20"/>
          <w:lang w:val="en-US"/>
        </w:rPr>
        <w:t>poses a prescribing challenge to clinicians, who should now carefully consider safer therapeutic alternatives.</w:t>
      </w:r>
      <w:r w:rsidR="008306E0" w:rsidRPr="00B977AE">
        <w:rPr>
          <w:rFonts w:ascii="Book Antiqua" w:hAnsi="Book Antiqua" w:cs="Arial"/>
          <w:sz w:val="24"/>
          <w:szCs w:val="20"/>
          <w:lang w:val="en-US" w:eastAsia="zh-CN"/>
        </w:rPr>
        <w:t xml:space="preserve"> </w:t>
      </w:r>
      <w:r w:rsidR="00EB4E30" w:rsidRPr="00B977AE">
        <w:rPr>
          <w:rFonts w:ascii="Book Antiqua" w:hAnsi="Book Antiqua" w:cs="Arial"/>
          <w:sz w:val="24"/>
          <w:szCs w:val="20"/>
          <w:lang w:val="en-US"/>
        </w:rPr>
        <w:lastRenderedPageBreak/>
        <w:t xml:space="preserve">Data mining of FAERS database </w:t>
      </w:r>
      <w:r w:rsidR="002162E2" w:rsidRPr="00B977AE">
        <w:rPr>
          <w:rFonts w:ascii="Book Antiqua" w:hAnsi="Book Antiqua" w:cs="Arial"/>
          <w:sz w:val="24"/>
          <w:szCs w:val="20"/>
          <w:lang w:val="en-US"/>
        </w:rPr>
        <w:t xml:space="preserve">(2004-2011) </w:t>
      </w:r>
      <w:r w:rsidR="00EB4E30" w:rsidRPr="00B977AE">
        <w:rPr>
          <w:rFonts w:ascii="Book Antiqua" w:hAnsi="Book Antiqua" w:cs="Arial"/>
          <w:sz w:val="24"/>
          <w:szCs w:val="20"/>
          <w:lang w:val="en-US"/>
        </w:rPr>
        <w:t xml:space="preserve">highlighted </w:t>
      </w:r>
      <w:r w:rsidR="002162E2" w:rsidRPr="00B977AE">
        <w:rPr>
          <w:rFonts w:ascii="Book Antiqua" w:hAnsi="Book Antiqua" w:cs="Arial"/>
          <w:sz w:val="24"/>
          <w:szCs w:val="20"/>
          <w:lang w:val="en-US"/>
        </w:rPr>
        <w:t>tha</w:t>
      </w:r>
      <w:r w:rsidR="0035432E" w:rsidRPr="00B977AE">
        <w:rPr>
          <w:rFonts w:ascii="Book Antiqua" w:hAnsi="Book Antiqua" w:cs="Arial"/>
          <w:sz w:val="24"/>
          <w:szCs w:val="20"/>
          <w:lang w:val="en-US"/>
        </w:rPr>
        <w:t>t: (</w:t>
      </w:r>
      <w:r w:rsidR="00661217" w:rsidRPr="00B977AE">
        <w:rPr>
          <w:rFonts w:ascii="Book Antiqua" w:hAnsi="Book Antiqua" w:cs="Arial"/>
          <w:sz w:val="24"/>
          <w:szCs w:val="20"/>
          <w:lang w:val="en-US" w:eastAsia="zh-CN"/>
        </w:rPr>
        <w:t>1</w:t>
      </w:r>
      <w:r w:rsidR="0035432E" w:rsidRPr="00B977AE">
        <w:rPr>
          <w:rFonts w:ascii="Book Antiqua" w:hAnsi="Book Antiqua" w:cs="Arial"/>
          <w:sz w:val="24"/>
          <w:szCs w:val="20"/>
          <w:lang w:val="en-US"/>
        </w:rPr>
        <w:t xml:space="preserve">) </w:t>
      </w:r>
      <w:proofErr w:type="spellStart"/>
      <w:r w:rsidR="0035432E" w:rsidRPr="00B977AE">
        <w:rPr>
          <w:rFonts w:ascii="Book Antiqua" w:hAnsi="Book Antiqua" w:cs="Arial"/>
          <w:sz w:val="24"/>
          <w:szCs w:val="20"/>
          <w:lang w:val="en-US"/>
        </w:rPr>
        <w:t>antimycotics</w:t>
      </w:r>
      <w:proofErr w:type="spellEnd"/>
      <w:r w:rsidR="0035432E" w:rsidRPr="00B977AE">
        <w:rPr>
          <w:rFonts w:ascii="Book Antiqua" w:hAnsi="Book Antiqua" w:cs="Arial"/>
          <w:sz w:val="24"/>
          <w:szCs w:val="20"/>
          <w:lang w:val="en-US"/>
        </w:rPr>
        <w:t xml:space="preserve"> are involv</w:t>
      </w:r>
      <w:r w:rsidR="002162E2" w:rsidRPr="00B977AE">
        <w:rPr>
          <w:rFonts w:ascii="Book Antiqua" w:hAnsi="Book Antiqua" w:cs="Arial"/>
          <w:sz w:val="24"/>
          <w:szCs w:val="20"/>
          <w:lang w:val="en-US"/>
        </w:rPr>
        <w:t xml:space="preserve">ed in </w:t>
      </w:r>
      <w:r w:rsidR="00775EC0" w:rsidRPr="00B977AE">
        <w:rPr>
          <w:rFonts w:ascii="Book Antiqua" w:hAnsi="Book Antiqua" w:cs="Arial"/>
          <w:sz w:val="24"/>
          <w:szCs w:val="20"/>
          <w:lang w:val="en-US"/>
        </w:rPr>
        <w:t xml:space="preserve">approximately </w:t>
      </w:r>
      <w:r w:rsidR="002162E2" w:rsidRPr="00B977AE">
        <w:rPr>
          <w:rFonts w:ascii="Book Antiqua" w:hAnsi="Book Antiqua" w:cs="Arial"/>
          <w:sz w:val="24"/>
          <w:szCs w:val="20"/>
          <w:lang w:val="en-US"/>
        </w:rPr>
        <w:t>3% of DILI cases (</w:t>
      </w:r>
      <w:r w:rsidR="00775EC0" w:rsidRPr="00B977AE">
        <w:rPr>
          <w:rFonts w:ascii="Book Antiqua" w:hAnsi="Book Antiqua" w:cs="Arial"/>
          <w:sz w:val="24"/>
          <w:szCs w:val="20"/>
          <w:lang w:val="en-US"/>
        </w:rPr>
        <w:t xml:space="preserve">including </w:t>
      </w:r>
      <w:r w:rsidR="002162E2" w:rsidRPr="00B977AE">
        <w:rPr>
          <w:rFonts w:ascii="Book Antiqua" w:hAnsi="Book Antiqua" w:cs="Arial"/>
          <w:sz w:val="24"/>
          <w:szCs w:val="20"/>
          <w:lang w:val="en-US"/>
        </w:rPr>
        <w:t>acute liver failure</w:t>
      </w:r>
      <w:r w:rsidR="00775EC0" w:rsidRPr="00B977AE">
        <w:rPr>
          <w:rFonts w:ascii="Book Antiqua" w:hAnsi="Book Antiqua" w:cs="Arial"/>
          <w:sz w:val="24"/>
          <w:szCs w:val="20"/>
          <w:lang w:val="en-US"/>
        </w:rPr>
        <w:t xml:space="preserve"> events</w:t>
      </w:r>
      <w:r w:rsidR="002162E2" w:rsidRPr="00B977AE">
        <w:rPr>
          <w:rFonts w:ascii="Book Antiqua" w:hAnsi="Book Antiqua" w:cs="Arial"/>
          <w:sz w:val="24"/>
          <w:szCs w:val="20"/>
          <w:lang w:val="en-US"/>
        </w:rPr>
        <w:t>); (</w:t>
      </w:r>
      <w:r w:rsidR="00661217" w:rsidRPr="00B977AE">
        <w:rPr>
          <w:rFonts w:ascii="Book Antiqua" w:hAnsi="Book Antiqua" w:cs="Arial"/>
          <w:sz w:val="24"/>
          <w:szCs w:val="20"/>
          <w:lang w:val="en-US" w:eastAsia="zh-CN"/>
        </w:rPr>
        <w:t>2</w:t>
      </w:r>
      <w:r w:rsidR="002162E2" w:rsidRPr="00B977AE">
        <w:rPr>
          <w:rFonts w:ascii="Book Antiqua" w:hAnsi="Book Antiqua" w:cs="Arial"/>
          <w:sz w:val="24"/>
          <w:szCs w:val="20"/>
          <w:lang w:val="en-US"/>
        </w:rPr>
        <w:t xml:space="preserve">) </w:t>
      </w:r>
      <w:r w:rsidR="0035432E" w:rsidRPr="00B977AE">
        <w:rPr>
          <w:rFonts w:ascii="Book Antiqua" w:hAnsi="Book Antiqua" w:cs="Arial"/>
          <w:sz w:val="24"/>
          <w:szCs w:val="20"/>
          <w:lang w:val="en-US"/>
        </w:rPr>
        <w:t>virtually all systemic</w:t>
      </w:r>
      <w:r w:rsidR="00EB4E30" w:rsidRPr="00B977AE">
        <w:rPr>
          <w:rFonts w:ascii="Book Antiqua" w:hAnsi="Book Antiqua" w:cs="Arial"/>
          <w:sz w:val="24"/>
          <w:szCs w:val="20"/>
          <w:lang w:val="en-US"/>
        </w:rPr>
        <w:t xml:space="preserve"> </w:t>
      </w:r>
      <w:proofErr w:type="spellStart"/>
      <w:r w:rsidR="00EB4E30" w:rsidRPr="00B977AE">
        <w:rPr>
          <w:rFonts w:ascii="Book Antiqua" w:hAnsi="Book Antiqua" w:cs="Arial"/>
          <w:sz w:val="24"/>
          <w:szCs w:val="20"/>
          <w:lang w:val="en-US"/>
        </w:rPr>
        <w:t>antimycotics</w:t>
      </w:r>
      <w:proofErr w:type="spellEnd"/>
      <w:r w:rsidR="00775EC0" w:rsidRPr="00B977AE">
        <w:rPr>
          <w:rFonts w:ascii="Book Antiqua" w:hAnsi="Book Antiqua" w:cs="Arial"/>
          <w:sz w:val="24"/>
          <w:szCs w:val="20"/>
          <w:lang w:val="en-US"/>
        </w:rPr>
        <w:t xml:space="preserve"> (</w:t>
      </w:r>
      <w:r w:rsidR="0004797C" w:rsidRPr="0004797C">
        <w:rPr>
          <w:rFonts w:ascii="Book Antiqua" w:hAnsi="Book Antiqua" w:cs="Arial"/>
          <w:i/>
          <w:sz w:val="24"/>
          <w:szCs w:val="20"/>
          <w:lang w:val="en-US"/>
        </w:rPr>
        <w:t>e.g</w:t>
      </w:r>
      <w:r w:rsidR="00775EC0" w:rsidRPr="00B977AE">
        <w:rPr>
          <w:rFonts w:ascii="Book Antiqua" w:hAnsi="Book Antiqua" w:cs="Arial"/>
          <w:sz w:val="24"/>
          <w:szCs w:val="20"/>
          <w:lang w:val="en-US"/>
        </w:rPr>
        <w:t xml:space="preserve">., </w:t>
      </w:r>
      <w:r w:rsidR="00EB4E30" w:rsidRPr="00B977AE">
        <w:rPr>
          <w:rFonts w:ascii="Book Antiqua" w:hAnsi="Book Antiqua" w:cs="Arial"/>
          <w:sz w:val="24"/>
          <w:szCs w:val="20"/>
          <w:lang w:val="en-US"/>
        </w:rPr>
        <w:t>azole derivat</w:t>
      </w:r>
      <w:r w:rsidR="00D46F38" w:rsidRPr="00B977AE">
        <w:rPr>
          <w:rFonts w:ascii="Book Antiqua" w:hAnsi="Book Antiqua" w:cs="Arial"/>
          <w:sz w:val="24"/>
          <w:szCs w:val="20"/>
          <w:lang w:val="en-US"/>
        </w:rPr>
        <w:t>iv</w:t>
      </w:r>
      <w:r w:rsidR="00EB4E30" w:rsidRPr="00B977AE">
        <w:rPr>
          <w:rFonts w:ascii="Book Antiqua" w:hAnsi="Book Antiqua" w:cs="Arial"/>
          <w:sz w:val="24"/>
          <w:szCs w:val="20"/>
          <w:lang w:val="en-US"/>
        </w:rPr>
        <w:t>es</w:t>
      </w:r>
      <w:r w:rsidR="00775EC0" w:rsidRPr="00B977AE">
        <w:rPr>
          <w:rFonts w:ascii="Book Antiqua" w:hAnsi="Book Antiqua" w:cs="Arial"/>
          <w:sz w:val="24"/>
          <w:szCs w:val="20"/>
          <w:lang w:val="en-US"/>
        </w:rPr>
        <w:t>)</w:t>
      </w:r>
      <w:r w:rsidR="00EB4E30" w:rsidRPr="00B977AE">
        <w:rPr>
          <w:rFonts w:ascii="Book Antiqua" w:hAnsi="Book Antiqua" w:cs="Arial"/>
          <w:sz w:val="24"/>
          <w:szCs w:val="20"/>
          <w:lang w:val="en-US"/>
        </w:rPr>
        <w:t xml:space="preserve">, </w:t>
      </w:r>
      <w:r w:rsidR="002162E2" w:rsidRPr="00B977AE">
        <w:rPr>
          <w:rFonts w:ascii="Book Antiqua" w:hAnsi="Book Antiqua" w:cs="Arial"/>
          <w:sz w:val="24"/>
          <w:szCs w:val="20"/>
          <w:lang w:val="en-US"/>
        </w:rPr>
        <w:t xml:space="preserve">are </w:t>
      </w:r>
      <w:r w:rsidR="00EB4E30" w:rsidRPr="00B977AE">
        <w:rPr>
          <w:rFonts w:ascii="Book Antiqua" w:hAnsi="Book Antiqua" w:cs="Arial"/>
          <w:sz w:val="24"/>
          <w:szCs w:val="20"/>
          <w:lang w:val="en-US"/>
        </w:rPr>
        <w:t>associated with disproportionality signal</w:t>
      </w:r>
      <w:r w:rsidR="004D24B6" w:rsidRPr="00B977AE">
        <w:rPr>
          <w:rFonts w:ascii="Book Antiqua" w:hAnsi="Book Antiqua" w:cs="Arial"/>
          <w:sz w:val="24"/>
          <w:szCs w:val="20"/>
          <w:lang w:val="en-US"/>
        </w:rPr>
        <w:t>s</w:t>
      </w:r>
      <w:r w:rsidR="002162E2" w:rsidRPr="00B977AE">
        <w:rPr>
          <w:rFonts w:ascii="Book Antiqua" w:hAnsi="Book Antiqua" w:cs="Arial"/>
          <w:sz w:val="24"/>
          <w:szCs w:val="20"/>
          <w:lang w:val="en-US"/>
        </w:rPr>
        <w:t xml:space="preserve">; </w:t>
      </w:r>
      <w:r w:rsidR="00FD02C5" w:rsidRPr="00B977AE">
        <w:rPr>
          <w:rFonts w:ascii="Book Antiqua" w:hAnsi="Book Antiqua" w:cs="Arial"/>
          <w:sz w:val="24"/>
          <w:szCs w:val="20"/>
          <w:lang w:val="en-US"/>
        </w:rPr>
        <w:t xml:space="preserve">careful monitoring </w:t>
      </w:r>
      <w:r w:rsidR="00F15323" w:rsidRPr="00B977AE">
        <w:rPr>
          <w:rFonts w:ascii="Book Antiqua" w:hAnsi="Book Antiqua" w:cs="Arial"/>
          <w:sz w:val="24"/>
          <w:szCs w:val="20"/>
          <w:lang w:val="en-US"/>
        </w:rPr>
        <w:t>is therefore recommended</w:t>
      </w:r>
      <w:r w:rsidR="00FD02C5" w:rsidRPr="00B977AE">
        <w:rPr>
          <w:rFonts w:ascii="Book Antiqua" w:hAnsi="Book Antiqua" w:cs="Arial"/>
          <w:sz w:val="24"/>
          <w:szCs w:val="20"/>
          <w:lang w:val="en-US"/>
        </w:rPr>
        <w:t>, especially in critical</w:t>
      </w:r>
      <w:r w:rsidR="00F15323" w:rsidRPr="00B977AE">
        <w:rPr>
          <w:rFonts w:ascii="Book Antiqua" w:hAnsi="Book Antiqua" w:cs="Arial"/>
          <w:sz w:val="24"/>
          <w:szCs w:val="20"/>
          <w:lang w:val="en-US"/>
        </w:rPr>
        <w:t xml:space="preserve"> poly-treated</w:t>
      </w:r>
      <w:r w:rsidR="00FD02C5" w:rsidRPr="00B977AE">
        <w:rPr>
          <w:rFonts w:ascii="Book Antiqua" w:hAnsi="Book Antiqua" w:cs="Arial"/>
          <w:sz w:val="24"/>
          <w:szCs w:val="20"/>
          <w:lang w:val="en-US"/>
        </w:rPr>
        <w:t xml:space="preserve"> patients with multiple </w:t>
      </w:r>
      <w:r w:rsidR="00F15323" w:rsidRPr="00B977AE">
        <w:rPr>
          <w:rFonts w:ascii="Book Antiqua" w:hAnsi="Book Antiqua" w:cs="Arial"/>
          <w:sz w:val="24"/>
          <w:szCs w:val="20"/>
          <w:lang w:val="en-US"/>
        </w:rPr>
        <w:t>comorbidities</w:t>
      </w:r>
      <w:r w:rsidR="00FD02C5" w:rsidRPr="00B977AE">
        <w:rPr>
          <w:rFonts w:ascii="Book Antiqua" w:hAnsi="Book Antiqua" w:cs="Arial"/>
          <w:sz w:val="24"/>
          <w:szCs w:val="20"/>
          <w:lang w:val="en-US"/>
        </w:rPr>
        <w:t xml:space="preserve">; </w:t>
      </w:r>
      <w:r w:rsidR="00661217" w:rsidRPr="00B977AE">
        <w:rPr>
          <w:rFonts w:ascii="Book Antiqua" w:hAnsi="Book Antiqua" w:cs="Arial"/>
          <w:sz w:val="24"/>
          <w:szCs w:val="20"/>
          <w:lang w:val="en-US" w:eastAsia="zh-CN"/>
        </w:rPr>
        <w:t xml:space="preserve">and </w:t>
      </w:r>
      <w:r w:rsidR="002162E2" w:rsidRPr="00B977AE">
        <w:rPr>
          <w:rFonts w:ascii="Book Antiqua" w:hAnsi="Book Antiqua" w:cs="Arial"/>
          <w:sz w:val="24"/>
          <w:szCs w:val="20"/>
          <w:lang w:val="en-US"/>
        </w:rPr>
        <w:t>(</w:t>
      </w:r>
      <w:r w:rsidR="00661217" w:rsidRPr="00B977AE">
        <w:rPr>
          <w:rFonts w:ascii="Book Antiqua" w:hAnsi="Book Antiqua" w:cs="Arial"/>
          <w:sz w:val="24"/>
          <w:szCs w:val="20"/>
          <w:lang w:val="en-US" w:eastAsia="zh-CN"/>
        </w:rPr>
        <w:t>3</w:t>
      </w:r>
      <w:r w:rsidR="002162E2" w:rsidRPr="00B977AE">
        <w:rPr>
          <w:rFonts w:ascii="Book Antiqua" w:hAnsi="Book Antiqua" w:cs="Arial"/>
          <w:sz w:val="24"/>
          <w:szCs w:val="20"/>
          <w:lang w:val="en-US"/>
        </w:rPr>
        <w:t>)</w:t>
      </w:r>
      <w:r w:rsidR="00A61164" w:rsidRPr="00B977AE">
        <w:rPr>
          <w:rFonts w:ascii="Book Antiqua" w:hAnsi="Book Antiqua" w:cs="Arial"/>
          <w:sz w:val="24"/>
          <w:szCs w:val="20"/>
          <w:lang w:val="en-US"/>
        </w:rPr>
        <w:t xml:space="preserve"> </w:t>
      </w:r>
      <w:r w:rsidR="00D46F38" w:rsidRPr="00B977AE">
        <w:rPr>
          <w:rFonts w:ascii="Book Antiqua" w:hAnsi="Book Antiqua" w:cs="Arial"/>
          <w:sz w:val="24"/>
          <w:szCs w:val="20"/>
          <w:lang w:val="en-US"/>
        </w:rPr>
        <w:t xml:space="preserve">topical </w:t>
      </w:r>
      <w:proofErr w:type="spellStart"/>
      <w:r w:rsidR="00D46F38" w:rsidRPr="00B977AE">
        <w:rPr>
          <w:rFonts w:ascii="Book Antiqua" w:hAnsi="Book Antiqua" w:cs="Arial"/>
          <w:sz w:val="24"/>
          <w:szCs w:val="20"/>
          <w:lang w:val="en-US"/>
        </w:rPr>
        <w:t>antimycotics</w:t>
      </w:r>
      <w:proofErr w:type="spellEnd"/>
      <w:r w:rsidR="00D46F38" w:rsidRPr="00B977AE">
        <w:rPr>
          <w:rFonts w:ascii="Book Antiqua" w:hAnsi="Book Antiqua" w:cs="Arial"/>
          <w:sz w:val="24"/>
          <w:szCs w:val="20"/>
          <w:lang w:val="en-US"/>
        </w:rPr>
        <w:t xml:space="preserve">, as expected, </w:t>
      </w:r>
      <w:r w:rsidR="00813B54" w:rsidRPr="00B977AE">
        <w:rPr>
          <w:rFonts w:ascii="Book Antiqua" w:hAnsi="Book Antiqua" w:cs="Arial"/>
          <w:sz w:val="24"/>
          <w:szCs w:val="20"/>
          <w:lang w:val="en-US"/>
        </w:rPr>
        <w:t xml:space="preserve">do not generate </w:t>
      </w:r>
      <w:r w:rsidR="005878D2" w:rsidRPr="00B977AE">
        <w:rPr>
          <w:rFonts w:ascii="Book Antiqua" w:hAnsi="Book Antiqua" w:cs="Arial"/>
          <w:sz w:val="24"/>
          <w:szCs w:val="20"/>
          <w:lang w:val="en-US"/>
        </w:rPr>
        <w:t>a post-marketing signal of DILI</w:t>
      </w:r>
      <w:r w:rsidR="000F20FA" w:rsidRPr="00B977AE">
        <w:rPr>
          <w:rFonts w:ascii="Book Antiqua" w:hAnsi="Book Antiqua" w:cs="Arial"/>
          <w:sz w:val="24"/>
          <w:szCs w:val="20"/>
          <w:lang w:val="en-US"/>
        </w:rPr>
        <w:t xml:space="preserve">, thus </w:t>
      </w:r>
      <w:r w:rsidR="00D46F38" w:rsidRPr="00B977AE">
        <w:rPr>
          <w:rFonts w:ascii="Book Antiqua" w:hAnsi="Book Antiqua" w:cs="Arial"/>
          <w:sz w:val="24"/>
          <w:szCs w:val="20"/>
          <w:lang w:val="en-US"/>
        </w:rPr>
        <w:t>indic</w:t>
      </w:r>
      <w:r w:rsidR="0096334F" w:rsidRPr="00B977AE">
        <w:rPr>
          <w:rFonts w:ascii="Book Antiqua" w:hAnsi="Book Antiqua" w:cs="Arial"/>
          <w:sz w:val="24"/>
          <w:szCs w:val="20"/>
          <w:lang w:val="en-US"/>
        </w:rPr>
        <w:t>at</w:t>
      </w:r>
      <w:r w:rsidR="000F20FA" w:rsidRPr="00B977AE">
        <w:rPr>
          <w:rFonts w:ascii="Book Antiqua" w:hAnsi="Book Antiqua" w:cs="Arial"/>
          <w:sz w:val="24"/>
          <w:szCs w:val="20"/>
          <w:lang w:val="en-US"/>
        </w:rPr>
        <w:t>ing</w:t>
      </w:r>
      <w:r w:rsidR="0096334F" w:rsidRPr="00B977AE">
        <w:rPr>
          <w:rFonts w:ascii="Book Antiqua" w:hAnsi="Book Antiqua" w:cs="Arial"/>
          <w:sz w:val="24"/>
          <w:szCs w:val="20"/>
          <w:lang w:val="en-US"/>
        </w:rPr>
        <w:t xml:space="preserve"> the </w:t>
      </w:r>
      <w:r w:rsidR="00D72BC5" w:rsidRPr="00B977AE">
        <w:rPr>
          <w:rFonts w:ascii="Book Antiqua" w:hAnsi="Book Antiqua" w:cs="Arial"/>
          <w:sz w:val="24"/>
          <w:szCs w:val="20"/>
          <w:lang w:val="en-US"/>
        </w:rPr>
        <w:t>accuracy</w:t>
      </w:r>
      <w:r w:rsidR="0096334F" w:rsidRPr="00B977AE">
        <w:rPr>
          <w:rFonts w:ascii="Book Antiqua" w:hAnsi="Book Antiqua" w:cs="Arial"/>
          <w:sz w:val="24"/>
          <w:szCs w:val="20"/>
          <w:lang w:val="en-US"/>
        </w:rPr>
        <w:t xml:space="preserve"> of our appro</w:t>
      </w:r>
      <w:r w:rsidR="00D46F38" w:rsidRPr="00B977AE">
        <w:rPr>
          <w:rFonts w:ascii="Book Antiqua" w:hAnsi="Book Antiqua" w:cs="Arial"/>
          <w:sz w:val="24"/>
          <w:szCs w:val="20"/>
          <w:lang w:val="en-US"/>
        </w:rPr>
        <w:t>ach</w:t>
      </w:r>
      <w:r w:rsidR="007C091F" w:rsidRPr="00B977AE">
        <w:rPr>
          <w:rFonts w:ascii="Book Antiqua" w:hAnsi="Book Antiqua" w:cs="Arial"/>
          <w:sz w:val="24"/>
          <w:szCs w:val="20"/>
          <w:lang w:val="en-US"/>
        </w:rPr>
        <w:t>.</w:t>
      </w:r>
    </w:p>
    <w:p w:rsidR="00CC53D5" w:rsidRPr="00B977AE" w:rsidRDefault="00CC53D5" w:rsidP="004D1284">
      <w:pPr>
        <w:spacing w:line="360" w:lineRule="auto"/>
        <w:contextualSpacing/>
        <w:jc w:val="both"/>
        <w:rPr>
          <w:rFonts w:ascii="Book Antiqua" w:hAnsi="Book Antiqua" w:cs="Arial"/>
          <w:sz w:val="24"/>
          <w:szCs w:val="20"/>
          <w:lang w:val="en-US" w:eastAsia="zh-CN"/>
        </w:rPr>
      </w:pPr>
    </w:p>
    <w:p w:rsidR="00010F05" w:rsidRPr="00B977AE" w:rsidRDefault="00010F05" w:rsidP="004D1284">
      <w:pPr>
        <w:spacing w:line="360" w:lineRule="auto"/>
        <w:jc w:val="both"/>
        <w:rPr>
          <w:rFonts w:ascii="Book Antiqua" w:hAnsi="Book Antiqua"/>
          <w:sz w:val="24"/>
        </w:rPr>
      </w:pPr>
      <w:r w:rsidRPr="00B977AE">
        <w:rPr>
          <w:rFonts w:ascii="Book Antiqua" w:hAnsi="Book Antiqua"/>
          <w:sz w:val="24"/>
        </w:rPr>
        <w:t>Raschi</w:t>
      </w:r>
      <w:r w:rsidRPr="00B977AE">
        <w:rPr>
          <w:rFonts w:ascii="Book Antiqua" w:hAnsi="Book Antiqua"/>
          <w:sz w:val="24"/>
          <w:lang w:eastAsia="zh-CN"/>
        </w:rPr>
        <w:t xml:space="preserve"> E</w:t>
      </w:r>
      <w:r w:rsidRPr="00B977AE">
        <w:rPr>
          <w:rFonts w:ascii="Book Antiqua" w:hAnsi="Book Antiqua"/>
          <w:sz w:val="24"/>
        </w:rPr>
        <w:t>, Poluzzi</w:t>
      </w:r>
      <w:r w:rsidRPr="00B977AE">
        <w:rPr>
          <w:rFonts w:ascii="Book Antiqua" w:hAnsi="Book Antiqua"/>
          <w:sz w:val="24"/>
          <w:lang w:eastAsia="zh-CN"/>
        </w:rPr>
        <w:t xml:space="preserve"> E</w:t>
      </w:r>
      <w:r w:rsidRPr="00B977AE">
        <w:rPr>
          <w:rFonts w:ascii="Book Antiqua" w:hAnsi="Book Antiqua"/>
          <w:sz w:val="24"/>
        </w:rPr>
        <w:t>, Koci</w:t>
      </w:r>
      <w:r w:rsidRPr="00B977AE">
        <w:rPr>
          <w:rFonts w:ascii="Book Antiqua" w:hAnsi="Book Antiqua"/>
          <w:sz w:val="24"/>
          <w:lang w:eastAsia="zh-CN"/>
        </w:rPr>
        <w:t xml:space="preserve"> A</w:t>
      </w:r>
      <w:r w:rsidRPr="00B977AE">
        <w:rPr>
          <w:rFonts w:ascii="Book Antiqua" w:hAnsi="Book Antiqua"/>
          <w:sz w:val="24"/>
        </w:rPr>
        <w:t>, Caraceni</w:t>
      </w:r>
      <w:r w:rsidRPr="00B977AE">
        <w:rPr>
          <w:rFonts w:ascii="Book Antiqua" w:hAnsi="Book Antiqua"/>
          <w:sz w:val="24"/>
          <w:lang w:eastAsia="zh-CN"/>
        </w:rPr>
        <w:t xml:space="preserve"> P</w:t>
      </w:r>
      <w:r w:rsidRPr="00B977AE">
        <w:rPr>
          <w:rFonts w:ascii="Book Antiqua" w:hAnsi="Book Antiqua"/>
          <w:sz w:val="24"/>
        </w:rPr>
        <w:t>, De Ponti</w:t>
      </w:r>
      <w:r w:rsidRPr="00B977AE">
        <w:rPr>
          <w:rFonts w:ascii="Book Antiqua" w:hAnsi="Book Antiqua"/>
          <w:sz w:val="24"/>
          <w:lang w:eastAsia="zh-CN"/>
        </w:rPr>
        <w:t xml:space="preserve"> F. </w:t>
      </w:r>
      <w:r w:rsidRPr="00B977AE">
        <w:rPr>
          <w:rFonts w:ascii="Book Antiqua" w:hAnsi="Book Antiqua"/>
          <w:sz w:val="24"/>
          <w:lang w:val="en-US"/>
        </w:rPr>
        <w:t xml:space="preserve">Assessing liver injury associated with </w:t>
      </w:r>
      <w:proofErr w:type="spellStart"/>
      <w:r w:rsidRPr="00B977AE">
        <w:rPr>
          <w:rFonts w:ascii="Book Antiqua" w:hAnsi="Book Antiqua"/>
          <w:sz w:val="24"/>
          <w:lang w:val="en-US"/>
        </w:rPr>
        <w:t>antimycotics</w:t>
      </w:r>
      <w:proofErr w:type="spellEnd"/>
      <w:r w:rsidRPr="00B977AE">
        <w:rPr>
          <w:rFonts w:ascii="Book Antiqua" w:hAnsi="Book Antiqua"/>
          <w:sz w:val="24"/>
          <w:lang w:val="en-US"/>
        </w:rPr>
        <w:t>: Concise literature review and clues from data mining of the FAERS database</w:t>
      </w:r>
      <w:r w:rsidRPr="00B977AE">
        <w:rPr>
          <w:rFonts w:ascii="Book Antiqua" w:hAnsi="Book Antiqua"/>
          <w:sz w:val="24"/>
          <w:lang w:val="en-US" w:eastAsia="zh-CN"/>
        </w:rPr>
        <w:t xml:space="preserve">. </w:t>
      </w:r>
      <w:r w:rsidRPr="00B977AE">
        <w:rPr>
          <w:rFonts w:ascii="Book Antiqua" w:hAnsi="Book Antiqua"/>
          <w:i/>
          <w:iCs/>
          <w:sz w:val="24"/>
          <w:szCs w:val="24"/>
        </w:rPr>
        <w:t>World J Hepatol</w:t>
      </w:r>
      <w:r w:rsidRPr="00B977AE">
        <w:rPr>
          <w:rFonts w:ascii="Book Antiqua" w:hAnsi="Book Antiqua"/>
          <w:i/>
          <w:iCs/>
          <w:sz w:val="24"/>
          <w:szCs w:val="24"/>
          <w:lang w:eastAsia="zh-CN"/>
        </w:rPr>
        <w:t xml:space="preserve"> </w:t>
      </w:r>
      <w:bookmarkStart w:id="106" w:name="OLE_LINK346"/>
      <w:bookmarkStart w:id="107" w:name="OLE_LINK347"/>
      <w:bookmarkStart w:id="108" w:name="OLE_LINK476"/>
      <w:r w:rsidRPr="00B977AE">
        <w:rPr>
          <w:rFonts w:ascii="Book Antiqua" w:hAnsi="Book Antiqua"/>
          <w:iCs/>
          <w:sz w:val="24"/>
        </w:rPr>
        <w:t>2014; In press</w:t>
      </w:r>
    </w:p>
    <w:bookmarkEnd w:id="106"/>
    <w:bookmarkEnd w:id="107"/>
    <w:bookmarkEnd w:id="108"/>
    <w:p w:rsidR="00010F05" w:rsidRPr="00B977AE" w:rsidRDefault="00010F05" w:rsidP="004D1284">
      <w:pPr>
        <w:spacing w:line="360" w:lineRule="auto"/>
        <w:jc w:val="both"/>
        <w:rPr>
          <w:rFonts w:ascii="Book Antiqua" w:hAnsi="Book Antiqua"/>
          <w:sz w:val="24"/>
          <w:lang w:val="en-US" w:eastAsia="zh-CN"/>
        </w:rPr>
      </w:pPr>
    </w:p>
    <w:p w:rsidR="00160626" w:rsidRPr="00B977AE" w:rsidRDefault="007127D7" w:rsidP="004D1284">
      <w:pPr>
        <w:autoSpaceDE w:val="0"/>
        <w:autoSpaceDN w:val="0"/>
        <w:adjustRightInd w:val="0"/>
        <w:spacing w:line="360" w:lineRule="auto"/>
        <w:jc w:val="both"/>
        <w:rPr>
          <w:rFonts w:ascii="Book Antiqua" w:hAnsi="Book Antiqua" w:cs="Arial"/>
          <w:b/>
          <w:sz w:val="24"/>
          <w:szCs w:val="20"/>
          <w:lang w:val="en-US"/>
        </w:rPr>
      </w:pPr>
      <w:r w:rsidRPr="00B977AE">
        <w:rPr>
          <w:rFonts w:ascii="Book Antiqua" w:hAnsi="Book Antiqua" w:cs="Arial"/>
          <w:b/>
          <w:sz w:val="24"/>
          <w:szCs w:val="20"/>
          <w:lang w:val="en-US"/>
        </w:rPr>
        <w:t>INTRODUCTION</w:t>
      </w:r>
    </w:p>
    <w:p w:rsidR="00062CBD" w:rsidRPr="00B977AE" w:rsidRDefault="00C4060A" w:rsidP="004D1284">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sz w:val="24"/>
          <w:szCs w:val="20"/>
          <w:lang w:val="en-US"/>
        </w:rPr>
        <w:t>Following the recent interest and regulatory measures on ketoconazole-related liver injury, the present manuscript provides</w:t>
      </w:r>
      <w:r w:rsidR="009C3E7F" w:rsidRPr="00B977AE">
        <w:rPr>
          <w:rFonts w:ascii="Book Antiqua" w:hAnsi="Book Antiqua" w:cs="Arial"/>
          <w:sz w:val="24"/>
          <w:szCs w:val="20"/>
          <w:lang w:val="en-US"/>
        </w:rPr>
        <w:t>: (</w:t>
      </w:r>
      <w:r w:rsidR="00213EB1" w:rsidRPr="00B977AE">
        <w:rPr>
          <w:rFonts w:ascii="Book Antiqua" w:hAnsi="Book Antiqua" w:cs="Arial"/>
          <w:sz w:val="24"/>
          <w:szCs w:val="20"/>
          <w:lang w:val="en-US" w:eastAsia="zh-CN"/>
        </w:rPr>
        <w:t>1</w:t>
      </w:r>
      <w:r w:rsidR="009C3E7F" w:rsidRPr="00B977AE">
        <w:rPr>
          <w:rFonts w:ascii="Book Antiqua" w:hAnsi="Book Antiqua" w:cs="Arial"/>
          <w:sz w:val="24"/>
          <w:szCs w:val="20"/>
          <w:lang w:val="en-US"/>
        </w:rPr>
        <w:t>)</w:t>
      </w:r>
      <w:r w:rsidRPr="00B977AE">
        <w:rPr>
          <w:rFonts w:ascii="Book Antiqua" w:hAnsi="Book Antiqua" w:cs="Arial"/>
          <w:sz w:val="24"/>
          <w:szCs w:val="20"/>
          <w:lang w:val="en-US"/>
        </w:rPr>
        <w:t xml:space="preserve"> a </w:t>
      </w:r>
      <w:r w:rsidR="009C3E7F" w:rsidRPr="00B977AE">
        <w:rPr>
          <w:rFonts w:ascii="Book Antiqua" w:hAnsi="Book Antiqua" w:cs="Arial"/>
          <w:sz w:val="24"/>
          <w:szCs w:val="20"/>
          <w:lang w:val="en-US"/>
        </w:rPr>
        <w:t xml:space="preserve">concise </w:t>
      </w:r>
      <w:r w:rsidRPr="00B977AE">
        <w:rPr>
          <w:rFonts w:ascii="Book Antiqua" w:hAnsi="Book Antiqua" w:cs="Arial"/>
          <w:sz w:val="24"/>
          <w:szCs w:val="20"/>
          <w:lang w:val="en-US"/>
        </w:rPr>
        <w:t xml:space="preserve">overview of the literature on drug-induced liver injury (DILI), </w:t>
      </w:r>
      <w:r w:rsidR="009C3E7F" w:rsidRPr="00B977AE">
        <w:rPr>
          <w:rFonts w:ascii="Book Antiqua" w:hAnsi="Book Antiqua" w:cs="Arial"/>
          <w:sz w:val="24"/>
          <w:szCs w:val="20"/>
          <w:lang w:val="en-US"/>
        </w:rPr>
        <w:t>namely a practical guide for clinicians to realize the need for active post-marketing vigilance</w:t>
      </w:r>
      <w:r w:rsidR="00213EB1" w:rsidRPr="00B977AE">
        <w:rPr>
          <w:rFonts w:ascii="Book Antiqua" w:hAnsi="Book Antiqua" w:cs="Arial"/>
          <w:sz w:val="24"/>
          <w:szCs w:val="20"/>
          <w:lang w:val="en-US" w:eastAsia="zh-CN"/>
        </w:rPr>
        <w:t>;</w:t>
      </w:r>
      <w:r w:rsidR="009C3E7F" w:rsidRPr="00B977AE">
        <w:rPr>
          <w:rFonts w:ascii="Book Antiqua" w:hAnsi="Book Antiqua" w:cs="Arial"/>
          <w:sz w:val="24"/>
          <w:szCs w:val="20"/>
          <w:lang w:val="en-US"/>
        </w:rPr>
        <w:t xml:space="preserve"> and (</w:t>
      </w:r>
      <w:r w:rsidR="00213EB1" w:rsidRPr="00B977AE">
        <w:rPr>
          <w:rFonts w:ascii="Book Antiqua" w:hAnsi="Book Antiqua" w:cs="Arial"/>
          <w:sz w:val="24"/>
          <w:szCs w:val="20"/>
          <w:lang w:val="en-US" w:eastAsia="zh-CN"/>
        </w:rPr>
        <w:t>2</w:t>
      </w:r>
      <w:r w:rsidR="009C3E7F" w:rsidRPr="00B977AE">
        <w:rPr>
          <w:rFonts w:ascii="Book Antiqua" w:hAnsi="Book Antiqua" w:cs="Arial"/>
          <w:sz w:val="24"/>
          <w:szCs w:val="20"/>
          <w:lang w:val="en-US"/>
        </w:rPr>
        <w:t xml:space="preserve">) </w:t>
      </w:r>
      <w:r w:rsidRPr="00B977AE">
        <w:rPr>
          <w:rFonts w:ascii="Book Antiqua" w:hAnsi="Book Antiqua" w:cs="Arial"/>
          <w:sz w:val="24"/>
          <w:szCs w:val="20"/>
          <w:lang w:val="en-US"/>
        </w:rPr>
        <w:t xml:space="preserve">a </w:t>
      </w:r>
      <w:r w:rsidR="009C3E7F" w:rsidRPr="00B977AE">
        <w:rPr>
          <w:rFonts w:ascii="Book Antiqua" w:hAnsi="Book Antiqua" w:cs="Arial"/>
          <w:sz w:val="24"/>
          <w:szCs w:val="20"/>
          <w:lang w:val="en-US"/>
        </w:rPr>
        <w:t xml:space="preserve">case study </w:t>
      </w:r>
      <w:r w:rsidRPr="00B977AE">
        <w:rPr>
          <w:rFonts w:ascii="Book Antiqua" w:hAnsi="Book Antiqua" w:cs="Arial"/>
          <w:sz w:val="24"/>
          <w:szCs w:val="20"/>
          <w:lang w:val="en-US"/>
        </w:rPr>
        <w:t xml:space="preserve">on </w:t>
      </w:r>
      <w:proofErr w:type="spellStart"/>
      <w:r w:rsidRPr="00B977AE">
        <w:rPr>
          <w:rFonts w:ascii="Book Antiqua" w:hAnsi="Book Antiqua" w:cs="Arial"/>
          <w:sz w:val="24"/>
          <w:szCs w:val="20"/>
          <w:lang w:val="en-US"/>
        </w:rPr>
        <w:t>antimycotics</w:t>
      </w:r>
      <w:proofErr w:type="spellEnd"/>
      <w:r w:rsidRPr="00B977AE">
        <w:rPr>
          <w:rFonts w:ascii="Book Antiqua" w:hAnsi="Book Antiqua" w:cs="Arial"/>
          <w:sz w:val="24"/>
          <w:szCs w:val="20"/>
          <w:lang w:val="en-US"/>
        </w:rPr>
        <w:t xml:space="preserve">, </w:t>
      </w:r>
      <w:r w:rsidR="009C3E7F" w:rsidRPr="00B977AE">
        <w:rPr>
          <w:rFonts w:ascii="Book Antiqua" w:hAnsi="Book Antiqua" w:cs="Arial"/>
          <w:sz w:val="24"/>
          <w:szCs w:val="20"/>
          <w:lang w:val="en-US"/>
        </w:rPr>
        <w:t xml:space="preserve">based on key results obtained from </w:t>
      </w:r>
      <w:r w:rsidR="00D46F38" w:rsidRPr="00B977AE">
        <w:rPr>
          <w:rFonts w:ascii="Book Antiqua" w:hAnsi="Book Antiqua" w:cs="Arial"/>
          <w:sz w:val="24"/>
          <w:szCs w:val="20"/>
          <w:lang w:val="en-US"/>
        </w:rPr>
        <w:t xml:space="preserve">our original </w:t>
      </w:r>
      <w:r w:rsidRPr="00B977AE">
        <w:rPr>
          <w:rFonts w:ascii="Book Antiqua" w:hAnsi="Book Antiqua" w:cs="Arial"/>
          <w:sz w:val="24"/>
          <w:szCs w:val="20"/>
          <w:lang w:val="en-US"/>
        </w:rPr>
        <w:t>analysis o</w:t>
      </w:r>
      <w:r w:rsidR="0045367D" w:rsidRPr="00B977AE">
        <w:rPr>
          <w:rFonts w:ascii="Book Antiqua" w:hAnsi="Book Antiqua" w:cs="Arial"/>
          <w:sz w:val="24"/>
          <w:szCs w:val="20"/>
          <w:lang w:val="en-US"/>
        </w:rPr>
        <w:t>f the</w:t>
      </w:r>
      <w:r w:rsidRPr="00B977AE">
        <w:rPr>
          <w:rFonts w:ascii="Book Antiqua" w:hAnsi="Book Antiqua" w:cs="Arial"/>
          <w:sz w:val="24"/>
          <w:szCs w:val="20"/>
          <w:lang w:val="en-US"/>
        </w:rPr>
        <w:t xml:space="preserve"> international publicly available FDA database</w:t>
      </w:r>
      <w:r w:rsidR="00E54336" w:rsidRPr="00B977AE">
        <w:rPr>
          <w:rFonts w:ascii="Book Antiqua" w:hAnsi="Book Antiqua" w:cs="Arial"/>
          <w:sz w:val="24"/>
          <w:szCs w:val="20"/>
          <w:lang w:val="en-US"/>
        </w:rPr>
        <w:t>,</w:t>
      </w:r>
      <w:r w:rsidRPr="00B977AE">
        <w:rPr>
          <w:rFonts w:ascii="Book Antiqua" w:hAnsi="Book Antiqua" w:cs="Arial"/>
          <w:sz w:val="24"/>
          <w:szCs w:val="20"/>
          <w:lang w:val="en-US"/>
        </w:rPr>
        <w:t xml:space="preserve"> to advance the reporting pattern of DILI in the real-world practice</w:t>
      </w:r>
      <w:r w:rsidR="00D46F38" w:rsidRPr="00B977AE">
        <w:rPr>
          <w:rFonts w:ascii="Book Antiqua" w:hAnsi="Book Antiqua" w:cs="Arial"/>
          <w:sz w:val="24"/>
          <w:szCs w:val="20"/>
          <w:lang w:val="en-US"/>
        </w:rPr>
        <w:t>. This approach can provide</w:t>
      </w:r>
      <w:r w:rsidRPr="00B977AE">
        <w:rPr>
          <w:rFonts w:ascii="Book Antiqua" w:hAnsi="Book Antiqua" w:cs="Arial"/>
          <w:sz w:val="24"/>
          <w:szCs w:val="20"/>
          <w:lang w:val="en-US"/>
        </w:rPr>
        <w:t xml:space="preserve"> physicians with </w:t>
      </w:r>
      <w:r w:rsidR="00A00377" w:rsidRPr="00B977AE">
        <w:rPr>
          <w:rFonts w:ascii="Book Antiqua" w:hAnsi="Book Antiqua" w:cs="Arial"/>
          <w:sz w:val="24"/>
          <w:szCs w:val="20"/>
          <w:lang w:val="en-US"/>
        </w:rPr>
        <w:t xml:space="preserve">practical clues to assign the level of DILI risk among </w:t>
      </w:r>
      <w:proofErr w:type="spellStart"/>
      <w:r w:rsidR="00A00377" w:rsidRPr="00B977AE">
        <w:rPr>
          <w:rFonts w:ascii="Book Antiqua" w:hAnsi="Book Antiqua" w:cs="Arial"/>
          <w:sz w:val="24"/>
          <w:szCs w:val="20"/>
          <w:lang w:val="en-US"/>
        </w:rPr>
        <w:t>antimycotics</w:t>
      </w:r>
      <w:proofErr w:type="spellEnd"/>
      <w:r w:rsidRPr="00B977AE">
        <w:rPr>
          <w:rFonts w:ascii="Book Antiqua" w:hAnsi="Book Antiqua" w:cs="Arial"/>
          <w:sz w:val="24"/>
          <w:szCs w:val="20"/>
          <w:lang w:val="en-US"/>
        </w:rPr>
        <w:t>.</w:t>
      </w:r>
    </w:p>
    <w:p w:rsidR="00D72BC5" w:rsidRPr="00B977AE" w:rsidRDefault="00D72BC5" w:rsidP="004D1284">
      <w:pPr>
        <w:autoSpaceDE w:val="0"/>
        <w:autoSpaceDN w:val="0"/>
        <w:adjustRightInd w:val="0"/>
        <w:spacing w:line="360" w:lineRule="auto"/>
        <w:jc w:val="both"/>
        <w:rPr>
          <w:rFonts w:ascii="Book Antiqua" w:hAnsi="Book Antiqua" w:cs="Arial"/>
          <w:b/>
          <w:i/>
          <w:sz w:val="24"/>
          <w:szCs w:val="20"/>
          <w:lang w:val="en-US"/>
        </w:rPr>
      </w:pPr>
    </w:p>
    <w:p w:rsidR="00511791" w:rsidRPr="00B977AE" w:rsidRDefault="00D46F38" w:rsidP="004D1284">
      <w:pPr>
        <w:autoSpaceDE w:val="0"/>
        <w:autoSpaceDN w:val="0"/>
        <w:adjustRightInd w:val="0"/>
        <w:spacing w:line="360" w:lineRule="auto"/>
        <w:jc w:val="both"/>
        <w:rPr>
          <w:rFonts w:ascii="Book Antiqua" w:hAnsi="Book Antiqua" w:cs="Arial"/>
          <w:b/>
          <w:i/>
          <w:sz w:val="24"/>
          <w:szCs w:val="20"/>
          <w:lang w:val="en-US"/>
        </w:rPr>
      </w:pPr>
      <w:r w:rsidRPr="00B977AE">
        <w:rPr>
          <w:rFonts w:ascii="Book Antiqua" w:hAnsi="Book Antiqua" w:cs="Arial"/>
          <w:b/>
          <w:i/>
          <w:sz w:val="24"/>
          <w:szCs w:val="20"/>
          <w:lang w:val="en-US"/>
        </w:rPr>
        <w:t>Overview of DILI</w:t>
      </w:r>
    </w:p>
    <w:p w:rsidR="00560497" w:rsidRPr="00B977AE" w:rsidRDefault="00D46F38" w:rsidP="004D1284">
      <w:pPr>
        <w:autoSpaceDE w:val="0"/>
        <w:autoSpaceDN w:val="0"/>
        <w:adjustRightInd w:val="0"/>
        <w:spacing w:line="360" w:lineRule="auto"/>
        <w:jc w:val="both"/>
        <w:rPr>
          <w:rFonts w:ascii="Book Antiqua" w:hAnsi="Book Antiqua" w:cs="Arial"/>
          <w:b/>
          <w:i/>
          <w:sz w:val="24"/>
          <w:szCs w:val="20"/>
          <w:lang w:val="en-US"/>
        </w:rPr>
      </w:pPr>
      <w:r w:rsidRPr="00B977AE">
        <w:rPr>
          <w:rFonts w:ascii="Book Antiqua" w:hAnsi="Book Antiqua" w:cs="Arial"/>
          <w:b/>
          <w:sz w:val="24"/>
          <w:szCs w:val="20"/>
          <w:lang w:val="en-US"/>
        </w:rPr>
        <w:t>Definition of DILI</w:t>
      </w:r>
      <w:r w:rsidR="00213EB1" w:rsidRPr="00B977AE">
        <w:rPr>
          <w:rFonts w:ascii="Book Antiqua" w:hAnsi="Book Antiqua" w:cs="Arial"/>
          <w:b/>
          <w:sz w:val="24"/>
          <w:szCs w:val="20"/>
          <w:lang w:val="en-US" w:eastAsia="zh-CN"/>
        </w:rPr>
        <w:t>:</w:t>
      </w:r>
      <w:r w:rsidRPr="00B977AE">
        <w:rPr>
          <w:rFonts w:ascii="Book Antiqua" w:hAnsi="Book Antiqua" w:cs="Arial"/>
          <w:b/>
          <w:i/>
          <w:sz w:val="24"/>
          <w:szCs w:val="20"/>
          <w:lang w:val="en-US"/>
        </w:rPr>
        <w:t xml:space="preserve"> </w:t>
      </w:r>
      <w:r w:rsidR="000330EB" w:rsidRPr="00B977AE">
        <w:rPr>
          <w:rFonts w:ascii="Book Antiqua" w:hAnsi="Book Antiqua" w:cs="Arial"/>
          <w:sz w:val="24"/>
          <w:szCs w:val="20"/>
          <w:lang w:val="en-US"/>
        </w:rPr>
        <w:t xml:space="preserve">Hepatotoxicity and </w:t>
      </w:r>
      <w:r w:rsidR="00560497" w:rsidRPr="00B977AE">
        <w:rPr>
          <w:rFonts w:ascii="Book Antiqua" w:hAnsi="Book Antiqua" w:cs="Arial"/>
          <w:sz w:val="24"/>
          <w:szCs w:val="20"/>
          <w:lang w:val="en-US"/>
        </w:rPr>
        <w:t>D</w:t>
      </w:r>
      <w:r w:rsidR="000330EB" w:rsidRPr="00B977AE">
        <w:rPr>
          <w:rFonts w:ascii="Book Antiqua" w:hAnsi="Book Antiqua" w:cs="Arial"/>
          <w:sz w:val="24"/>
          <w:szCs w:val="20"/>
          <w:lang w:val="en-US"/>
        </w:rPr>
        <w:t xml:space="preserve">ILI are interchangeable terms adopted by clinicians, researchers as well as drug developers to describe </w:t>
      </w:r>
      <w:r w:rsidR="00560497" w:rsidRPr="00B977AE">
        <w:rPr>
          <w:rFonts w:ascii="Book Antiqua" w:hAnsi="Book Antiqua" w:cs="Arial"/>
          <w:sz w:val="24"/>
          <w:szCs w:val="20"/>
          <w:lang w:val="en-US"/>
        </w:rPr>
        <w:t>a broad spectrum of liver manifestations</w:t>
      </w:r>
      <w:r w:rsidR="000330EB" w:rsidRPr="00B977AE">
        <w:rPr>
          <w:rFonts w:ascii="Book Antiqua" w:hAnsi="Book Antiqua" w:cs="Arial"/>
          <w:sz w:val="24"/>
          <w:szCs w:val="20"/>
          <w:lang w:val="en-US"/>
        </w:rPr>
        <w:t>. Indeed, DILI can be defined</w:t>
      </w:r>
      <w:r w:rsidR="0096334F" w:rsidRPr="00B977AE">
        <w:rPr>
          <w:rFonts w:ascii="Book Antiqua" w:hAnsi="Book Antiqua" w:cs="Arial"/>
          <w:sz w:val="24"/>
          <w:szCs w:val="20"/>
          <w:lang w:val="en-US"/>
        </w:rPr>
        <w:t xml:space="preserve"> as a liver injury induced by a</w:t>
      </w:r>
      <w:r w:rsidR="00E2242D" w:rsidRPr="00B977AE">
        <w:rPr>
          <w:rFonts w:ascii="Book Antiqua" w:hAnsi="Book Antiqua" w:cs="Arial"/>
          <w:sz w:val="24"/>
          <w:szCs w:val="20"/>
          <w:lang w:val="en-US"/>
        </w:rPr>
        <w:t xml:space="preserve"> </w:t>
      </w:r>
      <w:r w:rsidR="000330EB" w:rsidRPr="00B977AE">
        <w:rPr>
          <w:rFonts w:ascii="Book Antiqua" w:hAnsi="Book Antiqua" w:cs="Arial"/>
          <w:sz w:val="24"/>
          <w:szCs w:val="20"/>
          <w:lang w:val="en-US"/>
        </w:rPr>
        <w:t>drug or her</w:t>
      </w:r>
      <w:r w:rsidR="0096334F" w:rsidRPr="00B977AE">
        <w:rPr>
          <w:rFonts w:ascii="Book Antiqua" w:hAnsi="Book Antiqua" w:cs="Arial"/>
          <w:sz w:val="24"/>
          <w:szCs w:val="20"/>
          <w:lang w:val="en-US"/>
        </w:rPr>
        <w:t>bal medicinal products</w:t>
      </w:r>
      <w:r w:rsidR="000330EB" w:rsidRPr="00B977AE">
        <w:rPr>
          <w:rFonts w:ascii="Book Antiqua" w:hAnsi="Book Antiqua" w:cs="Arial"/>
          <w:sz w:val="24"/>
          <w:szCs w:val="20"/>
          <w:lang w:val="en-US"/>
        </w:rPr>
        <w:t xml:space="preserve"> leading to liver test abnormalities or liver dysfunction with reasonable exclusion of other competing </w:t>
      </w:r>
      <w:r w:rsidR="00A9618B" w:rsidRPr="00B977AE">
        <w:rPr>
          <w:rFonts w:ascii="Book Antiqua" w:hAnsi="Book Antiqua" w:cs="Arial"/>
          <w:sz w:val="24"/>
          <w:szCs w:val="20"/>
          <w:lang w:val="en-US"/>
        </w:rPr>
        <w:t>etiologies</w:t>
      </w:r>
      <w:r w:rsidR="000330EB" w:rsidRPr="00B977AE">
        <w:rPr>
          <w:rFonts w:ascii="Book Antiqua" w:hAnsi="Book Antiqua" w:cs="Arial"/>
          <w:sz w:val="24"/>
          <w:szCs w:val="20"/>
          <w:lang w:val="en-US"/>
        </w:rPr>
        <w:t>.</w:t>
      </w:r>
      <w:r w:rsidR="00D34894" w:rsidRPr="00B977AE">
        <w:rPr>
          <w:rFonts w:ascii="Book Antiqua" w:hAnsi="Book Antiqua" w:cs="Arial"/>
          <w:sz w:val="24"/>
          <w:szCs w:val="20"/>
          <w:lang w:val="en-US"/>
        </w:rPr>
        <w:t xml:space="preserve"> More than 1100 med</w:t>
      </w:r>
      <w:r w:rsidR="000C29C8" w:rsidRPr="00B977AE">
        <w:rPr>
          <w:rFonts w:ascii="Book Antiqua" w:hAnsi="Book Antiqua" w:cs="Arial"/>
          <w:sz w:val="24"/>
          <w:szCs w:val="20"/>
          <w:lang w:val="en-US"/>
        </w:rPr>
        <w:t>i</w:t>
      </w:r>
      <w:r w:rsidR="00D34894" w:rsidRPr="00B977AE">
        <w:rPr>
          <w:rFonts w:ascii="Book Antiqua" w:hAnsi="Book Antiqua" w:cs="Arial"/>
          <w:sz w:val="24"/>
          <w:szCs w:val="20"/>
          <w:lang w:val="en-US"/>
        </w:rPr>
        <w:t>cines, natural products, vitamins, dietary supplements, recreational and illicit compounds have been reported to cause DILI</w:t>
      </w:r>
      <w:r w:rsidR="00916F87" w:rsidRPr="00B977AE">
        <w:rPr>
          <w:rFonts w:ascii="Book Antiqua" w:hAnsi="Book Antiqua" w:cs="Arial"/>
          <w:sz w:val="24"/>
          <w:szCs w:val="20"/>
          <w:lang w:val="en-US"/>
        </w:rPr>
        <w:t>, and the list is constantly growing</w:t>
      </w:r>
      <w:r w:rsidR="00D34894" w:rsidRPr="00B977AE">
        <w:rPr>
          <w:rFonts w:ascii="Book Antiqua" w:hAnsi="Book Antiqua" w:cs="Arial"/>
          <w:sz w:val="24"/>
          <w:szCs w:val="20"/>
          <w:lang w:val="en-US"/>
        </w:rPr>
        <w:t>.</w:t>
      </w:r>
      <w:r w:rsidR="00E64D62" w:rsidRPr="00B977AE">
        <w:rPr>
          <w:rFonts w:ascii="Book Antiqua" w:hAnsi="Book Antiqua" w:cs="Arial"/>
          <w:sz w:val="24"/>
          <w:szCs w:val="20"/>
          <w:lang w:val="en-US"/>
        </w:rPr>
        <w:t xml:space="preserve"> Antibiotics, anticonvulsants, and antidepressant therapy remain the commonest causes of DILI in the Western Hemisphere </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&lt;Refman&gt;&lt;Cite&gt;&lt;Author&gt;Hussaini&lt;/Author&gt;&lt;Year&gt;2014&lt;/Year&gt;&lt;RecNum&gt;32&lt;/RecNum&gt;&lt;IDText&gt;Idiosyncratic drug-induced liver injury: an update on the 2007 overview&lt;/IDText&gt;&lt;MDL Ref_Type="Journal"&gt;&lt;Ref_Type&gt;Journal&lt;/Ref_Type&gt;&lt;Ref_ID&gt;32&lt;/Ref_ID&gt;&lt;Title_Primary&gt;Idiosyncratic drug-induced liver injury: an update on the 2007 overview&lt;/Title_Primary&gt;&lt;Authors_Primary&gt;Hussaini,S.H.&lt;/Authors_Primary&gt;&lt;Authors_Primary&gt;Farrington,E.A.&lt;/Authors_Primary&gt;&lt;Date_Primary&gt;2014/1&lt;/Date_Primary&gt;&lt;Keywords&gt;Anticonvulsants&lt;/Keywords&gt;&lt;Keywords&gt;diagnosis&lt;/Keywords&gt;&lt;Keywords&gt;Drug-Induced Liver Injury&lt;/Keywords&gt;&lt;Keywords&gt;epidemiology&lt;/Keywords&gt;&lt;Keywords&gt;Incidence&lt;/Keywords&gt;&lt;Keywords&gt;Jaundice&lt;/Keywords&gt;&lt;Keywords&gt;Liver&lt;/Keywords&gt;&lt;Keywords&gt;Liver Failure&lt;/Keywords&gt;&lt;Keywords&gt;Liver Function Tests&lt;/Keywords&gt;&lt;Keywords&gt;Registries&lt;/Keywords&gt;&lt;Keywords&gt;Risk&lt;/Keywords&gt;&lt;Keywords&gt;Risk Factors&lt;/Keywords&gt;&lt;Keywords&gt;therapy&lt;/Keywords&gt;&lt;Reprint&gt;In File&lt;/Reprint&gt;&lt;Start_Page&gt;67&lt;/Start_Page&gt;&lt;End_Page&gt;81&lt;/End_Page&gt;&lt;Periodical&gt;Expert Opin Drug Saf&lt;/Periodical&gt;&lt;Volume&gt;13&lt;/Volume&gt;&lt;Issue&gt;1&lt;/Issue&gt;&lt;Address&gt;Department of Gastroenterology, Hepatology Unit, Royal Cornwall Hospital , Truro, Cornwall , UK hyder.hussaini@rcht.cornwall.nhs.uk&lt;/Address&gt;&lt;Web_URL&gt;PM:24073714&lt;/Web_URL&gt;&lt;ZZ_JournalStdAbbrev&gt;&lt;f name="System"&gt;Expert Opin 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7B08DB" w:rsidRPr="00B977AE">
        <w:rPr>
          <w:rFonts w:ascii="Book Antiqua" w:hAnsi="Book Antiqua" w:cs="Arial"/>
          <w:sz w:val="24"/>
          <w:szCs w:val="20"/>
          <w:vertAlign w:val="superscript"/>
          <w:lang w:val="en-US"/>
        </w:rPr>
        <w:t>[1]</w:t>
      </w:r>
      <w:r w:rsidR="002411CC" w:rsidRPr="00B977AE">
        <w:rPr>
          <w:rFonts w:ascii="Book Antiqua" w:hAnsi="Book Antiqua" w:cs="Arial"/>
          <w:sz w:val="24"/>
          <w:szCs w:val="20"/>
          <w:lang w:val="en-US"/>
        </w:rPr>
        <w:fldChar w:fldCharType="end"/>
      </w:r>
      <w:r w:rsidR="00E64D62" w:rsidRPr="00B977AE">
        <w:rPr>
          <w:rFonts w:ascii="Book Antiqua" w:hAnsi="Book Antiqua" w:cs="Arial"/>
          <w:sz w:val="24"/>
          <w:szCs w:val="20"/>
          <w:lang w:val="en-US"/>
        </w:rPr>
        <w:t>.</w:t>
      </w:r>
      <w:r w:rsidR="00565911" w:rsidRPr="00B977AE">
        <w:rPr>
          <w:rFonts w:ascii="Book Antiqua" w:hAnsi="Book Antiqua" w:cs="Arial"/>
          <w:sz w:val="24"/>
          <w:szCs w:val="20"/>
          <w:lang w:val="en-US"/>
        </w:rPr>
        <w:t xml:space="preserve"> Among others, tumor necrosis factor-alpha antagonists, </w:t>
      </w:r>
      <w:proofErr w:type="spellStart"/>
      <w:r w:rsidR="00565911" w:rsidRPr="00B977AE">
        <w:rPr>
          <w:rFonts w:ascii="Book Antiqua" w:hAnsi="Book Antiqua" w:cs="Arial"/>
          <w:sz w:val="24"/>
          <w:szCs w:val="20"/>
          <w:lang w:val="en-US"/>
        </w:rPr>
        <w:t>fluoroquinolones</w:t>
      </w:r>
      <w:proofErr w:type="spellEnd"/>
      <w:r w:rsidR="00565911" w:rsidRPr="00B977AE">
        <w:rPr>
          <w:rFonts w:ascii="Book Antiqua" w:hAnsi="Book Antiqua" w:cs="Arial"/>
          <w:sz w:val="24"/>
          <w:szCs w:val="20"/>
          <w:lang w:val="en-US"/>
        </w:rPr>
        <w:t>, tyrosine kinase inhibitors, statins and food supplements are gaining appreciation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&lt;Refman&gt;&lt;Cite&gt;&lt;Author&gt;Leise&lt;/Author&gt;&lt;Year&gt;2014&lt;/Year&gt;&lt;RecNum&gt;73&lt;/RecNum&gt;&lt;IDText&gt;Drug-induced liver injury&lt;/IDText&gt;&lt;MDL Ref_Type="Journal"&gt;&lt;Ref_Type&gt;Journal&lt;/Ref_Type&gt;&lt;Ref_ID&gt;73&lt;/Ref_ID&gt;&lt;Title_Primary&gt;Drug-induced liver injury&lt;/Title_Primary&gt;&lt;Authors_Primary&gt;Leise,M.D.&lt;/Authors_Primary&gt;&lt;Authors_Primary&gt;Poterucha,J.J.&lt;/Authors_Primary&gt;&lt;Authors_Primary&gt;Talwalkar,J.A.&lt;/Authors_Primary&gt;&lt;Date_Primary&gt;2014/1&lt;/Date_Primary&gt;&lt;Keywords&gt;Acetaminophen&lt;/Keywords&gt;&lt;Keywords&gt;Alkaline Phosphatase&lt;/Keywords&gt;&lt;Keywords&gt;Bilirubin&lt;/Keywords&gt;&lt;Keywords&gt;Biopsy&lt;/Keywords&gt;&lt;Keywords&gt;diagnosis&lt;/Keywords&gt;&lt;Keywords&gt;Drug-Induced Liver Injury&lt;/Keywords&gt;&lt;Keywords&gt;Liver&lt;/Keywords&gt;&lt;Keywords&gt;Liver Failure&lt;/Keywords&gt;&lt;Keywords&gt;metabolism&lt;/Keywords&gt;&lt;Keywords&gt;mortality&lt;/Keywords&gt;&lt;Keywords&gt;Proteomics&lt;/Keywords&gt;&lt;Keywords&gt;Risk&lt;/Keywords&gt;&lt;Keywords&gt;Risk Factors&lt;/Keywords&gt;&lt;Keywords&gt;United States&lt;/Keywords&gt;&lt;Reprint&gt;In File&lt;/Reprint&gt;&lt;Start_Page&gt;95&lt;/Start_Page&gt;&lt;End_Page&gt;106&lt;/End_Page&gt;&lt;Periodical&gt;Mayo Clin Proc.&lt;/Periodical&gt;&lt;Volume&gt;89&lt;/Volume&gt;&lt;Issue&gt;1&lt;/Issue&gt;&lt;Address&gt;Division of Gastroenterology and Hepatology, Mayo Clinic, Rochester, MN. Electronic address: Leise.michael@mayo.edu&amp;#xA;Division of Gastroenterology and Hepatology, Mayo Clinic, Rochester, MN&amp;#xA;Division of Gastroenterology and Hepatology, Mayo Clinic, Rochester, MN&lt;/Address&gt;&lt;Web_URL&gt;PM:24388027&lt;/Web_URL&gt;&lt;ZZ_JournalStdAbbrev&gt;&lt;f name="System"&gt;Mayo Clin Proc.&lt;/f&gt;&lt;/ZZ_JournalStdAbbrev&gt;&lt;ZZ_WorkformID&gt;1&lt;/ZZ_WorkformID&gt;&lt;/MDL&gt;&lt;/Cite&gt;&lt;/Refman&gt;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7B08DB" w:rsidRPr="00B977AE">
        <w:rPr>
          <w:rFonts w:ascii="Book Antiqua" w:hAnsi="Book Antiqua" w:cs="Arial"/>
          <w:sz w:val="24"/>
          <w:szCs w:val="20"/>
          <w:vertAlign w:val="superscript"/>
          <w:lang w:val="en-US"/>
        </w:rPr>
        <w:t>[2]</w:t>
      </w:r>
      <w:r w:rsidR="002411CC" w:rsidRPr="00B977AE">
        <w:rPr>
          <w:rFonts w:ascii="Book Antiqua" w:hAnsi="Book Antiqua" w:cs="Arial"/>
          <w:sz w:val="24"/>
          <w:szCs w:val="20"/>
          <w:lang w:val="en-US"/>
        </w:rPr>
        <w:fldChar w:fldCharType="end"/>
      </w:r>
      <w:r w:rsidR="00565911" w:rsidRPr="00B977AE">
        <w:rPr>
          <w:rFonts w:ascii="Book Antiqua" w:hAnsi="Book Antiqua" w:cs="Arial"/>
          <w:sz w:val="24"/>
          <w:szCs w:val="20"/>
          <w:lang w:val="en-US"/>
        </w:rPr>
        <w:t xml:space="preserve">. </w:t>
      </w:r>
    </w:p>
    <w:p w:rsidR="00553915" w:rsidRPr="00B977AE" w:rsidRDefault="00553915" w:rsidP="004D1284">
      <w:pPr>
        <w:autoSpaceDE w:val="0"/>
        <w:autoSpaceDN w:val="0"/>
        <w:adjustRightInd w:val="0"/>
        <w:spacing w:line="360" w:lineRule="auto"/>
        <w:jc w:val="both"/>
        <w:rPr>
          <w:rFonts w:ascii="Book Antiqua" w:hAnsi="Book Antiqua" w:cs="Arial"/>
          <w:i/>
          <w:sz w:val="24"/>
          <w:szCs w:val="20"/>
          <w:lang w:val="en-US" w:eastAsia="zh-CN"/>
        </w:rPr>
      </w:pPr>
    </w:p>
    <w:p w:rsidR="0096334F" w:rsidRPr="00B977AE" w:rsidRDefault="00D46F38" w:rsidP="004D1284">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b/>
          <w:sz w:val="24"/>
          <w:szCs w:val="20"/>
          <w:lang w:val="en-US"/>
        </w:rPr>
        <w:t>Issues in clinical practice</w:t>
      </w:r>
      <w:r w:rsidR="00553915" w:rsidRPr="00B977AE">
        <w:rPr>
          <w:rFonts w:ascii="Book Antiqua" w:hAnsi="Book Antiqua" w:cs="Arial"/>
          <w:b/>
          <w:sz w:val="24"/>
          <w:szCs w:val="20"/>
          <w:lang w:val="en-US" w:eastAsia="zh-CN"/>
        </w:rPr>
        <w:t>:</w:t>
      </w:r>
      <w:r w:rsidRPr="00B977AE">
        <w:rPr>
          <w:rFonts w:ascii="Book Antiqua" w:hAnsi="Book Antiqua" w:cs="Arial"/>
          <w:b/>
          <w:sz w:val="24"/>
          <w:szCs w:val="20"/>
          <w:lang w:val="en-US"/>
        </w:rPr>
        <w:t xml:space="preserve"> </w:t>
      </w:r>
      <w:r w:rsidR="003B0E21" w:rsidRPr="00B977AE">
        <w:rPr>
          <w:rFonts w:ascii="Book Antiqua" w:hAnsi="Book Antiqua" w:cs="Arial"/>
          <w:sz w:val="24"/>
          <w:szCs w:val="20"/>
          <w:lang w:val="en-US"/>
        </w:rPr>
        <w:t>A number of classification</w:t>
      </w:r>
      <w:r w:rsidR="0045584A" w:rsidRPr="00B977AE">
        <w:rPr>
          <w:rFonts w:ascii="Book Antiqua" w:hAnsi="Book Antiqua" w:cs="Arial"/>
          <w:sz w:val="24"/>
          <w:szCs w:val="20"/>
          <w:lang w:val="en-US"/>
        </w:rPr>
        <w:t>s</w:t>
      </w:r>
      <w:r w:rsidR="003B0E21" w:rsidRPr="00B977AE">
        <w:rPr>
          <w:rFonts w:ascii="Book Antiqua" w:hAnsi="Book Antiqua" w:cs="Arial"/>
          <w:sz w:val="24"/>
          <w:szCs w:val="20"/>
          <w:lang w:val="en-US"/>
        </w:rPr>
        <w:t xml:space="preserve"> have been proposed to facilitate diagnoses and research in the field. From a pharmacological standpoint, DILI can be divided into “intrinsic” (</w:t>
      </w:r>
      <w:r w:rsidR="00553915" w:rsidRPr="00B977AE">
        <w:rPr>
          <w:rFonts w:ascii="Book Antiqua" w:hAnsi="Book Antiqua" w:cs="Arial"/>
          <w:i/>
          <w:sz w:val="24"/>
          <w:szCs w:val="20"/>
          <w:lang w:val="en-US"/>
        </w:rPr>
        <w:t>i.e.</w:t>
      </w:r>
      <w:r w:rsidR="003B0E21" w:rsidRPr="00B977AE">
        <w:rPr>
          <w:rFonts w:ascii="Book Antiqua" w:hAnsi="Book Antiqua" w:cs="Arial"/>
          <w:sz w:val="24"/>
          <w:szCs w:val="20"/>
          <w:lang w:val="en-US"/>
        </w:rPr>
        <w:t>, dose-related) and “idiosyncratic” (</w:t>
      </w:r>
      <w:r w:rsidR="00553915" w:rsidRPr="00B977AE">
        <w:rPr>
          <w:rFonts w:ascii="Book Antiqua" w:hAnsi="Book Antiqua" w:cs="Arial"/>
          <w:i/>
          <w:sz w:val="24"/>
          <w:szCs w:val="20"/>
          <w:lang w:val="en-US"/>
        </w:rPr>
        <w:t>i.e.</w:t>
      </w:r>
      <w:r w:rsidR="003B0E21" w:rsidRPr="00B977AE">
        <w:rPr>
          <w:rFonts w:ascii="Book Antiqua" w:hAnsi="Book Antiqua" w:cs="Arial"/>
          <w:sz w:val="24"/>
          <w:szCs w:val="20"/>
          <w:lang w:val="en-US"/>
        </w:rPr>
        <w:t>, dose-independent)</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&lt;Refman&gt;&lt;Cite&gt;&lt;Author&gt;Kaplowitz&lt;/Author&gt;&lt;Year&gt;2005&lt;/Year&gt;&lt;RecNum&gt;44&lt;/RecNum&gt;&lt;IDText&gt;Idiosyncratic drug hepatotoxicity&lt;/IDText&gt;&lt;MDL Ref_Type="Journal"&gt;&lt;Ref_Type&gt;Journal&lt;/Ref_Type&gt;&lt;Ref_ID&gt;44&lt;/Ref_ID&gt;&lt;Title_Primary&gt;Idiosyncratic drug hepatotoxicity&lt;/Title_Primary&gt;&lt;Authors_Primary&gt;Kaplowitz,N.&lt;/Authors_Primary&gt;&lt;Date_Primary&gt;2005/6&lt;/Date_Primary&gt;&lt;Keywords&gt;Acetaminophen&lt;/Keywords&gt;&lt;Keywords&gt;Animals&lt;/Keywords&gt;&lt;Keywords&gt;drug effects&lt;/Keywords&gt;&lt;Keywords&gt;Drug-Induced Liver Injury&lt;/Keywords&gt;&lt;Keywords&gt;Drug-Related Side Effects and Adverse Reactions&lt;/Keywords&gt;&lt;Keywords&gt;Humans&lt;/Keywords&gt;&lt;Keywords&gt;Liver&lt;/Keywords&gt;&lt;Keywords&gt;Liver Diseases&lt;/Keywords&gt;&lt;Keywords&gt;metabolism&lt;/Keywords&gt;&lt;Keywords&gt;pathology&lt;/Keywords&gt;&lt;Keywords&gt;Pharmaceutical Preparations&lt;/Keywords&gt;&lt;Keywords&gt;Risk&lt;/Keywords&gt;&lt;Keywords&gt;Risk Factors&lt;/Keywords&gt;&lt;Reprint&gt;In File&lt;/Reprint&gt;&lt;Start_Page&gt;489&lt;/Start_Page&gt;&lt;End_Page&gt;499&lt;/End_Page&gt;&lt;Periodical&gt;Nat.Rev Drug Discov.&lt;/Periodical&gt;&lt;Volume&gt;4&lt;/Volume&gt;&lt;Issue&gt;6&lt;/Issue&gt;&lt;Address&gt;Research Center for Liver Disease, Keck School of Medicine, University of Southern California 2011 Zonal Avenue, HMR101, Los Angeles, California 90033, USA&lt;/Address&gt;&lt;Web_URL&gt;PM:15931258&lt;/Web_URL&gt;&lt;ZZ_JournalStdAbbrev&gt;&lt;f name="System"&gt;Nat.Rev Drug Discov.&lt;/f&gt;&lt;/ZZ_JournalStdAbbrev&gt;&lt;ZZ_WorkformID&gt;1&lt;/ZZ_WorkformID&gt;&lt;/MDL&gt;&lt;/Cite&gt;&lt;/Refman&gt;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7B08DB" w:rsidRPr="00B977AE">
        <w:rPr>
          <w:rFonts w:ascii="Book Antiqua" w:hAnsi="Book Antiqua" w:cs="Arial"/>
          <w:sz w:val="24"/>
          <w:szCs w:val="20"/>
          <w:vertAlign w:val="superscript"/>
          <w:lang w:val="en-US"/>
        </w:rPr>
        <w:t>[3]</w:t>
      </w:r>
      <w:r w:rsidR="002411CC" w:rsidRPr="00B977AE">
        <w:rPr>
          <w:rFonts w:ascii="Book Antiqua" w:hAnsi="Book Antiqua" w:cs="Arial"/>
          <w:sz w:val="24"/>
          <w:szCs w:val="20"/>
          <w:lang w:val="en-US"/>
        </w:rPr>
        <w:fldChar w:fldCharType="end"/>
      </w:r>
      <w:r w:rsidR="003B0E21" w:rsidRPr="00B977AE">
        <w:rPr>
          <w:rFonts w:ascii="Book Antiqua" w:hAnsi="Book Antiqua" w:cs="Arial"/>
          <w:sz w:val="24"/>
          <w:szCs w:val="20"/>
          <w:lang w:val="en-US"/>
        </w:rPr>
        <w:t>; however, the validity of this classification remains controversial and debated</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&lt;Refman&gt;&lt;Cite&gt;&lt;Author&gt;Roth&lt;/Author&gt;&lt;Year&gt;2010&lt;/Year&gt;&lt;RecNum&gt;42&lt;/RecNum&gt;&lt;IDText&gt;Intrinsic versus idiosyncratic drug-induced hepatotoxicity--two villains or one?&lt;/IDText&gt;&lt;MDL Ref_Type="Journal"&gt;&lt;Ref_Type&gt;Journal&lt;/Ref_Type&gt;&lt;Ref_ID&gt;42&lt;/Ref_ID&gt;&lt;Title_Primary&gt;Intrinsic versus idiosyncratic drug-induced hepatotoxicity--two villains or one?&lt;/Title_Primary&gt;&lt;Authors_Primary&gt;Roth,R.A.&lt;/Authors_Primary&gt;&lt;Authors_Primary&gt;Ganey,P.E.&lt;/Authors_Primary&gt;&lt;Date_Primary&gt;2010/3&lt;/Date_Primary&gt;&lt;Keywords&gt;Acetaminophen&lt;/Keywords&gt;&lt;Keywords&gt;Animals&lt;/Keywords&gt;&lt;Keywords&gt;Disease Models,Animal&lt;/Keywords&gt;&lt;Keywords&gt;Dose-Response Relationship,Drug&lt;/Keywords&gt;&lt;Keywords&gt;drug effects&lt;/Keywords&gt;&lt;Keywords&gt;Drug-Induced Liver Injury&lt;/Keywords&gt;&lt;Keywords&gt;Drug-Related Side Effects and Adverse Reactions&lt;/Keywords&gt;&lt;Keywords&gt;etiology&lt;/Keywords&gt;&lt;Keywords&gt;Humans&lt;/Keywords&gt;&lt;Keywords&gt;immunology&lt;/Keywords&gt;&lt;Keywords&gt;Inflammation&lt;/Keywords&gt;&lt;Keywords&gt;Liver&lt;/Keywords&gt;&lt;Keywords&gt;metabolism&lt;/Keywords&gt;&lt;Keywords&gt;Mice&lt;/Keywords&gt;&lt;Keywords&gt;toxicity&lt;/Keywords&gt;&lt;Reprint&gt;In File&lt;/Reprint&gt;&lt;Start_Page&gt;692&lt;/Start_Page&gt;&lt;End_Page&gt;697&lt;/End_Page&gt;&lt;Periodical&gt;J Pharmacol Exp Ther&lt;/Periodical&gt;&lt;Volume&gt;332&lt;/Volume&gt;&lt;Issue&gt;3&lt;/Issue&gt;&lt;Address&gt;Department of Pharmacology and Toxicology, Center for Integrative Toxicology, 221 Food Safety and Toxicology Bldg., Michigan State University, East Lansing, MI 48824, USA. rothr@msu.edu&lt;/Address&gt;&lt;Web_URL&gt;PM:20019161&lt;/Web_URL&gt;&lt;ZZ_JournalStdAbbrev&gt;&lt;f name="System"&gt;J Pharmacol Exp Ther&lt;/f&gt;&lt;/ZZ_JournalStdAbbrev&gt;&lt;ZZ_WorkformID&gt;1&lt;/ZZ_WorkformID&gt;&lt;/MDL&gt;&lt;/Cite&gt;&lt;/Refman&gt;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7B08DB" w:rsidRPr="00B977AE">
        <w:rPr>
          <w:rFonts w:ascii="Book Antiqua" w:hAnsi="Book Antiqua" w:cs="Arial"/>
          <w:sz w:val="24"/>
          <w:szCs w:val="20"/>
          <w:vertAlign w:val="superscript"/>
          <w:lang w:val="en-US"/>
        </w:rPr>
        <w:t>[4]</w:t>
      </w:r>
      <w:r w:rsidR="002411CC" w:rsidRPr="00B977AE">
        <w:rPr>
          <w:rFonts w:ascii="Book Antiqua" w:hAnsi="Book Antiqua" w:cs="Arial"/>
          <w:sz w:val="24"/>
          <w:szCs w:val="20"/>
          <w:lang w:val="en-US"/>
        </w:rPr>
        <w:fldChar w:fldCharType="end"/>
      </w:r>
      <w:r w:rsidR="003B0E21" w:rsidRPr="00B977AE">
        <w:rPr>
          <w:rFonts w:ascii="Book Antiqua" w:hAnsi="Book Antiqua" w:cs="Arial"/>
          <w:sz w:val="24"/>
          <w:szCs w:val="20"/>
          <w:lang w:val="en-US"/>
        </w:rPr>
        <w:t xml:space="preserve">. The term idiosyncratic was first used to identify a reaction occurring in susceptible individuals, usually associated with variable or prolonged latency (several weeks to 1 year) and generally unexpected on the basis of the pharmacological action of the drug. Idiosyncratic DILI is linked to the vast majority of compounds, although a common misconception of idiosyncratic DILI regards its </w:t>
      </w:r>
      <w:proofErr w:type="spellStart"/>
      <w:r w:rsidR="003B0E21" w:rsidRPr="00B977AE">
        <w:rPr>
          <w:rFonts w:ascii="Book Antiqua" w:hAnsi="Book Antiqua" w:cs="Arial"/>
          <w:sz w:val="24"/>
          <w:szCs w:val="20"/>
          <w:lang w:val="en-US"/>
        </w:rPr>
        <w:t>non relation</w:t>
      </w:r>
      <w:proofErr w:type="spellEnd"/>
      <w:r w:rsidR="003B0E21" w:rsidRPr="00B977AE">
        <w:rPr>
          <w:rFonts w:ascii="Book Antiqua" w:hAnsi="Book Antiqua" w:cs="Arial"/>
          <w:sz w:val="24"/>
          <w:szCs w:val="20"/>
          <w:lang w:val="en-US"/>
        </w:rPr>
        <w:t xml:space="preserve"> with the dose. As a matter of fact, recent data suggested that a daily dose &gt;</w:t>
      </w:r>
      <w:r w:rsidR="003B3616" w:rsidRPr="00B977AE">
        <w:rPr>
          <w:rFonts w:ascii="Book Antiqua" w:hAnsi="Book Antiqua" w:cs="Arial"/>
          <w:sz w:val="24"/>
          <w:szCs w:val="20"/>
          <w:lang w:val="en-US" w:eastAsia="zh-CN"/>
        </w:rPr>
        <w:t xml:space="preserve"> </w:t>
      </w:r>
      <w:r w:rsidR="003B0E21" w:rsidRPr="00B977AE">
        <w:rPr>
          <w:rFonts w:ascii="Book Antiqua" w:hAnsi="Book Antiqua" w:cs="Arial"/>
          <w:sz w:val="24"/>
          <w:szCs w:val="20"/>
          <w:lang w:val="en-US"/>
        </w:rPr>
        <w:t xml:space="preserve">50 mg </w:t>
      </w:r>
      <w:r w:rsidR="00565F54" w:rsidRPr="00B977AE">
        <w:rPr>
          <w:rFonts w:ascii="Book Antiqua" w:hAnsi="Book Antiqua" w:cs="Arial"/>
          <w:sz w:val="24"/>
          <w:szCs w:val="20"/>
          <w:lang w:val="en-US"/>
        </w:rPr>
        <w:t xml:space="preserve">(and especially when the dose exceeds 100 mg daily) </w:t>
      </w:r>
      <w:r w:rsidR="003B0E21" w:rsidRPr="00B977AE">
        <w:rPr>
          <w:rFonts w:ascii="Book Antiqua" w:hAnsi="Book Antiqua" w:cs="Arial"/>
          <w:sz w:val="24"/>
          <w:szCs w:val="20"/>
          <w:lang w:val="en-US"/>
        </w:rPr>
        <w:t>for drugs</w:t>
      </w:r>
      <w:r w:rsidR="009662C2" w:rsidRPr="00B977AE">
        <w:rPr>
          <w:rFonts w:ascii="Book Antiqua" w:hAnsi="Book Antiqua" w:cs="Arial"/>
          <w:sz w:val="24"/>
          <w:szCs w:val="20"/>
          <w:lang w:val="en-US"/>
        </w:rPr>
        <w:t xml:space="preserve"> with high </w:t>
      </w:r>
      <w:proofErr w:type="spellStart"/>
      <w:r w:rsidR="009662C2" w:rsidRPr="00B977AE">
        <w:rPr>
          <w:rFonts w:ascii="Book Antiqua" w:hAnsi="Book Antiqua" w:cs="Arial"/>
          <w:sz w:val="24"/>
          <w:szCs w:val="20"/>
          <w:lang w:val="en-US"/>
        </w:rPr>
        <w:t>lipophilicity</w:t>
      </w:r>
      <w:proofErr w:type="spellEnd"/>
      <w:r w:rsidR="00565F54" w:rsidRPr="00B977AE">
        <w:rPr>
          <w:rFonts w:ascii="Book Antiqua" w:hAnsi="Book Antiqua" w:cs="Arial"/>
          <w:sz w:val="24"/>
          <w:szCs w:val="20"/>
          <w:lang w:val="en-US"/>
        </w:rPr>
        <w:t xml:space="preserve"> </w:t>
      </w:r>
      <w:r w:rsidR="003B0E21" w:rsidRPr="00B977AE">
        <w:rPr>
          <w:rFonts w:ascii="Book Antiqua" w:hAnsi="Book Antiqua" w:cs="Arial"/>
          <w:sz w:val="24"/>
          <w:szCs w:val="20"/>
          <w:lang w:val="en-US"/>
        </w:rPr>
        <w:t>undergoing extensive hepatic metabolism</w:t>
      </w:r>
      <w:r w:rsidR="00D07DE8" w:rsidRPr="00B977AE">
        <w:rPr>
          <w:rFonts w:ascii="Book Antiqua" w:hAnsi="Book Antiqua" w:cs="Arial"/>
          <w:sz w:val="24"/>
          <w:szCs w:val="20"/>
          <w:lang w:val="en-US"/>
        </w:rPr>
        <w:t xml:space="preserve"> is associated with a higher risk of idiosyncratic DILI</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&lt;Refman&gt;&lt;Cite&gt;&lt;Author&gt;Lammert&lt;/Author&gt;&lt;Year&gt;2010&lt;/Year&gt;&lt;RecNum&gt;9&lt;/RecNum&gt;&lt;IDText&gt;Oral medications with significant hepatic metabolism at higher risk for hepatic adverse events&lt;/IDText&gt;&lt;MDL Ref_Type="Journal"&gt;&lt;Ref_Type&gt;Journal&lt;/Ref_Type&gt;&lt;Ref_ID&gt;9&lt;/Ref_ID&gt;&lt;Title_Primary&gt;Oral medications with significant hepatic metabolism at higher risk for hepatic adverse events&lt;/Title_Primary&gt;&lt;Authors_Primary&gt;Lammert,C.&lt;/Authors_Primary&gt;&lt;Authors_Primary&gt;Bjornsson,E.&lt;/Authors_Primary&gt;&lt;Authors_Primary&gt;Niklasson,A.&lt;/Authors_Primary&gt;&lt;Authors_Primary&gt;Chalasani,N.&lt;/Authors_Primary&gt;&lt;Date_Primary&gt;2010/2&lt;/Date_Primary&gt;&lt;Keywords&gt;administration &amp;amp; dosage&lt;/Keywords&gt;&lt;Keywords&gt;Administration,Oral&lt;/Keywords&gt;&lt;Keywords&gt;adverse effects&lt;/Keywords&gt;&lt;Keywords&gt;Databases,Factual&lt;/Keywords&gt;&lt;Keywords&gt;Drug-Induced Liver Injury&lt;/Keywords&gt;&lt;Keywords&gt;etiology&lt;/Keywords&gt;&lt;Keywords&gt;Humans&lt;/Keywords&gt;&lt;Keywords&gt;Liver&lt;/Keywords&gt;&lt;Keywords&gt;Liver Transplantation&lt;/Keywords&gt;&lt;Keywords&gt;metabolism&lt;/Keywords&gt;&lt;Keywords&gt;Prescription Drugs&lt;/Keywords&gt;&lt;Keywords&gt;Risk Factors&lt;/Keywords&gt;&lt;Keywords&gt;United States&lt;/Keywords&gt;&lt;Reprint&gt;In File&lt;/Reprint&gt;&lt;Start_Page&gt;615&lt;/Start_Page&gt;&lt;End_Page&gt;620&lt;/End_Page&gt;&lt;Periodical&gt;Hepatology&lt;/Periodical&gt;&lt;Volume&gt;51&lt;/Volume&gt;&lt;Issue&gt;2&lt;/Issue&gt;&lt;Address&gt;Department of Medicine, Emory University School of Medicine, Atlanta, GA, USA&lt;/Address&gt;&lt;Web_URL&gt;PM:19839004&lt;/Web_URL&gt;&lt;ZZ_JournalStdAbbrev&gt;&lt;f name="System"&gt;Hepatology&lt;/f&gt;&lt;/ZZ_JournalStdAbbrev&gt;&lt;ZZ_WorkformID&gt;1&lt;/ZZ_WorkformID&gt;&lt;/MDL&gt;&lt;/Cite&gt;&lt;Cite&gt;&lt;Author&gt;Lammert&lt;/Author&gt;&lt;Year&gt;2008&lt;/Year&gt;&lt;RecNum&gt;10&lt;/RecNum&gt;&lt;IDText&gt;Relationship between daily dose of oral medications and idiosyncratic drug-induced liver injury: search for signals&lt;/IDText&gt;&lt;MDL Ref_Type="Journal"&gt;&lt;Ref_Type&gt;Journal&lt;/Ref_Type&gt;&lt;Ref_ID&gt;10&lt;/Ref_ID&gt;&lt;Title_Primary&gt;Relationship between daily dose of oral medications and idiosyncratic drug-induced liver injury: search for signals&lt;/Title_Primary&gt;&lt;Authors_Primary&gt;Lammert,C.&lt;/Authors_Primary&gt;&lt;Authors_Primary&gt;Einarsson,S.&lt;/Authors_Primary&gt;&lt;Authors_Primary&gt;Saha,C.&lt;/Authors_Primary&gt;&lt;Authors_Primary&gt;Niklasson,A.&lt;/Authors_Primary&gt;&lt;Authors_Primary&gt;Bjornsson,E.&lt;/Authors_Primary&gt;&lt;Authors_Primary&gt;Chalasani,N.&lt;/Authors_Primary&gt;&lt;Date_Primary&gt;2008/6&lt;/Date_Primary&gt;&lt;Keywords&gt;administration &amp;amp; dosage&lt;/Keywords&gt;&lt;Keywords&gt;Administration,Oral&lt;/Keywords&gt;&lt;Keywords&gt;adverse effects&lt;/Keywords&gt;&lt;Keywords&gt;chemically induced&lt;/Keywords&gt;&lt;Keywords&gt;Data Collection&lt;/Keywords&gt;&lt;Keywords&gt;Databases as Topic&lt;/Keywords&gt;&lt;Keywords&gt;diagnosis&lt;/Keywords&gt;&lt;Keywords&gt;Dose-Response Relationship,Drug&lt;/Keywords&gt;&lt;Keywords&gt;drug effects&lt;/Keywords&gt;&lt;Keywords&gt;Drug Toxicity&lt;/Keywords&gt;&lt;Keywords&gt;Drug-Induced Liver Injury&lt;/Keywords&gt;&lt;Keywords&gt;etiology&lt;/Keywords&gt;&lt;Keywords&gt;Humans&lt;/Keywords&gt;&lt;Keywords&gt;Liver&lt;/Keywords&gt;&lt;Keywords&gt;Liver Diseases&lt;/Keywords&gt;&lt;Keywords&gt;Liver Failure&lt;/Keywords&gt;&lt;Keywords&gt;Liver Transplantation&lt;/Keywords&gt;&lt;Keywords&gt;Logistic Models&lt;/Keywords&gt;&lt;Keywords&gt;Pharmaceutical Preparations&lt;/Keywords&gt;&lt;Keywords&gt;Prevalence&lt;/Keywords&gt;&lt;Keywords&gt;Prognosis&lt;/Keywords&gt;&lt;Keywords&gt;Prospective Studies&lt;/Keywords&gt;&lt;Keywords&gt;Sweden&lt;/Keywords&gt;&lt;Keywords&gt;United States&lt;/Keywords&gt;&lt;Reprint&gt;In File&lt;/Reprint&gt;&lt;Start_Page&gt;2003&lt;/Start_Page&gt;&lt;End_Page&gt;2009&lt;/End_Page&gt;&lt;Periodical&gt;Hepatology&lt;/Periodical&gt;&lt;Volume&gt;47&lt;/Volume&gt;&lt;Issue&gt;6&lt;/Issue&gt;&lt;Address&gt;Department of Medicine, Emory University School of Medicine, Atlanta, GA, USA&lt;/Address&gt;&lt;Web_URL&gt;PM:18454504&lt;/Web_URL&gt;&lt;ZZ_JournalStdAbbrev&gt;&lt;f name="System"&gt;Hepatology&lt;/f&gt;&lt;/ZZ_JournalStdAbbrev&gt;&lt;ZZ_WorkformID&gt;1&lt;/ZZ_WorkformID&gt;&lt;/MDL&gt;&lt;/Cite&gt;&lt;Cite&gt;&lt;Author&gt;Chen&lt;/Author&gt;&lt;Year&gt;2013&lt;/Year&gt;&lt;RecNum&gt;74&lt;/RecNum&gt;&lt;IDText&gt;High lipophilicity and high daily dose of oral medications are associated with significant risk for drug-induced liver injury&lt;/IDText&gt;&lt;MDL Ref_Type="Journal"&gt;&lt;Ref_Type&gt;Journal&lt;/Ref_Type&gt;&lt;Ref_ID&gt;74&lt;/Ref_ID&gt;&lt;Title_Primary&gt;High lipophilicity and high daily dose of oral medications are associated with significant risk for drug-induced liver injury&lt;/Title_Primary&gt;&lt;Authors_Primary&gt;Chen,M.&lt;/Authors_Primary&gt;&lt;Authors_Primary&gt;Borlak,J.&lt;/Authors_Primary&gt;&lt;Authors_Primary&gt;Tong,W.&lt;/Authors_Primary&gt;&lt;Date_Primary&gt;2013/7&lt;/Date_Primary&gt;&lt;Keywords&gt;administration &amp;amp; dosage&lt;/Keywords&gt;&lt;Keywords&gt;Administration,Oral&lt;/Keywords&gt;&lt;Keywords&gt;chemistry&lt;/Keywords&gt;&lt;Keywords&gt;Chemistry,Physical&lt;/Keywords&gt;&lt;Keywords&gt;classification&lt;/Keywords&gt;&lt;Keywords&gt;Drug-Induced Liver Injury&lt;/Keywords&gt;&lt;Keywords&gt;Drug-Related Side Effects and Adverse Reactions&lt;/Keywords&gt;&lt;Keywords&gt;etiology&lt;/Keywords&gt;&lt;Keywords&gt;Humans&lt;/Keywords&gt;&lt;Keywords&gt;Lipids&lt;/Keywords&gt;&lt;Keywords&gt;Liver&lt;/Keywords&gt;&lt;Keywords&gt;Octanols&lt;/Keywords&gt;&lt;Keywords&gt;Odds Ratio&lt;/Keywords&gt;&lt;Keywords&gt;Pharmaceutical Preparations&lt;/Keywords&gt;&lt;Keywords&gt;Risk&lt;/Keywords&gt;&lt;Keywords&gt;Safety-Based Drug Withdrawals&lt;/Keywords&gt;&lt;Keywords&gt;Solubility&lt;/Keywords&gt;&lt;Keywords&gt;United States&lt;/Keywords&gt;&lt;Keywords&gt;United States Food and Drug Administration&lt;/Keywords&gt;&lt;Keywords&gt;World Health Organization&lt;/Keywords&gt;&lt;Reprint&gt;In File&lt;/Reprint&gt;&lt;Start_Page&gt;388&lt;/Start_Page&gt;&lt;End_Page&gt;396&lt;/End_Page&gt;&lt;Periodical&gt;Hepatology&lt;/Periodical&gt;&lt;Volume&gt;58&lt;/Volume&gt;&lt;Issue&gt;1&lt;/Issue&gt;&lt;Address&gt;Division of Bioinformatics and Biostatistics, National Center for Toxicological Research, US Food and Drug Administration, Jefferson, AR, USA&lt;/Address&gt;&lt;Web_URL&gt;PM:23258593&lt;/Web_URL&gt;&lt;ZZ_JournalStdAbbrev&gt;&lt;f name="System"&gt;Hepatology&lt;/f&gt;&lt;/ZZ_JournalStdAbbrev&gt;&lt;ZZ_WorkformID&gt;1&lt;/ZZ_WorkformID&gt;&lt;/MDL&gt;&lt;/Cite&gt;&lt;/Refman&gt;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[5</w:t>
      </w:r>
      <w:r w:rsidR="003D48E2" w:rsidRPr="00B977AE">
        <w:rPr>
          <w:rFonts w:ascii="Book Antiqua" w:hAnsi="Book Antiqua" w:cs="Arial"/>
          <w:sz w:val="24"/>
          <w:szCs w:val="20"/>
          <w:vertAlign w:val="superscript"/>
          <w:lang w:val="en-US"/>
        </w:rPr>
        <w:t>-</w:t>
      </w:r>
      <w:r w:rsidR="004C7B2E" w:rsidRPr="00B977AE">
        <w:rPr>
          <w:rFonts w:ascii="Book Antiqua" w:hAnsi="Book Antiqua" w:cs="Arial"/>
          <w:sz w:val="24"/>
          <w:szCs w:val="20"/>
          <w:vertAlign w:val="superscript"/>
          <w:lang w:val="en-US"/>
        </w:rPr>
        <w:t>7]</w:t>
      </w:r>
      <w:r w:rsidR="002411CC" w:rsidRPr="00B977AE">
        <w:rPr>
          <w:rFonts w:ascii="Book Antiqua" w:hAnsi="Book Antiqua" w:cs="Arial"/>
          <w:sz w:val="24"/>
          <w:szCs w:val="20"/>
          <w:lang w:val="en-US"/>
        </w:rPr>
        <w:fldChar w:fldCharType="end"/>
      </w:r>
      <w:r w:rsidR="00D07DE8" w:rsidRPr="00B977AE">
        <w:rPr>
          <w:rFonts w:ascii="Book Antiqua" w:hAnsi="Book Antiqua" w:cs="Arial"/>
          <w:sz w:val="24"/>
          <w:szCs w:val="20"/>
          <w:lang w:val="en-US"/>
        </w:rPr>
        <w:t>.</w:t>
      </w:r>
      <w:r w:rsidR="00904021" w:rsidRPr="00B977AE">
        <w:rPr>
          <w:rFonts w:ascii="Book Antiqua" w:hAnsi="Book Antiqua" w:cs="Arial"/>
          <w:sz w:val="24"/>
          <w:szCs w:val="20"/>
          <w:lang w:val="en-US"/>
        </w:rPr>
        <w:t xml:space="preserve"> The latest evidence revealed that </w:t>
      </w:r>
      <w:r w:rsidR="00E36D0C" w:rsidRPr="00B977AE">
        <w:rPr>
          <w:rFonts w:ascii="Book Antiqua" w:hAnsi="Book Antiqua" w:cs="Arial"/>
          <w:sz w:val="24"/>
          <w:szCs w:val="20"/>
          <w:lang w:val="en-US"/>
        </w:rPr>
        <w:t>(</w:t>
      </w:r>
      <w:r w:rsidR="009A1CC7" w:rsidRPr="00B977AE">
        <w:rPr>
          <w:rFonts w:ascii="Book Antiqua" w:hAnsi="Book Antiqua" w:cs="Arial"/>
          <w:sz w:val="24"/>
          <w:szCs w:val="20"/>
          <w:lang w:val="en-US" w:eastAsia="zh-CN"/>
        </w:rPr>
        <w:t>1</w:t>
      </w:r>
      <w:r w:rsidR="00E36D0C" w:rsidRPr="00B977AE">
        <w:rPr>
          <w:rFonts w:ascii="Book Antiqua" w:hAnsi="Book Antiqua" w:cs="Arial"/>
          <w:sz w:val="24"/>
          <w:szCs w:val="20"/>
          <w:lang w:val="en-US"/>
        </w:rPr>
        <w:t xml:space="preserve">) </w:t>
      </w:r>
      <w:r w:rsidR="00904021" w:rsidRPr="00B977AE">
        <w:rPr>
          <w:rFonts w:ascii="Book Antiqua" w:hAnsi="Book Antiqua" w:cs="Arial"/>
          <w:sz w:val="24"/>
          <w:szCs w:val="20"/>
          <w:lang w:val="en-US"/>
        </w:rPr>
        <w:t>drugs which are substrates of CYP enzymes would have the higher likelihood of causing DILI (which is dose-independent)</w:t>
      </w:r>
      <w:r w:rsidR="00E36D0C" w:rsidRPr="00B977AE">
        <w:rPr>
          <w:rFonts w:ascii="Book Antiqua" w:hAnsi="Book Antiqua" w:cs="Arial"/>
          <w:sz w:val="24"/>
          <w:szCs w:val="20"/>
          <w:lang w:val="en-US"/>
        </w:rPr>
        <w:t>; (</w:t>
      </w:r>
      <w:r w:rsidR="009A1CC7" w:rsidRPr="00B977AE">
        <w:rPr>
          <w:rFonts w:ascii="Book Antiqua" w:hAnsi="Book Antiqua" w:cs="Arial"/>
          <w:sz w:val="24"/>
          <w:szCs w:val="20"/>
          <w:lang w:val="en-US" w:eastAsia="zh-CN"/>
        </w:rPr>
        <w:t>2</w:t>
      </w:r>
      <w:r w:rsidR="00E36D0C" w:rsidRPr="00B977AE">
        <w:rPr>
          <w:rFonts w:ascii="Book Antiqua" w:hAnsi="Book Antiqua" w:cs="Arial"/>
          <w:sz w:val="24"/>
          <w:szCs w:val="20"/>
          <w:lang w:val="en-US"/>
        </w:rPr>
        <w:t>)</w:t>
      </w:r>
      <w:r w:rsidR="00904021" w:rsidRPr="00B977AE">
        <w:rPr>
          <w:rFonts w:ascii="Book Antiqua" w:hAnsi="Book Antiqua" w:cs="Arial"/>
          <w:sz w:val="24"/>
          <w:szCs w:val="20"/>
          <w:lang w:val="en-US"/>
        </w:rPr>
        <w:t xml:space="preserve"> drugs which are CYP inhibitors would have the higher likelihood of generating DILI only when they are administered at a high daily dose</w:t>
      </w:r>
      <w:r w:rsidR="00E36D0C" w:rsidRPr="00B977AE">
        <w:rPr>
          <w:rFonts w:ascii="Book Antiqua" w:hAnsi="Book Antiqua" w:cs="Arial"/>
          <w:sz w:val="24"/>
          <w:szCs w:val="20"/>
          <w:lang w:val="en-US"/>
        </w:rPr>
        <w:t xml:space="preserve">; </w:t>
      </w:r>
      <w:r w:rsidR="009A1CC7" w:rsidRPr="00B977AE">
        <w:rPr>
          <w:rFonts w:ascii="Book Antiqua" w:hAnsi="Book Antiqua" w:cs="Arial"/>
          <w:sz w:val="24"/>
          <w:szCs w:val="20"/>
          <w:lang w:val="en-US" w:eastAsia="zh-CN"/>
        </w:rPr>
        <w:t xml:space="preserve">and </w:t>
      </w:r>
      <w:r w:rsidR="00E36D0C" w:rsidRPr="00B977AE">
        <w:rPr>
          <w:rFonts w:ascii="Book Antiqua" w:hAnsi="Book Antiqua" w:cs="Arial"/>
          <w:sz w:val="24"/>
          <w:szCs w:val="20"/>
          <w:lang w:val="en-US"/>
        </w:rPr>
        <w:t>(</w:t>
      </w:r>
      <w:r w:rsidR="009A1CC7" w:rsidRPr="00B977AE">
        <w:rPr>
          <w:rFonts w:ascii="Book Antiqua" w:hAnsi="Book Antiqua" w:cs="Arial"/>
          <w:sz w:val="24"/>
          <w:szCs w:val="20"/>
          <w:lang w:val="en-US" w:eastAsia="zh-CN"/>
        </w:rPr>
        <w:t>3</w:t>
      </w:r>
      <w:r w:rsidR="00E36D0C" w:rsidRPr="00B977AE">
        <w:rPr>
          <w:rFonts w:ascii="Book Antiqua" w:hAnsi="Book Antiqua" w:cs="Arial"/>
          <w:sz w:val="24"/>
          <w:szCs w:val="20"/>
          <w:lang w:val="en-US"/>
        </w:rPr>
        <w:t>)</w:t>
      </w:r>
      <w:r w:rsidR="00904021" w:rsidRPr="00B977AE">
        <w:rPr>
          <w:rFonts w:ascii="Book Antiqua" w:hAnsi="Book Antiqua" w:cs="Arial"/>
          <w:sz w:val="24"/>
          <w:szCs w:val="20"/>
          <w:lang w:val="en-US"/>
        </w:rPr>
        <w:t xml:space="preserve"> drugs which are CYP inducers are not observed to be associated with DILI</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&lt;Refman&gt;&lt;Cite&gt;&lt;Author&gt;Yu&lt;/Author&gt;&lt;Year&gt;2014&lt;/Year&gt;&lt;RecNum&gt;72&lt;/RecNum&gt;&lt;IDText&gt;High Daily Dose and Being a Substrate of Cytochrome P450 Enzymes are Two Important Predictors of Drug-induced Liver Injury&lt;/IDText&gt;&lt;MDL Ref_Type="Journal"&gt;&lt;Ref_Type&gt;Journal&lt;/Ref_Type&gt;&lt;Ref_ID&gt;72&lt;/Ref_ID&gt;&lt;Title_Primary&gt;High Daily Dose and Being a Substrate of Cytochrome P450 Enzymes are Two Important Predictors of Drug-induced Liver Injury&lt;/Title_Primary&gt;&lt;Authors_Primary&gt;Yu,K.&lt;/Authors_Primary&gt;&lt;Authors_Primary&gt;Geng,X.&lt;/Authors_Primary&gt;&lt;Authors_Primary&gt;Chen,M.&lt;/Authors_Primary&gt;&lt;Authors_Primary&gt;Zhang,J.&lt;/Authors_Primary&gt;&lt;Authors_Primary&gt;Wang,B.&lt;/Authors_Primary&gt;&lt;Authors_Primary&gt;Ilic,K.&lt;/Authors_Primary&gt;&lt;Authors_Primary&gt;Tong,W.&lt;/Authors_Primary&gt;&lt;Date_Primary&gt;2014/1/24&lt;/Date_Primary&gt;&lt;Keywords&gt;Drug-Induced Liver Injury&lt;/Keywords&gt;&lt;Keywords&gt;Liver&lt;/Keywords&gt;&lt;Keywords&gt;metabolism&lt;/Keywords&gt;&lt;Keywords&gt;Odds Ratio&lt;/Keywords&gt;&lt;Keywords&gt;toxicity&lt;/Keywords&gt;&lt;Reprint&gt;In File&lt;/Reprint&gt;&lt;Periodical&gt;Drug Metab Dispos.&lt;/Periodical&gt;&lt;Address&gt;National Center for Toxicological Research, US Food and Drug Administration;&lt;/Address&gt;&lt;Web_URL&gt;PM:24464804&lt;/Web_URL&gt;&lt;ZZ_JournalStdAbbrev&gt;&lt;f name="System"&gt;Drug Metab Dispos.&lt;/f&gt;&lt;/ZZ_JournalStdAbbrev&gt;&lt;ZZ_WorkformID&gt;1&lt;/ZZ_WorkformID&gt;&lt;/MDL&gt;&lt;/Cite&gt;&lt;/Refman&gt;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[8]</w:t>
      </w:r>
      <w:r w:rsidR="002411CC" w:rsidRPr="00B977AE">
        <w:rPr>
          <w:rFonts w:ascii="Book Antiqua" w:hAnsi="Book Antiqua" w:cs="Arial"/>
          <w:sz w:val="24"/>
          <w:szCs w:val="20"/>
          <w:lang w:val="en-US"/>
        </w:rPr>
        <w:fldChar w:fldCharType="end"/>
      </w:r>
      <w:r w:rsidR="00904021" w:rsidRPr="00B977AE">
        <w:rPr>
          <w:rFonts w:ascii="Book Antiqua" w:hAnsi="Book Antiqua" w:cs="Arial"/>
          <w:sz w:val="24"/>
          <w:szCs w:val="20"/>
          <w:lang w:val="en-US"/>
        </w:rPr>
        <w:t>.</w:t>
      </w:r>
    </w:p>
    <w:p w:rsidR="0096334F" w:rsidRPr="00B977AE" w:rsidRDefault="006B262D"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From a clinical standpoint, DILI can be classified into acute and chronic persistent (</w:t>
      </w:r>
      <w:r w:rsidR="00553915" w:rsidRPr="00B977AE">
        <w:rPr>
          <w:rFonts w:ascii="Book Antiqua" w:hAnsi="Book Antiqua" w:cs="Arial"/>
          <w:i/>
          <w:sz w:val="24"/>
          <w:szCs w:val="20"/>
          <w:lang w:val="en-US"/>
        </w:rPr>
        <w:t>i.e.</w:t>
      </w:r>
      <w:r w:rsidRPr="00B977AE">
        <w:rPr>
          <w:rFonts w:ascii="Book Antiqua" w:hAnsi="Book Antiqua" w:cs="Arial"/>
          <w:sz w:val="24"/>
          <w:szCs w:val="20"/>
          <w:lang w:val="en-US"/>
        </w:rPr>
        <w:t xml:space="preserve">, evidence of continue liver injury after discontinuation of causative agent beyond 12 </w:t>
      </w:r>
      <w:proofErr w:type="spellStart"/>
      <w:r w:rsidR="007671E2" w:rsidRPr="00B977AE">
        <w:rPr>
          <w:rFonts w:ascii="Book Antiqua" w:hAnsi="Book Antiqua" w:cs="Arial"/>
          <w:sz w:val="24"/>
          <w:szCs w:val="20"/>
          <w:lang w:val="en-US"/>
        </w:rPr>
        <w:t>mo</w:t>
      </w:r>
      <w:proofErr w:type="spellEnd"/>
      <w:r w:rsidRPr="00B977AE">
        <w:rPr>
          <w:rFonts w:ascii="Book Antiqua" w:hAnsi="Book Antiqua" w:cs="Arial"/>
          <w:sz w:val="24"/>
          <w:szCs w:val="20"/>
          <w:lang w:val="en-US"/>
        </w:rPr>
        <w:t xml:space="preserve"> of follow-up). </w:t>
      </w:r>
      <w:proofErr w:type="spellStart"/>
      <w:r w:rsidR="00BF1A71" w:rsidRPr="00B977AE">
        <w:rPr>
          <w:rFonts w:ascii="Book Antiqua" w:hAnsi="Book Antiqua" w:cs="Arial"/>
          <w:sz w:val="24"/>
          <w:szCs w:val="20"/>
          <w:lang w:val="en-US"/>
        </w:rPr>
        <w:t>Paracetamol</w:t>
      </w:r>
      <w:proofErr w:type="spellEnd"/>
      <w:r w:rsidR="00BF1A71" w:rsidRPr="00B977AE">
        <w:rPr>
          <w:rFonts w:ascii="Book Antiqua" w:hAnsi="Book Antiqua" w:cs="Arial"/>
          <w:sz w:val="24"/>
          <w:szCs w:val="20"/>
          <w:lang w:val="en-US"/>
        </w:rPr>
        <w:t xml:space="preserve"> (acetaminophen in the US) represents the leading cause of acute dose-dependent DILI. </w:t>
      </w:r>
      <w:r w:rsidRPr="00B977AE">
        <w:rPr>
          <w:rFonts w:ascii="Book Antiqua" w:hAnsi="Book Antiqua" w:cs="Arial"/>
          <w:sz w:val="24"/>
          <w:szCs w:val="20"/>
          <w:lang w:val="en-US"/>
        </w:rPr>
        <w:t>More precisely, an international DILI working group of clinicians and scientists developed a uniform consensus criteria to standardize</w:t>
      </w:r>
      <w:r w:rsidR="004A1CAD" w:rsidRPr="00B977AE">
        <w:rPr>
          <w:rFonts w:ascii="Book Antiqua" w:hAnsi="Book Antiqua" w:cs="Arial"/>
          <w:sz w:val="24"/>
          <w:szCs w:val="20"/>
          <w:lang w:val="en-US"/>
        </w:rPr>
        <w:t xml:space="preserve"> </w:t>
      </w:r>
      <w:r w:rsidRPr="00B977AE">
        <w:rPr>
          <w:rFonts w:ascii="Book Antiqua" w:hAnsi="Book Antiqua" w:cs="Arial"/>
          <w:sz w:val="24"/>
          <w:szCs w:val="20"/>
          <w:lang w:val="en-US"/>
        </w:rPr>
        <w:t>the phenotypes of DILI</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&lt;Refman&gt;&lt;Cite&gt;&lt;Author&gt;Aithal&lt;/Author&gt;&lt;Year&gt;2011&lt;/Year&gt;&lt;RecNum&gt;43&lt;/RecNum&gt;&lt;IDText&gt;Case definition and phenotype standardization in drug-induced liver injury&lt;/IDText&gt;&lt;MDL Ref_Type="Journal"&gt;&lt;Ref_Type&gt;Journal&lt;/Ref_Type&gt;&lt;Ref_ID&gt;43&lt;/Ref_ID&gt;&lt;Title_Primary&gt;Case definition and phenotype standardization in drug-induced liver injury&lt;/Title_Primary&gt;&lt;Authors_Primary&gt;Aithal,G.P.&lt;/Authors_Primary&gt;&lt;Authors_Primary&gt;Watkins,P.B.&lt;/Authors_Primary&gt;&lt;Authors_Primary&gt;Andrade,R.J.&lt;/Authors_Primary&gt;&lt;Authors_Primary&gt;Larrey,D.&lt;/Authors_Primary&gt;&lt;Authors_Primary&gt;Molokhia,M.&lt;/Authors_Primary&gt;&lt;Authors_Primary&gt;Takikawa,H.&lt;/Authors_Primary&gt;&lt;Authors_Primary&gt;Hunt,C.M.&lt;/Authors_Primary&gt;&lt;Authors_Primary&gt;Wilke,R.A.&lt;/Authors_Primary&gt;&lt;Authors_Primary&gt;Avigan,M.&lt;/Authors_Primary&gt;&lt;Authors_Primary&gt;Kaplowitz,N.&lt;/Authors_Primary&gt;&lt;Authors_Primary&gt;Bjornsson,E.&lt;/Authors_Primary&gt;&lt;Authors_Primary&gt;Daly,A.K.&lt;/Authors_Primary&gt;&lt;Date_Primary&gt;2011/6&lt;/Date_Primary&gt;&lt;Keywords&gt;Alanine Transaminase&lt;/Keywords&gt;&lt;Keywords&gt;Animals&lt;/Keywords&gt;&lt;Keywords&gt;Biomedical Research&lt;/Keywords&gt;&lt;Keywords&gt;blood&lt;/Keywords&gt;&lt;Keywords&gt;diagnosis&lt;/Keywords&gt;&lt;Keywords&gt;Diagnosis,Differential&lt;/Keywords&gt;&lt;Keywords&gt;Drug-Induced Liver Injury&lt;/Keywords&gt;&lt;Keywords&gt;Drug-Related Side Effects and Adverse Reactions&lt;/Keywords&gt;&lt;Keywords&gt;enzymology&lt;/Keywords&gt;&lt;Keywords&gt;genetics&lt;/Keywords&gt;&lt;Keywords&gt;Humans&lt;/Keywords&gt;&lt;Keywords&gt;Liver&lt;/Keywords&gt;&lt;Keywords&gt;Liver Diseases&lt;/Keywords&gt;&lt;Keywords&gt;Liver Failure&lt;/Keywords&gt;&lt;Keywords&gt;Pharmaceutical Preparations&lt;/Keywords&gt;&lt;Keywords&gt;Phenotype&lt;/Keywords&gt;&lt;Keywords&gt;Reference Standards&lt;/Keywords&gt;&lt;Keywords&gt;Registries&lt;/Keywords&gt;&lt;Keywords&gt;standards&lt;/Keywords&gt;&lt;Keywords&gt;Terminology as Topic&lt;/Keywords&gt;&lt;Reprint&gt;In File&lt;/Reprint&gt;&lt;Start_Page&gt;806&lt;/Start_Page&gt;&lt;End_Page&gt;815&lt;/End_Page&gt;&lt;Periodical&gt;Clin Pharmacol Ther&lt;/Periodical&gt;&lt;Volume&gt;89&lt;/Volume&gt;&lt;Issue&gt;6&lt;/Issue&gt;&lt;Address&gt;Nottingham Digestive Diseases Centre, National Institute for Health Research Biomedical Research Unit, Nottingham University Hospital National Health Service Trust, Nottingham, UK. Guru.Aithal@nuh.nhs.uk&lt;/Address&gt;&lt;Web_URL&gt;PM:21544079&lt;/Web_URL&gt;&lt;ZZ_JournalStdAbbrev&gt;&lt;f name="System"&gt;Clin Pharmacol Ther&lt;/f&gt;&lt;/ZZ_JournalStdAbbrev&gt;&lt;ZZ_WorkformID&gt;1&lt;/ZZ_WorkformID&gt;&lt;/MDL&gt;&lt;/Cite&gt;&lt;/Refman&gt;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[9]</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w:t>
      </w:r>
      <w:r w:rsidR="00277A4F" w:rsidRPr="00B977AE">
        <w:rPr>
          <w:rFonts w:ascii="Book Antiqua" w:hAnsi="Book Antiqua" w:cs="Arial"/>
          <w:sz w:val="24"/>
          <w:szCs w:val="20"/>
          <w:lang w:val="en-US"/>
        </w:rPr>
        <w:t xml:space="preserve"> Although liver enzymes such as transaminases lack specificity, liver injury in the context of DILI has been defined decades ago as an elevation in the serum concentration of alanine aminotransferase (ALT), conjugated bilirubin or alkaline phosphatase exceeding 2</w:t>
      </w:r>
      <w:r w:rsidR="00AF6B51" w:rsidRPr="00B977AE">
        <w:rPr>
          <w:rFonts w:ascii="Book Antiqua" w:hAnsi="Book Antiqua" w:cs="Arial"/>
          <w:sz w:val="24"/>
          <w:szCs w:val="20"/>
          <w:lang w:val="en-US" w:eastAsia="zh-CN"/>
        </w:rPr>
        <w:t xml:space="preserve"> </w:t>
      </w:r>
      <w:bookmarkStart w:id="109" w:name="OLE_LINK50"/>
      <w:bookmarkStart w:id="110" w:name="OLE_LINK51"/>
      <w:r w:rsidR="00AF6B51" w:rsidRPr="00B977AE">
        <w:rPr>
          <w:rFonts w:ascii="Book Antiqua" w:hAnsi="Book Antiqua"/>
          <w:sz w:val="24"/>
          <w:szCs w:val="24"/>
        </w:rPr>
        <w:t>×</w:t>
      </w:r>
      <w:bookmarkEnd w:id="109"/>
      <w:bookmarkEnd w:id="110"/>
      <w:r w:rsidR="00277A4F" w:rsidRPr="00B977AE">
        <w:rPr>
          <w:rFonts w:ascii="Book Antiqua" w:hAnsi="Book Antiqua" w:cs="Arial"/>
          <w:sz w:val="24"/>
          <w:szCs w:val="20"/>
          <w:lang w:val="en-US"/>
        </w:rPr>
        <w:t xml:space="preserve"> the upper limit of normal (ULN)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&lt;Refman&gt;&lt;Cite&gt;&lt;Author&gt;Benichou&lt;/Author&gt;&lt;Year&gt;1990&lt;/Year&gt;&lt;RecNum&gt;65&lt;/RecNum&gt;&lt;IDText&gt;Criteria of drug-induced liver disorders. Report of an international consensus meeting&lt;/IDText&gt;&lt;MDL Ref_Type="Journal"&gt;&lt;Ref_Type&gt;Journal&lt;/Ref_Type&gt;&lt;Ref_ID&gt;65&lt;/Ref_ID&gt;&lt;Title_Primary&gt;Criteria of drug-induced liver disorders. Report of an international consensus meeting&lt;/Title_Primary&gt;&lt;Authors_Primary&gt;Benichou,C.&lt;/Authors_Primary&gt;&lt;Date_Primary&gt;1990/9&lt;/Date_Primary&gt;&lt;Keywords&gt;Drug-Induced Liver Injury&lt;/Keywords&gt;&lt;Keywords&gt;France&lt;/Keywords&gt;&lt;Keywords&gt;Humans&lt;/Keywords&gt;&lt;Keywords&gt;International Cooperation&lt;/Keywords&gt;&lt;Keywords&gt;Liver&lt;/Keywords&gt;&lt;Keywords&gt;Pharmacovigilance&lt;/Keywords&gt;&lt;Keywords&gt;Pilot Projects&lt;/Keywords&gt;&lt;Reprint&gt;In File&lt;/Reprint&gt;&lt;Start_Page&gt;272&lt;/Start_Page&gt;&lt;End_Page&gt;276&lt;/End_Page&gt;&lt;Periodical&gt;J Hepatol.&lt;/Periodical&gt;&lt;Volume&gt;11&lt;/Volume&gt;&lt;Issue&gt;2&lt;/Issue&gt;&lt;Address&gt;Division of Pharmacovigilance, Roussel Uclaf, Paris, France&lt;/Address&gt;&lt;Web_URL&gt;PM:2254635&lt;/Web_URL&gt;&lt;ZZ_JournalStdAbbrev&gt;&lt;f name="System"&gt;J Hepatol.&lt;/f&gt;&lt;/ZZ_JournalStdAbbrev&gt;&lt;ZZ_WorkformID&gt;1&lt;/ZZ_WorkformID&gt;&lt;/MDL&gt;&lt;/Cite&gt;&lt;/Refman&gt;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[10]</w:t>
      </w:r>
      <w:r w:rsidR="002411CC" w:rsidRPr="00B977AE">
        <w:rPr>
          <w:rFonts w:ascii="Book Antiqua" w:hAnsi="Book Antiqua" w:cs="Arial"/>
          <w:sz w:val="24"/>
          <w:szCs w:val="20"/>
          <w:lang w:val="en-US"/>
        </w:rPr>
        <w:fldChar w:fldCharType="end"/>
      </w:r>
      <w:r w:rsidR="00277A4F" w:rsidRPr="00B977AE">
        <w:rPr>
          <w:rFonts w:ascii="Book Antiqua" w:hAnsi="Book Antiqua" w:cs="Arial"/>
          <w:sz w:val="24"/>
          <w:szCs w:val="20"/>
          <w:lang w:val="en-US"/>
        </w:rPr>
        <w:t>.</w:t>
      </w:r>
      <w:r w:rsidR="00B77829" w:rsidRPr="00B977AE">
        <w:rPr>
          <w:rFonts w:ascii="Book Antiqua" w:hAnsi="Book Antiqua" w:cs="Arial"/>
          <w:sz w:val="24"/>
          <w:szCs w:val="20"/>
          <w:lang w:val="en-US"/>
        </w:rPr>
        <w:t xml:space="preserve"> The expert working group proposed a cut-off level of 5</w:t>
      </w:r>
      <w:r w:rsidR="00AF6B51" w:rsidRPr="00B977AE">
        <w:rPr>
          <w:rFonts w:ascii="Book Antiqua" w:hAnsi="Book Antiqua" w:cs="Arial"/>
          <w:sz w:val="24"/>
          <w:szCs w:val="20"/>
          <w:lang w:val="en-US" w:eastAsia="zh-CN"/>
        </w:rPr>
        <w:t xml:space="preserve"> </w:t>
      </w:r>
      <w:r w:rsidR="00AF6B51" w:rsidRPr="00B977AE">
        <w:rPr>
          <w:rFonts w:ascii="Book Antiqua" w:hAnsi="Book Antiqua"/>
          <w:sz w:val="24"/>
          <w:szCs w:val="24"/>
        </w:rPr>
        <w:t>×</w:t>
      </w:r>
      <w:r w:rsidR="00B77829" w:rsidRPr="00B977AE">
        <w:rPr>
          <w:rFonts w:ascii="Book Antiqua" w:hAnsi="Book Antiqua" w:cs="Arial"/>
          <w:sz w:val="24"/>
          <w:szCs w:val="20"/>
          <w:lang w:val="en-US"/>
        </w:rPr>
        <w:t xml:space="preserve"> ULN for ALT as better threshold to exclude clinically unimportant and self-limited drug-related hepatic events as well as nonalcoholic </w:t>
      </w:r>
      <w:proofErr w:type="spellStart"/>
      <w:r w:rsidR="00B77829" w:rsidRPr="00B977AE">
        <w:rPr>
          <w:rFonts w:ascii="Book Antiqua" w:hAnsi="Book Antiqua" w:cs="Arial"/>
          <w:sz w:val="24"/>
          <w:szCs w:val="20"/>
          <w:lang w:val="en-US"/>
        </w:rPr>
        <w:t>steatohepatitis</w:t>
      </w:r>
      <w:proofErr w:type="spellEnd"/>
      <w:r w:rsidR="00B77829" w:rsidRPr="00B977AE">
        <w:rPr>
          <w:rFonts w:ascii="Book Antiqua" w:hAnsi="Book Antiqua" w:cs="Arial"/>
          <w:sz w:val="24"/>
          <w:szCs w:val="20"/>
          <w:lang w:val="en-US"/>
        </w:rPr>
        <w:t xml:space="preserve"> not related to DILI.</w:t>
      </w:r>
    </w:p>
    <w:p w:rsidR="0096334F" w:rsidRPr="00B977AE" w:rsidRDefault="0045507E"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 xml:space="preserve">The most common clinical presentations of DILI are hepatocellular, </w:t>
      </w:r>
      <w:proofErr w:type="spellStart"/>
      <w:r w:rsidRPr="00B977AE">
        <w:rPr>
          <w:rFonts w:ascii="Book Antiqua" w:hAnsi="Book Antiqua" w:cs="Arial"/>
          <w:sz w:val="24"/>
          <w:szCs w:val="20"/>
          <w:lang w:val="en-US"/>
        </w:rPr>
        <w:t>cholestatic</w:t>
      </w:r>
      <w:proofErr w:type="spellEnd"/>
      <w:r w:rsidRPr="00B977AE">
        <w:rPr>
          <w:rFonts w:ascii="Book Antiqua" w:hAnsi="Book Antiqua" w:cs="Arial"/>
          <w:sz w:val="24"/>
          <w:szCs w:val="20"/>
          <w:lang w:val="en-US"/>
        </w:rPr>
        <w:t xml:space="preserve"> and mixed, which should be defined on the basis of biochemical criteria. The R value is use for this purpose [R</w:t>
      </w:r>
      <w:r w:rsidR="00D0006C" w:rsidRPr="00B977AE">
        <w:rPr>
          <w:rFonts w:ascii="Book Antiqua" w:hAnsi="Book Antiqua" w:cs="Arial"/>
          <w:sz w:val="24"/>
          <w:szCs w:val="20"/>
          <w:lang w:val="en-US" w:eastAsia="zh-CN"/>
        </w:rPr>
        <w:t xml:space="preserve"> </w:t>
      </w:r>
      <w:r w:rsidRPr="00B977AE">
        <w:rPr>
          <w:rFonts w:ascii="Book Antiqua" w:hAnsi="Book Antiqua" w:cs="Arial"/>
          <w:sz w:val="24"/>
          <w:szCs w:val="20"/>
          <w:lang w:val="en-US"/>
        </w:rPr>
        <w:t>=</w:t>
      </w:r>
      <w:r w:rsidR="00D0006C" w:rsidRPr="00B977AE">
        <w:rPr>
          <w:rFonts w:ascii="Book Antiqua" w:hAnsi="Book Antiqua" w:cs="Arial"/>
          <w:sz w:val="24"/>
          <w:szCs w:val="20"/>
          <w:lang w:val="en-US" w:eastAsia="zh-CN"/>
        </w:rPr>
        <w:t xml:space="preserve"> </w:t>
      </w:r>
      <w:r w:rsidRPr="00B977AE">
        <w:rPr>
          <w:rFonts w:ascii="Book Antiqua" w:hAnsi="Book Antiqua" w:cs="Arial"/>
          <w:sz w:val="24"/>
          <w:szCs w:val="20"/>
          <w:lang w:val="en-US"/>
        </w:rPr>
        <w:t>(ALT/ULN)</w:t>
      </w:r>
      <w:proofErr w:type="gramStart"/>
      <w:r w:rsidRPr="00B977AE">
        <w:rPr>
          <w:rFonts w:ascii="Book Antiqua" w:hAnsi="Book Antiqua" w:cs="Arial"/>
          <w:sz w:val="24"/>
          <w:szCs w:val="20"/>
          <w:lang w:val="en-US"/>
        </w:rPr>
        <w:t>/(</w:t>
      </w:r>
      <w:proofErr w:type="gramEnd"/>
      <w:r w:rsidRPr="00B977AE">
        <w:rPr>
          <w:rFonts w:ascii="Book Antiqua" w:hAnsi="Book Antiqua" w:cs="Arial"/>
          <w:sz w:val="24"/>
          <w:szCs w:val="20"/>
          <w:lang w:val="en-US"/>
        </w:rPr>
        <w:t>ALP/ULN)]; when R</w:t>
      </w:r>
      <w:r w:rsidR="00D0006C" w:rsidRPr="00B977AE">
        <w:rPr>
          <w:rFonts w:ascii="Book Antiqua" w:hAnsi="Book Antiqua" w:cs="Arial"/>
          <w:sz w:val="24"/>
          <w:szCs w:val="20"/>
          <w:lang w:val="en-US" w:eastAsia="zh-CN"/>
        </w:rPr>
        <w:t xml:space="preserve"> </w:t>
      </w:r>
      <w:r w:rsidRPr="00B977AE">
        <w:rPr>
          <w:rFonts w:ascii="Book Antiqua" w:hAnsi="Book Antiqua" w:cs="Arial"/>
          <w:sz w:val="24"/>
          <w:szCs w:val="20"/>
          <w:lang w:val="en-US"/>
        </w:rPr>
        <w:t>≥</w:t>
      </w:r>
      <w:r w:rsidR="00D0006C" w:rsidRPr="00B977AE">
        <w:rPr>
          <w:rFonts w:ascii="Book Antiqua" w:hAnsi="Book Antiqua" w:cs="Arial"/>
          <w:sz w:val="24"/>
          <w:szCs w:val="20"/>
          <w:lang w:val="en-US" w:eastAsia="zh-CN"/>
        </w:rPr>
        <w:t xml:space="preserve"> </w:t>
      </w:r>
      <w:r w:rsidRPr="00B977AE">
        <w:rPr>
          <w:rFonts w:ascii="Book Antiqua" w:hAnsi="Book Antiqua" w:cs="Arial"/>
          <w:sz w:val="24"/>
          <w:szCs w:val="20"/>
          <w:lang w:val="en-US"/>
        </w:rPr>
        <w:t>5 the pattern is considered hepatocellular, whereas if R</w:t>
      </w:r>
      <w:r w:rsidR="00D0006C" w:rsidRPr="00B977AE">
        <w:rPr>
          <w:rFonts w:ascii="Book Antiqua" w:hAnsi="Book Antiqua" w:cs="Arial"/>
          <w:sz w:val="24"/>
          <w:szCs w:val="20"/>
          <w:lang w:val="en-US" w:eastAsia="zh-CN"/>
        </w:rPr>
        <w:t xml:space="preserve"> </w:t>
      </w:r>
      <w:r w:rsidRPr="00B977AE">
        <w:rPr>
          <w:rFonts w:ascii="Book Antiqua" w:hAnsi="Book Antiqua" w:cs="Arial"/>
          <w:sz w:val="24"/>
          <w:szCs w:val="20"/>
          <w:lang w:val="en-US"/>
        </w:rPr>
        <w:t>&lt;</w:t>
      </w:r>
      <w:r w:rsidR="00D0006C" w:rsidRPr="00B977AE">
        <w:rPr>
          <w:rFonts w:ascii="Book Antiqua" w:hAnsi="Book Antiqua" w:cs="Arial"/>
          <w:sz w:val="24"/>
          <w:szCs w:val="20"/>
          <w:lang w:val="en-US" w:eastAsia="zh-CN"/>
        </w:rPr>
        <w:t xml:space="preserve"> </w:t>
      </w:r>
      <w:r w:rsidRPr="00B977AE">
        <w:rPr>
          <w:rFonts w:ascii="Book Antiqua" w:hAnsi="Book Antiqua" w:cs="Arial"/>
          <w:sz w:val="24"/>
          <w:szCs w:val="20"/>
          <w:lang w:val="en-US"/>
        </w:rPr>
        <w:t xml:space="preserve">2 is </w:t>
      </w:r>
      <w:proofErr w:type="spellStart"/>
      <w:r w:rsidRPr="00B977AE">
        <w:rPr>
          <w:rFonts w:ascii="Book Antiqua" w:hAnsi="Book Antiqua" w:cs="Arial"/>
          <w:sz w:val="24"/>
          <w:szCs w:val="20"/>
          <w:lang w:val="en-US"/>
        </w:rPr>
        <w:t>cholestatic</w:t>
      </w:r>
      <w:proofErr w:type="spellEnd"/>
      <w:r w:rsidRPr="00B977AE">
        <w:rPr>
          <w:rFonts w:ascii="Book Antiqua" w:hAnsi="Book Antiqua" w:cs="Arial"/>
          <w:sz w:val="24"/>
          <w:szCs w:val="20"/>
          <w:lang w:val="en-US"/>
        </w:rPr>
        <w:t>.</w:t>
      </w:r>
      <w:r w:rsidR="002059FE" w:rsidRPr="00B977AE">
        <w:rPr>
          <w:rFonts w:ascii="Book Antiqua" w:hAnsi="Book Antiqua" w:cs="Arial"/>
          <w:sz w:val="24"/>
          <w:szCs w:val="20"/>
          <w:lang w:val="en-US"/>
        </w:rPr>
        <w:t xml:space="preserve"> </w:t>
      </w:r>
      <w:r w:rsidR="00F64D23" w:rsidRPr="00B977AE">
        <w:rPr>
          <w:rFonts w:ascii="Book Antiqua" w:hAnsi="Book Antiqua" w:cs="Arial"/>
          <w:sz w:val="24"/>
          <w:szCs w:val="20"/>
          <w:lang w:val="en-US"/>
        </w:rPr>
        <w:t>Usually, the damage induced by amoxicillin-</w:t>
      </w:r>
      <w:proofErr w:type="spellStart"/>
      <w:r w:rsidR="00F64D23" w:rsidRPr="00B977AE">
        <w:rPr>
          <w:rFonts w:ascii="Book Antiqua" w:hAnsi="Book Antiqua" w:cs="Arial"/>
          <w:sz w:val="24"/>
          <w:szCs w:val="20"/>
          <w:lang w:val="en-US"/>
        </w:rPr>
        <w:lastRenderedPageBreak/>
        <w:t>clavulanate</w:t>
      </w:r>
      <w:proofErr w:type="spellEnd"/>
      <w:r w:rsidR="00F64D23" w:rsidRPr="00B977AE">
        <w:rPr>
          <w:rFonts w:ascii="Book Antiqua" w:hAnsi="Book Antiqua" w:cs="Arial"/>
          <w:sz w:val="24"/>
          <w:szCs w:val="20"/>
          <w:lang w:val="en-US"/>
        </w:rPr>
        <w:t xml:space="preserve"> is considered to be </w:t>
      </w:r>
      <w:proofErr w:type="spellStart"/>
      <w:r w:rsidR="00F64D23" w:rsidRPr="00B977AE">
        <w:rPr>
          <w:rFonts w:ascii="Book Antiqua" w:hAnsi="Book Antiqua" w:cs="Arial"/>
          <w:sz w:val="24"/>
          <w:szCs w:val="20"/>
          <w:lang w:val="en-US"/>
        </w:rPr>
        <w:t>cholestatic</w:t>
      </w:r>
      <w:proofErr w:type="spellEnd"/>
      <w:r w:rsidR="00F64D23" w:rsidRPr="00B977AE">
        <w:rPr>
          <w:rFonts w:ascii="Book Antiqua" w:hAnsi="Book Antiqua" w:cs="Arial"/>
          <w:sz w:val="24"/>
          <w:szCs w:val="20"/>
          <w:lang w:val="en-US"/>
        </w:rPr>
        <w:t xml:space="preserve">, as compared to the hepatocellular pattern caused by </w:t>
      </w:r>
      <w:r w:rsidR="00A86F32" w:rsidRPr="00B977AE">
        <w:rPr>
          <w:rFonts w:ascii="Book Antiqua" w:hAnsi="Book Antiqua" w:cs="Arial"/>
          <w:sz w:val="24"/>
          <w:szCs w:val="20"/>
          <w:lang w:val="en-US"/>
        </w:rPr>
        <w:t>methotrexate.</w:t>
      </w:r>
    </w:p>
    <w:p w:rsidR="003B0E21" w:rsidRPr="00B977AE" w:rsidRDefault="0096334F" w:rsidP="004D1284">
      <w:pPr>
        <w:autoSpaceDE w:val="0"/>
        <w:autoSpaceDN w:val="0"/>
        <w:adjustRightInd w:val="0"/>
        <w:spacing w:line="360" w:lineRule="auto"/>
        <w:ind w:firstLineChars="150" w:firstLine="360"/>
        <w:jc w:val="both"/>
        <w:rPr>
          <w:rFonts w:ascii="Book Antiqua" w:hAnsi="Book Antiqua" w:cs="Arial"/>
          <w:sz w:val="24"/>
          <w:szCs w:val="20"/>
          <w:lang w:val="en-US" w:eastAsia="zh-CN"/>
        </w:rPr>
      </w:pPr>
      <w:r w:rsidRPr="00B977AE">
        <w:rPr>
          <w:rFonts w:ascii="Book Antiqua" w:hAnsi="Book Antiqua" w:cs="Arial"/>
          <w:sz w:val="24"/>
          <w:szCs w:val="20"/>
          <w:lang w:val="en-US"/>
        </w:rPr>
        <w:t>D</w:t>
      </w:r>
      <w:r w:rsidR="002059FE" w:rsidRPr="00B977AE">
        <w:rPr>
          <w:rFonts w:ascii="Book Antiqua" w:hAnsi="Book Antiqua" w:cs="Arial"/>
          <w:sz w:val="24"/>
          <w:szCs w:val="20"/>
          <w:lang w:val="en-US"/>
        </w:rPr>
        <w:t>iagnosis is a major challenge</w:t>
      </w:r>
      <w:r w:rsidR="00F64D23" w:rsidRPr="00B977AE">
        <w:rPr>
          <w:rFonts w:ascii="Book Antiqua" w:hAnsi="Book Antiqua" w:cs="Arial"/>
          <w:sz w:val="24"/>
          <w:szCs w:val="20"/>
          <w:lang w:val="en-US"/>
        </w:rPr>
        <w:t xml:space="preserve"> for clinicians</w:t>
      </w:r>
      <w:r w:rsidR="003F1FE1" w:rsidRPr="00B977AE">
        <w:rPr>
          <w:rFonts w:ascii="Book Antiqua" w:hAnsi="Book Antiqua" w:cs="Arial"/>
          <w:sz w:val="24"/>
          <w:szCs w:val="20"/>
          <w:lang w:val="en-US"/>
        </w:rPr>
        <w:t xml:space="preserve"> and is based on a combination of factors, which are influenced by the expertise: (</w:t>
      </w:r>
      <w:r w:rsidR="008C0C5E" w:rsidRPr="00B977AE">
        <w:rPr>
          <w:rFonts w:ascii="Book Antiqua" w:hAnsi="Book Antiqua" w:cs="Arial"/>
          <w:sz w:val="24"/>
          <w:szCs w:val="20"/>
          <w:lang w:val="en-US" w:eastAsia="zh-CN"/>
        </w:rPr>
        <w:t>1</w:t>
      </w:r>
      <w:r w:rsidR="003F1FE1" w:rsidRPr="00B977AE">
        <w:rPr>
          <w:rFonts w:ascii="Book Antiqua" w:hAnsi="Book Antiqua" w:cs="Arial"/>
          <w:sz w:val="24"/>
          <w:szCs w:val="20"/>
          <w:lang w:val="en-US"/>
        </w:rPr>
        <w:t>) exclusion of other causes that may elevate hepatic biochemical tests (</w:t>
      </w:r>
      <w:r w:rsidR="003F1FE1" w:rsidRPr="00B977AE">
        <w:rPr>
          <w:rFonts w:ascii="Book Antiqua" w:hAnsi="Book Antiqua" w:cs="Arial"/>
          <w:i/>
          <w:sz w:val="24"/>
          <w:szCs w:val="20"/>
          <w:lang w:val="en-US"/>
        </w:rPr>
        <w:t xml:space="preserve">in </w:t>
      </w:r>
      <w:proofErr w:type="spellStart"/>
      <w:r w:rsidR="003F1FE1" w:rsidRPr="00B977AE">
        <w:rPr>
          <w:rFonts w:ascii="Book Antiqua" w:hAnsi="Book Antiqua" w:cs="Arial"/>
          <w:i/>
          <w:sz w:val="24"/>
          <w:szCs w:val="20"/>
          <w:lang w:val="en-US"/>
        </w:rPr>
        <w:t>primis</w:t>
      </w:r>
      <w:proofErr w:type="spellEnd"/>
      <w:r w:rsidR="003F1FE1" w:rsidRPr="00B977AE">
        <w:rPr>
          <w:rFonts w:ascii="Book Antiqua" w:hAnsi="Book Antiqua" w:cs="Arial"/>
          <w:sz w:val="24"/>
          <w:szCs w:val="20"/>
          <w:lang w:val="en-US"/>
        </w:rPr>
        <w:t xml:space="preserve"> hepatitis viruses); </w:t>
      </w:r>
      <w:r w:rsidR="008C0C5E" w:rsidRPr="00B977AE">
        <w:rPr>
          <w:rFonts w:ascii="Book Antiqua" w:hAnsi="Book Antiqua" w:cs="Arial"/>
          <w:sz w:val="24"/>
          <w:szCs w:val="20"/>
          <w:lang w:val="en-US" w:eastAsia="zh-CN"/>
        </w:rPr>
        <w:t xml:space="preserve">and </w:t>
      </w:r>
      <w:r w:rsidR="003F1FE1" w:rsidRPr="00B977AE">
        <w:rPr>
          <w:rFonts w:ascii="Book Antiqua" w:hAnsi="Book Antiqua" w:cs="Arial"/>
          <w:sz w:val="24"/>
          <w:szCs w:val="20"/>
          <w:lang w:val="en-US"/>
        </w:rPr>
        <w:t>(</w:t>
      </w:r>
      <w:r w:rsidR="008C0C5E" w:rsidRPr="00B977AE">
        <w:rPr>
          <w:rFonts w:ascii="Book Antiqua" w:hAnsi="Book Antiqua" w:cs="Arial"/>
          <w:sz w:val="24"/>
          <w:szCs w:val="20"/>
          <w:lang w:val="en-US" w:eastAsia="zh-CN"/>
        </w:rPr>
        <w:t>2</w:t>
      </w:r>
      <w:r w:rsidR="003F1FE1" w:rsidRPr="00B977AE">
        <w:rPr>
          <w:rFonts w:ascii="Book Antiqua" w:hAnsi="Book Antiqua" w:cs="Arial"/>
          <w:sz w:val="24"/>
          <w:szCs w:val="20"/>
          <w:lang w:val="en-US"/>
        </w:rPr>
        <w:t>)</w:t>
      </w:r>
      <w:r w:rsidR="0037322D" w:rsidRPr="00B977AE">
        <w:rPr>
          <w:rFonts w:ascii="Book Antiqua" w:hAnsi="Book Antiqua" w:cs="Arial"/>
          <w:sz w:val="24"/>
          <w:szCs w:val="20"/>
          <w:lang w:val="en-US"/>
        </w:rPr>
        <w:t xml:space="preserve"> causality assessment methods, which may be based on expert opinion or on standardized liver-specific scoring instruments such as the </w:t>
      </w:r>
      <w:proofErr w:type="spellStart"/>
      <w:r w:rsidR="0037322D" w:rsidRPr="00B977AE">
        <w:rPr>
          <w:rFonts w:ascii="Book Antiqua" w:hAnsi="Book Antiqua" w:cs="Arial"/>
          <w:sz w:val="24"/>
          <w:szCs w:val="20"/>
          <w:lang w:val="en-US"/>
        </w:rPr>
        <w:t>Roussel</w:t>
      </w:r>
      <w:proofErr w:type="spellEnd"/>
      <w:r w:rsidR="0037322D" w:rsidRPr="00B977AE">
        <w:rPr>
          <w:rFonts w:ascii="Book Antiqua" w:hAnsi="Book Antiqua" w:cs="Arial"/>
          <w:sz w:val="24"/>
          <w:szCs w:val="20"/>
          <w:lang w:val="en-US"/>
        </w:rPr>
        <w:t xml:space="preserve"> </w:t>
      </w:r>
      <w:proofErr w:type="spellStart"/>
      <w:r w:rsidR="0037322D" w:rsidRPr="00B977AE">
        <w:rPr>
          <w:rFonts w:ascii="Book Antiqua" w:hAnsi="Book Antiqua" w:cs="Arial"/>
          <w:sz w:val="24"/>
          <w:szCs w:val="20"/>
          <w:lang w:val="en-US"/>
        </w:rPr>
        <w:t>Uclaf</w:t>
      </w:r>
      <w:proofErr w:type="spellEnd"/>
      <w:r w:rsidR="0037322D" w:rsidRPr="00B977AE">
        <w:rPr>
          <w:rFonts w:ascii="Book Antiqua" w:hAnsi="Book Antiqua" w:cs="Arial"/>
          <w:sz w:val="24"/>
          <w:szCs w:val="20"/>
          <w:lang w:val="en-US"/>
        </w:rPr>
        <w:t xml:space="preserve"> Causality Assessment Method (RUCAM), endorsed by the Council of International Organization of Medical Sciences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&lt;Refman&gt;&lt;Cite&gt;&lt;Author&gt;Teschke&lt;/Author&gt;&lt;Year&gt;2013&lt;/Year&gt;&lt;RecNum&gt;1&lt;/RecNum&gt;&lt;IDText&gt;Clinical and causality assessment in herbal hepatotoxicity&lt;/IDText&gt;&lt;MDL Ref_Type="Journal"&gt;&lt;Ref_Type&gt;Journal&lt;/Ref_Type&gt;&lt;Ref_ID&gt;1&lt;/Ref_ID&gt;&lt;Title_Primary&gt;Clinical and causality assessment in herbal hepatotoxicity&lt;/Title_Primary&gt;&lt;Authors_Primary&gt;Teschke,R.&lt;/Authors_Primary&gt;&lt;Authors_Primary&gt;Schwarzenboeck,A.&lt;/Authors_Primary&gt;&lt;Authors_Primary&gt;Eickhoff,A.&lt;/Authors_Primary&gt;&lt;Authors_Primary&gt;Frenzel,C.&lt;/Authors_Primary&gt;&lt;Authors_Primary&gt;Wolff,A.&lt;/Authors_Primary&gt;&lt;Authors_Primary&gt;Schulze,J.&lt;/Authors_Primary&gt;&lt;Date_Primary&gt;2013/5&lt;/Date_Primary&gt;&lt;Keywords&gt;adverse effects&lt;/Keywords&gt;&lt;Keywords&gt;Animals&lt;/Keywords&gt;&lt;Keywords&gt;drug effects&lt;/Keywords&gt;&lt;Keywords&gt;Drug-Induced Liver Injury&lt;/Keywords&gt;&lt;Keywords&gt;etiology&lt;/Keywords&gt;&lt;Keywords&gt;Humans&lt;/Keywords&gt;&lt;Keywords&gt;Liver&lt;/Keywords&gt;&lt;Keywords&gt;Phytotherapy&lt;/Keywords&gt;&lt;Keywords&gt;Plant Extracts&lt;/Keywords&gt;&lt;Keywords&gt;Plants,Medicinal&lt;/Keywords&gt;&lt;Reprint&gt;In File&lt;/Reprint&gt;&lt;Start_Page&gt;339&lt;/Start_Page&gt;&lt;End_Page&gt;366&lt;/End_Page&gt;&lt;Periodical&gt;Expert Opin Drug Saf&lt;/Periodical&gt;&lt;Volume&gt;12&lt;/Volume&gt;&lt;Issue&gt;3&lt;/Issue&gt;&lt;Address&gt;Academic Teaching Hospital of Goethe University of Frankfurt/Main, Department of Internal Medicine II, Klinikum Hanau, Leimenstrasse 20, D-63450 Hanau, Germany. rolf.teschke@gmx.de&lt;/Address&gt;&lt;Web_URL&gt;PM:23458441&lt;/Web_URL&gt;&lt;ZZ_JournalStdAbbrev&gt;&lt;f name="System"&gt;Expert Opin 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[11]</w:t>
      </w:r>
      <w:r w:rsidR="002411CC" w:rsidRPr="00B977AE">
        <w:rPr>
          <w:rFonts w:ascii="Book Antiqua" w:hAnsi="Book Antiqua" w:cs="Arial"/>
          <w:sz w:val="24"/>
          <w:szCs w:val="20"/>
          <w:lang w:val="en-US"/>
        </w:rPr>
        <w:fldChar w:fldCharType="end"/>
      </w:r>
      <w:r w:rsidR="00F57975" w:rsidRPr="00B977AE">
        <w:rPr>
          <w:rFonts w:ascii="Book Antiqua" w:hAnsi="Book Antiqua" w:cs="Arial"/>
          <w:sz w:val="24"/>
          <w:szCs w:val="20"/>
          <w:lang w:val="en-US"/>
        </w:rPr>
        <w:t>; the presence of a signature pattern indicative of a specific causative agent (</w:t>
      </w:r>
      <w:r w:rsidR="0004797C" w:rsidRPr="0004797C">
        <w:rPr>
          <w:rFonts w:ascii="Book Antiqua" w:hAnsi="Book Antiqua" w:cs="Arial"/>
          <w:i/>
          <w:sz w:val="24"/>
          <w:szCs w:val="20"/>
          <w:lang w:val="en-US"/>
        </w:rPr>
        <w:t>e.g</w:t>
      </w:r>
      <w:r w:rsidR="00F57975" w:rsidRPr="00B977AE">
        <w:rPr>
          <w:rFonts w:ascii="Book Antiqua" w:hAnsi="Book Antiqua" w:cs="Arial"/>
          <w:sz w:val="24"/>
          <w:szCs w:val="20"/>
          <w:lang w:val="en-US"/>
        </w:rPr>
        <w:t xml:space="preserve">., typical features of DILI by </w:t>
      </w:r>
      <w:proofErr w:type="spellStart"/>
      <w:r w:rsidR="00F57975" w:rsidRPr="00B977AE">
        <w:rPr>
          <w:rFonts w:ascii="Book Antiqua" w:hAnsi="Book Antiqua" w:cs="Arial"/>
          <w:sz w:val="24"/>
          <w:szCs w:val="20"/>
          <w:lang w:val="en-US"/>
        </w:rPr>
        <w:t>telithromycin</w:t>
      </w:r>
      <w:proofErr w:type="spellEnd"/>
      <w:r w:rsidR="00F57975" w:rsidRPr="00B977AE">
        <w:rPr>
          <w:rFonts w:ascii="Book Antiqua" w:hAnsi="Book Antiqua" w:cs="Arial"/>
          <w:sz w:val="24"/>
          <w:szCs w:val="20"/>
          <w:lang w:val="en-US"/>
        </w:rPr>
        <w:t xml:space="preserve"> include short latency and abrupt onset of fever, abdominal pain, and jaundice, sometimes with the presence of ascites even in cases that resolved)</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&lt;Refman&gt;&lt;Cite&gt;&lt;Author&gt;Brinker&lt;/Author&gt;&lt;Year&gt;2009&lt;/Year&gt;&lt;RecNum&gt;23&lt;/RecNum&gt;&lt;IDText&gt;Telithromycin-associated hepatotoxicity: Clinical spectrum and causality assessment of 42 cases&lt;/IDText&gt;&lt;MDL Ref_Type="Journal"&gt;&lt;Ref_Type&gt;Journal&lt;/Ref_Type&gt;&lt;Ref_ID&gt;23&lt;/Ref_ID&gt;&lt;Title_Primary&gt;Telithromycin-associated hepatotoxicity: Clinical spectrum and causality assessment of 42 cases&lt;/Title_Primary&gt;&lt;Authors_Primary&gt;Brinker,A.D.&lt;/Authors_Primary&gt;&lt;Authors_Primary&gt;Wassel,R.T.&lt;/Authors_Primary&gt;&lt;Authors_Primary&gt;Lyndly,J.&lt;/Authors_Primary&gt;&lt;Authors_Primary&gt;Serrano,J.&lt;/Authors_Primary&gt;&lt;Authors_Primary&gt;Avigan,M.&lt;/Authors_Primary&gt;&lt;Authors_Primary&gt;Lee,W.M.&lt;/Authors_Primary&gt;&lt;Authors_Primary&gt;Seeff,L.B.&lt;/Authors_Primary&gt;&lt;Date_Primary&gt;2009/1&lt;/Date_Primary&gt;&lt;Keywords&gt;Adult&lt;/Keywords&gt;&lt;Keywords&gt;adverse effects&lt;/Keywords&gt;&lt;Keywords&gt;Aged&lt;/Keywords&gt;&lt;Keywords&gt;Aged,80 and over&lt;/Keywords&gt;&lt;Keywords&gt;Anti-Bacterial Agents&lt;/Keywords&gt;&lt;Keywords&gt;Ascites&lt;/Keywords&gt;&lt;Keywords&gt;chemically induced&lt;/Keywords&gt;&lt;Keywords&gt;Drug-Induced Liver Injury&lt;/Keywords&gt;&lt;Keywords&gt;epidemiology&lt;/Keywords&gt;&lt;Keywords&gt;etiology&lt;/Keywords&gt;&lt;Keywords&gt;Fatal Outcome&lt;/Keywords&gt;&lt;Keywords&gt;Female&lt;/Keywords&gt;&lt;Keywords&gt;Humans&lt;/Keywords&gt;&lt;Keywords&gt;Jaundice&lt;/Keywords&gt;&lt;Keywords&gt;Ketolides&lt;/Keywords&gt;&lt;Keywords&gt;Liver&lt;/Keywords&gt;&lt;Keywords&gt;Liver Failure&lt;/Keywords&gt;&lt;Keywords&gt;Liver Transplantation&lt;/Keywords&gt;&lt;Keywords&gt;Male&lt;/Keywords&gt;&lt;Keywords&gt;Middle Aged&lt;/Keywords&gt;&lt;Keywords&gt;Pleural Effusion&lt;/Keywords&gt;&lt;Keywords&gt;United States&lt;/Keywords&gt;&lt;Keywords&gt;United States Food and Drug Administration&lt;/Keywords&gt;&lt;Reprint&gt;In File&lt;/Reprint&gt;&lt;Start_Page&gt;250&lt;/Start_Page&gt;&lt;End_Page&gt;257&lt;/End_Page&gt;&lt;Periodical&gt;Hepatology&lt;/Periodical&gt;&lt;Volume&gt;49&lt;/Volume&gt;&lt;Issue&gt;1&lt;/Issue&gt;&lt;Address&gt;Office of Surveillance and Epidemiology, Center for Drug Evaluation and Research, Food and Drug Administration, Silver Spring, MD 20993, USA. allen.brinker@fda.hhs.gov&lt;/Address&gt;&lt;Web_URL&gt;PM:19085949&lt;/Web_URL&gt;&lt;ZZ_JournalStdAbbrev&gt;&lt;f name="System"&gt;Hepatology&lt;/f&gt;&lt;/ZZ_JournalStdAbbrev&gt;&lt;ZZ_WorkformID&gt;1&lt;/ZZ_WorkformID&gt;&lt;/MDL&gt;&lt;/Cite&gt;&lt;/Refman&gt;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[12]</w:t>
      </w:r>
      <w:r w:rsidR="002411CC" w:rsidRPr="00B977AE">
        <w:rPr>
          <w:rFonts w:ascii="Book Antiqua" w:hAnsi="Book Antiqua" w:cs="Arial"/>
          <w:sz w:val="24"/>
          <w:szCs w:val="20"/>
          <w:lang w:val="en-US"/>
        </w:rPr>
        <w:fldChar w:fldCharType="end"/>
      </w:r>
      <w:r w:rsidR="00F57975" w:rsidRPr="00B977AE">
        <w:rPr>
          <w:rFonts w:ascii="Book Antiqua" w:hAnsi="Book Antiqua" w:cs="Arial"/>
          <w:sz w:val="24"/>
          <w:szCs w:val="20"/>
          <w:lang w:val="en-US"/>
        </w:rPr>
        <w:t>.</w:t>
      </w:r>
      <w:r w:rsidR="001B28D9" w:rsidRPr="00B977AE">
        <w:rPr>
          <w:rFonts w:ascii="Book Antiqua" w:hAnsi="Book Antiqua" w:cs="Arial"/>
          <w:sz w:val="24"/>
          <w:szCs w:val="20"/>
          <w:lang w:val="en-US"/>
        </w:rPr>
        <w:t xml:space="preserve"> </w:t>
      </w:r>
      <w:r w:rsidR="00C31B23" w:rsidRPr="00B977AE">
        <w:rPr>
          <w:rFonts w:ascii="Book Antiqua" w:hAnsi="Book Antiqua" w:cs="Arial"/>
          <w:sz w:val="24"/>
          <w:szCs w:val="20"/>
          <w:lang w:val="en-US"/>
        </w:rPr>
        <w:t>In this context, a clinical research workshop took place to review and attempt to standardize the current nomenclature and terminology used in DILI research. Because DILI is a diagnosis of exclusion, selected elements of the medical history, laboratory tests, and previous reports were proposed to improve causality assessment</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&lt;Refman&gt;&lt;Cite&gt;&lt;Author&gt;Fontana&lt;/Author&gt;&lt;Year&gt;2010&lt;/Year&gt;&lt;RecNum&gt;8&lt;/RecNum&gt;&lt;IDText&gt;Standardization of nomenclature and causality assessment in drug-induced liver injury: summary of a clinical research workshop&lt;/IDText&gt;&lt;MDL Ref_Type="Journal"&gt;&lt;Ref_Type&gt;Journal&lt;/Ref_Type&gt;&lt;Ref_ID&gt;8&lt;/Ref_ID&gt;&lt;Title_Primary&gt;Standardization of nomenclature and causality assessment in drug-induced liver injury: summary of a clinical research workshop&lt;/Title_Primary&gt;&lt;Authors_Primary&gt;Fontana,R.J.&lt;/Authors_Primary&gt;&lt;Authors_Primary&gt;Seeff,L.B.&lt;/Authors_Primary&gt;&lt;Authors_Primary&gt;Andrade,R.J.&lt;/Authors_Primary&gt;&lt;Authors_Primary&gt;Bjornsson,E.&lt;/Authors_Primary&gt;&lt;Authors_Primary&gt;Day,C.P.&lt;/Authors_Primary&gt;&lt;Authors_Primary&gt;Serrano,J.&lt;/Authors_Primary&gt;&lt;Authors_Primary&gt;Hoofnagle,J.H.&lt;/Authors_Primary&gt;&lt;Date_Primary&gt;2010/8&lt;/Date_Primary&gt;&lt;Keywords&gt;Biomedical Research&lt;/Keywords&gt;&lt;Keywords&gt;diagnosis&lt;/Keywords&gt;&lt;Keywords&gt;Drug-Induced Liver Injury&lt;/Keywords&gt;&lt;Keywords&gt;etiology&lt;/Keywords&gt;&lt;Keywords&gt;Humans&lt;/Keywords&gt;&lt;Keywords&gt;Liver&lt;/Keywords&gt;&lt;Keywords&gt;Risk Factors&lt;/Keywords&gt;&lt;Keywords&gt;Severity of Illness Index&lt;/Keywords&gt;&lt;Keywords&gt;Terminology as Topic&lt;/Keywords&gt;&lt;Keywords&gt;therapy&lt;/Keywords&gt;&lt;Reprint&gt;In File&lt;/Reprint&gt;&lt;Start_Page&gt;730&lt;/Start_Page&gt;&lt;End_Page&gt;742&lt;/End_Page&gt;&lt;Periodical&gt;Hepatology&lt;/Periodical&gt;&lt;Volume&gt;52&lt;/Volume&gt;&lt;Issue&gt;2&lt;/Issue&gt;&lt;Address&gt;Department of Internal Medicine, University of Michigan, Ann Arbor, MI 48103, USA. rfontana@med.umich.edu&lt;/Address&gt;&lt;Web_URL&gt;PM:20564754&lt;/Web_URL&gt;&lt;ZZ_JournalStdAbbrev&gt;&lt;f name="System"&gt;Hepatology&lt;/f&gt;&lt;/ZZ_JournalStdAbbrev&gt;&lt;ZZ_WorkformID&gt;1&lt;/ZZ_WorkformID&gt;&lt;/MDL&gt;&lt;/Cite&gt;&lt;/Refman&gt;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4C7B2E" w:rsidRPr="00B977AE">
        <w:rPr>
          <w:rFonts w:ascii="Book Antiqua" w:hAnsi="Book Antiqua" w:cs="Arial"/>
          <w:sz w:val="24"/>
          <w:szCs w:val="20"/>
          <w:vertAlign w:val="superscript"/>
          <w:lang w:val="en-US"/>
        </w:rPr>
        <w:t>[13]</w:t>
      </w:r>
      <w:r w:rsidR="002411CC" w:rsidRPr="00B977AE">
        <w:rPr>
          <w:rFonts w:ascii="Book Antiqua" w:hAnsi="Book Antiqua" w:cs="Arial"/>
          <w:sz w:val="24"/>
          <w:szCs w:val="20"/>
          <w:lang w:val="en-US"/>
        </w:rPr>
        <w:fldChar w:fldCharType="end"/>
      </w:r>
      <w:r w:rsidR="00C31B23" w:rsidRPr="00B977AE">
        <w:rPr>
          <w:rFonts w:ascii="Book Antiqua" w:hAnsi="Book Antiqua" w:cs="Arial"/>
          <w:sz w:val="24"/>
          <w:szCs w:val="20"/>
          <w:lang w:val="en-US"/>
        </w:rPr>
        <w:t xml:space="preserve">. </w:t>
      </w:r>
      <w:r w:rsidR="00D038C5" w:rsidRPr="00B977AE">
        <w:rPr>
          <w:rFonts w:ascii="Book Antiqua" w:hAnsi="Book Antiqua" w:cs="Arial"/>
          <w:sz w:val="24"/>
          <w:szCs w:val="20"/>
          <w:lang w:val="en-US"/>
        </w:rPr>
        <w:t>The role of liver biopsy is still controversial, especially histological features and their relationship with biochemical parameters, although a systematic approach has been recently proposed as a foundation to correlate DILI pathology with its causality and outcome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&lt;Refman&gt;&lt;Cite&gt;&lt;Author&gt;Kleiner&lt;/Author&gt;&lt;Year&gt;2013&lt;/Year&gt;&lt;RecNum&gt;73&lt;/RecNum&gt;&lt;IDText&gt;Hepatic histological findings in suspected drug-induced liver injury: Systematic evaluation and clinical associations&lt;/IDText&gt;&lt;MDL Ref_Type="Journal"&gt;&lt;Ref_Type&gt;Journal&lt;/Ref_Type&gt;&lt;Ref_ID&gt;73&lt;/Ref_ID&gt;&lt;Title_Primary&gt;Hepatic histological findings in suspected drug-induced liver injury: Systematic evaluation and clinical associations&lt;/Title_Primary&gt;&lt;Authors_Primary&gt;Kleiner,D.E.&lt;/Authors_Primary&gt;&lt;Authors_Primary&gt;Chalasani,N.P.&lt;/Authors_Primary&gt;&lt;Authors_Primary&gt;Lee,W.M.&lt;/Authors_Primary&gt;&lt;Authors_Primary&gt;Fontana,R.J.&lt;/Authors_Primary&gt;&lt;Authors_Primary&gt;Bonkovsky,H.L.&lt;/Authors_Primary&gt;&lt;Authors_Primary&gt;Watkins,P.B.&lt;/Authors_Primary&gt;&lt;Authors_Primary&gt;Hayashi,P.H.&lt;/Authors_Primary&gt;&lt;Authors_Primary&gt;Davern,T.J.&lt;/Authors_Primary&gt;&lt;Authors_Primary&gt;Navarro,V.&lt;/Authors_Primary&gt;&lt;Authors_Primary&gt;Reddy,R.&lt;/Authors_Primary&gt;&lt;Authors_Primary&gt;Talwalkar,J.A.&lt;/Authors_Primary&gt;&lt;Authors_Primary&gt;Stolz,A.&lt;/Authors_Primary&gt;&lt;Authors_Primary&gt;Gu,J.&lt;/Authors_Primary&gt;&lt;Authors_Primary&gt;Barnhart,H.&lt;/Authors_Primary&gt;&lt;Authors_Primary&gt;Hoofnagle,J.H.&lt;/Authors_Primary&gt;&lt;Date_Primary&gt;2013/8/28&lt;/Date_Primary&gt;&lt;Keywords&gt;Biopsy&lt;/Keywords&gt;&lt;Keywords&gt;Cholestasis&lt;/Keywords&gt;&lt;Keywords&gt;diagnosis&lt;/Keywords&gt;&lt;Keywords&gt;Drug-Induced Liver Injury&lt;/Keywords&gt;&lt;Keywords&gt;Fibrosis&lt;/Keywords&gt;&lt;Keywords&gt;Inflammation&lt;/Keywords&gt;&lt;Keywords&gt;Liver&lt;/Keywords&gt;&lt;Keywords&gt;pathology&lt;/Keywords&gt;&lt;Keywords&gt;Phenotype&lt;/Keywords&gt;&lt;Reprint&gt;In File&lt;/Reprint&gt;&lt;Periodical&gt;Hepatology&lt;/Periodical&gt;&lt;Address&gt;Laboratory of Pathology, National Cancer Institute, National Institutes of Health, Bethesda, MD&lt;/Address&gt;&lt;Web_URL&gt;PM:24037963&lt;/Web_URL&gt;&lt;ZZ_JournalStdAbbrev&gt;&lt;f name="System"&gt;Hepatology&lt;/f&gt;&lt;/ZZ_JournalStdAbbrev&gt;&lt;ZZ_WorkformID&gt;1&lt;/ZZ_WorkformID&gt;&lt;/MDL&gt;&lt;/Cite&gt;&lt;/Refman&gt;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[14]</w:t>
      </w:r>
      <w:r w:rsidR="002411CC" w:rsidRPr="00B977AE">
        <w:rPr>
          <w:rFonts w:ascii="Book Antiqua" w:hAnsi="Book Antiqua" w:cs="Arial"/>
          <w:sz w:val="24"/>
          <w:szCs w:val="20"/>
          <w:lang w:val="en-US"/>
        </w:rPr>
        <w:fldChar w:fldCharType="end"/>
      </w:r>
      <w:r w:rsidR="00D038C5" w:rsidRPr="00B977AE">
        <w:rPr>
          <w:rFonts w:ascii="Book Antiqua" w:hAnsi="Book Antiqua" w:cs="Arial"/>
          <w:sz w:val="24"/>
          <w:szCs w:val="20"/>
          <w:lang w:val="en-US"/>
        </w:rPr>
        <w:t xml:space="preserve">. </w:t>
      </w:r>
      <w:r w:rsidR="005F38D4" w:rsidRPr="00B977AE">
        <w:rPr>
          <w:rFonts w:ascii="Book Antiqua" w:hAnsi="Book Antiqua" w:cs="Arial"/>
          <w:sz w:val="24"/>
          <w:szCs w:val="20"/>
          <w:lang w:val="en-US"/>
        </w:rPr>
        <w:t>Efforts have been also directed to identify a list of essential elements (minimum requirements) when submitting case reports for publication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&lt;Refman&gt;&lt;Cite&gt;&lt;Author&gt;Agarwal&lt;/Author&gt;&lt;Year&gt;2010&lt;/Year&gt;&lt;RecNum&gt;60&lt;/RecNum&gt;&lt;IDText&gt;Important elements for the diagnosis of drug-induced liver injury&lt;/IDText&gt;&lt;MDL Ref_Type="Journal"&gt;&lt;Ref_Type&gt;Journal&lt;/Ref_Type&gt;&lt;Ref_ID&gt;60&lt;/Ref_ID&gt;&lt;Title_Primary&gt;Important elements for the diagnosis of drug-induced liver injury&lt;/Title_Primary&gt;&lt;Authors_Primary&gt;Agarwal,V.K.&lt;/Authors_Primary&gt;&lt;Authors_Primary&gt;McHutchison,J.G.&lt;/Authors_Primary&gt;&lt;Authors_Primary&gt;Hoofnagle,J.H.&lt;/Authors_Primary&gt;&lt;Date_Primary&gt;2010/5&lt;/Date_Primary&gt;&lt;Keywords&gt;adverse effects&lt;/Keywords&gt;&lt;Keywords&gt;Alkaline Phosphatase&lt;/Keywords&gt;&lt;Keywords&gt;Bilirubin&lt;/Keywords&gt;&lt;Keywords&gt;diagnosis&lt;/Keywords&gt;&lt;Keywords&gt;Drug Toxicity&lt;/Keywords&gt;&lt;Keywords&gt;Drug-Induced Liver Injury&lt;/Keywords&gt;&lt;Keywords&gt;Drug-Related Side Effects and Adverse Reactions&lt;/Keywords&gt;&lt;Keywords&gt;etiology&lt;/Keywords&gt;&lt;Keywords&gt;Humans&lt;/Keywords&gt;&lt;Keywords&gt;Liver&lt;/Keywords&gt;&lt;Keywords&gt;Liver Diseases&lt;/Keywords&gt;&lt;Keywords&gt;Liver Failure&lt;/Keywords&gt;&lt;Keywords&gt;methods&lt;/Keywords&gt;&lt;Keywords&gt;Publications&lt;/Keywords&gt;&lt;Keywords&gt;standards&lt;/Keywords&gt;&lt;Keywords&gt;toxicity&lt;/Keywords&gt;&lt;Keywords&gt;United States&lt;/Keywords&gt;&lt;Reprint&gt;Not in File&lt;/Reprint&gt;&lt;Start_Page&gt;463&lt;/Start_Page&gt;&lt;End_Page&gt;470&lt;/End_Page&gt;&lt;Periodical&gt;Clin.Gastroenterol.Hepatol.&lt;/Periodical&gt;&lt;Volume&gt;8&lt;/Volume&gt;&lt;Issue&gt;5&lt;/Issue&gt;&lt;Address&gt;Duke Clinical Research Institute and Duke University Medical Center, Durham, North Carolina 27715, USA&lt;/Address&gt;&lt;Web_URL&gt;PM:20170750&lt;/Web_URL&gt;&lt;ZZ_JournalStdAbbrev&gt;&lt;f name="System"&gt;Clin.Gastroenterol.Hepatol.&lt;/f&gt;&lt;/ZZ_JournalStdAbbrev&gt;&lt;ZZ_WorkformID&gt;1&lt;/ZZ_WorkformID&gt;&lt;/MDL&gt;&lt;/Cite&gt;&lt;/Refman&gt;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[15]</w:t>
      </w:r>
      <w:r w:rsidR="002411CC" w:rsidRPr="00B977AE">
        <w:rPr>
          <w:rFonts w:ascii="Book Antiqua" w:hAnsi="Book Antiqua" w:cs="Arial"/>
          <w:sz w:val="24"/>
          <w:szCs w:val="20"/>
          <w:lang w:val="en-US"/>
        </w:rPr>
        <w:fldChar w:fldCharType="end"/>
      </w:r>
      <w:r w:rsidR="005F38D4" w:rsidRPr="00B977AE">
        <w:rPr>
          <w:rFonts w:ascii="Book Antiqua" w:hAnsi="Book Antiqua" w:cs="Arial"/>
          <w:sz w:val="24"/>
          <w:szCs w:val="20"/>
          <w:lang w:val="en-US"/>
        </w:rPr>
        <w:t xml:space="preserve">. </w:t>
      </w:r>
      <w:r w:rsidR="001B28D9" w:rsidRPr="00B977AE">
        <w:rPr>
          <w:rFonts w:ascii="Book Antiqua" w:hAnsi="Book Antiqua" w:cs="Arial"/>
          <w:sz w:val="24"/>
          <w:szCs w:val="20"/>
          <w:lang w:val="en-US"/>
        </w:rPr>
        <w:t xml:space="preserve">Recently, a dedicated website was </w:t>
      </w:r>
      <w:r w:rsidR="005F38D4" w:rsidRPr="00B977AE">
        <w:rPr>
          <w:rFonts w:ascii="Book Antiqua" w:hAnsi="Book Antiqua" w:cs="Arial"/>
          <w:sz w:val="24"/>
          <w:szCs w:val="20"/>
          <w:lang w:val="en-US"/>
        </w:rPr>
        <w:t xml:space="preserve">finally </w:t>
      </w:r>
      <w:r w:rsidR="001B28D9" w:rsidRPr="00B977AE">
        <w:rPr>
          <w:rFonts w:ascii="Book Antiqua" w:hAnsi="Book Antiqua" w:cs="Arial"/>
          <w:sz w:val="24"/>
          <w:szCs w:val="20"/>
          <w:lang w:val="en-US"/>
        </w:rPr>
        <w:t>created as an aid for clinicians and researchers to quickly extract updated information on DILI (</w:t>
      </w:r>
      <w:hyperlink r:id="rId10" w:history="1">
        <w:r w:rsidR="001B28D9" w:rsidRPr="00B977AE">
          <w:rPr>
            <w:rStyle w:val="ac"/>
            <w:rFonts w:ascii="Book Antiqua" w:hAnsi="Book Antiqua" w:cs="Arial"/>
            <w:sz w:val="24"/>
            <w:szCs w:val="20"/>
            <w:lang w:val="en-US"/>
          </w:rPr>
          <w:t>http://livertox.nih.gov/</w:t>
        </w:r>
      </w:hyperlink>
      <w:r w:rsidR="001B28D9" w:rsidRPr="00B977AE">
        <w:rPr>
          <w:rFonts w:ascii="Book Antiqua" w:hAnsi="Book Antiqua" w:cs="Arial"/>
          <w:sz w:val="24"/>
          <w:szCs w:val="20"/>
          <w:lang w:val="en-US"/>
        </w:rPr>
        <w:t>).</w:t>
      </w:r>
    </w:p>
    <w:p w:rsidR="00600879" w:rsidRPr="00B977AE" w:rsidRDefault="00600879" w:rsidP="009E220B">
      <w:pPr>
        <w:autoSpaceDE w:val="0"/>
        <w:autoSpaceDN w:val="0"/>
        <w:adjustRightInd w:val="0"/>
        <w:spacing w:line="360" w:lineRule="auto"/>
        <w:jc w:val="both"/>
        <w:rPr>
          <w:rFonts w:ascii="Book Antiqua" w:hAnsi="Book Antiqua" w:cs="Arial"/>
          <w:b/>
          <w:sz w:val="24"/>
          <w:szCs w:val="20"/>
          <w:lang w:val="en-US" w:eastAsia="zh-CN"/>
        </w:rPr>
      </w:pPr>
    </w:p>
    <w:p w:rsidR="00195C9A" w:rsidRPr="00B977AE" w:rsidRDefault="00B5466E" w:rsidP="004D1284">
      <w:pPr>
        <w:autoSpaceDE w:val="0"/>
        <w:autoSpaceDN w:val="0"/>
        <w:adjustRightInd w:val="0"/>
        <w:spacing w:line="360" w:lineRule="auto"/>
        <w:jc w:val="both"/>
        <w:rPr>
          <w:rFonts w:ascii="Book Antiqua" w:hAnsi="Book Antiqua" w:cs="Arial"/>
          <w:i/>
          <w:sz w:val="24"/>
          <w:szCs w:val="20"/>
          <w:lang w:val="en-US"/>
        </w:rPr>
      </w:pPr>
      <w:r w:rsidRPr="00B977AE">
        <w:rPr>
          <w:rFonts w:ascii="Book Antiqua" w:hAnsi="Book Antiqua" w:cs="Arial"/>
          <w:b/>
          <w:sz w:val="24"/>
          <w:szCs w:val="20"/>
          <w:lang w:val="en-US"/>
        </w:rPr>
        <w:t>Issues in drug development</w:t>
      </w:r>
      <w:r w:rsidR="00600879" w:rsidRPr="00B977AE">
        <w:rPr>
          <w:rFonts w:ascii="Book Antiqua" w:hAnsi="Book Antiqua" w:cs="Arial"/>
          <w:b/>
          <w:sz w:val="24"/>
          <w:szCs w:val="20"/>
          <w:lang w:val="en-US" w:eastAsia="zh-CN"/>
        </w:rPr>
        <w:t>:</w:t>
      </w:r>
      <w:r w:rsidR="00D46F38" w:rsidRPr="00B977AE">
        <w:rPr>
          <w:rFonts w:ascii="Book Antiqua" w:hAnsi="Book Antiqua" w:cs="Arial"/>
          <w:i/>
          <w:sz w:val="24"/>
          <w:szCs w:val="20"/>
          <w:lang w:val="en-US"/>
        </w:rPr>
        <w:t xml:space="preserve"> </w:t>
      </w:r>
      <w:r w:rsidR="00195C9A" w:rsidRPr="00B977AE">
        <w:rPr>
          <w:rFonts w:ascii="Book Antiqua" w:hAnsi="Book Antiqua" w:cs="Arial"/>
          <w:sz w:val="24"/>
          <w:szCs w:val="20"/>
          <w:lang w:val="en-US"/>
        </w:rPr>
        <w:t xml:space="preserve">The regulatory impact of DILI is appreciably expanding, as demonstrated by the fact that specific Consortia have been established, especially in the US, where the DILI Network was created in 2003 to </w:t>
      </w:r>
      <w:r w:rsidR="00D6596E" w:rsidRPr="00B977AE">
        <w:rPr>
          <w:rFonts w:ascii="Book Antiqua" w:hAnsi="Book Antiqua" w:cs="Arial"/>
          <w:sz w:val="24"/>
          <w:szCs w:val="20"/>
          <w:lang w:val="en-US"/>
        </w:rPr>
        <w:t xml:space="preserve">prospectively </w:t>
      </w:r>
      <w:r w:rsidR="00195C9A" w:rsidRPr="00B977AE">
        <w:rPr>
          <w:rFonts w:ascii="Book Antiqua" w:hAnsi="Book Antiqua" w:cs="Arial"/>
          <w:sz w:val="24"/>
          <w:szCs w:val="20"/>
          <w:lang w:val="en-US"/>
        </w:rPr>
        <w:t xml:space="preserve">identify a large number of patients with </w:t>
      </w:r>
      <w:r w:rsidR="00195C9A" w:rsidRPr="00B977AE">
        <w:rPr>
          <w:rFonts w:ascii="Book Antiqua" w:hAnsi="Book Antiqua" w:cs="Arial"/>
          <w:i/>
          <w:sz w:val="24"/>
          <w:szCs w:val="20"/>
          <w:lang w:val="en-US"/>
        </w:rPr>
        <w:t>bona fide</w:t>
      </w:r>
      <w:r w:rsidR="00195C9A" w:rsidRPr="00B977AE">
        <w:rPr>
          <w:rFonts w:ascii="Book Antiqua" w:hAnsi="Book Antiqua" w:cs="Arial"/>
          <w:sz w:val="24"/>
          <w:szCs w:val="20"/>
          <w:lang w:val="en-US"/>
        </w:rPr>
        <w:t xml:space="preserve"> DILI that will allow for collection of epidemiological data and biological samples for future mechanistic studies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&lt;Refman&gt;&lt;Cite&gt;&lt;Author&gt;Fontana&lt;/Author&gt;&lt;Year&gt;2009&lt;/Year&gt;&lt;RecNum&gt;7&lt;/RecNum&gt;&lt;IDText&gt;Drug-Induced Liver Injury Network (DILIN) prospective study: rationale, design and conduct&lt;/IDText&gt;&lt;MDL Ref_Type="Journal"&gt;&lt;Ref_Type&gt;Journal&lt;/Ref_Type&gt;&lt;Ref_ID&gt;7&lt;/Ref_ID&gt;&lt;Title_Primary&gt;Drug-Induced Liver Injury Network (DILIN) prospective study: rationale, design and conduct&lt;/Title_Primary&gt;&lt;Authors_Primary&gt;Fontana,R.J.&lt;/Authors_Primary&gt;&lt;Authors_Primary&gt;Watkins,P.B.&lt;/Authors_Primary&gt;&lt;Authors_Primary&gt;Bonkovsky,H.L.&lt;/Authors_Primary&gt;&lt;Authors_Primary&gt;Chalasani,N.&lt;/Authors_Primary&gt;&lt;Authors_Primary&gt;Davern,T.&lt;/Authors_Primary&gt;&lt;Authors_Primary&gt;Serrano,J.&lt;/Authors_Primary&gt;&lt;Authors_Primary&gt;Rochon,J.&lt;/Authors_Primary&gt;&lt;Date_Primary&gt;2009&lt;/Date_Primary&gt;&lt;Keywords&gt;adverse effects&lt;/Keywords&gt;&lt;Keywords&gt;Drug-Induced Liver Injury&lt;/Keywords&gt;&lt;Keywords&gt;epidemiology&lt;/Keywords&gt;&lt;Keywords&gt;Follow-Up Studies&lt;/Keywords&gt;&lt;Keywords&gt;Humans&lt;/Keywords&gt;&lt;Keywords&gt;Liver&lt;/Keywords&gt;&lt;Keywords&gt;National Institute of Diabetes and Digestive and Kidney Diseases (U.S.)&lt;/Keywords&gt;&lt;Keywords&gt;Pharmaceutical Preparations&lt;/Keywords&gt;&lt;Keywords&gt;Prospective Studies&lt;/Keywords&gt;&lt;Keywords&gt;Registries&lt;/Keywords&gt;&lt;Keywords&gt;Research Design&lt;/Keywords&gt;&lt;Keywords&gt;Risk Factors&lt;/Keywords&gt;&lt;Keywords&gt;Severity of Illness Index&lt;/Keywords&gt;&lt;Keywords&gt;Terminology as Topic&lt;/Keywords&gt;&lt;Keywords&gt;United States&lt;/Keywords&gt;&lt;Reprint&gt;In File&lt;/Reprint&gt;&lt;Start_Page&gt;55&lt;/Start_Page&gt;&lt;End_Page&gt;68&lt;/End_Page&gt;&lt;Periodical&gt;Drug Saf&lt;/Periodical&gt;&lt;Volume&gt;32&lt;/Volume&gt;&lt;Issue&gt;1&lt;/Issue&gt;&lt;Address&gt;Department of Internal Medicine, University of Michigan Medical School, Ann Arbor, Michigan 48109-0362, USA. rfontana@med.umich.edu&lt;/Address&gt;&lt;Web_URL&gt;PM:19132805&lt;/Web_URL&gt;&lt;ZZ_JournalStdAbbrev&gt;&lt;f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[16]</w:t>
      </w:r>
      <w:r w:rsidR="002411CC" w:rsidRPr="00B977AE">
        <w:rPr>
          <w:rFonts w:ascii="Book Antiqua" w:hAnsi="Book Antiqua" w:cs="Arial"/>
          <w:sz w:val="24"/>
          <w:szCs w:val="20"/>
          <w:lang w:val="en-US"/>
        </w:rPr>
        <w:fldChar w:fldCharType="end"/>
      </w:r>
      <w:r w:rsidR="00195C9A" w:rsidRPr="00B977AE">
        <w:rPr>
          <w:rFonts w:ascii="Book Antiqua" w:hAnsi="Book Antiqua" w:cs="Arial"/>
          <w:sz w:val="24"/>
          <w:szCs w:val="20"/>
          <w:lang w:val="en-US"/>
        </w:rPr>
        <w:t>.</w:t>
      </w:r>
    </w:p>
    <w:p w:rsidR="0096334F" w:rsidRPr="00B977AE" w:rsidRDefault="00063540"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 xml:space="preserve">DILI has been a major cause of drug withdrawals, </w:t>
      </w:r>
      <w:proofErr w:type="spellStart"/>
      <w:r w:rsidRPr="00B977AE">
        <w:rPr>
          <w:rFonts w:ascii="Book Antiqua" w:hAnsi="Book Antiqua" w:cs="Arial"/>
          <w:sz w:val="24"/>
          <w:szCs w:val="20"/>
          <w:lang w:val="en-US"/>
        </w:rPr>
        <w:t>non approval</w:t>
      </w:r>
      <w:proofErr w:type="spellEnd"/>
      <w:r w:rsidRPr="00B977AE">
        <w:rPr>
          <w:rFonts w:ascii="Book Antiqua" w:hAnsi="Book Antiqua" w:cs="Arial"/>
          <w:sz w:val="24"/>
          <w:szCs w:val="20"/>
          <w:lang w:val="en-US"/>
        </w:rPr>
        <w:t xml:space="preserve"> and variegate regulatory actions in the past 50 years. In one study of 38 drugs withdrawn from the market between 1990 and 2006, 14 (37%) were related to hepatotoxicity</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&lt;Refman&gt;&lt;Cite&gt;&lt;Author&gt;Shah&lt;/Author&gt;&lt;Year&gt;2006&lt;/Year&gt;&lt;RecNum&gt;79&lt;/RecNum&gt;&lt;IDText&gt;Can pharmacogenetics help rescue drugs withdrawn from the market?&lt;/IDText&gt;&lt;MDL Ref_Type="Journal"&gt;&lt;Ref_Type&gt;Journal&lt;/Ref_Type&gt;&lt;Ref_ID&gt;79&lt;/Ref_ID&gt;&lt;Title_Primary&gt;Can pharmacogenetics help rescue drugs withdrawn from the market?&lt;/Title_Primary&gt;&lt;Authors_Primary&gt;Shah,R.R.&lt;/Authors_Primary&gt;&lt;Date_Primary&gt;2006/9&lt;/Date_Primary&gt;&lt;Keywords&gt;Adverse Drug Reaction Reporting Systems&lt;/Keywords&gt;&lt;Keywords&gt;Arrhythmias,Cardiac&lt;/Keywords&gt;&lt;Keywords&gt;chemically induced&lt;/Keywords&gt;&lt;Keywords&gt;Drug Approval&lt;/Keywords&gt;&lt;Keywords&gt;drug effects&lt;/Keywords&gt;&lt;Keywords&gt;Drug Interactions&lt;/Keywords&gt;&lt;Keywords&gt;Drug-Related Side Effects and Adverse Reactions&lt;/Keywords&gt;&lt;Keywords&gt;European Union&lt;/Keywords&gt;&lt;Keywords&gt;Humans&lt;/Keywords&gt;&lt;Keywords&gt;Liver&lt;/Keywords&gt;&lt;Keywords&gt;Pharmacogenetics&lt;/Keywords&gt;&lt;Keywords&gt;Phenotype&lt;/Keywords&gt;&lt;Keywords&gt;Risk&lt;/Keywords&gt;&lt;Keywords&gt;Risk Factors&lt;/Keywords&gt;&lt;Keywords&gt;Safety&lt;/Keywords&gt;&lt;Keywords&gt;therapy&lt;/Keywords&gt;&lt;Keywords&gt;toxicity&lt;/Keywords&gt;&lt;Keywords&gt;Toxicogenetics&lt;/Keywords&gt;&lt;Keywords&gt;United States&lt;/Keywords&gt;&lt;Reprint&gt;In File&lt;/Reprint&gt;&lt;Start_Page&gt;889&lt;/Start_Page&gt;&lt;End_Page&gt;908&lt;/End_Page&gt;&lt;Periodical&gt;Pharmacogenomics.&lt;/Periodical&gt;&lt;Volume&gt;7&lt;/Volume&gt;&lt;Issue&gt;6&lt;/Issue&gt;&lt;Address&gt;clin.safety@lineone.net&lt;/Address&gt;&lt;Web_URL&gt;PM:16981848&lt;/Web_URL&gt;&lt;ZZ_JournalStdAbbrev&gt;&lt;f name="System"&gt;Pharmacogenomics.&lt;/f&gt;&lt;/ZZ_JournalStdAbbrev&gt;&lt;ZZ_WorkformID&gt;1&lt;/ZZ_WorkformID&gt;&lt;/MDL&gt;&lt;/Cite&gt;&lt;/Refman&gt;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[17]</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w:t>
      </w:r>
      <w:r w:rsidR="009F7A5D" w:rsidRPr="00B977AE">
        <w:rPr>
          <w:rFonts w:ascii="Book Antiqua" w:hAnsi="Book Antiqua" w:cs="Arial"/>
          <w:sz w:val="24"/>
          <w:szCs w:val="20"/>
          <w:lang w:val="en-US"/>
        </w:rPr>
        <w:t xml:space="preserve"> A </w:t>
      </w:r>
      <w:r w:rsidR="00143871" w:rsidRPr="00B977AE">
        <w:rPr>
          <w:rFonts w:ascii="Book Antiqua" w:hAnsi="Book Antiqua" w:cs="Arial"/>
          <w:sz w:val="24"/>
          <w:szCs w:val="20"/>
          <w:lang w:val="en-US"/>
        </w:rPr>
        <w:t>m</w:t>
      </w:r>
      <w:r w:rsidR="009F7A5D" w:rsidRPr="00B977AE">
        <w:rPr>
          <w:rFonts w:ascii="Book Antiqua" w:hAnsi="Book Antiqua" w:cs="Arial"/>
          <w:sz w:val="24"/>
          <w:szCs w:val="20"/>
          <w:lang w:val="en-US"/>
        </w:rPr>
        <w:t xml:space="preserve">ore recent review highlighted that </w:t>
      </w:r>
      <w:r w:rsidR="006D798D" w:rsidRPr="00B977AE">
        <w:rPr>
          <w:rFonts w:ascii="Book Antiqua" w:hAnsi="Book Antiqua" w:cs="Arial"/>
          <w:sz w:val="24"/>
          <w:szCs w:val="20"/>
          <w:lang w:val="en-US"/>
        </w:rPr>
        <w:t xml:space="preserve">of the 25 safety-based withdrawals in EU and US, ten (40%) were </w:t>
      </w:r>
      <w:r w:rsidR="006D798D" w:rsidRPr="00B977AE">
        <w:rPr>
          <w:rFonts w:ascii="Book Antiqua" w:hAnsi="Book Antiqua" w:cs="Arial"/>
          <w:sz w:val="24"/>
          <w:szCs w:val="20"/>
          <w:lang w:val="en-US"/>
        </w:rPr>
        <w:lastRenderedPageBreak/>
        <w:t>for cardiovascular events and seven (28%) for gastrointestinal, prima</w:t>
      </w:r>
      <w:r w:rsidR="0096334F" w:rsidRPr="00B977AE">
        <w:rPr>
          <w:rFonts w:ascii="Book Antiqua" w:hAnsi="Book Antiqua" w:cs="Arial"/>
          <w:sz w:val="24"/>
          <w:szCs w:val="20"/>
          <w:lang w:val="en-US"/>
        </w:rPr>
        <w:t>rily hepatic, adverse events. It</w:t>
      </w:r>
      <w:r w:rsidR="006D798D" w:rsidRPr="00B977AE">
        <w:rPr>
          <w:rFonts w:ascii="Book Antiqua" w:hAnsi="Book Antiqua" w:cs="Arial"/>
          <w:sz w:val="24"/>
          <w:szCs w:val="20"/>
          <w:lang w:val="en-US"/>
        </w:rPr>
        <w:t xml:space="preserve"> is clear that the majority of these regulatory measures c</w:t>
      </w:r>
      <w:r w:rsidR="0096334F" w:rsidRPr="00B977AE">
        <w:rPr>
          <w:rFonts w:ascii="Book Antiqua" w:hAnsi="Book Antiqua" w:cs="Arial"/>
          <w:sz w:val="24"/>
          <w:szCs w:val="20"/>
          <w:lang w:val="en-US"/>
        </w:rPr>
        <w:t>oncerned rare events with</w:t>
      </w:r>
      <w:r w:rsidR="006D798D" w:rsidRPr="00B977AE">
        <w:rPr>
          <w:rFonts w:ascii="Book Antiqua" w:hAnsi="Book Antiqua" w:cs="Arial"/>
          <w:sz w:val="24"/>
          <w:szCs w:val="20"/>
          <w:lang w:val="en-US"/>
        </w:rPr>
        <w:t xml:space="preserve"> delayed onset and </w:t>
      </w:r>
      <w:r w:rsidR="00525251" w:rsidRPr="00B977AE">
        <w:rPr>
          <w:rFonts w:ascii="Book Antiqua" w:hAnsi="Book Antiqua" w:cs="Arial"/>
          <w:sz w:val="24"/>
          <w:szCs w:val="20"/>
          <w:lang w:val="en-US"/>
        </w:rPr>
        <w:t>were not</w:t>
      </w:r>
      <w:r w:rsidR="006D798D" w:rsidRPr="00B977AE">
        <w:rPr>
          <w:rFonts w:ascii="Book Antiqua" w:hAnsi="Book Antiqua" w:cs="Arial"/>
          <w:sz w:val="24"/>
          <w:szCs w:val="20"/>
          <w:lang w:val="en-US"/>
        </w:rPr>
        <w:t xml:space="preserve"> predicted based on known pharmacological action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&lt;Refman&gt;&lt;Cite&gt;&lt;Author&gt;Coloma&lt;/Author&gt;&lt;Year&gt;2013&lt;/Year&gt;&lt;RecNum&gt;17&lt;/RecNum&gt;&lt;IDText&gt;Postmarketing safety surveillance: where does signal detection using electronic healthcare records fit into the big picture?&lt;/IDText&gt;&lt;MDL Ref_Type="Journal"&gt;&lt;Ref_Type&gt;Journal&lt;/Ref_Type&gt;&lt;Ref_ID&gt;17&lt;/Ref_ID&gt;&lt;Title_Primary&gt;Postmarketing safety surveillance: where does signal detection using electronic healthcare records fit into the big picture?&lt;/Title_Primary&gt;&lt;Authors_Primary&gt;Coloma,P.M.&lt;/Authors_Primary&gt;&lt;Authors_Primary&gt;Trifiro,G.&lt;/Authors_Primary&gt;&lt;Authors_Primary&gt;Patadia,V.&lt;/Authors_Primary&gt;&lt;Authors_Primary&gt;Sturkenboom,M.&lt;/Authors_Primary&gt;&lt;Date_Primary&gt;2013/3&lt;/Date_Primary&gt;&lt;Keywords&gt;Adverse Drug Reaction Reporting Systems&lt;/Keywords&gt;&lt;Keywords&gt;adverse effects&lt;/Keywords&gt;&lt;Keywords&gt;Data Mining&lt;/Keywords&gt;&lt;Keywords&gt;Databases,Factual&lt;/Keywords&gt;&lt;Keywords&gt;Delivery of Health Care&lt;/Keywords&gt;&lt;Keywords&gt;Electronic Health Records&lt;/Keywords&gt;&lt;Keywords&gt;Humans&lt;/Keywords&gt;&lt;Keywords&gt;methods&lt;/Keywords&gt;&lt;Keywords&gt;Pharmaceutical Preparations&lt;/Keywords&gt;&lt;Keywords&gt;Pharmacovigilance&lt;/Keywords&gt;&lt;Keywords&gt;Product Surveillance,Postmarketing&lt;/Keywords&gt;&lt;Keywords&gt;statistics &amp;amp; numerical data&lt;/Keywords&gt;&lt;Reprint&gt;In File&lt;/Reprint&gt;&lt;Start_Page&gt;183&lt;/Start_Page&gt;&lt;End_Page&gt;197&lt;/End_Page&gt;&lt;Periodical&gt;Drug Saf&lt;/Periodical&gt;&lt;Volume&gt;36&lt;/Volume&gt;&lt;Issue&gt;3&lt;/Issue&gt;&lt;Address&gt;Ee-2116, Department of Medical Informatics, Erasmus Medical Centre, PO Box 2040, 3000 CA, Rotterdam, The Netherlands. p.coloma@erasmusmc.nl&lt;/Address&gt;&lt;Web_URL&gt;PM:23377696&lt;/Web_URL&gt;&lt;ZZ_JournalStdAbbrev&gt;&lt;f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[18]</w:t>
      </w:r>
      <w:r w:rsidR="002411CC" w:rsidRPr="00B977AE">
        <w:rPr>
          <w:rFonts w:ascii="Book Antiqua" w:hAnsi="Book Antiqua" w:cs="Arial"/>
          <w:sz w:val="24"/>
          <w:szCs w:val="20"/>
          <w:lang w:val="en-US"/>
        </w:rPr>
        <w:fldChar w:fldCharType="end"/>
      </w:r>
      <w:r w:rsidR="006D798D" w:rsidRPr="00B977AE">
        <w:rPr>
          <w:rFonts w:ascii="Book Antiqua" w:hAnsi="Book Antiqua" w:cs="Arial"/>
          <w:sz w:val="24"/>
          <w:szCs w:val="20"/>
          <w:lang w:val="en-US"/>
        </w:rPr>
        <w:t>. It is also remarkable that spontaneous reporting systems have been a primary source of information that mainly contributed to regulatory actions, especially for newly marketed drugs and events that are likely to be drug- induced.</w:t>
      </w:r>
    </w:p>
    <w:p w:rsidR="00063540" w:rsidRPr="00B977AE" w:rsidRDefault="0096334F"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From a</w:t>
      </w:r>
      <w:r w:rsidR="000417C8" w:rsidRPr="00B977AE">
        <w:rPr>
          <w:rFonts w:ascii="Book Antiqua" w:hAnsi="Book Antiqua" w:cs="Arial"/>
          <w:sz w:val="24"/>
          <w:szCs w:val="20"/>
          <w:lang w:val="en-US"/>
        </w:rPr>
        <w:t xml:space="preserve"> historical perspective, </w:t>
      </w:r>
      <w:r w:rsidRPr="00B977AE">
        <w:rPr>
          <w:rFonts w:ascii="Book Antiqua" w:hAnsi="Book Antiqua" w:cs="Arial"/>
          <w:sz w:val="24"/>
          <w:szCs w:val="20"/>
          <w:lang w:val="en-US"/>
        </w:rPr>
        <w:t>in several</w:t>
      </w:r>
      <w:r w:rsidR="006A1095" w:rsidRPr="00B977AE">
        <w:rPr>
          <w:rFonts w:ascii="Book Antiqua" w:hAnsi="Book Antiqua" w:cs="Arial"/>
          <w:sz w:val="24"/>
          <w:szCs w:val="20"/>
          <w:lang w:val="en-US"/>
        </w:rPr>
        <w:t xml:space="preserve"> circumstances, hepatotoxic agents were identified after being approved by reg</w:t>
      </w:r>
      <w:r w:rsidRPr="00B977AE">
        <w:rPr>
          <w:rFonts w:ascii="Book Antiqua" w:hAnsi="Book Antiqua" w:cs="Arial"/>
          <w:sz w:val="24"/>
          <w:szCs w:val="20"/>
          <w:lang w:val="en-US"/>
        </w:rPr>
        <w:t>ulators and marketed for some</w:t>
      </w:r>
      <w:r w:rsidR="006A1095" w:rsidRPr="00B977AE">
        <w:rPr>
          <w:rFonts w:ascii="Book Antiqua" w:hAnsi="Book Antiqua" w:cs="Arial"/>
          <w:sz w:val="24"/>
          <w:szCs w:val="20"/>
          <w:lang w:val="en-US"/>
        </w:rPr>
        <w:t xml:space="preserve"> time; this</w:t>
      </w:r>
      <w:r w:rsidRPr="00B977AE">
        <w:rPr>
          <w:rFonts w:ascii="Book Antiqua" w:hAnsi="Book Antiqua" w:cs="Arial"/>
          <w:sz w:val="24"/>
          <w:szCs w:val="20"/>
          <w:lang w:val="en-US"/>
        </w:rPr>
        <w:t xml:space="preserve"> was</w:t>
      </w:r>
      <w:r w:rsidR="006A1095" w:rsidRPr="00B977AE">
        <w:rPr>
          <w:rFonts w:ascii="Book Antiqua" w:hAnsi="Book Antiqua" w:cs="Arial"/>
          <w:sz w:val="24"/>
          <w:szCs w:val="20"/>
          <w:lang w:val="en-US"/>
        </w:rPr>
        <w:t xml:space="preserve"> the case, for instance, of </w:t>
      </w:r>
      <w:proofErr w:type="spellStart"/>
      <w:r w:rsidR="006A1095" w:rsidRPr="00B977AE">
        <w:rPr>
          <w:rFonts w:ascii="Book Antiqua" w:hAnsi="Book Antiqua" w:cs="Arial"/>
          <w:sz w:val="24"/>
          <w:szCs w:val="20"/>
          <w:lang w:val="en-US"/>
        </w:rPr>
        <w:t>bromfenac</w:t>
      </w:r>
      <w:proofErr w:type="spellEnd"/>
      <w:r w:rsidR="006A1095" w:rsidRPr="00B977AE">
        <w:rPr>
          <w:rFonts w:ascii="Book Antiqua" w:hAnsi="Book Antiqua" w:cs="Arial"/>
          <w:sz w:val="24"/>
          <w:szCs w:val="20"/>
          <w:lang w:val="en-US"/>
        </w:rPr>
        <w:t xml:space="preserve"> (withdrawn 11 </w:t>
      </w:r>
      <w:proofErr w:type="spellStart"/>
      <w:proofErr w:type="gramStart"/>
      <w:r w:rsidR="007671E2" w:rsidRPr="00B977AE">
        <w:rPr>
          <w:rFonts w:ascii="Book Antiqua" w:hAnsi="Book Antiqua" w:cs="Arial"/>
          <w:sz w:val="24"/>
          <w:szCs w:val="20"/>
          <w:lang w:val="en-US"/>
        </w:rPr>
        <w:t>mo</w:t>
      </w:r>
      <w:proofErr w:type="spellEnd"/>
      <w:proofErr w:type="gramEnd"/>
      <w:r w:rsidR="006A1095" w:rsidRPr="00B977AE">
        <w:rPr>
          <w:rFonts w:ascii="Book Antiqua" w:hAnsi="Book Antiqua" w:cs="Arial"/>
          <w:sz w:val="24"/>
          <w:szCs w:val="20"/>
          <w:lang w:val="en-US"/>
        </w:rPr>
        <w:t xml:space="preserve"> after its approval) and more recently </w:t>
      </w:r>
      <w:proofErr w:type="spellStart"/>
      <w:r w:rsidR="006A1095" w:rsidRPr="00B977AE">
        <w:rPr>
          <w:rFonts w:ascii="Book Antiqua" w:hAnsi="Book Antiqua" w:cs="Arial"/>
          <w:sz w:val="24"/>
          <w:szCs w:val="20"/>
          <w:lang w:val="en-US"/>
        </w:rPr>
        <w:t>troglitazone</w:t>
      </w:r>
      <w:proofErr w:type="spellEnd"/>
      <w:r w:rsidR="006A1095" w:rsidRPr="00B977AE">
        <w:rPr>
          <w:rFonts w:ascii="Book Antiqua" w:hAnsi="Book Antiqua" w:cs="Arial"/>
          <w:sz w:val="24"/>
          <w:szCs w:val="20"/>
          <w:lang w:val="en-US"/>
        </w:rPr>
        <w:t xml:space="preserve">, which was marketed in 1997 and withdrawn worldwide in March 2000. In other cases, DILI led to </w:t>
      </w:r>
      <w:proofErr w:type="spellStart"/>
      <w:r w:rsidR="006A1095" w:rsidRPr="00B977AE">
        <w:rPr>
          <w:rFonts w:ascii="Book Antiqua" w:hAnsi="Book Antiqua" w:cs="Arial"/>
          <w:sz w:val="24"/>
          <w:szCs w:val="20"/>
          <w:lang w:val="en-US"/>
        </w:rPr>
        <w:t>non approval</w:t>
      </w:r>
      <w:proofErr w:type="spellEnd"/>
      <w:r w:rsidR="006A1095" w:rsidRPr="00B977AE">
        <w:rPr>
          <w:rFonts w:ascii="Book Antiqua" w:hAnsi="Book Antiqua" w:cs="Arial"/>
          <w:sz w:val="24"/>
          <w:szCs w:val="20"/>
          <w:lang w:val="en-US"/>
        </w:rPr>
        <w:t xml:space="preserve"> or interruption of late phases of drug development (</w:t>
      </w:r>
      <w:r w:rsidR="0004797C" w:rsidRPr="0004797C">
        <w:rPr>
          <w:rFonts w:ascii="Book Antiqua" w:hAnsi="Book Antiqua" w:cs="Arial"/>
          <w:i/>
          <w:sz w:val="24"/>
          <w:szCs w:val="20"/>
          <w:lang w:val="en-US"/>
        </w:rPr>
        <w:t>e.g</w:t>
      </w:r>
      <w:r w:rsidR="006A1095" w:rsidRPr="00B977AE">
        <w:rPr>
          <w:rFonts w:ascii="Book Antiqua" w:hAnsi="Book Antiqua" w:cs="Arial"/>
          <w:sz w:val="24"/>
          <w:szCs w:val="20"/>
          <w:lang w:val="en-US"/>
        </w:rPr>
        <w:t xml:space="preserve">., in 2006, the manufacturer of the oral anticoagulant </w:t>
      </w:r>
      <w:proofErr w:type="spellStart"/>
      <w:r w:rsidR="006A1095" w:rsidRPr="00B977AE">
        <w:rPr>
          <w:rFonts w:ascii="Book Antiqua" w:hAnsi="Book Antiqua" w:cs="Arial"/>
          <w:sz w:val="24"/>
          <w:szCs w:val="20"/>
          <w:lang w:val="en-US"/>
        </w:rPr>
        <w:t>ximelagatran</w:t>
      </w:r>
      <w:proofErr w:type="spellEnd"/>
      <w:r w:rsidR="006A1095" w:rsidRPr="00B977AE">
        <w:rPr>
          <w:rFonts w:ascii="Book Antiqua" w:hAnsi="Book Antiqua" w:cs="Arial"/>
          <w:sz w:val="24"/>
          <w:szCs w:val="20"/>
          <w:lang w:val="en-US"/>
        </w:rPr>
        <w:t xml:space="preserve"> withdrew a pending application to the FDA).</w:t>
      </w:r>
    </w:p>
    <w:p w:rsidR="0096334F" w:rsidRPr="00B977AE" w:rsidRDefault="00B15D3F"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 xml:space="preserve">In this context, </w:t>
      </w:r>
      <w:r w:rsidR="000D021B" w:rsidRPr="00B977AE">
        <w:rPr>
          <w:rFonts w:ascii="Book Antiqua" w:hAnsi="Book Antiqua" w:cs="Arial"/>
          <w:sz w:val="24"/>
          <w:szCs w:val="20"/>
          <w:lang w:val="en-US"/>
        </w:rPr>
        <w:t>potential safety issues</w:t>
      </w:r>
      <w:r w:rsidRPr="00B977AE">
        <w:rPr>
          <w:rFonts w:ascii="Book Antiqua" w:hAnsi="Book Antiqua" w:cs="Arial"/>
          <w:sz w:val="24"/>
          <w:szCs w:val="20"/>
          <w:lang w:val="en-US"/>
        </w:rPr>
        <w:t xml:space="preserve"> o</w:t>
      </w:r>
      <w:r w:rsidR="000D021B" w:rsidRPr="00B977AE">
        <w:rPr>
          <w:rFonts w:ascii="Book Antiqua" w:hAnsi="Book Antiqua" w:cs="Arial"/>
          <w:sz w:val="24"/>
          <w:szCs w:val="20"/>
          <w:lang w:val="en-US"/>
        </w:rPr>
        <w:t>n</w:t>
      </w:r>
      <w:r w:rsidRPr="00B977AE">
        <w:rPr>
          <w:rFonts w:ascii="Book Antiqua" w:hAnsi="Book Antiqua" w:cs="Arial"/>
          <w:sz w:val="24"/>
          <w:szCs w:val="20"/>
          <w:lang w:val="en-US"/>
        </w:rPr>
        <w:t xml:space="preserve"> DILI should be recognized as early as possible during drug development in order to accurately predict the actual r</w:t>
      </w:r>
      <w:r w:rsidR="0013717A" w:rsidRPr="00B977AE">
        <w:rPr>
          <w:rFonts w:ascii="Book Antiqua" w:hAnsi="Book Antiqua" w:cs="Arial"/>
          <w:sz w:val="24"/>
          <w:szCs w:val="20"/>
          <w:lang w:val="en-US"/>
        </w:rPr>
        <w:t>isk in the post-marketing phase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&lt;Refman&gt;&lt;Cite&gt;&lt;Author&gt;Regev&lt;/Author&gt;&lt;Year&gt;2013&lt;/Year&gt;&lt;RecNum&gt;47&lt;/RecNum&gt;&lt;IDText&gt;How to avoid being surprised by hepatotoxicity at the final stages of drug development and approval&lt;/IDText&gt;&lt;MDL Ref_Type="Journal"&gt;&lt;Ref_Type&gt;Journal&lt;/Ref_Type&gt;&lt;Ref_ID&gt;47&lt;/Ref_ID&gt;&lt;Title_Primary&gt;How to avoid being surprised by hepatotoxicity at the final stages of drug development and approval&lt;/Title_Primary&gt;&lt;Authors_Primary&gt;Regev,A.&lt;/Authors_Primary&gt;&lt;Date_Primary&gt;2013/11&lt;/Date_Primary&gt;&lt;Keywords&gt;Humans&lt;/Keywords&gt;&lt;Keywords&gt;Liver&lt;/Keywords&gt;&lt;Reprint&gt;In File&lt;/Reprint&gt;&lt;Start_Page&gt;749&lt;/Start_Page&gt;&lt;End_Page&gt;67, xi&lt;/End_Page&gt;&lt;Periodical&gt;Clin Liver Dis&lt;/Periodical&gt;&lt;Volume&gt;17&lt;/Volume&gt;&lt;Issue&gt;4&lt;/Issue&gt;&lt;Address&gt;Global Patient Safety, Eli Lilly and Company, Lilly Corporate Center, Indiana University School of Medicine, Drop Code 2121, Indianapolis, IN 46285, USA. Electronic address: regev_arie@lilly.com&lt;/Address&gt;&lt;Web_URL&gt;PM:24099029&lt;/Web_URL&gt;&lt;ZZ_JournalStdAbbrev&gt;&lt;f name="System"&gt;Clin Liver Dis&lt;/f&gt;&lt;/ZZ_JournalStdAbbrev&gt;&lt;ZZ_WorkformID&gt;1&lt;/ZZ_WorkformID&gt;&lt;/MDL&gt;&lt;/Cite&gt;&lt;/Refman&gt;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[19]</w:t>
      </w:r>
      <w:r w:rsidR="002411CC" w:rsidRPr="00B977AE">
        <w:rPr>
          <w:rFonts w:ascii="Book Antiqua" w:hAnsi="Book Antiqua" w:cs="Arial"/>
          <w:sz w:val="24"/>
          <w:szCs w:val="20"/>
          <w:lang w:val="en-US"/>
        </w:rPr>
        <w:fldChar w:fldCharType="end"/>
      </w:r>
      <w:r w:rsidR="0023020C" w:rsidRPr="00B977AE">
        <w:rPr>
          <w:rFonts w:ascii="Book Antiqua" w:hAnsi="Book Antiqua" w:cs="Arial"/>
          <w:sz w:val="24"/>
          <w:szCs w:val="20"/>
          <w:lang w:val="en-US"/>
        </w:rPr>
        <w:t>.</w:t>
      </w:r>
      <w:r w:rsidR="00BA1500" w:rsidRPr="00B977AE">
        <w:rPr>
          <w:rFonts w:ascii="Book Antiqua" w:hAnsi="Book Antiqua" w:cs="Arial"/>
          <w:sz w:val="24"/>
          <w:szCs w:val="20"/>
          <w:lang w:val="en-US"/>
        </w:rPr>
        <w:t xml:space="preserve"> There are currently a number of challenges and controversies in exploiting predictive pre-clinical </w:t>
      </w:r>
      <w:r w:rsidR="003D6FA0" w:rsidRPr="00B977AE">
        <w:rPr>
          <w:rFonts w:ascii="Book Antiqua" w:hAnsi="Book Antiqua" w:cs="Arial"/>
          <w:sz w:val="24"/>
          <w:szCs w:val="20"/>
          <w:lang w:val="en-US"/>
        </w:rPr>
        <w:t>studies, especially for animal models</w:t>
      </w:r>
      <w:r w:rsidR="00C937D5" w:rsidRPr="00B977AE">
        <w:rPr>
          <w:rFonts w:ascii="Book Antiqua" w:hAnsi="Book Antiqua" w:cs="Arial"/>
          <w:sz w:val="24"/>
          <w:szCs w:val="20"/>
          <w:lang w:val="en-US"/>
        </w:rPr>
        <w:t>, where ethical issues pose important limitations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&lt;Refman&gt;&lt;Cite&gt;&lt;Author&gt;Corsini&lt;/Author&gt;&lt;Year&gt;2012&lt;/Year&gt;&lt;RecNum&gt;21&lt;/RecNum&gt;&lt;IDText&gt;Current challenges and controversies in drug-induced liver injury&lt;/IDText&gt;&lt;MDL Ref_Type="Journal"&gt;&lt;Ref_Type&gt;Journal&lt;/Ref_Type&gt;&lt;Ref_ID&gt;21&lt;/Ref_ID&gt;&lt;Title_Primary&gt;Current challenges and controversies in drug-induced liver injury&lt;/Title_Primary&gt;&lt;Authors_Primary&gt;Corsini,A.&lt;/Authors_Primary&gt;&lt;Authors_Primary&gt;Ganey,P.&lt;/Authors_Primary&gt;&lt;Authors_Primary&gt;Ju,C.&lt;/Authors_Primary&gt;&lt;Authors_Primary&gt;Kaplowitz,N.&lt;/Authors_Primary&gt;&lt;Authors_Primary&gt;Pessayre,D.&lt;/Authors_Primary&gt;&lt;Authors_Primary&gt;Roth,R.&lt;/Authors_Primary&gt;&lt;Authors_Primary&gt;Watkins,P.B.&lt;/Authors_Primary&gt;&lt;Authors_Primary&gt;Albassam,M.&lt;/Authors_Primary&gt;&lt;Authors_Primary&gt;Liu,B.&lt;/Authors_Primary&gt;&lt;Authors_Primary&gt;Stancic,S.&lt;/Authors_Primary&gt;&lt;Authors_Primary&gt;Suter,L.&lt;/Authors_Primary&gt;&lt;Authors_Primary&gt;Bortolini,M.&lt;/Authors_Primary&gt;&lt;Date_Primary&gt;2012/12/1&lt;/Date_Primary&gt;&lt;Keywords&gt;adverse effects&lt;/Keywords&gt;&lt;Keywords&gt;Biological Markers&lt;/Keywords&gt;&lt;Keywords&gt;Databases,Factual&lt;/Keywords&gt;&lt;Keywords&gt;diagnosis&lt;/Keywords&gt;&lt;Keywords&gt;drug effects&lt;/Keywords&gt;&lt;Keywords&gt;Drug-Induced Liver Injury&lt;/Keywords&gt;&lt;Keywords&gt;etiology&lt;/Keywords&gt;&lt;Keywords&gt;Humans&lt;/Keywords&gt;&lt;Keywords&gt;Liver&lt;/Keywords&gt;&lt;Keywords&gt;metabolism&lt;/Keywords&gt;&lt;Keywords&gt;Pharmaceutical Preparations&lt;/Keywords&gt;&lt;Keywords&gt;Risk Factors&lt;/Keywords&gt;&lt;Reprint&gt;In File&lt;/Reprint&gt;&lt;Start_Page&gt;1099&lt;/Start_Page&gt;&lt;End_Page&gt;1117&lt;/End_Page&gt;&lt;Periodical&gt;Drug Saf&lt;/Periodical&gt;&lt;Volume&gt;35&lt;/Volume&gt;&lt;Issue&gt;12&lt;/Issue&gt;&lt;Address&gt;Dipartimento di Scienze Farmacologiche e Biomolecolari, Universit degli Studi di Milano, Milan, Italy&lt;/Address&gt;&lt;Web_URL&gt;PM:23137150&lt;/Web_URL&gt;&lt;ZZ_JournalStdAbbrev&gt;&lt;f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[20]</w:t>
      </w:r>
      <w:r w:rsidR="002411CC" w:rsidRPr="00B977AE">
        <w:rPr>
          <w:rFonts w:ascii="Book Antiqua" w:hAnsi="Book Antiqua" w:cs="Arial"/>
          <w:sz w:val="24"/>
          <w:szCs w:val="20"/>
          <w:lang w:val="en-US"/>
        </w:rPr>
        <w:fldChar w:fldCharType="end"/>
      </w:r>
      <w:r w:rsidR="00433FBB" w:rsidRPr="00B977AE">
        <w:rPr>
          <w:rFonts w:ascii="Book Antiqua" w:hAnsi="Book Antiqua" w:cs="Arial"/>
          <w:sz w:val="24"/>
          <w:szCs w:val="20"/>
          <w:lang w:val="en-US"/>
        </w:rPr>
        <w:t>.</w:t>
      </w:r>
    </w:p>
    <w:p w:rsidR="00B15D3F" w:rsidRPr="00B977AE" w:rsidRDefault="006D3A6A"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In line with the clinical situation, there are no specific biomarkers that may be used for optimal prediction of the risk</w:t>
      </w:r>
      <w:r w:rsidR="000701D6" w:rsidRPr="00B977AE">
        <w:rPr>
          <w:rFonts w:ascii="Book Antiqua" w:hAnsi="Book Antiqua" w:cs="Arial"/>
          <w:sz w:val="24"/>
          <w:szCs w:val="20"/>
          <w:lang w:val="en-US"/>
        </w:rPr>
        <w:t xml:space="preserve">. In </w:t>
      </w:r>
      <w:r w:rsidR="00414948" w:rsidRPr="00B977AE">
        <w:rPr>
          <w:rFonts w:ascii="Book Antiqua" w:hAnsi="Book Antiqua" w:cs="Arial"/>
          <w:sz w:val="24"/>
          <w:szCs w:val="20"/>
          <w:lang w:val="en-US"/>
        </w:rPr>
        <w:t>fact</w:t>
      </w:r>
      <w:r w:rsidR="000701D6" w:rsidRPr="00B977AE">
        <w:rPr>
          <w:rFonts w:ascii="Book Antiqua" w:hAnsi="Book Antiqua" w:cs="Arial"/>
          <w:sz w:val="24"/>
          <w:szCs w:val="20"/>
          <w:lang w:val="en-US"/>
        </w:rPr>
        <w:t xml:space="preserve">, the frequency of asymptomatic rise in serum ALT in the pre-approval phase does not correlate </w:t>
      </w:r>
      <w:r w:rsidR="000701D6" w:rsidRPr="00B977AE">
        <w:rPr>
          <w:rFonts w:ascii="Book Antiqua" w:hAnsi="Book Antiqua" w:cs="Arial"/>
          <w:i/>
          <w:sz w:val="24"/>
          <w:szCs w:val="20"/>
          <w:lang w:val="en-US"/>
        </w:rPr>
        <w:t>per se</w:t>
      </w:r>
      <w:r w:rsidR="000701D6" w:rsidRPr="00B977AE">
        <w:rPr>
          <w:rFonts w:ascii="Book Antiqua" w:hAnsi="Book Antiqua" w:cs="Arial"/>
          <w:sz w:val="24"/>
          <w:szCs w:val="20"/>
          <w:lang w:val="en-US"/>
        </w:rPr>
        <w:t xml:space="preserve"> with the frequency of symptomatic liver injur</w:t>
      </w:r>
      <w:r w:rsidR="003F3470" w:rsidRPr="00B977AE">
        <w:rPr>
          <w:rFonts w:ascii="Book Antiqua" w:hAnsi="Book Antiqua" w:cs="Arial"/>
          <w:sz w:val="24"/>
          <w:szCs w:val="20"/>
          <w:lang w:val="en-US"/>
        </w:rPr>
        <w:t>y in the post-marketing period</w:t>
      </w:r>
      <w:r w:rsidR="000701D6" w:rsidRPr="00B977AE">
        <w:rPr>
          <w:rFonts w:ascii="Book Antiqua" w:hAnsi="Book Antiqua" w:cs="Arial"/>
          <w:sz w:val="24"/>
          <w:szCs w:val="20"/>
          <w:lang w:val="en-US"/>
        </w:rPr>
        <w:t>.</w:t>
      </w:r>
      <w:r w:rsidR="00414948" w:rsidRPr="00B977AE">
        <w:rPr>
          <w:rFonts w:ascii="Book Antiqua" w:hAnsi="Book Antiqua" w:cs="Arial"/>
          <w:sz w:val="24"/>
          <w:szCs w:val="20"/>
          <w:lang w:val="en-US"/>
        </w:rPr>
        <w:t xml:space="preserve"> </w:t>
      </w:r>
      <w:r w:rsidR="003843FD" w:rsidRPr="00B977AE">
        <w:rPr>
          <w:rFonts w:ascii="Book Antiqua" w:hAnsi="Book Antiqua" w:cs="Arial"/>
          <w:sz w:val="24"/>
          <w:szCs w:val="20"/>
          <w:lang w:val="en-US"/>
        </w:rPr>
        <w:t>The quest for highly predictive biomarkers has been underway for years and remains an ongoing challenge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&lt;Refman&gt;&lt;Cite&gt;&lt;Author&gt;Hawkins&lt;/Author&gt;&lt;Year&gt;2012&lt;/Year&gt;&lt;RecNum&gt;61&lt;/RecNum&gt;&lt;IDText&gt;Latest advances in predicting DILI in human subjects: focus on biomarkers&lt;/IDText&gt;&lt;MDL Ref_Type="Journal"&gt;&lt;Ref_Type&gt;Journal&lt;/Ref_Type&gt;&lt;Ref_ID&gt;61&lt;/Ref_ID&gt;&lt;Title_Primary&gt;Latest advances in predicting DILI in human subjects: focus on biomarkers&lt;/Title_Primary&gt;&lt;Authors_Primary&gt;Hawkins,M.T.&lt;/Authors_Primary&gt;&lt;Authors_Primary&gt;Lewis,J.H.&lt;/Authors_Primary&gt;&lt;Date_Primary&gt;2012/12&lt;/Date_Primary&gt;&lt;Keywords&gt;adverse effects&lt;/Keywords&gt;&lt;Keywords&gt;analogs &amp;amp; derivatives&lt;/Keywords&gt;&lt;Keywords&gt;Antitubercular Agents&lt;/Keywords&gt;&lt;Keywords&gt;Apolipoproteins E&lt;/Keywords&gt;&lt;Keywords&gt;Arylamine N-Acetyltransferase&lt;/Keywords&gt;&lt;Keywords&gt;Azetidines&lt;/Keywords&gt;&lt;Keywords&gt;Benzylamines&lt;/Keywords&gt;&lt;Keywords&gt;Biological Markers&lt;/Keywords&gt;&lt;Keywords&gt;blood&lt;/Keywords&gt;&lt;Keywords&gt;diagnosis&lt;/Keywords&gt;&lt;Keywords&gt;Diclofenac&lt;/Keywords&gt;&lt;Keywords&gt;drug effects&lt;/Keywords&gt;&lt;Keywords&gt;Drug-Induced Liver Injury&lt;/Keywords&gt;&lt;Keywords&gt;Female&lt;/Keywords&gt;&lt;Keywords&gt;Floxacillin&lt;/Keywords&gt;&lt;Keywords&gt;genetics&lt;/Keywords&gt;&lt;Keywords&gt;HLA-B Antigens&lt;/Keywords&gt;&lt;Keywords&gt;Humans&lt;/Keywords&gt;&lt;Keywords&gt;Liver&lt;/Keywords&gt;&lt;Keywords&gt;metabolism&lt;/Keywords&gt;&lt;Keywords&gt;Metabolomics&lt;/Keywords&gt;&lt;Keywords&gt;pathology&lt;/Keywords&gt;&lt;Keywords&gt;Pharmacogenetics&lt;/Keywords&gt;&lt;Keywords&gt;Polymorphism,Genetic&lt;/Keywords&gt;&lt;Keywords&gt;Proteomics&lt;/Keywords&gt;&lt;Keywords&gt;Risk&lt;/Keywords&gt;&lt;Keywords&gt;Risk Factors&lt;/Keywords&gt;&lt;Reprint&gt;Not in File&lt;/Reprint&gt;&lt;Start_Page&gt;1521&lt;/Start_Page&gt;&lt;End_Page&gt;1530&lt;/End_Page&gt;&lt;Periodical&gt;Expert.Opin.Drug Metab Toxicol.&lt;/Periodical&gt;&lt;Volume&gt;8&lt;/Volume&gt;&lt;Issue&gt;12&lt;/Issue&gt;&lt;Address&gt;Georgetown University Hospital, Hepatology Section, Department of Medicine, 3800 Reservoir Avenue, NW, Washington, DC 20007, USA&lt;/Address&gt;&lt;Web_URL&gt;PM:22998122&lt;/Web_URL&gt;&lt;ZZ_JournalStdAbbrev&gt;&lt;f name="System"&gt;Expert.Opin.Drug Metab Toxicol.&lt;/f&gt;&lt;/ZZ_JournalStdAbbrev&gt;&lt;ZZ_WorkformID&gt;1&lt;/ZZ_WorkformID&gt;&lt;/MDL&gt;&lt;/Cite&gt;&lt;/Refman&gt;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[21]</w:t>
      </w:r>
      <w:r w:rsidR="002411CC" w:rsidRPr="00B977AE">
        <w:rPr>
          <w:rFonts w:ascii="Book Antiqua" w:hAnsi="Book Antiqua" w:cs="Arial"/>
          <w:sz w:val="24"/>
          <w:szCs w:val="20"/>
          <w:lang w:val="en-US"/>
        </w:rPr>
        <w:fldChar w:fldCharType="end"/>
      </w:r>
      <w:r w:rsidR="003843FD" w:rsidRPr="00B977AE">
        <w:rPr>
          <w:rFonts w:ascii="Book Antiqua" w:hAnsi="Book Antiqua" w:cs="Arial"/>
          <w:sz w:val="24"/>
          <w:szCs w:val="20"/>
          <w:lang w:val="en-US"/>
        </w:rPr>
        <w:t xml:space="preserve">. </w:t>
      </w:r>
      <w:r w:rsidR="00C95635" w:rsidRPr="00B977AE">
        <w:rPr>
          <w:rFonts w:ascii="Book Antiqua" w:hAnsi="Book Antiqua" w:cs="Arial"/>
          <w:sz w:val="24"/>
          <w:szCs w:val="20"/>
          <w:lang w:val="en-US"/>
        </w:rPr>
        <w:t>Although some genetic associations (</w:t>
      </w:r>
      <w:r w:rsidR="0004797C" w:rsidRPr="0004797C">
        <w:rPr>
          <w:rFonts w:ascii="Book Antiqua" w:hAnsi="Book Antiqua" w:cs="Arial"/>
          <w:i/>
          <w:sz w:val="24"/>
          <w:szCs w:val="20"/>
          <w:lang w:val="en-US"/>
        </w:rPr>
        <w:t>e.g</w:t>
      </w:r>
      <w:r w:rsidR="00C95635" w:rsidRPr="00B977AE">
        <w:rPr>
          <w:rFonts w:ascii="Book Antiqua" w:hAnsi="Book Antiqua" w:cs="Arial"/>
          <w:sz w:val="24"/>
          <w:szCs w:val="20"/>
          <w:lang w:val="en-US"/>
        </w:rPr>
        <w:t xml:space="preserve">., </w:t>
      </w:r>
      <w:proofErr w:type="spellStart"/>
      <w:r w:rsidR="00C95635" w:rsidRPr="00B977AE">
        <w:rPr>
          <w:rFonts w:ascii="Book Antiqua" w:hAnsi="Book Antiqua" w:cs="Arial"/>
          <w:sz w:val="24"/>
          <w:szCs w:val="20"/>
          <w:lang w:val="en-US"/>
        </w:rPr>
        <w:t>flucloxacillin</w:t>
      </w:r>
      <w:proofErr w:type="spellEnd"/>
      <w:r w:rsidR="00C95635" w:rsidRPr="00B977AE">
        <w:rPr>
          <w:rFonts w:ascii="Book Antiqua" w:hAnsi="Book Antiqua" w:cs="Arial"/>
          <w:sz w:val="24"/>
          <w:szCs w:val="20"/>
          <w:lang w:val="en-US"/>
        </w:rPr>
        <w:t xml:space="preserve"> and HLA-B</w:t>
      </w:r>
      <w:r w:rsidR="0087129E" w:rsidRPr="0087129E">
        <w:rPr>
          <w:rFonts w:ascii="Book Antiqua" w:hAnsi="Book Antiqua" w:cs="Arial"/>
          <w:sz w:val="24"/>
          <w:szCs w:val="20"/>
          <w:vertAlign w:val="superscript"/>
          <w:lang w:val="en-US"/>
        </w:rPr>
        <w:t>1</w:t>
      </w:r>
      <w:r w:rsidR="00C95635" w:rsidRPr="00B977AE">
        <w:rPr>
          <w:rFonts w:ascii="Book Antiqua" w:hAnsi="Book Antiqua" w:cs="Arial"/>
          <w:sz w:val="24"/>
          <w:szCs w:val="20"/>
          <w:lang w:val="en-US"/>
        </w:rPr>
        <w:t>5701) have been identified, the clinical utility of genetic polymorphisms associated with drug-specific DILI appears still limited</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&lt;Refman&gt;&lt;Cite&gt;&lt;Author&gt;Hussaini&lt;/Author&gt;&lt;Year&gt;2014&lt;/Year&gt;&lt;RecNum&gt;32&lt;/RecNum&gt;&lt;IDText&gt;Idiosyncratic drug-induced liver injury: an update on the 2007 overview&lt;/IDText&gt;&lt;MDL Ref_Type="Journal"&gt;&lt;Ref_Type&gt;Journal&lt;/Ref_Type&gt;&lt;Ref_ID&gt;32&lt;/Ref_ID&gt;&lt;Title_Primary&gt;Idiosyncratic drug-induced liver injury: an update on the 2007 overview&lt;/Title_Primary&gt;&lt;Authors_Primary&gt;Hussaini,S.H.&lt;/Authors_Primary&gt;&lt;Authors_Primary&gt;Farrington,E.A.&lt;/Authors_Primary&gt;&lt;Date_Primary&gt;2014/1&lt;/Date_Primary&gt;&lt;Keywords&gt;Anticonvulsants&lt;/Keywords&gt;&lt;Keywords&gt;diagnosis&lt;/Keywords&gt;&lt;Keywords&gt;Drug-Induced Liver Injury&lt;/Keywords&gt;&lt;Keywords&gt;epidemiology&lt;/Keywords&gt;&lt;Keywords&gt;Incidence&lt;/Keywords&gt;&lt;Keywords&gt;Jaundice&lt;/Keywords&gt;&lt;Keywords&gt;Liver&lt;/Keywords&gt;&lt;Keywords&gt;Liver Failure&lt;/Keywords&gt;&lt;Keywords&gt;Liver Function Tests&lt;/Keywords&gt;&lt;Keywords&gt;Registries&lt;/Keywords&gt;&lt;Keywords&gt;Risk&lt;/Keywords&gt;&lt;Keywords&gt;Risk Factors&lt;/Keywords&gt;&lt;Keywords&gt;therapy&lt;/Keywords&gt;&lt;Reprint&gt;In File&lt;/Reprint&gt;&lt;Start_Page&gt;67&lt;/Start_Page&gt;&lt;End_Page&gt;81&lt;/End_Page&gt;&lt;Periodical&gt;Expert Opin Drug Saf&lt;/Periodical&gt;&lt;Volume&gt;13&lt;/Volume&gt;&lt;Issue&gt;1&lt;/Issue&gt;&lt;Address&gt;Department of Gastroenterology, Hepatology Unit, Royal Cornwall Hospital , Truro, Cornwall , UK hyder.hussaini@rcht.cornwall.nhs.uk&lt;/Address&gt;&lt;Web_URL&gt;PM:24073714&lt;/Web_URL&gt;&lt;ZZ_JournalStdAbbrev&gt;&lt;f name="System"&gt;Expert Opin 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7B08DB" w:rsidRPr="00B977AE">
        <w:rPr>
          <w:rFonts w:ascii="Book Antiqua" w:hAnsi="Book Antiqua" w:cs="Arial"/>
          <w:sz w:val="24"/>
          <w:szCs w:val="20"/>
          <w:vertAlign w:val="superscript"/>
          <w:lang w:val="en-US"/>
        </w:rPr>
        <w:t>[1]</w:t>
      </w:r>
      <w:r w:rsidR="002411CC" w:rsidRPr="00B977AE">
        <w:rPr>
          <w:rFonts w:ascii="Book Antiqua" w:hAnsi="Book Antiqua" w:cs="Arial"/>
          <w:sz w:val="24"/>
          <w:szCs w:val="20"/>
          <w:lang w:val="en-US"/>
        </w:rPr>
        <w:fldChar w:fldCharType="end"/>
      </w:r>
      <w:r w:rsidR="00C95635" w:rsidRPr="00B977AE">
        <w:rPr>
          <w:rFonts w:ascii="Book Antiqua" w:hAnsi="Book Antiqua" w:cs="Arial"/>
          <w:sz w:val="24"/>
          <w:szCs w:val="20"/>
          <w:lang w:val="en-US"/>
        </w:rPr>
        <w:t xml:space="preserve">. </w:t>
      </w:r>
      <w:r w:rsidR="00414948" w:rsidRPr="00B977AE">
        <w:rPr>
          <w:rFonts w:ascii="Book Antiqua" w:hAnsi="Book Antiqua" w:cs="Arial"/>
          <w:sz w:val="24"/>
          <w:szCs w:val="20"/>
          <w:lang w:val="en-US"/>
        </w:rPr>
        <w:t>In addition, there are</w:t>
      </w:r>
      <w:r w:rsidR="00192195" w:rsidRPr="00B977AE">
        <w:rPr>
          <w:rFonts w:ascii="Book Antiqua" w:hAnsi="Book Antiqua" w:cs="Arial"/>
          <w:sz w:val="24"/>
          <w:szCs w:val="20"/>
          <w:lang w:val="en-US"/>
        </w:rPr>
        <w:t xml:space="preserve"> at least 3 groups of individuals showing different pattern of hepatic response: </w:t>
      </w:r>
      <w:proofErr w:type="spellStart"/>
      <w:r w:rsidR="00192195" w:rsidRPr="00B977AE">
        <w:rPr>
          <w:rFonts w:ascii="Book Antiqua" w:hAnsi="Book Antiqua" w:cs="Arial"/>
          <w:sz w:val="24"/>
          <w:szCs w:val="20"/>
          <w:lang w:val="en-US"/>
        </w:rPr>
        <w:t>tolerators</w:t>
      </w:r>
      <w:proofErr w:type="spellEnd"/>
      <w:r w:rsidR="00192195" w:rsidRPr="00B977AE">
        <w:rPr>
          <w:rFonts w:ascii="Book Antiqua" w:hAnsi="Book Antiqua" w:cs="Arial"/>
          <w:sz w:val="24"/>
          <w:szCs w:val="20"/>
          <w:lang w:val="en-US"/>
        </w:rPr>
        <w:t xml:space="preserve"> (the vast majority of patients without significant changes in liver biochemical tests), </w:t>
      </w:r>
      <w:proofErr w:type="spellStart"/>
      <w:r w:rsidR="00192195" w:rsidRPr="00B977AE">
        <w:rPr>
          <w:rFonts w:ascii="Book Antiqua" w:hAnsi="Book Antiqua" w:cs="Arial"/>
          <w:sz w:val="24"/>
          <w:szCs w:val="20"/>
          <w:lang w:val="en-US"/>
        </w:rPr>
        <w:t>susceptible</w:t>
      </w:r>
      <w:r w:rsidR="00115BE9" w:rsidRPr="00B977AE">
        <w:rPr>
          <w:rFonts w:ascii="Book Antiqua" w:hAnsi="Book Antiqua" w:cs="Arial"/>
          <w:sz w:val="24"/>
          <w:szCs w:val="20"/>
          <w:lang w:val="en-US"/>
        </w:rPr>
        <w:t>s</w:t>
      </w:r>
      <w:proofErr w:type="spellEnd"/>
      <w:r w:rsidR="00192195" w:rsidRPr="00B977AE">
        <w:rPr>
          <w:rFonts w:ascii="Book Antiqua" w:hAnsi="Book Antiqua" w:cs="Arial"/>
          <w:sz w:val="24"/>
          <w:szCs w:val="20"/>
          <w:lang w:val="en-US"/>
        </w:rPr>
        <w:t xml:space="preserve"> (showing progressive increase in ALT level that continues to increase and evolves into clinically significant liver damage with signs and symptoms) and adaptors (showing transient increase in enzyme levels, which eventually return to baseline despite continuation of the drug)</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&lt;Refman&gt;&lt;Cite&gt;&lt;Author&gt;Regev&lt;/Author&gt;&lt;Year&gt;2013&lt;/Year&gt;&lt;RecNum&gt;47&lt;/RecNum&gt;&lt;IDText&gt;How to avoid being surprised by hepatotoxicity at the final stages of drug development and approval&lt;/IDText&gt;&lt;MDL Ref_Type="Journal"&gt;&lt;Ref_Type&gt;Journal&lt;/Ref_Type&gt;&lt;Ref_ID&gt;47&lt;/Ref_ID&gt;&lt;Title_Primary&gt;How to avoid being surprised by hepatotoxicity at the final stages of drug development and approval&lt;/Title_Primary&gt;&lt;Authors_Primary&gt;Regev,A.&lt;/Authors_Primary&gt;&lt;Date_Primary&gt;2013/11&lt;/Date_Primary&gt;&lt;Keywords&gt;Humans&lt;/Keywords&gt;&lt;Keywords&gt;Liver&lt;/Keywords&gt;&lt;Reprint&gt;In File&lt;/Reprint&gt;&lt;Start_Page&gt;749&lt;/Start_Page&gt;&lt;End_Page&gt;67, xi&lt;/End_Page&gt;&lt;Periodical&gt;Clin Liver Dis&lt;/Periodical&gt;&lt;Volume&gt;17&lt;/Volume&gt;&lt;Issue&gt;4&lt;/Issue&gt;&lt;Address&gt;Global Patient Safety, Eli Lilly and Company, Lilly Corporate Center, Indiana University School of Medicine, Drop Code 2121, Indianapolis, IN 46285, USA. Electronic address: regev_arie@lilly.com&lt;/Address&gt;&lt;Web_URL&gt;PM:24099029&lt;/Web_URL&gt;&lt;ZZ_JournalStdAbbrev&gt;&lt;f name="System"&gt;Clin Liver Dis&lt;/f&gt;&lt;/ZZ_JournalStdAbbrev&gt;&lt;ZZ_WorkformID&gt;1&lt;/ZZ_WorkformID&gt;&lt;/MDL&gt;&lt;/Cite&gt;&lt;/Refman&gt;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[19]</w:t>
      </w:r>
      <w:r w:rsidR="002411CC" w:rsidRPr="00B977AE">
        <w:rPr>
          <w:rFonts w:ascii="Book Antiqua" w:hAnsi="Book Antiqua" w:cs="Arial"/>
          <w:sz w:val="24"/>
          <w:szCs w:val="20"/>
          <w:lang w:val="en-US"/>
        </w:rPr>
        <w:fldChar w:fldCharType="end"/>
      </w:r>
      <w:r w:rsidR="00192195" w:rsidRPr="00B977AE">
        <w:rPr>
          <w:rFonts w:ascii="Book Antiqua" w:hAnsi="Book Antiqua" w:cs="Arial"/>
          <w:sz w:val="24"/>
          <w:szCs w:val="20"/>
          <w:lang w:val="en-US"/>
        </w:rPr>
        <w:t>.</w:t>
      </w:r>
    </w:p>
    <w:p w:rsidR="0096334F" w:rsidRPr="00B977AE" w:rsidRDefault="0096334F"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lastRenderedPageBreak/>
        <w:t>So far</w:t>
      </w:r>
      <w:r w:rsidR="00F5147C" w:rsidRPr="00B977AE">
        <w:rPr>
          <w:rFonts w:ascii="Book Antiqua" w:hAnsi="Book Antiqua" w:cs="Arial"/>
          <w:sz w:val="24"/>
          <w:szCs w:val="20"/>
          <w:lang w:val="en-US"/>
        </w:rPr>
        <w:t xml:space="preserve">, regulatory authorities and drug developers have mainly relied on the so-called </w:t>
      </w:r>
      <w:proofErr w:type="spellStart"/>
      <w:r w:rsidR="00F5147C" w:rsidRPr="00B977AE">
        <w:rPr>
          <w:rFonts w:ascii="Book Antiqua" w:hAnsi="Book Antiqua" w:cs="Arial"/>
          <w:sz w:val="24"/>
          <w:szCs w:val="20"/>
          <w:lang w:val="en-US"/>
        </w:rPr>
        <w:t>Hy’s</w:t>
      </w:r>
      <w:proofErr w:type="spellEnd"/>
      <w:r w:rsidR="00F5147C" w:rsidRPr="00B977AE">
        <w:rPr>
          <w:rFonts w:ascii="Book Antiqua" w:hAnsi="Book Antiqua" w:cs="Arial"/>
          <w:sz w:val="24"/>
          <w:szCs w:val="20"/>
          <w:lang w:val="en-US"/>
        </w:rPr>
        <w:t xml:space="preserve"> law or rule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&lt;Refman&gt;&lt;Cite&gt;&lt;Author&gt;Temple&lt;/Author&gt;&lt;Year&gt;2006&lt;/Year&gt;&lt;RecNum&gt;58&lt;/RecNum&gt;&lt;IDText&gt;Hy&amp;apos;s law: predicting serious hepatotoxicity&lt;/IDText&gt;&lt;MDL Ref_Type="Journal"&gt;&lt;Ref_Type&gt;Journal&lt;/Ref_Type&gt;&lt;Ref_ID&gt;58&lt;/Ref_ID&gt;&lt;Title_Primary&gt;Hy&amp;apos;s law: predicting serious hepatotoxicity&lt;/Title_Primary&gt;&lt;Authors_Primary&gt;Temple,R.&lt;/Authors_Primary&gt;&lt;Date_Primary&gt;2006/4&lt;/Date_Primary&gt;&lt;Keywords&gt;Adverse Drug Reaction Reporting Systems&lt;/Keywords&gt;&lt;Keywords&gt;adverse effects&lt;/Keywords&gt;&lt;Keywords&gt;Alanine Transaminase&lt;/Keywords&gt;&lt;Keywords&gt;Anti-Inflammatory Agents,Non-Steroidal&lt;/Keywords&gt;&lt;Keywords&gt;Anticoagulants&lt;/Keywords&gt;&lt;Keywords&gt;Azetidines&lt;/Keywords&gt;&lt;Keywords&gt;Benzophenones&lt;/Keywords&gt;&lt;Keywords&gt;Benzylamines&lt;/Keywords&gt;&lt;Keywords&gt;Bilirubin&lt;/Keywords&gt;&lt;Keywords&gt;Biological Markers&lt;/Keywords&gt;&lt;Keywords&gt;blood&lt;/Keywords&gt;&lt;Keywords&gt;Bromobenzenes&lt;/Keywords&gt;&lt;Keywords&gt;Chromans&lt;/Keywords&gt;&lt;Keywords&gt;Drug Approval&lt;/Keywords&gt;&lt;Keywords&gt;drug effects&lt;/Keywords&gt;&lt;Keywords&gt;Drug-Induced Liver Injury&lt;/Keywords&gt;&lt;Keywords&gt;enzymology&lt;/Keywords&gt;&lt;Keywords&gt;etiology&lt;/Keywords&gt;&lt;Keywords&gt;Humans&lt;/Keywords&gt;&lt;Keywords&gt;Hypoglycemic Agents&lt;/Keywords&gt;&lt;Keywords&gt;Liver&lt;/Keywords&gt;&lt;Keywords&gt;Predictive Value of Tests&lt;/Keywords&gt;&lt;Keywords&gt;Randomized Controlled Trials as Topic&lt;/Keywords&gt;&lt;Keywords&gt;Risk Assessment&lt;/Keywords&gt;&lt;Keywords&gt;Thiazolidinediones&lt;/Keywords&gt;&lt;Keywords&gt;United States&lt;/Keywords&gt;&lt;Keywords&gt;United States Food and Drug Administration&lt;/Keywords&gt;&lt;Reprint&gt;In File&lt;/Reprint&gt;&lt;Start_Page&gt;241&lt;/Start_Page&gt;&lt;End_Page&gt;243&lt;/End_Page&gt;&lt;Periodical&gt;Pharmacoepidemiol.Drug Saf&lt;/Periodical&gt;&lt;Volume&gt;15&lt;/Volume&gt;&lt;Issue&gt;4&lt;/Issue&gt;&lt;Address&gt;US Food and Drug Administration. robert.temple@hhs.fda.gov&lt;/Address&gt;&lt;Web_URL&gt;PM:16552790&lt;/Web_URL&gt;&lt;ZZ_JournalStdAbbrev&gt;&lt;f name="System"&gt;Pharmacoepidemiol.Drug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[22]</w:t>
      </w:r>
      <w:r w:rsidR="002411CC" w:rsidRPr="00B977AE">
        <w:rPr>
          <w:rFonts w:ascii="Book Antiqua" w:hAnsi="Book Antiqua" w:cs="Arial"/>
          <w:sz w:val="24"/>
          <w:szCs w:val="20"/>
          <w:lang w:val="en-US"/>
        </w:rPr>
        <w:fldChar w:fldCharType="end"/>
      </w:r>
      <w:r w:rsidR="00F5147C" w:rsidRPr="00B977AE">
        <w:rPr>
          <w:rFonts w:ascii="Book Antiqua" w:hAnsi="Book Antiqua" w:cs="Arial"/>
          <w:sz w:val="24"/>
          <w:szCs w:val="20"/>
          <w:lang w:val="en-US"/>
        </w:rPr>
        <w:t>, coined following Zimmerman’s observations, to predict post-marketing risk of serious hepatic events and for making recommendations on  whether treatment should be continued, stopped or its dose reduced, following biochemical abnormalities with the suspect drug.</w:t>
      </w:r>
      <w:r w:rsidR="00F4666E" w:rsidRPr="00B977AE">
        <w:rPr>
          <w:rFonts w:ascii="Book Antiqua" w:hAnsi="Book Antiqua" w:cs="Arial"/>
          <w:sz w:val="24"/>
          <w:szCs w:val="20"/>
          <w:lang w:val="en-US"/>
        </w:rPr>
        <w:t xml:space="preserve"> To define a clinical trial subject as a </w:t>
      </w:r>
      <w:proofErr w:type="spellStart"/>
      <w:r w:rsidR="00F4666E" w:rsidRPr="00B977AE">
        <w:rPr>
          <w:rFonts w:ascii="Book Antiqua" w:hAnsi="Book Antiqua" w:cs="Arial"/>
          <w:sz w:val="24"/>
          <w:szCs w:val="20"/>
          <w:lang w:val="en-US"/>
        </w:rPr>
        <w:t>Hy’s</w:t>
      </w:r>
      <w:proofErr w:type="spellEnd"/>
      <w:r w:rsidR="00F4666E" w:rsidRPr="00B977AE">
        <w:rPr>
          <w:rFonts w:ascii="Book Antiqua" w:hAnsi="Book Antiqua" w:cs="Arial"/>
          <w:sz w:val="24"/>
          <w:szCs w:val="20"/>
          <w:lang w:val="en-US"/>
        </w:rPr>
        <w:t xml:space="preserve"> law case, the following components must be present: </w:t>
      </w:r>
      <w:r w:rsidR="00EF549D" w:rsidRPr="00B977AE">
        <w:rPr>
          <w:rFonts w:ascii="Book Antiqua" w:hAnsi="Book Antiqua" w:cs="Arial"/>
          <w:sz w:val="24"/>
          <w:szCs w:val="20"/>
          <w:lang w:val="en-US" w:eastAsia="zh-CN"/>
        </w:rPr>
        <w:t>(</w:t>
      </w:r>
      <w:r w:rsidR="00F4666E" w:rsidRPr="00B977AE">
        <w:rPr>
          <w:rFonts w:ascii="Book Antiqua" w:hAnsi="Book Antiqua" w:cs="Arial"/>
          <w:sz w:val="24"/>
          <w:szCs w:val="20"/>
          <w:lang w:val="en-US"/>
        </w:rPr>
        <w:t>1) ALT increase to a level ≥</w:t>
      </w:r>
      <w:r w:rsidR="000A33AF" w:rsidRPr="00B977AE">
        <w:rPr>
          <w:rFonts w:ascii="Book Antiqua" w:hAnsi="Book Antiqua" w:cs="Arial"/>
          <w:sz w:val="24"/>
          <w:szCs w:val="20"/>
          <w:lang w:val="en-US" w:eastAsia="zh-CN"/>
        </w:rPr>
        <w:t xml:space="preserve"> </w:t>
      </w:r>
      <w:r w:rsidR="00F4666E" w:rsidRPr="00B977AE">
        <w:rPr>
          <w:rFonts w:ascii="Book Antiqua" w:hAnsi="Book Antiqua" w:cs="Arial"/>
          <w:sz w:val="24"/>
          <w:szCs w:val="20"/>
          <w:lang w:val="en-US"/>
        </w:rPr>
        <w:t xml:space="preserve">3 times ULN; </w:t>
      </w:r>
      <w:r w:rsidR="00EF549D" w:rsidRPr="00B977AE">
        <w:rPr>
          <w:rFonts w:ascii="Book Antiqua" w:hAnsi="Book Antiqua" w:cs="Arial"/>
          <w:sz w:val="24"/>
          <w:szCs w:val="20"/>
          <w:lang w:val="en-US" w:eastAsia="zh-CN"/>
        </w:rPr>
        <w:t>(</w:t>
      </w:r>
      <w:r w:rsidR="00F4666E" w:rsidRPr="00B977AE">
        <w:rPr>
          <w:rFonts w:ascii="Book Antiqua" w:hAnsi="Book Antiqua" w:cs="Arial"/>
          <w:sz w:val="24"/>
          <w:szCs w:val="20"/>
          <w:lang w:val="en-US"/>
        </w:rPr>
        <w:t>2) total bilirubin increase ≥</w:t>
      </w:r>
      <w:r w:rsidR="00EF549D" w:rsidRPr="00B977AE">
        <w:rPr>
          <w:rFonts w:ascii="Book Antiqua" w:hAnsi="Book Antiqua" w:cs="Arial"/>
          <w:sz w:val="24"/>
          <w:szCs w:val="20"/>
          <w:lang w:val="en-US" w:eastAsia="zh-CN"/>
        </w:rPr>
        <w:t xml:space="preserve"> </w:t>
      </w:r>
      <w:r w:rsidR="00F4666E" w:rsidRPr="00B977AE">
        <w:rPr>
          <w:rFonts w:ascii="Book Antiqua" w:hAnsi="Book Antiqua" w:cs="Arial"/>
          <w:sz w:val="24"/>
          <w:szCs w:val="20"/>
          <w:lang w:val="en-US"/>
        </w:rPr>
        <w:t xml:space="preserve">2 times ULN; </w:t>
      </w:r>
      <w:r w:rsidR="00EF549D" w:rsidRPr="00B977AE">
        <w:rPr>
          <w:rFonts w:ascii="Book Antiqua" w:hAnsi="Book Antiqua" w:cs="Arial"/>
          <w:sz w:val="24"/>
          <w:szCs w:val="20"/>
          <w:lang w:val="en-US" w:eastAsia="zh-CN"/>
        </w:rPr>
        <w:t>(</w:t>
      </w:r>
      <w:r w:rsidR="00F4666E" w:rsidRPr="00B977AE">
        <w:rPr>
          <w:rFonts w:ascii="Book Antiqua" w:hAnsi="Book Antiqua" w:cs="Arial"/>
          <w:sz w:val="24"/>
          <w:szCs w:val="20"/>
          <w:lang w:val="en-US"/>
        </w:rPr>
        <w:t xml:space="preserve">3) no significant increase in ALP (initial Alp values does not reach 2 times ULN); </w:t>
      </w:r>
      <w:r w:rsidR="00EF549D" w:rsidRPr="00B977AE">
        <w:rPr>
          <w:rFonts w:ascii="Book Antiqua" w:hAnsi="Book Antiqua" w:cs="Arial"/>
          <w:sz w:val="24"/>
          <w:szCs w:val="20"/>
          <w:lang w:val="en-US" w:eastAsia="zh-CN"/>
        </w:rPr>
        <w:t>and (</w:t>
      </w:r>
      <w:r w:rsidR="00F4666E" w:rsidRPr="00B977AE">
        <w:rPr>
          <w:rFonts w:ascii="Book Antiqua" w:hAnsi="Book Antiqua" w:cs="Arial"/>
          <w:sz w:val="24"/>
          <w:szCs w:val="20"/>
          <w:lang w:val="en-US"/>
        </w:rPr>
        <w:t>4) no other cause is</w:t>
      </w:r>
      <w:r w:rsidRPr="00B977AE">
        <w:rPr>
          <w:rFonts w:ascii="Book Antiqua" w:hAnsi="Book Antiqua" w:cs="Arial"/>
          <w:sz w:val="24"/>
          <w:szCs w:val="20"/>
          <w:lang w:val="en-US"/>
        </w:rPr>
        <w:t xml:space="preserve"> found to explain liver injury.</w:t>
      </w:r>
    </w:p>
    <w:p w:rsidR="00BF4D7E" w:rsidRPr="00B977AE" w:rsidRDefault="00F4666E" w:rsidP="004D1284">
      <w:pPr>
        <w:autoSpaceDE w:val="0"/>
        <w:autoSpaceDN w:val="0"/>
        <w:adjustRightInd w:val="0"/>
        <w:spacing w:line="360" w:lineRule="auto"/>
        <w:ind w:firstLineChars="150" w:firstLine="360"/>
        <w:jc w:val="both"/>
        <w:rPr>
          <w:rFonts w:ascii="Book Antiqua" w:hAnsi="Book Antiqua" w:cs="Arial"/>
          <w:sz w:val="24"/>
          <w:szCs w:val="20"/>
          <w:lang w:val="en-US" w:eastAsia="zh-CN"/>
        </w:rPr>
      </w:pPr>
      <w:r w:rsidRPr="00B977AE">
        <w:rPr>
          <w:rFonts w:ascii="Book Antiqua" w:hAnsi="Book Antiqua" w:cs="Arial"/>
          <w:sz w:val="24"/>
          <w:szCs w:val="20"/>
          <w:lang w:val="en-US"/>
        </w:rPr>
        <w:t xml:space="preserve">When the above criteria are met, </w:t>
      </w:r>
      <w:proofErr w:type="spellStart"/>
      <w:r w:rsidRPr="00B977AE">
        <w:rPr>
          <w:rFonts w:ascii="Book Antiqua" w:hAnsi="Book Antiqua" w:cs="Arial"/>
          <w:sz w:val="24"/>
          <w:szCs w:val="20"/>
          <w:lang w:val="en-US"/>
        </w:rPr>
        <w:t>Hy’s</w:t>
      </w:r>
      <w:proofErr w:type="spellEnd"/>
      <w:r w:rsidRPr="00B977AE">
        <w:rPr>
          <w:rFonts w:ascii="Book Antiqua" w:hAnsi="Book Antiqua" w:cs="Arial"/>
          <w:sz w:val="24"/>
          <w:szCs w:val="20"/>
          <w:lang w:val="en-US"/>
        </w:rPr>
        <w:t xml:space="preserve"> rule predicts a mortality rate that can exceed 10%. In the last decade, two population-based studies further support the validity of this rule by demonstrating a mortality rate of 9</w:t>
      </w:r>
      <w:r w:rsidR="005B1C0D" w:rsidRPr="00B977AE">
        <w:rPr>
          <w:rFonts w:ascii="Book Antiqua" w:hAnsi="Book Antiqua" w:cs="Arial"/>
          <w:sz w:val="24"/>
          <w:szCs w:val="20"/>
          <w:lang w:val="en-US"/>
        </w:rPr>
        <w:t>%</w:t>
      </w:r>
      <w:r w:rsidRPr="00B977AE">
        <w:rPr>
          <w:rFonts w:ascii="Book Antiqua" w:hAnsi="Book Antiqua" w:cs="Arial"/>
          <w:sz w:val="24"/>
          <w:szCs w:val="20"/>
          <w:lang w:val="en-US"/>
        </w:rPr>
        <w:t>-12%</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&lt;Refman&gt;&lt;Cite&gt;&lt;Author&gt;Andrade&lt;/Author&gt;&lt;Year&gt;2005&lt;/Year&gt;&lt;RecNum&gt;53&lt;/RecNum&gt;&lt;IDText&gt;Drug-induced liver injury: an analysis of 461 incidences submitted to the Spanish registry over a 10-year period&lt;/IDText&gt;&lt;MDL Ref_Type="Journal"&gt;&lt;Ref_Type&gt;Journal&lt;/Ref_Type&gt;&lt;Ref_ID&gt;53&lt;/Ref_ID&gt;&lt;Title_Primary&gt;Drug-induced liver injury: an analysis of 461 incidences submitted to the Spanish registry over a 10-year period&lt;/Title_Primary&gt;&lt;Authors_Primary&gt;Andrade,R.J.&lt;/Authors_Primary&gt;&lt;Authors_Primary&gt;Lucena,M.I.&lt;/Authors_Primary&gt;&lt;Authors_Primary&gt;Fernandez,M.C.&lt;/Authors_Primary&gt;&lt;Authors_Primary&gt;Pelaez,G.&lt;/Authors_Primary&gt;&lt;Authors_Primary&gt;Pachkoria,K.&lt;/Authors_Primary&gt;&lt;Authors_Primary&gt;Garcia-Ruiz,E.&lt;/Authors_Primary&gt;&lt;Authors_Primary&gt;Garcia-Munoz,B.&lt;/Authors_Primary&gt;&lt;Authors_Primary&gt;Gonzalez-Grande,R.&lt;/Authors_Primary&gt;&lt;Authors_Primary&gt;Pizarro,A.&lt;/Authors_Primary&gt;&lt;Authors_Primary&gt;Duran,J.A.&lt;/Authors_Primary&gt;&lt;Authors_Primary&gt;Jimenez,M.&lt;/Authors_Primary&gt;&lt;Authors_Primary&gt;Rodrigo,L.&lt;/Authors_Primary&gt;&lt;Authors_Primary&gt;Romero-Gomez,M.&lt;/Authors_Primary&gt;&lt;Authors_Primary&gt;Navarro,J.M.&lt;/Authors_Primary&gt;&lt;Authors_Primary&gt;Planas,R.&lt;/Authors_Primary&gt;&lt;Authors_Primary&gt;Costa,J.&lt;/Authors_Primary&gt;&lt;Authors_Primary&gt;Borras,A.&lt;/Authors_Primary&gt;&lt;Authors_Primary&gt;Soler,A.&lt;/Authors_Primary&gt;&lt;Authors_Primary&gt;Salmeron,J.&lt;/Authors_Primary&gt;&lt;Authors_Primary&gt;Martin-Vivaldi,R.&lt;/Authors_Primary&gt;&lt;Date_Primary&gt;2005/8&lt;/Date_Primary&gt;&lt;Keywords&gt;Adolescent&lt;/Keywords&gt;&lt;Keywords&gt;Adult&lt;/Keywords&gt;&lt;Keywords&gt;adverse effects&lt;/Keywords&gt;&lt;Keywords&gt;Age Distribution&lt;/Keywords&gt;&lt;Keywords&gt;Aged&lt;/Keywords&gt;&lt;Keywords&gt;Aged,80 and over&lt;/Keywords&gt;&lt;Keywords&gt;Amoxicillin-Potassium Clavulanate Combination&lt;/Keywords&gt;&lt;Keywords&gt;Analysis of Variance&lt;/Keywords&gt;&lt;Keywords&gt;Anti-Bacterial Agents&lt;/Keywords&gt;&lt;Keywords&gt;Bilirubin&lt;/Keywords&gt;&lt;Keywords&gt;chemically induced&lt;/Keywords&gt;&lt;Keywords&gt;drug effects&lt;/Keywords&gt;&lt;Keywords&gt;Drug-Induced Liver Injury&lt;/Keywords&gt;&lt;Keywords&gt;Drug-Related Side Effects and Adverse Reactions&lt;/Keywords&gt;&lt;Keywords&gt;epidemiology&lt;/Keywords&gt;&lt;Keywords&gt;etiology&lt;/Keywords&gt;&lt;Keywords&gt;Female&lt;/Keywords&gt;&lt;Keywords&gt;Humans&lt;/Keywords&gt;&lt;Keywords&gt;Incidence&lt;/Keywords&gt;&lt;Keywords&gt;Jaundice&lt;/Keywords&gt;&lt;Keywords&gt;Liver&lt;/Keywords&gt;&lt;Keywords&gt;Liver Diseases&lt;/Keywords&gt;&lt;Keywords&gt;Liver Failure&lt;/Keywords&gt;&lt;Keywords&gt;Liver Transplantation&lt;/Keywords&gt;&lt;Keywords&gt;Male&lt;/Keywords&gt;&lt;Keywords&gt;methods&lt;/Keywords&gt;&lt;Keywords&gt;Middle Aged&lt;/Keywords&gt;&lt;Keywords&gt;Odds Ratio&lt;/Keywords&gt;&lt;Keywords&gt;Probability&lt;/Keywords&gt;&lt;Keywords&gt;Proportional Hazards Models&lt;/Keywords&gt;&lt;Keywords&gt;Registries&lt;/Keywords&gt;&lt;Keywords&gt;Retrospective Studies&lt;/Keywords&gt;&lt;Keywords&gt;Risk Assessment&lt;/Keywords&gt;&lt;Keywords&gt;Sex Distribution&lt;/Keywords&gt;&lt;Keywords&gt;Spain&lt;/Keywords&gt;&lt;Keywords&gt;Survival Analysis&lt;/Keywords&gt;&lt;Keywords&gt;therapeutic use&lt;/Keywords&gt;&lt;Reprint&gt;In File&lt;/Reprint&gt;&lt;Start_Page&gt;512&lt;/Start_Page&gt;&lt;End_Page&gt;521&lt;/End_Page&gt;&lt;Periodical&gt;Gastroenterology&lt;/Periodical&gt;&lt;Volume&gt;129&lt;/Volume&gt;&lt;Issue&gt;2&lt;/Issue&gt;&lt;Address&gt;Unidad de Hepatologia y Grupo de Estudio para las Hepatopatias Asociadas a Medicamentos, Coordinating Centre, Hospital Universitario Virgen de la Victoria, Facultad de Medicina, Campus Universitario de Teatinos s/n, Malaga, Spain. andrade@uma.es&lt;/Address&gt;&lt;Web_URL&gt;PM:16083708&lt;/Web_URL&gt;&lt;ZZ_JournalStdAbbrev&gt;&lt;f name="System"&gt;Gastroenterology&lt;/f&gt;&lt;/ZZ_JournalStdAbbrev&gt;&lt;ZZ_WorkformID&gt;1&lt;/ZZ_WorkformID&gt;&lt;/MDL&gt;&lt;/Cite&gt;&lt;Cite&gt;&lt;Author&gt;Bjornsson&lt;/Author&gt;&lt;Year&gt;2005&lt;/Year&gt;&lt;RecNum&gt;55&lt;/RecNum&gt;&lt;IDText&gt;Outcome and prognostic markers in severe drug-induced liver disease&lt;/IDText&gt;&lt;MDL Ref_Type="Journal"&gt;&lt;Ref_Type&gt;Journal&lt;/Ref_Type&gt;&lt;Ref_ID&gt;55&lt;/Ref_ID&gt;&lt;Title_Primary&gt;Outcome and prognostic markers in severe drug-induced liver disease&lt;/Title_Primary&gt;&lt;Authors_Primary&gt;Bjornsson,E.&lt;/Authors_Primary&gt;&lt;Authors_Primary&gt;Olsson,R.&lt;/Authors_Primary&gt;&lt;Date_Primary&gt;2005/8&lt;/Date_Primary&gt;&lt;Keywords&gt;Adult&lt;/Keywords&gt;&lt;Keywords&gt;Aged&lt;/Keywords&gt;&lt;Keywords&gt;Aged,80 and over&lt;/Keywords&gt;&lt;Keywords&gt;Bilirubin&lt;/Keywords&gt;&lt;Keywords&gt;chemically induced&lt;/Keywords&gt;&lt;Keywords&gt;Cholestasis&lt;/Keywords&gt;&lt;Keywords&gt;Drug-Induced Liver Injury&lt;/Keywords&gt;&lt;Keywords&gt;Female&lt;/Keywords&gt;&lt;Keywords&gt;Humans&lt;/Keywords&gt;&lt;Keywords&gt;Jaundice&lt;/Keywords&gt;&lt;Keywords&gt;Liver&lt;/Keywords&gt;&lt;Keywords&gt;Liver Diseases&lt;/Keywords&gt;&lt;Keywords&gt;Liver Failure&lt;/Keywords&gt;&lt;Keywords&gt;Liver Transplantation&lt;/Keywords&gt;&lt;Keywords&gt;Logistic Models&lt;/Keywords&gt;&lt;Keywords&gt;Male&lt;/Keywords&gt;&lt;Keywords&gt;Middle Aged&lt;/Keywords&gt;&lt;Keywords&gt;mortality&lt;/Keywords&gt;&lt;Keywords&gt;pathology&lt;/Keywords&gt;&lt;Keywords&gt;Prognosis&lt;/Keywords&gt;&lt;Keywords&gt;Sweden&lt;/Keywords&gt;&lt;Reprint&gt;In File&lt;/Reprint&gt;&lt;Start_Page&gt;481&lt;/Start_Page&gt;&lt;End_Page&gt;489&lt;/End_Page&gt;&lt;Periodical&gt;Hepatology&lt;/Periodical&gt;&lt;Volume&gt;42&lt;/Volume&gt;&lt;Issue&gt;2&lt;/Issue&gt;&lt;Address&gt;Section of Gastroenterology and Hepatology, Department of Internal Medicine, Sahlgrenska University Hospital, SE-413 45 Gothenburg, Sweden. einar.bjornsson@medic.qu.se&lt;/Address&gt;&lt;Web_URL&gt;PM:16025496&lt;/Web_URL&gt;&lt;ZZ_JournalStdAbbrev&gt;&lt;f name="System"&gt;Hepatology&lt;/f&gt;&lt;/ZZ_JournalStdAbbrev&gt;&lt;ZZ_WorkformID&gt;1&lt;/ZZ_WorkformID&gt;&lt;/MDL&gt;&lt;/Cite&gt;&lt;/Refman&gt;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[23,24]</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w:t>
      </w:r>
      <w:r w:rsidR="00283A48" w:rsidRPr="00B977AE">
        <w:rPr>
          <w:rFonts w:ascii="Book Antiqua" w:hAnsi="Book Antiqua" w:cs="Arial"/>
          <w:sz w:val="24"/>
          <w:szCs w:val="20"/>
          <w:lang w:val="en-US"/>
        </w:rPr>
        <w:t xml:space="preserve"> </w:t>
      </w:r>
      <w:r w:rsidR="008A5FA2" w:rsidRPr="00B977AE">
        <w:rPr>
          <w:rFonts w:ascii="Book Antiqua" w:hAnsi="Book Antiqua" w:cs="Arial"/>
          <w:sz w:val="24"/>
          <w:szCs w:val="20"/>
          <w:lang w:val="en-US"/>
        </w:rPr>
        <w:t>Based on the 2009 FDA guidance</w:t>
      </w:r>
      <w:r w:rsidR="00283A48" w:rsidRPr="00B977AE">
        <w:rPr>
          <w:rFonts w:ascii="Book Antiqua" w:hAnsi="Book Antiqua" w:cs="Arial"/>
          <w:sz w:val="24"/>
          <w:szCs w:val="20"/>
          <w:lang w:val="en-US"/>
        </w:rPr>
        <w:t>, finding two cases is considered highly predictive that the drug has the potential to cause severe DILI when given to a larger population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&lt;Refman&gt;&lt;Cite&gt;&lt;Author&gt;FDA&lt;/Author&gt;&lt;Year&gt;2009&lt;/Year&gt;&lt;RecNum&gt;59&lt;/RecNum&gt;&lt;IDText&gt;Guidance for Industry Drug-Induced Liver Injury: Premarketing Clinical Evaluation&lt;/IDText&gt;&lt;MDL Ref_Type="Electronic Citation"&gt;&lt;Ref_Type&gt;Electronic Citation&lt;/Ref_Type&gt;&lt;Ref_ID&gt;59&lt;/Ref_ID&gt;&lt;Title_Primary&gt;Guidance for Industry Drug-Induced Liver Injury: Premarketing Clinical Evaluation&lt;/Title_Primary&gt;&lt;Authors_Primary&gt;FDA&lt;/Authors_Primary&gt;&lt;Date_Primary&gt;2009/7&lt;/Date_Primary&gt;&lt;Keywords&gt;Drug-Induced Liver Injury&lt;/Keywords&gt;&lt;Keywords&gt;Liver&lt;/Keywords&gt;&lt;Reprint&gt;Not in File&lt;/Reprint&gt;&lt;Periodical&gt;http://www.fda.gov/downloads/Drugs/.../Guidances/UCM174090.pdf&lt;/Periodical&gt;&lt;ZZ_JournalStdAbbrev&gt;&lt;f name="System"&gt;http://www.fda.gov/downloads/Drugs/.../Guidances/UCM174090.pdf&lt;/f&gt;&lt;/ZZ_JournalStdAbbrev&gt;&lt;ZZ_WorkformID&gt;34&lt;/ZZ_WorkformID&gt;&lt;/MDL&gt;&lt;/Cite&gt;&lt;/Refman&gt;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[25]</w:t>
      </w:r>
      <w:r w:rsidR="002411CC" w:rsidRPr="00B977AE">
        <w:rPr>
          <w:rFonts w:ascii="Book Antiqua" w:hAnsi="Book Antiqua" w:cs="Arial"/>
          <w:sz w:val="24"/>
          <w:szCs w:val="20"/>
          <w:lang w:val="en-US"/>
        </w:rPr>
        <w:fldChar w:fldCharType="end"/>
      </w:r>
      <w:r w:rsidR="00283A48" w:rsidRPr="00B977AE">
        <w:rPr>
          <w:rFonts w:ascii="Book Antiqua" w:hAnsi="Book Antiqua" w:cs="Arial"/>
          <w:sz w:val="24"/>
          <w:szCs w:val="20"/>
          <w:lang w:val="en-US"/>
        </w:rPr>
        <w:t xml:space="preserve">. Thus, </w:t>
      </w:r>
      <w:proofErr w:type="spellStart"/>
      <w:r w:rsidR="00283A48" w:rsidRPr="00B977AE">
        <w:rPr>
          <w:rFonts w:ascii="Book Antiqua" w:hAnsi="Book Antiqua" w:cs="Arial"/>
          <w:sz w:val="24"/>
          <w:szCs w:val="20"/>
          <w:lang w:val="en-US"/>
        </w:rPr>
        <w:t>Hy’s</w:t>
      </w:r>
      <w:proofErr w:type="spellEnd"/>
      <w:r w:rsidR="00283A48" w:rsidRPr="00B977AE">
        <w:rPr>
          <w:rFonts w:ascii="Book Antiqua" w:hAnsi="Book Antiqua" w:cs="Arial"/>
          <w:sz w:val="24"/>
          <w:szCs w:val="20"/>
          <w:lang w:val="en-US"/>
        </w:rPr>
        <w:t xml:space="preserve"> law</w:t>
      </w:r>
      <w:r w:rsidR="00022948" w:rsidRPr="00B977AE">
        <w:rPr>
          <w:rFonts w:ascii="Book Antiqua" w:hAnsi="Book Antiqua" w:cs="Arial"/>
          <w:sz w:val="24"/>
          <w:szCs w:val="20"/>
          <w:lang w:val="en-US"/>
        </w:rPr>
        <w:t xml:space="preserve"> calls for enhanced vigilance on th</w:t>
      </w:r>
      <w:r w:rsidR="00283A48" w:rsidRPr="00B977AE">
        <w:rPr>
          <w:rFonts w:ascii="Book Antiqua" w:hAnsi="Book Antiqua" w:cs="Arial"/>
          <w:sz w:val="24"/>
          <w:szCs w:val="20"/>
          <w:lang w:val="en-US"/>
        </w:rPr>
        <w:t xml:space="preserve">e patient </w:t>
      </w:r>
      <w:r w:rsidR="00022948" w:rsidRPr="00B977AE">
        <w:rPr>
          <w:rFonts w:ascii="Book Antiqua" w:hAnsi="Book Antiqua" w:cs="Arial"/>
          <w:sz w:val="24"/>
          <w:szCs w:val="20"/>
          <w:lang w:val="en-US"/>
        </w:rPr>
        <w:t>so that</w:t>
      </w:r>
      <w:r w:rsidR="002F161D" w:rsidRPr="00B977AE">
        <w:rPr>
          <w:rFonts w:ascii="Book Antiqua" w:hAnsi="Book Antiqua" w:cs="Arial"/>
          <w:sz w:val="24"/>
          <w:szCs w:val="20"/>
          <w:lang w:val="en-US"/>
        </w:rPr>
        <w:t xml:space="preserve"> the drug </w:t>
      </w:r>
      <w:r w:rsidR="00022948" w:rsidRPr="00B977AE">
        <w:rPr>
          <w:rFonts w:ascii="Book Antiqua" w:hAnsi="Book Antiqua" w:cs="Arial"/>
          <w:sz w:val="24"/>
          <w:szCs w:val="20"/>
          <w:lang w:val="en-US"/>
        </w:rPr>
        <w:t xml:space="preserve">is discontinued </w:t>
      </w:r>
      <w:r w:rsidR="002F161D" w:rsidRPr="00B977AE">
        <w:rPr>
          <w:rFonts w:ascii="Book Antiqua" w:hAnsi="Book Antiqua" w:cs="Arial"/>
          <w:sz w:val="24"/>
          <w:szCs w:val="20"/>
          <w:lang w:val="en-US"/>
        </w:rPr>
        <w:t>before the patient crosses the threshold of hepatotoxic irreversibility</w:t>
      </w:r>
      <w:r w:rsidR="00AC0F3C" w:rsidRPr="00B977AE">
        <w:rPr>
          <w:rFonts w:ascii="Book Antiqua" w:hAnsi="Book Antiqua" w:cs="Arial"/>
          <w:sz w:val="24"/>
          <w:szCs w:val="20"/>
          <w:lang w:val="en-US"/>
        </w:rPr>
        <w:t xml:space="preserve">. The correct timing of discontinuation and the exact level of ALT elevation is still a matter of debate; an eight-fold increase from baseline is generally considered a standard cut-off, although even levels greater </w:t>
      </w:r>
      <w:proofErr w:type="spellStart"/>
      <w:r w:rsidR="00AC0F3C" w:rsidRPr="00B977AE">
        <w:rPr>
          <w:rFonts w:ascii="Book Antiqua" w:hAnsi="Book Antiqua" w:cs="Arial"/>
          <w:sz w:val="24"/>
          <w:szCs w:val="20"/>
          <w:lang w:val="en-US"/>
        </w:rPr>
        <w:t>that</w:t>
      </w:r>
      <w:proofErr w:type="spellEnd"/>
      <w:r w:rsidR="00AC0F3C" w:rsidRPr="00B977AE">
        <w:rPr>
          <w:rFonts w:ascii="Book Antiqua" w:hAnsi="Book Antiqua" w:cs="Arial"/>
          <w:sz w:val="24"/>
          <w:szCs w:val="20"/>
          <w:lang w:val="en-US"/>
        </w:rPr>
        <w:t xml:space="preserve"> 3 time the ULN may be sufficient if accompanied by additional symptoms. Given the importance of monitoring thousands of laboratory parameters during clinical phases, the </w:t>
      </w:r>
      <w:proofErr w:type="spellStart"/>
      <w:r w:rsidR="00AC0F3C" w:rsidRPr="00B977AE">
        <w:rPr>
          <w:rFonts w:ascii="Book Antiqua" w:hAnsi="Book Antiqua" w:cs="Arial"/>
          <w:sz w:val="24"/>
          <w:szCs w:val="20"/>
          <w:lang w:val="en-US"/>
        </w:rPr>
        <w:t>eDISH</w:t>
      </w:r>
      <w:proofErr w:type="spellEnd"/>
      <w:r w:rsidR="00AC0F3C" w:rsidRPr="00B977AE">
        <w:rPr>
          <w:rFonts w:ascii="Book Antiqua" w:hAnsi="Book Antiqua" w:cs="Arial"/>
          <w:sz w:val="24"/>
          <w:szCs w:val="20"/>
          <w:lang w:val="en-US"/>
        </w:rPr>
        <w:t xml:space="preserve"> method was developed to visualize, assess and summarize hepatic saf</w:t>
      </w:r>
      <w:r w:rsidR="00995CF2" w:rsidRPr="00B977AE">
        <w:rPr>
          <w:rFonts w:ascii="Book Antiqua" w:hAnsi="Book Antiqua" w:cs="Arial"/>
          <w:sz w:val="24"/>
          <w:szCs w:val="20"/>
          <w:lang w:val="en-US"/>
        </w:rPr>
        <w:t>ety data during clinical trials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&lt;Refman&gt;&lt;Cite&gt;&lt;Author&gt;Watkins&lt;/Author&gt;&lt;Year&gt;2011&lt;/Year&gt;&lt;RecNum&gt;52&lt;/RecNum&gt;&lt;IDText&gt;Evaluation of drug-induced serious hepatotoxicity (eDISH): application of this data organization approach to phase III clinical trials of rivaroxaban after total hip or knee replacement surgery&lt;/IDText&gt;&lt;MDL Ref_Type="Journal"&gt;&lt;Ref_Type&gt;Journal&lt;/Ref_Type&gt;&lt;Ref_ID&gt;52&lt;/Ref_ID&gt;&lt;Title_Primary&gt;Evaluation of drug-induced serious hepatotoxicity (eDISH): application of this data organization approach to phase III clinical trials of rivaroxaban after total hip or knee replacement surgery&lt;/Title_Primary&gt;&lt;Authors_Primary&gt;Watkins,P.B.&lt;/Authors_Primary&gt;&lt;Authors_Primary&gt;Desai,M.&lt;/Authors_Primary&gt;&lt;Authors_Primary&gt;Berkowitz,S.D.&lt;/Authors_Primary&gt;&lt;Authors_Primary&gt;Peters,G.&lt;/Authors_Primary&gt;&lt;Authors_Primary&gt;Horsmans,Y.&lt;/Authors_Primary&gt;&lt;Authors_Primary&gt;Larrey,D.&lt;/Authors_Primary&gt;&lt;Authors_Primary&gt;Maddrey,W.&lt;/Authors_Primary&gt;&lt;Date_Primary&gt;2011/3/1&lt;/Date_Primary&gt;&lt;Keywords&gt;Adverse Drug Reaction Reporting Systems&lt;/Keywords&gt;&lt;Keywords&gt;adverse effects&lt;/Keywords&gt;&lt;Keywords&gt;Aged&lt;/Keywords&gt;&lt;Keywords&gt;Alanine Transaminase&lt;/Keywords&gt;&lt;Keywords&gt;Alkaline Phosphatase&lt;/Keywords&gt;&lt;Keywords&gt;Arthroplasty,Replacement,Hip&lt;/Keywords&gt;&lt;Keywords&gt;Arthroplasty,Replacement,Knee&lt;/Keywords&gt;&lt;Keywords&gt;Bilirubin&lt;/Keywords&gt;&lt;Keywords&gt;blood&lt;/Keywords&gt;&lt;Keywords&gt;Double-Blind Method&lt;/Keywords&gt;&lt;Keywords&gt;Drug-Induced Liver Injury&lt;/Keywords&gt;&lt;Keywords&gt;Enoxaparin&lt;/Keywords&gt;&lt;Keywords&gt;epidemiology&lt;/Keywords&gt;&lt;Keywords&gt;etiology&lt;/Keywords&gt;&lt;Keywords&gt;Female&lt;/Keywords&gt;&lt;Keywords&gt;Fibrinolytic Agents&lt;/Keywords&gt;&lt;Keywords&gt;Humans&lt;/Keywords&gt;&lt;Keywords&gt;Liver&lt;/Keywords&gt;&lt;Keywords&gt;Liver Function Tests&lt;/Keywords&gt;&lt;Keywords&gt;Male&lt;/Keywords&gt;&lt;Keywords&gt;methods&lt;/Keywords&gt;&lt;Keywords&gt;Middle Aged&lt;/Keywords&gt;&lt;Keywords&gt;Morpholines&lt;/Keywords&gt;&lt;Keywords&gt;physiopathology&lt;/Keywords&gt;&lt;Keywords&gt;Severity of Illness Index&lt;/Keywords&gt;&lt;Keywords&gt;surgery&lt;/Keywords&gt;&lt;Keywords&gt;therapeutic use&lt;/Keywords&gt;&lt;Keywords&gt;Thiophenes&lt;/Keywords&gt;&lt;Reprint&gt;In File&lt;/Reprint&gt;&lt;Start_Page&gt;243&lt;/Start_Page&gt;&lt;End_Page&gt;252&lt;/End_Page&gt;&lt;Periodical&gt;Drug Saf&lt;/Periodical&gt;&lt;Volume&gt;34&lt;/Volume&gt;&lt;Issue&gt;3&lt;/Issue&gt;&lt;Address&gt;Hamner-UNC Institute for Drug Safety Sciences, 6 Davis Drive, Research Triangle Park, NC 27709, USA. pbwatkins@med.unc.edu&lt;/Address&gt;&lt;Web_URL&gt;PM:21332248&lt;/Web_URL&gt;&lt;ZZ_JournalStdAbbrev&gt;&lt;f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[26]</w:t>
      </w:r>
      <w:r w:rsidR="002411CC" w:rsidRPr="00B977AE">
        <w:rPr>
          <w:rFonts w:ascii="Book Antiqua" w:hAnsi="Book Antiqua" w:cs="Arial"/>
          <w:sz w:val="24"/>
          <w:szCs w:val="20"/>
          <w:lang w:val="en-US"/>
        </w:rPr>
        <w:fldChar w:fldCharType="end"/>
      </w:r>
      <w:r w:rsidR="00AC0F3C" w:rsidRPr="00B977AE">
        <w:rPr>
          <w:rFonts w:ascii="Book Antiqua" w:hAnsi="Book Antiqua" w:cs="Arial"/>
          <w:sz w:val="24"/>
          <w:szCs w:val="20"/>
          <w:lang w:val="en-US"/>
        </w:rPr>
        <w:t>.</w:t>
      </w:r>
      <w:r w:rsidR="00BF4D7E" w:rsidRPr="00B977AE">
        <w:rPr>
          <w:rFonts w:ascii="Book Antiqua" w:hAnsi="Book Antiqua" w:cs="Arial"/>
          <w:sz w:val="24"/>
          <w:szCs w:val="20"/>
          <w:lang w:val="en-US"/>
        </w:rPr>
        <w:t xml:space="preserve"> As regards causality assessment, pharmaceutical companies prefer to rely on a 3-category scale instead of using the 5-category scale adopted by the DLIN consortium or the RUCAM score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&lt;Refman&gt;&lt;Cite&gt;&lt;Author&gt;Regev&lt;/Author&gt;&lt;Year&gt;2013&lt;/Year&gt;&lt;RecNum&gt;47&lt;/RecNum&gt;&lt;IDText&gt;How to avoid being surprised by hepatotoxicity at the final stages of drug development and approval&lt;/IDText&gt;&lt;MDL Ref_Type="Journal"&gt;&lt;Ref_Type&gt;Journal&lt;/Ref_Type&gt;&lt;Ref_ID&gt;47&lt;/Ref_ID&gt;&lt;Title_Primary&gt;How to avoid being surprised by hepatotoxicity at the final stages of drug development and approval&lt;/Title_Primary&gt;&lt;Authors_Primary&gt;Regev,A.&lt;/Authors_Primary&gt;&lt;Date_Primary&gt;2013/11&lt;/Date_Primary&gt;&lt;Keywords&gt;Humans&lt;/Keywords&gt;&lt;Keywords&gt;Liver&lt;/Keywords&gt;&lt;Reprint&gt;In File&lt;/Reprint&gt;&lt;Start_Page&gt;749&lt;/Start_Page&gt;&lt;End_Page&gt;67, xi&lt;/End_Page&gt;&lt;Periodical&gt;Clin Liver Dis&lt;/Periodical&gt;&lt;Volume&gt;17&lt;/Volume&gt;&lt;Issue&gt;4&lt;/Issue&gt;&lt;Address&gt;Global Patient Safety, Eli Lilly and Company, Lilly Corporate Center, Indiana University School of Medicine, Drop Code 2121, Indianapolis, IN 46285, USA. Electronic address: regev_arie@lilly.com&lt;/Address&gt;&lt;Web_URL&gt;PM:24099029&lt;/Web_URL&gt;&lt;ZZ_JournalStdAbbrev&gt;&lt;f name="System"&gt;Clin Liver Dis&lt;/f&gt;&lt;/ZZ_JournalStdAbbrev&gt;&lt;ZZ_WorkformID&gt;1&lt;/ZZ_WorkformID&gt;&lt;/MDL&gt;&lt;/Cite&gt;&lt;/Refman&gt;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[19]</w:t>
      </w:r>
      <w:r w:rsidR="002411CC" w:rsidRPr="00B977AE">
        <w:rPr>
          <w:rFonts w:ascii="Book Antiqua" w:hAnsi="Book Antiqua" w:cs="Arial"/>
          <w:sz w:val="24"/>
          <w:szCs w:val="20"/>
          <w:lang w:val="en-US"/>
        </w:rPr>
        <w:fldChar w:fldCharType="end"/>
      </w:r>
      <w:r w:rsidR="00BF4D7E" w:rsidRPr="00B977AE">
        <w:rPr>
          <w:rFonts w:ascii="Book Antiqua" w:hAnsi="Book Antiqua" w:cs="Arial"/>
          <w:sz w:val="24"/>
          <w:szCs w:val="20"/>
          <w:lang w:val="en-US"/>
        </w:rPr>
        <w:t>.</w:t>
      </w:r>
    </w:p>
    <w:p w:rsidR="00995CF2" w:rsidRPr="00B977AE" w:rsidRDefault="00995CF2" w:rsidP="004D1284">
      <w:pPr>
        <w:autoSpaceDE w:val="0"/>
        <w:autoSpaceDN w:val="0"/>
        <w:adjustRightInd w:val="0"/>
        <w:spacing w:line="360" w:lineRule="auto"/>
        <w:ind w:firstLineChars="150" w:firstLine="360"/>
        <w:jc w:val="both"/>
        <w:rPr>
          <w:rFonts w:ascii="Book Antiqua" w:hAnsi="Book Antiqua" w:cs="Arial"/>
          <w:sz w:val="24"/>
          <w:szCs w:val="20"/>
          <w:lang w:val="en-US" w:eastAsia="zh-CN"/>
        </w:rPr>
      </w:pPr>
    </w:p>
    <w:p w:rsidR="00691543" w:rsidRPr="00B977AE" w:rsidRDefault="00691543" w:rsidP="004D1284">
      <w:pPr>
        <w:autoSpaceDE w:val="0"/>
        <w:autoSpaceDN w:val="0"/>
        <w:adjustRightInd w:val="0"/>
        <w:spacing w:line="360" w:lineRule="auto"/>
        <w:jc w:val="both"/>
        <w:rPr>
          <w:rFonts w:ascii="Book Antiqua" w:hAnsi="Book Antiqua" w:cs="Arial"/>
          <w:b/>
          <w:i/>
          <w:sz w:val="24"/>
          <w:szCs w:val="20"/>
          <w:lang w:val="en-US"/>
        </w:rPr>
      </w:pPr>
      <w:r w:rsidRPr="00B977AE">
        <w:rPr>
          <w:rFonts w:ascii="Book Antiqua" w:hAnsi="Book Antiqua" w:cs="Arial"/>
          <w:b/>
          <w:sz w:val="24"/>
          <w:szCs w:val="20"/>
          <w:lang w:val="en-US"/>
        </w:rPr>
        <w:t>Antifungals</w:t>
      </w:r>
      <w:r w:rsidR="00557028" w:rsidRPr="00B977AE">
        <w:rPr>
          <w:rFonts w:ascii="Book Antiqua" w:hAnsi="Book Antiqua" w:cs="Arial"/>
          <w:b/>
          <w:sz w:val="24"/>
          <w:szCs w:val="20"/>
          <w:lang w:val="en-US"/>
        </w:rPr>
        <w:t xml:space="preserve"> and DILI</w:t>
      </w:r>
      <w:r w:rsidRPr="00B977AE">
        <w:rPr>
          <w:rFonts w:ascii="Book Antiqua" w:hAnsi="Book Antiqua" w:cs="Arial"/>
          <w:b/>
          <w:sz w:val="24"/>
          <w:szCs w:val="20"/>
          <w:lang w:val="en-US"/>
        </w:rPr>
        <w:t>: clinical and regulatory aspects</w:t>
      </w:r>
      <w:r w:rsidR="00995CF2" w:rsidRPr="00B977AE">
        <w:rPr>
          <w:rFonts w:ascii="Book Antiqua" w:hAnsi="Book Antiqua" w:cs="Arial"/>
          <w:b/>
          <w:sz w:val="24"/>
          <w:szCs w:val="20"/>
          <w:lang w:val="en-US" w:eastAsia="zh-CN"/>
        </w:rPr>
        <w:t>:</w:t>
      </w:r>
      <w:r w:rsidR="00D46F38" w:rsidRPr="00B977AE">
        <w:rPr>
          <w:rFonts w:ascii="Book Antiqua" w:hAnsi="Book Antiqua" w:cs="Arial"/>
          <w:b/>
          <w:i/>
          <w:sz w:val="24"/>
          <w:szCs w:val="20"/>
          <w:lang w:val="en-US"/>
        </w:rPr>
        <w:t xml:space="preserve"> </w:t>
      </w:r>
      <w:r w:rsidR="00663A39" w:rsidRPr="00B977AE">
        <w:rPr>
          <w:rFonts w:ascii="Book Antiqua" w:hAnsi="Book Antiqua" w:cs="Arial"/>
          <w:sz w:val="24"/>
          <w:szCs w:val="20"/>
          <w:lang w:val="en-US"/>
        </w:rPr>
        <w:t>The true incidence of DILI associated with antifungals in the post-marketing phase challeng</w:t>
      </w:r>
      <w:r w:rsidR="00150BA9" w:rsidRPr="00B977AE">
        <w:rPr>
          <w:rFonts w:ascii="Book Antiqua" w:hAnsi="Book Antiqua" w:cs="Arial"/>
          <w:sz w:val="24"/>
          <w:szCs w:val="20"/>
          <w:lang w:val="en-US"/>
        </w:rPr>
        <w:t xml:space="preserve">es </w:t>
      </w:r>
      <w:r w:rsidR="00663A39" w:rsidRPr="00B977AE">
        <w:rPr>
          <w:rFonts w:ascii="Book Antiqua" w:hAnsi="Book Antiqua" w:cs="Arial"/>
          <w:sz w:val="24"/>
          <w:szCs w:val="20"/>
          <w:lang w:val="en-US"/>
        </w:rPr>
        <w:t xml:space="preserve">precise </w:t>
      </w:r>
      <w:r w:rsidR="00150BA9" w:rsidRPr="00B977AE">
        <w:rPr>
          <w:rFonts w:ascii="Book Antiqua" w:hAnsi="Book Antiqua" w:cs="Arial"/>
          <w:sz w:val="24"/>
          <w:szCs w:val="20"/>
          <w:lang w:val="en-US"/>
        </w:rPr>
        <w:t>estimation</w:t>
      </w:r>
      <w:r w:rsidR="00D156C8" w:rsidRPr="00B977AE">
        <w:rPr>
          <w:rFonts w:ascii="Book Antiqua" w:hAnsi="Book Antiqua" w:cs="Arial"/>
          <w:sz w:val="24"/>
          <w:szCs w:val="20"/>
          <w:lang w:val="en-US"/>
        </w:rPr>
        <w:t>, especially as compared to other antimicrobials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&lt;Refman&gt;&lt;Cite&gt;&lt;Author&gt;Andrade&lt;/Author&gt;&lt;Year&gt;2011&lt;/Year&gt;&lt;RecNum&gt;29&lt;/RecNum&gt;&lt;IDText&gt;Hepatic safety of antibiotics used in primary care&lt;/IDText&gt;&lt;MDL Ref_Type="Journal"&gt;&lt;Ref_Type&gt;Journal&lt;/Ref_Type&gt;&lt;Ref_ID&gt;29&lt;/Ref_ID&gt;&lt;Title_Primary&gt;Hepatic safety of antibiotics used in primary care&lt;/Title_Primary&gt;&lt;Authors_Primary&gt;Andrade,R.J.&lt;/Authors_Primary&gt;&lt;Authors_Primary&gt;Tulkens,P.M.&lt;/Authors_Primary&gt;&lt;Date_Primary&gt;2011/7&lt;/Date_Primary&gt;&lt;Keywords&gt;adverse effects&lt;/Keywords&gt;&lt;Keywords&gt;Aged&lt;/Keywords&gt;&lt;Keywords&gt;Anti-Bacterial Agents&lt;/Keywords&gt;&lt;Keywords&gt;Drug-Induced Liver Injury&lt;/Keywords&gt;&lt;Keywords&gt;epidemiology&lt;/Keywords&gt;&lt;Keywords&gt;Humans&lt;/Keywords&gt;&lt;Keywords&gt;Incidence&lt;/Keywords&gt;&lt;Keywords&gt;Liver&lt;/Keywords&gt;&lt;Keywords&gt;methods&lt;/Keywords&gt;&lt;Keywords&gt;Pharmacovigilance&lt;/Keywords&gt;&lt;Keywords&gt;Primary Health Care&lt;/Keywords&gt;&lt;Keywords&gt;Risk&lt;/Keywords&gt;&lt;Keywords&gt;therapeutic use&lt;/Keywords&gt;&lt;Keywords&gt;therapy&lt;/Keywords&gt;&lt;Reprint&gt;In File&lt;/Reprint&gt;&lt;Start_Page&gt;1431&lt;/Start_Page&gt;&lt;End_Page&gt;1446&lt;/End_Page&gt;&lt;Periodical&gt;J Antimicrob.Chemother.&lt;/Periodical&gt;&lt;Volume&gt;66&lt;/Volume&gt;&lt;Issue&gt;7&lt;/Issue&gt;&lt;Address&gt;Hepatology Unit, Gastroenterology Service, Virgen de la Victoria University Hospital Department of Medicine, University of Malaga, Spain&lt;/Address&gt;&lt;Web_URL&gt;PM:21586591&lt;/Web_URL&gt;&lt;ZZ_JournalStdAbbrev&gt;&lt;f name="System"&gt;J Antimicrob.Chemother.&lt;/f&gt;&lt;/ZZ_JournalStdAbbrev&gt;&lt;ZZ_WorkformID&gt;1&lt;/ZZ_WorkformID&gt;&lt;/MDL&gt;&lt;/Cite&gt;&lt;/Refman&gt;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[27]</w:t>
      </w:r>
      <w:r w:rsidR="002411CC" w:rsidRPr="00B977AE">
        <w:rPr>
          <w:rFonts w:ascii="Book Antiqua" w:hAnsi="Book Antiqua" w:cs="Arial"/>
          <w:sz w:val="24"/>
          <w:szCs w:val="20"/>
          <w:lang w:val="en-US"/>
        </w:rPr>
        <w:fldChar w:fldCharType="end"/>
      </w:r>
      <w:r w:rsidR="00663A39" w:rsidRPr="00B977AE">
        <w:rPr>
          <w:rFonts w:ascii="Book Antiqua" w:hAnsi="Book Antiqua" w:cs="Arial"/>
          <w:sz w:val="24"/>
          <w:szCs w:val="20"/>
          <w:lang w:val="en-US"/>
        </w:rPr>
        <w:t>. Previous studies, mostly based on data derived from clinical trials, reported a 2</w:t>
      </w:r>
      <w:r w:rsidR="00995CF2" w:rsidRPr="00B977AE">
        <w:rPr>
          <w:rFonts w:ascii="Book Antiqua" w:hAnsi="Book Antiqua" w:cs="Arial"/>
          <w:sz w:val="24"/>
          <w:szCs w:val="20"/>
          <w:lang w:val="en-US"/>
        </w:rPr>
        <w:t>%</w:t>
      </w:r>
      <w:r w:rsidR="00663A39" w:rsidRPr="00B977AE">
        <w:rPr>
          <w:rFonts w:ascii="Book Antiqua" w:hAnsi="Book Antiqua" w:cs="Arial"/>
          <w:sz w:val="24"/>
          <w:szCs w:val="20"/>
          <w:lang w:val="en-US"/>
        </w:rPr>
        <w:t>-23% range, depending on the drug of interest and especially the severity of the disease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&lt;Refman&gt;&lt;Cite&gt;&lt;Author&gt;Cronin&lt;/Author&gt;&lt;Year&gt;2010&lt;/Year&gt;&lt;RecNum&gt;25&lt;/RecNum&gt;&lt;IDText&gt;Safety of triazole antifungal drugs in patients with cancer&lt;/IDText&gt;&lt;MDL Ref_Type="Journal"&gt;&lt;Ref_Type&gt;Journal&lt;/Ref_Type&gt;&lt;Ref_ID&gt;25&lt;/Ref_ID&gt;&lt;Title_Primary&gt;Safety of triazole antifungal drugs in patients with cancer&lt;/Title_Primary&gt;&lt;Authors_Primary&gt;Cronin,S.&lt;/Authors_Primary&gt;&lt;Authors_Primary&gt;Chandrasekar,P.H.&lt;/Authors_Primary&gt;&lt;Date_Primary&gt;2010/3&lt;/Date_Primary&gt;&lt;Keywords&gt;adverse effects&lt;/Keywords&gt;&lt;Keywords&gt;Antifungal Agents&lt;/Keywords&gt;&lt;Keywords&gt;Antineoplastic Agents&lt;/Keywords&gt;&lt;Keywords&gt;complications&lt;/Keywords&gt;&lt;Keywords&gt;Drug Interactions&lt;/Keywords&gt;&lt;Keywords&gt;Drug Monitoring&lt;/Keywords&gt;&lt;Keywords&gt;drug therapy&lt;/Keywords&gt;&lt;Keywords&gt;Fluconazole&lt;/Keywords&gt;&lt;Keywords&gt;Humans&lt;/Keywords&gt;&lt;Keywords&gt;Mycoses&lt;/Keywords&gt;&lt;Keywords&gt;Neoplasms&lt;/Keywords&gt;&lt;Keywords&gt;therapeutic use&lt;/Keywords&gt;&lt;Keywords&gt;Triazoles&lt;/Keywords&gt;&lt;Reprint&gt;In File&lt;/Reprint&gt;&lt;Start_Page&gt;410&lt;/Start_Page&gt;&lt;End_Page&gt;416&lt;/End_Page&gt;&lt;Periodical&gt;J Antimicrob.Chemother.&lt;/Periodical&gt;&lt;Volume&gt;65&lt;/Volume&gt;&lt;Issue&gt;3&lt;/Issue&gt;&lt;Address&gt;Department of Pharmacy, Karmanos Cancer Institute, Detroit, MI, USA&lt;/Address&gt;&lt;Web_URL&gt;PM:20035021&lt;/Web_URL&gt;&lt;ZZ_JournalStdAbbrev&gt;&lt;f name="System"&gt;J Antimicrob.Chemother.&lt;/f&gt;&lt;/ZZ_JournalStdAbbrev&gt;&lt;ZZ_WorkformID&gt;1&lt;/ZZ_WorkformID&gt;&lt;/MDL&gt;&lt;/Cite&gt;&lt;/Refman&gt;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[28]</w:t>
      </w:r>
      <w:r w:rsidR="002411CC" w:rsidRPr="00B977AE">
        <w:rPr>
          <w:rFonts w:ascii="Book Antiqua" w:hAnsi="Book Antiqua" w:cs="Arial"/>
          <w:sz w:val="24"/>
          <w:szCs w:val="20"/>
          <w:lang w:val="en-US"/>
        </w:rPr>
        <w:fldChar w:fldCharType="end"/>
      </w:r>
      <w:r w:rsidR="00663A39" w:rsidRPr="00B977AE">
        <w:rPr>
          <w:rFonts w:ascii="Book Antiqua" w:hAnsi="Book Antiqua" w:cs="Arial"/>
          <w:sz w:val="24"/>
          <w:szCs w:val="20"/>
          <w:lang w:val="en-US"/>
        </w:rPr>
        <w:t xml:space="preserve">. </w:t>
      </w:r>
      <w:r w:rsidR="0035288C" w:rsidRPr="00B977AE">
        <w:rPr>
          <w:rFonts w:ascii="Book Antiqua" w:hAnsi="Book Antiqua" w:cs="Arial"/>
          <w:sz w:val="24"/>
          <w:szCs w:val="20"/>
          <w:lang w:val="en-US"/>
        </w:rPr>
        <w:t xml:space="preserve">Clinical evidence on ketoconazole emerged in early 80’, when 54 reports of alleged ketoconazole-induced liver injury submitted to the FDA from the time of initial marketing in 1980, of which 33 were labeled as likely. The incidence of symptomatic, potentially serious hepatic injury appeared to be very low, </w:t>
      </w:r>
      <w:r w:rsidR="0035288C" w:rsidRPr="00B977AE">
        <w:rPr>
          <w:rFonts w:ascii="Book Antiqua" w:hAnsi="Book Antiqua" w:cs="Arial"/>
          <w:sz w:val="24"/>
          <w:szCs w:val="20"/>
          <w:lang w:val="en-US"/>
        </w:rPr>
        <w:lastRenderedPageBreak/>
        <w:t xml:space="preserve">perhaps 1 in 15000 exposed individuals, whereas the incidence of mild, asymptomatic, reversible elevations in serum transaminases has been estimated to be 5-10% </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&lt;Refman&gt;&lt;Cite&gt;&lt;Author&gt;Lewis&lt;/Author&gt;&lt;Year&gt;1984&lt;/Year&gt;&lt;RecNum&gt;15&lt;/RecNum&gt;&lt;IDText&gt;Hepatic injury associated with ketoconazole therapy. Analysis of 33 cases&lt;/IDText&gt;&lt;MDL Ref_Type="Journal"&gt;&lt;Ref_Type&gt;Journal&lt;/Ref_Type&gt;&lt;Ref_ID&gt;15&lt;/Ref_ID&gt;&lt;Title_Primary&gt;Hepatic injury associated with ketoconazole therapy. Analysis of 33 cases&lt;/Title_Primary&gt;&lt;Authors_Primary&gt;Lewis,J.H.&lt;/Authors_Primary&gt;&lt;Authors_Primary&gt;Zimmerman,H.J.&lt;/Authors_Primary&gt;&lt;Authors_Primary&gt;Benson,G.D.&lt;/Authors_Primary&gt;&lt;Authors_Primary&gt;Ishak,K.G.&lt;/Authors_Primary&gt;&lt;Date_Primary&gt;1984/3&lt;/Date_Primary&gt;&lt;Keywords&gt;Adolescent&lt;/Keywords&gt;&lt;Keywords&gt;Adult&lt;/Keywords&gt;&lt;Keywords&gt;adverse effects&lt;/Keywords&gt;&lt;Keywords&gt;Aged&lt;/Keywords&gt;&lt;Keywords&gt;Alanine Transaminase&lt;/Keywords&gt;&lt;Keywords&gt;Alkaline Phosphatase&lt;/Keywords&gt;&lt;Keywords&gt;Aspartate Aminotransferases&lt;/Keywords&gt;&lt;Keywords&gt;blood&lt;/Keywords&gt;&lt;Keywords&gt;chemically induced&lt;/Keywords&gt;&lt;Keywords&gt;Drug-Induced Liver Injury&lt;/Keywords&gt;&lt;Keywords&gt;enzymology&lt;/Keywords&gt;&lt;Keywords&gt;etiology&lt;/Keywords&gt;&lt;Keywords&gt;Female&lt;/Keywords&gt;&lt;Keywords&gt;Humans&lt;/Keywords&gt;&lt;Keywords&gt;Jaundice&lt;/Keywords&gt;&lt;Keywords&gt;Ketoconazole&lt;/Keywords&gt;&lt;Keywords&gt;Liver&lt;/Keywords&gt;&lt;Keywords&gt;Liver Diseases&lt;/Keywords&gt;&lt;Keywords&gt;Male&lt;/Keywords&gt;&lt;Keywords&gt;Middle Aged&lt;/Keywords&gt;&lt;Keywords&gt;pathology&lt;/Keywords&gt;&lt;Keywords&gt;Retrospective Studies&lt;/Keywords&gt;&lt;Keywords&gt;therapy&lt;/Keywords&gt;&lt;Keywords&gt;United States&lt;/Keywords&gt;&lt;Reprint&gt;In File&lt;/Reprint&gt;&lt;Start_Page&gt;503&lt;/Start_Page&gt;&lt;End_Page&gt;513&lt;/End_Page&gt;&lt;Periodical&gt;Gastroenterology&lt;/Periodical&gt;&lt;Volume&gt;86&lt;/Volume&gt;&lt;Issue&gt;3&lt;/Issue&gt;&lt;Web_URL&gt;PM:6319220&lt;/Web_URL&gt;&lt;ZZ_JournalStdAbbrev&gt;&lt;f name="System"&gt;Gastroenterology&lt;/f&gt;&lt;/ZZ_JournalStdAbbrev&gt;&lt;ZZ_WorkformID&gt;1&lt;/ZZ_WorkformID&gt;&lt;/MDL&gt;&lt;/Cite&gt;&lt;/Refman&gt;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[29]</w:t>
      </w:r>
      <w:r w:rsidR="002411CC" w:rsidRPr="00B977AE">
        <w:rPr>
          <w:rFonts w:ascii="Book Antiqua" w:hAnsi="Book Antiqua" w:cs="Arial"/>
          <w:sz w:val="24"/>
          <w:szCs w:val="20"/>
          <w:lang w:val="en-US"/>
        </w:rPr>
        <w:fldChar w:fldCharType="end"/>
      </w:r>
      <w:r w:rsidR="0035288C" w:rsidRPr="00B977AE">
        <w:rPr>
          <w:rFonts w:ascii="Book Antiqua" w:hAnsi="Book Antiqua" w:cs="Arial"/>
          <w:sz w:val="24"/>
          <w:szCs w:val="20"/>
          <w:lang w:val="en-US"/>
        </w:rPr>
        <w:t xml:space="preserve">. </w:t>
      </w:r>
      <w:r w:rsidR="00150BA9" w:rsidRPr="00B977AE">
        <w:rPr>
          <w:rFonts w:ascii="Book Antiqua" w:hAnsi="Book Antiqua" w:cs="Arial"/>
          <w:sz w:val="24"/>
          <w:szCs w:val="20"/>
          <w:lang w:val="en-US"/>
        </w:rPr>
        <w:t xml:space="preserve">Also Garcia-Rodriguez </w:t>
      </w:r>
      <w:r w:rsidR="000C1B9E" w:rsidRPr="00B977AE">
        <w:rPr>
          <w:rFonts w:ascii="Book Antiqua" w:hAnsi="Book Antiqua" w:cs="Arial"/>
          <w:sz w:val="24"/>
          <w:szCs w:val="20"/>
          <w:lang w:val="en-US"/>
        </w:rPr>
        <w:t>and colleagues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&lt;Refman&gt;&lt;Cite&gt;&lt;Author&gt;Garcia Rodriguez&lt;/Author&gt;&lt;Year&gt;1999&lt;/Year&gt;&lt;RecNum&gt;14&lt;/RecNum&gt;&lt;IDText&gt;A cohort study on the risk of acute liver injury among users of ketoconazole and other antifungal drugs&lt;/IDText&gt;&lt;MDL Ref_Type="Journal"&gt;&lt;Ref_Type&gt;Journal&lt;/Ref_Type&gt;&lt;Ref_ID&gt;14&lt;/Ref_ID&gt;&lt;Title_Primary&gt;A cohort study on the risk of acute liver injury among users of ketoconazole and other antifungal drugs&lt;/Title_Primary&gt;&lt;Authors_Primary&gt;Garcia Rodriguez,L.A.&lt;/Authors_Primary&gt;&lt;Authors_Primary&gt;Duque,A.&lt;/Authors_Primary&gt;&lt;Authors_Primary&gt;Castellsague,J.&lt;/Authors_Primary&gt;&lt;Authors_Primary&gt;Perez-Gutthann,S.&lt;/Authors_Primary&gt;&lt;Authors_Primary&gt;Stricker,B.H.&lt;/Authors_Primary&gt;&lt;Date_Primary&gt;1999/12&lt;/Date_Primary&gt;&lt;Keywords&gt;Acute Disease&lt;/Keywords&gt;&lt;Keywords&gt;Adult&lt;/Keywords&gt;&lt;Keywords&gt;adverse effects&lt;/Keywords&gt;&lt;Keywords&gt;Aged&lt;/Keywords&gt;&lt;Keywords&gt;Antifungal Agents&lt;/Keywords&gt;&lt;Keywords&gt;Cohort Studies&lt;/Keywords&gt;&lt;Keywords&gt;Drug-Induced Liver Injury&lt;/Keywords&gt;&lt;Keywords&gt;epidemiology&lt;/Keywords&gt;&lt;Keywords&gt;etiology&lt;/Keywords&gt;&lt;Keywords&gt;Female&lt;/Keywords&gt;&lt;Keywords&gt;Fluconazole&lt;/Keywords&gt;&lt;Keywords&gt;Great Britain&lt;/Keywords&gt;&lt;Keywords&gt;Humans&lt;/Keywords&gt;&lt;Keywords&gt;Ketoconazole&lt;/Keywords&gt;&lt;Keywords&gt;Liver&lt;/Keywords&gt;&lt;Keywords&gt;Male&lt;/Keywords&gt;&lt;Keywords&gt;Middle Aged&lt;/Keywords&gt;&lt;Keywords&gt;Risk&lt;/Keywords&gt;&lt;Reprint&gt;In File&lt;/Reprint&gt;&lt;Start_Page&gt;847&lt;/Start_Page&gt;&lt;End_Page&gt;852&lt;/End_Page&gt;&lt;Periodical&gt;Br.J Clin Pharmacol&lt;/Periodical&gt;&lt;Volume&gt;48&lt;/Volume&gt;&lt;Issue&gt;6&lt;/Issue&gt;&lt;Address&gt;Centro Espanol de Investigacion Farmacoepidemiologica (CEIFE), Madrid, Spain&lt;/Address&gt;&lt;Web_URL&gt;PM:10594489&lt;/Web_URL&gt;&lt;ZZ_JournalStdAbbrev&gt;&lt;f name="System"&gt;Br.J Clin Pharmacol&lt;/f&gt;&lt;/ZZ_JournalStdAbbrev&gt;&lt;ZZ_WorkformID&gt;1&lt;/ZZ_WorkformID&gt;&lt;/MDL&gt;&lt;/Cite&gt;&lt;/Refman&gt;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[30]</w:t>
      </w:r>
      <w:r w:rsidR="002411CC" w:rsidRPr="00B977AE">
        <w:rPr>
          <w:rFonts w:ascii="Book Antiqua" w:hAnsi="Book Antiqua" w:cs="Arial"/>
          <w:sz w:val="24"/>
          <w:szCs w:val="20"/>
          <w:lang w:val="en-US"/>
        </w:rPr>
        <w:fldChar w:fldCharType="end"/>
      </w:r>
      <w:r w:rsidR="00150BA9" w:rsidRPr="00B977AE">
        <w:rPr>
          <w:rFonts w:ascii="Book Antiqua" w:hAnsi="Book Antiqua" w:cs="Arial"/>
          <w:sz w:val="24"/>
          <w:szCs w:val="20"/>
          <w:lang w:val="en-US"/>
        </w:rPr>
        <w:t xml:space="preserve"> found that ketoconazole was associated with significant risk. </w:t>
      </w:r>
      <w:r w:rsidR="0035288C" w:rsidRPr="00B977AE">
        <w:rPr>
          <w:rFonts w:ascii="Book Antiqua" w:hAnsi="Book Antiqua" w:cs="Arial"/>
          <w:sz w:val="24"/>
          <w:szCs w:val="20"/>
          <w:lang w:val="en-US"/>
        </w:rPr>
        <w:t>Very recently, a systematic review and meta-analysis documented an overall incidence of 3.6</w:t>
      </w:r>
      <w:r w:rsidR="00507731" w:rsidRPr="00B977AE">
        <w:rPr>
          <w:rFonts w:ascii="Book Antiqua" w:hAnsi="Book Antiqua" w:cs="Arial"/>
          <w:sz w:val="24"/>
          <w:szCs w:val="20"/>
          <w:lang w:val="en-US"/>
        </w:rPr>
        <w:t>%</w:t>
      </w:r>
      <w:r w:rsidR="0035288C" w:rsidRPr="00B977AE">
        <w:rPr>
          <w:rFonts w:ascii="Book Antiqua" w:hAnsi="Book Antiqua" w:cs="Arial"/>
          <w:sz w:val="24"/>
          <w:szCs w:val="20"/>
          <w:lang w:val="en-US"/>
        </w:rPr>
        <w:t>-4.2%, which may be considered as common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&lt;Refman&gt;&lt;Cite&gt;&lt;Author&gt;Yan&lt;/Author&gt;&lt;Year&gt;2013&lt;/Year&gt;&lt;RecNum&gt;22&lt;/RecNum&gt;&lt;IDText&gt;Ketoconazole associated hepatotoxicity: a systematic review and meta- analysis&lt;/IDText&gt;&lt;MDL Ref_Type="Journal"&gt;&lt;Ref_Type&gt;Journal&lt;/Ref_Type&gt;&lt;Ref_ID&gt;22&lt;/Ref_ID&gt;&lt;Title_Primary&gt;Ketoconazole associated hepatotoxicity: a systematic review and meta- analysis&lt;/Title_Primary&gt;&lt;Authors_Primary&gt;Yan,J.Y.&lt;/Authors_Primary&gt;&lt;Authors_Primary&gt;Nie,X.L.&lt;/Authors_Primary&gt;&lt;Authors_Primary&gt;Tao,Q.M.&lt;/Authors_Primary&gt;&lt;Authors_Primary&gt;Zhan,S.Y.&lt;/Authors_Primary&gt;&lt;Authors_Primary&gt;Zhang,Y.D.&lt;/Authors_Primary&gt;&lt;Date_Primary&gt;2013/7&lt;/Date_Primary&gt;&lt;Keywords&gt;Aged&lt;/Keywords&gt;&lt;Keywords&gt;Ketoconazole&lt;/Keywords&gt;&lt;Keywords&gt;Liver&lt;/Keywords&gt;&lt;Keywords&gt;methods&lt;/Keywords&gt;&lt;Keywords&gt;Risk&lt;/Keywords&gt;&lt;Keywords&gt;Risk Factors&lt;/Keywords&gt;&lt;Reprint&gt;In File&lt;/Reprint&gt;&lt;Start_Page&gt;605&lt;/Start_Page&gt;&lt;End_Page&gt;610&lt;/End_Page&gt;&lt;Periodical&gt;Biomed.Environ.Sci.&lt;/Periodical&gt;&lt;Volume&gt;26&lt;/Volume&gt;&lt;Issue&gt;7&lt;/Issue&gt;&lt;Address&gt;National Hepatobilliary &amp;amp; Enteric Surgery Research Center, Central South University, Changsha 410012, Hunan, China&lt;/Address&gt;&lt;Web_URL&gt;PM:23895707&lt;/Web_URL&gt;&lt;ZZ_JournalStdAbbrev&gt;&lt;f name="System"&gt;Biomed.Environ.Sci.&lt;/f&gt;&lt;/ZZ_JournalStdAbbrev&gt;&lt;ZZ_WorkformID&gt;1&lt;/ZZ_WorkformID&gt;&lt;/MDL&gt;&lt;/Cite&gt;&lt;/Refman&gt;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[31]</w:t>
      </w:r>
      <w:r w:rsidR="002411CC" w:rsidRPr="00B977AE">
        <w:rPr>
          <w:rFonts w:ascii="Book Antiqua" w:hAnsi="Book Antiqua" w:cs="Arial"/>
          <w:sz w:val="24"/>
          <w:szCs w:val="20"/>
          <w:lang w:val="en-US"/>
        </w:rPr>
        <w:fldChar w:fldCharType="end"/>
      </w:r>
      <w:r w:rsidR="0035288C" w:rsidRPr="00B977AE">
        <w:rPr>
          <w:rFonts w:ascii="Book Antiqua" w:hAnsi="Book Antiqua" w:cs="Arial"/>
          <w:sz w:val="24"/>
          <w:szCs w:val="20"/>
          <w:lang w:val="en-US"/>
        </w:rPr>
        <w:t>.</w:t>
      </w:r>
      <w:r w:rsidR="009D5AC2" w:rsidRPr="00B977AE">
        <w:rPr>
          <w:rFonts w:ascii="Book Antiqua" w:hAnsi="Book Antiqua" w:cs="Arial"/>
          <w:sz w:val="24"/>
          <w:szCs w:val="20"/>
          <w:lang w:val="en-US"/>
        </w:rPr>
        <w:t xml:space="preserve"> Data on other antifungals such as </w:t>
      </w:r>
      <w:proofErr w:type="spellStart"/>
      <w:r w:rsidR="009D5AC2" w:rsidRPr="00B977AE">
        <w:rPr>
          <w:rFonts w:ascii="Book Antiqua" w:hAnsi="Book Antiqua" w:cs="Arial"/>
          <w:sz w:val="24"/>
          <w:szCs w:val="20"/>
          <w:lang w:val="en-US"/>
        </w:rPr>
        <w:t>terbinafine</w:t>
      </w:r>
      <w:proofErr w:type="spellEnd"/>
      <w:r w:rsidR="009D5AC2" w:rsidRPr="00B977AE">
        <w:rPr>
          <w:rFonts w:ascii="Book Antiqua" w:hAnsi="Book Antiqua" w:cs="Arial"/>
          <w:sz w:val="24"/>
          <w:szCs w:val="20"/>
          <w:lang w:val="en-US"/>
        </w:rPr>
        <w:t xml:space="preserve"> are more scant and mostly based on</w:t>
      </w:r>
      <w:r w:rsidR="00507731" w:rsidRPr="00B977AE">
        <w:rPr>
          <w:rFonts w:ascii="Book Antiqua" w:hAnsi="Book Antiqua" w:cs="Arial"/>
          <w:sz w:val="24"/>
          <w:szCs w:val="20"/>
          <w:lang w:val="en-US"/>
        </w:rPr>
        <w:t xml:space="preserve"> individual case reports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&lt;Refman&gt;&lt;Cite&gt;&lt;Author&gt;Fernandes&lt;/Author&gt;&lt;Year&gt;1998&lt;/Year&gt;&lt;RecNum&gt;26&lt;/RecNum&gt;&lt;IDText&gt;Terbinafine hepatotoxicity: case report and review of the literature&lt;/IDText&gt;&lt;MDL Ref_Type="Journal"&gt;&lt;Ref_Type&gt;Journal&lt;/Ref_Type&gt;&lt;Ref_ID&gt;26&lt;/Ref_ID&gt;&lt;Title_Primary&gt;Terbinafine hepatotoxicity: case report and review of the literature&lt;/Title_Primary&gt;&lt;Authors_Primary&gt;Fernandes,N.F.&lt;/Authors_Primary&gt;&lt;Authors_Primary&gt;Geller,S.A.&lt;/Authors_Primary&gt;&lt;Authors_Primary&gt;Fong,T.L.&lt;/Authors_Primary&gt;&lt;Date_Primary&gt;1998/3&lt;/Date_Primary&gt;&lt;Keywords&gt;Adult&lt;/Keywords&gt;&lt;Keywords&gt;adverse effects&lt;/Keywords&gt;&lt;Keywords&gt;Antifungal Agents&lt;/Keywords&gt;&lt;Keywords&gt;Biopsy&lt;/Keywords&gt;&lt;Keywords&gt;Drug-Induced Liver Injury&lt;/Keywords&gt;&lt;Keywords&gt;Humans&lt;/Keywords&gt;&lt;Keywords&gt;Jaundice&lt;/Keywords&gt;&lt;Keywords&gt;Liver&lt;/Keywords&gt;&lt;Keywords&gt;Liver Diseases&lt;/Keywords&gt;&lt;Keywords&gt;Male&lt;/Keywords&gt;&lt;Keywords&gt;Naphthalenes&lt;/Keywords&gt;&lt;Keywords&gt;pathology&lt;/Keywords&gt;&lt;Keywords&gt;therapy&lt;/Keywords&gt;&lt;Reprint&gt;In File&lt;/Reprint&gt;&lt;Start_Page&gt;459&lt;/Start_Page&gt;&lt;End_Page&gt;460&lt;/End_Page&gt;&lt;Periodical&gt;Am J Gastroenterol.&lt;/Periodical&gt;&lt;Volume&gt;93&lt;/Volume&gt;&lt;Issue&gt;3&lt;/Issue&gt;&lt;Address&gt;Center for Liver Diseases and Transplantation and Department of Pathology and Laboratory Medicine, Cedars Sinai Medical Center, Los Angeles, California 90048, USA&lt;/Address&gt;&lt;Web_URL&gt;PM:9517658&lt;/Web_URL&gt;&lt;ZZ_JournalStdAbbrev&gt;&lt;f name="System"&gt;Am J Gastroenterol.&lt;/f&gt;&lt;/ZZ_JournalStdAbbrev&gt;&lt;ZZ_WorkformID&gt;1&lt;/ZZ_WorkformID&gt;&lt;/MDL&gt;&lt;/Cite&gt;&lt;Cite&gt;&lt;Author&gt;Ajit&lt;/Author&gt;&lt;Year&gt;2003&lt;/Year&gt;&lt;RecNum&gt;27&lt;/RecNum&gt;&lt;IDText&gt;Terbinafine-associated hepatotoxicity&lt;/IDText&gt;&lt;MDL Ref_Type="Journal"&gt;&lt;Ref_Type&gt;Journal&lt;/Ref_Type&gt;&lt;Ref_ID&gt;27&lt;/Ref_ID&gt;&lt;Title_Primary&gt;Terbinafine-associated hepatotoxicity&lt;/Title_Primary&gt;&lt;Authors_Primary&gt;Ajit,C.&lt;/Authors_Primary&gt;&lt;Authors_Primary&gt;Suvannasankha,A.&lt;/Authors_Primary&gt;&lt;Authors_Primary&gt;Zaeri,N.&lt;/Authors_Primary&gt;&lt;Authors_Primary&gt;Munoz,S.J.&lt;/Authors_Primary&gt;&lt;Date_Primary&gt;2003/5&lt;/Date_Primary&gt;&lt;Keywords&gt;Adrenal Cortex Hormones&lt;/Keywords&gt;&lt;Keywords&gt;adverse effects&lt;/Keywords&gt;&lt;Keywords&gt;Aged&lt;/Keywords&gt;&lt;Keywords&gt;Antifungal Agents&lt;/Keywords&gt;&lt;Keywords&gt;blood&lt;/Keywords&gt;&lt;Keywords&gt;chemically induced&lt;/Keywords&gt;&lt;Keywords&gt;Cholestasis&lt;/Keywords&gt;&lt;Keywords&gt;Drug-Induced Liver Injury&lt;/Keywords&gt;&lt;Keywords&gt;etiology&lt;/Keywords&gt;&lt;Keywords&gt;Humans&lt;/Keywords&gt;&lt;Keywords&gt;Liver&lt;/Keywords&gt;&lt;Keywords&gt;Male&lt;/Keywords&gt;&lt;Keywords&gt;metabolism&lt;/Keywords&gt;&lt;Keywords&gt;Naphthalenes&lt;/Keywords&gt;&lt;Keywords&gt;pathology&lt;/Keywords&gt;&lt;Keywords&gt;Risk&lt;/Keywords&gt;&lt;Keywords&gt;Risk Factors&lt;/Keywords&gt;&lt;Keywords&gt;therapeutic use&lt;/Keywords&gt;&lt;Keywords&gt;therapy&lt;/Keywords&gt;&lt;Keywords&gt;Ursodeoxycholic Acid&lt;/Keywords&gt;&lt;Reprint&gt;In File&lt;/Reprint&gt;&lt;Start_Page&gt;292&lt;/Start_Page&gt;&lt;End_Page&gt;295&lt;/End_Page&gt;&lt;Periodical&gt;Am J Med Sci.&lt;/Periodical&gt;&lt;Volume&gt;325&lt;/Volume&gt;&lt;Issue&gt;5&lt;/Issue&gt;&lt;Address&gt;Department of Internal Medicine, Lankenau Hospital, Wynnewood, Pennsylvania, USA&lt;/Address&gt;&lt;Web_URL&gt;PM:12792250&lt;/Web_URL&gt;&lt;ZZ_JournalStdAbbrev&gt;&lt;f name="System"&gt;Am J Med Sci.&lt;/f&gt;&lt;/ZZ_JournalStdAbbrev&gt;&lt;ZZ_WorkformID&gt;1&lt;/ZZ_WorkformID&gt;&lt;/MDL&gt;&lt;/Cite&gt;&lt;Cite&gt;&lt;Author&gt;Anania&lt;/Author&gt;&lt;Year&gt;2002&lt;/Year&gt;&lt;RecNum&gt;28&lt;/RecNum&gt;&lt;IDText&gt;Terbinafine hepatotoxicity resulting in chronic biliary ductopenia and portal fibrosis&lt;/IDText&gt;&lt;MDL Ref_Type="Journal"&gt;&lt;Ref_Type&gt;Journal&lt;/Ref_Type&gt;&lt;Ref_ID&gt;28&lt;/Ref_ID&gt;&lt;Title_Primary&gt;Terbinafine hepatotoxicity resulting in chronic biliary ductopenia and portal fibrosis&lt;/Title_Primary&gt;&lt;Authors_Primary&gt;Anania,F.A.&lt;/Authors_Primary&gt;&lt;Authors_Primary&gt;Rabin,L.&lt;/Authors_Primary&gt;&lt;Date_Primary&gt;2002/6/15&lt;/Date_Primary&gt;&lt;Keywords&gt;Antifungal Agents&lt;/Keywords&gt;&lt;Keywords&gt;Bile Ducts,Intrahepatic&lt;/Keywords&gt;&lt;Keywords&gt;drug effects&lt;/Keywords&gt;&lt;Keywords&gt;Female&lt;/Keywords&gt;&lt;Keywords&gt;Fibrosis&lt;/Keywords&gt;&lt;Keywords&gt;Humans&lt;/Keywords&gt;&lt;Keywords&gt;Liver&lt;/Keywords&gt;&lt;Keywords&gt;Middle Aged&lt;/Keywords&gt;&lt;Keywords&gt;Naphthalenes&lt;/Keywords&gt;&lt;Keywords&gt;pathology&lt;/Keywords&gt;&lt;Keywords&gt;toxicity&lt;/Keywords&gt;&lt;Reprint&gt;In File&lt;/Reprint&gt;&lt;Start_Page&gt;741&lt;/Start_Page&gt;&lt;End_Page&gt;742&lt;/End_Page&gt;&lt;Periodical&gt;Am J Med&lt;/Periodical&gt;&lt;Volume&gt;112&lt;/Volume&gt;&lt;Issue&gt;9&lt;/Issue&gt;&lt;Web_URL&gt;PM:12079721&lt;/Web_URL&gt;&lt;ZZ_JournalStdAbbrev&gt;&lt;f name="System"&gt;Am J Med&lt;/f&gt;&lt;/ZZ_JournalStdAbbrev&gt;&lt;ZZ_WorkformID&gt;1&lt;/ZZ_WorkformID&gt;&lt;/MDL&gt;&lt;/Cite&gt;&lt;/Refman&gt;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[32</w:t>
      </w:r>
      <w:r w:rsidR="003D48E2" w:rsidRPr="00B977AE">
        <w:rPr>
          <w:rFonts w:ascii="Book Antiqua" w:hAnsi="Book Antiqua" w:cs="Arial"/>
          <w:sz w:val="24"/>
          <w:szCs w:val="20"/>
          <w:vertAlign w:val="superscript"/>
          <w:lang w:val="en-US"/>
        </w:rPr>
        <w:t>-</w:t>
      </w:r>
      <w:r w:rsidR="006416CF" w:rsidRPr="00B977AE">
        <w:rPr>
          <w:rFonts w:ascii="Book Antiqua" w:hAnsi="Book Antiqua" w:cs="Arial"/>
          <w:sz w:val="24"/>
          <w:szCs w:val="20"/>
          <w:vertAlign w:val="superscript"/>
          <w:lang w:val="en-US"/>
        </w:rPr>
        <w:t>34]</w:t>
      </w:r>
      <w:r w:rsidR="002411CC" w:rsidRPr="00B977AE">
        <w:rPr>
          <w:rFonts w:ascii="Book Antiqua" w:hAnsi="Book Antiqua" w:cs="Arial"/>
          <w:sz w:val="24"/>
          <w:szCs w:val="20"/>
          <w:lang w:val="en-US"/>
        </w:rPr>
        <w:fldChar w:fldCharType="end"/>
      </w:r>
      <w:r w:rsidR="009D5AC2" w:rsidRPr="00B977AE">
        <w:rPr>
          <w:rFonts w:ascii="Book Antiqua" w:hAnsi="Book Antiqua" w:cs="Arial"/>
          <w:sz w:val="24"/>
          <w:szCs w:val="20"/>
          <w:lang w:val="en-US"/>
        </w:rPr>
        <w:t>.</w:t>
      </w:r>
      <w:r w:rsidR="00125534" w:rsidRPr="00B977AE">
        <w:rPr>
          <w:rFonts w:ascii="Book Antiqua" w:hAnsi="Book Antiqua" w:cs="Arial"/>
          <w:sz w:val="24"/>
          <w:szCs w:val="20"/>
          <w:lang w:val="en-US"/>
        </w:rPr>
        <w:t xml:space="preserve"> The latest population-based study in Taiwanese concluded that oral antifungal agents are associated with a low incidence if DILI, which may be fatal (especially in the elderly) and increased for longer treatment</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&lt;Refman&gt;&lt;Cite&gt;&lt;Author&gt;Kao&lt;/Author&gt;&lt;Year&gt;2014&lt;/Year&gt;&lt;RecNum&gt;74&lt;/RecNum&gt;&lt;IDText&gt;Risk of oral antifungal agent-induced liver injury in Taiwanese&lt;/IDText&gt;&lt;MDL Ref_Type="Journal"&gt;&lt;Ref_Type&gt;Journal&lt;/Ref_Type&gt;&lt;Ref_ID&gt;74&lt;/Ref_ID&gt;&lt;Title_Primary&gt;Risk of oral antifungal agent-induced liver injury in Taiwanese&lt;/Title_Primary&gt;&lt;Authors_Primary&gt;Kao,W.Y.&lt;/Authors_Primary&gt;&lt;Authors_Primary&gt;Su,C.W.&lt;/Authors_Primary&gt;&lt;Authors_Primary&gt;Huang,Y.S.&lt;/Authors_Primary&gt;&lt;Authors_Primary&gt;Chou,Y.C.&lt;/Authors_Primary&gt;&lt;Authors_Primary&gt;Chen,Y.C.&lt;/Authors_Primary&gt;&lt;Authors_Primary&gt;Chung,W.H.&lt;/Authors_Primary&gt;&lt;Authors_Primary&gt;Hou,M.C.&lt;/Authors_Primary&gt;&lt;Authors_Primary&gt;Lin,H.C.&lt;/Authors_Primary&gt;&lt;Authors_Primary&gt;Lee,F.Y.&lt;/Authors_Primary&gt;&lt;Authors_Primary&gt;Wu,J.C.&lt;/Authors_Primary&gt;&lt;Date_Primary&gt;2014/1&lt;/Date_Primary&gt;&lt;Keywords&gt;Antifungal Agents&lt;/Keywords&gt;&lt;Keywords&gt;Drug-Induced Liver Injury&lt;/Keywords&gt;&lt;Keywords&gt;Fluconazole&lt;/Keywords&gt;&lt;Keywords&gt;Griseofulvin&lt;/Keywords&gt;&lt;Keywords&gt;Incidence&lt;/Keywords&gt;&lt;Keywords&gt;Ketoconazole&lt;/Keywords&gt;&lt;Keywords&gt;Liver&lt;/Keywords&gt;&lt;Keywords&gt;methods&lt;/Keywords&gt;&lt;Keywords&gt;Onychomycosis&lt;/Keywords&gt;&lt;Keywords&gt;Risk&lt;/Keywords&gt;&lt;Reprint&gt;In File&lt;/Reprint&gt;&lt;Start_Page&gt;180&lt;/Start_Page&gt;&lt;End_Page&gt;189&lt;/End_Page&gt;&lt;Periodical&gt;Br.J Clin Pharmacol&lt;/Periodical&gt;&lt;Volume&gt;77&lt;/Volume&gt;&lt;Issue&gt;1&lt;/Issue&gt;&lt;Address&gt;Division of Gastroenterology, Department of Medicine, Taipei Veterans General Hospital, Taipei, Taiwan; Faculty of Medicine, National Yang-Ming University School of Medicine, Taipei, Taiwan; Division of Gastroenterology, Department of Medicine, Taoyuan branch, Taipei Veterans General Hospital, Taipei, Taiwan; Division of Gastroenterology and Hepatology, Department of Internal Medicine, Taipei Medical University Hospital, Taipei, Taiwan&lt;/Address&gt;&lt;Web_URL&gt;PM:23750489&lt;/Web_URL&gt;&lt;ZZ_JournalStdAbbrev&gt;&lt;f name="System"&gt;Br.J Clin Pharmacol&lt;/f&gt;&lt;/ZZ_JournalStdAbbrev&gt;&lt;ZZ_WorkformID&gt;1&lt;/ZZ_WorkformID&gt;&lt;/MDL&gt;&lt;/Cite&gt;&lt;/Refman&gt;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[35]</w:t>
      </w:r>
      <w:r w:rsidR="002411CC" w:rsidRPr="00B977AE">
        <w:rPr>
          <w:rFonts w:ascii="Book Antiqua" w:hAnsi="Book Antiqua" w:cs="Arial"/>
          <w:sz w:val="24"/>
          <w:szCs w:val="20"/>
          <w:lang w:val="en-US"/>
        </w:rPr>
        <w:fldChar w:fldCharType="end"/>
      </w:r>
      <w:r w:rsidR="00125534" w:rsidRPr="00B977AE">
        <w:rPr>
          <w:rFonts w:ascii="Book Antiqua" w:hAnsi="Book Antiqua" w:cs="Arial"/>
          <w:sz w:val="24"/>
          <w:szCs w:val="20"/>
          <w:lang w:val="en-US"/>
        </w:rPr>
        <w:t>.</w:t>
      </w:r>
    </w:p>
    <w:p w:rsidR="00150BA9" w:rsidRPr="00B977AE" w:rsidRDefault="00D54896"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On July 26</w:t>
      </w:r>
      <w:r w:rsidRPr="00B977AE">
        <w:rPr>
          <w:rFonts w:ascii="Book Antiqua" w:hAnsi="Book Antiqua" w:cs="Arial"/>
          <w:sz w:val="24"/>
          <w:szCs w:val="20"/>
          <w:vertAlign w:val="superscript"/>
          <w:lang w:val="en-US"/>
        </w:rPr>
        <w:t>th</w:t>
      </w:r>
      <w:r w:rsidRPr="00B977AE">
        <w:rPr>
          <w:rFonts w:ascii="Book Antiqua" w:hAnsi="Book Antiqua" w:cs="Arial"/>
          <w:sz w:val="24"/>
          <w:szCs w:val="20"/>
          <w:lang w:val="en-US"/>
        </w:rPr>
        <w:t>, 2013, the European Medicines Agency (EMA) and the Food and Drug Administration (FDA) issued i</w:t>
      </w:r>
      <w:r w:rsidR="00E03A1A" w:rsidRPr="00B977AE">
        <w:rPr>
          <w:rFonts w:ascii="Book Antiqua" w:hAnsi="Book Antiqua" w:cs="Arial"/>
          <w:sz w:val="24"/>
          <w:szCs w:val="20"/>
          <w:lang w:val="en-US"/>
        </w:rPr>
        <w:t>mportant safety announcements: t</w:t>
      </w:r>
      <w:r w:rsidRPr="00B977AE">
        <w:rPr>
          <w:rFonts w:ascii="Book Antiqua" w:hAnsi="Book Antiqua" w:cs="Arial"/>
          <w:sz w:val="24"/>
          <w:szCs w:val="20"/>
          <w:lang w:val="en-US"/>
        </w:rPr>
        <w:t xml:space="preserve">he EMA’s Committee on Medicinal Products for Human Use (CHMP) has recommended that the marketing </w:t>
      </w:r>
      <w:proofErr w:type="spellStart"/>
      <w:r w:rsidRPr="00B977AE">
        <w:rPr>
          <w:rFonts w:ascii="Book Antiqua" w:hAnsi="Book Antiqua" w:cs="Arial"/>
          <w:sz w:val="24"/>
          <w:szCs w:val="20"/>
          <w:lang w:val="en-US"/>
        </w:rPr>
        <w:t>authorisations</w:t>
      </w:r>
      <w:proofErr w:type="spellEnd"/>
      <w:r w:rsidRPr="00B977AE">
        <w:rPr>
          <w:rFonts w:ascii="Book Antiqua" w:hAnsi="Book Antiqua" w:cs="Arial"/>
          <w:sz w:val="24"/>
          <w:szCs w:val="20"/>
          <w:lang w:val="en-US"/>
        </w:rPr>
        <w:t xml:space="preserve"> of oral ketoconazole-containing medicines should be suspended throughout the European Union (the CHMP concluded that the risk of liver injury is greater than the benefits in treating fungal infections), whereas the FDA limits usage of </w:t>
      </w:r>
      <w:proofErr w:type="spellStart"/>
      <w:r w:rsidRPr="00B977AE">
        <w:rPr>
          <w:rFonts w:ascii="Book Antiqua" w:hAnsi="Book Antiqua" w:cs="Arial"/>
          <w:sz w:val="24"/>
          <w:szCs w:val="20"/>
          <w:lang w:val="en-US"/>
        </w:rPr>
        <w:t>Nizoral</w:t>
      </w:r>
      <w:proofErr w:type="spellEnd"/>
      <w:r w:rsidR="00CB03FB" w:rsidRPr="00B977AE">
        <w:rPr>
          <w:rFonts w:ascii="Book Antiqua" w:hAnsi="Book Antiqua" w:cs="Arial"/>
          <w:sz w:val="24"/>
          <w:szCs w:val="20"/>
          <w:vertAlign w:val="superscript"/>
          <w:lang w:val="en-US"/>
        </w:rPr>
        <w:t>®</w:t>
      </w:r>
      <w:r w:rsidRPr="00B977AE">
        <w:rPr>
          <w:rFonts w:ascii="Book Antiqua" w:hAnsi="Book Antiqua" w:cs="Arial"/>
          <w:sz w:val="24"/>
          <w:szCs w:val="20"/>
          <w:lang w:val="en-US"/>
        </w:rPr>
        <w:t xml:space="preserve"> (ketoconazole) oral tablets due to potentially fatal liver injury and risk of drug interactions and adrenal gland problems. The FDA has revised the Boxed Warning, added a strong recommendation against its use (contraindication) in patients with liver disease, and included new recommendations for assessing and monitoring patients for liver toxicity</w:t>
      </w:r>
      <w:r w:rsidR="006E5ABA" w:rsidRPr="00B977AE">
        <w:rPr>
          <w:rFonts w:ascii="Book Antiqua" w:hAnsi="Book Antiqua" w:cs="Arial"/>
          <w:sz w:val="24"/>
          <w:szCs w:val="20"/>
          <w:lang w:val="en-US"/>
        </w:rPr>
        <w:t xml:space="preserve">. </w:t>
      </w:r>
      <w:r w:rsidR="001355D1" w:rsidRPr="00B977AE">
        <w:rPr>
          <w:rFonts w:ascii="Book Antiqua" w:hAnsi="Book Antiqua" w:cs="Arial"/>
          <w:sz w:val="24"/>
          <w:szCs w:val="20"/>
          <w:lang w:val="en-US"/>
        </w:rPr>
        <w:t xml:space="preserve">The </w:t>
      </w:r>
      <w:r w:rsidR="006E5ABA" w:rsidRPr="00B977AE">
        <w:rPr>
          <w:rFonts w:ascii="Book Antiqua" w:hAnsi="Book Antiqua" w:cs="Arial"/>
          <w:sz w:val="24"/>
          <w:szCs w:val="20"/>
          <w:lang w:val="en-US"/>
        </w:rPr>
        <w:t xml:space="preserve">FDA has also approved a new patient Medication Guide containing information on the potential risks associated with </w:t>
      </w:r>
      <w:proofErr w:type="spellStart"/>
      <w:r w:rsidR="006E5ABA" w:rsidRPr="00B977AE">
        <w:rPr>
          <w:rFonts w:ascii="Book Antiqua" w:hAnsi="Book Antiqua" w:cs="Arial"/>
          <w:sz w:val="24"/>
          <w:szCs w:val="20"/>
          <w:lang w:val="en-US"/>
        </w:rPr>
        <w:t>Nizoral</w:t>
      </w:r>
      <w:proofErr w:type="spellEnd"/>
      <w:r w:rsidR="00CB03FB" w:rsidRPr="00B977AE">
        <w:rPr>
          <w:rFonts w:ascii="Book Antiqua" w:hAnsi="Book Antiqua" w:cs="Arial"/>
          <w:sz w:val="24"/>
          <w:szCs w:val="20"/>
          <w:vertAlign w:val="superscript"/>
          <w:lang w:val="en-US"/>
        </w:rPr>
        <w:t>®</w:t>
      </w:r>
      <w:r w:rsidR="006E5ABA" w:rsidRPr="00B977AE">
        <w:rPr>
          <w:rFonts w:ascii="Book Antiqua" w:hAnsi="Book Antiqua" w:cs="Arial"/>
          <w:sz w:val="24"/>
          <w:szCs w:val="20"/>
          <w:lang w:val="en-US"/>
        </w:rPr>
        <w:t xml:space="preserve"> tablets, which must be dispensed with every prescription for the drug. In the</w:t>
      </w:r>
      <w:r w:rsidR="00557028" w:rsidRPr="00B977AE">
        <w:rPr>
          <w:rFonts w:ascii="Book Antiqua" w:hAnsi="Book Antiqua" w:cs="Arial"/>
          <w:sz w:val="24"/>
          <w:szCs w:val="20"/>
          <w:lang w:val="en-US"/>
        </w:rPr>
        <w:t xml:space="preserve"> </w:t>
      </w:r>
      <w:r w:rsidR="006E5ABA" w:rsidRPr="00B977AE">
        <w:rPr>
          <w:rFonts w:ascii="Book Antiqua" w:hAnsi="Book Antiqua" w:cs="Arial"/>
          <w:sz w:val="24"/>
          <w:szCs w:val="20"/>
          <w:lang w:val="en-US"/>
        </w:rPr>
        <w:t xml:space="preserve">revised US drug label, indications for </w:t>
      </w:r>
      <w:proofErr w:type="spellStart"/>
      <w:r w:rsidR="006E5ABA" w:rsidRPr="00B977AE">
        <w:rPr>
          <w:rFonts w:ascii="Book Antiqua" w:hAnsi="Book Antiqua" w:cs="Arial"/>
          <w:sz w:val="24"/>
          <w:szCs w:val="20"/>
          <w:lang w:val="en-US"/>
        </w:rPr>
        <w:t>dermatophyte</w:t>
      </w:r>
      <w:proofErr w:type="spellEnd"/>
      <w:r w:rsidR="006E5ABA" w:rsidRPr="00B977AE">
        <w:rPr>
          <w:rFonts w:ascii="Book Antiqua" w:hAnsi="Book Antiqua" w:cs="Arial"/>
          <w:sz w:val="24"/>
          <w:szCs w:val="20"/>
          <w:lang w:val="en-US"/>
        </w:rPr>
        <w:t xml:space="preserve"> and Candida infections have been removed and the indications for treatment of </w:t>
      </w:r>
      <w:proofErr w:type="spellStart"/>
      <w:r w:rsidR="006E5ABA" w:rsidRPr="00B977AE">
        <w:rPr>
          <w:rFonts w:ascii="Book Antiqua" w:hAnsi="Book Antiqua" w:cs="Arial"/>
          <w:sz w:val="24"/>
          <w:szCs w:val="20"/>
          <w:lang w:val="en-US"/>
        </w:rPr>
        <w:t>blastomycosis</w:t>
      </w:r>
      <w:proofErr w:type="spellEnd"/>
      <w:r w:rsidR="006E5ABA" w:rsidRPr="00B977AE">
        <w:rPr>
          <w:rFonts w:ascii="Book Antiqua" w:hAnsi="Book Antiqua" w:cs="Arial"/>
          <w:sz w:val="24"/>
          <w:szCs w:val="20"/>
          <w:lang w:val="en-US"/>
        </w:rPr>
        <w:t xml:space="preserve">, </w:t>
      </w:r>
      <w:proofErr w:type="spellStart"/>
      <w:r w:rsidR="006E5ABA" w:rsidRPr="00B977AE">
        <w:rPr>
          <w:rFonts w:ascii="Book Antiqua" w:hAnsi="Book Antiqua" w:cs="Arial"/>
          <w:sz w:val="24"/>
          <w:szCs w:val="20"/>
          <w:lang w:val="en-US"/>
        </w:rPr>
        <w:t>coccidioidomycosis</w:t>
      </w:r>
      <w:proofErr w:type="spellEnd"/>
      <w:r w:rsidR="006E5ABA" w:rsidRPr="00B977AE">
        <w:rPr>
          <w:rFonts w:ascii="Book Antiqua" w:hAnsi="Book Antiqua" w:cs="Arial"/>
          <w:sz w:val="24"/>
          <w:szCs w:val="20"/>
          <w:lang w:val="en-US"/>
        </w:rPr>
        <w:t xml:space="preserve">, </w:t>
      </w:r>
      <w:proofErr w:type="spellStart"/>
      <w:r w:rsidR="006E5ABA" w:rsidRPr="00B977AE">
        <w:rPr>
          <w:rFonts w:ascii="Book Antiqua" w:hAnsi="Book Antiqua" w:cs="Arial"/>
          <w:sz w:val="24"/>
          <w:szCs w:val="20"/>
          <w:lang w:val="en-US"/>
        </w:rPr>
        <w:t>histoplasmosis</w:t>
      </w:r>
      <w:proofErr w:type="spellEnd"/>
      <w:r w:rsidR="006E5ABA" w:rsidRPr="00B977AE">
        <w:rPr>
          <w:rFonts w:ascii="Book Antiqua" w:hAnsi="Book Antiqua" w:cs="Arial"/>
          <w:sz w:val="24"/>
          <w:szCs w:val="20"/>
          <w:lang w:val="en-US"/>
        </w:rPr>
        <w:t xml:space="preserve">, </w:t>
      </w:r>
      <w:proofErr w:type="spellStart"/>
      <w:r w:rsidR="006E5ABA" w:rsidRPr="00B977AE">
        <w:rPr>
          <w:rFonts w:ascii="Book Antiqua" w:hAnsi="Book Antiqua" w:cs="Arial"/>
          <w:sz w:val="24"/>
          <w:szCs w:val="20"/>
          <w:lang w:val="en-US"/>
        </w:rPr>
        <w:t>chromomycosis</w:t>
      </w:r>
      <w:proofErr w:type="spellEnd"/>
      <w:r w:rsidR="006E5ABA" w:rsidRPr="00B977AE">
        <w:rPr>
          <w:rFonts w:ascii="Book Antiqua" w:hAnsi="Book Antiqua" w:cs="Arial"/>
          <w:sz w:val="24"/>
          <w:szCs w:val="20"/>
          <w:lang w:val="en-US"/>
        </w:rPr>
        <w:t xml:space="preserve">, and </w:t>
      </w:r>
      <w:proofErr w:type="spellStart"/>
      <w:r w:rsidR="006E5ABA" w:rsidRPr="00B977AE">
        <w:rPr>
          <w:rFonts w:ascii="Book Antiqua" w:hAnsi="Book Antiqua" w:cs="Arial"/>
          <w:sz w:val="24"/>
          <w:szCs w:val="20"/>
          <w:lang w:val="en-US"/>
        </w:rPr>
        <w:t>paracoccidioidomycosis</w:t>
      </w:r>
      <w:proofErr w:type="spellEnd"/>
      <w:r w:rsidR="006E5ABA" w:rsidRPr="00B977AE">
        <w:rPr>
          <w:rFonts w:ascii="Book Antiqua" w:hAnsi="Book Antiqua" w:cs="Arial"/>
          <w:sz w:val="24"/>
          <w:szCs w:val="20"/>
          <w:lang w:val="en-US"/>
        </w:rPr>
        <w:t xml:space="preserve"> have been retained only for patients in whom other antifungal treatments ha</w:t>
      </w:r>
      <w:r w:rsidR="00150BA9" w:rsidRPr="00B977AE">
        <w:rPr>
          <w:rFonts w:ascii="Book Antiqua" w:hAnsi="Book Antiqua" w:cs="Arial"/>
          <w:sz w:val="24"/>
          <w:szCs w:val="20"/>
          <w:lang w:val="en-US"/>
        </w:rPr>
        <w:t>ve failed or are not tolerated.</w:t>
      </w:r>
    </w:p>
    <w:p w:rsidR="00D54896" w:rsidRPr="00B977AE" w:rsidRDefault="00D54896" w:rsidP="004D1284">
      <w:pPr>
        <w:autoSpaceDE w:val="0"/>
        <w:autoSpaceDN w:val="0"/>
        <w:adjustRightInd w:val="0"/>
        <w:spacing w:line="360" w:lineRule="auto"/>
        <w:ind w:firstLineChars="150" w:firstLine="360"/>
        <w:jc w:val="both"/>
        <w:rPr>
          <w:rFonts w:ascii="Book Antiqua" w:hAnsi="Book Antiqua" w:cs="Arial"/>
          <w:sz w:val="24"/>
          <w:szCs w:val="20"/>
          <w:lang w:val="en-US" w:eastAsia="zh-CN"/>
        </w:rPr>
      </w:pPr>
      <w:r w:rsidRPr="00B977AE">
        <w:rPr>
          <w:rFonts w:ascii="Book Antiqua" w:hAnsi="Book Antiqua" w:cs="Arial"/>
          <w:sz w:val="24"/>
          <w:szCs w:val="20"/>
          <w:lang w:val="en-US"/>
        </w:rPr>
        <w:t>These regulatory measures were</w:t>
      </w:r>
      <w:r w:rsidR="006E5ABA" w:rsidRPr="00B977AE">
        <w:rPr>
          <w:rFonts w:ascii="Book Antiqua" w:hAnsi="Book Antiqua" w:cs="Arial"/>
          <w:sz w:val="24"/>
          <w:szCs w:val="20"/>
          <w:lang w:val="en-US"/>
        </w:rPr>
        <w:t xml:space="preserve"> driven by the following reasons: (</w:t>
      </w:r>
      <w:r w:rsidR="003A4400" w:rsidRPr="00B977AE">
        <w:rPr>
          <w:rFonts w:ascii="Book Antiqua" w:hAnsi="Book Antiqua" w:cs="Arial"/>
          <w:sz w:val="24"/>
          <w:szCs w:val="20"/>
          <w:lang w:val="en-US" w:eastAsia="zh-CN"/>
        </w:rPr>
        <w:t>1</w:t>
      </w:r>
      <w:r w:rsidR="006E5ABA" w:rsidRPr="00B977AE">
        <w:rPr>
          <w:rFonts w:ascii="Book Antiqua" w:hAnsi="Book Antiqua" w:cs="Arial"/>
          <w:sz w:val="24"/>
          <w:szCs w:val="20"/>
          <w:lang w:val="en-US"/>
        </w:rPr>
        <w:t xml:space="preserve">) suspension of the drug in France </w:t>
      </w:r>
      <w:r w:rsidR="00F01E6C" w:rsidRPr="00B977AE">
        <w:rPr>
          <w:rFonts w:ascii="Book Antiqua" w:hAnsi="Book Antiqua" w:cs="Arial"/>
          <w:sz w:val="24"/>
          <w:szCs w:val="20"/>
          <w:lang w:val="en-US"/>
        </w:rPr>
        <w:t>(</w:t>
      </w:r>
      <w:r w:rsidR="00310775" w:rsidRPr="00B977AE">
        <w:rPr>
          <w:rFonts w:ascii="Book Antiqua" w:hAnsi="Book Antiqua" w:cs="Arial"/>
          <w:sz w:val="24"/>
          <w:szCs w:val="20"/>
          <w:lang w:val="en-US"/>
        </w:rPr>
        <w:t>June 2011</w:t>
      </w:r>
      <w:r w:rsidR="006E5ABA" w:rsidRPr="00B977AE">
        <w:rPr>
          <w:rFonts w:ascii="Book Antiqua" w:hAnsi="Book Antiqua" w:cs="Arial"/>
          <w:sz w:val="24"/>
          <w:szCs w:val="20"/>
          <w:lang w:val="en-US"/>
        </w:rPr>
        <w:t>)</w:t>
      </w:r>
      <w:r w:rsidR="00F01E6C" w:rsidRPr="00B977AE">
        <w:rPr>
          <w:rFonts w:ascii="Book Antiqua" w:hAnsi="Book Antiqua" w:cs="Arial"/>
          <w:sz w:val="24"/>
          <w:szCs w:val="20"/>
          <w:lang w:val="en-US"/>
        </w:rPr>
        <w:t>, which asked the EMA to carry out a full assessment of the benefit-risk balance of oral ketoconazole-containing medicines</w:t>
      </w:r>
      <w:r w:rsidR="006E5ABA" w:rsidRPr="00B977AE">
        <w:rPr>
          <w:rFonts w:ascii="Book Antiqua" w:hAnsi="Book Antiqua" w:cs="Arial"/>
          <w:sz w:val="24"/>
          <w:szCs w:val="20"/>
          <w:lang w:val="en-US"/>
        </w:rPr>
        <w:t>; (</w:t>
      </w:r>
      <w:r w:rsidR="003A4400" w:rsidRPr="00B977AE">
        <w:rPr>
          <w:rFonts w:ascii="Book Antiqua" w:hAnsi="Book Antiqua" w:cs="Arial"/>
          <w:sz w:val="24"/>
          <w:szCs w:val="20"/>
          <w:lang w:val="en-US" w:eastAsia="zh-CN"/>
        </w:rPr>
        <w:t>2</w:t>
      </w:r>
      <w:r w:rsidR="006E5ABA" w:rsidRPr="00B977AE">
        <w:rPr>
          <w:rFonts w:ascii="Book Antiqua" w:hAnsi="Book Antiqua" w:cs="Arial"/>
          <w:sz w:val="24"/>
          <w:szCs w:val="20"/>
          <w:lang w:val="en-US"/>
        </w:rPr>
        <w:t>) the incidence and severity of liver injury with oral ketoconazole were higher than with other antifungals; (</w:t>
      </w:r>
      <w:r w:rsidR="003A4400" w:rsidRPr="00B977AE">
        <w:rPr>
          <w:rFonts w:ascii="Book Antiqua" w:hAnsi="Book Antiqua" w:cs="Arial"/>
          <w:sz w:val="24"/>
          <w:szCs w:val="20"/>
          <w:lang w:val="en-US" w:eastAsia="zh-CN"/>
        </w:rPr>
        <w:t>3</w:t>
      </w:r>
      <w:r w:rsidR="006E5ABA" w:rsidRPr="00B977AE">
        <w:rPr>
          <w:rFonts w:ascii="Book Antiqua" w:hAnsi="Book Antiqua" w:cs="Arial"/>
          <w:sz w:val="24"/>
          <w:szCs w:val="20"/>
          <w:lang w:val="en-US"/>
        </w:rPr>
        <w:t xml:space="preserve">) reports of liver injury occurred early after starting treatment with recommended doses, and it was not possible to identify measures to adequately reduce this risk; </w:t>
      </w:r>
      <w:r w:rsidR="003A4400" w:rsidRPr="00B977AE">
        <w:rPr>
          <w:rFonts w:ascii="Book Antiqua" w:hAnsi="Book Antiqua" w:cs="Arial"/>
          <w:sz w:val="24"/>
          <w:szCs w:val="20"/>
          <w:lang w:val="en-US" w:eastAsia="zh-CN"/>
        </w:rPr>
        <w:t xml:space="preserve">and </w:t>
      </w:r>
      <w:r w:rsidR="006E5ABA" w:rsidRPr="00B977AE">
        <w:rPr>
          <w:rFonts w:ascii="Book Antiqua" w:hAnsi="Book Antiqua" w:cs="Arial"/>
          <w:sz w:val="24"/>
          <w:szCs w:val="20"/>
          <w:lang w:val="en-US"/>
        </w:rPr>
        <w:t>(</w:t>
      </w:r>
      <w:r w:rsidR="003A4400" w:rsidRPr="00B977AE">
        <w:rPr>
          <w:rFonts w:ascii="Book Antiqua" w:hAnsi="Book Antiqua" w:cs="Arial"/>
          <w:sz w:val="24"/>
          <w:szCs w:val="20"/>
          <w:lang w:val="en-US" w:eastAsia="zh-CN"/>
        </w:rPr>
        <w:t>4</w:t>
      </w:r>
      <w:r w:rsidR="006E5ABA" w:rsidRPr="00B977AE">
        <w:rPr>
          <w:rFonts w:ascii="Book Antiqua" w:hAnsi="Book Antiqua" w:cs="Arial"/>
          <w:sz w:val="24"/>
          <w:szCs w:val="20"/>
          <w:lang w:val="en-US"/>
        </w:rPr>
        <w:t>)</w:t>
      </w:r>
      <w:r w:rsidR="006E5ABA" w:rsidRPr="00B977AE">
        <w:rPr>
          <w:rFonts w:ascii="Book Antiqua" w:hAnsi="Book Antiqua"/>
          <w:sz w:val="24"/>
          <w:lang w:val="en-US"/>
        </w:rPr>
        <w:t xml:space="preserve"> the </w:t>
      </w:r>
      <w:r w:rsidR="006E5ABA" w:rsidRPr="00B977AE">
        <w:rPr>
          <w:rFonts w:ascii="Book Antiqua" w:hAnsi="Book Antiqua"/>
          <w:sz w:val="24"/>
          <w:lang w:val="en-US"/>
        </w:rPr>
        <w:lastRenderedPageBreak/>
        <w:t xml:space="preserve">widespread </w:t>
      </w:r>
      <w:r w:rsidR="006E5ABA" w:rsidRPr="00B977AE">
        <w:rPr>
          <w:rFonts w:ascii="Book Antiqua" w:hAnsi="Book Antiqua" w:cs="Arial"/>
          <w:sz w:val="24"/>
          <w:szCs w:val="20"/>
          <w:lang w:val="en-US"/>
        </w:rPr>
        <w:t>off-label use of oral ketoconazole for treating patients wi</w:t>
      </w:r>
      <w:r w:rsidR="00150BA9" w:rsidRPr="00B977AE">
        <w:rPr>
          <w:rFonts w:ascii="Book Antiqua" w:hAnsi="Book Antiqua" w:cs="Arial"/>
          <w:sz w:val="24"/>
          <w:szCs w:val="20"/>
          <w:lang w:val="en-US"/>
        </w:rPr>
        <w:t xml:space="preserve">th Cushing’s syndrome; (e) </w:t>
      </w:r>
      <w:r w:rsidR="006E5ABA" w:rsidRPr="00B977AE">
        <w:rPr>
          <w:rFonts w:ascii="Book Antiqua" w:hAnsi="Book Antiqua" w:cs="Arial"/>
          <w:sz w:val="24"/>
          <w:szCs w:val="20"/>
          <w:lang w:val="en-US"/>
        </w:rPr>
        <w:t xml:space="preserve">currently available alternative treatments are deemed to be safer. </w:t>
      </w:r>
    </w:p>
    <w:p w:rsidR="00D62FAC" w:rsidRPr="00B977AE" w:rsidRDefault="00D62FAC" w:rsidP="004D1284">
      <w:pPr>
        <w:autoSpaceDE w:val="0"/>
        <w:autoSpaceDN w:val="0"/>
        <w:adjustRightInd w:val="0"/>
        <w:spacing w:line="360" w:lineRule="auto"/>
        <w:ind w:firstLineChars="150" w:firstLine="360"/>
        <w:jc w:val="both"/>
        <w:rPr>
          <w:rFonts w:ascii="Book Antiqua" w:hAnsi="Book Antiqua" w:cs="Arial"/>
          <w:sz w:val="24"/>
          <w:szCs w:val="20"/>
          <w:lang w:val="en-US" w:eastAsia="zh-CN"/>
        </w:rPr>
      </w:pPr>
    </w:p>
    <w:p w:rsidR="00F448F1" w:rsidRPr="00B977AE" w:rsidRDefault="00150BA9" w:rsidP="004D1284">
      <w:pPr>
        <w:autoSpaceDE w:val="0"/>
        <w:autoSpaceDN w:val="0"/>
        <w:adjustRightInd w:val="0"/>
        <w:spacing w:line="360" w:lineRule="auto"/>
        <w:jc w:val="both"/>
        <w:rPr>
          <w:rFonts w:ascii="Book Antiqua" w:hAnsi="Book Antiqua" w:cs="Arial"/>
          <w:i/>
          <w:sz w:val="24"/>
          <w:szCs w:val="20"/>
          <w:lang w:val="en-US"/>
        </w:rPr>
      </w:pPr>
      <w:r w:rsidRPr="00B977AE">
        <w:rPr>
          <w:rFonts w:ascii="Book Antiqua" w:hAnsi="Book Antiqua" w:cs="Arial"/>
          <w:b/>
          <w:sz w:val="24"/>
          <w:szCs w:val="20"/>
          <w:lang w:val="en-US"/>
        </w:rPr>
        <w:t>Possible</w:t>
      </w:r>
      <w:r w:rsidR="00691543" w:rsidRPr="00B977AE">
        <w:rPr>
          <w:rFonts w:ascii="Book Antiqua" w:hAnsi="Book Antiqua" w:cs="Arial"/>
          <w:b/>
          <w:sz w:val="24"/>
          <w:szCs w:val="20"/>
          <w:lang w:val="en-US"/>
        </w:rPr>
        <w:t xml:space="preserve"> contribution of </w:t>
      </w:r>
      <w:proofErr w:type="spellStart"/>
      <w:r w:rsidR="00691543" w:rsidRPr="00B977AE">
        <w:rPr>
          <w:rFonts w:ascii="Book Antiqua" w:hAnsi="Book Antiqua" w:cs="Arial"/>
          <w:b/>
          <w:sz w:val="24"/>
          <w:szCs w:val="20"/>
          <w:lang w:val="en-US"/>
        </w:rPr>
        <w:t>pharmacovigilance</w:t>
      </w:r>
      <w:proofErr w:type="spellEnd"/>
      <w:r w:rsidR="00691543" w:rsidRPr="00B977AE">
        <w:rPr>
          <w:rFonts w:ascii="Book Antiqua" w:hAnsi="Book Antiqua" w:cs="Arial"/>
          <w:b/>
          <w:sz w:val="24"/>
          <w:szCs w:val="20"/>
          <w:lang w:val="en-US"/>
        </w:rPr>
        <w:t xml:space="preserve"> </w:t>
      </w:r>
      <w:r w:rsidR="00557028" w:rsidRPr="00B977AE">
        <w:rPr>
          <w:rFonts w:ascii="Book Antiqua" w:hAnsi="Book Antiqua" w:cs="Arial"/>
          <w:b/>
          <w:sz w:val="24"/>
          <w:szCs w:val="20"/>
          <w:lang w:val="en-US"/>
        </w:rPr>
        <w:t>in DILI research</w:t>
      </w:r>
      <w:r w:rsidR="00D62FAC" w:rsidRPr="00B977AE">
        <w:rPr>
          <w:rFonts w:ascii="Book Antiqua" w:hAnsi="Book Antiqua" w:cs="Arial"/>
          <w:b/>
          <w:sz w:val="24"/>
          <w:szCs w:val="20"/>
          <w:lang w:val="en-US" w:eastAsia="zh-CN"/>
        </w:rPr>
        <w:t>:</w:t>
      </w:r>
      <w:r w:rsidR="00D46F38" w:rsidRPr="00B977AE">
        <w:rPr>
          <w:rFonts w:ascii="Book Antiqua" w:hAnsi="Book Antiqua" w:cs="Arial"/>
          <w:i/>
          <w:sz w:val="24"/>
          <w:szCs w:val="20"/>
          <w:lang w:val="en-US"/>
        </w:rPr>
        <w:t xml:space="preserve"> </w:t>
      </w:r>
      <w:proofErr w:type="spellStart"/>
      <w:r w:rsidR="005C1BE3" w:rsidRPr="00B977AE">
        <w:rPr>
          <w:rFonts w:ascii="Book Antiqua" w:hAnsi="Book Antiqua" w:cs="Arial"/>
          <w:sz w:val="24"/>
          <w:szCs w:val="20"/>
          <w:lang w:val="en-US"/>
        </w:rPr>
        <w:t>Pharmacovigilance</w:t>
      </w:r>
      <w:proofErr w:type="spellEnd"/>
      <w:r w:rsidR="005C1BE3" w:rsidRPr="00B977AE">
        <w:rPr>
          <w:rFonts w:ascii="Book Antiqua" w:hAnsi="Book Antiqua" w:cs="Arial"/>
          <w:sz w:val="24"/>
          <w:szCs w:val="20"/>
          <w:lang w:val="en-US"/>
        </w:rPr>
        <w:t xml:space="preserve">, namely post-marketing phase of drug development, represents the mainstay to evaluate the safety of </w:t>
      </w:r>
      <w:r w:rsidR="00F448F1" w:rsidRPr="00B977AE">
        <w:rPr>
          <w:rFonts w:ascii="Book Antiqua" w:hAnsi="Book Antiqua" w:cs="Arial"/>
          <w:sz w:val="24"/>
          <w:szCs w:val="20"/>
          <w:lang w:val="en-US"/>
        </w:rPr>
        <w:t xml:space="preserve">recently </w:t>
      </w:r>
      <w:r w:rsidR="005C1BE3" w:rsidRPr="00B977AE">
        <w:rPr>
          <w:rFonts w:ascii="Book Antiqua" w:hAnsi="Book Antiqua" w:cs="Arial"/>
          <w:sz w:val="24"/>
          <w:szCs w:val="20"/>
          <w:lang w:val="en-US"/>
        </w:rPr>
        <w:t>marketed drugs</w:t>
      </w:r>
      <w:r w:rsidR="00F448F1" w:rsidRPr="00B977AE">
        <w:rPr>
          <w:rFonts w:ascii="Book Antiqua" w:hAnsi="Book Antiqua" w:cs="Arial"/>
          <w:sz w:val="24"/>
          <w:szCs w:val="20"/>
          <w:lang w:val="en-US"/>
        </w:rPr>
        <w:t xml:space="preserve"> or to monitor high-priority adverse events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&lt;Refman&gt;&lt;Cite&gt;&lt;Author&gt;Trifiro&lt;/Author&gt;&lt;Year&gt;2009&lt;/Year&gt;&lt;RecNum&gt;51&lt;/RecNum&gt;&lt;IDText&gt;Data mining on electronic health record databases for signal detection in pharmacovigilance: which events to monitor?&lt;/IDText&gt;&lt;MDL Ref_Type="Journal"&gt;&lt;Ref_Type&gt;Journal&lt;/Ref_Type&gt;&lt;Ref_ID&gt;51&lt;/Ref_ID&gt;&lt;Title_Primary&gt;Data mining on electronic health record databases for signal detection in pharmacovigilance: which events to monitor?&lt;/Title_Primary&gt;&lt;Authors_Primary&gt;Trifiro,G.&lt;/Authors_Primary&gt;&lt;Authors_Primary&gt;Pariente,A.&lt;/Authors_Primary&gt;&lt;Authors_Primary&gt;Coloma,P.M.&lt;/Authors_Primary&gt;&lt;Authors_Primary&gt;Kors,J.A.&lt;/Authors_Primary&gt;&lt;Authors_Primary&gt;Polimeni,G.&lt;/Authors_Primary&gt;&lt;Authors_Primary&gt;Miremont-Salame,G.&lt;/Authors_Primary&gt;&lt;Authors_Primary&gt;Catania,M.A.&lt;/Authors_Primary&gt;&lt;Authors_Primary&gt;Salvo,F.&lt;/Authors_Primary&gt;&lt;Authors_Primary&gt;David,A.&lt;/Authors_Primary&gt;&lt;Authors_Primary&gt;Moore,N.&lt;/Authors_Primary&gt;&lt;Authors_Primary&gt;Caputi,A.P.&lt;/Authors_Primary&gt;&lt;Authors_Primary&gt;Sturkenboom,M.&lt;/Authors_Primary&gt;&lt;Authors_Primary&gt;Molokhia,M.&lt;/Authors_Primary&gt;&lt;Authors_Primary&gt;Hippisley-Cox,J.&lt;/Authors_Primary&gt;&lt;Authors_Primary&gt;Acedo,C.D.&lt;/Authors_Primary&gt;&lt;Authors_Primary&gt;van der,Lei J.&lt;/Authors_Primary&gt;&lt;Authors_Primary&gt;Fourrier-Reglat,A.&lt;/Authors_Primary&gt;&lt;Date_Primary&gt;2009/12&lt;/Date_Primary&gt;&lt;Keywords&gt;Adverse Drug Reaction Reporting Systems&lt;/Keywords&gt;&lt;Keywords&gt;Data Mining&lt;/Keywords&gt;&lt;Keywords&gt;Databases,Factual&lt;/Keywords&gt;&lt;Keywords&gt;Drug Monitoring&lt;/Keywords&gt;&lt;Keywords&gt;Drug-Related Side Effects and Adverse Reactions&lt;/Keywords&gt;&lt;Keywords&gt;Electronic Health Records&lt;/Keywords&gt;&lt;Keywords&gt;Europe&lt;/Keywords&gt;&lt;Keywords&gt;Humans&lt;/Keywords&gt;&lt;Keywords&gt;methods&lt;/Keywords&gt;&lt;Keywords&gt;organization &amp;amp; administration&lt;/Keywords&gt;&lt;Keywords&gt;Pharmacovigilance&lt;/Keywords&gt;&lt;Keywords&gt;Rhabdomyolysis&lt;/Keywords&gt;&lt;Keywords&gt;Risk Assessment&lt;/Keywords&gt;&lt;Reprint&gt;In File&lt;/Reprint&gt;&lt;Start_Page&gt;1176&lt;/Start_Page&gt;&lt;End_Page&gt;1184&lt;/End_Page&gt;&lt;Periodical&gt;Pharmacoepidemiol.Drug Saf&lt;/Periodical&gt;&lt;Volume&gt;18&lt;/Volume&gt;&lt;Issue&gt;12&lt;/Issue&gt;&lt;Address&gt;Department of Medical Informatics, Erasmus University Medical Center, Rotterdam, The Netherlands. g.trifiro@erasmusmc.nl&lt;/Address&gt;&lt;Web_URL&gt;PM:19757412&lt;/Web_URL&gt;&lt;ZZ_JournalStdAbbrev&gt;&lt;f name="System"&gt;Pharmacoepidemiol.Drug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[36]</w:t>
      </w:r>
      <w:r w:rsidR="002411CC" w:rsidRPr="00B977AE">
        <w:rPr>
          <w:rFonts w:ascii="Book Antiqua" w:hAnsi="Book Antiqua" w:cs="Arial"/>
          <w:sz w:val="24"/>
          <w:szCs w:val="20"/>
          <w:lang w:val="en-US"/>
        </w:rPr>
        <w:fldChar w:fldCharType="end"/>
      </w:r>
      <w:r w:rsidR="00F2416E" w:rsidRPr="00B977AE">
        <w:rPr>
          <w:rFonts w:ascii="Book Antiqua" w:hAnsi="Book Antiqua" w:cs="Arial"/>
          <w:sz w:val="24"/>
          <w:szCs w:val="20"/>
          <w:lang w:val="en-US"/>
        </w:rPr>
        <w:t>.</w:t>
      </w:r>
      <w:r w:rsidR="00F746E8" w:rsidRPr="00B977AE">
        <w:rPr>
          <w:rFonts w:ascii="Book Antiqua" w:hAnsi="Book Antiqua" w:cs="Arial"/>
          <w:sz w:val="24"/>
          <w:szCs w:val="20"/>
          <w:lang w:val="en-US"/>
        </w:rPr>
        <w:t xml:space="preserve"> </w:t>
      </w:r>
      <w:r w:rsidRPr="00B977AE">
        <w:rPr>
          <w:rFonts w:ascii="Book Antiqua" w:hAnsi="Book Antiqua" w:cs="Arial"/>
          <w:sz w:val="24"/>
          <w:szCs w:val="20"/>
          <w:lang w:val="en-US"/>
        </w:rPr>
        <w:t>On</w:t>
      </w:r>
      <w:r w:rsidR="00F746E8" w:rsidRPr="00B977AE">
        <w:rPr>
          <w:rFonts w:ascii="Book Antiqua" w:hAnsi="Book Antiqua" w:cs="Arial"/>
          <w:sz w:val="24"/>
          <w:szCs w:val="20"/>
          <w:lang w:val="en-US"/>
        </w:rPr>
        <w:t xml:space="preserve"> one hand, spontaneous reports and data mining of large spontaneous reporting systems still represent the traditional source for safety surveillance; </w:t>
      </w:r>
      <w:r w:rsidRPr="00B977AE">
        <w:rPr>
          <w:rFonts w:ascii="Book Antiqua" w:hAnsi="Book Antiqua" w:cs="Arial"/>
          <w:sz w:val="24"/>
          <w:szCs w:val="20"/>
          <w:lang w:val="en-US"/>
        </w:rPr>
        <w:t>on the other hand</w:t>
      </w:r>
      <w:r w:rsidR="00F746E8" w:rsidRPr="00B977AE">
        <w:rPr>
          <w:rFonts w:ascii="Book Antiqua" w:hAnsi="Book Antiqua" w:cs="Arial"/>
          <w:sz w:val="24"/>
          <w:szCs w:val="20"/>
          <w:lang w:val="en-US"/>
        </w:rPr>
        <w:t xml:space="preserve">, exploiting electronic healthcare records. Both approaches are important and can be viewed to complement each other. However, </w:t>
      </w:r>
      <w:r w:rsidR="006878A6" w:rsidRPr="00B977AE">
        <w:rPr>
          <w:rFonts w:ascii="Book Antiqua" w:hAnsi="Book Antiqua" w:cs="Arial"/>
          <w:sz w:val="24"/>
          <w:szCs w:val="20"/>
          <w:lang w:val="en-US"/>
        </w:rPr>
        <w:t>it is a common opinion (corroborated by original research) that spontaneous reporting systems are more suited for newly approved drugs (as they aim at early signal detection) and rare events with suggestive drug-related component</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&lt;Refman&gt;&lt;Cite&gt;&lt;Author&gt;Coloma&lt;/Author&gt;&lt;Year&gt;2013&lt;/Year&gt;&lt;RecNum&gt;17&lt;/RecNum&gt;&lt;IDText&gt;Postmarketing safety surveillance: where does signal detection using electronic healthcare records fit into the big picture?&lt;/IDText&gt;&lt;MDL Ref_Type="Journal"&gt;&lt;Ref_Type&gt;Journal&lt;/Ref_Type&gt;&lt;Ref_ID&gt;17&lt;/Ref_ID&gt;&lt;Title_Primary&gt;Postmarketing safety surveillance: where does signal detection using electronic healthcare records fit into the big picture?&lt;/Title_Primary&gt;&lt;Authors_Primary&gt;Coloma,P.M.&lt;/Authors_Primary&gt;&lt;Authors_Primary&gt;Trifiro,G.&lt;/Authors_Primary&gt;&lt;Authors_Primary&gt;Patadia,V.&lt;/Authors_Primary&gt;&lt;Authors_Primary&gt;Sturkenboom,M.&lt;/Authors_Primary&gt;&lt;Date_Primary&gt;2013/3&lt;/Date_Primary&gt;&lt;Keywords&gt;Adverse Drug Reaction Reporting Systems&lt;/Keywords&gt;&lt;Keywords&gt;adverse effects&lt;/Keywords&gt;&lt;Keywords&gt;Data Mining&lt;/Keywords&gt;&lt;Keywords&gt;Databases,Factual&lt;/Keywords&gt;&lt;Keywords&gt;Delivery of Health Care&lt;/Keywords&gt;&lt;Keywords&gt;Electronic Health Records&lt;/Keywords&gt;&lt;Keywords&gt;Humans&lt;/Keywords&gt;&lt;Keywords&gt;methods&lt;/Keywords&gt;&lt;Keywords&gt;Pharmaceutical Preparations&lt;/Keywords&gt;&lt;Keywords&gt;Pharmacovigilance&lt;/Keywords&gt;&lt;Keywords&gt;Product Surveillance,Postmarketing&lt;/Keywords&gt;&lt;Keywords&gt;statistics &amp;amp; numerical data&lt;/Keywords&gt;&lt;Reprint&gt;In File&lt;/Reprint&gt;&lt;Start_Page&gt;183&lt;/Start_Page&gt;&lt;End_Page&gt;197&lt;/End_Page&gt;&lt;Periodical&gt;Drug Saf&lt;/Periodical&gt;&lt;Volume&gt;36&lt;/Volume&gt;&lt;Issue&gt;3&lt;/Issue&gt;&lt;Address&gt;Ee-2116, Department of Medical Informatics, Erasmus Medical Centre, PO Box 2040, 3000 CA, Rotterdam, The Netherlands. p.coloma@erasmusmc.nl&lt;/Address&gt;&lt;Web_URL&gt;PM:23377696&lt;/Web_URL&gt;&lt;ZZ_JournalStdAbbrev&gt;&lt;f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[18]</w:t>
      </w:r>
      <w:r w:rsidR="002411CC" w:rsidRPr="00B977AE">
        <w:rPr>
          <w:rFonts w:ascii="Book Antiqua" w:hAnsi="Book Antiqua" w:cs="Arial"/>
          <w:sz w:val="24"/>
          <w:szCs w:val="20"/>
          <w:lang w:val="en-US"/>
        </w:rPr>
        <w:fldChar w:fldCharType="end"/>
      </w:r>
      <w:r w:rsidR="006878A6" w:rsidRPr="00B977AE">
        <w:rPr>
          <w:rFonts w:ascii="Book Antiqua" w:hAnsi="Book Antiqua" w:cs="Arial"/>
          <w:sz w:val="24"/>
          <w:szCs w:val="20"/>
          <w:lang w:val="en-US"/>
        </w:rPr>
        <w:t>. It is noteworthy that the diagnostic potential of signal-detection algorithms commonly applied in FAERS is reasonably efficient and accurate to discriminate true drug-event associations from those</w:t>
      </w:r>
      <w:r w:rsidR="00D21178" w:rsidRPr="00B977AE">
        <w:rPr>
          <w:rFonts w:ascii="Book Antiqua" w:hAnsi="Book Antiqua" w:cs="Arial"/>
          <w:sz w:val="24"/>
          <w:szCs w:val="20"/>
          <w:lang w:val="en-US"/>
        </w:rPr>
        <w:t xml:space="preserve"> that are likely to be spurious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&lt;Refman&gt;&lt;Cite&gt;&lt;Author&gt;Harpaz&lt;/Author&gt;&lt;Year&gt;2013&lt;/Year&gt;&lt;RecNum&gt;16&lt;/RecNum&gt;&lt;IDText&gt;Performance of pharmacovigilance signal-detection algorithms for the FDA adverse event reporting system&lt;/IDText&gt;&lt;MDL Ref_Type="Journal"&gt;&lt;Ref_Type&gt;Journal&lt;/Ref_Type&gt;&lt;Ref_ID&gt;16&lt;/Ref_ID&gt;&lt;Title_Primary&gt;Performance of pharmacovigilance signal-detection algorithms for the FDA adverse event reporting system&lt;/Title_Primary&gt;&lt;Authors_Primary&gt;Harpaz,R.&lt;/Authors_Primary&gt;&lt;Authors_Primary&gt;DuMouchel,W.&lt;/Authors_Primary&gt;&lt;Authors_Primary&gt;LePendu,P.&lt;/Authors_Primary&gt;&lt;Authors_Primary&gt;Bauer-Mehren,A.&lt;/Authors_Primary&gt;&lt;Authors_Primary&gt;Ryan,P.&lt;/Authors_Primary&gt;&lt;Authors_Primary&gt;Shah,N.H.&lt;/Authors_Primary&gt;&lt;Date_Primary&gt;2013/6&lt;/Date_Primary&gt;&lt;Keywords&gt;Adverse Drug Reaction Reporting Systems&lt;/Keywords&gt;&lt;Keywords&gt;Algorithms&lt;/Keywords&gt;&lt;Keywords&gt;Humans&lt;/Keywords&gt;&lt;Keywords&gt;Models,Statistical&lt;/Keywords&gt;&lt;Keywords&gt;Pharmacovigilance&lt;/Keywords&gt;&lt;Keywords&gt;statistics &amp;amp; numerical data&lt;/Keywords&gt;&lt;Keywords&gt;United States&lt;/Keywords&gt;&lt;Keywords&gt;United States Food and Drug Administration&lt;/Keywords&gt;&lt;Reprint&gt;In File&lt;/Reprint&gt;&lt;Start_Page&gt;539&lt;/Start_Page&gt;&lt;End_Page&gt;546&lt;/End_Page&gt;&lt;Periodical&gt;Clin Pharmacol Ther&lt;/Periodical&gt;&lt;Volume&gt;93&lt;/Volume&gt;&lt;Issue&gt;6&lt;/Issue&gt;&lt;Address&gt;Stanford Center for Biomedical Informatics Research, Stanford University, Stanford, California, USA. rharpaz@stanford.edu&lt;/Address&gt;&lt;Web_URL&gt;PM:23571771&lt;/Web_URL&gt;&lt;ZZ_JournalStdAbbrev&gt;&lt;f name="System"&gt;Clin Pharmacol Ther&lt;/f&gt;&lt;/ZZ_JournalStdAbbrev&gt;&lt;ZZ_WorkformID&gt;1&lt;/ZZ_WorkformID&gt;&lt;/MDL&gt;&lt;/Cite&gt;&lt;/Refman&gt;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[37]</w:t>
      </w:r>
      <w:r w:rsidR="002411CC" w:rsidRPr="00B977AE">
        <w:rPr>
          <w:rFonts w:ascii="Book Antiqua" w:hAnsi="Book Antiqua" w:cs="Arial"/>
          <w:sz w:val="24"/>
          <w:szCs w:val="20"/>
          <w:lang w:val="en-US"/>
        </w:rPr>
        <w:fldChar w:fldCharType="end"/>
      </w:r>
      <w:r w:rsidR="006878A6" w:rsidRPr="00B977AE">
        <w:rPr>
          <w:rFonts w:ascii="Book Antiqua" w:hAnsi="Book Antiqua" w:cs="Arial"/>
          <w:sz w:val="24"/>
          <w:szCs w:val="20"/>
          <w:lang w:val="en-US"/>
        </w:rPr>
        <w:t>.</w:t>
      </w:r>
    </w:p>
    <w:p w:rsidR="00691543" w:rsidRPr="00B977AE" w:rsidRDefault="00CE1E63"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In this context, the aim of this study is t</w:t>
      </w:r>
      <w:r w:rsidR="00E520BA" w:rsidRPr="00B977AE">
        <w:rPr>
          <w:rFonts w:ascii="Book Antiqua" w:hAnsi="Book Antiqua" w:cs="Arial"/>
          <w:sz w:val="24"/>
          <w:szCs w:val="20"/>
          <w:lang w:val="en-US"/>
        </w:rPr>
        <w:t xml:space="preserve">o </w:t>
      </w:r>
      <w:r w:rsidR="00150BA9" w:rsidRPr="00B977AE">
        <w:rPr>
          <w:rFonts w:ascii="Book Antiqua" w:hAnsi="Book Antiqua" w:cs="Arial"/>
          <w:sz w:val="24"/>
          <w:szCs w:val="20"/>
          <w:lang w:val="en-US"/>
        </w:rPr>
        <w:t xml:space="preserve">show that </w:t>
      </w:r>
      <w:r w:rsidR="00E520BA" w:rsidRPr="00B977AE">
        <w:rPr>
          <w:rFonts w:ascii="Book Antiqua" w:hAnsi="Book Antiqua" w:cs="Arial"/>
          <w:sz w:val="24"/>
          <w:szCs w:val="20"/>
          <w:lang w:val="en-US"/>
        </w:rPr>
        <w:t xml:space="preserve">spontaneous reporting systems </w:t>
      </w:r>
      <w:r w:rsidR="00150BA9" w:rsidRPr="00B977AE">
        <w:rPr>
          <w:rFonts w:ascii="Book Antiqua" w:hAnsi="Book Antiqua" w:cs="Arial"/>
          <w:sz w:val="24"/>
          <w:szCs w:val="20"/>
          <w:lang w:val="en-US"/>
        </w:rPr>
        <w:t xml:space="preserve">can contribute </w:t>
      </w:r>
      <w:r w:rsidR="00E520BA" w:rsidRPr="00B977AE">
        <w:rPr>
          <w:rFonts w:ascii="Book Antiqua" w:hAnsi="Book Antiqua" w:cs="Arial"/>
          <w:sz w:val="24"/>
          <w:szCs w:val="20"/>
          <w:lang w:val="en-US"/>
        </w:rPr>
        <w:t>in characterizing the hepatotoxic po</w:t>
      </w:r>
      <w:r w:rsidR="004D7ED4" w:rsidRPr="00B977AE">
        <w:rPr>
          <w:rFonts w:ascii="Book Antiqua" w:hAnsi="Book Antiqua" w:cs="Arial"/>
          <w:sz w:val="24"/>
          <w:szCs w:val="20"/>
          <w:lang w:val="en-US"/>
        </w:rPr>
        <w:t>tential of systemic antifungals</w:t>
      </w:r>
      <w:r w:rsidR="00E520BA" w:rsidRPr="00B977AE">
        <w:rPr>
          <w:rFonts w:ascii="Book Antiqua" w:hAnsi="Book Antiqua" w:cs="Arial"/>
          <w:sz w:val="24"/>
          <w:szCs w:val="20"/>
          <w:lang w:val="en-US"/>
        </w:rPr>
        <w:t>. As a matter of fact, a recent systematic review</w:t>
      </w:r>
      <w:r w:rsidR="00611F1C" w:rsidRPr="00B977AE">
        <w:rPr>
          <w:rFonts w:ascii="Book Antiqua" w:hAnsi="Book Antiqua" w:cs="Arial"/>
          <w:sz w:val="24"/>
          <w:szCs w:val="20"/>
          <w:lang w:val="en-US"/>
        </w:rPr>
        <w:t xml:space="preserve"> highlighted that regulatory measures on drug risk (</w:t>
      </w:r>
      <w:r w:rsidR="0004797C" w:rsidRPr="0004797C">
        <w:rPr>
          <w:rFonts w:ascii="Book Antiqua" w:hAnsi="Book Antiqua" w:cs="Arial"/>
          <w:i/>
          <w:sz w:val="24"/>
          <w:szCs w:val="20"/>
          <w:lang w:val="en-US"/>
        </w:rPr>
        <w:t>e.g</w:t>
      </w:r>
      <w:r w:rsidR="00611F1C" w:rsidRPr="00B977AE">
        <w:rPr>
          <w:rFonts w:ascii="Book Antiqua" w:hAnsi="Book Antiqua" w:cs="Arial"/>
          <w:sz w:val="24"/>
          <w:szCs w:val="20"/>
          <w:lang w:val="en-US"/>
        </w:rPr>
        <w:t>., dear doctor letter</w:t>
      </w:r>
      <w:r w:rsidR="00E515DD" w:rsidRPr="00B977AE">
        <w:rPr>
          <w:rFonts w:ascii="Book Antiqua" w:hAnsi="Book Antiqua" w:cs="Arial"/>
          <w:sz w:val="24"/>
          <w:szCs w:val="20"/>
          <w:lang w:val="en-US"/>
        </w:rPr>
        <w:t>s</w:t>
      </w:r>
      <w:r w:rsidR="00611F1C" w:rsidRPr="00B977AE">
        <w:rPr>
          <w:rFonts w:ascii="Book Antiqua" w:hAnsi="Book Antiqua" w:cs="Arial"/>
          <w:sz w:val="24"/>
          <w:szCs w:val="20"/>
          <w:lang w:val="en-US"/>
        </w:rPr>
        <w:t>, safety warnings) may different</w:t>
      </w:r>
      <w:r w:rsidR="004D7ED4" w:rsidRPr="00B977AE">
        <w:rPr>
          <w:rFonts w:ascii="Book Antiqua" w:hAnsi="Book Antiqua" w:cs="Arial"/>
          <w:sz w:val="24"/>
          <w:szCs w:val="20"/>
          <w:lang w:val="en-US"/>
        </w:rPr>
        <w:t>ly but substantially impact prescribers’</w:t>
      </w:r>
      <w:r w:rsidR="00611F1C" w:rsidRPr="00B977AE">
        <w:rPr>
          <w:rFonts w:ascii="Book Antiqua" w:hAnsi="Book Antiqua" w:cs="Arial"/>
          <w:sz w:val="24"/>
          <w:szCs w:val="20"/>
          <w:lang w:val="en-US"/>
        </w:rPr>
        <w:t xml:space="preserve"> attitude</w:t>
      </w:r>
      <w:r w:rsidR="004D7ED4" w:rsidRPr="00B977AE">
        <w:rPr>
          <w:rFonts w:ascii="Book Antiqua" w:hAnsi="Book Antiqua" w:cs="Arial"/>
          <w:sz w:val="24"/>
          <w:szCs w:val="20"/>
          <w:lang w:val="en-US"/>
        </w:rPr>
        <w:t>s</w:t>
      </w:r>
      <w:r w:rsidR="00611F1C" w:rsidRPr="00B977AE">
        <w:rPr>
          <w:rFonts w:ascii="Book Antiqua" w:hAnsi="Book Antiqua" w:cs="Arial"/>
          <w:sz w:val="24"/>
          <w:szCs w:val="20"/>
          <w:lang w:val="en-US"/>
        </w:rPr>
        <w:t xml:space="preserve">, thus causing </w:t>
      </w:r>
      <w:r w:rsidR="004D7ED4" w:rsidRPr="00B977AE">
        <w:rPr>
          <w:rFonts w:ascii="Book Antiqua" w:hAnsi="Book Antiqua" w:cs="Arial"/>
          <w:sz w:val="24"/>
          <w:szCs w:val="20"/>
          <w:lang w:val="en-US"/>
        </w:rPr>
        <w:t xml:space="preserve">a switch towards </w:t>
      </w:r>
      <w:r w:rsidR="00611F1C" w:rsidRPr="00B977AE">
        <w:rPr>
          <w:rFonts w:ascii="Book Antiqua" w:hAnsi="Book Antiqua" w:cs="Arial"/>
          <w:sz w:val="24"/>
          <w:szCs w:val="20"/>
          <w:lang w:val="en-US"/>
        </w:rPr>
        <w:t>therapeutic alternatives</w:t>
      </w:r>
      <w:r w:rsidR="00E515DD" w:rsidRPr="00B977AE">
        <w:rPr>
          <w:rFonts w:ascii="Book Antiqua" w:hAnsi="Book Antiqua" w:cs="Arial"/>
          <w:sz w:val="24"/>
          <w:szCs w:val="20"/>
          <w:lang w:val="en-US"/>
        </w:rPr>
        <w:t>, perceived as safe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&lt;Refman&gt;&lt;Cite&gt;&lt;Author&gt;Dusetzina&lt;/Author&gt;&lt;Year&gt;2012&lt;/Year&gt;&lt;RecNum&gt;50&lt;/RecNum&gt;&lt;IDText&gt;Impact of FDA drug risk communications on health care utilization and health behaviors: a systematic review&lt;/IDText&gt;&lt;MDL Ref_Type="Journal"&gt;&lt;Ref_Type&gt;Journal&lt;/Ref_Type&gt;&lt;Ref_ID&gt;50&lt;/Ref_ID&gt;&lt;Title_Primary&gt;Impact of FDA drug risk communications on health care utilization and health behaviors: a systematic review&lt;/Title_Primary&gt;&lt;Authors_Primary&gt;Dusetzina,S.B.&lt;/Authors_Primary&gt;&lt;Authors_Primary&gt;Higashi,A.S.&lt;/Authors_Primary&gt;&lt;Authors_Primary&gt;Dorsey,E.R.&lt;/Authors_Primary&gt;&lt;Authors_Primary&gt;Conti,R.&lt;/Authors_Primary&gt;&lt;Authors_Primary&gt;Huskamp,H.A.&lt;/Authors_Primary&gt;&lt;Authors_Primary&gt;Zhu,S.&lt;/Authors_Primary&gt;&lt;Authors_Primary&gt;Garfield,C.F.&lt;/Authors_Primary&gt;&lt;Authors_Primary&gt;Alexander,G.C.&lt;/Authors_Primary&gt;&lt;Date_Primary&gt;2012/6&lt;/Date_Primary&gt;&lt;Keywords&gt;Communication&lt;/Keywords&gt;&lt;Keywords&gt;Drug Interactions&lt;/Keywords&gt;&lt;Keywords&gt;Drug Monitoring&lt;/Keywords&gt;&lt;Keywords&gt;Drug Utilization&lt;/Keywords&gt;&lt;Keywords&gt;Drug-Related Side Effects and Adverse Reactions&lt;/Keywords&gt;&lt;Keywords&gt;Health Behavior&lt;/Keywords&gt;&lt;Keywords&gt;Health Knowledge,Attitudes,Practice&lt;/Keywords&gt;&lt;Keywords&gt;Health Services&lt;/Keywords&gt;&lt;Keywords&gt;Humans&lt;/Keywords&gt;&lt;Keywords&gt;organization &amp;amp; administration&lt;/Keywords&gt;&lt;Keywords&gt;Patient Selection&lt;/Keywords&gt;&lt;Keywords&gt;Risk&lt;/Keywords&gt;&lt;Keywords&gt;Risk Assessment&lt;/Keywords&gt;&lt;Keywords&gt;Risk Management&lt;/Keywords&gt;&lt;Keywords&gt;statistics &amp;amp; numerical data&lt;/Keywords&gt;&lt;Keywords&gt;United States&lt;/Keywords&gt;&lt;Keywords&gt;United States Food and Drug Administration&lt;/Keywords&gt;&lt;Keywords&gt;utilization&lt;/Keywords&gt;&lt;Reprint&gt;In File&lt;/Reprint&gt;&lt;Start_Page&gt;466&lt;/Start_Page&gt;&lt;End_Page&gt;478&lt;/End_Page&gt;&lt;Periodical&gt;Med Care&lt;/Periodical&gt;&lt;Volume&gt;50&lt;/Volume&gt;&lt;Issue&gt;6&lt;/Issue&gt;&lt;Address&gt;Department of Health Care Policy, Harvard Medical School, Boston, MA, USA&lt;/Address&gt;&lt;Web_URL&gt;PM:22266704&lt;/Web_URL&gt;&lt;ZZ_JournalStdAbbrev&gt;&lt;f name="System"&gt;Med Care&lt;/f&gt;&lt;/ZZ_JournalStdAbbrev&gt;&lt;ZZ_WorkformID&gt;1&lt;/ZZ_WorkformID&gt;&lt;/MDL&gt;&lt;/Cite&gt;&lt;/Refman&gt;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[38]</w:t>
      </w:r>
      <w:r w:rsidR="002411CC" w:rsidRPr="00B977AE">
        <w:rPr>
          <w:rFonts w:ascii="Book Antiqua" w:hAnsi="Book Antiqua" w:cs="Arial"/>
          <w:sz w:val="24"/>
          <w:szCs w:val="20"/>
          <w:lang w:val="en-US"/>
        </w:rPr>
        <w:fldChar w:fldCharType="end"/>
      </w:r>
      <w:r w:rsidR="00611F1C" w:rsidRPr="00B977AE">
        <w:rPr>
          <w:rFonts w:ascii="Book Antiqua" w:hAnsi="Book Antiqua" w:cs="Arial"/>
          <w:sz w:val="24"/>
          <w:szCs w:val="20"/>
          <w:lang w:val="en-US"/>
        </w:rPr>
        <w:t>. This could be the case for some systemic antifungals</w:t>
      </w:r>
      <w:r w:rsidR="00E515DD" w:rsidRPr="00B977AE">
        <w:rPr>
          <w:rFonts w:ascii="Book Antiqua" w:hAnsi="Book Antiqua" w:cs="Arial"/>
          <w:sz w:val="24"/>
          <w:szCs w:val="20"/>
          <w:lang w:val="en-US"/>
        </w:rPr>
        <w:t>, especially</w:t>
      </w:r>
      <w:r w:rsidR="00611F1C" w:rsidRPr="00B977AE">
        <w:rPr>
          <w:rFonts w:ascii="Book Antiqua" w:hAnsi="Book Antiqua" w:cs="Arial"/>
          <w:sz w:val="24"/>
          <w:szCs w:val="20"/>
          <w:lang w:val="en-US"/>
        </w:rPr>
        <w:t xml:space="preserve"> following marketing suspension of oral ketoconazole</w:t>
      </w:r>
      <w:r w:rsidR="004D7ED4" w:rsidRPr="00B977AE">
        <w:rPr>
          <w:rFonts w:ascii="Book Antiqua" w:hAnsi="Book Antiqua" w:cs="Arial"/>
          <w:sz w:val="24"/>
          <w:szCs w:val="20"/>
          <w:lang w:val="en-US"/>
        </w:rPr>
        <w:t>,</w:t>
      </w:r>
      <w:r w:rsidR="00611F1C" w:rsidRPr="00B977AE">
        <w:rPr>
          <w:rFonts w:ascii="Book Antiqua" w:hAnsi="Book Antiqua" w:cs="Arial"/>
          <w:sz w:val="24"/>
          <w:szCs w:val="20"/>
          <w:lang w:val="en-US"/>
        </w:rPr>
        <w:t xml:space="preserve"> </w:t>
      </w:r>
      <w:r w:rsidR="004D7ED4" w:rsidRPr="00B977AE">
        <w:rPr>
          <w:rFonts w:ascii="Book Antiqua" w:hAnsi="Book Antiqua" w:cs="Arial"/>
          <w:sz w:val="24"/>
          <w:szCs w:val="20"/>
          <w:lang w:val="en-US"/>
        </w:rPr>
        <w:t xml:space="preserve">both in US and Europe, </w:t>
      </w:r>
      <w:r w:rsidR="00E515DD" w:rsidRPr="00B977AE">
        <w:rPr>
          <w:rFonts w:ascii="Book Antiqua" w:hAnsi="Book Antiqua" w:cs="Arial"/>
          <w:sz w:val="24"/>
          <w:szCs w:val="20"/>
          <w:lang w:val="en-US"/>
        </w:rPr>
        <w:t>for risk of DILI</w:t>
      </w:r>
      <w:r w:rsidR="00CC0553" w:rsidRPr="00B977AE">
        <w:rPr>
          <w:rFonts w:ascii="Book Antiqua" w:hAnsi="Book Antiqua" w:cs="Arial"/>
          <w:sz w:val="24"/>
          <w:szCs w:val="20"/>
          <w:lang w:val="en-US"/>
        </w:rPr>
        <w:t>.</w:t>
      </w:r>
    </w:p>
    <w:p w:rsidR="00325D20" w:rsidRPr="00B977AE" w:rsidRDefault="00325D20" w:rsidP="004D1284">
      <w:pPr>
        <w:autoSpaceDE w:val="0"/>
        <w:autoSpaceDN w:val="0"/>
        <w:adjustRightInd w:val="0"/>
        <w:spacing w:line="360" w:lineRule="auto"/>
        <w:jc w:val="both"/>
        <w:rPr>
          <w:rFonts w:ascii="Book Antiqua" w:hAnsi="Book Antiqua" w:cs="Arial"/>
          <w:b/>
          <w:i/>
          <w:sz w:val="24"/>
          <w:szCs w:val="20"/>
          <w:lang w:val="en-US"/>
        </w:rPr>
      </w:pPr>
    </w:p>
    <w:p w:rsidR="00D21178" w:rsidRPr="00B977AE" w:rsidRDefault="00D21178" w:rsidP="004D1284">
      <w:pPr>
        <w:spacing w:line="360" w:lineRule="auto"/>
        <w:jc w:val="both"/>
        <w:rPr>
          <w:rFonts w:ascii="Book Antiqua" w:hAnsi="Book Antiqua"/>
          <w:b/>
          <w:sz w:val="24"/>
        </w:rPr>
      </w:pPr>
      <w:r w:rsidRPr="00B977AE">
        <w:rPr>
          <w:rFonts w:ascii="Book Antiqua" w:hAnsi="Book Antiqua"/>
          <w:b/>
          <w:sz w:val="24"/>
        </w:rPr>
        <w:t xml:space="preserve">MATERIALS AND </w:t>
      </w:r>
      <w:bookmarkStart w:id="111" w:name="OLE_LINK120"/>
      <w:bookmarkStart w:id="112" w:name="OLE_LINK173"/>
      <w:r w:rsidRPr="00B977AE">
        <w:rPr>
          <w:rFonts w:ascii="Book Antiqua" w:hAnsi="Book Antiqua"/>
          <w:b/>
          <w:sz w:val="24"/>
        </w:rPr>
        <w:t>METHODS</w:t>
      </w:r>
      <w:bookmarkEnd w:id="111"/>
      <w:bookmarkEnd w:id="112"/>
    </w:p>
    <w:p w:rsidR="00D21178" w:rsidRPr="00B977AE" w:rsidRDefault="000514AB" w:rsidP="004D1284">
      <w:pPr>
        <w:autoSpaceDE w:val="0"/>
        <w:autoSpaceDN w:val="0"/>
        <w:adjustRightInd w:val="0"/>
        <w:spacing w:line="360" w:lineRule="auto"/>
        <w:jc w:val="both"/>
        <w:rPr>
          <w:rFonts w:ascii="Book Antiqua" w:hAnsi="Book Antiqua" w:cs="Arial"/>
          <w:b/>
          <w:i/>
          <w:sz w:val="24"/>
          <w:szCs w:val="20"/>
          <w:lang w:val="en-US" w:eastAsia="zh-CN"/>
        </w:rPr>
      </w:pPr>
      <w:r w:rsidRPr="00B977AE">
        <w:rPr>
          <w:rFonts w:ascii="Book Antiqua" w:hAnsi="Book Antiqua" w:cs="Arial"/>
          <w:b/>
          <w:i/>
          <w:sz w:val="24"/>
          <w:szCs w:val="20"/>
          <w:lang w:val="en-US"/>
        </w:rPr>
        <w:t>Data source</w:t>
      </w:r>
    </w:p>
    <w:p w:rsidR="007D14E7" w:rsidRPr="00B977AE" w:rsidRDefault="000514AB" w:rsidP="004D1284">
      <w:pPr>
        <w:autoSpaceDE w:val="0"/>
        <w:autoSpaceDN w:val="0"/>
        <w:adjustRightInd w:val="0"/>
        <w:spacing w:line="360" w:lineRule="auto"/>
        <w:jc w:val="both"/>
        <w:rPr>
          <w:rFonts w:ascii="Book Antiqua" w:hAnsi="Book Antiqua" w:cs="Arial"/>
          <w:sz w:val="24"/>
          <w:szCs w:val="20"/>
          <w:lang w:val="en-US" w:eastAsia="zh-CN"/>
        </w:rPr>
      </w:pPr>
      <w:r w:rsidRPr="00B977AE">
        <w:rPr>
          <w:rFonts w:ascii="Book Antiqua" w:hAnsi="Book Antiqua" w:cs="Arial"/>
          <w:sz w:val="24"/>
          <w:szCs w:val="20"/>
          <w:lang w:val="en-US"/>
        </w:rPr>
        <w:t>T</w:t>
      </w:r>
      <w:r w:rsidR="00E520BA" w:rsidRPr="00B977AE">
        <w:rPr>
          <w:rFonts w:ascii="Book Antiqua" w:hAnsi="Book Antiqua" w:cs="Arial"/>
          <w:sz w:val="24"/>
          <w:szCs w:val="20"/>
          <w:lang w:val="en-US"/>
        </w:rPr>
        <w:t xml:space="preserve">he </w:t>
      </w:r>
      <w:r w:rsidR="00626CDE" w:rsidRPr="00B977AE">
        <w:rPr>
          <w:rFonts w:ascii="Book Antiqua" w:hAnsi="Book Antiqua" w:cs="Arial"/>
          <w:sz w:val="24"/>
          <w:szCs w:val="20"/>
          <w:lang w:val="en-US"/>
        </w:rPr>
        <w:t xml:space="preserve">publicly available international </w:t>
      </w:r>
      <w:r w:rsidR="007D45D4" w:rsidRPr="00B977AE">
        <w:rPr>
          <w:rFonts w:ascii="Book Antiqua" w:hAnsi="Book Antiqua" w:cs="Arial"/>
          <w:sz w:val="24"/>
          <w:szCs w:val="20"/>
          <w:lang w:val="en-US"/>
        </w:rPr>
        <w:t>F</w:t>
      </w:r>
      <w:r w:rsidR="00626CDE" w:rsidRPr="00B977AE">
        <w:rPr>
          <w:rFonts w:ascii="Book Antiqua" w:hAnsi="Book Antiqua" w:cs="Arial"/>
          <w:sz w:val="24"/>
          <w:szCs w:val="20"/>
          <w:lang w:val="en-US"/>
        </w:rPr>
        <w:t xml:space="preserve">DA </w:t>
      </w:r>
      <w:r w:rsidR="007D45D4" w:rsidRPr="00B977AE">
        <w:rPr>
          <w:rFonts w:ascii="Book Antiqua" w:hAnsi="Book Antiqua" w:cs="Arial"/>
          <w:sz w:val="24"/>
          <w:szCs w:val="20"/>
          <w:lang w:val="en-US"/>
        </w:rPr>
        <w:t>A</w:t>
      </w:r>
      <w:r w:rsidR="00626CDE" w:rsidRPr="00B977AE">
        <w:rPr>
          <w:rFonts w:ascii="Book Antiqua" w:hAnsi="Book Antiqua" w:cs="Arial"/>
          <w:sz w:val="24"/>
          <w:szCs w:val="20"/>
          <w:lang w:val="en-US"/>
        </w:rPr>
        <w:t xml:space="preserve">dverse </w:t>
      </w:r>
      <w:r w:rsidR="007D45D4" w:rsidRPr="00B977AE">
        <w:rPr>
          <w:rFonts w:ascii="Book Antiqua" w:hAnsi="Book Antiqua" w:cs="Arial"/>
          <w:sz w:val="24"/>
          <w:szCs w:val="20"/>
          <w:lang w:val="en-US"/>
        </w:rPr>
        <w:t>E</w:t>
      </w:r>
      <w:r w:rsidR="00626CDE" w:rsidRPr="00B977AE">
        <w:rPr>
          <w:rFonts w:ascii="Book Antiqua" w:hAnsi="Book Antiqua" w:cs="Arial"/>
          <w:sz w:val="24"/>
          <w:szCs w:val="20"/>
          <w:lang w:val="en-US"/>
        </w:rPr>
        <w:t xml:space="preserve">vent </w:t>
      </w:r>
      <w:r w:rsidR="007D45D4" w:rsidRPr="00B977AE">
        <w:rPr>
          <w:rFonts w:ascii="Book Antiqua" w:hAnsi="Book Antiqua" w:cs="Arial"/>
          <w:sz w:val="24"/>
          <w:szCs w:val="20"/>
          <w:lang w:val="en-US"/>
        </w:rPr>
        <w:t>R</w:t>
      </w:r>
      <w:r w:rsidR="00626CDE" w:rsidRPr="00B977AE">
        <w:rPr>
          <w:rFonts w:ascii="Book Antiqua" w:hAnsi="Book Antiqua" w:cs="Arial"/>
          <w:sz w:val="24"/>
          <w:szCs w:val="20"/>
          <w:lang w:val="en-US"/>
        </w:rPr>
        <w:t xml:space="preserve">eporting </w:t>
      </w:r>
      <w:r w:rsidR="007D45D4" w:rsidRPr="00B977AE">
        <w:rPr>
          <w:rFonts w:ascii="Book Antiqua" w:hAnsi="Book Antiqua" w:cs="Arial"/>
          <w:sz w:val="24"/>
          <w:szCs w:val="20"/>
          <w:lang w:val="en-US"/>
        </w:rPr>
        <w:t>S</w:t>
      </w:r>
      <w:r w:rsidR="00626CDE" w:rsidRPr="00B977AE">
        <w:rPr>
          <w:rFonts w:ascii="Book Antiqua" w:hAnsi="Book Antiqua" w:cs="Arial"/>
          <w:sz w:val="24"/>
          <w:szCs w:val="20"/>
          <w:lang w:val="en-US"/>
        </w:rPr>
        <w:t>ystem, now termed FAERS</w:t>
      </w:r>
      <w:r w:rsidR="007D45D4" w:rsidRPr="00B977AE">
        <w:rPr>
          <w:rFonts w:ascii="Book Antiqua" w:hAnsi="Book Antiqua" w:cs="Arial"/>
          <w:sz w:val="24"/>
          <w:szCs w:val="20"/>
          <w:lang w:val="en-US"/>
        </w:rPr>
        <w:t xml:space="preserve"> database (2004-201</w:t>
      </w:r>
      <w:r w:rsidR="008D343B" w:rsidRPr="00B977AE">
        <w:rPr>
          <w:rFonts w:ascii="Book Antiqua" w:hAnsi="Book Antiqua" w:cs="Arial"/>
          <w:sz w:val="24"/>
          <w:szCs w:val="20"/>
          <w:lang w:val="en-US"/>
        </w:rPr>
        <w:t>1</w:t>
      </w:r>
      <w:r w:rsidR="007D45D4" w:rsidRPr="00B977AE">
        <w:rPr>
          <w:rFonts w:ascii="Book Antiqua" w:hAnsi="Book Antiqua" w:cs="Arial"/>
          <w:sz w:val="24"/>
          <w:szCs w:val="20"/>
          <w:lang w:val="en-US"/>
        </w:rPr>
        <w:t>)</w:t>
      </w:r>
      <w:r w:rsidR="00626CDE" w:rsidRPr="00B977AE">
        <w:rPr>
          <w:rFonts w:ascii="Book Antiqua" w:hAnsi="Book Antiqua" w:cs="Arial"/>
          <w:sz w:val="24"/>
          <w:szCs w:val="20"/>
          <w:lang w:val="en-US"/>
        </w:rPr>
        <w:t xml:space="preserve">, was used </w:t>
      </w:r>
      <w:r w:rsidR="00B2583E" w:rsidRPr="00B977AE">
        <w:rPr>
          <w:rFonts w:ascii="Book Antiqua" w:hAnsi="Book Antiqua" w:cs="Arial"/>
          <w:sz w:val="24"/>
          <w:szCs w:val="20"/>
          <w:lang w:val="en-US"/>
        </w:rPr>
        <w:t xml:space="preserve">for data mining of </w:t>
      </w:r>
      <w:r w:rsidR="00626CDE" w:rsidRPr="00B977AE">
        <w:rPr>
          <w:rFonts w:ascii="Book Antiqua" w:hAnsi="Book Antiqua" w:cs="Arial"/>
          <w:sz w:val="24"/>
          <w:szCs w:val="20"/>
          <w:lang w:val="en-US"/>
        </w:rPr>
        <w:t>DILI</w:t>
      </w:r>
      <w:r w:rsidR="00B2583E" w:rsidRPr="00B977AE">
        <w:rPr>
          <w:rFonts w:ascii="Book Antiqua" w:hAnsi="Book Antiqua" w:cs="Arial"/>
          <w:sz w:val="24"/>
          <w:szCs w:val="20"/>
          <w:lang w:val="en-US"/>
        </w:rPr>
        <w:t xml:space="preserve"> associated with </w:t>
      </w:r>
      <w:proofErr w:type="spellStart"/>
      <w:r w:rsidR="00B2583E" w:rsidRPr="00B977AE">
        <w:rPr>
          <w:rFonts w:ascii="Book Antiqua" w:hAnsi="Book Antiqua" w:cs="Arial"/>
          <w:sz w:val="24"/>
          <w:szCs w:val="20"/>
          <w:lang w:val="en-US"/>
        </w:rPr>
        <w:t>antimycotics</w:t>
      </w:r>
      <w:proofErr w:type="spellEnd"/>
      <w:r w:rsidR="00626CDE" w:rsidRPr="00B977AE">
        <w:rPr>
          <w:rFonts w:ascii="Book Antiqua" w:hAnsi="Book Antiqua" w:cs="Arial"/>
          <w:sz w:val="24"/>
          <w:szCs w:val="20"/>
          <w:lang w:val="en-US"/>
        </w:rPr>
        <w:t xml:space="preserve">. FAERS serves as repository of </w:t>
      </w:r>
      <w:r w:rsidR="00CF41FE" w:rsidRPr="00B977AE">
        <w:rPr>
          <w:rFonts w:ascii="Book Antiqua" w:hAnsi="Book Antiqua" w:cs="Arial"/>
          <w:sz w:val="24"/>
          <w:szCs w:val="20"/>
          <w:lang w:val="en-US"/>
        </w:rPr>
        <w:t xml:space="preserve">potential adverse events and medication errors associated with chemical and biological agents </w:t>
      </w:r>
      <w:r w:rsidR="00626CDE" w:rsidRPr="00B977AE">
        <w:rPr>
          <w:rFonts w:ascii="Book Antiqua" w:hAnsi="Book Antiqua" w:cs="Arial"/>
          <w:sz w:val="24"/>
          <w:szCs w:val="20"/>
          <w:lang w:val="en-US"/>
        </w:rPr>
        <w:t>spontaneous</w:t>
      </w:r>
      <w:r w:rsidR="00CF41FE" w:rsidRPr="00B977AE">
        <w:rPr>
          <w:rFonts w:ascii="Book Antiqua" w:hAnsi="Book Antiqua" w:cs="Arial"/>
          <w:sz w:val="24"/>
          <w:szCs w:val="20"/>
          <w:lang w:val="en-US"/>
        </w:rPr>
        <w:t>ly</w:t>
      </w:r>
      <w:r w:rsidR="00626CDE" w:rsidRPr="00B977AE">
        <w:rPr>
          <w:rFonts w:ascii="Book Antiqua" w:hAnsi="Book Antiqua" w:cs="Arial"/>
          <w:sz w:val="24"/>
          <w:szCs w:val="20"/>
          <w:lang w:val="en-US"/>
        </w:rPr>
        <w:t xml:space="preserve"> submitted by healthcare professionals, patients and manufacturers. </w:t>
      </w:r>
      <w:r w:rsidR="00CF41FE" w:rsidRPr="00B977AE">
        <w:rPr>
          <w:rFonts w:ascii="Book Antiqua" w:hAnsi="Book Antiqua" w:cs="Arial"/>
          <w:sz w:val="24"/>
          <w:szCs w:val="20"/>
          <w:lang w:val="en-US"/>
        </w:rPr>
        <w:t xml:space="preserve">Since 2003, more than 7 million reports have been accumulated into FAERS, with more than 700000 records entered in 2011. </w:t>
      </w:r>
      <w:r w:rsidR="00EE3BCE" w:rsidRPr="00B977AE">
        <w:rPr>
          <w:rFonts w:ascii="Book Antiqua" w:hAnsi="Book Antiqua" w:cs="Arial"/>
          <w:sz w:val="24"/>
          <w:szCs w:val="20"/>
          <w:lang w:val="en-US"/>
        </w:rPr>
        <w:t>In the light of its large catchment area (inc</w:t>
      </w:r>
      <w:r w:rsidR="00B2583E" w:rsidRPr="00B977AE">
        <w:rPr>
          <w:rFonts w:ascii="Book Antiqua" w:hAnsi="Book Antiqua" w:cs="Arial"/>
          <w:sz w:val="24"/>
          <w:szCs w:val="20"/>
          <w:lang w:val="en-US"/>
        </w:rPr>
        <w:t xml:space="preserve">luding also European reports potentially </w:t>
      </w:r>
      <w:r w:rsidR="00B2583E" w:rsidRPr="00B977AE">
        <w:rPr>
          <w:rFonts w:ascii="Book Antiqua" w:hAnsi="Book Antiqua" w:cs="Arial"/>
          <w:sz w:val="24"/>
          <w:szCs w:val="20"/>
          <w:lang w:val="en-US"/>
        </w:rPr>
        <w:lastRenderedPageBreak/>
        <w:t>related to</w:t>
      </w:r>
      <w:r w:rsidR="00EE3BCE" w:rsidRPr="00B977AE">
        <w:rPr>
          <w:rFonts w:ascii="Book Antiqua" w:hAnsi="Book Antiqua" w:cs="Arial"/>
          <w:sz w:val="24"/>
          <w:szCs w:val="20"/>
          <w:lang w:val="en-US"/>
        </w:rPr>
        <w:t xml:space="preserve"> serious events) and public availability (since 2004),  FAERS plays a  leading role in signal detection and characterization, especially for rare events with high drug-attributable risk</w:t>
      </w:r>
      <w:r w:rsidR="001C464F" w:rsidRPr="00B977AE">
        <w:rPr>
          <w:rFonts w:ascii="Book Antiqua" w:hAnsi="Book Antiqua" w:cs="Arial"/>
          <w:sz w:val="24"/>
          <w:szCs w:val="20"/>
          <w:lang w:val="en-US"/>
        </w:rPr>
        <w:t xml:space="preserve"> such as torsade de pointes</w:t>
      </w:r>
      <w:r w:rsidR="00940462" w:rsidRPr="00B977AE">
        <w:rPr>
          <w:rFonts w:ascii="Book Antiqua" w:hAnsi="Book Antiqua" w:cs="Arial"/>
          <w:sz w:val="24"/>
          <w:szCs w:val="20"/>
          <w:lang w:val="en-US"/>
        </w:rPr>
        <w:t xml:space="preserve"> (</w:t>
      </w:r>
      <w:proofErr w:type="spellStart"/>
      <w:r w:rsidR="00940462" w:rsidRPr="00B977AE">
        <w:rPr>
          <w:rFonts w:ascii="Book Antiqua" w:hAnsi="Book Antiqua" w:cs="Arial"/>
          <w:sz w:val="24"/>
          <w:szCs w:val="20"/>
          <w:lang w:val="en-US"/>
        </w:rPr>
        <w:t>TdP</w:t>
      </w:r>
      <w:proofErr w:type="spellEnd"/>
      <w:r w:rsidR="00940462" w:rsidRPr="00B977AE">
        <w:rPr>
          <w:rFonts w:ascii="Book Antiqua" w:hAnsi="Book Antiqua" w:cs="Arial"/>
          <w:sz w:val="24"/>
          <w:szCs w:val="20"/>
          <w:lang w:val="en-US"/>
        </w:rPr>
        <w:t>)</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&lt;Refman&gt;&lt;Cite&gt;&lt;Author&gt;Poluzzi&lt;/Author&gt;&lt;Year&gt;2009&lt;/Year&gt;&lt;RecNum&gt;78&lt;/RecNum&gt;&lt;IDText&gt;Drug-induced torsades de pointes: data mining of the public version of the FDA Adverse Event Reporting System (AERS)&lt;/IDText&gt;&lt;MDL Ref_Type="Journal"&gt;&lt;Ref_Type&gt;Journal&lt;/Ref_Type&gt;&lt;Ref_ID&gt;78&lt;/Ref_ID&gt;&lt;Title_Primary&gt;Drug-induced torsades de pointes: data mining of the public version of the FDA Adverse Event Reporting System (AERS)&lt;/Title_Primary&gt;&lt;Authors_Primary&gt;Poluzzi,E.&lt;/Authors_Primary&gt;&lt;Authors_Primary&gt;Raschi,E.&lt;/Authors_Primary&gt;&lt;Authors_Primary&gt;Moretti,U.&lt;/Authors_Primary&gt;&lt;Authors_Primary&gt;De,Ponti F.&lt;/Authors_Primary&gt;&lt;Date_Primary&gt;2009/6&lt;/Date_Primary&gt;&lt;Keywords&gt;Adverse Drug Reaction Reporting Systems&lt;/Keywords&gt;&lt;Keywords&gt;adverse effects&lt;/Keywords&gt;&lt;Keywords&gt;Amiodarone&lt;/Keywords&gt;&lt;Keywords&gt;Anti-Bacterial Agents&lt;/Keywords&gt;&lt;Keywords&gt;Antidepressive Agents&lt;/Keywords&gt;&lt;Keywords&gt;Antipsychotic Agents&lt;/Keywords&gt;&lt;Keywords&gt;Cardiovascular Agents&lt;/Keywords&gt;&lt;Keywords&gt;chemically induced&lt;/Keywords&gt;&lt;Keywords&gt;Data Mining&lt;/Keywords&gt;&lt;Keywords&gt;Databases,Factual&lt;/Keywords&gt;&lt;Keywords&gt;Famotidine&lt;/Keywords&gt;&lt;Keywords&gt;Humans&lt;/Keywords&gt;&lt;Keywords&gt;Indans&lt;/Keywords&gt;&lt;Keywords&gt;Methadone&lt;/Keywords&gt;&lt;Keywords&gt;methods&lt;/Keywords&gt;&lt;Keywords&gt;Mitoxantrone&lt;/Keywords&gt;&lt;Keywords&gt;Odds Ratio&lt;/Keywords&gt;&lt;Keywords&gt;Piperidines&lt;/Keywords&gt;&lt;Keywords&gt;statistics &amp;amp; numerical data&lt;/Keywords&gt;&lt;Keywords&gt;Torsades de Pointes&lt;/Keywords&gt;&lt;Keywords&gt;United States&lt;/Keywords&gt;&lt;Keywords&gt;United States Food and Drug Administration&lt;/Keywords&gt;&lt;Reprint&gt;In File&lt;/Reprint&gt;&lt;Start_Page&gt;512&lt;/Start_Page&gt;&lt;End_Page&gt;518&lt;/End_Page&gt;&lt;Periodical&gt;Pharmacoepidemiol.Drug Saf&lt;/Periodical&gt;&lt;Volume&gt;18&lt;/Volume&gt;&lt;Issue&gt;6&lt;/Issue&gt;&lt;Address&gt;Department of Pharmacology, University of Bologna, Bologna, Italy&lt;/Address&gt;&lt;Web_URL&gt;PM:19358226&lt;/Web_URL&gt;&lt;ZZ_JournalStdAbbrev&gt;&lt;f name="System"&gt;Pharmacoepidemiol.Drug Saf&lt;/f&gt;&lt;/ZZ_JournalStdAbbrev&gt;&lt;ZZ_WorkformID&gt;1&lt;/ZZ_WorkformID&gt;&lt;/MDL&gt;&lt;/Cite&gt;&lt;Cite&gt;&lt;Author&gt;Poluzzi&lt;/Author&gt;&lt;Year&gt;2010&lt;/Year&gt;&lt;RecNum&gt;80&lt;/RecNum&gt;&lt;IDText&gt;Antimicrobials and the risk of torsades de pointes: the contribution from data mining of the US FDA Adverse Event Reporting System&lt;/IDText&gt;&lt;MDL Ref_Type="Journal"&gt;&lt;Ref_Type&gt;Journal&lt;/Ref_Type&gt;&lt;Ref_ID&gt;80&lt;/Ref_ID&gt;&lt;Title_Primary&gt;Antimicrobials and the risk of torsades de pointes: the contribution from data mining of the US FDA Adverse Event Reporting System&lt;/Title_Primary&gt;&lt;Authors_Primary&gt;Poluzzi,E.&lt;/Authors_Primary&gt;&lt;Authors_Primary&gt;Raschi,E.&lt;/Authors_Primary&gt;&lt;Authors_Primary&gt;Motola,D.&lt;/Authors_Primary&gt;&lt;Authors_Primary&gt;Moretti,U.&lt;/Authors_Primary&gt;&lt;Authors_Primary&gt;De,Ponti F.&lt;/Authors_Primary&gt;&lt;Date_Primary&gt;2010/4/1&lt;/Date_Primary&gt;&lt;Keywords&gt;Adverse Drug Reaction Reporting Systems&lt;/Keywords&gt;&lt;Keywords&gt;adverse effects&lt;/Keywords&gt;&lt;Keywords&gt;Anti-Infective Agents&lt;/Keywords&gt;&lt;Keywords&gt;chemically induced&lt;/Keywords&gt;&lt;Keywords&gt;Data Mining&lt;/Keywords&gt;&lt;Keywords&gt;Drug Therapy,Combination&lt;/Keywords&gt;&lt;Keywords&gt;Fluconazole&lt;/Keywords&gt;&lt;Keywords&gt;Humans&lt;/Keywords&gt;&lt;Keywords&gt;methods&lt;/Keywords&gt;&lt;Keywords&gt;Odds Ratio&lt;/Keywords&gt;&lt;Keywords&gt;Risk&lt;/Keywords&gt;&lt;Keywords&gt;Risk Factors&lt;/Keywords&gt;&lt;Keywords&gt;Torsades de Pointes&lt;/Keywords&gt;&lt;Keywords&gt;United States&lt;/Keywords&gt;&lt;Keywords&gt;United States Food and Drug Administration&lt;/Keywords&gt;&lt;Reprint&gt;In File&lt;/Reprint&gt;&lt;Start_Page&gt;303&lt;/Start_Page&gt;&lt;End_Page&gt;314&lt;/End_Page&gt;&lt;Periodical&gt;Drug Saf&lt;/Periodical&gt;&lt;Volume&gt;33&lt;/Volume&gt;&lt;Issue&gt;4&lt;/Issue&gt;&lt;Address&gt;Department of Pharmacology, University of Bologna, Bologna, Italy&lt;/Address&gt;&lt;Web_URL&gt;PM:20297862&lt;/Web_URL&gt;&lt;ZZ_JournalStdAbbrev&gt;&lt;f name="System"&gt;Drug Saf&lt;/f&gt;&lt;/ZZ_JournalStdAbbrev&gt;&lt;ZZ_WorkformID&gt;1&lt;/ZZ_WorkformID&gt;&lt;/MDL&gt;&lt;/Cite&gt;&lt;Cite&gt;&lt;Author&gt;Poluzzi&lt;/Author&gt;&lt;Year&gt;2013&lt;/Year&gt;&lt;RecNum&gt;66&lt;/RecNum&gt;&lt;IDText&gt;Antipsychotics and torsadogenic risk: signals emerging from the US FDA Adverse Event Reporting System database&lt;/IDText&gt;&lt;MDL Ref_Type="Journal"&gt;&lt;Ref_Type&gt;Journal&lt;/Ref_Type&gt;&lt;Ref_ID&gt;66&lt;/Ref_ID&gt;&lt;Title_Primary&gt;Antipsychotics and torsadogenic risk: signals emerging from the US FDA Adverse Event Reporting System database&lt;/Title_Primary&gt;&lt;Authors_Primary&gt;Poluzzi,E.&lt;/Authors_Primary&gt;&lt;Authors_Primary&gt;Raschi,E.&lt;/Authors_Primary&gt;&lt;Authors_Primary&gt;Koci,A.&lt;/Authors_Primary&gt;&lt;Authors_Primary&gt;Moretti,U.&lt;/Authors_Primary&gt;&lt;Authors_Primary&gt;Spina,E.&lt;/Authors_Primary&gt;&lt;Authors_Primary&gt;Behr,E.R.&lt;/Authors_Primary&gt;&lt;Authors_Primary&gt;Sturkenboom,M.&lt;/Authors_Primary&gt;&lt;Authors_Primary&gt;De,Ponti F.&lt;/Authors_Primary&gt;&lt;Date_Primary&gt;2013/6&lt;/Date_Primary&gt;&lt;Keywords&gt;Adverse Drug Reaction Reporting Systems&lt;/Keywords&gt;&lt;Keywords&gt;adverse effects&lt;/Keywords&gt;&lt;Keywords&gt;analogs &amp;amp; derivatives&lt;/Keywords&gt;&lt;Keywords&gt;Antipsychotic Agents&lt;/Keywords&gt;&lt;Keywords&gt;Arrhythmias,Cardiac&lt;/Keywords&gt;&lt;Keywords&gt;Benzodiazepines&lt;/Keywords&gt;&lt;Keywords&gt;Cardiotoxins&lt;/Keywords&gt;&lt;Keywords&gt;Cardiovascular Agents&lt;/Keywords&gt;&lt;Keywords&gt;chemically induced&lt;/Keywords&gt;&lt;Keywords&gt;Databases,Pharmaceutical&lt;/Keywords&gt;&lt;Keywords&gt;Death,Sudden,Cardiac&lt;/Keywords&gt;&lt;Keywords&gt;epidemiology&lt;/Keywords&gt;&lt;Keywords&gt;etiology&lt;/Keywords&gt;&lt;Keywords&gt;Female&lt;/Keywords&gt;&lt;Keywords&gt;Humans&lt;/Keywords&gt;&lt;Keywords&gt;Male&lt;/Keywords&gt;&lt;Keywords&gt;methods&lt;/Keywords&gt;&lt;Keywords&gt;Odds Ratio&lt;/Keywords&gt;&lt;Keywords&gt;Pharmacovigilance&lt;/Keywords&gt;&lt;Keywords&gt;Phenothiazines&lt;/Keywords&gt;&lt;Keywords&gt;Risk&lt;/Keywords&gt;&lt;Keywords&gt;Sulpiride&lt;/Keywords&gt;&lt;Keywords&gt;Tachycardia&lt;/Keywords&gt;&lt;Keywords&gt;Torsades de Pointes&lt;/Keywords&gt;&lt;Keywords&gt;United States&lt;/Keywords&gt;&lt;Keywords&gt;United States Food and Drug Administration&lt;/Keywords&gt;&lt;Keywords&gt;Ventricular Fibrillation&lt;/Keywords&gt;&lt;Reprint&gt;Not in File&lt;/Reprint&gt;&lt;Start_Page&gt;467&lt;/Start_Page&gt;&lt;End_Page&gt;479&lt;/End_Page&gt;&lt;Periodical&gt;Drug Saf&lt;/Periodical&gt;&lt;Volume&gt;36&lt;/Volume&gt;&lt;Issue&gt;6&lt;/Issue&gt;&lt;Address&gt;Department of Medical and Surgical Sciences, Pharmacology Unit, Alma Mater Studiorum, University of Bologna, Via Irnerio 48, 40126 Bologna, Italy&lt;/Address&gt;&lt;Web_URL&gt;PM:23553446&lt;/Web_URL&gt;&lt;ZZ_JournalStdAbbrev&gt;&lt;f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[39</w:t>
      </w:r>
      <w:r w:rsidR="003D48E2" w:rsidRPr="00B977AE">
        <w:rPr>
          <w:rFonts w:ascii="Book Antiqua" w:hAnsi="Book Antiqua" w:cs="Arial"/>
          <w:sz w:val="24"/>
          <w:szCs w:val="20"/>
          <w:vertAlign w:val="superscript"/>
          <w:lang w:val="en-US"/>
        </w:rPr>
        <w:t>-</w:t>
      </w:r>
      <w:r w:rsidR="006416CF" w:rsidRPr="00B977AE">
        <w:rPr>
          <w:rFonts w:ascii="Book Antiqua" w:hAnsi="Book Antiqua" w:cs="Arial"/>
          <w:sz w:val="24"/>
          <w:szCs w:val="20"/>
          <w:vertAlign w:val="superscript"/>
          <w:lang w:val="en-US"/>
        </w:rPr>
        <w:t>41]</w:t>
      </w:r>
      <w:r w:rsidR="002411CC" w:rsidRPr="00B977AE">
        <w:rPr>
          <w:rFonts w:ascii="Book Antiqua" w:hAnsi="Book Antiqua" w:cs="Arial"/>
          <w:sz w:val="24"/>
          <w:szCs w:val="20"/>
          <w:lang w:val="en-US"/>
        </w:rPr>
        <w:fldChar w:fldCharType="end"/>
      </w:r>
      <w:r w:rsidR="00EE3BCE" w:rsidRPr="00B977AE">
        <w:rPr>
          <w:rFonts w:ascii="Book Antiqua" w:hAnsi="Book Antiqua" w:cs="Arial"/>
          <w:sz w:val="24"/>
          <w:szCs w:val="20"/>
          <w:lang w:val="en-US"/>
        </w:rPr>
        <w:t xml:space="preserve">. </w:t>
      </w:r>
      <w:r w:rsidR="00F359C4" w:rsidRPr="00B977AE">
        <w:rPr>
          <w:rFonts w:ascii="Book Antiqua" w:hAnsi="Book Antiqua" w:cs="Arial"/>
          <w:sz w:val="24"/>
          <w:szCs w:val="20"/>
          <w:lang w:val="en-US"/>
        </w:rPr>
        <w:t>DILI shares different clinical</w:t>
      </w:r>
      <w:r w:rsidR="00940462" w:rsidRPr="00B977AE">
        <w:rPr>
          <w:rFonts w:ascii="Book Antiqua" w:hAnsi="Book Antiqua" w:cs="Arial"/>
          <w:sz w:val="24"/>
          <w:szCs w:val="20"/>
          <w:lang w:val="en-US"/>
        </w:rPr>
        <w:t>,</w:t>
      </w:r>
      <w:r w:rsidR="00F359C4" w:rsidRPr="00B977AE">
        <w:rPr>
          <w:rFonts w:ascii="Book Antiqua" w:hAnsi="Book Antiqua" w:cs="Arial"/>
          <w:sz w:val="24"/>
          <w:szCs w:val="20"/>
          <w:lang w:val="en-US"/>
        </w:rPr>
        <w:t xml:space="preserve"> pharmacological </w:t>
      </w:r>
      <w:r w:rsidR="00940462" w:rsidRPr="00B977AE">
        <w:rPr>
          <w:rFonts w:ascii="Book Antiqua" w:hAnsi="Book Antiqua" w:cs="Arial"/>
          <w:sz w:val="24"/>
          <w:szCs w:val="20"/>
          <w:lang w:val="en-US"/>
        </w:rPr>
        <w:t xml:space="preserve">and regulatory issues with </w:t>
      </w:r>
      <w:proofErr w:type="spellStart"/>
      <w:r w:rsidR="00940462" w:rsidRPr="00B977AE">
        <w:rPr>
          <w:rFonts w:ascii="Book Antiqua" w:hAnsi="Book Antiqua" w:cs="Arial"/>
          <w:sz w:val="24"/>
          <w:szCs w:val="20"/>
          <w:lang w:val="en-US"/>
        </w:rPr>
        <w:t>TdP</w:t>
      </w:r>
      <w:proofErr w:type="spellEnd"/>
      <w:r w:rsidR="00940462" w:rsidRPr="00B977AE">
        <w:rPr>
          <w:rFonts w:ascii="Book Antiqua" w:hAnsi="Book Antiqua" w:cs="Arial"/>
          <w:sz w:val="24"/>
          <w:szCs w:val="20"/>
          <w:lang w:val="en-US"/>
        </w:rPr>
        <w:t xml:space="preserve"> </w:t>
      </w:r>
      <w:r w:rsidR="006243EC" w:rsidRPr="00B977AE">
        <w:rPr>
          <w:rFonts w:ascii="Book Antiqua" w:hAnsi="Book Antiqua" w:cs="Arial"/>
          <w:sz w:val="24"/>
          <w:szCs w:val="20"/>
          <w:lang w:val="en-US"/>
        </w:rPr>
        <w:t xml:space="preserve">and, remarkably, </w:t>
      </w:r>
      <w:r w:rsidR="00B2583E" w:rsidRPr="00B977AE">
        <w:rPr>
          <w:rFonts w:ascii="Book Antiqua" w:hAnsi="Book Antiqua" w:cs="Arial"/>
          <w:sz w:val="24"/>
          <w:szCs w:val="20"/>
          <w:lang w:val="en-US"/>
        </w:rPr>
        <w:t xml:space="preserve">the accuracy of </w:t>
      </w:r>
      <w:r w:rsidR="006243EC" w:rsidRPr="00B977AE">
        <w:rPr>
          <w:rFonts w:ascii="Book Antiqua" w:hAnsi="Book Antiqua" w:cs="Arial"/>
          <w:sz w:val="24"/>
          <w:szCs w:val="20"/>
          <w:lang w:val="en-US"/>
        </w:rPr>
        <w:t>FAERS</w:t>
      </w:r>
      <w:r w:rsidR="00B2583E" w:rsidRPr="00B977AE">
        <w:rPr>
          <w:rFonts w:ascii="Book Antiqua" w:hAnsi="Book Antiqua" w:cs="Arial"/>
          <w:sz w:val="24"/>
          <w:szCs w:val="20"/>
          <w:lang w:val="en-US"/>
        </w:rPr>
        <w:t xml:space="preserve"> to investigate DILI cases </w:t>
      </w:r>
      <w:r w:rsidR="002105A0" w:rsidRPr="00B977AE">
        <w:rPr>
          <w:rFonts w:ascii="Book Antiqua" w:hAnsi="Book Antiqua" w:cs="Arial"/>
          <w:sz w:val="24"/>
          <w:szCs w:val="20"/>
          <w:lang w:val="en-US"/>
        </w:rPr>
        <w:t>has been</w:t>
      </w:r>
      <w:r w:rsidR="00B2583E" w:rsidRPr="00B977AE">
        <w:rPr>
          <w:rFonts w:ascii="Book Antiqua" w:hAnsi="Book Antiqua" w:cs="Arial"/>
          <w:sz w:val="24"/>
          <w:szCs w:val="20"/>
          <w:lang w:val="en-US"/>
        </w:rPr>
        <w:t xml:space="preserve"> very recently demonstrated, especially as </w:t>
      </w:r>
      <w:r w:rsidR="006243EC" w:rsidRPr="00B977AE">
        <w:rPr>
          <w:rFonts w:ascii="Book Antiqua" w:hAnsi="Book Antiqua" w:cs="Arial"/>
          <w:sz w:val="24"/>
          <w:szCs w:val="20"/>
          <w:lang w:val="en-US"/>
        </w:rPr>
        <w:t>an import</w:t>
      </w:r>
      <w:r w:rsidR="00B2583E" w:rsidRPr="00B977AE">
        <w:rPr>
          <w:rFonts w:ascii="Book Antiqua" w:hAnsi="Book Antiqua" w:cs="Arial"/>
          <w:sz w:val="24"/>
          <w:szCs w:val="20"/>
          <w:lang w:val="en-US"/>
        </w:rPr>
        <w:t>ant aid to systematically track</w:t>
      </w:r>
      <w:r w:rsidR="006243EC" w:rsidRPr="00B977AE">
        <w:rPr>
          <w:rFonts w:ascii="Book Antiqua" w:hAnsi="Book Antiqua" w:cs="Arial"/>
          <w:sz w:val="24"/>
          <w:szCs w:val="20"/>
          <w:lang w:val="en-US"/>
        </w:rPr>
        <w:t xml:space="preserve"> emerging signals of DILI for newly marketed drug</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&lt;Refman&gt;&lt;Cite&gt;&lt;Author&gt;Brinker&lt;/Author&gt;&lt;Year&gt;2013&lt;/Year&gt;&lt;RecNum&gt;11&lt;/RecNum&gt;&lt;IDText&gt;Profiling Cumulative Proportional Reporting Ratios of Drug-Induced Liver Injury in the FDA Adverse Event Reporting System (FAERS) Database&lt;/IDText&gt;&lt;MDL Ref_Type="Journal"&gt;&lt;Ref_Type&gt;Journal&lt;/Ref_Type&gt;&lt;Ref_ID&gt;11&lt;/Ref_ID&gt;&lt;Title_Primary&gt;Profiling Cumulative Proportional Reporting Ratios of Drug-Induced Liver Injury in the FDA Adverse Event Reporting System (FAERS) Database&lt;/Title_Primary&gt;&lt;Authors_Primary&gt;Brinker,A.D.&lt;/Authors_Primary&gt;&lt;Authors_Primary&gt;Lyndly,J.&lt;/Authors_Primary&gt;&lt;Authors_Primary&gt;Tonning,J.&lt;/Authors_Primary&gt;&lt;Authors_Primary&gt;Moeny,D.&lt;/Authors_Primary&gt;&lt;Authors_Primary&gt;Levine,J.G.&lt;/Authors_Primary&gt;&lt;Authors_Primary&gt;Avigan,M.I.&lt;/Authors_Primary&gt;&lt;Date_Primary&gt;2013/12&lt;/Date_Primary&gt;&lt;Keywords&gt;Drug-Induced Liver Injury&lt;/Keywords&gt;&lt;Keywords&gt;epidemiology&lt;/Keywords&gt;&lt;Keywords&gt;etiology&lt;/Keywords&gt;&lt;Keywords&gt;Liver&lt;/Keywords&gt;&lt;Reprint&gt;In File&lt;/Reprint&gt;&lt;Start_Page&gt;1169&lt;/Start_Page&gt;&lt;End_Page&gt;1178&lt;/End_Page&gt;&lt;Periodical&gt;Drug Saf&lt;/Periodical&gt;&lt;Volume&gt;36&lt;/Volume&gt;&lt;Issue&gt;12&lt;/Issue&gt;&lt;Address&gt;Office of Surveillance and Epidemiology, Center for Drug Evaluation and Research, Food and Drug Administration, 10903 New Hampshire Avenue, Silver Spring, MD, 20993, USA, allen.brinker@fda.hhs.gov&lt;/Address&gt;&lt;Web_URL&gt;PM:24178291&lt;/Web_URL&gt;&lt;ZZ_JournalStdAbbrev&gt;&lt;f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[42]</w:t>
      </w:r>
      <w:r w:rsidR="002411CC" w:rsidRPr="00B977AE">
        <w:rPr>
          <w:rFonts w:ascii="Book Antiqua" w:hAnsi="Book Antiqua" w:cs="Arial"/>
          <w:sz w:val="24"/>
          <w:szCs w:val="20"/>
          <w:lang w:val="en-US"/>
        </w:rPr>
        <w:fldChar w:fldCharType="end"/>
      </w:r>
      <w:r w:rsidR="007D14E7" w:rsidRPr="00B977AE">
        <w:rPr>
          <w:rFonts w:ascii="Book Antiqua" w:hAnsi="Book Antiqua" w:cs="Arial"/>
          <w:sz w:val="24"/>
          <w:szCs w:val="20"/>
          <w:lang w:val="en-US"/>
        </w:rPr>
        <w:t>.</w:t>
      </w:r>
    </w:p>
    <w:p w:rsidR="00ED336B" w:rsidRPr="00B977AE" w:rsidRDefault="00ED336B" w:rsidP="004D1284">
      <w:pPr>
        <w:autoSpaceDE w:val="0"/>
        <w:autoSpaceDN w:val="0"/>
        <w:adjustRightInd w:val="0"/>
        <w:spacing w:line="360" w:lineRule="auto"/>
        <w:jc w:val="both"/>
        <w:rPr>
          <w:rFonts w:ascii="Book Antiqua" w:hAnsi="Book Antiqua" w:cs="Arial"/>
          <w:sz w:val="24"/>
          <w:szCs w:val="20"/>
          <w:lang w:val="en-US" w:eastAsia="zh-CN"/>
        </w:rPr>
      </w:pPr>
    </w:p>
    <w:p w:rsidR="00ED336B" w:rsidRPr="00B977AE" w:rsidRDefault="007D14E7" w:rsidP="004D1284">
      <w:pPr>
        <w:autoSpaceDE w:val="0"/>
        <w:autoSpaceDN w:val="0"/>
        <w:adjustRightInd w:val="0"/>
        <w:spacing w:line="360" w:lineRule="auto"/>
        <w:jc w:val="both"/>
        <w:rPr>
          <w:rFonts w:ascii="Book Antiqua" w:hAnsi="Book Antiqua" w:cs="Arial"/>
          <w:b/>
          <w:i/>
          <w:sz w:val="24"/>
          <w:szCs w:val="20"/>
          <w:lang w:val="en-US" w:eastAsia="zh-CN"/>
        </w:rPr>
      </w:pPr>
      <w:r w:rsidRPr="00B977AE">
        <w:rPr>
          <w:rFonts w:ascii="Book Antiqua" w:hAnsi="Book Antiqua" w:cs="Arial"/>
          <w:b/>
          <w:i/>
          <w:sz w:val="24"/>
          <w:szCs w:val="20"/>
          <w:lang w:val="en-US"/>
        </w:rPr>
        <w:t>Data selection and analysis</w:t>
      </w:r>
    </w:p>
    <w:p w:rsidR="007D45D4" w:rsidRPr="00B977AE" w:rsidRDefault="006174EA" w:rsidP="004D1284">
      <w:pPr>
        <w:autoSpaceDE w:val="0"/>
        <w:autoSpaceDN w:val="0"/>
        <w:adjustRightInd w:val="0"/>
        <w:spacing w:line="360" w:lineRule="auto"/>
        <w:jc w:val="both"/>
        <w:rPr>
          <w:rFonts w:ascii="Book Antiqua" w:hAnsi="Book Antiqua" w:cs="Arial"/>
          <w:sz w:val="24"/>
          <w:szCs w:val="20"/>
          <w:lang w:val="en-US" w:eastAsia="zh-CN"/>
        </w:rPr>
      </w:pPr>
      <w:r w:rsidRPr="00B977AE">
        <w:rPr>
          <w:rFonts w:ascii="Book Antiqua" w:hAnsi="Book Antiqua" w:cs="Arial"/>
          <w:sz w:val="24"/>
          <w:szCs w:val="20"/>
          <w:lang w:val="en-US"/>
        </w:rPr>
        <w:t>Data processing and management</w:t>
      </w:r>
      <w:r w:rsidR="004A1E50" w:rsidRPr="00B977AE">
        <w:rPr>
          <w:rFonts w:ascii="Book Antiqua" w:hAnsi="Book Antiqua" w:cs="Arial"/>
          <w:sz w:val="24"/>
          <w:szCs w:val="20"/>
          <w:lang w:val="en-US"/>
        </w:rPr>
        <w:t xml:space="preserve"> (</w:t>
      </w:r>
      <w:r w:rsidR="0004797C" w:rsidRPr="0004797C">
        <w:rPr>
          <w:rFonts w:ascii="Book Antiqua" w:hAnsi="Book Antiqua" w:cs="Arial"/>
          <w:i/>
          <w:sz w:val="24"/>
          <w:szCs w:val="20"/>
          <w:lang w:val="en-US"/>
        </w:rPr>
        <w:t>e.g</w:t>
      </w:r>
      <w:r w:rsidR="004A1E50" w:rsidRPr="00B977AE">
        <w:rPr>
          <w:rFonts w:ascii="Book Antiqua" w:hAnsi="Book Antiqua" w:cs="Arial"/>
          <w:sz w:val="24"/>
          <w:szCs w:val="20"/>
          <w:lang w:val="en-US"/>
        </w:rPr>
        <w:t>., duplicate detection and removal, handling of missing data)</w:t>
      </w:r>
      <w:r w:rsidRPr="00B977AE">
        <w:rPr>
          <w:rFonts w:ascii="Book Antiqua" w:hAnsi="Book Antiqua" w:cs="Arial"/>
          <w:sz w:val="24"/>
          <w:szCs w:val="20"/>
          <w:lang w:val="en-US"/>
        </w:rPr>
        <w:t xml:space="preserve"> were performed according to previous methodology, extensively described in a dedicated boo</w:t>
      </w:r>
      <w:r w:rsidR="00CA374A" w:rsidRPr="00B977AE">
        <w:rPr>
          <w:rFonts w:ascii="Book Antiqua" w:hAnsi="Book Antiqua" w:cs="Arial"/>
          <w:sz w:val="24"/>
          <w:szCs w:val="20"/>
          <w:lang w:val="en-US"/>
        </w:rPr>
        <w:t>k</w:t>
      </w:r>
      <w:r w:rsidRPr="00B977AE">
        <w:rPr>
          <w:rFonts w:ascii="Book Antiqua" w:hAnsi="Book Antiqua" w:cs="Arial"/>
          <w:sz w:val="24"/>
          <w:szCs w:val="20"/>
          <w:lang w:val="en-US"/>
        </w:rPr>
        <w:t xml:space="preserve"> chapter</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&lt;Refman&gt;&lt;Cite&gt;&lt;Author&gt;Poluzzi&lt;/Author&gt;&lt;Year&gt;2012&lt;/Year&gt;&lt;RecNum&gt;1984&lt;/RecNum&gt;&lt;IDText&gt;Data Mining Techniques in Pharmacovigilance: Analysis of the Publicly Accessible FDA Adverse Event Reporting System (AERS)&lt;/IDText&gt;&lt;MDL Ref_Type="Book Chapter"&gt;&lt;Ref_Type&gt;Book Chapter&lt;/Ref_Type&gt;&lt;Ref_ID&gt;1984&lt;/Ref_ID&gt;&lt;Title_Primary&gt;&lt;f name="FrutigerCE-Bold"&gt;Data Mining Techniques in Pharmacovigilance: Analysis of the Publicly Accessible FDA Adverse Event Reporting System (AERS)&lt;/f&gt;&lt;/Title_Primary&gt;&lt;Authors_Primary&gt;Poluzzi,E.&lt;/Authors_Primary&gt;&lt;Authors_Primary&gt;Raschi,E.&lt;/Authors_Primary&gt;&lt;Authors_Primary&gt;Piccinni,C&lt;/Authors_Primary&gt;&lt;Authors_Primary&gt;De Ponti,F&lt;/Authors_Primary&gt;&lt;Date_Primary&gt;2012&lt;/Date_Primary&gt;&lt;Keywords&gt;analysis&lt;/Keywords&gt;&lt;Keywords&gt;Data Mining&lt;/Keywords&gt;&lt;Reprint&gt;Not in File&lt;/Reprint&gt;&lt;Start_Page&gt;267&lt;/Start_Page&gt;&lt;End_Page&gt;301&lt;/End_Page&gt;&lt;Title_Secondary&gt;Data Mining Applications in Engineering and Medicine&lt;/Title_Secondary&gt;&lt;Authors_Secondary&gt;Karahoca,A&lt;/Authors_Secondary&gt;&lt;Issue&gt;12&lt;/Issue&gt;&lt;Pub_Place&gt;Croatia&lt;/Pub_Place&gt;&lt;Publisher&gt;InTech&lt;/Publisher&gt;&lt;ZZ_WorkformID&gt;3&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[43]</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w:t>
      </w:r>
      <w:r w:rsidR="004A1E50" w:rsidRPr="00B977AE">
        <w:rPr>
          <w:rFonts w:ascii="Book Antiqua" w:hAnsi="Book Antiqua" w:cs="Arial"/>
          <w:sz w:val="24"/>
          <w:szCs w:val="20"/>
          <w:lang w:val="en-US"/>
        </w:rPr>
        <w:t xml:space="preserve"> In this study, </w:t>
      </w:r>
      <w:r w:rsidR="00CF326C" w:rsidRPr="00B977AE">
        <w:rPr>
          <w:rFonts w:ascii="Book Antiqua" w:hAnsi="Book Antiqua" w:cs="Arial"/>
          <w:sz w:val="24"/>
          <w:szCs w:val="20"/>
          <w:lang w:val="en-US"/>
        </w:rPr>
        <w:t>main selection criteria regards the role code assigned to the drug (</w:t>
      </w:r>
      <w:r w:rsidR="00553915" w:rsidRPr="00B977AE">
        <w:rPr>
          <w:rFonts w:ascii="Book Antiqua" w:hAnsi="Book Antiqua" w:cs="Arial"/>
          <w:i/>
          <w:sz w:val="24"/>
          <w:szCs w:val="20"/>
          <w:lang w:val="en-US"/>
        </w:rPr>
        <w:t>i.e.</w:t>
      </w:r>
      <w:r w:rsidR="00CF326C" w:rsidRPr="00B977AE">
        <w:rPr>
          <w:rFonts w:ascii="Book Antiqua" w:hAnsi="Book Antiqua" w:cs="Arial"/>
          <w:sz w:val="24"/>
          <w:szCs w:val="20"/>
          <w:lang w:val="en-US"/>
        </w:rPr>
        <w:t xml:space="preserve">, </w:t>
      </w:r>
      <w:r w:rsidR="004A1E50" w:rsidRPr="00B977AE">
        <w:rPr>
          <w:rFonts w:ascii="Book Antiqua" w:hAnsi="Book Antiqua" w:cs="Arial"/>
          <w:sz w:val="24"/>
          <w:szCs w:val="20"/>
          <w:lang w:val="en-US"/>
        </w:rPr>
        <w:t>o</w:t>
      </w:r>
      <w:r w:rsidR="00E00AB2" w:rsidRPr="00B977AE">
        <w:rPr>
          <w:rFonts w:ascii="Book Antiqua" w:hAnsi="Book Antiqua" w:cs="Arial"/>
          <w:sz w:val="24"/>
          <w:szCs w:val="20"/>
          <w:lang w:val="en-US"/>
        </w:rPr>
        <w:t>nly “P</w:t>
      </w:r>
      <w:r w:rsidR="00CF326C" w:rsidRPr="00B977AE">
        <w:rPr>
          <w:rFonts w:ascii="Book Antiqua" w:hAnsi="Book Antiqua" w:cs="Arial"/>
          <w:sz w:val="24"/>
          <w:szCs w:val="20"/>
          <w:lang w:val="en-US"/>
        </w:rPr>
        <w:t xml:space="preserve">rimary </w:t>
      </w:r>
      <w:r w:rsidR="00E00AB2" w:rsidRPr="00B977AE">
        <w:rPr>
          <w:rFonts w:ascii="Book Antiqua" w:hAnsi="Book Antiqua" w:cs="Arial"/>
          <w:sz w:val="24"/>
          <w:szCs w:val="20"/>
          <w:lang w:val="en-US"/>
        </w:rPr>
        <w:t>S</w:t>
      </w:r>
      <w:r w:rsidR="00CF326C" w:rsidRPr="00B977AE">
        <w:rPr>
          <w:rFonts w:ascii="Book Antiqua" w:hAnsi="Book Antiqua" w:cs="Arial"/>
          <w:sz w:val="24"/>
          <w:szCs w:val="20"/>
          <w:lang w:val="en-US"/>
        </w:rPr>
        <w:t>uspect</w:t>
      </w:r>
      <w:r w:rsidR="00E00AB2" w:rsidRPr="00B977AE">
        <w:rPr>
          <w:rFonts w:ascii="Book Antiqua" w:hAnsi="Book Antiqua" w:cs="Arial"/>
          <w:sz w:val="24"/>
          <w:szCs w:val="20"/>
          <w:lang w:val="en-US"/>
        </w:rPr>
        <w:t>”, “S</w:t>
      </w:r>
      <w:r w:rsidR="00CF326C" w:rsidRPr="00B977AE">
        <w:rPr>
          <w:rFonts w:ascii="Book Antiqua" w:hAnsi="Book Antiqua" w:cs="Arial"/>
          <w:sz w:val="24"/>
          <w:szCs w:val="20"/>
          <w:lang w:val="en-US"/>
        </w:rPr>
        <w:t xml:space="preserve">econdary </w:t>
      </w:r>
      <w:r w:rsidR="00E00AB2" w:rsidRPr="00B977AE">
        <w:rPr>
          <w:rFonts w:ascii="Book Antiqua" w:hAnsi="Book Antiqua" w:cs="Arial"/>
          <w:sz w:val="24"/>
          <w:szCs w:val="20"/>
          <w:lang w:val="en-US"/>
        </w:rPr>
        <w:t>S</w:t>
      </w:r>
      <w:r w:rsidR="00CF326C" w:rsidRPr="00B977AE">
        <w:rPr>
          <w:rFonts w:ascii="Book Antiqua" w:hAnsi="Book Antiqua" w:cs="Arial"/>
          <w:sz w:val="24"/>
          <w:szCs w:val="20"/>
          <w:lang w:val="en-US"/>
        </w:rPr>
        <w:t>uspect</w:t>
      </w:r>
      <w:r w:rsidR="00E00AB2" w:rsidRPr="00B977AE">
        <w:rPr>
          <w:rFonts w:ascii="Book Antiqua" w:hAnsi="Book Antiqua" w:cs="Arial"/>
          <w:sz w:val="24"/>
          <w:szCs w:val="20"/>
          <w:lang w:val="en-US"/>
        </w:rPr>
        <w:t>” or “I</w:t>
      </w:r>
      <w:r w:rsidR="00CF326C" w:rsidRPr="00B977AE">
        <w:rPr>
          <w:rFonts w:ascii="Book Antiqua" w:hAnsi="Book Antiqua" w:cs="Arial"/>
          <w:sz w:val="24"/>
          <w:szCs w:val="20"/>
          <w:lang w:val="en-US"/>
        </w:rPr>
        <w:t>nteracting</w:t>
      </w:r>
      <w:r w:rsidR="00E00AB2" w:rsidRPr="00B977AE">
        <w:rPr>
          <w:rFonts w:ascii="Book Antiqua" w:hAnsi="Book Antiqua" w:cs="Arial"/>
          <w:sz w:val="24"/>
          <w:szCs w:val="20"/>
          <w:lang w:val="en-US"/>
        </w:rPr>
        <w:t>”</w:t>
      </w:r>
      <w:r w:rsidR="00CF326C" w:rsidRPr="00B977AE">
        <w:rPr>
          <w:rFonts w:ascii="Book Antiqua" w:hAnsi="Book Antiqua" w:cs="Arial"/>
          <w:sz w:val="24"/>
          <w:szCs w:val="20"/>
          <w:lang w:val="en-US"/>
        </w:rPr>
        <w:t>, whereas</w:t>
      </w:r>
      <w:r w:rsidR="00CD5C10" w:rsidRPr="00B977AE">
        <w:rPr>
          <w:rFonts w:ascii="Book Antiqua" w:hAnsi="Book Antiqua" w:cs="Arial"/>
          <w:sz w:val="24"/>
          <w:szCs w:val="20"/>
          <w:lang w:val="en-US"/>
        </w:rPr>
        <w:t xml:space="preserve"> cases where </w:t>
      </w:r>
      <w:proofErr w:type="spellStart"/>
      <w:r w:rsidR="00CD5C10" w:rsidRPr="00B977AE">
        <w:rPr>
          <w:rFonts w:ascii="Book Antiqua" w:hAnsi="Book Antiqua" w:cs="Arial"/>
          <w:sz w:val="24"/>
          <w:szCs w:val="20"/>
          <w:lang w:val="en-US"/>
        </w:rPr>
        <w:t>antimycotics</w:t>
      </w:r>
      <w:proofErr w:type="spellEnd"/>
      <w:r w:rsidR="0084639F" w:rsidRPr="00B977AE">
        <w:rPr>
          <w:rFonts w:ascii="Book Antiqua" w:hAnsi="Book Antiqua" w:cs="Arial"/>
          <w:sz w:val="24"/>
          <w:szCs w:val="20"/>
          <w:lang w:val="en-US"/>
        </w:rPr>
        <w:t xml:space="preserve"> were reported as </w:t>
      </w:r>
      <w:r w:rsidR="00CF326C" w:rsidRPr="00B977AE">
        <w:rPr>
          <w:rFonts w:ascii="Book Antiqua" w:hAnsi="Book Antiqua" w:cs="Arial"/>
          <w:sz w:val="24"/>
          <w:szCs w:val="20"/>
          <w:lang w:val="en-US"/>
        </w:rPr>
        <w:t>“C</w:t>
      </w:r>
      <w:r w:rsidR="0084639F" w:rsidRPr="00B977AE">
        <w:rPr>
          <w:rFonts w:ascii="Book Antiqua" w:hAnsi="Book Antiqua" w:cs="Arial"/>
          <w:sz w:val="24"/>
          <w:szCs w:val="20"/>
          <w:lang w:val="en-US"/>
        </w:rPr>
        <w:t>oncomitant</w:t>
      </w:r>
      <w:r w:rsidR="00CF326C" w:rsidRPr="00B977AE">
        <w:rPr>
          <w:rFonts w:ascii="Book Antiqua" w:hAnsi="Book Antiqua" w:cs="Arial"/>
          <w:sz w:val="24"/>
          <w:szCs w:val="20"/>
          <w:lang w:val="en-US"/>
        </w:rPr>
        <w:t>”</w:t>
      </w:r>
      <w:r w:rsidR="0084639F" w:rsidRPr="00B977AE">
        <w:rPr>
          <w:rFonts w:ascii="Book Antiqua" w:hAnsi="Book Antiqua" w:cs="Arial"/>
          <w:sz w:val="24"/>
          <w:szCs w:val="20"/>
          <w:lang w:val="en-US"/>
        </w:rPr>
        <w:t xml:space="preserve"> </w:t>
      </w:r>
      <w:r w:rsidR="00CF326C" w:rsidRPr="00B977AE">
        <w:rPr>
          <w:rFonts w:ascii="Book Antiqua" w:hAnsi="Book Antiqua" w:cs="Arial"/>
          <w:sz w:val="24"/>
          <w:szCs w:val="20"/>
          <w:lang w:val="en-US"/>
        </w:rPr>
        <w:t>were</w:t>
      </w:r>
      <w:r w:rsidR="0084639F" w:rsidRPr="00B977AE">
        <w:rPr>
          <w:rFonts w:ascii="Book Antiqua" w:hAnsi="Book Antiqua" w:cs="Arial"/>
          <w:sz w:val="24"/>
          <w:szCs w:val="20"/>
          <w:lang w:val="en-US"/>
        </w:rPr>
        <w:t xml:space="preserve"> not included)</w:t>
      </w:r>
      <w:r w:rsidR="00CF326C" w:rsidRPr="00B977AE">
        <w:rPr>
          <w:rFonts w:ascii="Book Antiqua" w:hAnsi="Book Antiqua" w:cs="Arial"/>
          <w:sz w:val="24"/>
          <w:szCs w:val="20"/>
          <w:lang w:val="en-US"/>
        </w:rPr>
        <w:t xml:space="preserve"> and information on </w:t>
      </w:r>
      <w:r w:rsidR="00E00AB2" w:rsidRPr="00B977AE">
        <w:rPr>
          <w:rFonts w:ascii="Book Antiqua" w:hAnsi="Book Antiqua" w:cs="Arial"/>
          <w:sz w:val="24"/>
          <w:szCs w:val="20"/>
          <w:lang w:val="en-US"/>
        </w:rPr>
        <w:t xml:space="preserve">age and gender </w:t>
      </w:r>
      <w:r w:rsidR="00CF326C" w:rsidRPr="00B977AE">
        <w:rPr>
          <w:rFonts w:ascii="Book Antiqua" w:hAnsi="Book Antiqua" w:cs="Arial"/>
          <w:sz w:val="24"/>
          <w:szCs w:val="20"/>
          <w:lang w:val="en-US"/>
        </w:rPr>
        <w:t>(records with missing data in these fields were not considered)</w:t>
      </w:r>
      <w:r w:rsidR="00E00AB2" w:rsidRPr="00B977AE">
        <w:rPr>
          <w:rFonts w:ascii="Book Antiqua" w:hAnsi="Book Antiqua" w:cs="Arial"/>
          <w:sz w:val="24"/>
          <w:szCs w:val="20"/>
          <w:lang w:val="en-US"/>
        </w:rPr>
        <w:t>.</w:t>
      </w:r>
      <w:r w:rsidR="00B96807" w:rsidRPr="00B977AE">
        <w:rPr>
          <w:rFonts w:ascii="Book Antiqua" w:hAnsi="Book Antiqua" w:cs="Arial"/>
          <w:sz w:val="24"/>
          <w:szCs w:val="20"/>
          <w:lang w:val="en-US"/>
        </w:rPr>
        <w:t xml:space="preserve"> </w:t>
      </w:r>
      <w:r w:rsidR="00B045B9" w:rsidRPr="00B977AE">
        <w:rPr>
          <w:rFonts w:ascii="Book Antiqua" w:hAnsi="Book Antiqua" w:cs="Arial"/>
          <w:sz w:val="24"/>
          <w:szCs w:val="20"/>
          <w:lang w:val="en-US"/>
        </w:rPr>
        <w:t xml:space="preserve">Drugs of interest were represented by </w:t>
      </w:r>
      <w:proofErr w:type="spellStart"/>
      <w:r w:rsidR="00B045B9" w:rsidRPr="00B977AE">
        <w:rPr>
          <w:rFonts w:ascii="Book Antiqua" w:hAnsi="Book Antiqua" w:cs="Arial"/>
          <w:sz w:val="24"/>
          <w:szCs w:val="20"/>
          <w:lang w:val="en-US"/>
        </w:rPr>
        <w:t>antimyc</w:t>
      </w:r>
      <w:r w:rsidR="004D7ED4" w:rsidRPr="00B977AE">
        <w:rPr>
          <w:rFonts w:ascii="Book Antiqua" w:hAnsi="Book Antiqua" w:cs="Arial"/>
          <w:sz w:val="24"/>
          <w:szCs w:val="20"/>
          <w:lang w:val="en-US"/>
        </w:rPr>
        <w:t>otics</w:t>
      </w:r>
      <w:proofErr w:type="spellEnd"/>
      <w:r w:rsidR="00B045B9" w:rsidRPr="00B977AE">
        <w:rPr>
          <w:rFonts w:ascii="Book Antiqua" w:hAnsi="Book Antiqua" w:cs="Arial"/>
          <w:sz w:val="24"/>
          <w:szCs w:val="20"/>
          <w:lang w:val="en-US"/>
        </w:rPr>
        <w:t xml:space="preserve"> </w:t>
      </w:r>
      <w:r w:rsidR="00CD5C10" w:rsidRPr="00B977AE">
        <w:rPr>
          <w:rFonts w:ascii="Book Antiqua" w:hAnsi="Book Antiqua" w:cs="Arial"/>
          <w:sz w:val="24"/>
          <w:szCs w:val="20"/>
          <w:lang w:val="en-US"/>
        </w:rPr>
        <w:t>with systemic use, including those agents used for topical indications that may have systemic absorption (</w:t>
      </w:r>
      <w:r w:rsidR="0004797C" w:rsidRPr="0004797C">
        <w:rPr>
          <w:rFonts w:ascii="Book Antiqua" w:hAnsi="Book Antiqua" w:cs="Arial"/>
          <w:i/>
          <w:sz w:val="24"/>
          <w:szCs w:val="20"/>
          <w:lang w:val="en-US"/>
        </w:rPr>
        <w:t>e.g</w:t>
      </w:r>
      <w:r w:rsidR="00CD5C10" w:rsidRPr="00B977AE">
        <w:rPr>
          <w:rFonts w:ascii="Book Antiqua" w:hAnsi="Book Antiqua" w:cs="Arial"/>
          <w:sz w:val="24"/>
          <w:szCs w:val="20"/>
          <w:lang w:val="en-US"/>
        </w:rPr>
        <w:t xml:space="preserve">., </w:t>
      </w:r>
      <w:proofErr w:type="spellStart"/>
      <w:r w:rsidR="00CD5C10" w:rsidRPr="00B977AE">
        <w:rPr>
          <w:rFonts w:ascii="Book Antiqua" w:hAnsi="Book Antiqua" w:cs="Arial"/>
          <w:sz w:val="24"/>
          <w:szCs w:val="20"/>
          <w:lang w:val="en-US"/>
        </w:rPr>
        <w:t>terbinafine</w:t>
      </w:r>
      <w:proofErr w:type="spellEnd"/>
      <w:r w:rsidR="00CD5C10" w:rsidRPr="00B977AE">
        <w:rPr>
          <w:rFonts w:ascii="Book Antiqua" w:hAnsi="Book Antiqua" w:cs="Arial"/>
          <w:sz w:val="24"/>
          <w:szCs w:val="20"/>
          <w:lang w:val="en-US"/>
        </w:rPr>
        <w:t xml:space="preserve"> and </w:t>
      </w:r>
      <w:proofErr w:type="spellStart"/>
      <w:r w:rsidR="00CD5C10" w:rsidRPr="00B977AE">
        <w:rPr>
          <w:rFonts w:ascii="Book Antiqua" w:hAnsi="Book Antiqua" w:cs="Arial"/>
          <w:sz w:val="24"/>
          <w:szCs w:val="20"/>
          <w:lang w:val="en-US"/>
        </w:rPr>
        <w:t>griseofulvine</w:t>
      </w:r>
      <w:proofErr w:type="spellEnd"/>
      <w:r w:rsidR="00CD5C10" w:rsidRPr="00B977AE">
        <w:rPr>
          <w:rFonts w:ascii="Book Antiqua" w:hAnsi="Book Antiqua" w:cs="Arial"/>
          <w:sz w:val="24"/>
          <w:szCs w:val="20"/>
          <w:lang w:val="en-US"/>
        </w:rPr>
        <w:t xml:space="preserve">). These compounds </w:t>
      </w:r>
      <w:r w:rsidR="00B75D62" w:rsidRPr="00B977AE">
        <w:rPr>
          <w:rFonts w:ascii="Book Antiqua" w:hAnsi="Book Antiqua" w:cs="Arial"/>
          <w:sz w:val="24"/>
          <w:szCs w:val="20"/>
          <w:lang w:val="en-US"/>
        </w:rPr>
        <w:t xml:space="preserve"> were mapped through an </w:t>
      </w:r>
      <w:r w:rsidR="00B75D62" w:rsidRPr="00B977AE">
        <w:rPr>
          <w:rFonts w:ascii="Book Antiqua" w:hAnsi="Book Antiqua" w:cs="Arial"/>
          <w:i/>
          <w:sz w:val="24"/>
          <w:szCs w:val="20"/>
          <w:lang w:val="en-US"/>
        </w:rPr>
        <w:t>ad hoc</w:t>
      </w:r>
      <w:r w:rsidR="00B75D62" w:rsidRPr="00B977AE">
        <w:rPr>
          <w:rFonts w:ascii="Book Antiqua" w:hAnsi="Book Antiqua" w:cs="Arial"/>
          <w:sz w:val="24"/>
          <w:szCs w:val="20"/>
          <w:lang w:val="en-US"/>
        </w:rPr>
        <w:t xml:space="preserve"> created archive of drug names and converted into relevant active substances</w:t>
      </w:r>
      <w:r w:rsidR="00B045B9" w:rsidRPr="00B977AE">
        <w:rPr>
          <w:rFonts w:ascii="Book Antiqua" w:hAnsi="Book Antiqua" w:cs="Arial"/>
          <w:sz w:val="24"/>
          <w:szCs w:val="20"/>
          <w:lang w:val="en-US"/>
        </w:rPr>
        <w:t>.</w:t>
      </w:r>
      <w:r w:rsidR="00E554E5" w:rsidRPr="00B977AE">
        <w:rPr>
          <w:rFonts w:ascii="Book Antiqua" w:hAnsi="Book Antiqua" w:cs="Arial"/>
          <w:sz w:val="24"/>
          <w:szCs w:val="20"/>
          <w:lang w:val="en-US"/>
        </w:rPr>
        <w:t xml:space="preserve"> Events of interest were selected according to a pre-specified search strategy (see below) and based on the standard </w:t>
      </w:r>
      <w:proofErr w:type="spellStart"/>
      <w:r w:rsidR="00E554E5" w:rsidRPr="00B977AE">
        <w:rPr>
          <w:rFonts w:ascii="Book Antiqua" w:hAnsi="Book Antiqua" w:cs="Arial"/>
          <w:sz w:val="24"/>
          <w:szCs w:val="20"/>
          <w:lang w:val="en-US"/>
        </w:rPr>
        <w:t>MedDRA</w:t>
      </w:r>
      <w:proofErr w:type="spellEnd"/>
      <w:r w:rsidR="00E554E5" w:rsidRPr="00B977AE">
        <w:rPr>
          <w:rFonts w:ascii="Book Antiqua" w:hAnsi="Book Antiqua" w:cs="Arial"/>
          <w:sz w:val="24"/>
          <w:szCs w:val="20"/>
          <w:lang w:val="en-US"/>
        </w:rPr>
        <w:t xml:space="preserve"> (Medical Dictionary for Regulatory Activities) terminology for codification.</w:t>
      </w:r>
    </w:p>
    <w:p w:rsidR="00D93B56" w:rsidRPr="00B977AE" w:rsidRDefault="00D93B56" w:rsidP="004D1284">
      <w:pPr>
        <w:autoSpaceDE w:val="0"/>
        <w:autoSpaceDN w:val="0"/>
        <w:adjustRightInd w:val="0"/>
        <w:spacing w:line="360" w:lineRule="auto"/>
        <w:jc w:val="both"/>
        <w:rPr>
          <w:rFonts w:ascii="Book Antiqua" w:hAnsi="Book Antiqua" w:cs="Arial"/>
          <w:sz w:val="24"/>
          <w:szCs w:val="20"/>
          <w:lang w:val="en-US" w:eastAsia="zh-CN"/>
        </w:rPr>
      </w:pPr>
    </w:p>
    <w:p w:rsidR="00D93B56" w:rsidRPr="00B977AE" w:rsidRDefault="007D45D4" w:rsidP="004D1284">
      <w:pPr>
        <w:autoSpaceDE w:val="0"/>
        <w:autoSpaceDN w:val="0"/>
        <w:adjustRightInd w:val="0"/>
        <w:spacing w:line="360" w:lineRule="auto"/>
        <w:jc w:val="both"/>
        <w:rPr>
          <w:rFonts w:ascii="Book Antiqua" w:hAnsi="Book Antiqua" w:cs="Arial"/>
          <w:b/>
          <w:sz w:val="24"/>
          <w:szCs w:val="20"/>
          <w:lang w:val="en-US" w:eastAsia="zh-CN"/>
        </w:rPr>
      </w:pPr>
      <w:r w:rsidRPr="00B977AE">
        <w:rPr>
          <w:rFonts w:ascii="Book Antiqua" w:hAnsi="Book Antiqua" w:cs="Arial"/>
          <w:b/>
          <w:i/>
          <w:sz w:val="24"/>
          <w:szCs w:val="20"/>
          <w:lang w:val="en-US"/>
        </w:rPr>
        <w:t xml:space="preserve">Search </w:t>
      </w:r>
      <w:r w:rsidR="00D93B56" w:rsidRPr="00B977AE">
        <w:rPr>
          <w:rFonts w:ascii="Book Antiqua" w:hAnsi="Book Antiqua" w:cs="Arial"/>
          <w:b/>
          <w:i/>
          <w:sz w:val="24"/>
          <w:szCs w:val="20"/>
          <w:lang w:val="en-US"/>
        </w:rPr>
        <w:t>s</w:t>
      </w:r>
      <w:r w:rsidRPr="00B977AE">
        <w:rPr>
          <w:rFonts w:ascii="Book Antiqua" w:hAnsi="Book Antiqua" w:cs="Arial"/>
          <w:b/>
          <w:i/>
          <w:sz w:val="24"/>
          <w:szCs w:val="20"/>
          <w:lang w:val="en-US"/>
        </w:rPr>
        <w:t>trategy</w:t>
      </w:r>
    </w:p>
    <w:p w:rsidR="00907ED5" w:rsidRPr="00B977AE" w:rsidRDefault="00706611" w:rsidP="004D1284">
      <w:pPr>
        <w:autoSpaceDE w:val="0"/>
        <w:autoSpaceDN w:val="0"/>
        <w:adjustRightInd w:val="0"/>
        <w:spacing w:line="360" w:lineRule="auto"/>
        <w:jc w:val="both"/>
        <w:rPr>
          <w:rFonts w:ascii="Book Antiqua" w:hAnsi="Book Antiqua" w:cs="Arial"/>
          <w:sz w:val="24"/>
          <w:szCs w:val="20"/>
          <w:lang w:val="en-US" w:eastAsia="zh-CN"/>
        </w:rPr>
      </w:pPr>
      <w:r w:rsidRPr="00B977AE">
        <w:rPr>
          <w:rFonts w:ascii="Book Antiqua" w:hAnsi="Book Antiqua" w:cs="Arial"/>
          <w:sz w:val="24"/>
          <w:szCs w:val="20"/>
          <w:lang w:val="en-US"/>
        </w:rPr>
        <w:t xml:space="preserve">In line with a previous multidisciplinary collaborative work </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&lt;Refman&gt;&lt;Cite&gt;&lt;Author&gt;Suzuki&lt;/Author&gt;&lt;Year&gt;2010&lt;/Year&gt;&lt;RecNum&gt;13&lt;/RecNum&gt;&lt;IDText&gt;Drugs associated with hepatotoxicity and their reporting frequency of liver adverse events in VigiBase: unified list based on international collaborative work&lt;/IDText&gt;&lt;MDL Ref_Type="Journal"&gt;&lt;Ref_Type&gt;Journal&lt;/Ref_Type&gt;&lt;Ref_ID&gt;13&lt;/Ref_ID&gt;&lt;Title_Primary&gt;Drugs associated with hepatotoxicity and their reporting frequency of liver adverse events in VigiBase: unified list based on international collaborative work&lt;/Title_Primary&gt;&lt;Authors_Primary&gt;Suzuki,A.&lt;/Authors_Primary&gt;&lt;Authors_Primary&gt;Andrade,R.J.&lt;/Authors_Primary&gt;&lt;Authors_Primary&gt;Bjornsson,E.&lt;/Authors_Primary&gt;&lt;Authors_Primary&gt;Lucena,M.I.&lt;/Authors_Primary&gt;&lt;Authors_Primary&gt;Lee,W.M.&lt;/Authors_Primary&gt;&lt;Authors_Primary&gt;Yuen,N.A.&lt;/Authors_Primary&gt;&lt;Authors_Primary&gt;Hunt,C.M.&lt;/Authors_Primary&gt;&lt;Authors_Primary&gt;Freston,J.W.&lt;/Authors_Primary&gt;&lt;Date_Primary&gt;2010/6/1&lt;/Date_Primary&gt;&lt;Keywords&gt;Adverse Drug Reaction Reporting Systems&lt;/Keywords&gt;&lt;Keywords&gt;adverse effects&lt;/Keywords&gt;&lt;Keywords&gt;diagnosis&lt;/Keywords&gt;&lt;Keywords&gt;Drug and Narcotic Control&lt;/Keywords&gt;&lt;Keywords&gt;Drug-Induced Liver Injury&lt;/Keywords&gt;&lt;Keywords&gt;epidemiology&lt;/Keywords&gt;&lt;Keywords&gt;etiology&lt;/Keywords&gt;&lt;Keywords&gt;Europe&lt;/Keywords&gt;&lt;Keywords&gt;Humans&lt;/Keywords&gt;&lt;Keywords&gt;International Cooperation&lt;/Keywords&gt;&lt;Keywords&gt;Liver&lt;/Keywords&gt;&lt;Keywords&gt;Liver Failure&lt;/Keywords&gt;&lt;Keywords&gt;Prescription Drugs&lt;/Keywords&gt;&lt;Keywords&gt;Registries&lt;/Keywords&gt;&lt;Keywords&gt;Safety-Based Drug Withdrawals&lt;/Keywords&gt;&lt;Keywords&gt;statistics &amp;amp; numerical data&lt;/Keywords&gt;&lt;Keywords&gt;Sweden&lt;/Keywords&gt;&lt;Keywords&gt;United States&lt;/Keywords&gt;&lt;Keywords&gt;World Health Organization&lt;/Keywords&gt;&lt;Reprint&gt;In File&lt;/Reprint&gt;&lt;Start_Page&gt;503&lt;/Start_Page&gt;&lt;End_Page&gt;522&lt;/End_Page&gt;&lt;Periodical&gt;Drug Saf&lt;/Periodical&gt;&lt;Volume&gt;33&lt;/Volume&gt;&lt;Issue&gt;6&lt;/Issue&gt;&lt;Address&gt;Division of Gastroenterology, Duke University, Durham, North Carolina 27710, USA. suzuk004@mc.duke.edu&lt;/Address&gt;&lt;Web_URL&gt;PM:20486732&lt;/Web_URL&gt;&lt;ZZ_JournalStdAbbrev&gt;&lt;f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[44]</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 a t</w:t>
      </w:r>
      <w:r w:rsidR="007D45D4" w:rsidRPr="00B977AE">
        <w:rPr>
          <w:rFonts w:ascii="Book Antiqua" w:eastAsia="Calibri" w:hAnsi="Book Antiqua" w:cs="Arial"/>
          <w:sz w:val="24"/>
          <w:szCs w:val="20"/>
          <w:lang w:val="en-US"/>
        </w:rPr>
        <w:t xml:space="preserve">wo-fold approach </w:t>
      </w:r>
      <w:r w:rsidR="002E5B12" w:rsidRPr="00B977AE">
        <w:rPr>
          <w:rFonts w:ascii="Book Antiqua" w:eastAsia="Calibri" w:hAnsi="Book Antiqua" w:cs="Arial"/>
          <w:sz w:val="24"/>
          <w:szCs w:val="20"/>
          <w:lang w:val="en-US"/>
        </w:rPr>
        <w:t xml:space="preserve">was carried out </w:t>
      </w:r>
      <w:r w:rsidR="007D45D4" w:rsidRPr="00B977AE">
        <w:rPr>
          <w:rFonts w:ascii="Book Antiqua" w:eastAsia="Calibri" w:hAnsi="Book Antiqua" w:cs="Arial"/>
          <w:sz w:val="24"/>
          <w:szCs w:val="20"/>
          <w:lang w:val="en-US"/>
        </w:rPr>
        <w:t xml:space="preserve">to identify any type of liver </w:t>
      </w:r>
      <w:r w:rsidR="00D43402" w:rsidRPr="00B977AE">
        <w:rPr>
          <w:rFonts w:ascii="Book Antiqua" w:eastAsia="Calibri" w:hAnsi="Book Antiqua" w:cs="Arial"/>
          <w:sz w:val="24"/>
          <w:szCs w:val="20"/>
          <w:lang w:val="en-US"/>
        </w:rPr>
        <w:t>damage</w:t>
      </w:r>
      <w:r w:rsidR="007D45D4" w:rsidRPr="00B977AE">
        <w:rPr>
          <w:rFonts w:ascii="Book Antiqua" w:eastAsia="Calibri" w:hAnsi="Book Antiqua" w:cs="Arial"/>
          <w:sz w:val="24"/>
          <w:szCs w:val="20"/>
          <w:lang w:val="en-US"/>
        </w:rPr>
        <w:t xml:space="preserve">, namely </w:t>
      </w:r>
      <w:r w:rsidR="0040200C" w:rsidRPr="00B977AE">
        <w:rPr>
          <w:rFonts w:ascii="Book Antiqua" w:eastAsia="Calibri" w:hAnsi="Book Antiqua" w:cs="Arial"/>
          <w:sz w:val="24"/>
          <w:szCs w:val="20"/>
          <w:lang w:val="en-US"/>
        </w:rPr>
        <w:t>acute</w:t>
      </w:r>
      <w:r w:rsidR="00D43402" w:rsidRPr="00B977AE">
        <w:rPr>
          <w:rFonts w:ascii="Book Antiqua" w:eastAsia="Calibri" w:hAnsi="Book Antiqua" w:cs="Arial"/>
          <w:sz w:val="24"/>
          <w:szCs w:val="20"/>
          <w:lang w:val="en-US"/>
        </w:rPr>
        <w:t xml:space="preserve"> and</w:t>
      </w:r>
      <w:r w:rsidR="0040200C" w:rsidRPr="00B977AE">
        <w:rPr>
          <w:rFonts w:ascii="Book Antiqua" w:eastAsia="Calibri" w:hAnsi="Book Antiqua" w:cs="Arial"/>
          <w:sz w:val="24"/>
          <w:szCs w:val="20"/>
          <w:lang w:val="en-US"/>
        </w:rPr>
        <w:t xml:space="preserve"> chronic</w:t>
      </w:r>
      <w:r w:rsidR="00D43402" w:rsidRPr="00B977AE">
        <w:rPr>
          <w:rFonts w:ascii="Book Antiqua" w:eastAsia="Calibri" w:hAnsi="Book Antiqua" w:cs="Arial"/>
          <w:sz w:val="24"/>
          <w:szCs w:val="20"/>
          <w:lang w:val="en-US"/>
        </w:rPr>
        <w:t xml:space="preserve"> injuries</w:t>
      </w:r>
      <w:r w:rsidR="0040200C" w:rsidRPr="00B977AE">
        <w:rPr>
          <w:rFonts w:ascii="Book Antiqua" w:eastAsia="Calibri" w:hAnsi="Book Antiqua" w:cs="Arial"/>
          <w:sz w:val="24"/>
          <w:szCs w:val="20"/>
          <w:lang w:val="en-US"/>
        </w:rPr>
        <w:t xml:space="preserve"> </w:t>
      </w:r>
      <w:r w:rsidR="00D43402" w:rsidRPr="00B977AE">
        <w:rPr>
          <w:rFonts w:ascii="Book Antiqua" w:eastAsia="Calibri" w:hAnsi="Book Antiqua" w:cs="Arial"/>
          <w:sz w:val="24"/>
          <w:szCs w:val="20"/>
          <w:lang w:val="en-US"/>
        </w:rPr>
        <w:t xml:space="preserve">as well as acute liver </w:t>
      </w:r>
      <w:r w:rsidR="00F119D2" w:rsidRPr="00B977AE">
        <w:rPr>
          <w:rFonts w:ascii="Book Antiqua" w:eastAsia="Calibri" w:hAnsi="Book Antiqua" w:cs="Arial"/>
          <w:sz w:val="24"/>
          <w:szCs w:val="20"/>
          <w:lang w:val="en-US"/>
        </w:rPr>
        <w:t xml:space="preserve">failure </w:t>
      </w:r>
      <w:r w:rsidR="0040200C" w:rsidRPr="00B977AE">
        <w:rPr>
          <w:rFonts w:ascii="Book Antiqua" w:eastAsia="Calibri" w:hAnsi="Book Antiqua" w:cs="Arial"/>
          <w:sz w:val="24"/>
          <w:szCs w:val="20"/>
          <w:lang w:val="en-US"/>
        </w:rPr>
        <w:t>events</w:t>
      </w:r>
      <w:r w:rsidR="007D45D4" w:rsidRPr="00B977AE">
        <w:rPr>
          <w:rFonts w:ascii="Book Antiqua" w:eastAsia="Calibri" w:hAnsi="Book Antiqua" w:cs="Arial"/>
          <w:sz w:val="24"/>
          <w:szCs w:val="20"/>
          <w:lang w:val="en-US"/>
        </w:rPr>
        <w:t xml:space="preserve">. To this aim, different </w:t>
      </w:r>
      <w:proofErr w:type="spellStart"/>
      <w:r w:rsidR="007D45D4" w:rsidRPr="00B977AE">
        <w:rPr>
          <w:rFonts w:ascii="Book Antiqua" w:eastAsia="Calibri" w:hAnsi="Book Antiqua" w:cs="Arial"/>
          <w:sz w:val="24"/>
          <w:szCs w:val="20"/>
          <w:lang w:val="en-US"/>
        </w:rPr>
        <w:t>MedDRA</w:t>
      </w:r>
      <w:proofErr w:type="spellEnd"/>
      <w:r w:rsidR="007D45D4" w:rsidRPr="00B977AE">
        <w:rPr>
          <w:rFonts w:ascii="Book Antiqua" w:eastAsia="Calibri" w:hAnsi="Book Antiqua" w:cs="Arial"/>
          <w:sz w:val="24"/>
          <w:szCs w:val="20"/>
          <w:lang w:val="en-US"/>
        </w:rPr>
        <w:t xml:space="preserve"> </w:t>
      </w:r>
      <w:r w:rsidR="004A7D71" w:rsidRPr="00B977AE">
        <w:rPr>
          <w:rFonts w:ascii="Book Antiqua" w:eastAsia="Calibri" w:hAnsi="Book Antiqua" w:cs="Arial"/>
          <w:sz w:val="24"/>
          <w:szCs w:val="20"/>
          <w:lang w:val="en-US"/>
        </w:rPr>
        <w:t>Preferred T</w:t>
      </w:r>
      <w:r w:rsidR="007D45D4" w:rsidRPr="00B977AE">
        <w:rPr>
          <w:rFonts w:ascii="Book Antiqua" w:eastAsia="Calibri" w:hAnsi="Book Antiqua" w:cs="Arial"/>
          <w:sz w:val="24"/>
          <w:szCs w:val="20"/>
          <w:lang w:val="en-US"/>
        </w:rPr>
        <w:t xml:space="preserve">erms </w:t>
      </w:r>
      <w:r w:rsidR="004A7D71" w:rsidRPr="00B977AE">
        <w:rPr>
          <w:rFonts w:ascii="Book Antiqua" w:eastAsia="Calibri" w:hAnsi="Book Antiqua" w:cs="Arial"/>
          <w:sz w:val="24"/>
          <w:szCs w:val="20"/>
          <w:lang w:val="en-US"/>
        </w:rPr>
        <w:t xml:space="preserve">(PTs) </w:t>
      </w:r>
      <w:r w:rsidR="007D45D4" w:rsidRPr="00B977AE">
        <w:rPr>
          <w:rFonts w:ascii="Book Antiqua" w:eastAsia="Calibri" w:hAnsi="Book Antiqua" w:cs="Arial"/>
          <w:sz w:val="24"/>
          <w:szCs w:val="20"/>
          <w:lang w:val="en-US"/>
        </w:rPr>
        <w:t>were identified to define two pattern</w:t>
      </w:r>
      <w:r w:rsidR="007D45D4" w:rsidRPr="00B977AE">
        <w:rPr>
          <w:rFonts w:ascii="Book Antiqua" w:hAnsi="Book Antiqua" w:cs="Arial"/>
          <w:sz w:val="24"/>
          <w:szCs w:val="20"/>
          <w:lang w:val="en-US"/>
        </w:rPr>
        <w:t>s</w:t>
      </w:r>
      <w:r w:rsidR="007D45D4" w:rsidRPr="00B977AE">
        <w:rPr>
          <w:rFonts w:ascii="Book Antiqua" w:eastAsia="Calibri" w:hAnsi="Book Antiqua" w:cs="Arial"/>
          <w:sz w:val="24"/>
          <w:szCs w:val="20"/>
          <w:lang w:val="en-US"/>
        </w:rPr>
        <w:t xml:space="preserve"> of liver event with different severity and clinical implication: “liver </w:t>
      </w:r>
      <w:r w:rsidR="00D46AD0" w:rsidRPr="00B977AE">
        <w:rPr>
          <w:rFonts w:ascii="Book Antiqua" w:eastAsia="Calibri" w:hAnsi="Book Antiqua" w:cs="Arial"/>
          <w:sz w:val="24"/>
          <w:szCs w:val="20"/>
          <w:lang w:val="en-US"/>
        </w:rPr>
        <w:t>injury</w:t>
      </w:r>
      <w:r w:rsidR="007D45D4" w:rsidRPr="00B977AE">
        <w:rPr>
          <w:rFonts w:ascii="Book Antiqua" w:eastAsia="Calibri" w:hAnsi="Book Antiqua" w:cs="Arial"/>
          <w:sz w:val="24"/>
          <w:szCs w:val="20"/>
          <w:lang w:val="en-US"/>
        </w:rPr>
        <w:t>”</w:t>
      </w:r>
      <w:r w:rsidR="00541DA9" w:rsidRPr="00B977AE">
        <w:rPr>
          <w:rFonts w:ascii="Book Antiqua" w:eastAsia="Calibri" w:hAnsi="Book Antiqua" w:cs="Arial"/>
          <w:sz w:val="24"/>
          <w:szCs w:val="20"/>
          <w:lang w:val="en-US"/>
        </w:rPr>
        <w:t xml:space="preserve"> (</w:t>
      </w:r>
      <w:r w:rsidR="001E3F15" w:rsidRPr="00B977AE">
        <w:rPr>
          <w:rFonts w:ascii="Book Antiqua" w:eastAsia="Calibri" w:hAnsi="Book Antiqua" w:cs="Arial"/>
          <w:sz w:val="24"/>
          <w:szCs w:val="20"/>
          <w:lang w:val="en-US"/>
        </w:rPr>
        <w:t xml:space="preserve">LI, </w:t>
      </w:r>
      <w:r w:rsidR="00F119D2" w:rsidRPr="00B977AE">
        <w:rPr>
          <w:rFonts w:ascii="Book Antiqua" w:eastAsia="Calibri" w:hAnsi="Book Antiqua" w:cs="Arial"/>
          <w:sz w:val="24"/>
          <w:szCs w:val="20"/>
          <w:lang w:val="en-US"/>
        </w:rPr>
        <w:t xml:space="preserve">including both chronic and acute </w:t>
      </w:r>
      <w:r w:rsidR="004F05CC" w:rsidRPr="00B977AE">
        <w:rPr>
          <w:rFonts w:ascii="Book Antiqua" w:eastAsia="Calibri" w:hAnsi="Book Antiqua" w:cs="Arial"/>
          <w:sz w:val="24"/>
          <w:szCs w:val="20"/>
          <w:lang w:val="en-US"/>
        </w:rPr>
        <w:t xml:space="preserve">liver </w:t>
      </w:r>
      <w:r w:rsidR="00F119D2" w:rsidRPr="00B977AE">
        <w:rPr>
          <w:rFonts w:ascii="Book Antiqua" w:eastAsia="Calibri" w:hAnsi="Book Antiqua" w:cs="Arial"/>
          <w:sz w:val="24"/>
          <w:szCs w:val="20"/>
          <w:lang w:val="en-US"/>
        </w:rPr>
        <w:t>events</w:t>
      </w:r>
      <w:r w:rsidR="00541DA9" w:rsidRPr="00B977AE">
        <w:rPr>
          <w:rFonts w:ascii="Book Antiqua" w:eastAsia="Calibri" w:hAnsi="Book Antiqua" w:cs="Arial"/>
          <w:sz w:val="24"/>
          <w:szCs w:val="20"/>
          <w:lang w:val="en-US"/>
        </w:rPr>
        <w:t>)</w:t>
      </w:r>
      <w:r w:rsidR="0022108E" w:rsidRPr="00B977AE">
        <w:rPr>
          <w:rFonts w:ascii="Book Antiqua" w:eastAsia="Calibri" w:hAnsi="Book Antiqua" w:cs="Arial"/>
          <w:sz w:val="24"/>
          <w:szCs w:val="20"/>
          <w:lang w:val="en-US"/>
        </w:rPr>
        <w:t xml:space="preserve"> and</w:t>
      </w:r>
      <w:r w:rsidR="007D45D4" w:rsidRPr="00B977AE">
        <w:rPr>
          <w:rFonts w:ascii="Book Antiqua" w:eastAsia="Calibri" w:hAnsi="Book Antiqua" w:cs="Arial"/>
          <w:sz w:val="24"/>
          <w:szCs w:val="20"/>
          <w:lang w:val="en-US"/>
        </w:rPr>
        <w:t xml:space="preserve"> “acute liver failure”</w:t>
      </w:r>
      <w:r w:rsidR="00541DA9" w:rsidRPr="00B977AE">
        <w:rPr>
          <w:rFonts w:ascii="Book Antiqua" w:eastAsia="Calibri" w:hAnsi="Book Antiqua" w:cs="Arial"/>
          <w:sz w:val="24"/>
          <w:szCs w:val="20"/>
          <w:lang w:val="en-US"/>
        </w:rPr>
        <w:t xml:space="preserve"> (ALF</w:t>
      </w:r>
      <w:r w:rsidR="00D46AD0" w:rsidRPr="00B977AE">
        <w:rPr>
          <w:rFonts w:ascii="Book Antiqua" w:eastAsia="Calibri" w:hAnsi="Book Antiqua" w:cs="Arial"/>
          <w:sz w:val="24"/>
          <w:szCs w:val="20"/>
          <w:lang w:val="en-US"/>
        </w:rPr>
        <w:t xml:space="preserve">, a severe liver </w:t>
      </w:r>
      <w:r w:rsidR="00D43402" w:rsidRPr="00B977AE">
        <w:rPr>
          <w:rFonts w:ascii="Book Antiqua" w:eastAsia="Calibri" w:hAnsi="Book Antiqua" w:cs="Arial"/>
          <w:sz w:val="24"/>
          <w:szCs w:val="20"/>
          <w:lang w:val="en-US"/>
        </w:rPr>
        <w:t>injury potentially reversible in nature</w:t>
      </w:r>
      <w:r w:rsidR="00D46AD0" w:rsidRPr="00B977AE">
        <w:rPr>
          <w:rFonts w:ascii="Book Antiqua" w:eastAsia="Calibri" w:hAnsi="Book Antiqua" w:cs="Arial"/>
          <w:sz w:val="24"/>
          <w:szCs w:val="20"/>
          <w:lang w:val="en-US"/>
        </w:rPr>
        <w:t xml:space="preserve"> </w:t>
      </w:r>
      <w:r w:rsidR="00D43402" w:rsidRPr="00B977AE">
        <w:rPr>
          <w:rFonts w:ascii="Book Antiqua" w:eastAsia="Calibri" w:hAnsi="Book Antiqua" w:cs="Arial"/>
          <w:sz w:val="24"/>
          <w:szCs w:val="20"/>
          <w:lang w:val="en-US"/>
        </w:rPr>
        <w:t xml:space="preserve">and with </w:t>
      </w:r>
      <w:r w:rsidR="00017F0A" w:rsidRPr="00B977AE">
        <w:rPr>
          <w:rFonts w:ascii="Book Antiqua" w:eastAsia="Calibri" w:hAnsi="Book Antiqua" w:cs="Arial"/>
          <w:sz w:val="24"/>
          <w:szCs w:val="20"/>
          <w:lang w:val="en-US"/>
        </w:rPr>
        <w:t>onset of encephalopathy</w:t>
      </w:r>
      <w:r w:rsidR="002411CC" w:rsidRPr="00B977AE">
        <w:rPr>
          <w:rFonts w:ascii="Book Antiqua" w:eastAsia="Calibri" w:hAnsi="Book Antiqua" w:cs="Arial"/>
          <w:sz w:val="24"/>
          <w:szCs w:val="20"/>
          <w:lang w:val="en-US"/>
        </w:rPr>
        <w:fldChar w:fldCharType="begin"/>
      </w:r>
      <w:r w:rsidR="003804A8" w:rsidRPr="00B977AE">
        <w:rPr>
          <w:rFonts w:ascii="Book Antiqua" w:eastAsia="Calibri" w:hAnsi="Book Antiqua" w:cs="Arial"/>
          <w:sz w:val="24"/>
          <w:szCs w:val="20"/>
          <w:lang w:val="en-US"/>
        </w:rPr>
        <w:instrText xml:space="preserve"> ADDIN REFMGR.CITE &lt;Refman&gt;&lt;Cite&gt;&lt;Author&gt;Bernal&lt;/Author&gt;&lt;Year&gt;2013&lt;/Year&gt;&lt;RecNum&gt;75&lt;/RecNum&gt;&lt;IDText&gt;Acute liver failure&lt;/IDText&gt;&lt;MDL Ref_Type="Journal"&gt;&lt;Ref_Type&gt;Journal&lt;/Ref_Type&gt;&lt;Ref_ID&gt;75&lt;/Ref_ID&gt;&lt;Title_Primary&gt;Acute liver failure&lt;/Title_Primary&gt;&lt;Authors_Primary&gt;Bernal,W.&lt;/Authors_Primary&gt;&lt;Authors_Primary&gt;Wendon,J.&lt;/Authors_Primary&gt;&lt;Date_Primary&gt;2013/12/26&lt;/Date_Primary&gt;&lt;Keywords&gt;Cardiovascular Diseases&lt;/Keywords&gt;&lt;Keywords&gt;etiology&lt;/Keywords&gt;&lt;Keywords&gt;Humans&lt;/Keywords&gt;&lt;Keywords&gt;Liver&lt;/Keywords&gt;&lt;Keywords&gt;Liver Failure&lt;/Keywords&gt;&lt;Keywords&gt;Liver Failure,Acute&lt;/Keywords&gt;&lt;Keywords&gt;Liver Transplantation&lt;/Keywords&gt;&lt;Keywords&gt;Nutrition Therapy&lt;/Keywords&gt;&lt;Keywords&gt;Respiratory Insufficiency&lt;/Keywords&gt;&lt;Keywords&gt;therapy&lt;/Keywords&gt;&lt;Reprint&gt;In File&lt;/Reprint&gt;&lt;Start_Page&gt;2525&lt;/Start_Page&gt;&lt;End_Page&gt;2534&lt;/End_Page&gt;&lt;Periodical&gt;N.Engl.J Med&lt;/Periodical&gt;&lt;Volume&gt;369&lt;/Volume&gt;&lt;Issue&gt;26&lt;/Issue&gt;&lt;Address&gt;From the Liver Intensive Therapy Unit, Institute of Liver Studies, King&amp;apos;s College London, London&lt;/Address&gt;&lt;Web_URL&gt;PM:24369077&lt;/Web_URL&gt;&lt;ZZ_JournalStdAbbrev&gt;&lt;f name="System"&gt;N.Engl.J Med&lt;/f&gt;&lt;/ZZ_JournalStdAbbrev&gt;&lt;ZZ_WorkformID&gt;1&lt;/ZZ_WorkformID&gt;&lt;/MDL&gt;&lt;/Cite&gt;&lt;/Refman&gt;</w:instrText>
      </w:r>
      <w:r w:rsidR="002411CC" w:rsidRPr="00B977AE">
        <w:rPr>
          <w:rFonts w:ascii="Book Antiqua" w:eastAsia="Calibri" w:hAnsi="Book Antiqua" w:cs="Arial"/>
          <w:sz w:val="24"/>
          <w:szCs w:val="20"/>
          <w:lang w:val="en-US"/>
        </w:rPr>
        <w:fldChar w:fldCharType="separate"/>
      </w:r>
      <w:r w:rsidR="003804A8" w:rsidRPr="00B977AE">
        <w:rPr>
          <w:rFonts w:ascii="Book Antiqua" w:eastAsia="Calibri" w:hAnsi="Book Antiqua" w:cs="Arial"/>
          <w:sz w:val="24"/>
          <w:szCs w:val="20"/>
          <w:vertAlign w:val="superscript"/>
          <w:lang w:val="en-US"/>
        </w:rPr>
        <w:t>[45]</w:t>
      </w:r>
      <w:r w:rsidR="002411CC" w:rsidRPr="00B977AE">
        <w:rPr>
          <w:rFonts w:ascii="Book Antiqua" w:eastAsia="Calibri" w:hAnsi="Book Antiqua" w:cs="Arial"/>
          <w:sz w:val="24"/>
          <w:szCs w:val="20"/>
          <w:lang w:val="en-US"/>
        </w:rPr>
        <w:fldChar w:fldCharType="end"/>
      </w:r>
      <w:r w:rsidR="00541DA9" w:rsidRPr="00B977AE">
        <w:rPr>
          <w:rFonts w:ascii="Book Antiqua" w:eastAsia="Calibri" w:hAnsi="Book Antiqua" w:cs="Arial"/>
          <w:sz w:val="24"/>
          <w:szCs w:val="20"/>
          <w:lang w:val="en-US"/>
        </w:rPr>
        <w:t>)</w:t>
      </w:r>
      <w:r w:rsidR="007D45D4" w:rsidRPr="00B977AE">
        <w:rPr>
          <w:rFonts w:ascii="Book Antiqua" w:eastAsia="Calibri" w:hAnsi="Book Antiqua" w:cs="Arial"/>
          <w:sz w:val="24"/>
          <w:szCs w:val="20"/>
          <w:lang w:val="en-US"/>
        </w:rPr>
        <w:t xml:space="preserve"> </w:t>
      </w:r>
      <w:r w:rsidR="007D45D4" w:rsidRPr="00814338">
        <w:rPr>
          <w:rFonts w:ascii="Book Antiqua" w:eastAsia="Calibri" w:hAnsi="Book Antiqua" w:cs="Arial"/>
          <w:sz w:val="24"/>
          <w:szCs w:val="20"/>
          <w:lang w:val="en-US"/>
        </w:rPr>
        <w:t>(Table</w:t>
      </w:r>
      <w:r w:rsidR="00B96807" w:rsidRPr="00814338">
        <w:rPr>
          <w:rFonts w:ascii="Book Antiqua" w:eastAsia="Calibri" w:hAnsi="Book Antiqua" w:cs="Arial"/>
          <w:sz w:val="24"/>
          <w:szCs w:val="20"/>
          <w:lang w:val="en-US"/>
        </w:rPr>
        <w:t xml:space="preserve"> 1</w:t>
      </w:r>
      <w:r w:rsidR="007D45D4" w:rsidRPr="00B977AE">
        <w:rPr>
          <w:rFonts w:ascii="Book Antiqua" w:eastAsia="Calibri" w:hAnsi="Book Antiqua" w:cs="Arial"/>
          <w:sz w:val="24"/>
          <w:szCs w:val="20"/>
          <w:lang w:val="en-US"/>
        </w:rPr>
        <w:t>)</w:t>
      </w:r>
      <w:r w:rsidR="0071016B" w:rsidRPr="00B977AE">
        <w:rPr>
          <w:rFonts w:ascii="Book Antiqua" w:hAnsi="Book Antiqua" w:cs="Arial"/>
          <w:sz w:val="24"/>
          <w:szCs w:val="20"/>
          <w:lang w:val="en-US"/>
        </w:rPr>
        <w:t>.</w:t>
      </w:r>
      <w:r w:rsidR="00F14BC8" w:rsidRPr="00B977AE">
        <w:rPr>
          <w:rFonts w:ascii="Book Antiqua" w:hAnsi="Book Antiqua" w:cs="Arial"/>
          <w:sz w:val="24"/>
          <w:szCs w:val="20"/>
          <w:lang w:val="en-US"/>
        </w:rPr>
        <w:t xml:space="preserve"> </w:t>
      </w:r>
      <w:r w:rsidR="009905A9" w:rsidRPr="00B977AE">
        <w:rPr>
          <w:rFonts w:ascii="Book Antiqua" w:hAnsi="Book Antiqua" w:cs="Arial"/>
          <w:sz w:val="24"/>
          <w:szCs w:val="20"/>
          <w:lang w:val="en-US"/>
        </w:rPr>
        <w:t xml:space="preserve">In order to assign a certain report to </w:t>
      </w:r>
      <w:r w:rsidR="007C1442" w:rsidRPr="00B977AE">
        <w:rPr>
          <w:rFonts w:ascii="Book Antiqua" w:hAnsi="Book Antiqua" w:cs="Arial"/>
          <w:sz w:val="24"/>
          <w:szCs w:val="20"/>
          <w:lang w:val="en-US"/>
        </w:rPr>
        <w:t xml:space="preserve">a precise </w:t>
      </w:r>
      <w:r w:rsidR="009905A9" w:rsidRPr="00B977AE">
        <w:rPr>
          <w:rFonts w:ascii="Book Antiqua" w:hAnsi="Book Antiqua" w:cs="Arial"/>
          <w:sz w:val="24"/>
          <w:szCs w:val="20"/>
          <w:lang w:val="en-US"/>
        </w:rPr>
        <w:t xml:space="preserve">group, at least one pre-specified PT should be present. </w:t>
      </w:r>
      <w:r w:rsidR="00B96807" w:rsidRPr="00B977AE">
        <w:rPr>
          <w:rFonts w:ascii="Book Antiqua" w:hAnsi="Book Antiqua" w:cs="Arial"/>
          <w:sz w:val="24"/>
          <w:szCs w:val="20"/>
          <w:lang w:val="en-US"/>
        </w:rPr>
        <w:t>A m</w:t>
      </w:r>
      <w:r w:rsidR="00907ED5" w:rsidRPr="00B977AE">
        <w:rPr>
          <w:rFonts w:ascii="Book Antiqua" w:hAnsi="Book Antiqua" w:cs="Arial"/>
          <w:sz w:val="24"/>
          <w:szCs w:val="20"/>
          <w:lang w:val="en-US"/>
        </w:rPr>
        <w:t>utually exclusive approach</w:t>
      </w:r>
      <w:r w:rsidR="00134E84" w:rsidRPr="00B977AE">
        <w:rPr>
          <w:rFonts w:ascii="Book Antiqua" w:hAnsi="Book Antiqua" w:cs="Arial"/>
          <w:sz w:val="24"/>
          <w:szCs w:val="20"/>
          <w:lang w:val="en-US"/>
        </w:rPr>
        <w:t xml:space="preserve"> </w:t>
      </w:r>
      <w:r w:rsidR="00B96807" w:rsidRPr="00B977AE">
        <w:rPr>
          <w:rFonts w:ascii="Book Antiqua" w:hAnsi="Book Antiqua" w:cs="Arial"/>
          <w:sz w:val="24"/>
          <w:szCs w:val="20"/>
          <w:lang w:val="en-US"/>
        </w:rPr>
        <w:t>was performed</w:t>
      </w:r>
      <w:r w:rsidR="00541DA9" w:rsidRPr="00B977AE">
        <w:rPr>
          <w:rFonts w:ascii="Book Antiqua" w:hAnsi="Book Antiqua" w:cs="Arial"/>
          <w:sz w:val="24"/>
          <w:szCs w:val="20"/>
          <w:lang w:val="en-US"/>
        </w:rPr>
        <w:t>;</w:t>
      </w:r>
      <w:r w:rsidR="00B96807" w:rsidRPr="00B977AE">
        <w:rPr>
          <w:rFonts w:ascii="Book Antiqua" w:hAnsi="Book Antiqua" w:cs="Arial"/>
          <w:sz w:val="24"/>
          <w:szCs w:val="20"/>
          <w:lang w:val="en-US"/>
        </w:rPr>
        <w:t xml:space="preserve"> a single case report of interest</w:t>
      </w:r>
      <w:r w:rsidR="00541DA9" w:rsidRPr="00B977AE">
        <w:rPr>
          <w:rFonts w:ascii="Book Antiqua" w:hAnsi="Book Antiqua" w:cs="Arial"/>
          <w:sz w:val="24"/>
          <w:szCs w:val="20"/>
          <w:lang w:val="en-US"/>
        </w:rPr>
        <w:t xml:space="preserve"> was</w:t>
      </w:r>
      <w:r w:rsidR="00B96807" w:rsidRPr="00B977AE">
        <w:rPr>
          <w:rFonts w:ascii="Book Antiqua" w:hAnsi="Book Antiqua" w:cs="Arial"/>
          <w:sz w:val="24"/>
          <w:szCs w:val="20"/>
          <w:lang w:val="en-US"/>
        </w:rPr>
        <w:t xml:space="preserve"> classiﬁed only in one group based on the following</w:t>
      </w:r>
      <w:r w:rsidR="00134E84" w:rsidRPr="00B977AE">
        <w:rPr>
          <w:rFonts w:ascii="Book Antiqua" w:hAnsi="Book Antiqua" w:cs="Arial"/>
          <w:sz w:val="24"/>
          <w:szCs w:val="20"/>
          <w:lang w:val="en-US"/>
        </w:rPr>
        <w:t xml:space="preserve"> </w:t>
      </w:r>
      <w:r w:rsidR="00134E84" w:rsidRPr="00B977AE">
        <w:rPr>
          <w:rFonts w:ascii="Book Antiqua" w:hAnsi="Book Antiqua" w:cs="Arial"/>
          <w:sz w:val="24"/>
          <w:szCs w:val="20"/>
          <w:lang w:val="en-US"/>
        </w:rPr>
        <w:lastRenderedPageBreak/>
        <w:t xml:space="preserve">priority: </w:t>
      </w:r>
      <w:r w:rsidR="00541DA9" w:rsidRPr="00B977AE">
        <w:rPr>
          <w:rFonts w:ascii="Book Antiqua" w:hAnsi="Book Antiqua" w:cs="Arial"/>
          <w:sz w:val="24"/>
          <w:szCs w:val="20"/>
          <w:lang w:val="en-US"/>
        </w:rPr>
        <w:t>ALF</w:t>
      </w:r>
      <w:r w:rsidR="00134E84" w:rsidRPr="00B977AE">
        <w:rPr>
          <w:rFonts w:ascii="Book Antiqua" w:hAnsi="Book Antiqua" w:cs="Arial"/>
          <w:sz w:val="24"/>
          <w:szCs w:val="20"/>
          <w:lang w:val="en-US"/>
        </w:rPr>
        <w:t>&gt;</w:t>
      </w:r>
      <w:r w:rsidR="001E3F15" w:rsidRPr="00B977AE">
        <w:rPr>
          <w:rFonts w:ascii="Book Antiqua" w:hAnsi="Book Antiqua" w:cs="Arial"/>
          <w:sz w:val="24"/>
          <w:szCs w:val="20"/>
          <w:lang w:val="en-US"/>
        </w:rPr>
        <w:t>LI</w:t>
      </w:r>
      <w:r w:rsidR="003C1CFC" w:rsidRPr="00B977AE">
        <w:rPr>
          <w:rFonts w:ascii="Book Antiqua" w:hAnsi="Book Antiqua" w:cs="Arial"/>
          <w:sz w:val="24"/>
          <w:szCs w:val="20"/>
          <w:lang w:val="en-US"/>
        </w:rPr>
        <w:t>.</w:t>
      </w:r>
      <w:r w:rsidR="009B2A31" w:rsidRPr="00B977AE">
        <w:rPr>
          <w:rFonts w:ascii="Book Antiqua" w:hAnsi="Book Antiqua" w:cs="Arial"/>
          <w:sz w:val="24"/>
          <w:szCs w:val="20"/>
          <w:lang w:val="en-US"/>
        </w:rPr>
        <w:t xml:space="preserve"> Therefore, </w:t>
      </w:r>
      <w:r w:rsidR="001E3F15" w:rsidRPr="00B977AE">
        <w:rPr>
          <w:rFonts w:ascii="Book Antiqua" w:hAnsi="Book Antiqua" w:cs="Arial"/>
          <w:sz w:val="24"/>
          <w:szCs w:val="20"/>
          <w:lang w:val="en-US"/>
        </w:rPr>
        <w:t>LI</w:t>
      </w:r>
      <w:r w:rsidR="009B2A31" w:rsidRPr="00B977AE">
        <w:rPr>
          <w:rFonts w:ascii="Book Antiqua" w:hAnsi="Book Antiqua" w:cs="Arial"/>
          <w:sz w:val="24"/>
          <w:szCs w:val="20"/>
          <w:lang w:val="en-US"/>
        </w:rPr>
        <w:t xml:space="preserve"> does not include cases with ALF; this allowed us the identification of a so-called “overall liver </w:t>
      </w:r>
      <w:r w:rsidR="00A54418" w:rsidRPr="00B977AE">
        <w:rPr>
          <w:rFonts w:ascii="Book Antiqua" w:hAnsi="Book Antiqua" w:cs="Arial"/>
          <w:sz w:val="24"/>
          <w:szCs w:val="20"/>
          <w:lang w:val="en-US"/>
        </w:rPr>
        <w:t>injury</w:t>
      </w:r>
      <w:r w:rsidR="009B2A31" w:rsidRPr="00B977AE">
        <w:rPr>
          <w:rFonts w:ascii="Book Antiqua" w:hAnsi="Book Antiqua" w:cs="Arial"/>
          <w:sz w:val="24"/>
          <w:szCs w:val="20"/>
          <w:lang w:val="en-US"/>
        </w:rPr>
        <w:t>”</w:t>
      </w:r>
      <w:r w:rsidR="00B747DD" w:rsidRPr="00B977AE">
        <w:rPr>
          <w:rFonts w:ascii="Book Antiqua" w:hAnsi="Book Antiqua" w:cs="Arial"/>
          <w:sz w:val="24"/>
          <w:szCs w:val="20"/>
          <w:lang w:val="en-US"/>
        </w:rPr>
        <w:t xml:space="preserve"> (OL</w:t>
      </w:r>
      <w:r w:rsidR="00A54418" w:rsidRPr="00B977AE">
        <w:rPr>
          <w:rFonts w:ascii="Book Antiqua" w:hAnsi="Book Antiqua" w:cs="Arial"/>
          <w:sz w:val="24"/>
          <w:szCs w:val="20"/>
          <w:lang w:val="en-US"/>
        </w:rPr>
        <w:t>I</w:t>
      </w:r>
      <w:r w:rsidR="00B747DD" w:rsidRPr="00B977AE">
        <w:rPr>
          <w:rFonts w:ascii="Book Antiqua" w:hAnsi="Book Antiqua" w:cs="Arial"/>
          <w:sz w:val="24"/>
          <w:szCs w:val="20"/>
          <w:lang w:val="en-US"/>
        </w:rPr>
        <w:t>)</w:t>
      </w:r>
      <w:r w:rsidR="009B2A31" w:rsidRPr="00B977AE">
        <w:rPr>
          <w:rFonts w:ascii="Book Antiqua" w:hAnsi="Book Antiqua" w:cs="Arial"/>
          <w:sz w:val="24"/>
          <w:szCs w:val="20"/>
          <w:lang w:val="en-US"/>
        </w:rPr>
        <w:t>.</w:t>
      </w:r>
    </w:p>
    <w:p w:rsidR="00017F0A" w:rsidRPr="00B977AE" w:rsidRDefault="00017F0A" w:rsidP="004D1284">
      <w:pPr>
        <w:autoSpaceDE w:val="0"/>
        <w:autoSpaceDN w:val="0"/>
        <w:adjustRightInd w:val="0"/>
        <w:spacing w:line="360" w:lineRule="auto"/>
        <w:jc w:val="both"/>
        <w:rPr>
          <w:rFonts w:ascii="Book Antiqua" w:hAnsi="Book Antiqua" w:cs="Arial"/>
          <w:sz w:val="24"/>
          <w:szCs w:val="20"/>
          <w:lang w:val="en-US" w:eastAsia="zh-CN"/>
        </w:rPr>
      </w:pPr>
    </w:p>
    <w:p w:rsidR="006F74CB" w:rsidRPr="00B977AE" w:rsidRDefault="00057112" w:rsidP="004D1284">
      <w:pPr>
        <w:autoSpaceDE w:val="0"/>
        <w:autoSpaceDN w:val="0"/>
        <w:adjustRightInd w:val="0"/>
        <w:spacing w:line="360" w:lineRule="auto"/>
        <w:jc w:val="both"/>
        <w:rPr>
          <w:rFonts w:ascii="Book Antiqua" w:hAnsi="Book Antiqua" w:cs="Arial"/>
          <w:sz w:val="24"/>
          <w:szCs w:val="20"/>
          <w:lang w:val="en-US" w:eastAsia="zh-CN"/>
        </w:rPr>
      </w:pPr>
      <w:r w:rsidRPr="00B977AE">
        <w:rPr>
          <w:rFonts w:ascii="Book Antiqua" w:hAnsi="Book Antiqua"/>
          <w:b/>
          <w:i/>
          <w:sz w:val="24"/>
        </w:rPr>
        <w:t>Statistical analysis</w:t>
      </w:r>
      <w:r w:rsidRPr="00B977AE">
        <w:rPr>
          <w:rFonts w:ascii="Book Antiqua" w:hAnsi="Book Antiqua" w:cs="Arial"/>
          <w:sz w:val="24"/>
          <w:szCs w:val="20"/>
          <w:lang w:val="en-US"/>
        </w:rPr>
        <w:t xml:space="preserve"> </w:t>
      </w:r>
    </w:p>
    <w:p w:rsidR="000514AB" w:rsidRPr="00B977AE" w:rsidRDefault="000514AB" w:rsidP="004D1284">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sz w:val="24"/>
          <w:szCs w:val="20"/>
          <w:lang w:val="en-US"/>
        </w:rPr>
        <w:t>Description of the overall number of cases</w:t>
      </w:r>
      <w:r w:rsidR="00A11002" w:rsidRPr="00B977AE">
        <w:rPr>
          <w:rFonts w:ascii="Book Antiqua" w:hAnsi="Book Antiqua" w:cs="Arial"/>
          <w:sz w:val="24"/>
          <w:szCs w:val="20"/>
          <w:lang w:val="en-US"/>
        </w:rPr>
        <w:t xml:space="preserve"> was first provided, both in terms of ALF</w:t>
      </w:r>
      <w:r w:rsidR="00821AB3" w:rsidRPr="00B977AE">
        <w:rPr>
          <w:rFonts w:ascii="Book Antiqua" w:hAnsi="Book Antiqua" w:cs="Arial"/>
          <w:sz w:val="24"/>
          <w:szCs w:val="20"/>
          <w:lang w:val="en-US"/>
        </w:rPr>
        <w:t>,</w:t>
      </w:r>
      <w:r w:rsidR="00A11002" w:rsidRPr="00B977AE">
        <w:rPr>
          <w:rFonts w:ascii="Book Antiqua" w:hAnsi="Book Antiqua" w:cs="Arial"/>
          <w:sz w:val="24"/>
          <w:szCs w:val="20"/>
          <w:lang w:val="en-US"/>
        </w:rPr>
        <w:t xml:space="preserve"> L</w:t>
      </w:r>
      <w:r w:rsidR="00B56281" w:rsidRPr="00B977AE">
        <w:rPr>
          <w:rFonts w:ascii="Book Antiqua" w:hAnsi="Book Antiqua" w:cs="Arial"/>
          <w:sz w:val="24"/>
          <w:szCs w:val="20"/>
          <w:lang w:val="en-US"/>
        </w:rPr>
        <w:t>I</w:t>
      </w:r>
      <w:r w:rsidR="00821AB3" w:rsidRPr="00B977AE">
        <w:rPr>
          <w:rFonts w:ascii="Book Antiqua" w:hAnsi="Book Antiqua" w:cs="Arial"/>
          <w:sz w:val="24"/>
          <w:szCs w:val="20"/>
          <w:lang w:val="en-US"/>
        </w:rPr>
        <w:t xml:space="preserve"> and OL</w:t>
      </w:r>
      <w:r w:rsidR="00B56281" w:rsidRPr="00B977AE">
        <w:rPr>
          <w:rFonts w:ascii="Book Antiqua" w:hAnsi="Book Antiqua" w:cs="Arial"/>
          <w:sz w:val="24"/>
          <w:szCs w:val="20"/>
          <w:lang w:val="en-US"/>
        </w:rPr>
        <w:t>I</w:t>
      </w:r>
      <w:r w:rsidR="00A11002" w:rsidRPr="00B977AE">
        <w:rPr>
          <w:rFonts w:ascii="Book Antiqua" w:hAnsi="Book Antiqua" w:cs="Arial"/>
          <w:sz w:val="24"/>
          <w:szCs w:val="20"/>
          <w:lang w:val="en-US"/>
        </w:rPr>
        <w:t xml:space="preserve">; </w:t>
      </w:r>
      <w:r w:rsidRPr="00B977AE">
        <w:rPr>
          <w:rFonts w:ascii="Book Antiqua" w:hAnsi="Book Antiqua" w:cs="Arial"/>
          <w:sz w:val="24"/>
          <w:szCs w:val="20"/>
          <w:lang w:val="en-US"/>
        </w:rPr>
        <w:t>demographic information (age and gender)</w:t>
      </w:r>
      <w:r w:rsidR="00A11002" w:rsidRPr="00B977AE">
        <w:rPr>
          <w:rFonts w:ascii="Book Antiqua" w:hAnsi="Book Antiqua" w:cs="Arial"/>
          <w:sz w:val="24"/>
          <w:szCs w:val="20"/>
          <w:lang w:val="en-US"/>
        </w:rPr>
        <w:t xml:space="preserve"> were also </w:t>
      </w:r>
      <w:proofErr w:type="spellStart"/>
      <w:r w:rsidR="00A11002" w:rsidRPr="00B977AE">
        <w:rPr>
          <w:rFonts w:ascii="Book Antiqua" w:hAnsi="Book Antiqua" w:cs="Arial"/>
          <w:sz w:val="24"/>
          <w:szCs w:val="20"/>
          <w:lang w:val="en-US"/>
        </w:rPr>
        <w:t>analysed</w:t>
      </w:r>
      <w:proofErr w:type="spellEnd"/>
      <w:r w:rsidRPr="00B977AE">
        <w:rPr>
          <w:rFonts w:ascii="Book Antiqua" w:hAnsi="Book Antiqua" w:cs="Arial"/>
          <w:sz w:val="24"/>
          <w:szCs w:val="20"/>
          <w:lang w:val="en-US"/>
        </w:rPr>
        <w:t>.</w:t>
      </w:r>
      <w:r w:rsidR="00A11002" w:rsidRPr="00B977AE">
        <w:rPr>
          <w:rFonts w:ascii="Book Antiqua" w:hAnsi="Book Antiqua" w:cs="Arial"/>
          <w:sz w:val="24"/>
          <w:szCs w:val="20"/>
          <w:lang w:val="en-US"/>
        </w:rPr>
        <w:t xml:space="preserve"> Then, a case/non case d</w:t>
      </w:r>
      <w:r w:rsidRPr="00B977AE">
        <w:rPr>
          <w:rFonts w:ascii="Book Antiqua" w:hAnsi="Book Antiqua" w:cs="Arial"/>
          <w:sz w:val="24"/>
          <w:szCs w:val="20"/>
          <w:lang w:val="en-US"/>
        </w:rPr>
        <w:t xml:space="preserve">isproportionality approach </w:t>
      </w:r>
      <w:r w:rsidR="00A11002" w:rsidRPr="00B977AE">
        <w:rPr>
          <w:rFonts w:ascii="Book Antiqua" w:hAnsi="Book Antiqua" w:cs="Arial"/>
          <w:sz w:val="24"/>
          <w:szCs w:val="20"/>
          <w:lang w:val="en-US"/>
        </w:rPr>
        <w:t xml:space="preserve">was carried out </w:t>
      </w:r>
      <w:r w:rsidRPr="00B977AE">
        <w:rPr>
          <w:rFonts w:ascii="Book Antiqua" w:hAnsi="Book Antiqua" w:cs="Arial"/>
          <w:sz w:val="24"/>
          <w:szCs w:val="20"/>
          <w:lang w:val="en-US"/>
        </w:rPr>
        <w:t>by calculating the Reporting Odds Ratio (ROR) with relevant C</w:t>
      </w:r>
      <w:r w:rsidR="0072799D" w:rsidRPr="00B977AE">
        <w:rPr>
          <w:rFonts w:ascii="Book Antiqua" w:hAnsi="Book Antiqua" w:cs="Arial"/>
          <w:sz w:val="24"/>
          <w:szCs w:val="20"/>
          <w:lang w:val="en-US"/>
        </w:rPr>
        <w:t xml:space="preserve">onfidential </w:t>
      </w:r>
      <w:r w:rsidRPr="00B977AE">
        <w:rPr>
          <w:rFonts w:ascii="Book Antiqua" w:hAnsi="Book Antiqua" w:cs="Arial"/>
          <w:sz w:val="24"/>
          <w:szCs w:val="20"/>
          <w:lang w:val="en-US"/>
        </w:rPr>
        <w:t>I</w:t>
      </w:r>
      <w:r w:rsidR="0072799D" w:rsidRPr="00B977AE">
        <w:rPr>
          <w:rFonts w:ascii="Book Antiqua" w:hAnsi="Book Antiqua" w:cs="Arial"/>
          <w:sz w:val="24"/>
          <w:szCs w:val="20"/>
          <w:lang w:val="en-US"/>
        </w:rPr>
        <w:t>nterval (CI)</w:t>
      </w:r>
      <w:r w:rsidR="00821AB3" w:rsidRPr="00B977AE">
        <w:rPr>
          <w:rFonts w:ascii="Book Antiqua" w:hAnsi="Book Antiqua" w:cs="Arial"/>
          <w:sz w:val="24"/>
          <w:szCs w:val="20"/>
          <w:lang w:val="en-US"/>
        </w:rPr>
        <w:t>.</w:t>
      </w:r>
      <w:r w:rsidR="00A11002" w:rsidRPr="00B977AE">
        <w:rPr>
          <w:rFonts w:ascii="Book Antiqua" w:hAnsi="Book Antiqua" w:cs="Arial"/>
          <w:sz w:val="24"/>
          <w:szCs w:val="20"/>
          <w:lang w:val="en-US"/>
        </w:rPr>
        <w:t xml:space="preserve"> Statistically significant disproportionality was formally deﬁned</w:t>
      </w:r>
      <w:r w:rsidR="0072799D" w:rsidRPr="00B977AE">
        <w:rPr>
          <w:rFonts w:ascii="Book Antiqua" w:hAnsi="Book Antiqua" w:cs="Arial"/>
          <w:sz w:val="24"/>
          <w:szCs w:val="20"/>
          <w:lang w:val="en-US"/>
        </w:rPr>
        <w:t xml:space="preserve"> when the lower limit of the 95%</w:t>
      </w:r>
      <w:r w:rsidR="00A11002" w:rsidRPr="00B977AE">
        <w:rPr>
          <w:rFonts w:ascii="Book Antiqua" w:hAnsi="Book Antiqua" w:cs="Arial"/>
          <w:sz w:val="24"/>
          <w:szCs w:val="20"/>
          <w:lang w:val="en-US"/>
        </w:rPr>
        <w:t>CI was &gt;</w:t>
      </w:r>
      <w:r w:rsidR="005225E8" w:rsidRPr="00B977AE">
        <w:rPr>
          <w:rFonts w:ascii="Book Antiqua" w:hAnsi="Book Antiqua" w:cs="Arial"/>
          <w:sz w:val="24"/>
          <w:szCs w:val="20"/>
          <w:lang w:val="en-US" w:eastAsia="zh-CN"/>
        </w:rPr>
        <w:t xml:space="preserve"> </w:t>
      </w:r>
      <w:r w:rsidR="00A11002" w:rsidRPr="00B977AE">
        <w:rPr>
          <w:rFonts w:ascii="Book Antiqua" w:hAnsi="Book Antiqua" w:cs="Arial"/>
          <w:sz w:val="24"/>
          <w:szCs w:val="20"/>
          <w:lang w:val="en-US"/>
        </w:rPr>
        <w:t>1, with at least 3 case</w:t>
      </w:r>
      <w:r w:rsidR="008F6670" w:rsidRPr="00B977AE">
        <w:rPr>
          <w:rFonts w:ascii="Book Antiqua" w:hAnsi="Book Antiqua" w:cs="Arial"/>
          <w:sz w:val="24"/>
          <w:szCs w:val="20"/>
          <w:lang w:val="en-US"/>
        </w:rPr>
        <w:t>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&lt;Refman&gt;&lt;Cite&gt;&lt;Author&gt;van Puijenbroek&lt;/Author&gt;&lt;Year&gt;2002&lt;/Year&gt;&lt;RecNum&gt;1713&lt;/RecNum&gt;&lt;IDText&gt;A comparison of measures of disproportionality for signal detection in spontaneous reporting systems for adverse drug reactions&lt;/IDText&gt;&lt;MDL Ref_Type="Journal"&gt;&lt;Ref_Type&gt;Journal&lt;/Ref_Type&gt;&lt;Ref_ID&gt;1713&lt;/Ref_ID&gt;&lt;Title_Primary&gt;A comparison of measures of disproportionality for signal detection in spontaneous reporting systems for adverse drug reactions&lt;/Title_Primary&gt;&lt;Authors_Primary&gt;van Puijenbroek,E.P.&lt;/Authors_Primary&gt;&lt;Authors_Primary&gt;Bate,A.&lt;/Authors_Primary&gt;&lt;Authors_Primary&gt;Leufkens,H.G.&lt;/Authors_Primary&gt;&lt;Authors_Primary&gt;Lindquist,M.&lt;/Authors_Primary&gt;&lt;Authors_Primary&gt;Orre,R.&lt;/Authors_Primary&gt;&lt;Authors_Primary&gt;Egberts,A.C.&lt;/Authors_Primary&gt;&lt;Date_Primary&gt;2002/1&lt;/Date_Primary&gt;&lt;Keywords&gt;Adverse Drug Reaction Reporting Systems&lt;/Keywords&gt;&lt;Keywords&gt;Algorithms&lt;/Keywords&gt;&lt;Keywords&gt;Comparative Study&lt;/Keywords&gt;&lt;Keywords&gt;Human&lt;/Keywords&gt;&lt;Keywords&gt;Humans&lt;/Keywords&gt;&lt;Keywords&gt;methods&lt;/Keywords&gt;&lt;Keywords&gt;Netherlands&lt;/Keywords&gt;&lt;Keywords&gt;Odds Ratio&lt;/Keywords&gt;&lt;Keywords&gt;Sensitivity and Specificity&lt;/Keywords&gt;&lt;Keywords&gt;standards&lt;/Keywords&gt;&lt;Keywords&gt;statistics &amp;amp; numerical data&lt;/Keywords&gt;&lt;Reprint&gt;In File&lt;/Reprint&gt;&lt;Start_Page&gt;3&lt;/Start_Page&gt;&lt;End_Page&gt;10&lt;/End_Page&gt;&lt;Periodical&gt;Pharmacoepidemiol.Drug Saf&lt;/Periodical&gt;&lt;Volume&gt;11&lt;/Volume&gt;&lt;Issue&gt;1&lt;/Issue&gt;&lt;Address&gt;Netherlands Pharmacovigilance Foundation Lareb, &amp;apos;s-Hertogenbosch, The Netherlands. e.vanPuijenbroek@Lareb.nl&lt;/Address&gt;&lt;Web_URL&gt;PM:11998548&lt;/Web_URL&gt;&lt;ZZ_JournalStdAbbrev&gt;&lt;f name="System"&gt;Pharmacoepidemiol.Drug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[46]</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 xml:space="preserve">. </w:t>
      </w:r>
      <w:r w:rsidR="00F05F4B" w:rsidRPr="00B977AE">
        <w:rPr>
          <w:rFonts w:ascii="Book Antiqua" w:hAnsi="Book Antiqua" w:cs="Arial"/>
          <w:sz w:val="24"/>
          <w:szCs w:val="20"/>
          <w:lang w:val="en-US"/>
        </w:rPr>
        <w:t xml:space="preserve">Cases were represented by reports of DILI according the aforementioned pre-specified </w:t>
      </w:r>
      <w:proofErr w:type="spellStart"/>
      <w:r w:rsidR="00F05F4B" w:rsidRPr="00B977AE">
        <w:rPr>
          <w:rFonts w:ascii="Book Antiqua" w:hAnsi="Book Antiqua" w:cs="Arial"/>
          <w:sz w:val="24"/>
          <w:szCs w:val="20"/>
          <w:lang w:val="en-US"/>
        </w:rPr>
        <w:t>MedDRA</w:t>
      </w:r>
      <w:proofErr w:type="spellEnd"/>
      <w:r w:rsidR="00F05F4B" w:rsidRPr="00B977AE">
        <w:rPr>
          <w:rFonts w:ascii="Book Antiqua" w:hAnsi="Book Antiqua" w:cs="Arial"/>
          <w:sz w:val="24"/>
          <w:szCs w:val="20"/>
          <w:lang w:val="en-US"/>
        </w:rPr>
        <w:t xml:space="preserve"> PTs, whereas non cases were defined as all other reports </w:t>
      </w:r>
      <w:r w:rsidR="00C41B2D" w:rsidRPr="00B977AE">
        <w:rPr>
          <w:rFonts w:ascii="Book Antiqua" w:hAnsi="Book Antiqua" w:cs="Arial"/>
          <w:sz w:val="24"/>
          <w:szCs w:val="20"/>
          <w:lang w:val="en-US"/>
        </w:rPr>
        <w:t>(</w:t>
      </w:r>
      <w:r w:rsidR="00553915" w:rsidRPr="00B977AE">
        <w:rPr>
          <w:rFonts w:ascii="Book Antiqua" w:hAnsi="Book Antiqua" w:cs="Arial"/>
          <w:i/>
          <w:sz w:val="24"/>
          <w:szCs w:val="20"/>
          <w:lang w:val="en-US"/>
        </w:rPr>
        <w:t>i.e.</w:t>
      </w:r>
      <w:r w:rsidR="00C41B2D" w:rsidRPr="00B977AE">
        <w:rPr>
          <w:rFonts w:ascii="Book Antiqua" w:hAnsi="Book Antiqua" w:cs="Arial"/>
          <w:sz w:val="24"/>
          <w:szCs w:val="20"/>
          <w:lang w:val="en-US"/>
        </w:rPr>
        <w:t xml:space="preserve">, those </w:t>
      </w:r>
      <w:r w:rsidR="00F05F4B" w:rsidRPr="00B977AE">
        <w:rPr>
          <w:rFonts w:ascii="Book Antiqua" w:hAnsi="Book Antiqua" w:cs="Arial"/>
          <w:sz w:val="24"/>
          <w:szCs w:val="20"/>
          <w:lang w:val="en-US"/>
        </w:rPr>
        <w:t xml:space="preserve">without </w:t>
      </w:r>
      <w:r w:rsidR="00C41B2D" w:rsidRPr="00B977AE">
        <w:rPr>
          <w:rFonts w:ascii="Book Antiqua" w:hAnsi="Book Antiqua" w:cs="Arial"/>
          <w:sz w:val="24"/>
          <w:szCs w:val="20"/>
          <w:lang w:val="en-US"/>
        </w:rPr>
        <w:t xml:space="preserve">such PTs). </w:t>
      </w:r>
      <w:r w:rsidR="006315B4" w:rsidRPr="00B977AE">
        <w:rPr>
          <w:rFonts w:ascii="Book Antiqua" w:hAnsi="Book Antiqua" w:cs="Arial"/>
          <w:sz w:val="24"/>
          <w:szCs w:val="20"/>
          <w:lang w:val="en-US"/>
        </w:rPr>
        <w:t xml:space="preserve">The ROR was </w:t>
      </w:r>
      <w:r w:rsidR="00C41B2D" w:rsidRPr="00B977AE">
        <w:rPr>
          <w:rFonts w:ascii="Book Antiqua" w:hAnsi="Book Antiqua" w:cs="Arial"/>
          <w:sz w:val="24"/>
          <w:szCs w:val="20"/>
          <w:lang w:val="en-US"/>
        </w:rPr>
        <w:t xml:space="preserve">first </w:t>
      </w:r>
      <w:r w:rsidR="006315B4" w:rsidRPr="00B977AE">
        <w:rPr>
          <w:rFonts w:ascii="Book Antiqua" w:hAnsi="Book Antiqua" w:cs="Arial"/>
          <w:sz w:val="24"/>
          <w:szCs w:val="20"/>
          <w:lang w:val="en-US"/>
        </w:rPr>
        <w:t xml:space="preserve">calculated by </w:t>
      </w:r>
      <w:r w:rsidR="00C41B2D" w:rsidRPr="00B977AE">
        <w:rPr>
          <w:rFonts w:ascii="Book Antiqua" w:hAnsi="Book Antiqua" w:cs="Arial"/>
          <w:sz w:val="24"/>
          <w:szCs w:val="20"/>
          <w:lang w:val="en-US"/>
        </w:rPr>
        <w:t xml:space="preserve">comparing a given </w:t>
      </w:r>
      <w:proofErr w:type="spellStart"/>
      <w:r w:rsidR="00C41B2D" w:rsidRPr="00B977AE">
        <w:rPr>
          <w:rFonts w:ascii="Book Antiqua" w:hAnsi="Book Antiqua" w:cs="Arial"/>
          <w:sz w:val="24"/>
          <w:szCs w:val="20"/>
          <w:lang w:val="en-US"/>
        </w:rPr>
        <w:t>antimycotic</w:t>
      </w:r>
      <w:proofErr w:type="spellEnd"/>
      <w:r w:rsidR="006315B4" w:rsidRPr="00B977AE">
        <w:rPr>
          <w:rFonts w:ascii="Book Antiqua" w:hAnsi="Book Antiqua" w:cs="Arial"/>
          <w:sz w:val="24"/>
          <w:szCs w:val="20"/>
          <w:lang w:val="en-US"/>
        </w:rPr>
        <w:t xml:space="preserve"> against </w:t>
      </w:r>
      <w:r w:rsidR="00C41B2D" w:rsidRPr="00B977AE">
        <w:rPr>
          <w:rFonts w:ascii="Book Antiqua" w:hAnsi="Book Antiqua" w:cs="Arial"/>
          <w:sz w:val="24"/>
          <w:szCs w:val="20"/>
          <w:lang w:val="en-US"/>
        </w:rPr>
        <w:t>all remaining drugs recorded in the entire FAERS database (</w:t>
      </w:r>
      <w:r w:rsidR="00553915" w:rsidRPr="00B977AE">
        <w:rPr>
          <w:rFonts w:ascii="Book Antiqua" w:hAnsi="Book Antiqua" w:cs="Arial"/>
          <w:i/>
          <w:sz w:val="24"/>
          <w:szCs w:val="20"/>
          <w:lang w:val="en-US"/>
        </w:rPr>
        <w:t>i.e.</w:t>
      </w:r>
      <w:r w:rsidR="00C41B2D" w:rsidRPr="00B977AE">
        <w:rPr>
          <w:rFonts w:ascii="Book Antiqua" w:hAnsi="Book Antiqua" w:cs="Arial"/>
          <w:sz w:val="24"/>
          <w:szCs w:val="20"/>
          <w:lang w:val="en-US"/>
        </w:rPr>
        <w:t xml:space="preserve">, </w:t>
      </w:r>
      <w:r w:rsidR="006315B4" w:rsidRPr="00B977AE">
        <w:rPr>
          <w:rFonts w:ascii="Book Antiqua" w:hAnsi="Book Antiqua" w:cs="Arial"/>
          <w:sz w:val="24"/>
          <w:szCs w:val="20"/>
          <w:lang w:val="en-US"/>
        </w:rPr>
        <w:t>comprising all spontaneous reports from all drugs)</w:t>
      </w:r>
      <w:r w:rsidR="00C41B2D" w:rsidRPr="00B977AE">
        <w:rPr>
          <w:rFonts w:ascii="Book Antiqua" w:hAnsi="Book Antiqua" w:cs="Arial"/>
          <w:sz w:val="24"/>
          <w:szCs w:val="20"/>
          <w:lang w:val="en-US"/>
        </w:rPr>
        <w:t>,</w:t>
      </w:r>
      <w:r w:rsidR="006315B4" w:rsidRPr="00B977AE">
        <w:rPr>
          <w:rFonts w:ascii="Book Antiqua" w:hAnsi="Book Antiqua" w:cs="Arial"/>
          <w:sz w:val="24"/>
          <w:szCs w:val="20"/>
          <w:lang w:val="en-US"/>
        </w:rPr>
        <w:t xml:space="preserve"> </w:t>
      </w:r>
      <w:r w:rsidR="00C41B2D" w:rsidRPr="00B977AE">
        <w:rPr>
          <w:rFonts w:ascii="Book Antiqua" w:hAnsi="Book Antiqua" w:cs="Arial"/>
          <w:sz w:val="24"/>
          <w:szCs w:val="20"/>
          <w:lang w:val="en-US"/>
        </w:rPr>
        <w:t>by considering ALF and L</w:t>
      </w:r>
      <w:r w:rsidR="00B56281" w:rsidRPr="00B977AE">
        <w:rPr>
          <w:rFonts w:ascii="Book Antiqua" w:hAnsi="Book Antiqua" w:cs="Arial"/>
          <w:sz w:val="24"/>
          <w:szCs w:val="20"/>
          <w:lang w:val="en-US"/>
        </w:rPr>
        <w:t>I</w:t>
      </w:r>
      <w:r w:rsidR="00C41B2D" w:rsidRPr="00B977AE">
        <w:rPr>
          <w:rFonts w:ascii="Book Antiqua" w:hAnsi="Book Antiqua" w:cs="Arial"/>
          <w:sz w:val="24"/>
          <w:szCs w:val="20"/>
          <w:lang w:val="en-US"/>
        </w:rPr>
        <w:t xml:space="preserve"> both separately and cumulatively (</w:t>
      </w:r>
      <w:r w:rsidR="00553915" w:rsidRPr="00B977AE">
        <w:rPr>
          <w:rFonts w:ascii="Book Antiqua" w:hAnsi="Book Antiqua" w:cs="Arial"/>
          <w:i/>
          <w:sz w:val="24"/>
          <w:szCs w:val="20"/>
          <w:lang w:val="en-US"/>
        </w:rPr>
        <w:t>i.e.</w:t>
      </w:r>
      <w:r w:rsidR="00C41B2D" w:rsidRPr="00B977AE">
        <w:rPr>
          <w:rFonts w:ascii="Book Antiqua" w:hAnsi="Book Antiqua" w:cs="Arial"/>
          <w:sz w:val="24"/>
          <w:szCs w:val="20"/>
          <w:lang w:val="en-US"/>
        </w:rPr>
        <w:t xml:space="preserve">, by providing the ROR for </w:t>
      </w:r>
      <w:r w:rsidR="00D42346" w:rsidRPr="00B977AE">
        <w:rPr>
          <w:rFonts w:ascii="Book Antiqua" w:hAnsi="Book Antiqua" w:cs="Arial"/>
          <w:sz w:val="24"/>
          <w:szCs w:val="20"/>
          <w:lang w:val="en-US"/>
        </w:rPr>
        <w:t>OL</w:t>
      </w:r>
      <w:r w:rsidR="00B56281" w:rsidRPr="00B977AE">
        <w:rPr>
          <w:rFonts w:ascii="Book Antiqua" w:hAnsi="Book Antiqua" w:cs="Arial"/>
          <w:sz w:val="24"/>
          <w:szCs w:val="20"/>
          <w:lang w:val="en-US"/>
        </w:rPr>
        <w:t>I</w:t>
      </w:r>
      <w:r w:rsidR="00C41B2D" w:rsidRPr="00B977AE">
        <w:rPr>
          <w:rFonts w:ascii="Book Antiqua" w:hAnsi="Book Antiqua" w:cs="Arial"/>
          <w:sz w:val="24"/>
          <w:szCs w:val="20"/>
          <w:lang w:val="en-US"/>
        </w:rPr>
        <w:t xml:space="preserve">). Finally, </w:t>
      </w:r>
      <w:r w:rsidR="009C4701" w:rsidRPr="00B977AE">
        <w:rPr>
          <w:rFonts w:ascii="Book Antiqua" w:hAnsi="Book Antiqua" w:cs="Arial"/>
          <w:sz w:val="24"/>
          <w:szCs w:val="20"/>
          <w:lang w:val="en-US"/>
        </w:rPr>
        <w:t xml:space="preserve">where appropriate, </w:t>
      </w:r>
      <w:r w:rsidR="00C41B2D" w:rsidRPr="00B977AE">
        <w:rPr>
          <w:rFonts w:ascii="Book Antiqua" w:hAnsi="Book Antiqua" w:cs="Arial"/>
          <w:sz w:val="24"/>
          <w:szCs w:val="20"/>
          <w:lang w:val="en-US"/>
        </w:rPr>
        <w:t xml:space="preserve">the ROR was calculated within </w:t>
      </w:r>
      <w:proofErr w:type="spellStart"/>
      <w:r w:rsidR="00C41B2D" w:rsidRPr="00B977AE">
        <w:rPr>
          <w:rFonts w:ascii="Book Antiqua" w:hAnsi="Book Antiqua" w:cs="Arial"/>
          <w:sz w:val="24"/>
          <w:szCs w:val="20"/>
          <w:lang w:val="en-US"/>
        </w:rPr>
        <w:t>antimycotics</w:t>
      </w:r>
      <w:proofErr w:type="spellEnd"/>
      <w:r w:rsidR="00C41B2D" w:rsidRPr="00B977AE">
        <w:rPr>
          <w:rFonts w:ascii="Book Antiqua" w:hAnsi="Book Antiqua" w:cs="Arial"/>
          <w:sz w:val="24"/>
          <w:szCs w:val="20"/>
          <w:lang w:val="en-US"/>
        </w:rPr>
        <w:t xml:space="preserve"> by using </w:t>
      </w:r>
      <w:r w:rsidR="006315B4" w:rsidRPr="00B977AE">
        <w:rPr>
          <w:rFonts w:ascii="Book Antiqua" w:hAnsi="Book Antiqua" w:cs="Arial"/>
          <w:sz w:val="24"/>
          <w:szCs w:val="20"/>
          <w:lang w:val="en-US"/>
        </w:rPr>
        <w:t>a subset of data (</w:t>
      </w:r>
      <w:r w:rsidR="00553915" w:rsidRPr="00B977AE">
        <w:rPr>
          <w:rFonts w:ascii="Book Antiqua" w:hAnsi="Book Antiqua" w:cs="Arial"/>
          <w:i/>
          <w:sz w:val="24"/>
          <w:szCs w:val="20"/>
          <w:lang w:val="en-US"/>
        </w:rPr>
        <w:t>i.e.</w:t>
      </w:r>
      <w:r w:rsidR="006315B4" w:rsidRPr="00B977AE">
        <w:rPr>
          <w:rFonts w:ascii="Book Antiqua" w:hAnsi="Book Antiqua" w:cs="Arial"/>
          <w:sz w:val="24"/>
          <w:szCs w:val="20"/>
          <w:lang w:val="en-US"/>
        </w:rPr>
        <w:t xml:space="preserve">, reports associated only with </w:t>
      </w:r>
      <w:proofErr w:type="spellStart"/>
      <w:r w:rsidR="006315B4" w:rsidRPr="00B977AE">
        <w:rPr>
          <w:rFonts w:ascii="Book Antiqua" w:hAnsi="Book Antiqua" w:cs="Arial"/>
          <w:sz w:val="24"/>
          <w:szCs w:val="20"/>
          <w:lang w:val="en-US"/>
        </w:rPr>
        <w:t>antimycotics</w:t>
      </w:r>
      <w:proofErr w:type="spellEnd"/>
      <w:r w:rsidR="00C41B2D" w:rsidRPr="00B977AE">
        <w:rPr>
          <w:rFonts w:ascii="Book Antiqua" w:hAnsi="Book Antiqua" w:cs="Arial"/>
          <w:sz w:val="24"/>
          <w:szCs w:val="20"/>
          <w:lang w:val="en-US"/>
        </w:rPr>
        <w:t xml:space="preserve">). Restricting the analysis among agents belonging to the same </w:t>
      </w:r>
      <w:proofErr w:type="spellStart"/>
      <w:r w:rsidR="00C41B2D" w:rsidRPr="00B977AE">
        <w:rPr>
          <w:rFonts w:ascii="Book Antiqua" w:hAnsi="Book Antiqua" w:cs="Arial"/>
          <w:sz w:val="24"/>
          <w:szCs w:val="20"/>
          <w:lang w:val="en-US"/>
        </w:rPr>
        <w:t>pharmaco</w:t>
      </w:r>
      <w:proofErr w:type="spellEnd"/>
      <w:r w:rsidR="00C41B2D" w:rsidRPr="00B977AE">
        <w:rPr>
          <w:rFonts w:ascii="Book Antiqua" w:hAnsi="Book Antiqua" w:cs="Arial"/>
          <w:sz w:val="24"/>
          <w:szCs w:val="20"/>
          <w:lang w:val="en-US"/>
        </w:rPr>
        <w:t xml:space="preserve">-therapeutic class may be useful as </w:t>
      </w:r>
      <w:r w:rsidR="006315B4" w:rsidRPr="00B977AE">
        <w:rPr>
          <w:rFonts w:ascii="Book Antiqua" w:hAnsi="Book Antiqua" w:cs="Arial"/>
          <w:sz w:val="24"/>
          <w:szCs w:val="20"/>
          <w:lang w:val="en-US"/>
        </w:rPr>
        <w:t xml:space="preserve">a sensitivity </w:t>
      </w:r>
      <w:r w:rsidR="00C41B2D" w:rsidRPr="00B977AE">
        <w:rPr>
          <w:rFonts w:ascii="Book Antiqua" w:hAnsi="Book Antiqua" w:cs="Arial"/>
          <w:sz w:val="24"/>
          <w:szCs w:val="20"/>
          <w:lang w:val="en-US"/>
        </w:rPr>
        <w:t xml:space="preserve">approach to </w:t>
      </w:r>
      <w:r w:rsidR="002E0F65" w:rsidRPr="00B977AE">
        <w:rPr>
          <w:rFonts w:ascii="Book Antiqua" w:hAnsi="Book Antiqua" w:cs="Arial"/>
          <w:sz w:val="24"/>
          <w:szCs w:val="20"/>
          <w:lang w:val="en-US"/>
        </w:rPr>
        <w:t xml:space="preserve">test whether any potential </w:t>
      </w:r>
      <w:proofErr w:type="spellStart"/>
      <w:r w:rsidR="002E0F65" w:rsidRPr="00B977AE">
        <w:rPr>
          <w:rFonts w:ascii="Book Antiqua" w:hAnsi="Book Antiqua" w:cs="Arial"/>
          <w:sz w:val="24"/>
          <w:szCs w:val="20"/>
          <w:lang w:val="en-US"/>
        </w:rPr>
        <w:t>intraclass</w:t>
      </w:r>
      <w:proofErr w:type="spellEnd"/>
      <w:r w:rsidR="002E0F65" w:rsidRPr="00B977AE">
        <w:rPr>
          <w:rFonts w:ascii="Book Antiqua" w:hAnsi="Book Antiqua" w:cs="Arial"/>
          <w:sz w:val="24"/>
          <w:szCs w:val="20"/>
          <w:lang w:val="en-US"/>
        </w:rPr>
        <w:t xml:space="preserve"> differences exist in terms of risk. </w:t>
      </w:r>
      <w:r w:rsidR="00F345C7" w:rsidRPr="00B977AE">
        <w:rPr>
          <w:rFonts w:ascii="Book Antiqua" w:hAnsi="Book Antiqua" w:cs="Arial"/>
          <w:sz w:val="24"/>
          <w:szCs w:val="20"/>
          <w:lang w:val="en-US"/>
        </w:rPr>
        <w:t>Cumulative time-trend disproportionality analysis was also performed, when appropriate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&lt;Refman&gt;&lt;Cite&gt;&lt;Author&gt;Raschi&lt;/Author&gt;&lt;Year&gt;2013&lt;/Year&gt;&lt;RecNum&gt;67&lt;/RecNum&gt;&lt;IDText&gt;The association of pancreatitis with antidiabetic drug use: gaining insight through the FDA pharmacovigilance database&lt;/IDText&gt;&lt;MDL Ref_Type="Journal"&gt;&lt;Ref_Type&gt;Journal&lt;/Ref_Type&gt;&lt;Ref_ID&gt;67&lt;/Ref_ID&gt;&lt;Title_Primary&gt;The association of pancreatitis with antidiabetic drug use: gaining insight through the FDA pharmacovigilance database&lt;/Title_Primary&gt;&lt;Authors_Primary&gt;Raschi,E.&lt;/Authors_Primary&gt;&lt;Authors_Primary&gt;Piccinni,C.&lt;/Authors_Primary&gt;&lt;Authors_Primary&gt;Poluzzi,E.&lt;/Authors_Primary&gt;&lt;Authors_Primary&gt;Marchesini,G.&lt;/Authors_Primary&gt;&lt;Authors_Primary&gt;De,Ponti F.&lt;/Authors_Primary&gt;&lt;Date_Primary&gt;2013/8&lt;/Date_Primary&gt;&lt;Keywords&gt;Odds Ratio&lt;/Keywords&gt;&lt;Keywords&gt;Pharmacovigilance&lt;/Keywords&gt;&lt;Keywords&gt;Registries&lt;/Keywords&gt;&lt;Keywords&gt;Risk&lt;/Keywords&gt;&lt;Reprint&gt;Not in File&lt;/Reprint&gt;&lt;Start_Page&gt;569&lt;/Start_Page&gt;&lt;End_Page&gt;577&lt;/End_Page&gt;&lt;Periodical&gt;Acta Diabetol.&lt;/Periodical&gt;&lt;Volume&gt;50&lt;/Volume&gt;&lt;Issue&gt;4&lt;/Issue&gt;&lt;Address&gt;Department of Pharmacology, Alma Mater Studiorum-University of Bologna, Via Irnerio, 48, 40126, Bologna, BO, Italy&lt;/Address&gt;&lt;Web_URL&gt;PM:22008948&lt;/Web_URL&gt;&lt;ZZ_JournalStdAbbrev&gt;&lt;f name="System"&gt;Acta Diabetol.&lt;/f&gt;&lt;/ZZ_JournalStdAbbrev&gt;&lt;ZZ_WorkformID&gt;1&lt;/ZZ_WorkformID&gt;&lt;/MDL&gt;&lt;/Cite&gt;&lt;/Refman&gt;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[47]</w:t>
      </w:r>
      <w:r w:rsidR="002411CC" w:rsidRPr="00B977AE">
        <w:rPr>
          <w:rFonts w:ascii="Book Antiqua" w:hAnsi="Book Antiqua" w:cs="Arial"/>
          <w:sz w:val="24"/>
          <w:szCs w:val="20"/>
          <w:lang w:val="en-US"/>
        </w:rPr>
        <w:fldChar w:fldCharType="end"/>
      </w:r>
      <w:r w:rsidR="00F345C7" w:rsidRPr="00B977AE">
        <w:rPr>
          <w:rFonts w:ascii="Book Antiqua" w:hAnsi="Book Antiqua" w:cs="Arial"/>
          <w:sz w:val="24"/>
          <w:szCs w:val="20"/>
          <w:lang w:val="en-US"/>
        </w:rPr>
        <w:t>.</w:t>
      </w:r>
    </w:p>
    <w:p w:rsidR="00982FC1" w:rsidRPr="00B977AE" w:rsidRDefault="00982FC1" w:rsidP="004D1284">
      <w:pPr>
        <w:autoSpaceDE w:val="0"/>
        <w:autoSpaceDN w:val="0"/>
        <w:adjustRightInd w:val="0"/>
        <w:spacing w:line="360" w:lineRule="auto"/>
        <w:jc w:val="both"/>
        <w:rPr>
          <w:rFonts w:ascii="Book Antiqua" w:hAnsi="Book Antiqua" w:cs="Arial"/>
          <w:sz w:val="24"/>
          <w:szCs w:val="20"/>
          <w:lang w:val="en-US"/>
        </w:rPr>
      </w:pPr>
    </w:p>
    <w:p w:rsidR="004E4200" w:rsidRPr="00B977AE" w:rsidRDefault="008850E9" w:rsidP="004D1284">
      <w:pPr>
        <w:autoSpaceDE w:val="0"/>
        <w:autoSpaceDN w:val="0"/>
        <w:adjustRightInd w:val="0"/>
        <w:spacing w:line="360" w:lineRule="auto"/>
        <w:jc w:val="both"/>
        <w:rPr>
          <w:rFonts w:ascii="Book Antiqua" w:hAnsi="Book Antiqua" w:cs="Arial"/>
          <w:b/>
          <w:sz w:val="24"/>
          <w:szCs w:val="20"/>
          <w:lang w:val="en-US"/>
        </w:rPr>
      </w:pPr>
      <w:r w:rsidRPr="00B977AE">
        <w:rPr>
          <w:rFonts w:ascii="Book Antiqua" w:hAnsi="Book Antiqua" w:cs="Arial"/>
          <w:b/>
          <w:sz w:val="24"/>
          <w:szCs w:val="20"/>
          <w:lang w:val="en-US"/>
        </w:rPr>
        <w:t xml:space="preserve">RESULTS </w:t>
      </w:r>
    </w:p>
    <w:p w:rsidR="00F32128" w:rsidRPr="00B977AE" w:rsidRDefault="004E4200" w:rsidP="004D1284">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sz w:val="24"/>
          <w:szCs w:val="20"/>
          <w:lang w:val="en-US"/>
        </w:rPr>
        <w:t>Over the 8-year period, 2612807 reports with at least one mapped active substance were processed; in 3.4% of these, at least one pre-selected PT of interest was recorded.</w:t>
      </w:r>
      <w:r w:rsidR="00025206" w:rsidRPr="00B977AE">
        <w:rPr>
          <w:rFonts w:ascii="Book Antiqua" w:hAnsi="Book Antiqua" w:cs="Arial"/>
          <w:sz w:val="24"/>
          <w:szCs w:val="20"/>
          <w:lang w:val="en-US"/>
        </w:rPr>
        <w:t xml:space="preserve"> The precise allocation of </w:t>
      </w:r>
      <w:r w:rsidR="0092586D" w:rsidRPr="00B977AE">
        <w:rPr>
          <w:rFonts w:ascii="Book Antiqua" w:hAnsi="Book Antiqua" w:cs="Arial"/>
          <w:sz w:val="24"/>
          <w:szCs w:val="20"/>
          <w:lang w:val="en-US"/>
        </w:rPr>
        <w:t>reports is provided in Figure 1, according to case definition and drug</w:t>
      </w:r>
      <w:r w:rsidR="00AB13BA" w:rsidRPr="00B977AE">
        <w:rPr>
          <w:rFonts w:ascii="Book Antiqua" w:hAnsi="Book Antiqua" w:cs="Arial"/>
          <w:sz w:val="24"/>
          <w:szCs w:val="20"/>
          <w:lang w:val="en-US"/>
        </w:rPr>
        <w:t>s of interest.</w:t>
      </w:r>
      <w:r w:rsidR="00F32128" w:rsidRPr="00B977AE">
        <w:rPr>
          <w:rFonts w:ascii="Book Antiqua" w:hAnsi="Book Antiqua" w:cs="Arial"/>
          <w:sz w:val="24"/>
          <w:szCs w:val="20"/>
          <w:lang w:val="en-US"/>
        </w:rPr>
        <w:t xml:space="preserve"> </w:t>
      </w:r>
      <w:r w:rsidR="0092586D" w:rsidRPr="00B977AE">
        <w:rPr>
          <w:rFonts w:ascii="Book Antiqua" w:hAnsi="Book Antiqua" w:cs="Arial"/>
          <w:sz w:val="24"/>
          <w:szCs w:val="20"/>
          <w:lang w:val="en-US"/>
        </w:rPr>
        <w:t xml:space="preserve">Based on our selection criteria, </w:t>
      </w:r>
      <w:r w:rsidR="00D35DA1" w:rsidRPr="00B977AE">
        <w:rPr>
          <w:rFonts w:ascii="Book Antiqua" w:hAnsi="Book Antiqua" w:cs="Arial"/>
          <w:sz w:val="24"/>
          <w:szCs w:val="20"/>
          <w:lang w:val="en-US"/>
        </w:rPr>
        <w:t>6</w:t>
      </w:r>
      <w:r w:rsidR="00035A3C" w:rsidRPr="00B977AE">
        <w:rPr>
          <w:rFonts w:ascii="Book Antiqua" w:hAnsi="Book Antiqua" w:cs="Arial"/>
          <w:sz w:val="24"/>
          <w:szCs w:val="20"/>
          <w:lang w:val="en-US"/>
        </w:rPr>
        <w:t>8</w:t>
      </w:r>
      <w:r w:rsidR="00D35DA1" w:rsidRPr="00B977AE">
        <w:rPr>
          <w:rFonts w:ascii="Book Antiqua" w:hAnsi="Book Antiqua" w:cs="Arial"/>
          <w:sz w:val="24"/>
          <w:szCs w:val="20"/>
          <w:lang w:val="en-US"/>
        </w:rPr>
        <w:t>,11</w:t>
      </w:r>
      <w:r w:rsidR="00035A3C" w:rsidRPr="00B977AE">
        <w:rPr>
          <w:rFonts w:ascii="Book Antiqua" w:hAnsi="Book Antiqua" w:cs="Arial"/>
          <w:sz w:val="24"/>
          <w:szCs w:val="20"/>
          <w:lang w:val="en-US"/>
        </w:rPr>
        <w:t>5</w:t>
      </w:r>
      <w:r w:rsidR="00D35DA1" w:rsidRPr="00B977AE">
        <w:rPr>
          <w:rFonts w:ascii="Book Antiqua" w:hAnsi="Book Antiqua" w:cs="Arial"/>
          <w:sz w:val="24"/>
          <w:szCs w:val="20"/>
          <w:lang w:val="en-US"/>
        </w:rPr>
        <w:t xml:space="preserve"> DILI cases (</w:t>
      </w:r>
      <w:r w:rsidR="005E2C0D" w:rsidRPr="00B977AE">
        <w:rPr>
          <w:rFonts w:ascii="Book Antiqua" w:hAnsi="Book Antiqua" w:cs="Arial"/>
          <w:sz w:val="24"/>
          <w:szCs w:val="20"/>
          <w:lang w:val="en-US"/>
        </w:rPr>
        <w:t>OL</w:t>
      </w:r>
      <w:r w:rsidR="00B56281" w:rsidRPr="00B977AE">
        <w:rPr>
          <w:rFonts w:ascii="Book Antiqua" w:hAnsi="Book Antiqua" w:cs="Arial"/>
          <w:sz w:val="24"/>
          <w:szCs w:val="20"/>
          <w:lang w:val="en-US"/>
        </w:rPr>
        <w:t>I</w:t>
      </w:r>
      <w:r w:rsidR="00D35DA1" w:rsidRPr="00B977AE">
        <w:rPr>
          <w:rFonts w:ascii="Book Antiqua" w:hAnsi="Book Antiqua" w:cs="Arial"/>
          <w:sz w:val="24"/>
          <w:szCs w:val="20"/>
          <w:lang w:val="en-US"/>
        </w:rPr>
        <w:t xml:space="preserve">) were identified, corresponding to 4% of </w:t>
      </w:r>
      <w:r w:rsidR="00AB0B55" w:rsidRPr="00B977AE">
        <w:rPr>
          <w:rFonts w:ascii="Book Antiqua" w:hAnsi="Book Antiqua" w:cs="Arial"/>
          <w:sz w:val="24"/>
          <w:szCs w:val="20"/>
          <w:lang w:val="en-US"/>
        </w:rPr>
        <w:t xml:space="preserve">overall </w:t>
      </w:r>
      <w:r w:rsidR="00D35DA1" w:rsidRPr="00B977AE">
        <w:rPr>
          <w:rFonts w:ascii="Book Antiqua" w:hAnsi="Book Antiqua" w:cs="Arial"/>
          <w:sz w:val="24"/>
          <w:szCs w:val="20"/>
          <w:lang w:val="en-US"/>
        </w:rPr>
        <w:t>FAERS reports</w:t>
      </w:r>
      <w:r w:rsidR="00035A3C" w:rsidRPr="00B977AE">
        <w:rPr>
          <w:rFonts w:ascii="Book Antiqua" w:hAnsi="Book Antiqua" w:cs="Arial"/>
          <w:sz w:val="24"/>
          <w:szCs w:val="20"/>
          <w:lang w:val="en-US"/>
        </w:rPr>
        <w:t>; the majority (91</w:t>
      </w:r>
      <w:r w:rsidR="00317E69" w:rsidRPr="00B977AE">
        <w:rPr>
          <w:rFonts w:ascii="Book Antiqua" w:hAnsi="Book Antiqua" w:cs="Arial"/>
          <w:sz w:val="24"/>
          <w:szCs w:val="20"/>
          <w:lang w:val="en-US"/>
        </w:rPr>
        <w:t>.</w:t>
      </w:r>
      <w:r w:rsidR="00035A3C" w:rsidRPr="00B977AE">
        <w:rPr>
          <w:rFonts w:ascii="Book Antiqua" w:hAnsi="Book Antiqua" w:cs="Arial"/>
          <w:sz w:val="24"/>
          <w:szCs w:val="20"/>
          <w:lang w:val="en-US"/>
        </w:rPr>
        <w:t>7</w:t>
      </w:r>
      <w:r w:rsidR="00317E69" w:rsidRPr="00B977AE">
        <w:rPr>
          <w:rFonts w:ascii="Book Antiqua" w:hAnsi="Book Antiqua" w:cs="Arial"/>
          <w:sz w:val="24"/>
          <w:szCs w:val="20"/>
          <w:lang w:val="en-US"/>
        </w:rPr>
        <w:t>%) regarded L</w:t>
      </w:r>
      <w:r w:rsidR="00B56281" w:rsidRPr="00B977AE">
        <w:rPr>
          <w:rFonts w:ascii="Book Antiqua" w:hAnsi="Book Antiqua" w:cs="Arial"/>
          <w:sz w:val="24"/>
          <w:szCs w:val="20"/>
          <w:lang w:val="en-US"/>
        </w:rPr>
        <w:t>I</w:t>
      </w:r>
      <w:r w:rsidR="00317E69" w:rsidRPr="00B977AE">
        <w:rPr>
          <w:rFonts w:ascii="Book Antiqua" w:hAnsi="Book Antiqua" w:cs="Arial"/>
          <w:sz w:val="24"/>
          <w:szCs w:val="20"/>
          <w:lang w:val="en-US"/>
        </w:rPr>
        <w:t xml:space="preserve">. </w:t>
      </w:r>
      <w:proofErr w:type="spellStart"/>
      <w:r w:rsidR="00317E69" w:rsidRPr="00B977AE">
        <w:rPr>
          <w:rFonts w:ascii="Book Antiqua" w:hAnsi="Book Antiqua" w:cs="Arial"/>
          <w:sz w:val="24"/>
          <w:szCs w:val="20"/>
          <w:lang w:val="en-US"/>
        </w:rPr>
        <w:t>Antimycotics</w:t>
      </w:r>
      <w:proofErr w:type="spellEnd"/>
      <w:r w:rsidR="00317E69" w:rsidRPr="00B977AE">
        <w:rPr>
          <w:rFonts w:ascii="Book Antiqua" w:hAnsi="Book Antiqua" w:cs="Arial"/>
          <w:sz w:val="24"/>
          <w:szCs w:val="20"/>
          <w:lang w:val="en-US"/>
        </w:rPr>
        <w:t xml:space="preserve"> were reported in </w:t>
      </w:r>
      <w:r w:rsidR="00035A3C" w:rsidRPr="00B977AE">
        <w:rPr>
          <w:rFonts w:ascii="Book Antiqua" w:hAnsi="Book Antiqua" w:cs="Arial"/>
          <w:sz w:val="24"/>
          <w:szCs w:val="20"/>
          <w:lang w:val="en-US"/>
        </w:rPr>
        <w:t xml:space="preserve">3% of </w:t>
      </w:r>
      <w:r w:rsidR="00317E69" w:rsidRPr="00B977AE">
        <w:rPr>
          <w:rFonts w:ascii="Book Antiqua" w:hAnsi="Book Antiqua" w:cs="Arial"/>
          <w:sz w:val="24"/>
          <w:szCs w:val="20"/>
          <w:lang w:val="en-US"/>
        </w:rPr>
        <w:t>L</w:t>
      </w:r>
      <w:r w:rsidR="00035A3C" w:rsidRPr="00B977AE">
        <w:rPr>
          <w:rFonts w:ascii="Book Antiqua" w:hAnsi="Book Antiqua" w:cs="Arial"/>
          <w:sz w:val="24"/>
          <w:szCs w:val="20"/>
          <w:lang w:val="en-US"/>
        </w:rPr>
        <w:t>I and 2</w:t>
      </w:r>
      <w:r w:rsidR="00317E69" w:rsidRPr="00B977AE">
        <w:rPr>
          <w:rFonts w:ascii="Book Antiqua" w:hAnsi="Book Antiqua" w:cs="Arial"/>
          <w:sz w:val="24"/>
          <w:szCs w:val="20"/>
          <w:lang w:val="en-US"/>
        </w:rPr>
        <w:t>% of ALF cases.</w:t>
      </w:r>
    </w:p>
    <w:p w:rsidR="00982FC1" w:rsidRPr="00B977AE" w:rsidRDefault="00420C5F"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 xml:space="preserve">In the entire FAERS database, </w:t>
      </w:r>
      <w:r w:rsidR="00F04BDC" w:rsidRPr="00B977AE">
        <w:rPr>
          <w:rFonts w:ascii="Book Antiqua" w:hAnsi="Book Antiqua" w:cs="Arial"/>
          <w:sz w:val="24"/>
          <w:szCs w:val="20"/>
          <w:lang w:val="en-US"/>
        </w:rPr>
        <w:t xml:space="preserve">52% of cases of DILI </w:t>
      </w:r>
      <w:r w:rsidRPr="00B977AE">
        <w:rPr>
          <w:rFonts w:ascii="Book Antiqua" w:hAnsi="Book Antiqua" w:cs="Arial"/>
          <w:sz w:val="24"/>
          <w:szCs w:val="20"/>
          <w:lang w:val="en-US"/>
        </w:rPr>
        <w:t>occurred in females, whereas only in 4</w:t>
      </w:r>
      <w:r w:rsidR="005E2C0D" w:rsidRPr="00B977AE">
        <w:rPr>
          <w:rFonts w:ascii="Book Antiqua" w:hAnsi="Book Antiqua" w:cs="Arial"/>
          <w:sz w:val="24"/>
          <w:szCs w:val="20"/>
          <w:lang w:val="en-US"/>
        </w:rPr>
        <w:t>4</w:t>
      </w:r>
      <w:r w:rsidRPr="00B977AE">
        <w:rPr>
          <w:rFonts w:ascii="Book Antiqua" w:hAnsi="Book Antiqua" w:cs="Arial"/>
          <w:sz w:val="24"/>
          <w:szCs w:val="20"/>
          <w:lang w:val="en-US"/>
        </w:rPr>
        <w:t xml:space="preserve">% of cases associated with </w:t>
      </w:r>
      <w:proofErr w:type="spellStart"/>
      <w:r w:rsidRPr="00B977AE">
        <w:rPr>
          <w:rFonts w:ascii="Book Antiqua" w:hAnsi="Book Antiqua" w:cs="Arial"/>
          <w:sz w:val="24"/>
          <w:szCs w:val="20"/>
          <w:lang w:val="en-US"/>
        </w:rPr>
        <w:t>antimycotics</w:t>
      </w:r>
      <w:proofErr w:type="spellEnd"/>
      <w:r w:rsidRPr="00B977AE">
        <w:rPr>
          <w:rFonts w:ascii="Book Antiqua" w:hAnsi="Book Antiqua" w:cs="Arial"/>
          <w:sz w:val="24"/>
          <w:szCs w:val="20"/>
          <w:lang w:val="en-US"/>
        </w:rPr>
        <w:t xml:space="preserve"> female gender was recorded</w:t>
      </w:r>
      <w:r w:rsidR="00F04BDC" w:rsidRPr="00B977AE">
        <w:rPr>
          <w:rFonts w:ascii="Book Antiqua" w:hAnsi="Book Antiqua" w:cs="Arial"/>
          <w:sz w:val="24"/>
          <w:szCs w:val="20"/>
          <w:lang w:val="en-US"/>
        </w:rPr>
        <w:t>.</w:t>
      </w:r>
      <w:r w:rsidR="002D36D1" w:rsidRPr="00B977AE">
        <w:rPr>
          <w:rFonts w:ascii="Book Antiqua" w:hAnsi="Book Antiqua" w:cs="Arial"/>
          <w:sz w:val="24"/>
          <w:szCs w:val="20"/>
          <w:lang w:val="en-US"/>
        </w:rPr>
        <w:t xml:space="preserve"> The analysis on age distribution showed a peak occurring in patients with 50-60 years of age</w:t>
      </w:r>
      <w:r w:rsidR="00F32128" w:rsidRPr="00B977AE">
        <w:rPr>
          <w:rFonts w:ascii="Book Antiqua" w:hAnsi="Book Antiqua" w:cs="Arial"/>
          <w:sz w:val="24"/>
          <w:szCs w:val="20"/>
          <w:lang w:val="en-US"/>
        </w:rPr>
        <w:t xml:space="preserve"> (all FAERS database, no matter the drug under scrutiny)</w:t>
      </w:r>
      <w:r w:rsidR="002D36D1" w:rsidRPr="00B977AE">
        <w:rPr>
          <w:rFonts w:ascii="Book Antiqua" w:hAnsi="Book Antiqua" w:cs="Arial"/>
          <w:sz w:val="24"/>
          <w:szCs w:val="20"/>
          <w:lang w:val="en-US"/>
        </w:rPr>
        <w:t>, both for ALF and L</w:t>
      </w:r>
      <w:r w:rsidR="00B56281" w:rsidRPr="00B977AE">
        <w:rPr>
          <w:rFonts w:ascii="Book Antiqua" w:hAnsi="Book Antiqua" w:cs="Arial"/>
          <w:sz w:val="24"/>
          <w:szCs w:val="20"/>
          <w:lang w:val="en-US"/>
        </w:rPr>
        <w:t>I</w:t>
      </w:r>
      <w:r w:rsidR="002D36D1" w:rsidRPr="00B977AE">
        <w:rPr>
          <w:rFonts w:ascii="Book Antiqua" w:hAnsi="Book Antiqua" w:cs="Arial"/>
          <w:sz w:val="24"/>
          <w:szCs w:val="20"/>
          <w:lang w:val="en-US"/>
        </w:rPr>
        <w:t>; only 2</w:t>
      </w:r>
      <w:r w:rsidR="00E74C44" w:rsidRPr="00B977AE">
        <w:rPr>
          <w:rFonts w:ascii="Book Antiqua" w:hAnsi="Book Antiqua" w:cs="Arial"/>
          <w:sz w:val="24"/>
          <w:szCs w:val="20"/>
          <w:lang w:val="en-US"/>
        </w:rPr>
        <w:t>6</w:t>
      </w:r>
      <w:r w:rsidR="002D36D1" w:rsidRPr="00B977AE">
        <w:rPr>
          <w:rFonts w:ascii="Book Antiqua" w:hAnsi="Book Antiqua" w:cs="Arial"/>
          <w:sz w:val="24"/>
          <w:szCs w:val="20"/>
          <w:lang w:val="en-US"/>
        </w:rPr>
        <w:t xml:space="preserve"> and 27% of </w:t>
      </w:r>
      <w:r w:rsidR="002D36D1" w:rsidRPr="00B977AE">
        <w:rPr>
          <w:rFonts w:ascii="Book Antiqua" w:hAnsi="Book Antiqua" w:cs="Arial"/>
          <w:sz w:val="24"/>
          <w:szCs w:val="20"/>
          <w:lang w:val="en-US"/>
        </w:rPr>
        <w:lastRenderedPageBreak/>
        <w:t>DILI cases occurred in patients aged &gt;</w:t>
      </w:r>
      <w:r w:rsidR="00655591" w:rsidRPr="00B977AE">
        <w:rPr>
          <w:rFonts w:ascii="Book Antiqua" w:hAnsi="Book Antiqua" w:cs="Arial"/>
          <w:sz w:val="24"/>
          <w:szCs w:val="20"/>
          <w:lang w:val="en-US" w:eastAsia="zh-CN"/>
        </w:rPr>
        <w:t xml:space="preserve"> </w:t>
      </w:r>
      <w:r w:rsidR="002D36D1" w:rsidRPr="00B977AE">
        <w:rPr>
          <w:rFonts w:ascii="Book Antiqua" w:hAnsi="Book Antiqua" w:cs="Arial"/>
          <w:sz w:val="24"/>
          <w:szCs w:val="20"/>
          <w:lang w:val="en-US"/>
        </w:rPr>
        <w:t>65 years (ALF and L</w:t>
      </w:r>
      <w:r w:rsidR="00834F14" w:rsidRPr="00B977AE">
        <w:rPr>
          <w:rFonts w:ascii="Book Antiqua" w:hAnsi="Book Antiqua" w:cs="Arial"/>
          <w:sz w:val="24"/>
          <w:szCs w:val="20"/>
          <w:lang w:val="en-US"/>
        </w:rPr>
        <w:t>I</w:t>
      </w:r>
      <w:r w:rsidR="002D36D1" w:rsidRPr="00B977AE">
        <w:rPr>
          <w:rFonts w:ascii="Book Antiqua" w:hAnsi="Book Antiqua" w:cs="Arial"/>
          <w:sz w:val="24"/>
          <w:szCs w:val="20"/>
          <w:lang w:val="en-US"/>
        </w:rPr>
        <w:t>, respectively).</w:t>
      </w:r>
      <w:r w:rsidR="00F32128" w:rsidRPr="00B977AE">
        <w:rPr>
          <w:rFonts w:ascii="Book Antiqua" w:hAnsi="Book Antiqua" w:cs="Arial"/>
          <w:sz w:val="24"/>
          <w:szCs w:val="20"/>
          <w:lang w:val="en-US"/>
        </w:rPr>
        <w:t xml:space="preserve"> Concerning </w:t>
      </w:r>
      <w:proofErr w:type="spellStart"/>
      <w:r w:rsidR="00F32128" w:rsidRPr="00B977AE">
        <w:rPr>
          <w:rFonts w:ascii="Book Antiqua" w:hAnsi="Book Antiqua" w:cs="Arial"/>
          <w:sz w:val="24"/>
          <w:szCs w:val="20"/>
          <w:lang w:val="en-US"/>
        </w:rPr>
        <w:t>antimycotics</w:t>
      </w:r>
      <w:proofErr w:type="spellEnd"/>
      <w:r w:rsidR="00F32128" w:rsidRPr="00B977AE">
        <w:rPr>
          <w:rFonts w:ascii="Book Antiqua" w:hAnsi="Book Antiqua" w:cs="Arial"/>
          <w:sz w:val="24"/>
          <w:szCs w:val="20"/>
          <w:lang w:val="en-US"/>
        </w:rPr>
        <w:t>, a peak was found for patients aged 60 (number of OL</w:t>
      </w:r>
      <w:r w:rsidR="00834F14" w:rsidRPr="00B977AE">
        <w:rPr>
          <w:rFonts w:ascii="Book Antiqua" w:hAnsi="Book Antiqua" w:cs="Arial"/>
          <w:sz w:val="24"/>
          <w:szCs w:val="20"/>
          <w:lang w:val="en-US"/>
        </w:rPr>
        <w:t>I</w:t>
      </w:r>
      <w:r w:rsidR="00F32128" w:rsidRPr="00B977AE">
        <w:rPr>
          <w:rFonts w:ascii="Book Antiqua" w:hAnsi="Book Antiqua" w:cs="Arial"/>
          <w:sz w:val="24"/>
          <w:szCs w:val="20"/>
          <w:lang w:val="en-US"/>
        </w:rPr>
        <w:t xml:space="preserve"> cases</w:t>
      </w:r>
      <w:r w:rsidR="00655591" w:rsidRPr="00B977AE">
        <w:rPr>
          <w:rFonts w:ascii="Book Antiqua" w:hAnsi="Book Antiqua" w:cs="Arial"/>
          <w:sz w:val="24"/>
          <w:szCs w:val="20"/>
          <w:lang w:val="en-US" w:eastAsia="zh-CN"/>
        </w:rPr>
        <w:t xml:space="preserve"> </w:t>
      </w:r>
      <w:r w:rsidR="00F32128" w:rsidRPr="00B977AE">
        <w:rPr>
          <w:rFonts w:ascii="Book Antiqua" w:hAnsi="Book Antiqua" w:cs="Arial"/>
          <w:sz w:val="24"/>
          <w:szCs w:val="20"/>
          <w:lang w:val="en-US"/>
        </w:rPr>
        <w:t>=</w:t>
      </w:r>
      <w:r w:rsidR="00655591" w:rsidRPr="00B977AE">
        <w:rPr>
          <w:rFonts w:ascii="Book Antiqua" w:hAnsi="Book Antiqua" w:cs="Arial"/>
          <w:sz w:val="24"/>
          <w:szCs w:val="20"/>
          <w:lang w:val="en-US" w:eastAsia="zh-CN"/>
        </w:rPr>
        <w:t xml:space="preserve"> </w:t>
      </w:r>
      <w:r w:rsidR="00F32128" w:rsidRPr="00B977AE">
        <w:rPr>
          <w:rFonts w:ascii="Book Antiqua" w:hAnsi="Book Antiqua" w:cs="Arial"/>
          <w:sz w:val="24"/>
          <w:szCs w:val="20"/>
          <w:lang w:val="en-US"/>
        </w:rPr>
        <w:t xml:space="preserve">48), with only 30% of </w:t>
      </w:r>
      <w:r w:rsidR="0009609F" w:rsidRPr="00B977AE">
        <w:rPr>
          <w:rFonts w:ascii="Book Antiqua" w:hAnsi="Book Antiqua" w:cs="Arial"/>
          <w:sz w:val="24"/>
          <w:szCs w:val="20"/>
          <w:lang w:val="en-US"/>
        </w:rPr>
        <w:t>OL</w:t>
      </w:r>
      <w:r w:rsidR="00834F14" w:rsidRPr="00B977AE">
        <w:rPr>
          <w:rFonts w:ascii="Book Antiqua" w:hAnsi="Book Antiqua" w:cs="Arial"/>
          <w:sz w:val="24"/>
          <w:szCs w:val="20"/>
          <w:lang w:val="en-US"/>
        </w:rPr>
        <w:t>I</w:t>
      </w:r>
      <w:r w:rsidR="0009609F" w:rsidRPr="00B977AE">
        <w:rPr>
          <w:rFonts w:ascii="Book Antiqua" w:hAnsi="Book Antiqua" w:cs="Arial"/>
          <w:sz w:val="24"/>
          <w:szCs w:val="20"/>
          <w:lang w:val="en-US"/>
        </w:rPr>
        <w:t xml:space="preserve"> </w:t>
      </w:r>
      <w:r w:rsidR="00F32128" w:rsidRPr="00B977AE">
        <w:rPr>
          <w:rFonts w:ascii="Book Antiqua" w:hAnsi="Book Antiqua" w:cs="Arial"/>
          <w:sz w:val="24"/>
          <w:szCs w:val="20"/>
          <w:lang w:val="en-US"/>
        </w:rPr>
        <w:t>cases occurring in subjects</w:t>
      </w:r>
      <w:r w:rsidR="0009609F" w:rsidRPr="00B977AE">
        <w:rPr>
          <w:rFonts w:ascii="Book Antiqua" w:hAnsi="Book Antiqua" w:cs="Arial"/>
          <w:sz w:val="24"/>
          <w:szCs w:val="20"/>
          <w:lang w:val="en-US"/>
        </w:rPr>
        <w:t xml:space="preserve"> aged &gt;</w:t>
      </w:r>
      <w:r w:rsidR="00655591" w:rsidRPr="00B977AE">
        <w:rPr>
          <w:rFonts w:ascii="Book Antiqua" w:hAnsi="Book Antiqua" w:cs="Arial"/>
          <w:sz w:val="24"/>
          <w:szCs w:val="20"/>
          <w:lang w:val="en-US" w:eastAsia="zh-CN"/>
        </w:rPr>
        <w:t xml:space="preserve"> </w:t>
      </w:r>
      <w:r w:rsidR="0009609F" w:rsidRPr="00B977AE">
        <w:rPr>
          <w:rFonts w:ascii="Book Antiqua" w:hAnsi="Book Antiqua" w:cs="Arial"/>
          <w:sz w:val="24"/>
          <w:szCs w:val="20"/>
          <w:lang w:val="en-US"/>
        </w:rPr>
        <w:t>65 years.</w:t>
      </w:r>
      <w:r w:rsidR="001778D7" w:rsidRPr="00B977AE">
        <w:rPr>
          <w:rFonts w:ascii="Book Antiqua" w:hAnsi="Book Antiqua" w:cs="Arial"/>
          <w:sz w:val="24"/>
          <w:szCs w:val="20"/>
          <w:lang w:val="en-US"/>
        </w:rPr>
        <w:t xml:space="preserve"> The analysis on the outcome of the event</w:t>
      </w:r>
      <w:r w:rsidR="008155EA" w:rsidRPr="00B977AE">
        <w:rPr>
          <w:rFonts w:ascii="Book Antiqua" w:hAnsi="Book Antiqua" w:cs="Arial"/>
          <w:sz w:val="24"/>
          <w:szCs w:val="20"/>
          <w:lang w:val="en-US"/>
        </w:rPr>
        <w:t>s</w:t>
      </w:r>
      <w:r w:rsidR="001778D7" w:rsidRPr="00B977AE">
        <w:rPr>
          <w:rFonts w:ascii="Book Antiqua" w:hAnsi="Book Antiqua" w:cs="Arial"/>
          <w:sz w:val="24"/>
          <w:szCs w:val="20"/>
          <w:lang w:val="en-US"/>
        </w:rPr>
        <w:t xml:space="preserve"> revealed that: </w:t>
      </w:r>
      <w:r w:rsidR="00911B8D" w:rsidRPr="00B977AE">
        <w:rPr>
          <w:rFonts w:ascii="Book Antiqua" w:hAnsi="Book Antiqua" w:cs="Arial"/>
          <w:sz w:val="24"/>
          <w:szCs w:val="20"/>
          <w:lang w:val="en-US" w:eastAsia="zh-CN"/>
        </w:rPr>
        <w:t>(</w:t>
      </w:r>
      <w:r w:rsidR="001778D7" w:rsidRPr="00B977AE">
        <w:rPr>
          <w:rFonts w:ascii="Book Antiqua" w:hAnsi="Book Antiqua" w:cs="Arial"/>
          <w:sz w:val="24"/>
          <w:szCs w:val="20"/>
          <w:lang w:val="en-US"/>
        </w:rPr>
        <w:t xml:space="preserve">1) in the entire FAERS database, death was recorded in </w:t>
      </w:r>
      <w:r w:rsidR="008155EA" w:rsidRPr="00B977AE">
        <w:rPr>
          <w:rFonts w:ascii="Book Antiqua" w:hAnsi="Book Antiqua" w:cs="Arial"/>
          <w:sz w:val="24"/>
          <w:szCs w:val="20"/>
          <w:lang w:val="en-US"/>
        </w:rPr>
        <w:t>37</w:t>
      </w:r>
      <w:r w:rsidR="001778D7" w:rsidRPr="00B977AE">
        <w:rPr>
          <w:rFonts w:ascii="Book Antiqua" w:hAnsi="Book Antiqua" w:cs="Arial"/>
          <w:sz w:val="24"/>
          <w:szCs w:val="20"/>
          <w:lang w:val="en-US"/>
        </w:rPr>
        <w:t>% and 1</w:t>
      </w:r>
      <w:r w:rsidR="008155EA" w:rsidRPr="00B977AE">
        <w:rPr>
          <w:rFonts w:ascii="Book Antiqua" w:hAnsi="Book Antiqua" w:cs="Arial"/>
          <w:sz w:val="24"/>
          <w:szCs w:val="20"/>
          <w:lang w:val="en-US"/>
        </w:rPr>
        <w:t>7</w:t>
      </w:r>
      <w:r w:rsidR="001778D7" w:rsidRPr="00B977AE">
        <w:rPr>
          <w:rFonts w:ascii="Book Antiqua" w:hAnsi="Book Antiqua" w:cs="Arial"/>
          <w:sz w:val="24"/>
          <w:szCs w:val="20"/>
          <w:lang w:val="en-US"/>
        </w:rPr>
        <w:t>% of cases, whereas hospitalization or life-threatening conditions w</w:t>
      </w:r>
      <w:r w:rsidR="008155EA" w:rsidRPr="00B977AE">
        <w:rPr>
          <w:rFonts w:ascii="Book Antiqua" w:hAnsi="Book Antiqua" w:cs="Arial"/>
          <w:sz w:val="24"/>
          <w:szCs w:val="20"/>
          <w:lang w:val="en-US"/>
        </w:rPr>
        <w:t>ere</w:t>
      </w:r>
      <w:r w:rsidR="001778D7" w:rsidRPr="00B977AE">
        <w:rPr>
          <w:rFonts w:ascii="Book Antiqua" w:hAnsi="Book Antiqua" w:cs="Arial"/>
          <w:sz w:val="24"/>
          <w:szCs w:val="20"/>
          <w:lang w:val="en-US"/>
        </w:rPr>
        <w:t xml:space="preserve"> reported in </w:t>
      </w:r>
      <w:r w:rsidR="008155EA" w:rsidRPr="00B977AE">
        <w:rPr>
          <w:rFonts w:ascii="Book Antiqua" w:hAnsi="Book Antiqua" w:cs="Arial"/>
          <w:sz w:val="24"/>
          <w:szCs w:val="20"/>
          <w:lang w:val="en-US"/>
        </w:rPr>
        <w:t>52</w:t>
      </w:r>
      <w:r w:rsidR="001778D7" w:rsidRPr="00B977AE">
        <w:rPr>
          <w:rFonts w:ascii="Book Antiqua" w:hAnsi="Book Antiqua" w:cs="Arial"/>
          <w:sz w:val="24"/>
          <w:szCs w:val="20"/>
          <w:lang w:val="en-US"/>
        </w:rPr>
        <w:t xml:space="preserve">% and </w:t>
      </w:r>
      <w:r w:rsidR="008155EA" w:rsidRPr="00B977AE">
        <w:rPr>
          <w:rFonts w:ascii="Book Antiqua" w:hAnsi="Book Antiqua" w:cs="Arial"/>
          <w:sz w:val="24"/>
          <w:szCs w:val="20"/>
          <w:lang w:val="en-US"/>
        </w:rPr>
        <w:t>49</w:t>
      </w:r>
      <w:r w:rsidR="001778D7" w:rsidRPr="00B977AE">
        <w:rPr>
          <w:rFonts w:ascii="Book Antiqua" w:hAnsi="Book Antiqua" w:cs="Arial"/>
          <w:sz w:val="24"/>
          <w:szCs w:val="20"/>
          <w:lang w:val="en-US"/>
        </w:rPr>
        <w:t>% of cases (ALF and L</w:t>
      </w:r>
      <w:r w:rsidR="00834F14" w:rsidRPr="00B977AE">
        <w:rPr>
          <w:rFonts w:ascii="Book Antiqua" w:hAnsi="Book Antiqua" w:cs="Arial"/>
          <w:sz w:val="24"/>
          <w:szCs w:val="20"/>
          <w:lang w:val="en-US"/>
        </w:rPr>
        <w:t>I</w:t>
      </w:r>
      <w:r w:rsidR="001778D7" w:rsidRPr="00B977AE">
        <w:rPr>
          <w:rFonts w:ascii="Book Antiqua" w:hAnsi="Book Antiqua" w:cs="Arial"/>
          <w:sz w:val="24"/>
          <w:szCs w:val="20"/>
          <w:lang w:val="en-US"/>
        </w:rPr>
        <w:t xml:space="preserve">, respectively); </w:t>
      </w:r>
      <w:r w:rsidR="00911B8D" w:rsidRPr="00B977AE">
        <w:rPr>
          <w:rFonts w:ascii="Book Antiqua" w:hAnsi="Book Antiqua" w:cs="Arial"/>
          <w:sz w:val="24"/>
          <w:szCs w:val="20"/>
          <w:lang w:val="en-US" w:eastAsia="zh-CN"/>
        </w:rPr>
        <w:t>and (</w:t>
      </w:r>
      <w:r w:rsidR="001778D7" w:rsidRPr="00B977AE">
        <w:rPr>
          <w:rFonts w:ascii="Book Antiqua" w:hAnsi="Book Antiqua" w:cs="Arial"/>
          <w:sz w:val="24"/>
          <w:szCs w:val="20"/>
          <w:lang w:val="en-US"/>
        </w:rPr>
        <w:t xml:space="preserve">2) as regards </w:t>
      </w:r>
      <w:proofErr w:type="spellStart"/>
      <w:r w:rsidR="001778D7" w:rsidRPr="00B977AE">
        <w:rPr>
          <w:rFonts w:ascii="Book Antiqua" w:hAnsi="Book Antiqua" w:cs="Arial"/>
          <w:sz w:val="24"/>
          <w:szCs w:val="20"/>
          <w:lang w:val="en-US"/>
        </w:rPr>
        <w:t>antimycotics</w:t>
      </w:r>
      <w:proofErr w:type="spellEnd"/>
      <w:r w:rsidR="001778D7" w:rsidRPr="00B977AE">
        <w:rPr>
          <w:rFonts w:ascii="Book Antiqua" w:hAnsi="Book Antiqua" w:cs="Arial"/>
          <w:sz w:val="24"/>
          <w:szCs w:val="20"/>
          <w:lang w:val="en-US"/>
        </w:rPr>
        <w:t>, death occurred in 5</w:t>
      </w:r>
      <w:r w:rsidR="008155EA" w:rsidRPr="00B977AE">
        <w:rPr>
          <w:rFonts w:ascii="Book Antiqua" w:hAnsi="Book Antiqua" w:cs="Arial"/>
          <w:sz w:val="24"/>
          <w:szCs w:val="20"/>
          <w:lang w:val="en-US"/>
        </w:rPr>
        <w:t>1</w:t>
      </w:r>
      <w:r w:rsidR="001778D7" w:rsidRPr="00B977AE">
        <w:rPr>
          <w:rFonts w:ascii="Book Antiqua" w:hAnsi="Book Antiqua" w:cs="Arial"/>
          <w:sz w:val="24"/>
          <w:szCs w:val="20"/>
          <w:lang w:val="en-US"/>
        </w:rPr>
        <w:t>% and 2</w:t>
      </w:r>
      <w:r w:rsidR="008155EA" w:rsidRPr="00B977AE">
        <w:rPr>
          <w:rFonts w:ascii="Book Antiqua" w:hAnsi="Book Antiqua" w:cs="Arial"/>
          <w:sz w:val="24"/>
          <w:szCs w:val="20"/>
          <w:lang w:val="en-US"/>
        </w:rPr>
        <w:t>4</w:t>
      </w:r>
      <w:r w:rsidR="001778D7" w:rsidRPr="00B977AE">
        <w:rPr>
          <w:rFonts w:ascii="Book Antiqua" w:hAnsi="Book Antiqua" w:cs="Arial"/>
          <w:sz w:val="24"/>
          <w:szCs w:val="20"/>
          <w:lang w:val="en-US"/>
        </w:rPr>
        <w:t>% of events, hospitalization or life-threatening conditions in 3</w:t>
      </w:r>
      <w:r w:rsidR="008155EA" w:rsidRPr="00B977AE">
        <w:rPr>
          <w:rFonts w:ascii="Book Antiqua" w:hAnsi="Book Antiqua" w:cs="Arial"/>
          <w:sz w:val="24"/>
          <w:szCs w:val="20"/>
          <w:lang w:val="en-US"/>
        </w:rPr>
        <w:t>9</w:t>
      </w:r>
      <w:r w:rsidR="001778D7" w:rsidRPr="00B977AE">
        <w:rPr>
          <w:rFonts w:ascii="Book Antiqua" w:hAnsi="Book Antiqua" w:cs="Arial"/>
          <w:sz w:val="24"/>
          <w:szCs w:val="20"/>
          <w:lang w:val="en-US"/>
        </w:rPr>
        <w:t xml:space="preserve">% and </w:t>
      </w:r>
      <w:r w:rsidR="00E74C44" w:rsidRPr="00B977AE">
        <w:rPr>
          <w:rFonts w:ascii="Book Antiqua" w:hAnsi="Book Antiqua" w:cs="Arial"/>
          <w:sz w:val="24"/>
          <w:szCs w:val="20"/>
          <w:lang w:val="en-US"/>
        </w:rPr>
        <w:t>4</w:t>
      </w:r>
      <w:r w:rsidR="001778D7" w:rsidRPr="00B977AE">
        <w:rPr>
          <w:rFonts w:ascii="Book Antiqua" w:hAnsi="Book Antiqua" w:cs="Arial"/>
          <w:sz w:val="24"/>
          <w:szCs w:val="20"/>
          <w:lang w:val="en-US"/>
        </w:rPr>
        <w:t>7% of events (ALF and L</w:t>
      </w:r>
      <w:r w:rsidR="00910AB7" w:rsidRPr="00B977AE">
        <w:rPr>
          <w:rFonts w:ascii="Book Antiqua" w:hAnsi="Book Antiqua" w:cs="Arial"/>
          <w:sz w:val="24"/>
          <w:szCs w:val="20"/>
          <w:lang w:val="en-US"/>
        </w:rPr>
        <w:t>I</w:t>
      </w:r>
      <w:r w:rsidR="001778D7" w:rsidRPr="00B977AE">
        <w:rPr>
          <w:rFonts w:ascii="Book Antiqua" w:hAnsi="Book Antiqua" w:cs="Arial"/>
          <w:sz w:val="24"/>
          <w:szCs w:val="20"/>
          <w:lang w:val="en-US"/>
        </w:rPr>
        <w:t>, respectively).</w:t>
      </w:r>
    </w:p>
    <w:p w:rsidR="00982FC1" w:rsidRPr="00B977AE" w:rsidRDefault="00922AF6"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As a first screening to test the sensitivity of the approach in detecting drug-event associations, we generated a list of top-</w:t>
      </w:r>
      <w:r w:rsidR="003159C3" w:rsidRPr="00B977AE">
        <w:rPr>
          <w:rFonts w:ascii="Book Antiqua" w:hAnsi="Book Antiqua" w:cs="Arial"/>
          <w:sz w:val="24"/>
          <w:szCs w:val="20"/>
          <w:lang w:val="en-US"/>
        </w:rPr>
        <w:t>1</w:t>
      </w:r>
      <w:r w:rsidRPr="00B977AE">
        <w:rPr>
          <w:rFonts w:ascii="Book Antiqua" w:hAnsi="Book Antiqua" w:cs="Arial"/>
          <w:sz w:val="24"/>
          <w:szCs w:val="20"/>
          <w:lang w:val="en-US"/>
        </w:rPr>
        <w:t xml:space="preserve">0 drugs based on their reporting frequency for DILI (Table </w:t>
      </w:r>
      <w:r w:rsidR="00814338">
        <w:rPr>
          <w:rFonts w:ascii="Book Antiqua" w:hAnsi="Book Antiqua" w:cs="Arial" w:hint="eastAsia"/>
          <w:sz w:val="24"/>
          <w:szCs w:val="20"/>
          <w:lang w:val="en-US" w:eastAsia="zh-CN"/>
        </w:rPr>
        <w:t>2</w:t>
      </w:r>
      <w:r w:rsidRPr="00B977AE">
        <w:rPr>
          <w:rFonts w:ascii="Book Antiqua" w:hAnsi="Book Antiqua" w:cs="Arial"/>
          <w:sz w:val="24"/>
          <w:szCs w:val="20"/>
          <w:lang w:val="en-US"/>
        </w:rPr>
        <w:t>).</w:t>
      </w:r>
      <w:r w:rsidR="003159C3" w:rsidRPr="00B977AE">
        <w:rPr>
          <w:rFonts w:ascii="Book Antiqua" w:hAnsi="Book Antiqua" w:cs="Arial"/>
          <w:sz w:val="24"/>
          <w:szCs w:val="20"/>
          <w:lang w:val="en-US"/>
        </w:rPr>
        <w:t xml:space="preserve"> </w:t>
      </w:r>
      <w:proofErr w:type="spellStart"/>
      <w:r w:rsidR="003159C3" w:rsidRPr="00B977AE">
        <w:rPr>
          <w:rFonts w:ascii="Book Antiqua" w:hAnsi="Book Antiqua" w:cs="Arial"/>
          <w:sz w:val="24"/>
          <w:szCs w:val="20"/>
          <w:lang w:val="en-US"/>
        </w:rPr>
        <w:t>Paracetamol</w:t>
      </w:r>
      <w:proofErr w:type="spellEnd"/>
      <w:r w:rsidR="003159C3" w:rsidRPr="00B977AE">
        <w:rPr>
          <w:rFonts w:ascii="Book Antiqua" w:hAnsi="Book Antiqua" w:cs="Arial"/>
          <w:sz w:val="24"/>
          <w:szCs w:val="20"/>
          <w:lang w:val="en-US"/>
        </w:rPr>
        <w:t xml:space="preserve"> ranked first both for ALF and L</w:t>
      </w:r>
      <w:r w:rsidR="00910AB7" w:rsidRPr="00B977AE">
        <w:rPr>
          <w:rFonts w:ascii="Book Antiqua" w:hAnsi="Book Antiqua" w:cs="Arial"/>
          <w:sz w:val="24"/>
          <w:szCs w:val="20"/>
          <w:lang w:val="en-US"/>
        </w:rPr>
        <w:t>I</w:t>
      </w:r>
      <w:r w:rsidR="003159C3" w:rsidRPr="00B977AE">
        <w:rPr>
          <w:rFonts w:ascii="Book Antiqua" w:hAnsi="Book Antiqua" w:cs="Arial"/>
          <w:sz w:val="24"/>
          <w:szCs w:val="20"/>
          <w:lang w:val="en-US"/>
        </w:rPr>
        <w:t xml:space="preserve"> and also generated statistically significant disproportionality; it was followed by a number of drugs with know</w:t>
      </w:r>
      <w:r w:rsidR="004D7ED4" w:rsidRPr="00B977AE">
        <w:rPr>
          <w:rFonts w:ascii="Book Antiqua" w:hAnsi="Book Antiqua" w:cs="Arial"/>
          <w:sz w:val="24"/>
          <w:szCs w:val="20"/>
          <w:lang w:val="en-US"/>
        </w:rPr>
        <w:t>n</w:t>
      </w:r>
      <w:r w:rsidR="003159C3" w:rsidRPr="00B977AE">
        <w:rPr>
          <w:rFonts w:ascii="Book Antiqua" w:hAnsi="Book Antiqua" w:cs="Arial"/>
          <w:sz w:val="24"/>
          <w:szCs w:val="20"/>
          <w:lang w:val="en-US"/>
        </w:rPr>
        <w:t xml:space="preserve"> hepatotoxic potential such as statins, duloxetine, amoxicillin </w:t>
      </w:r>
      <w:proofErr w:type="spellStart"/>
      <w:r w:rsidR="003159C3" w:rsidRPr="00B977AE">
        <w:rPr>
          <w:rFonts w:ascii="Book Antiqua" w:hAnsi="Book Antiqua" w:cs="Arial"/>
          <w:sz w:val="24"/>
          <w:szCs w:val="20"/>
          <w:lang w:val="en-US"/>
        </w:rPr>
        <w:t>clavulanate</w:t>
      </w:r>
      <w:proofErr w:type="spellEnd"/>
      <w:r w:rsidR="003159C3" w:rsidRPr="00B977AE">
        <w:rPr>
          <w:rFonts w:ascii="Book Antiqua" w:hAnsi="Book Antiqua" w:cs="Arial"/>
          <w:sz w:val="24"/>
          <w:szCs w:val="20"/>
          <w:lang w:val="en-US"/>
        </w:rPr>
        <w:t xml:space="preserve">, </w:t>
      </w:r>
      <w:proofErr w:type="spellStart"/>
      <w:r w:rsidR="003159C3" w:rsidRPr="00B977AE">
        <w:rPr>
          <w:rFonts w:ascii="Book Antiqua" w:hAnsi="Book Antiqua" w:cs="Arial"/>
          <w:sz w:val="24"/>
          <w:szCs w:val="20"/>
          <w:lang w:val="en-US"/>
        </w:rPr>
        <w:t>bosentan</w:t>
      </w:r>
      <w:proofErr w:type="spellEnd"/>
      <w:r w:rsidR="003159C3" w:rsidRPr="00B977AE">
        <w:rPr>
          <w:rFonts w:ascii="Book Antiqua" w:hAnsi="Book Antiqua" w:cs="Arial"/>
          <w:sz w:val="24"/>
          <w:szCs w:val="20"/>
          <w:lang w:val="en-US"/>
        </w:rPr>
        <w:t>.</w:t>
      </w:r>
      <w:r w:rsidR="00B1068B" w:rsidRPr="00B977AE">
        <w:rPr>
          <w:rFonts w:ascii="Book Antiqua" w:hAnsi="Book Antiqua" w:cs="Arial"/>
          <w:sz w:val="24"/>
          <w:szCs w:val="20"/>
          <w:lang w:val="en-US"/>
        </w:rPr>
        <w:t xml:space="preserve"> Except for interferon, all these agents showed statistically significant ROR. </w:t>
      </w:r>
      <w:proofErr w:type="spellStart"/>
      <w:r w:rsidR="00B1068B" w:rsidRPr="00B977AE">
        <w:rPr>
          <w:rFonts w:ascii="Book Antiqua" w:hAnsi="Book Antiqua" w:cs="Arial"/>
          <w:sz w:val="24"/>
          <w:szCs w:val="20"/>
          <w:lang w:val="en-US"/>
        </w:rPr>
        <w:t>Sorafenib</w:t>
      </w:r>
      <w:proofErr w:type="spellEnd"/>
      <w:r w:rsidR="00B1068B" w:rsidRPr="00B977AE">
        <w:rPr>
          <w:rFonts w:ascii="Book Antiqua" w:hAnsi="Book Antiqua" w:cs="Arial"/>
          <w:sz w:val="24"/>
          <w:szCs w:val="20"/>
          <w:lang w:val="en-US"/>
        </w:rPr>
        <w:t xml:space="preserve"> ranked </w:t>
      </w:r>
      <w:r w:rsidR="008976C3" w:rsidRPr="00B977AE">
        <w:rPr>
          <w:rFonts w:ascii="Book Antiqua" w:hAnsi="Book Antiqua" w:cs="Arial"/>
          <w:sz w:val="24"/>
          <w:szCs w:val="20"/>
          <w:lang w:val="en-US"/>
        </w:rPr>
        <w:t>second</w:t>
      </w:r>
      <w:r w:rsidR="00B1068B" w:rsidRPr="00B977AE">
        <w:rPr>
          <w:rFonts w:ascii="Book Antiqua" w:hAnsi="Book Antiqua" w:cs="Arial"/>
          <w:sz w:val="24"/>
          <w:szCs w:val="20"/>
          <w:lang w:val="en-US"/>
        </w:rPr>
        <w:t xml:space="preserve"> in terms of ALF.</w:t>
      </w:r>
    </w:p>
    <w:p w:rsidR="00FB6F23" w:rsidRPr="00B977AE" w:rsidRDefault="006629B1"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 xml:space="preserve">The analysis on </w:t>
      </w:r>
      <w:proofErr w:type="spellStart"/>
      <w:r w:rsidRPr="00B977AE">
        <w:rPr>
          <w:rFonts w:ascii="Book Antiqua" w:hAnsi="Book Antiqua" w:cs="Arial"/>
          <w:sz w:val="24"/>
          <w:szCs w:val="20"/>
          <w:lang w:val="en-US"/>
        </w:rPr>
        <w:t>antimycotics</w:t>
      </w:r>
      <w:proofErr w:type="spellEnd"/>
      <w:r w:rsidRPr="00B977AE">
        <w:rPr>
          <w:rFonts w:ascii="Book Antiqua" w:hAnsi="Book Antiqua" w:cs="Arial"/>
          <w:sz w:val="24"/>
          <w:szCs w:val="20"/>
          <w:lang w:val="en-US"/>
        </w:rPr>
        <w:t xml:space="preserve"> revealed </w:t>
      </w:r>
      <w:r w:rsidR="001C34D1" w:rsidRPr="00B977AE">
        <w:rPr>
          <w:rFonts w:ascii="Book Antiqua" w:hAnsi="Book Antiqua" w:cs="Arial"/>
          <w:sz w:val="24"/>
          <w:szCs w:val="20"/>
          <w:lang w:val="en-US"/>
        </w:rPr>
        <w:t xml:space="preserve">a total of </w:t>
      </w:r>
      <w:r w:rsidR="000C1B9E" w:rsidRPr="00B977AE">
        <w:rPr>
          <w:rFonts w:ascii="Book Antiqua" w:hAnsi="Book Antiqua" w:cs="Arial"/>
          <w:sz w:val="24"/>
          <w:szCs w:val="20"/>
          <w:lang w:val="en-US"/>
        </w:rPr>
        <w:t>196</w:t>
      </w:r>
      <w:r w:rsidR="00571E1D" w:rsidRPr="00B977AE">
        <w:rPr>
          <w:rFonts w:ascii="Book Antiqua" w:hAnsi="Book Antiqua" w:cs="Arial"/>
          <w:sz w:val="24"/>
          <w:szCs w:val="20"/>
          <w:lang w:val="en-US"/>
        </w:rPr>
        <w:t>4</w:t>
      </w:r>
      <w:r w:rsidR="001C34D1" w:rsidRPr="00B977AE">
        <w:rPr>
          <w:rFonts w:ascii="Book Antiqua" w:hAnsi="Book Antiqua" w:cs="Arial"/>
          <w:sz w:val="24"/>
          <w:szCs w:val="20"/>
          <w:lang w:val="en-US"/>
        </w:rPr>
        <w:t xml:space="preserve"> DILI cases</w:t>
      </w:r>
      <w:r w:rsidR="00710DBE" w:rsidRPr="00B977AE">
        <w:rPr>
          <w:rFonts w:ascii="Book Antiqua" w:hAnsi="Book Antiqua" w:cs="Arial"/>
          <w:sz w:val="24"/>
          <w:szCs w:val="20"/>
          <w:lang w:val="en-US"/>
        </w:rPr>
        <w:t>; 35% were submitted by European Countries, 21% by Japan and 18% by US</w:t>
      </w:r>
      <w:r w:rsidR="001C34D1" w:rsidRPr="00B977AE">
        <w:rPr>
          <w:rFonts w:ascii="Book Antiqua" w:hAnsi="Book Antiqua" w:cs="Arial"/>
          <w:sz w:val="24"/>
          <w:szCs w:val="20"/>
          <w:lang w:val="en-US"/>
        </w:rPr>
        <w:t>.</w:t>
      </w:r>
      <w:r w:rsidR="009C24C5" w:rsidRPr="00B977AE">
        <w:rPr>
          <w:rFonts w:ascii="Book Antiqua" w:hAnsi="Book Antiqua" w:cs="Arial"/>
          <w:sz w:val="24"/>
          <w:szCs w:val="20"/>
          <w:lang w:val="en-US"/>
        </w:rPr>
        <w:t xml:space="preserve"> </w:t>
      </w:r>
      <w:proofErr w:type="spellStart"/>
      <w:r w:rsidR="009C24C5" w:rsidRPr="00B977AE">
        <w:rPr>
          <w:rFonts w:ascii="Book Antiqua" w:hAnsi="Book Antiqua" w:cs="Arial"/>
          <w:sz w:val="24"/>
          <w:szCs w:val="20"/>
          <w:lang w:val="en-US"/>
        </w:rPr>
        <w:t>Terbinafine</w:t>
      </w:r>
      <w:proofErr w:type="spellEnd"/>
      <w:r w:rsidR="009C24C5" w:rsidRPr="00B977AE">
        <w:rPr>
          <w:rFonts w:ascii="Book Antiqua" w:hAnsi="Book Antiqua" w:cs="Arial"/>
          <w:sz w:val="24"/>
          <w:szCs w:val="20"/>
          <w:lang w:val="en-US"/>
        </w:rPr>
        <w:t xml:space="preserve"> ranked first in terms of number of cases</w:t>
      </w:r>
      <w:r w:rsidR="00966240" w:rsidRPr="00B977AE">
        <w:rPr>
          <w:rFonts w:ascii="Book Antiqua" w:hAnsi="Book Antiqua" w:cs="Arial"/>
          <w:sz w:val="24"/>
          <w:szCs w:val="20"/>
          <w:lang w:val="en-US"/>
        </w:rPr>
        <w:t xml:space="preserve"> (422)</w:t>
      </w:r>
      <w:r w:rsidR="009C24C5" w:rsidRPr="00B977AE">
        <w:rPr>
          <w:rFonts w:ascii="Book Antiqua" w:hAnsi="Book Antiqua" w:cs="Arial"/>
          <w:sz w:val="24"/>
          <w:szCs w:val="20"/>
          <w:lang w:val="en-US"/>
        </w:rPr>
        <w:t xml:space="preserve">, followed by fluconazole and </w:t>
      </w:r>
      <w:proofErr w:type="spellStart"/>
      <w:r w:rsidR="009C24C5" w:rsidRPr="00B977AE">
        <w:rPr>
          <w:rFonts w:ascii="Book Antiqua" w:hAnsi="Book Antiqua" w:cs="Arial"/>
          <w:sz w:val="24"/>
          <w:szCs w:val="20"/>
          <w:lang w:val="en-US"/>
        </w:rPr>
        <w:t>voriconazole</w:t>
      </w:r>
      <w:proofErr w:type="spellEnd"/>
      <w:r w:rsidR="00494CB3" w:rsidRPr="00B977AE">
        <w:rPr>
          <w:rFonts w:ascii="Book Antiqua" w:hAnsi="Book Antiqua" w:cs="Arial"/>
          <w:sz w:val="24"/>
          <w:szCs w:val="20"/>
          <w:lang w:val="en-US"/>
        </w:rPr>
        <w:t xml:space="preserve"> (Table </w:t>
      </w:r>
      <w:r w:rsidR="00814338">
        <w:rPr>
          <w:rFonts w:ascii="Book Antiqua" w:hAnsi="Book Antiqua" w:cs="Arial" w:hint="eastAsia"/>
          <w:sz w:val="24"/>
          <w:szCs w:val="20"/>
          <w:lang w:val="en-US" w:eastAsia="zh-CN"/>
        </w:rPr>
        <w:t>3</w:t>
      </w:r>
      <w:r w:rsidR="00494CB3" w:rsidRPr="00B977AE">
        <w:rPr>
          <w:rFonts w:ascii="Book Antiqua" w:hAnsi="Book Antiqua" w:cs="Arial"/>
          <w:sz w:val="24"/>
          <w:szCs w:val="20"/>
          <w:lang w:val="en-US"/>
        </w:rPr>
        <w:t>)</w:t>
      </w:r>
      <w:r w:rsidR="009C24C5" w:rsidRPr="00B977AE">
        <w:rPr>
          <w:rFonts w:ascii="Book Antiqua" w:hAnsi="Book Antiqua" w:cs="Arial"/>
          <w:sz w:val="24"/>
          <w:szCs w:val="20"/>
          <w:lang w:val="en-US"/>
        </w:rPr>
        <w:t>.</w:t>
      </w:r>
      <w:r w:rsidR="009B3FA7" w:rsidRPr="00B977AE">
        <w:rPr>
          <w:rFonts w:ascii="Book Antiqua" w:hAnsi="Book Antiqua" w:cs="Arial"/>
          <w:sz w:val="24"/>
          <w:szCs w:val="20"/>
          <w:lang w:val="en-US"/>
        </w:rPr>
        <w:t xml:space="preserve"> Except </w:t>
      </w:r>
      <w:proofErr w:type="spellStart"/>
      <w:r w:rsidR="009B3FA7" w:rsidRPr="00B977AE">
        <w:rPr>
          <w:rFonts w:ascii="Book Antiqua" w:hAnsi="Book Antiqua" w:cs="Arial"/>
          <w:sz w:val="24"/>
          <w:szCs w:val="20"/>
          <w:lang w:val="en-US"/>
        </w:rPr>
        <w:t>griseofulvin</w:t>
      </w:r>
      <w:proofErr w:type="spellEnd"/>
      <w:r w:rsidR="00062331" w:rsidRPr="00B977AE">
        <w:rPr>
          <w:rFonts w:ascii="Book Antiqua" w:hAnsi="Book Antiqua" w:cs="Arial"/>
          <w:sz w:val="24"/>
          <w:szCs w:val="20"/>
          <w:lang w:val="en-US"/>
        </w:rPr>
        <w:t>,</w:t>
      </w:r>
      <w:r w:rsidR="009B3FA7" w:rsidRPr="00B977AE">
        <w:rPr>
          <w:rFonts w:ascii="Book Antiqua" w:hAnsi="Book Antiqua" w:cs="Arial"/>
          <w:sz w:val="24"/>
          <w:szCs w:val="20"/>
          <w:lang w:val="en-US"/>
        </w:rPr>
        <w:t xml:space="preserve"> </w:t>
      </w:r>
      <w:r w:rsidR="00571E1D" w:rsidRPr="00B977AE">
        <w:rPr>
          <w:rFonts w:ascii="Book Antiqua" w:hAnsi="Book Antiqua" w:cs="Arial"/>
          <w:sz w:val="24"/>
          <w:szCs w:val="20"/>
          <w:lang w:val="en-US"/>
        </w:rPr>
        <w:t xml:space="preserve">and </w:t>
      </w:r>
      <w:proofErr w:type="spellStart"/>
      <w:r w:rsidR="009B3FA7" w:rsidRPr="00B977AE">
        <w:rPr>
          <w:rFonts w:ascii="Book Antiqua" w:hAnsi="Book Antiqua" w:cs="Arial"/>
          <w:sz w:val="24"/>
          <w:szCs w:val="20"/>
          <w:lang w:val="en-US"/>
        </w:rPr>
        <w:t>miconazole</w:t>
      </w:r>
      <w:proofErr w:type="spellEnd"/>
      <w:r w:rsidR="009B3FA7" w:rsidRPr="00B977AE">
        <w:rPr>
          <w:rFonts w:ascii="Book Antiqua" w:hAnsi="Book Antiqua" w:cs="Arial"/>
          <w:sz w:val="24"/>
          <w:szCs w:val="20"/>
          <w:lang w:val="en-US"/>
        </w:rPr>
        <w:t>, all remaining compounds generated a significant disproportion for ALF or L</w:t>
      </w:r>
      <w:r w:rsidR="00F3795C" w:rsidRPr="00B977AE">
        <w:rPr>
          <w:rFonts w:ascii="Book Antiqua" w:hAnsi="Book Antiqua" w:cs="Arial"/>
          <w:sz w:val="24"/>
          <w:szCs w:val="20"/>
          <w:lang w:val="en-US"/>
        </w:rPr>
        <w:t>I</w:t>
      </w:r>
      <w:r w:rsidR="009B3FA7" w:rsidRPr="00B977AE">
        <w:rPr>
          <w:rFonts w:ascii="Book Antiqua" w:hAnsi="Book Antiqua" w:cs="Arial"/>
          <w:sz w:val="24"/>
          <w:szCs w:val="20"/>
          <w:lang w:val="en-US"/>
        </w:rPr>
        <w:t xml:space="preserve"> or OL</w:t>
      </w:r>
      <w:r w:rsidR="00F3795C" w:rsidRPr="00B977AE">
        <w:rPr>
          <w:rFonts w:ascii="Book Antiqua" w:hAnsi="Book Antiqua" w:cs="Arial"/>
          <w:sz w:val="24"/>
          <w:szCs w:val="20"/>
          <w:lang w:val="en-US"/>
        </w:rPr>
        <w:t>I</w:t>
      </w:r>
      <w:r w:rsidR="009B3FA7" w:rsidRPr="00B977AE">
        <w:rPr>
          <w:rFonts w:ascii="Book Antiqua" w:hAnsi="Book Antiqua" w:cs="Arial"/>
          <w:sz w:val="24"/>
          <w:szCs w:val="20"/>
          <w:lang w:val="en-US"/>
        </w:rPr>
        <w:t>.</w:t>
      </w:r>
      <w:r w:rsidR="009E6CDB" w:rsidRPr="00B977AE">
        <w:rPr>
          <w:rFonts w:ascii="Book Antiqua" w:hAnsi="Book Antiqua" w:cs="Arial"/>
          <w:sz w:val="24"/>
          <w:szCs w:val="20"/>
          <w:lang w:val="en-US"/>
        </w:rPr>
        <w:t xml:space="preserve"> The </w:t>
      </w:r>
      <w:proofErr w:type="spellStart"/>
      <w:r w:rsidR="009E6CDB" w:rsidRPr="00B977AE">
        <w:rPr>
          <w:rFonts w:ascii="Book Antiqua" w:hAnsi="Book Antiqua" w:cs="Arial"/>
          <w:sz w:val="24"/>
          <w:szCs w:val="20"/>
          <w:lang w:val="en-US"/>
        </w:rPr>
        <w:t>i</w:t>
      </w:r>
      <w:r w:rsidR="00FB6F23" w:rsidRPr="00B977AE">
        <w:rPr>
          <w:rFonts w:ascii="Book Antiqua" w:hAnsi="Book Antiqua" w:cs="Arial"/>
          <w:sz w:val="24"/>
          <w:szCs w:val="20"/>
          <w:lang w:val="en-US"/>
        </w:rPr>
        <w:t>ntraclass</w:t>
      </w:r>
      <w:proofErr w:type="spellEnd"/>
      <w:r w:rsidR="00FB6F23" w:rsidRPr="00B977AE">
        <w:rPr>
          <w:rFonts w:ascii="Book Antiqua" w:hAnsi="Book Antiqua" w:cs="Arial"/>
          <w:sz w:val="24"/>
          <w:szCs w:val="20"/>
          <w:lang w:val="en-US"/>
        </w:rPr>
        <w:t xml:space="preserve"> </w:t>
      </w:r>
      <w:r w:rsidR="009E6CDB" w:rsidRPr="00B977AE">
        <w:rPr>
          <w:rFonts w:ascii="Book Antiqua" w:hAnsi="Book Antiqua" w:cs="Arial"/>
          <w:sz w:val="24"/>
          <w:szCs w:val="20"/>
          <w:lang w:val="en-US"/>
        </w:rPr>
        <w:t xml:space="preserve">analysis </w:t>
      </w:r>
      <w:r w:rsidR="00CA4D45" w:rsidRPr="00B977AE">
        <w:rPr>
          <w:rFonts w:ascii="Book Antiqua" w:hAnsi="Book Antiqua" w:cs="Arial"/>
          <w:sz w:val="24"/>
          <w:szCs w:val="20"/>
          <w:lang w:val="en-US"/>
        </w:rPr>
        <w:t>on OL</w:t>
      </w:r>
      <w:r w:rsidR="00F3795C" w:rsidRPr="00B977AE">
        <w:rPr>
          <w:rFonts w:ascii="Book Antiqua" w:hAnsi="Book Antiqua" w:cs="Arial"/>
          <w:sz w:val="24"/>
          <w:szCs w:val="20"/>
          <w:lang w:val="en-US"/>
        </w:rPr>
        <w:t>I</w:t>
      </w:r>
      <w:r w:rsidR="00CA4D45" w:rsidRPr="00B977AE">
        <w:rPr>
          <w:rFonts w:ascii="Book Antiqua" w:hAnsi="Book Antiqua" w:cs="Arial"/>
          <w:sz w:val="24"/>
          <w:szCs w:val="20"/>
          <w:lang w:val="en-US"/>
        </w:rPr>
        <w:t xml:space="preserve"> </w:t>
      </w:r>
      <w:r w:rsidR="009E6CDB" w:rsidRPr="00B977AE">
        <w:rPr>
          <w:rFonts w:ascii="Book Antiqua" w:hAnsi="Book Antiqua" w:cs="Arial"/>
          <w:sz w:val="24"/>
          <w:szCs w:val="20"/>
          <w:lang w:val="en-US"/>
        </w:rPr>
        <w:t>among azole-derivate agents showed the following ranking: ketoconazole (ROR</w:t>
      </w:r>
      <w:r w:rsidR="00D4443F" w:rsidRPr="00B977AE">
        <w:rPr>
          <w:rFonts w:ascii="Book Antiqua" w:hAnsi="Book Antiqua" w:cs="Arial"/>
          <w:sz w:val="24"/>
          <w:szCs w:val="20"/>
          <w:lang w:val="en-US" w:eastAsia="zh-CN"/>
        </w:rPr>
        <w:t xml:space="preserve"> </w:t>
      </w:r>
      <w:r w:rsidR="009E6CDB" w:rsidRPr="00B977AE">
        <w:rPr>
          <w:rFonts w:ascii="Book Antiqua" w:hAnsi="Book Antiqua" w:cs="Arial"/>
          <w:sz w:val="24"/>
          <w:szCs w:val="20"/>
          <w:lang w:val="en-US"/>
        </w:rPr>
        <w:t>=</w:t>
      </w:r>
      <w:r w:rsidR="00D4443F" w:rsidRPr="00B977AE">
        <w:rPr>
          <w:rFonts w:ascii="Book Antiqua" w:hAnsi="Book Antiqua" w:cs="Arial"/>
          <w:sz w:val="24"/>
          <w:szCs w:val="20"/>
          <w:lang w:val="en-US" w:eastAsia="zh-CN"/>
        </w:rPr>
        <w:t xml:space="preserve"> </w:t>
      </w:r>
      <w:r w:rsidR="009E6CDB" w:rsidRPr="00B977AE">
        <w:rPr>
          <w:rFonts w:ascii="Book Antiqua" w:hAnsi="Book Antiqua" w:cs="Arial"/>
          <w:sz w:val="24"/>
          <w:szCs w:val="20"/>
          <w:lang w:val="en-US"/>
        </w:rPr>
        <w:t>1.</w:t>
      </w:r>
      <w:r w:rsidR="00571E1D" w:rsidRPr="00B977AE">
        <w:rPr>
          <w:rFonts w:ascii="Book Antiqua" w:hAnsi="Book Antiqua" w:cs="Arial"/>
          <w:sz w:val="24"/>
          <w:szCs w:val="20"/>
          <w:lang w:val="en-US"/>
        </w:rPr>
        <w:t>70</w:t>
      </w:r>
      <w:r w:rsidR="009E6CDB" w:rsidRPr="00B977AE">
        <w:rPr>
          <w:rFonts w:ascii="Book Antiqua" w:hAnsi="Book Antiqua" w:cs="Arial"/>
          <w:sz w:val="24"/>
          <w:szCs w:val="20"/>
          <w:lang w:val="en-US"/>
        </w:rPr>
        <w:t>; 95%CI</w:t>
      </w:r>
      <w:r w:rsidR="00D4443F" w:rsidRPr="00B977AE">
        <w:rPr>
          <w:rFonts w:ascii="Book Antiqua" w:hAnsi="Book Antiqua" w:cs="Arial"/>
          <w:sz w:val="24"/>
          <w:szCs w:val="20"/>
          <w:lang w:val="en-US" w:eastAsia="zh-CN"/>
        </w:rPr>
        <w:t xml:space="preserve">: </w:t>
      </w:r>
      <w:r w:rsidR="009E6CDB" w:rsidRPr="00B977AE">
        <w:rPr>
          <w:rFonts w:ascii="Book Antiqua" w:hAnsi="Book Antiqua" w:cs="Arial"/>
          <w:sz w:val="24"/>
          <w:szCs w:val="20"/>
          <w:lang w:val="en-US"/>
        </w:rPr>
        <w:t>1.3</w:t>
      </w:r>
      <w:r w:rsidR="00571E1D" w:rsidRPr="00B977AE">
        <w:rPr>
          <w:rFonts w:ascii="Book Antiqua" w:hAnsi="Book Antiqua" w:cs="Arial"/>
          <w:sz w:val="24"/>
          <w:szCs w:val="20"/>
          <w:lang w:val="en-US"/>
        </w:rPr>
        <w:t>4</w:t>
      </w:r>
      <w:r w:rsidR="009E6CDB" w:rsidRPr="00B977AE">
        <w:rPr>
          <w:rFonts w:ascii="Book Antiqua" w:hAnsi="Book Antiqua" w:cs="Arial"/>
          <w:sz w:val="24"/>
          <w:szCs w:val="20"/>
          <w:lang w:val="en-US"/>
        </w:rPr>
        <w:t>-2.1</w:t>
      </w:r>
      <w:r w:rsidR="00571E1D" w:rsidRPr="00B977AE">
        <w:rPr>
          <w:rFonts w:ascii="Book Antiqua" w:hAnsi="Book Antiqua" w:cs="Arial"/>
          <w:sz w:val="24"/>
          <w:szCs w:val="20"/>
          <w:lang w:val="en-US"/>
        </w:rPr>
        <w:t>5</w:t>
      </w:r>
      <w:r w:rsidR="009E6CDB" w:rsidRPr="00B977AE">
        <w:rPr>
          <w:rFonts w:ascii="Book Antiqua" w:hAnsi="Book Antiqua" w:cs="Arial"/>
          <w:sz w:val="24"/>
          <w:szCs w:val="20"/>
          <w:lang w:val="en-US"/>
        </w:rPr>
        <w:t>)</w:t>
      </w:r>
      <w:r w:rsidR="00E07EE3" w:rsidRPr="00B977AE">
        <w:rPr>
          <w:rFonts w:ascii="Book Antiqua" w:hAnsi="Book Antiqua" w:cs="Arial"/>
          <w:sz w:val="24"/>
          <w:szCs w:val="20"/>
          <w:lang w:val="en-US" w:eastAsia="zh-CN"/>
        </w:rPr>
        <w:t xml:space="preserve"> </w:t>
      </w:r>
      <w:r w:rsidR="009E6CDB" w:rsidRPr="00B977AE">
        <w:rPr>
          <w:rFonts w:ascii="Book Antiqua" w:hAnsi="Book Antiqua" w:cs="Arial"/>
          <w:sz w:val="24"/>
          <w:szCs w:val="20"/>
          <w:lang w:val="en-US"/>
        </w:rPr>
        <w:t>&gt;</w:t>
      </w:r>
      <w:r w:rsidR="00E07EE3" w:rsidRPr="00B977AE">
        <w:rPr>
          <w:rFonts w:ascii="Book Antiqua" w:hAnsi="Book Antiqua" w:cs="Arial"/>
          <w:sz w:val="24"/>
          <w:szCs w:val="20"/>
          <w:lang w:val="en-US" w:eastAsia="zh-CN"/>
        </w:rPr>
        <w:t xml:space="preserve"> </w:t>
      </w:r>
      <w:proofErr w:type="spellStart"/>
      <w:r w:rsidR="009E6CDB" w:rsidRPr="00B977AE">
        <w:rPr>
          <w:rFonts w:ascii="Book Antiqua" w:hAnsi="Book Antiqua" w:cs="Arial"/>
          <w:sz w:val="24"/>
          <w:szCs w:val="20"/>
          <w:lang w:val="en-US"/>
        </w:rPr>
        <w:t>voriconazole</w:t>
      </w:r>
      <w:proofErr w:type="spellEnd"/>
      <w:r w:rsidR="00325D20" w:rsidRPr="00B977AE">
        <w:rPr>
          <w:rFonts w:ascii="Book Antiqua" w:hAnsi="Book Antiqua" w:cs="Arial"/>
          <w:sz w:val="24"/>
          <w:szCs w:val="20"/>
          <w:lang w:val="en-US"/>
        </w:rPr>
        <w:t xml:space="preserve"> (1.4</w:t>
      </w:r>
      <w:r w:rsidR="00571E1D" w:rsidRPr="00B977AE">
        <w:rPr>
          <w:rFonts w:ascii="Book Antiqua" w:hAnsi="Book Antiqua" w:cs="Arial"/>
          <w:sz w:val="24"/>
          <w:szCs w:val="20"/>
          <w:lang w:val="en-US"/>
        </w:rPr>
        <w:t>7</w:t>
      </w:r>
      <w:r w:rsidR="00325D20" w:rsidRPr="00B977AE">
        <w:rPr>
          <w:rFonts w:ascii="Book Antiqua" w:hAnsi="Book Antiqua" w:cs="Arial"/>
          <w:sz w:val="24"/>
          <w:szCs w:val="20"/>
          <w:lang w:val="en-US"/>
        </w:rPr>
        <w:t>; 1.</w:t>
      </w:r>
      <w:r w:rsidR="00571E1D" w:rsidRPr="00B977AE">
        <w:rPr>
          <w:rFonts w:ascii="Book Antiqua" w:hAnsi="Book Antiqua" w:cs="Arial"/>
          <w:sz w:val="24"/>
          <w:szCs w:val="20"/>
          <w:lang w:val="en-US"/>
        </w:rPr>
        <w:t>29</w:t>
      </w:r>
      <w:r w:rsidR="00325D20" w:rsidRPr="00B977AE">
        <w:rPr>
          <w:rFonts w:ascii="Book Antiqua" w:hAnsi="Book Antiqua" w:cs="Arial"/>
          <w:sz w:val="24"/>
          <w:szCs w:val="20"/>
          <w:lang w:val="en-US"/>
        </w:rPr>
        <w:t>-1.68)</w:t>
      </w:r>
      <w:r w:rsidR="00D4443F" w:rsidRPr="00B977AE">
        <w:rPr>
          <w:rFonts w:ascii="Book Antiqua" w:hAnsi="Book Antiqua" w:cs="Arial"/>
          <w:sz w:val="24"/>
          <w:szCs w:val="20"/>
          <w:lang w:val="en-US" w:eastAsia="zh-CN"/>
        </w:rPr>
        <w:t xml:space="preserve"> </w:t>
      </w:r>
      <w:r w:rsidR="009E6CDB" w:rsidRPr="00B977AE">
        <w:rPr>
          <w:rFonts w:ascii="Book Antiqua" w:hAnsi="Book Antiqua" w:cs="Arial"/>
          <w:sz w:val="24"/>
          <w:szCs w:val="20"/>
          <w:lang w:val="en-US"/>
        </w:rPr>
        <w:t>&gt;</w:t>
      </w:r>
      <w:r w:rsidR="00D4443F" w:rsidRPr="00B977AE">
        <w:rPr>
          <w:rFonts w:ascii="Book Antiqua" w:hAnsi="Book Antiqua" w:cs="Arial"/>
          <w:sz w:val="24"/>
          <w:szCs w:val="20"/>
          <w:lang w:val="en-US" w:eastAsia="zh-CN"/>
        </w:rPr>
        <w:t xml:space="preserve"> </w:t>
      </w:r>
      <w:proofErr w:type="spellStart"/>
      <w:r w:rsidR="009E6CDB" w:rsidRPr="00B977AE">
        <w:rPr>
          <w:rFonts w:ascii="Book Antiqua" w:hAnsi="Book Antiqua" w:cs="Arial"/>
          <w:sz w:val="24"/>
          <w:szCs w:val="20"/>
          <w:lang w:val="en-US"/>
        </w:rPr>
        <w:t>posaconazole</w:t>
      </w:r>
      <w:proofErr w:type="spellEnd"/>
      <w:r w:rsidR="00325D20" w:rsidRPr="00B977AE">
        <w:rPr>
          <w:rFonts w:ascii="Book Antiqua" w:hAnsi="Book Antiqua" w:cs="Arial"/>
          <w:sz w:val="24"/>
          <w:szCs w:val="20"/>
          <w:lang w:val="en-US"/>
        </w:rPr>
        <w:t xml:space="preserve"> (1.36; 1.04-1.7</w:t>
      </w:r>
      <w:r w:rsidR="00571E1D" w:rsidRPr="00B977AE">
        <w:rPr>
          <w:rFonts w:ascii="Book Antiqua" w:hAnsi="Book Antiqua" w:cs="Arial"/>
          <w:sz w:val="24"/>
          <w:szCs w:val="20"/>
          <w:lang w:val="en-US"/>
        </w:rPr>
        <w:t>7</w:t>
      </w:r>
      <w:r w:rsidR="00325D20" w:rsidRPr="00B977AE">
        <w:rPr>
          <w:rFonts w:ascii="Book Antiqua" w:hAnsi="Book Antiqua" w:cs="Arial"/>
          <w:sz w:val="24"/>
          <w:szCs w:val="20"/>
          <w:lang w:val="en-US"/>
        </w:rPr>
        <w:t>)</w:t>
      </w:r>
      <w:r w:rsidR="009E6CDB" w:rsidRPr="00B977AE">
        <w:rPr>
          <w:rFonts w:ascii="Book Antiqua" w:hAnsi="Book Antiqua" w:cs="Arial"/>
          <w:sz w:val="24"/>
          <w:szCs w:val="20"/>
          <w:lang w:val="en-US"/>
        </w:rPr>
        <w:t>&gt;</w:t>
      </w:r>
      <w:r w:rsidR="00E07EE3" w:rsidRPr="00B977AE">
        <w:rPr>
          <w:rFonts w:ascii="Book Antiqua" w:hAnsi="Book Antiqua" w:cs="Arial"/>
          <w:sz w:val="24"/>
          <w:szCs w:val="20"/>
          <w:lang w:val="en-US" w:eastAsia="zh-CN"/>
        </w:rPr>
        <w:t xml:space="preserve"> </w:t>
      </w:r>
      <w:r w:rsidR="009E6CDB" w:rsidRPr="00B977AE">
        <w:rPr>
          <w:rFonts w:ascii="Book Antiqua" w:hAnsi="Book Antiqua" w:cs="Arial"/>
          <w:sz w:val="24"/>
          <w:szCs w:val="20"/>
          <w:lang w:val="en-US"/>
        </w:rPr>
        <w:t>fluconazole&gt;</w:t>
      </w:r>
      <w:r w:rsidR="00E07EE3" w:rsidRPr="00B977AE">
        <w:rPr>
          <w:rFonts w:ascii="Book Antiqua" w:hAnsi="Book Antiqua" w:cs="Arial"/>
          <w:sz w:val="24"/>
          <w:szCs w:val="20"/>
          <w:lang w:val="en-US" w:eastAsia="zh-CN"/>
        </w:rPr>
        <w:t xml:space="preserve"> </w:t>
      </w:r>
      <w:proofErr w:type="spellStart"/>
      <w:r w:rsidR="009E6CDB" w:rsidRPr="00B977AE">
        <w:rPr>
          <w:rFonts w:ascii="Book Antiqua" w:hAnsi="Book Antiqua" w:cs="Arial"/>
          <w:sz w:val="24"/>
          <w:szCs w:val="20"/>
          <w:lang w:val="en-US"/>
        </w:rPr>
        <w:t>itraconazole</w:t>
      </w:r>
      <w:proofErr w:type="spellEnd"/>
      <w:r w:rsidR="009E6CDB" w:rsidRPr="00B977AE">
        <w:rPr>
          <w:rFonts w:ascii="Book Antiqua" w:hAnsi="Book Antiqua" w:cs="Arial"/>
          <w:sz w:val="24"/>
          <w:szCs w:val="20"/>
          <w:lang w:val="en-US"/>
        </w:rPr>
        <w:t>&gt;</w:t>
      </w:r>
      <w:r w:rsidR="00E07EE3" w:rsidRPr="00B977AE">
        <w:rPr>
          <w:rFonts w:ascii="Book Antiqua" w:hAnsi="Book Antiqua" w:cs="Arial"/>
          <w:sz w:val="24"/>
          <w:szCs w:val="20"/>
          <w:lang w:val="en-US" w:eastAsia="zh-CN"/>
        </w:rPr>
        <w:t xml:space="preserve"> </w:t>
      </w:r>
      <w:proofErr w:type="spellStart"/>
      <w:r w:rsidR="009E6CDB" w:rsidRPr="00B977AE">
        <w:rPr>
          <w:rFonts w:ascii="Book Antiqua" w:hAnsi="Book Antiqua" w:cs="Arial"/>
          <w:sz w:val="24"/>
          <w:szCs w:val="20"/>
          <w:lang w:val="en-US"/>
        </w:rPr>
        <w:t>miconazole</w:t>
      </w:r>
      <w:proofErr w:type="spellEnd"/>
      <w:r w:rsidR="00571E1D" w:rsidRPr="00B977AE">
        <w:rPr>
          <w:rFonts w:ascii="Book Antiqua" w:hAnsi="Book Antiqua" w:cs="Arial"/>
          <w:sz w:val="24"/>
          <w:szCs w:val="20"/>
          <w:lang w:val="en-US"/>
        </w:rPr>
        <w:t xml:space="preserve"> (no statistical significance obtained)</w:t>
      </w:r>
      <w:r w:rsidR="009E6CDB" w:rsidRPr="00B977AE">
        <w:rPr>
          <w:rFonts w:ascii="Book Antiqua" w:hAnsi="Book Antiqua" w:cs="Arial"/>
          <w:sz w:val="24"/>
          <w:szCs w:val="20"/>
          <w:lang w:val="en-US"/>
        </w:rPr>
        <w:t>.</w:t>
      </w:r>
      <w:r w:rsidR="00E71605" w:rsidRPr="00B977AE">
        <w:rPr>
          <w:rFonts w:ascii="Book Antiqua" w:hAnsi="Book Antiqua" w:cs="Arial"/>
          <w:sz w:val="24"/>
          <w:szCs w:val="20"/>
          <w:lang w:val="en-US"/>
        </w:rPr>
        <w:t xml:space="preserve"> The time-trend cumulative analysis of the ROR </w:t>
      </w:r>
      <w:r w:rsidR="00421EC0" w:rsidRPr="00B977AE">
        <w:rPr>
          <w:rFonts w:ascii="Book Antiqua" w:hAnsi="Book Antiqua" w:cs="Arial"/>
          <w:sz w:val="24"/>
          <w:szCs w:val="20"/>
          <w:lang w:val="en-US"/>
        </w:rPr>
        <w:t xml:space="preserve">(performed on the two most recently marketed compounds and ketoconazole, the only </w:t>
      </w:r>
      <w:proofErr w:type="spellStart"/>
      <w:r w:rsidR="00421EC0" w:rsidRPr="00B977AE">
        <w:rPr>
          <w:rFonts w:ascii="Book Antiqua" w:hAnsi="Book Antiqua" w:cs="Arial"/>
          <w:sz w:val="24"/>
          <w:szCs w:val="20"/>
          <w:lang w:val="en-US"/>
        </w:rPr>
        <w:t>antimycotic</w:t>
      </w:r>
      <w:proofErr w:type="spellEnd"/>
      <w:r w:rsidR="00421EC0" w:rsidRPr="00B977AE">
        <w:rPr>
          <w:rFonts w:ascii="Book Antiqua" w:hAnsi="Book Antiqua" w:cs="Arial"/>
          <w:sz w:val="24"/>
          <w:szCs w:val="20"/>
          <w:lang w:val="en-US"/>
        </w:rPr>
        <w:t xml:space="preserve"> receiving recent regulatory intervention</w:t>
      </w:r>
      <w:r w:rsidR="0087666A" w:rsidRPr="00B977AE">
        <w:rPr>
          <w:rFonts w:ascii="Book Antiqua" w:hAnsi="Book Antiqua" w:cs="Arial"/>
          <w:sz w:val="24"/>
          <w:szCs w:val="20"/>
          <w:lang w:val="en-US"/>
        </w:rPr>
        <w:t xml:space="preserve"> on DILI</w:t>
      </w:r>
      <w:r w:rsidR="00421EC0" w:rsidRPr="00B977AE">
        <w:rPr>
          <w:rFonts w:ascii="Book Antiqua" w:hAnsi="Book Antiqua" w:cs="Arial"/>
          <w:sz w:val="24"/>
          <w:szCs w:val="20"/>
          <w:lang w:val="en-US"/>
        </w:rPr>
        <w:t xml:space="preserve">) </w:t>
      </w:r>
      <w:r w:rsidR="00E71605" w:rsidRPr="00B977AE">
        <w:rPr>
          <w:rFonts w:ascii="Book Antiqua" w:hAnsi="Book Antiqua" w:cs="Arial"/>
          <w:sz w:val="24"/>
          <w:szCs w:val="20"/>
          <w:lang w:val="en-US"/>
        </w:rPr>
        <w:t xml:space="preserve">showed that: </w:t>
      </w:r>
      <w:r w:rsidR="00C4707D" w:rsidRPr="00B977AE">
        <w:rPr>
          <w:rFonts w:ascii="Book Antiqua" w:hAnsi="Book Antiqua" w:cs="Arial"/>
          <w:sz w:val="24"/>
          <w:szCs w:val="20"/>
          <w:lang w:val="en-US" w:eastAsia="zh-CN"/>
        </w:rPr>
        <w:t>(</w:t>
      </w:r>
      <w:r w:rsidR="00421EC0" w:rsidRPr="00B977AE">
        <w:rPr>
          <w:rFonts w:ascii="Book Antiqua" w:hAnsi="Book Antiqua" w:cs="Arial"/>
          <w:sz w:val="24"/>
          <w:szCs w:val="20"/>
          <w:lang w:val="en-US"/>
        </w:rPr>
        <w:t>1</w:t>
      </w:r>
      <w:r w:rsidR="00E71605" w:rsidRPr="00B977AE">
        <w:rPr>
          <w:rFonts w:ascii="Book Antiqua" w:hAnsi="Book Antiqua" w:cs="Arial"/>
          <w:sz w:val="24"/>
          <w:szCs w:val="20"/>
          <w:lang w:val="en-US"/>
        </w:rPr>
        <w:t>) ketoconazole reached significant ROR in the first quarter of 2005 (</w:t>
      </w:r>
      <w:r w:rsidR="00553915" w:rsidRPr="00B977AE">
        <w:rPr>
          <w:rFonts w:ascii="Book Antiqua" w:hAnsi="Book Antiqua" w:cs="Arial"/>
          <w:i/>
          <w:sz w:val="24"/>
          <w:szCs w:val="20"/>
          <w:lang w:val="en-US"/>
        </w:rPr>
        <w:t>i.e.</w:t>
      </w:r>
      <w:r w:rsidR="00E71605" w:rsidRPr="00B977AE">
        <w:rPr>
          <w:rFonts w:ascii="Book Antiqua" w:hAnsi="Book Antiqua" w:cs="Arial"/>
          <w:sz w:val="24"/>
          <w:szCs w:val="20"/>
          <w:lang w:val="en-US"/>
        </w:rPr>
        <w:t xml:space="preserve">, well before the recent safety measure); </w:t>
      </w:r>
      <w:r w:rsidR="00C4707D" w:rsidRPr="00B977AE">
        <w:rPr>
          <w:rFonts w:ascii="Book Antiqua" w:hAnsi="Book Antiqua" w:cs="Arial"/>
          <w:sz w:val="24"/>
          <w:szCs w:val="20"/>
          <w:lang w:val="en-US" w:eastAsia="zh-CN"/>
        </w:rPr>
        <w:t>(</w:t>
      </w:r>
      <w:r w:rsidR="00421EC0" w:rsidRPr="00B977AE">
        <w:rPr>
          <w:rFonts w:ascii="Book Antiqua" w:hAnsi="Book Antiqua" w:cs="Arial"/>
          <w:sz w:val="24"/>
          <w:szCs w:val="20"/>
          <w:lang w:val="en-US"/>
        </w:rPr>
        <w:t>2</w:t>
      </w:r>
      <w:r w:rsidR="00E71605" w:rsidRPr="00B977AE">
        <w:rPr>
          <w:rFonts w:ascii="Book Antiqua" w:hAnsi="Book Antiqua" w:cs="Arial"/>
          <w:sz w:val="24"/>
          <w:szCs w:val="20"/>
          <w:lang w:val="en-US"/>
        </w:rPr>
        <w:t xml:space="preserve">) </w:t>
      </w:r>
      <w:proofErr w:type="spellStart"/>
      <w:r w:rsidR="00E71605" w:rsidRPr="00B977AE">
        <w:rPr>
          <w:rFonts w:ascii="Book Antiqua" w:hAnsi="Book Antiqua" w:cs="Arial"/>
          <w:sz w:val="24"/>
          <w:szCs w:val="20"/>
          <w:lang w:val="en-US"/>
        </w:rPr>
        <w:t>posaconazole</w:t>
      </w:r>
      <w:proofErr w:type="spellEnd"/>
      <w:r w:rsidR="00E71605" w:rsidRPr="00B977AE">
        <w:rPr>
          <w:rFonts w:ascii="Book Antiqua" w:hAnsi="Book Antiqua" w:cs="Arial"/>
          <w:sz w:val="24"/>
          <w:szCs w:val="20"/>
          <w:lang w:val="en-US"/>
        </w:rPr>
        <w:t xml:space="preserve"> (marketed in </w:t>
      </w:r>
      <w:r w:rsidR="00F32128" w:rsidRPr="00B977AE">
        <w:rPr>
          <w:rFonts w:ascii="Book Antiqua" w:hAnsi="Book Antiqua" w:cs="Arial"/>
          <w:sz w:val="24"/>
          <w:szCs w:val="20"/>
          <w:lang w:val="en-US"/>
        </w:rPr>
        <w:t xml:space="preserve">October 2005 by EMA and in </w:t>
      </w:r>
      <w:r w:rsidR="00421EC0" w:rsidRPr="00B977AE">
        <w:rPr>
          <w:rFonts w:ascii="Book Antiqua" w:hAnsi="Book Antiqua" w:cs="Arial"/>
          <w:sz w:val="24"/>
          <w:szCs w:val="20"/>
          <w:lang w:val="en-US"/>
        </w:rPr>
        <w:t xml:space="preserve">September </w:t>
      </w:r>
      <w:r w:rsidR="00E71605" w:rsidRPr="00B977AE">
        <w:rPr>
          <w:rFonts w:ascii="Book Antiqua" w:hAnsi="Book Antiqua" w:cs="Arial"/>
          <w:sz w:val="24"/>
          <w:szCs w:val="20"/>
          <w:lang w:val="en-US"/>
        </w:rPr>
        <w:t>2006 by the FDA) showed significant disproportion in the second quarter of 2005 (</w:t>
      </w:r>
      <w:r w:rsidR="00553915" w:rsidRPr="00B977AE">
        <w:rPr>
          <w:rFonts w:ascii="Book Antiqua" w:hAnsi="Book Antiqua" w:cs="Arial"/>
          <w:i/>
          <w:sz w:val="24"/>
          <w:szCs w:val="20"/>
          <w:lang w:val="en-US"/>
        </w:rPr>
        <w:t>i.e.</w:t>
      </w:r>
      <w:r w:rsidR="00E71605" w:rsidRPr="00B977AE">
        <w:rPr>
          <w:rFonts w:ascii="Book Antiqua" w:hAnsi="Book Antiqua" w:cs="Arial"/>
          <w:sz w:val="24"/>
          <w:szCs w:val="20"/>
          <w:lang w:val="en-US"/>
        </w:rPr>
        <w:t>, before its actual marketing approval)</w:t>
      </w:r>
      <w:r w:rsidR="00FE1FE8" w:rsidRPr="00B977AE">
        <w:rPr>
          <w:rFonts w:ascii="Book Antiqua" w:hAnsi="Book Antiqua" w:cs="Arial"/>
          <w:sz w:val="24"/>
          <w:szCs w:val="20"/>
          <w:lang w:val="en-US"/>
        </w:rPr>
        <w:t>,</w:t>
      </w:r>
      <w:r w:rsidR="005B6968" w:rsidRPr="00B977AE">
        <w:rPr>
          <w:rFonts w:ascii="Book Antiqua" w:hAnsi="Book Antiqua" w:cs="Arial"/>
          <w:sz w:val="24"/>
          <w:szCs w:val="20"/>
          <w:lang w:val="en-US"/>
        </w:rPr>
        <w:t xml:space="preserve"> which persisted throughout the period</w:t>
      </w:r>
      <w:r w:rsidR="00FE1FE8" w:rsidRPr="00B977AE">
        <w:rPr>
          <w:rFonts w:ascii="Book Antiqua" w:hAnsi="Book Antiqua" w:cs="Arial"/>
          <w:sz w:val="24"/>
          <w:szCs w:val="20"/>
          <w:lang w:val="en-US"/>
        </w:rPr>
        <w:t xml:space="preserve"> </w:t>
      </w:r>
      <w:r w:rsidR="005B6968" w:rsidRPr="00B977AE">
        <w:rPr>
          <w:rFonts w:ascii="Book Antiqua" w:hAnsi="Book Antiqua" w:cs="Arial"/>
          <w:sz w:val="24"/>
          <w:szCs w:val="20"/>
          <w:lang w:val="en-US"/>
        </w:rPr>
        <w:t xml:space="preserve">of analysis, </w:t>
      </w:r>
      <w:r w:rsidR="00FE1FE8" w:rsidRPr="00B977AE">
        <w:rPr>
          <w:rFonts w:ascii="Book Antiqua" w:hAnsi="Book Antiqua" w:cs="Arial"/>
          <w:sz w:val="24"/>
          <w:szCs w:val="20"/>
          <w:lang w:val="en-US"/>
        </w:rPr>
        <w:t>although fluctuations were recorded during the first 2-year period</w:t>
      </w:r>
      <w:r w:rsidR="00F32128" w:rsidRPr="00B977AE">
        <w:rPr>
          <w:rFonts w:ascii="Book Antiqua" w:hAnsi="Book Antiqua" w:cs="Arial"/>
          <w:sz w:val="24"/>
          <w:szCs w:val="20"/>
          <w:lang w:val="en-US"/>
        </w:rPr>
        <w:t xml:space="preserve">; </w:t>
      </w:r>
      <w:r w:rsidR="00C4707D" w:rsidRPr="00B977AE">
        <w:rPr>
          <w:rFonts w:ascii="Book Antiqua" w:hAnsi="Book Antiqua" w:cs="Arial"/>
          <w:sz w:val="24"/>
          <w:szCs w:val="20"/>
          <w:lang w:val="en-US" w:eastAsia="zh-CN"/>
        </w:rPr>
        <w:t>and (</w:t>
      </w:r>
      <w:r w:rsidR="00F32128" w:rsidRPr="00B977AE">
        <w:rPr>
          <w:rFonts w:ascii="Book Antiqua" w:hAnsi="Book Antiqua" w:cs="Arial"/>
          <w:sz w:val="24"/>
          <w:szCs w:val="20"/>
          <w:lang w:val="en-US"/>
        </w:rPr>
        <w:t xml:space="preserve">3) </w:t>
      </w:r>
      <w:proofErr w:type="spellStart"/>
      <w:r w:rsidR="00F32128" w:rsidRPr="00B977AE">
        <w:rPr>
          <w:rFonts w:ascii="Book Antiqua" w:hAnsi="Book Antiqua" w:cs="Arial"/>
          <w:sz w:val="24"/>
          <w:szCs w:val="20"/>
          <w:lang w:val="en-US"/>
        </w:rPr>
        <w:t>voriconazole</w:t>
      </w:r>
      <w:proofErr w:type="spellEnd"/>
      <w:r w:rsidR="00F32128" w:rsidRPr="00B977AE">
        <w:rPr>
          <w:rFonts w:ascii="Book Antiqua" w:hAnsi="Book Antiqua" w:cs="Arial"/>
          <w:sz w:val="24"/>
          <w:szCs w:val="20"/>
          <w:lang w:val="en-US"/>
        </w:rPr>
        <w:t xml:space="preserve"> (marketed in March 2002 by EMA and May 2002 by FDA) showed significant </w:t>
      </w:r>
      <w:r w:rsidR="00F32128" w:rsidRPr="00B977AE">
        <w:rPr>
          <w:rFonts w:ascii="Book Antiqua" w:hAnsi="Book Antiqua" w:cs="Arial"/>
          <w:sz w:val="24"/>
          <w:szCs w:val="20"/>
          <w:lang w:val="en-US"/>
        </w:rPr>
        <w:lastRenderedPageBreak/>
        <w:t>disproportion in the second quarter of 2002, a striking correspondence with its regulatory approval</w:t>
      </w:r>
      <w:r w:rsidR="003B2CEF" w:rsidRPr="00B977AE">
        <w:rPr>
          <w:rFonts w:ascii="Book Antiqua" w:hAnsi="Book Antiqua" w:cs="Arial"/>
          <w:sz w:val="24"/>
          <w:szCs w:val="20"/>
          <w:lang w:val="en-US"/>
        </w:rPr>
        <w:t xml:space="preserve"> (Figure 2)</w:t>
      </w:r>
      <w:r w:rsidR="00E71605" w:rsidRPr="00B977AE">
        <w:rPr>
          <w:rFonts w:ascii="Book Antiqua" w:hAnsi="Book Antiqua" w:cs="Arial"/>
          <w:sz w:val="24"/>
          <w:szCs w:val="20"/>
          <w:lang w:val="en-US"/>
        </w:rPr>
        <w:t>.</w:t>
      </w:r>
    </w:p>
    <w:p w:rsidR="00FB6F23" w:rsidRPr="00B977AE" w:rsidRDefault="00FB6F23" w:rsidP="004D1284">
      <w:pPr>
        <w:autoSpaceDE w:val="0"/>
        <w:autoSpaceDN w:val="0"/>
        <w:adjustRightInd w:val="0"/>
        <w:spacing w:line="360" w:lineRule="auto"/>
        <w:jc w:val="both"/>
        <w:rPr>
          <w:rFonts w:ascii="Book Antiqua" w:hAnsi="Book Antiqua" w:cs="Arial"/>
          <w:sz w:val="24"/>
          <w:szCs w:val="20"/>
          <w:lang w:val="en-US"/>
        </w:rPr>
      </w:pPr>
    </w:p>
    <w:p w:rsidR="00982FC1" w:rsidRPr="00B977AE" w:rsidRDefault="00663E85" w:rsidP="004D1284">
      <w:pPr>
        <w:autoSpaceDE w:val="0"/>
        <w:autoSpaceDN w:val="0"/>
        <w:adjustRightInd w:val="0"/>
        <w:spacing w:line="360" w:lineRule="auto"/>
        <w:jc w:val="both"/>
        <w:rPr>
          <w:rFonts w:ascii="Book Antiqua" w:hAnsi="Book Antiqua" w:cs="Arial"/>
          <w:b/>
          <w:sz w:val="24"/>
          <w:szCs w:val="20"/>
          <w:lang w:val="en-US"/>
        </w:rPr>
      </w:pPr>
      <w:r w:rsidRPr="00B977AE">
        <w:rPr>
          <w:rFonts w:ascii="Book Antiqua" w:hAnsi="Book Antiqua" w:cs="Arial"/>
          <w:b/>
          <w:sz w:val="24"/>
          <w:szCs w:val="20"/>
          <w:lang w:val="en-US"/>
        </w:rPr>
        <w:t>DISCUSSION</w:t>
      </w:r>
    </w:p>
    <w:p w:rsidR="00DC2CB1" w:rsidRPr="00B977AE" w:rsidRDefault="00285D41" w:rsidP="004D1284">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sz w:val="24"/>
          <w:szCs w:val="20"/>
          <w:lang w:val="en-US"/>
        </w:rPr>
        <w:t xml:space="preserve">This study </w:t>
      </w:r>
      <w:r w:rsidR="00DC2CB1" w:rsidRPr="00B977AE">
        <w:rPr>
          <w:rFonts w:ascii="Book Antiqua" w:hAnsi="Book Antiqua" w:cs="Arial"/>
          <w:sz w:val="24"/>
          <w:szCs w:val="20"/>
          <w:lang w:val="en-US"/>
        </w:rPr>
        <w:t xml:space="preserve">shows that virtually all </w:t>
      </w:r>
      <w:proofErr w:type="spellStart"/>
      <w:r w:rsidR="00DC2CB1" w:rsidRPr="00B977AE">
        <w:rPr>
          <w:rFonts w:ascii="Book Antiqua" w:hAnsi="Book Antiqua" w:cs="Arial"/>
          <w:sz w:val="24"/>
          <w:szCs w:val="20"/>
          <w:lang w:val="en-US"/>
        </w:rPr>
        <w:t>antimycotics</w:t>
      </w:r>
      <w:proofErr w:type="spellEnd"/>
      <w:r w:rsidR="00DC2CB1" w:rsidRPr="00B977AE">
        <w:rPr>
          <w:rFonts w:ascii="Book Antiqua" w:hAnsi="Book Antiqua" w:cs="Arial"/>
          <w:sz w:val="24"/>
          <w:szCs w:val="20"/>
          <w:lang w:val="en-US"/>
        </w:rPr>
        <w:t xml:space="preserve"> for systemic use are </w:t>
      </w:r>
      <w:r w:rsidRPr="00B977AE">
        <w:rPr>
          <w:rFonts w:ascii="Book Antiqua" w:hAnsi="Book Antiqua" w:cs="Arial"/>
          <w:sz w:val="24"/>
          <w:szCs w:val="20"/>
          <w:lang w:val="en-US"/>
        </w:rPr>
        <w:t>associated with clinically significant risk of DILI in the post-marketing setting, where comorbi</w:t>
      </w:r>
      <w:r w:rsidR="00325D20" w:rsidRPr="00B977AE">
        <w:rPr>
          <w:rFonts w:ascii="Book Antiqua" w:hAnsi="Book Antiqua" w:cs="Arial"/>
          <w:sz w:val="24"/>
          <w:szCs w:val="20"/>
          <w:lang w:val="en-US"/>
        </w:rPr>
        <w:t>di</w:t>
      </w:r>
      <w:r w:rsidRPr="00B977AE">
        <w:rPr>
          <w:rFonts w:ascii="Book Antiqua" w:hAnsi="Book Antiqua" w:cs="Arial"/>
          <w:sz w:val="24"/>
          <w:szCs w:val="20"/>
          <w:lang w:val="en-US"/>
        </w:rPr>
        <w:t>tie</w:t>
      </w:r>
      <w:r w:rsidR="00AC4212" w:rsidRPr="00B977AE">
        <w:rPr>
          <w:rFonts w:ascii="Book Antiqua" w:hAnsi="Book Antiqua" w:cs="Arial"/>
          <w:sz w:val="24"/>
          <w:szCs w:val="20"/>
          <w:lang w:val="en-US"/>
        </w:rPr>
        <w:t xml:space="preserve">s and </w:t>
      </w:r>
      <w:r w:rsidR="00DC2CB1" w:rsidRPr="00B977AE">
        <w:rPr>
          <w:rFonts w:ascii="Book Antiqua" w:hAnsi="Book Antiqua" w:cs="Arial"/>
          <w:sz w:val="24"/>
          <w:szCs w:val="20"/>
          <w:lang w:val="en-US"/>
        </w:rPr>
        <w:t>poly</w:t>
      </w:r>
      <w:r w:rsidR="00325D20" w:rsidRPr="00B977AE">
        <w:rPr>
          <w:rFonts w:ascii="Book Antiqua" w:hAnsi="Book Antiqua" w:cs="Arial"/>
          <w:sz w:val="24"/>
          <w:szCs w:val="20"/>
          <w:lang w:val="en-US"/>
        </w:rPr>
        <w:t>-</w:t>
      </w:r>
      <w:r w:rsidR="00AC4212" w:rsidRPr="00B977AE">
        <w:rPr>
          <w:rFonts w:ascii="Book Antiqua" w:hAnsi="Book Antiqua" w:cs="Arial"/>
          <w:sz w:val="24"/>
          <w:szCs w:val="20"/>
          <w:lang w:val="en-US"/>
        </w:rPr>
        <w:t>pharmacotherapy exist</w:t>
      </w:r>
      <w:r w:rsidRPr="00B977AE">
        <w:rPr>
          <w:rFonts w:ascii="Book Antiqua" w:hAnsi="Book Antiqua" w:cs="Arial"/>
          <w:sz w:val="24"/>
          <w:szCs w:val="20"/>
          <w:lang w:val="en-US"/>
        </w:rPr>
        <w:t>.</w:t>
      </w:r>
      <w:r w:rsidR="0070073D" w:rsidRPr="00B977AE">
        <w:rPr>
          <w:rFonts w:ascii="Book Antiqua" w:hAnsi="Book Antiqua" w:cs="Arial"/>
          <w:sz w:val="24"/>
          <w:szCs w:val="20"/>
          <w:lang w:val="en-US"/>
        </w:rPr>
        <w:t xml:space="preserve"> Although the summary of product characteristics of all highlighted compounds and the </w:t>
      </w:r>
      <w:proofErr w:type="spellStart"/>
      <w:r w:rsidR="0070073D" w:rsidRPr="00B977AE">
        <w:rPr>
          <w:rFonts w:ascii="Book Antiqua" w:hAnsi="Book Antiqua" w:cs="Arial"/>
          <w:sz w:val="24"/>
          <w:szCs w:val="20"/>
          <w:lang w:val="en-US"/>
        </w:rPr>
        <w:t>livertox</w:t>
      </w:r>
      <w:proofErr w:type="spellEnd"/>
      <w:r w:rsidR="0070073D" w:rsidRPr="00B977AE">
        <w:rPr>
          <w:rFonts w:ascii="Book Antiqua" w:hAnsi="Book Antiqua" w:cs="Arial"/>
          <w:sz w:val="24"/>
          <w:szCs w:val="20"/>
          <w:lang w:val="en-US"/>
        </w:rPr>
        <w:t xml:space="preserve"> database already </w:t>
      </w:r>
      <w:r w:rsidR="00D82BD4" w:rsidRPr="00B977AE">
        <w:rPr>
          <w:rFonts w:ascii="Book Antiqua" w:hAnsi="Book Antiqua" w:cs="Arial"/>
          <w:sz w:val="24"/>
          <w:szCs w:val="20"/>
          <w:lang w:val="en-US"/>
        </w:rPr>
        <w:t>addressed</w:t>
      </w:r>
      <w:r w:rsidR="0070073D" w:rsidRPr="00B977AE">
        <w:rPr>
          <w:rFonts w:ascii="Book Antiqua" w:hAnsi="Book Antiqua" w:cs="Arial"/>
          <w:sz w:val="24"/>
          <w:szCs w:val="20"/>
          <w:lang w:val="en-US"/>
        </w:rPr>
        <w:t xml:space="preserve"> this safety issue (</w:t>
      </w:r>
      <w:r w:rsidR="0004797C" w:rsidRPr="0004797C">
        <w:rPr>
          <w:rFonts w:ascii="Book Antiqua" w:hAnsi="Book Antiqua" w:cs="Arial"/>
          <w:i/>
          <w:sz w:val="24"/>
          <w:szCs w:val="20"/>
          <w:lang w:val="en-US"/>
        </w:rPr>
        <w:t>e.g</w:t>
      </w:r>
      <w:r w:rsidR="0070073D" w:rsidRPr="00B977AE">
        <w:rPr>
          <w:rFonts w:ascii="Book Antiqua" w:hAnsi="Book Antiqua" w:cs="Arial"/>
          <w:sz w:val="24"/>
          <w:szCs w:val="20"/>
          <w:lang w:val="en-US"/>
        </w:rPr>
        <w:t>., by mentioning liver monitoring in the warning section), clinicians should be aware of this aspect, especially following the marketing suspension of oral ketoconazole</w:t>
      </w:r>
      <w:r w:rsidR="00DC2CB1" w:rsidRPr="00B977AE">
        <w:rPr>
          <w:rFonts w:ascii="Book Antiqua" w:hAnsi="Book Antiqua" w:cs="Arial"/>
          <w:sz w:val="24"/>
          <w:szCs w:val="20"/>
          <w:lang w:val="en-US"/>
        </w:rPr>
        <w:t xml:space="preserve">. This means that </w:t>
      </w:r>
      <w:r w:rsidR="0070073D" w:rsidRPr="00B977AE">
        <w:rPr>
          <w:rFonts w:ascii="Book Antiqua" w:hAnsi="Book Antiqua" w:cs="Arial"/>
          <w:sz w:val="24"/>
          <w:szCs w:val="20"/>
          <w:lang w:val="en-US"/>
        </w:rPr>
        <w:t xml:space="preserve">switching prescription towards therapeutic alternatives </w:t>
      </w:r>
      <w:r w:rsidR="00DC2CB1" w:rsidRPr="00B977AE">
        <w:rPr>
          <w:rFonts w:ascii="Book Antiqua" w:hAnsi="Book Antiqua" w:cs="Arial"/>
          <w:sz w:val="24"/>
          <w:szCs w:val="20"/>
          <w:lang w:val="en-US"/>
        </w:rPr>
        <w:t xml:space="preserve">of ketoconazole does not </w:t>
      </w:r>
      <w:r w:rsidR="00B9749F" w:rsidRPr="00B977AE">
        <w:rPr>
          <w:rFonts w:ascii="Book Antiqua" w:hAnsi="Book Antiqua" w:cs="Arial"/>
          <w:sz w:val="24"/>
          <w:szCs w:val="20"/>
          <w:lang w:val="en-US"/>
        </w:rPr>
        <w:t xml:space="preserve">sufficiently </w:t>
      </w:r>
      <w:r w:rsidR="00DC2CB1" w:rsidRPr="00B977AE">
        <w:rPr>
          <w:rFonts w:ascii="Book Antiqua" w:hAnsi="Book Antiqua" w:cs="Arial"/>
          <w:sz w:val="24"/>
          <w:szCs w:val="20"/>
          <w:lang w:val="en-US"/>
        </w:rPr>
        <w:t xml:space="preserve">protect patients from risk and </w:t>
      </w:r>
      <w:r w:rsidR="0070073D" w:rsidRPr="00B977AE">
        <w:rPr>
          <w:rFonts w:ascii="Book Antiqua" w:hAnsi="Book Antiqua" w:cs="Arial"/>
          <w:sz w:val="24"/>
          <w:szCs w:val="20"/>
          <w:lang w:val="en-US"/>
        </w:rPr>
        <w:t>active vigilance</w:t>
      </w:r>
      <w:r w:rsidR="00DC2CB1" w:rsidRPr="00B977AE">
        <w:rPr>
          <w:rFonts w:ascii="Book Antiqua" w:hAnsi="Book Antiqua" w:cs="Arial"/>
          <w:sz w:val="24"/>
          <w:szCs w:val="20"/>
          <w:lang w:val="en-US"/>
        </w:rPr>
        <w:t xml:space="preserve"> is still needed</w:t>
      </w:r>
      <w:r w:rsidR="0070073D" w:rsidRPr="00B977AE">
        <w:rPr>
          <w:rFonts w:ascii="Book Antiqua" w:hAnsi="Book Antiqua" w:cs="Arial"/>
          <w:sz w:val="24"/>
          <w:szCs w:val="20"/>
          <w:lang w:val="en-US"/>
        </w:rPr>
        <w:t>.</w:t>
      </w:r>
    </w:p>
    <w:p w:rsidR="00B9749F" w:rsidRPr="00B977AE" w:rsidRDefault="00DC2CB1" w:rsidP="004D1284">
      <w:pPr>
        <w:shd w:val="clear" w:color="auto" w:fill="FFFFFF"/>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A</w:t>
      </w:r>
      <w:r w:rsidR="0099078C" w:rsidRPr="00B977AE">
        <w:rPr>
          <w:rFonts w:ascii="Book Antiqua" w:hAnsi="Book Antiqua" w:cs="Arial"/>
          <w:sz w:val="24"/>
          <w:szCs w:val="20"/>
          <w:lang w:val="en-US"/>
        </w:rPr>
        <w:t xml:space="preserve">lthough actual incidence cannot be inferred from spontaneous reporting systems, </w:t>
      </w:r>
      <w:r w:rsidR="0083130E" w:rsidRPr="00B977AE">
        <w:rPr>
          <w:rFonts w:ascii="Book Antiqua" w:hAnsi="Book Antiqua" w:cs="Arial"/>
          <w:sz w:val="24"/>
          <w:szCs w:val="20"/>
          <w:lang w:val="en-US"/>
        </w:rPr>
        <w:t xml:space="preserve">the </w:t>
      </w:r>
      <w:r w:rsidR="0099078C" w:rsidRPr="00B977AE">
        <w:rPr>
          <w:rFonts w:ascii="Book Antiqua" w:hAnsi="Book Antiqua" w:cs="Arial"/>
          <w:sz w:val="24"/>
          <w:szCs w:val="20"/>
          <w:lang w:val="en-US"/>
        </w:rPr>
        <w:t xml:space="preserve">fact that </w:t>
      </w:r>
      <w:proofErr w:type="spellStart"/>
      <w:r w:rsidR="0083130E" w:rsidRPr="00B977AE">
        <w:rPr>
          <w:rFonts w:ascii="Book Antiqua" w:hAnsi="Book Antiqua" w:cs="Arial"/>
          <w:sz w:val="24"/>
          <w:szCs w:val="20"/>
          <w:lang w:val="en-US"/>
        </w:rPr>
        <w:t>antimycotics</w:t>
      </w:r>
      <w:proofErr w:type="spellEnd"/>
      <w:r w:rsidR="0083130E" w:rsidRPr="00B977AE">
        <w:rPr>
          <w:rFonts w:ascii="Book Antiqua" w:hAnsi="Book Antiqua" w:cs="Arial"/>
          <w:sz w:val="24"/>
          <w:szCs w:val="20"/>
          <w:lang w:val="en-US"/>
        </w:rPr>
        <w:t xml:space="preserve"> are reported in </w:t>
      </w:r>
      <w:proofErr w:type="spellStart"/>
      <w:r w:rsidR="0083130E" w:rsidRPr="00B977AE">
        <w:rPr>
          <w:rFonts w:ascii="Book Antiqua" w:hAnsi="Book Antiqua" w:cs="Arial"/>
          <w:sz w:val="24"/>
          <w:szCs w:val="20"/>
          <w:lang w:val="en-US"/>
        </w:rPr>
        <w:t>approx</w:t>
      </w:r>
      <w:proofErr w:type="spellEnd"/>
      <w:r w:rsidR="0083130E" w:rsidRPr="00B977AE">
        <w:rPr>
          <w:rFonts w:ascii="Book Antiqua" w:hAnsi="Book Antiqua" w:cs="Arial"/>
          <w:sz w:val="24"/>
          <w:szCs w:val="20"/>
          <w:lang w:val="en-US"/>
        </w:rPr>
        <w:t xml:space="preserve"> 3% of the total cases in FAERS</w:t>
      </w:r>
      <w:r w:rsidR="0099078C" w:rsidRPr="00B977AE">
        <w:rPr>
          <w:rFonts w:ascii="Book Antiqua" w:hAnsi="Book Antiqua" w:cs="Arial"/>
          <w:sz w:val="24"/>
          <w:szCs w:val="20"/>
          <w:lang w:val="en-US"/>
        </w:rPr>
        <w:t xml:space="preserve"> suggests that the risk could be common</w:t>
      </w:r>
      <w:r w:rsidR="0083130E" w:rsidRPr="00B977AE">
        <w:rPr>
          <w:rFonts w:ascii="Book Antiqua" w:hAnsi="Book Antiqua" w:cs="Arial"/>
          <w:sz w:val="24"/>
          <w:szCs w:val="20"/>
          <w:lang w:val="en-US"/>
        </w:rPr>
        <w:t>.</w:t>
      </w:r>
      <w:r w:rsidR="00AC4212" w:rsidRPr="00B977AE">
        <w:rPr>
          <w:rFonts w:ascii="Book Antiqua" w:hAnsi="Book Antiqua" w:cs="Arial"/>
          <w:sz w:val="24"/>
          <w:szCs w:val="20"/>
          <w:lang w:val="en-US"/>
        </w:rPr>
        <w:t xml:space="preserve"> Our study also confirmed that </w:t>
      </w:r>
      <w:proofErr w:type="spellStart"/>
      <w:r w:rsidR="00AC4212" w:rsidRPr="00B977AE">
        <w:rPr>
          <w:rFonts w:ascii="Book Antiqua" w:hAnsi="Book Antiqua" w:cs="Arial"/>
          <w:sz w:val="24"/>
          <w:szCs w:val="20"/>
          <w:lang w:val="en-US"/>
        </w:rPr>
        <w:t>miconazole</w:t>
      </w:r>
      <w:proofErr w:type="spellEnd"/>
      <w:r w:rsidR="00AC4212" w:rsidRPr="00B977AE">
        <w:rPr>
          <w:rFonts w:ascii="Book Antiqua" w:hAnsi="Book Antiqua" w:cs="Arial"/>
          <w:sz w:val="24"/>
          <w:szCs w:val="20"/>
          <w:lang w:val="en-US"/>
        </w:rPr>
        <w:t xml:space="preserve"> and </w:t>
      </w:r>
      <w:proofErr w:type="spellStart"/>
      <w:r w:rsidR="00AC4212" w:rsidRPr="00B977AE">
        <w:rPr>
          <w:rFonts w:ascii="Book Antiqua" w:hAnsi="Book Antiqua" w:cs="Arial"/>
          <w:sz w:val="24"/>
          <w:szCs w:val="20"/>
          <w:lang w:val="en-US"/>
        </w:rPr>
        <w:t>griseofulvin</w:t>
      </w:r>
      <w:proofErr w:type="spellEnd"/>
      <w:r w:rsidR="00AC4212" w:rsidRPr="00B977AE">
        <w:rPr>
          <w:rFonts w:ascii="Book Antiqua" w:hAnsi="Book Antiqua" w:cs="Arial"/>
          <w:sz w:val="24"/>
          <w:szCs w:val="20"/>
          <w:lang w:val="en-US"/>
        </w:rPr>
        <w:t xml:space="preserve"> are not associated with clinically significant risk of DILI, a finding in line with recent </w:t>
      </w:r>
      <w:r w:rsidR="00020EE0" w:rsidRPr="00B977AE">
        <w:rPr>
          <w:rFonts w:ascii="Book Antiqua" w:hAnsi="Book Antiqua" w:cs="Arial"/>
          <w:sz w:val="24"/>
          <w:szCs w:val="20"/>
          <w:lang w:val="en-US"/>
        </w:rPr>
        <w:t>data</w:t>
      </w:r>
      <w:r w:rsidR="00AC4212" w:rsidRPr="00B977AE">
        <w:rPr>
          <w:rFonts w:ascii="Book Antiqua" w:hAnsi="Book Antiqua" w:cs="Arial"/>
          <w:sz w:val="24"/>
          <w:szCs w:val="20"/>
          <w:lang w:val="en-US"/>
        </w:rPr>
        <w:t xml:space="preserve"> from EU-ADR and OMOP Consortia (EU and US projects, respectively), which labeled these drugs as “negative controls” in drug safety studies investigating DILI</w:t>
      </w:r>
      <w:r w:rsidR="00020EE0" w:rsidRPr="00B977AE">
        <w:rPr>
          <w:rFonts w:ascii="Book Antiqua" w:hAnsi="Book Antiqua" w:cs="Arial"/>
          <w:sz w:val="24"/>
          <w:szCs w:val="20"/>
          <w:lang w:val="en-US"/>
        </w:rPr>
        <w:t>, based on the existing scientific literature and expert opinion</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&lt;Refman&gt;&lt;Cite&gt;&lt;Author&gt;Ryan&lt;/Author&gt;&lt;Year&gt;2013&lt;/Year&gt;&lt;RecNum&gt;18&lt;/RecNum&gt;&lt;IDText&gt;Defining a reference set to support methodological research in drug safety&lt;/IDText&gt;&lt;MDL Ref_Type="Journal"&gt;&lt;Ref_Type&gt;Journal&lt;/Ref_Type&gt;&lt;Ref_ID&gt;18&lt;/Ref_ID&gt;&lt;Title_Primary&gt;Defining a reference set to support methodological research in drug safety&lt;/Title_Primary&gt;&lt;Authors_Primary&gt;Ryan,P.B.&lt;/Authors_Primary&gt;&lt;Authors_Primary&gt;Schuemie,M.J.&lt;/Authors_Primary&gt;&lt;Authors_Primary&gt;Welebob,E.&lt;/Authors_Primary&gt;&lt;Authors_Primary&gt;Duke,J.&lt;/Authors_Primary&gt;&lt;Authors_Primary&gt;Valentine,S.&lt;/Authors_Primary&gt;&lt;Authors_Primary&gt;Hartzema,A.G.&lt;/Authors_Primary&gt;&lt;Date_Primary&gt;2013/10&lt;/Date_Primary&gt;&lt;Keywords&gt;Electronic Health Records&lt;/Keywords&gt;&lt;Keywords&gt;Liver&lt;/Keywords&gt;&lt;Keywords&gt;methods&lt;/Keywords&gt;&lt;Keywords&gt;Research Design&lt;/Keywords&gt;&lt;Reprint&gt;In File&lt;/Reprint&gt;&lt;Start_Page&gt;S33&lt;/Start_Page&gt;&lt;End_Page&gt;S47&lt;/End_Page&gt;&lt;Periodical&gt;Drug Saf&lt;/Periodical&gt;&lt;Volume&gt;36 Suppl 1&lt;/Volume&gt;&lt;Address&gt;Janssen Research and Development LLC, 1125 Trenton-Harbourton Road, Room K30205, PO Box 200, Titusville, NJ, 08560, USA, ryan@omop.org&lt;/Address&gt;&lt;Web_URL&gt;PM:24166222&lt;/Web_URL&gt;&lt;ZZ_JournalStdAbbrev&gt;&lt;f name="System"&gt;Drug Saf&lt;/f&gt;&lt;/ZZ_JournalStdAbbrev&gt;&lt;ZZ_WorkformID&gt;1&lt;/ZZ_WorkformID&gt;&lt;/MDL&gt;&lt;/Cite&gt;&lt;Cite&gt;&lt;Author&gt;Coloma&lt;/Author&gt;&lt;Year&gt;2013&lt;/Year&gt;&lt;RecNum&gt;62&lt;/RecNum&gt;&lt;IDText&gt;A reference standard for evaluation of methods for drug safety signal detection using electronic healthcare record databases&lt;/IDText&gt;&lt;MDL Ref_Type="Journal"&gt;&lt;Ref_Type&gt;Journal&lt;/Ref_Type&gt;&lt;Ref_ID&gt;62&lt;/Ref_ID&gt;&lt;Title_Primary&gt;A reference standard for evaluation of methods for drug safety signal detection using electronic healthcare record databases&lt;/Title_Primary&gt;&lt;Authors_Primary&gt;Coloma,P.M.&lt;/Authors_Primary&gt;&lt;Authors_Primary&gt;Avillach,P.&lt;/Authors_Primary&gt;&lt;Authors_Primary&gt;Salvo,F.&lt;/Authors_Primary&gt;&lt;Authors_Primary&gt;Schuemie,M.J.&lt;/Authors_Primary&gt;&lt;Authors_Primary&gt;Ferrajolo,C.&lt;/Authors_Primary&gt;&lt;Authors_Primary&gt;Pariente,A.&lt;/Authors_Primary&gt;&lt;Authors_Primary&gt;Fourrier-Reglat,A.&lt;/Authors_Primary&gt;&lt;Authors_Primary&gt;Molokhia,M.&lt;/Authors_Primary&gt;&lt;Authors_Primary&gt;Patadia,V.&lt;/Authors_Primary&gt;&lt;Authors_Primary&gt;van der,Lei J.&lt;/Authors_Primary&gt;&lt;Authors_Primary&gt;Sturkenboom,M.&lt;/Authors_Primary&gt;&lt;Authors_Primary&gt;Trifiro,G.&lt;/Authors_Primary&gt;&lt;Date_Primary&gt;2013/1&lt;/Date_Primary&gt;&lt;Keywords&gt;Adverse Drug Reaction Reporting Systems&lt;/Keywords&gt;&lt;Keywords&gt;Databases,Factual&lt;/Keywords&gt;&lt;Keywords&gt;Drug-Related Side Effects and Adverse Reactions&lt;/Keywords&gt;&lt;Keywords&gt;Electronic Health Records&lt;/Keywords&gt;&lt;Keywords&gt;Fibrosis&lt;/Keywords&gt;&lt;Keywords&gt;Humans&lt;/Keywords&gt;&lt;Keywords&gt;Liver&lt;/Keywords&gt;&lt;Keywords&gt;methods&lt;/Keywords&gt;&lt;Keywords&gt;organization &amp;amp; administration&lt;/Keywords&gt;&lt;Keywords&gt;Pharmacovigilance&lt;/Keywords&gt;&lt;Keywords&gt;Product Surveillance,Postmarketing&lt;/Keywords&gt;&lt;Keywords&gt;Publications&lt;/Keywords&gt;&lt;Keywords&gt;Reference Standards&lt;/Keywords&gt;&lt;Keywords&gt;Rhabdomyolysis&lt;/Keywords&gt;&lt;Keywords&gt;statistics &amp;amp; numerical data&lt;/Keywords&gt;&lt;Reprint&gt;Not in File&lt;/Reprint&gt;&lt;Start_Page&gt;13&lt;/Start_Page&gt;&lt;End_Page&gt;23&lt;/End_Page&gt;&lt;Periodical&gt;Drug Saf&lt;/Periodical&gt;&lt;Volume&gt;36&lt;/Volume&gt;&lt;Issue&gt;1&lt;/Issue&gt;&lt;Address&gt;Department of Medical Informatics, Erasmus Medical Center, Postbus 2040, 3000, CA, Rotterdam, The Netherlands. p.coloma@erasmusmc.nl&lt;/Address&gt;&lt;Web_URL&gt;PM:23315292&lt;/Web_URL&gt;&lt;ZZ_JournalStdAbbrev&gt;&lt;f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[48,49]</w:t>
      </w:r>
      <w:r w:rsidR="002411CC" w:rsidRPr="00B977AE">
        <w:rPr>
          <w:rFonts w:ascii="Book Antiqua" w:hAnsi="Book Antiqua" w:cs="Arial"/>
          <w:sz w:val="24"/>
          <w:szCs w:val="20"/>
          <w:lang w:val="en-US"/>
        </w:rPr>
        <w:fldChar w:fldCharType="end"/>
      </w:r>
      <w:r w:rsidR="00AC4212" w:rsidRPr="00B977AE">
        <w:rPr>
          <w:rFonts w:ascii="Book Antiqua" w:hAnsi="Book Antiqua" w:cs="Arial"/>
          <w:sz w:val="24"/>
          <w:szCs w:val="20"/>
          <w:lang w:val="en-US"/>
        </w:rPr>
        <w:t>.</w:t>
      </w:r>
      <w:r w:rsidR="00583412" w:rsidRPr="00B977AE">
        <w:rPr>
          <w:rFonts w:ascii="Book Antiqua" w:hAnsi="Book Antiqua" w:cs="Arial"/>
          <w:sz w:val="24"/>
          <w:szCs w:val="20"/>
          <w:lang w:val="en-US"/>
        </w:rPr>
        <w:t xml:space="preserve"> As a matter of fact, </w:t>
      </w:r>
      <w:proofErr w:type="spellStart"/>
      <w:r w:rsidR="00583412" w:rsidRPr="00B977AE">
        <w:rPr>
          <w:rFonts w:ascii="Book Antiqua" w:hAnsi="Book Antiqua" w:cs="Arial"/>
          <w:sz w:val="24"/>
          <w:szCs w:val="20"/>
          <w:lang w:val="en-US"/>
        </w:rPr>
        <w:t>miconazole</w:t>
      </w:r>
      <w:proofErr w:type="spellEnd"/>
      <w:r w:rsidR="00583412" w:rsidRPr="00B977AE">
        <w:rPr>
          <w:rFonts w:ascii="Book Antiqua" w:hAnsi="Book Antiqua" w:cs="Arial"/>
          <w:sz w:val="24"/>
          <w:szCs w:val="20"/>
          <w:lang w:val="en-US"/>
        </w:rPr>
        <w:t xml:space="preserve"> is mainly used as topical preparation, whereas </w:t>
      </w:r>
      <w:proofErr w:type="spellStart"/>
      <w:r w:rsidR="00583412" w:rsidRPr="00B977AE">
        <w:rPr>
          <w:rFonts w:ascii="Book Antiqua" w:hAnsi="Book Antiqua" w:cs="Arial"/>
          <w:sz w:val="24"/>
          <w:szCs w:val="20"/>
          <w:lang w:val="en-US"/>
        </w:rPr>
        <w:t>griseofulvin</w:t>
      </w:r>
      <w:proofErr w:type="spellEnd"/>
      <w:r w:rsidR="00583412" w:rsidRPr="00B977AE">
        <w:rPr>
          <w:rFonts w:ascii="Book Antiqua" w:hAnsi="Book Antiqua" w:cs="Arial"/>
          <w:sz w:val="24"/>
          <w:szCs w:val="20"/>
          <w:lang w:val="en-US"/>
        </w:rPr>
        <w:t xml:space="preserve"> has specific tropism for keratin tissues with only low plasma concentrations. This kinetic features could ex</w:t>
      </w:r>
      <w:r w:rsidR="00B9749F" w:rsidRPr="00B977AE">
        <w:rPr>
          <w:rFonts w:ascii="Book Antiqua" w:hAnsi="Book Antiqua" w:cs="Arial"/>
          <w:sz w:val="24"/>
          <w:szCs w:val="20"/>
          <w:lang w:val="en-US"/>
        </w:rPr>
        <w:t xml:space="preserve">plain the lack of a signal of liver injury. On the other hand, </w:t>
      </w:r>
      <w:r w:rsidR="00156969" w:rsidRPr="00B977AE">
        <w:rPr>
          <w:rFonts w:ascii="Book Antiqua" w:hAnsi="Book Antiqua" w:cs="Arial"/>
          <w:sz w:val="24"/>
          <w:szCs w:val="20"/>
          <w:lang w:val="en-US"/>
        </w:rPr>
        <w:t xml:space="preserve">one recent population-based study in Taiwanese detected 8 cases of DILI associated with </w:t>
      </w:r>
      <w:proofErr w:type="spellStart"/>
      <w:r w:rsidR="00156969" w:rsidRPr="00B977AE">
        <w:rPr>
          <w:rFonts w:ascii="Book Antiqua" w:hAnsi="Book Antiqua" w:cs="Arial"/>
          <w:sz w:val="24"/>
          <w:szCs w:val="20"/>
          <w:lang w:val="en-US"/>
        </w:rPr>
        <w:t>griseofulvin</w:t>
      </w:r>
      <w:proofErr w:type="spellEnd"/>
      <w:r w:rsidR="00156969" w:rsidRPr="00B977AE">
        <w:rPr>
          <w:rFonts w:ascii="Book Antiqua" w:hAnsi="Book Antiqua" w:cs="Arial"/>
          <w:sz w:val="24"/>
          <w:szCs w:val="20"/>
          <w:lang w:val="en-US"/>
        </w:rPr>
        <w:t>, although the cumulative exposure dose and the concomitant co-prescription of antibiotics</w:t>
      </w:r>
      <w:r w:rsidR="00CB03FB" w:rsidRPr="00B977AE">
        <w:rPr>
          <w:rFonts w:ascii="Book Antiqua" w:hAnsi="Book Antiqua" w:cs="Arial"/>
          <w:sz w:val="24"/>
          <w:szCs w:val="20"/>
          <w:lang w:val="en-US"/>
        </w:rPr>
        <w:t xml:space="preserve"> and </w:t>
      </w:r>
      <w:proofErr w:type="spellStart"/>
      <w:r w:rsidR="00CB03FB" w:rsidRPr="00B977AE">
        <w:rPr>
          <w:rFonts w:ascii="Book Antiqua" w:hAnsi="Book Antiqua" w:cs="Arial"/>
          <w:sz w:val="24"/>
          <w:szCs w:val="20"/>
          <w:lang w:val="en-US"/>
        </w:rPr>
        <w:t>antinflammatory</w:t>
      </w:r>
      <w:proofErr w:type="spellEnd"/>
      <w:r w:rsidR="00CB03FB" w:rsidRPr="00B977AE">
        <w:rPr>
          <w:rFonts w:ascii="Book Antiqua" w:hAnsi="Book Antiqua" w:cs="Arial"/>
          <w:sz w:val="24"/>
          <w:szCs w:val="20"/>
          <w:lang w:val="en-US"/>
        </w:rPr>
        <w:t xml:space="preserve"> drugs (which</w:t>
      </w:r>
      <w:r w:rsidR="00156969" w:rsidRPr="00B977AE">
        <w:rPr>
          <w:rFonts w:ascii="Book Antiqua" w:hAnsi="Book Antiqua" w:cs="Arial"/>
          <w:sz w:val="24"/>
          <w:szCs w:val="20"/>
          <w:lang w:val="en-US"/>
        </w:rPr>
        <w:t xml:space="preserve"> have hepatotoxic potential) may have contributed to the occurrence of liver events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&lt;Refman&gt;&lt;Cite&gt;&lt;Author&gt;Kao&lt;/Author&gt;&lt;Year&gt;2014&lt;/Year&gt;&lt;RecNum&gt;74&lt;/RecNum&gt;&lt;IDText&gt;Risk of oral antifungal agent-induced liver injury in Taiwanese&lt;/IDText&gt;&lt;MDL Ref_Type="Journal"&gt;&lt;Ref_Type&gt;Journal&lt;/Ref_Type&gt;&lt;Ref_ID&gt;74&lt;/Ref_ID&gt;&lt;Title_Primary&gt;Risk of oral antifungal agent-induced liver injury in Taiwanese&lt;/Title_Primary&gt;&lt;Authors_Primary&gt;Kao,W.Y.&lt;/Authors_Primary&gt;&lt;Authors_Primary&gt;Su,C.W.&lt;/Authors_Primary&gt;&lt;Authors_Primary&gt;Huang,Y.S.&lt;/Authors_Primary&gt;&lt;Authors_Primary&gt;Chou,Y.C.&lt;/Authors_Primary&gt;&lt;Authors_Primary&gt;Chen,Y.C.&lt;/Authors_Primary&gt;&lt;Authors_Primary&gt;Chung,W.H.&lt;/Authors_Primary&gt;&lt;Authors_Primary&gt;Hou,M.C.&lt;/Authors_Primary&gt;&lt;Authors_Primary&gt;Lin,H.C.&lt;/Authors_Primary&gt;&lt;Authors_Primary&gt;Lee,F.Y.&lt;/Authors_Primary&gt;&lt;Authors_Primary&gt;Wu,J.C.&lt;/Authors_Primary&gt;&lt;Date_Primary&gt;2014/1&lt;/Date_Primary&gt;&lt;Keywords&gt;Antifungal Agents&lt;/Keywords&gt;&lt;Keywords&gt;Drug-Induced Liver Injury&lt;/Keywords&gt;&lt;Keywords&gt;Fluconazole&lt;/Keywords&gt;&lt;Keywords&gt;Griseofulvin&lt;/Keywords&gt;&lt;Keywords&gt;Incidence&lt;/Keywords&gt;&lt;Keywords&gt;Ketoconazole&lt;/Keywords&gt;&lt;Keywords&gt;Liver&lt;/Keywords&gt;&lt;Keywords&gt;methods&lt;/Keywords&gt;&lt;Keywords&gt;Onychomycosis&lt;/Keywords&gt;&lt;Keywords&gt;Risk&lt;/Keywords&gt;&lt;Reprint&gt;In File&lt;/Reprint&gt;&lt;Start_Page&gt;180&lt;/Start_Page&gt;&lt;End_Page&gt;189&lt;/End_Page&gt;&lt;Periodical&gt;Br.J Clin Pharmacol&lt;/Periodical&gt;&lt;Volume&gt;77&lt;/Volume&gt;&lt;Issue&gt;1&lt;/Issue&gt;&lt;Address&gt;Division of Gastroenterology, Department of Medicine, Taipei Veterans General Hospital, Taipei, Taiwan; Faculty of Medicine, National Yang-Ming University School of Medicine, Taipei, Taiwan; Division of Gastroenterology, Department of Medicine, Taoyuan branch, Taipei Veterans General Hospital, Taipei, Taiwan; Division of Gastroenterology and Hepatology, Department of Internal Medicine, Taipei Medical University Hospital, Taipei, Taiwan&lt;/Address&gt;&lt;Web_URL&gt;PM:23750489&lt;/Web_URL&gt;&lt;ZZ_JournalStdAbbrev&gt;&lt;f name="System"&gt;Br.J Clin Pharmacol&lt;/f&gt;&lt;/ZZ_JournalStdAbbrev&gt;&lt;ZZ_WorkformID&gt;1&lt;/ZZ_WorkformID&gt;&lt;/MDL&gt;&lt;/Cite&gt;&lt;/Refman&gt;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[35]</w:t>
      </w:r>
      <w:r w:rsidR="002411CC" w:rsidRPr="00B977AE">
        <w:rPr>
          <w:rFonts w:ascii="Book Antiqua" w:hAnsi="Book Antiqua" w:cs="Arial"/>
          <w:sz w:val="24"/>
          <w:szCs w:val="20"/>
          <w:lang w:val="en-US"/>
        </w:rPr>
        <w:fldChar w:fldCharType="end"/>
      </w:r>
      <w:r w:rsidR="00B9749F" w:rsidRPr="00B977AE">
        <w:rPr>
          <w:rFonts w:ascii="Book Antiqua" w:hAnsi="Book Antiqua" w:cs="Arial"/>
          <w:sz w:val="24"/>
          <w:szCs w:val="20"/>
          <w:lang w:val="en-US"/>
        </w:rPr>
        <w:t>.</w:t>
      </w:r>
    </w:p>
    <w:p w:rsidR="006F141D" w:rsidRPr="00B977AE" w:rsidRDefault="00DC2CB1"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rPr>
        <w:t xml:space="preserve">Clinicians should </w:t>
      </w:r>
      <w:r w:rsidR="009B0B44" w:rsidRPr="00B977AE">
        <w:rPr>
          <w:rFonts w:ascii="Book Antiqua" w:hAnsi="Book Antiqua" w:cs="Arial"/>
          <w:sz w:val="24"/>
          <w:szCs w:val="20"/>
          <w:lang w:val="en-US"/>
        </w:rPr>
        <w:t>interpret</w:t>
      </w:r>
      <w:r w:rsidR="00982FC1" w:rsidRPr="00B977AE">
        <w:rPr>
          <w:rFonts w:ascii="Book Antiqua" w:hAnsi="Book Antiqua" w:cs="Arial"/>
          <w:sz w:val="24"/>
          <w:szCs w:val="20"/>
          <w:lang w:val="en-US"/>
        </w:rPr>
        <w:t xml:space="preserve"> </w:t>
      </w:r>
      <w:r w:rsidRPr="00B977AE">
        <w:rPr>
          <w:rFonts w:ascii="Book Antiqua" w:hAnsi="Book Antiqua" w:cs="Arial"/>
          <w:sz w:val="24"/>
          <w:szCs w:val="20"/>
          <w:lang w:val="en-US"/>
        </w:rPr>
        <w:t xml:space="preserve">our data </w:t>
      </w:r>
      <w:r w:rsidR="00982FC1" w:rsidRPr="00B977AE">
        <w:rPr>
          <w:rFonts w:ascii="Book Antiqua" w:hAnsi="Book Antiqua" w:cs="Arial"/>
          <w:sz w:val="24"/>
          <w:szCs w:val="20"/>
          <w:lang w:val="en-US"/>
        </w:rPr>
        <w:t xml:space="preserve">in the light of limitations </w:t>
      </w:r>
      <w:r w:rsidR="00145B57" w:rsidRPr="00B977AE">
        <w:rPr>
          <w:rFonts w:ascii="Book Antiqua" w:hAnsi="Book Antiqua" w:cs="Arial"/>
          <w:sz w:val="24"/>
          <w:szCs w:val="20"/>
          <w:lang w:val="en-US"/>
        </w:rPr>
        <w:t>affecting</w:t>
      </w:r>
      <w:r w:rsidR="00982FC1" w:rsidRPr="00B977AE">
        <w:rPr>
          <w:rFonts w:ascii="Book Antiqua" w:hAnsi="Book Antiqua" w:cs="Arial"/>
          <w:sz w:val="24"/>
          <w:szCs w:val="20"/>
          <w:lang w:val="en-US"/>
        </w:rPr>
        <w:t xml:space="preserve"> </w:t>
      </w:r>
      <w:proofErr w:type="spellStart"/>
      <w:r w:rsidR="00982FC1" w:rsidRPr="00B977AE">
        <w:rPr>
          <w:rFonts w:ascii="Book Antiqua" w:hAnsi="Book Antiqua" w:cs="Arial"/>
          <w:sz w:val="24"/>
          <w:szCs w:val="20"/>
          <w:lang w:val="en-US"/>
        </w:rPr>
        <w:t>pharmacovigilance</w:t>
      </w:r>
      <w:proofErr w:type="spellEnd"/>
      <w:r w:rsidR="00982FC1" w:rsidRPr="00B977AE">
        <w:rPr>
          <w:rFonts w:ascii="Book Antiqua" w:hAnsi="Book Antiqua" w:cs="Arial"/>
          <w:sz w:val="24"/>
          <w:szCs w:val="20"/>
          <w:lang w:val="en-US"/>
        </w:rPr>
        <w:t xml:space="preserve"> data. In particular, apart from well-described bias inherent to all spontaneous reporting systems</w:t>
      </w:r>
      <w:r w:rsidR="001C2CCB" w:rsidRPr="00B977AE">
        <w:rPr>
          <w:rFonts w:ascii="Book Antiqua" w:hAnsi="Book Antiqua" w:cs="Arial"/>
          <w:sz w:val="24"/>
          <w:szCs w:val="20"/>
          <w:lang w:val="en-US"/>
        </w:rPr>
        <w:t xml:space="preserve"> (</w:t>
      </w:r>
      <w:r w:rsidR="0004797C" w:rsidRPr="0004797C">
        <w:rPr>
          <w:rFonts w:ascii="Book Antiqua" w:hAnsi="Book Antiqua" w:cs="Arial"/>
          <w:i/>
          <w:sz w:val="24"/>
          <w:szCs w:val="20"/>
          <w:lang w:val="en-US"/>
        </w:rPr>
        <w:t>e.g</w:t>
      </w:r>
      <w:r w:rsidR="001C2CCB" w:rsidRPr="00B977AE">
        <w:rPr>
          <w:rFonts w:ascii="Book Antiqua" w:hAnsi="Book Antiqua" w:cs="Arial"/>
          <w:sz w:val="24"/>
          <w:szCs w:val="20"/>
          <w:lang w:val="en-US"/>
        </w:rPr>
        <w:t>., underreporting, causality assessment, influence of media attention/safety alerts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&lt;Refman&gt;&lt;Cite&gt;&lt;Author&gt;Bate&lt;/Author&gt;&lt;Year&gt;2009&lt;/Year&gt;&lt;RecNum&gt;63&lt;/RecNum&gt;&lt;IDText&gt;Quantitative signal detection using spontaneous ADR reporting&lt;/IDText&gt;&lt;MDL Ref_Type="Journal"&gt;&lt;Ref_Type&gt;Journal&lt;/Ref_Type&gt;&lt;Ref_ID&gt;63&lt;/Ref_ID&gt;&lt;Title_Primary&gt;Quantitative signal detection using spontaneous ADR reporting&lt;/Title_Primary&gt;&lt;Authors_Primary&gt;Bate,A.&lt;/Authors_Primary&gt;&lt;Authors_Primary&gt;Evans,S.J.&lt;/Authors_Primary&gt;&lt;Date_Primary&gt;2009/6&lt;/Date_Primary&gt;&lt;Keywords&gt;Adverse Drug Reaction Reporting Systems&lt;/Keywords&gt;&lt;Keywords&gt;Algorithms&lt;/Keywords&gt;&lt;Keywords&gt;Data Interpretation,Statistical&lt;/Keywords&gt;&lt;Keywords&gt;Databases,Factual&lt;/Keywords&gt;&lt;Keywords&gt;Drug Monitoring&lt;/Keywords&gt;&lt;Keywords&gt;Drug-Related Side Effects and Adverse Reactions&lt;/Keywords&gt;&lt;Keywords&gt;Humans&lt;/Keywords&gt;&lt;Keywords&gt;Information Storage and Retrieval&lt;/Keywords&gt;&lt;Keywords&gt;methods&lt;/Keywords&gt;&lt;Keywords&gt;Odds Ratio&lt;/Keywords&gt;&lt;Keywords&gt;Pharmacoepidemiology&lt;/Keywords&gt;&lt;Keywords&gt;statistics &amp;amp; numerical data&lt;/Keywords&gt;&lt;Keywords&gt;Sweden&lt;/Keywords&gt;&lt;Reprint&gt;Not in File&lt;/Reprint&gt;&lt;Start_Page&gt;427&lt;/Start_Page&gt;&lt;End_Page&gt;436&lt;/End_Page&gt;&lt;Periodical&gt;Pharmacoepidemiol.Drug Saf&lt;/Periodical&gt;&lt;Volume&gt;18&lt;/Volume&gt;&lt;Issue&gt;6&lt;/Issue&gt;&lt;Address&gt;WHO Collaborating Centre for International Drug Monitoring, Uppsala, Sweden. andrew.bate@who-umc.org&lt;/Address&gt;&lt;Web_URL&gt;PM:19358225&lt;/Web_URL&gt;&lt;ZZ_JournalStdAbbrev&gt;&lt;f name="System"&gt;Pharmacoepidemiol.Drug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[50]</w:t>
      </w:r>
      <w:r w:rsidR="002411CC" w:rsidRPr="00B977AE">
        <w:rPr>
          <w:rFonts w:ascii="Book Antiqua" w:hAnsi="Book Antiqua" w:cs="Arial"/>
          <w:sz w:val="24"/>
          <w:szCs w:val="20"/>
          <w:lang w:val="en-US"/>
        </w:rPr>
        <w:fldChar w:fldCharType="end"/>
      </w:r>
      <w:r w:rsidR="001C2CCB" w:rsidRPr="00B977AE">
        <w:rPr>
          <w:rFonts w:ascii="Book Antiqua" w:hAnsi="Book Antiqua" w:cs="Arial"/>
          <w:sz w:val="24"/>
          <w:szCs w:val="20"/>
          <w:lang w:val="en-US"/>
        </w:rPr>
        <w:t>), it should be</w:t>
      </w:r>
      <w:r w:rsidR="006270BD" w:rsidRPr="00B977AE">
        <w:rPr>
          <w:rFonts w:ascii="Book Antiqua" w:hAnsi="Book Antiqua" w:cs="Arial"/>
          <w:sz w:val="24"/>
          <w:szCs w:val="20"/>
          <w:lang w:val="en-US"/>
        </w:rPr>
        <w:t xml:space="preserve"> kept in mind that these analyses, </w:t>
      </w:r>
      <w:r w:rsidR="009B0B44" w:rsidRPr="00B977AE">
        <w:rPr>
          <w:rFonts w:ascii="Book Antiqua" w:hAnsi="Book Antiqua" w:cs="Arial"/>
          <w:sz w:val="24"/>
          <w:szCs w:val="20"/>
          <w:lang w:val="en-US"/>
        </w:rPr>
        <w:t xml:space="preserve">although formally </w:t>
      </w:r>
      <w:r w:rsidR="006270BD" w:rsidRPr="00B977AE">
        <w:rPr>
          <w:rFonts w:ascii="Book Antiqua" w:hAnsi="Book Antiqua" w:cs="Arial"/>
          <w:sz w:val="24"/>
          <w:szCs w:val="20"/>
          <w:lang w:val="en-US"/>
        </w:rPr>
        <w:t>quantitative,</w:t>
      </w:r>
      <w:r w:rsidR="001C2CCB" w:rsidRPr="00B977AE">
        <w:rPr>
          <w:rFonts w:ascii="Book Antiqua" w:hAnsi="Book Antiqua" w:cs="Arial"/>
          <w:sz w:val="24"/>
          <w:szCs w:val="20"/>
          <w:lang w:val="en-US"/>
        </w:rPr>
        <w:t xml:space="preserve"> </w:t>
      </w:r>
      <w:r w:rsidR="009B0B44" w:rsidRPr="00B977AE">
        <w:rPr>
          <w:rFonts w:ascii="Book Antiqua" w:hAnsi="Book Antiqua" w:cs="Arial"/>
          <w:sz w:val="24"/>
          <w:szCs w:val="20"/>
          <w:lang w:val="en-US"/>
        </w:rPr>
        <w:t xml:space="preserve">do not allow </w:t>
      </w:r>
      <w:r w:rsidR="006270BD" w:rsidRPr="00B977AE">
        <w:rPr>
          <w:rFonts w:ascii="Book Antiqua" w:hAnsi="Book Antiqua" w:cs="Arial"/>
          <w:sz w:val="24"/>
          <w:szCs w:val="20"/>
          <w:lang w:val="en-US"/>
        </w:rPr>
        <w:t>firm quantif</w:t>
      </w:r>
      <w:r w:rsidR="009B0B44" w:rsidRPr="00B977AE">
        <w:rPr>
          <w:rFonts w:ascii="Book Antiqua" w:hAnsi="Book Antiqua" w:cs="Arial"/>
          <w:sz w:val="24"/>
          <w:szCs w:val="20"/>
          <w:lang w:val="en-US"/>
        </w:rPr>
        <w:t>ication of</w:t>
      </w:r>
      <w:r w:rsidR="006270BD" w:rsidRPr="00B977AE">
        <w:rPr>
          <w:rFonts w:ascii="Book Antiqua" w:hAnsi="Book Antiqua" w:cs="Arial"/>
          <w:sz w:val="24"/>
          <w:szCs w:val="20"/>
          <w:lang w:val="en-US"/>
        </w:rPr>
        <w:t xml:space="preserve"> risk</w:t>
      </w:r>
      <w:r w:rsidR="00387837" w:rsidRPr="00B977AE">
        <w:rPr>
          <w:rFonts w:ascii="Book Antiqua" w:hAnsi="Book Antiqua" w:cs="Arial"/>
          <w:sz w:val="24"/>
          <w:szCs w:val="20"/>
          <w:lang w:val="en-US"/>
        </w:rPr>
        <w:t xml:space="preserve">, especially because the role of concomitant drugs as culprit agents in the occurrence of the event cannot be ruled out </w:t>
      </w:r>
      <w:r w:rsidR="00387837" w:rsidRPr="00B977AE">
        <w:rPr>
          <w:rFonts w:ascii="Book Antiqua" w:hAnsi="Book Antiqua" w:cs="Arial"/>
          <w:sz w:val="24"/>
          <w:szCs w:val="20"/>
          <w:lang w:val="en-US"/>
        </w:rPr>
        <w:lastRenderedPageBreak/>
        <w:t>with certainty</w:t>
      </w:r>
      <w:r w:rsidR="009B0B44" w:rsidRPr="00B977AE">
        <w:rPr>
          <w:rFonts w:ascii="Book Antiqua" w:hAnsi="Book Antiqua" w:cs="Arial"/>
          <w:sz w:val="24"/>
          <w:szCs w:val="20"/>
          <w:lang w:val="en-US"/>
        </w:rPr>
        <w:t xml:space="preserve">. However, </w:t>
      </w:r>
      <w:r w:rsidR="006270BD" w:rsidRPr="00B977AE">
        <w:rPr>
          <w:rFonts w:ascii="Book Antiqua" w:hAnsi="Book Antiqua" w:cs="Arial"/>
          <w:sz w:val="24"/>
          <w:szCs w:val="20"/>
          <w:lang w:val="en-US"/>
        </w:rPr>
        <w:t xml:space="preserve">they </w:t>
      </w:r>
      <w:r w:rsidR="009B0B44" w:rsidRPr="00B977AE">
        <w:rPr>
          <w:rFonts w:ascii="Book Antiqua" w:hAnsi="Book Antiqua" w:cs="Arial"/>
          <w:sz w:val="24"/>
          <w:szCs w:val="20"/>
          <w:lang w:val="en-US"/>
        </w:rPr>
        <w:t xml:space="preserve">allow early identification of </w:t>
      </w:r>
      <w:r w:rsidR="006270BD" w:rsidRPr="00B977AE">
        <w:rPr>
          <w:rFonts w:ascii="Book Antiqua" w:hAnsi="Book Antiqua" w:cs="Arial"/>
          <w:sz w:val="24"/>
          <w:szCs w:val="20"/>
          <w:lang w:val="en-US"/>
        </w:rPr>
        <w:t>a</w:t>
      </w:r>
      <w:r w:rsidR="009B0B44" w:rsidRPr="00B977AE">
        <w:rPr>
          <w:rFonts w:ascii="Book Antiqua" w:hAnsi="Book Antiqua" w:cs="Arial"/>
          <w:sz w:val="24"/>
          <w:szCs w:val="20"/>
          <w:lang w:val="en-US"/>
        </w:rPr>
        <w:t xml:space="preserve">lert </w:t>
      </w:r>
      <w:r w:rsidR="006270BD" w:rsidRPr="00B977AE">
        <w:rPr>
          <w:rFonts w:ascii="Book Antiqua" w:hAnsi="Book Antiqua" w:cs="Arial"/>
          <w:sz w:val="24"/>
          <w:szCs w:val="20"/>
          <w:lang w:val="en-US"/>
        </w:rPr>
        <w:t>signal</w:t>
      </w:r>
      <w:r w:rsidR="009B0B44" w:rsidRPr="00B977AE">
        <w:rPr>
          <w:rFonts w:ascii="Book Antiqua" w:hAnsi="Book Antiqua" w:cs="Arial"/>
          <w:sz w:val="24"/>
          <w:szCs w:val="20"/>
          <w:lang w:val="en-US"/>
        </w:rPr>
        <w:t>s</w:t>
      </w:r>
      <w:r w:rsidR="006270BD" w:rsidRPr="00B977AE">
        <w:rPr>
          <w:rFonts w:ascii="Book Antiqua" w:hAnsi="Book Antiqua" w:cs="Arial"/>
          <w:sz w:val="24"/>
          <w:szCs w:val="20"/>
          <w:lang w:val="en-US"/>
        </w:rPr>
        <w:t>, which require further confirmation through</w:t>
      </w:r>
      <w:r w:rsidR="009B0B44" w:rsidRPr="00B977AE">
        <w:rPr>
          <w:rFonts w:ascii="Book Antiqua" w:hAnsi="Book Antiqua" w:cs="Arial"/>
          <w:sz w:val="24"/>
          <w:szCs w:val="20"/>
          <w:lang w:val="en-US"/>
        </w:rPr>
        <w:t xml:space="preserve"> </w:t>
      </w:r>
      <w:proofErr w:type="spellStart"/>
      <w:r w:rsidR="009B0B44" w:rsidRPr="00B977AE">
        <w:rPr>
          <w:rFonts w:ascii="Book Antiqua" w:hAnsi="Book Antiqua" w:cs="Arial"/>
          <w:sz w:val="24"/>
          <w:szCs w:val="20"/>
          <w:lang w:val="en-US"/>
        </w:rPr>
        <w:t>pharmacoepidemiological</w:t>
      </w:r>
      <w:proofErr w:type="spellEnd"/>
      <w:r w:rsidR="009B0B44" w:rsidRPr="00B977AE">
        <w:rPr>
          <w:rFonts w:ascii="Book Antiqua" w:hAnsi="Book Antiqua" w:cs="Arial"/>
          <w:sz w:val="24"/>
          <w:szCs w:val="20"/>
          <w:lang w:val="en-US"/>
        </w:rPr>
        <w:t xml:space="preserve"> approaches. In our</w:t>
      </w:r>
      <w:r w:rsidR="006270BD" w:rsidRPr="00B977AE">
        <w:rPr>
          <w:rFonts w:ascii="Book Antiqua" w:hAnsi="Book Antiqua" w:cs="Arial"/>
          <w:sz w:val="24"/>
          <w:szCs w:val="20"/>
          <w:lang w:val="en-US"/>
        </w:rPr>
        <w:t xml:space="preserve"> case, the evaluation of “old” drugs may be useful to understand the reporting pattern over time and </w:t>
      </w:r>
      <w:r w:rsidR="009B0B44" w:rsidRPr="00B977AE">
        <w:rPr>
          <w:rFonts w:ascii="Book Antiqua" w:hAnsi="Book Antiqua" w:cs="Arial"/>
          <w:sz w:val="24"/>
          <w:szCs w:val="20"/>
          <w:lang w:val="en-US"/>
        </w:rPr>
        <w:t xml:space="preserve">contribute to the general picture of </w:t>
      </w:r>
      <w:r w:rsidR="006270BD" w:rsidRPr="00B977AE">
        <w:rPr>
          <w:rFonts w:ascii="Book Antiqua" w:hAnsi="Book Antiqua" w:cs="Arial"/>
          <w:sz w:val="24"/>
          <w:szCs w:val="20"/>
          <w:lang w:val="en-US"/>
        </w:rPr>
        <w:t>perceived risk in a consolidated clinical setting.</w:t>
      </w:r>
      <w:r w:rsidR="009B0B44" w:rsidRPr="00B977AE">
        <w:rPr>
          <w:rFonts w:ascii="Book Antiqua" w:hAnsi="Book Antiqua" w:cs="Arial"/>
          <w:sz w:val="24"/>
          <w:szCs w:val="20"/>
          <w:lang w:val="en-US"/>
        </w:rPr>
        <w:t xml:space="preserve"> In any case</w:t>
      </w:r>
      <w:r w:rsidR="006270BD" w:rsidRPr="00B977AE">
        <w:rPr>
          <w:rFonts w:ascii="Book Antiqua" w:hAnsi="Book Antiqua" w:cs="Arial"/>
          <w:sz w:val="24"/>
          <w:szCs w:val="20"/>
          <w:lang w:val="en-US"/>
        </w:rPr>
        <w:t xml:space="preserve">, it should be </w:t>
      </w:r>
      <w:r w:rsidR="001C2CCB" w:rsidRPr="00B977AE">
        <w:rPr>
          <w:rFonts w:ascii="Book Antiqua" w:hAnsi="Book Antiqua" w:cs="Arial"/>
          <w:sz w:val="24"/>
          <w:szCs w:val="20"/>
          <w:lang w:val="en-US"/>
        </w:rPr>
        <w:t>recognized that DILI cases cannot be fully validated</w:t>
      </w:r>
      <w:r w:rsidR="0045325D" w:rsidRPr="00B977AE">
        <w:rPr>
          <w:rFonts w:ascii="Book Antiqua" w:hAnsi="Book Antiqua" w:cs="Arial"/>
          <w:sz w:val="24"/>
          <w:szCs w:val="20"/>
          <w:lang w:val="en-US"/>
        </w:rPr>
        <w:t xml:space="preserve"> and precisely classified because laboratory values </w:t>
      </w:r>
      <w:r w:rsidR="0040780F" w:rsidRPr="00B977AE">
        <w:rPr>
          <w:rFonts w:ascii="Book Antiqua" w:hAnsi="Book Antiqua" w:cs="Arial"/>
          <w:sz w:val="24"/>
          <w:szCs w:val="20"/>
          <w:lang w:val="en-US"/>
        </w:rPr>
        <w:t xml:space="preserve">and liver biopsy </w:t>
      </w:r>
      <w:r w:rsidR="0045325D" w:rsidRPr="00B977AE">
        <w:rPr>
          <w:rFonts w:ascii="Book Antiqua" w:hAnsi="Book Antiqua" w:cs="Arial"/>
          <w:sz w:val="24"/>
          <w:szCs w:val="20"/>
          <w:lang w:val="en-US"/>
        </w:rPr>
        <w:t xml:space="preserve">are not available. </w:t>
      </w:r>
    </w:p>
    <w:p w:rsidR="00982FC1" w:rsidRPr="00B977AE" w:rsidRDefault="0045325D" w:rsidP="004D1284">
      <w:pPr>
        <w:autoSpaceDE w:val="0"/>
        <w:autoSpaceDN w:val="0"/>
        <w:adjustRightInd w:val="0"/>
        <w:spacing w:line="360" w:lineRule="auto"/>
        <w:ind w:firstLineChars="150" w:firstLine="360"/>
        <w:jc w:val="both"/>
        <w:rPr>
          <w:rFonts w:ascii="Book Antiqua" w:hAnsi="Book Antiqua" w:cs="Arial"/>
          <w:color w:val="FF0000"/>
          <w:sz w:val="24"/>
          <w:szCs w:val="20"/>
          <w:lang w:val="en-US"/>
        </w:rPr>
      </w:pPr>
      <w:r w:rsidRPr="00B977AE">
        <w:rPr>
          <w:rFonts w:ascii="Book Antiqua" w:hAnsi="Book Antiqua" w:cs="Arial"/>
          <w:sz w:val="24"/>
          <w:szCs w:val="20"/>
          <w:lang w:val="en-US"/>
        </w:rPr>
        <w:t xml:space="preserve">Nonetheless, </w:t>
      </w:r>
      <w:r w:rsidR="006F141D" w:rsidRPr="00B977AE">
        <w:rPr>
          <w:rFonts w:ascii="Book Antiqua" w:hAnsi="Book Antiqua" w:cs="Arial"/>
          <w:sz w:val="24"/>
          <w:szCs w:val="20"/>
          <w:lang w:val="en-US"/>
        </w:rPr>
        <w:t xml:space="preserve">our analysis has some </w:t>
      </w:r>
      <w:proofErr w:type="gramStart"/>
      <w:r w:rsidR="006F141D" w:rsidRPr="00B977AE">
        <w:rPr>
          <w:rFonts w:ascii="Book Antiqua" w:hAnsi="Book Antiqua" w:cs="Arial"/>
          <w:sz w:val="24"/>
          <w:szCs w:val="20"/>
          <w:lang w:val="en-US"/>
        </w:rPr>
        <w:t>strengths</w:t>
      </w:r>
      <w:proofErr w:type="gramEnd"/>
      <w:r w:rsidR="006F141D" w:rsidRPr="00B977AE">
        <w:rPr>
          <w:rFonts w:ascii="Book Antiqua" w:hAnsi="Book Antiqua" w:cs="Arial"/>
          <w:sz w:val="24"/>
          <w:szCs w:val="20"/>
          <w:lang w:val="en-US"/>
        </w:rPr>
        <w:t xml:space="preserve"> which can be summarized as follows. First, </w:t>
      </w:r>
      <w:r w:rsidRPr="00B977AE">
        <w:rPr>
          <w:rFonts w:ascii="Book Antiqua" w:hAnsi="Book Antiqua" w:cs="Arial"/>
          <w:sz w:val="24"/>
          <w:szCs w:val="20"/>
          <w:lang w:val="en-US"/>
        </w:rPr>
        <w:t xml:space="preserve">the </w:t>
      </w:r>
      <w:r w:rsidR="006F141D" w:rsidRPr="00B977AE">
        <w:rPr>
          <w:rFonts w:ascii="Book Antiqua" w:hAnsi="Book Antiqua" w:cs="Arial"/>
          <w:sz w:val="24"/>
          <w:szCs w:val="20"/>
          <w:lang w:val="en-US"/>
        </w:rPr>
        <w:t xml:space="preserve">validity of FAERS in early detection of DILI risk has been recently shown </w:t>
      </w:r>
      <w:r w:rsidR="00CE23B3" w:rsidRPr="00B977AE">
        <w:rPr>
          <w:rFonts w:ascii="Book Antiqua" w:hAnsi="Book Antiqua" w:cs="Arial"/>
          <w:sz w:val="24"/>
          <w:szCs w:val="20"/>
          <w:lang w:val="en-US"/>
        </w:rPr>
        <w:t>in</w:t>
      </w:r>
      <w:r w:rsidR="006F141D" w:rsidRPr="00B977AE">
        <w:rPr>
          <w:rFonts w:ascii="Book Antiqua" w:hAnsi="Book Antiqua" w:cs="Arial"/>
          <w:sz w:val="24"/>
          <w:szCs w:val="20"/>
          <w:lang w:val="en-US"/>
        </w:rPr>
        <w:t xml:space="preserve"> a study </w:t>
      </w:r>
      <w:r w:rsidRPr="00B977AE">
        <w:rPr>
          <w:rFonts w:ascii="Book Antiqua" w:hAnsi="Book Antiqua" w:cs="Arial"/>
          <w:sz w:val="24"/>
          <w:szCs w:val="20"/>
          <w:lang w:val="en-US"/>
        </w:rPr>
        <w:t>allow</w:t>
      </w:r>
      <w:r w:rsidR="006F141D" w:rsidRPr="00B977AE">
        <w:rPr>
          <w:rFonts w:ascii="Book Antiqua" w:hAnsi="Book Antiqua" w:cs="Arial"/>
          <w:sz w:val="24"/>
          <w:szCs w:val="20"/>
          <w:lang w:val="en-US"/>
        </w:rPr>
        <w:t>ing discrimination of</w:t>
      </w:r>
      <w:r w:rsidRPr="00B977AE">
        <w:rPr>
          <w:rFonts w:ascii="Book Antiqua" w:hAnsi="Book Antiqua" w:cs="Arial"/>
          <w:sz w:val="24"/>
          <w:szCs w:val="20"/>
          <w:lang w:val="en-US"/>
        </w:rPr>
        <w:t xml:space="preserve"> a broad range of hepatotoxic drugs with clinically significant serious DILI, including those with only clinically apparent risk (</w:t>
      </w:r>
      <w:r w:rsidR="0004797C" w:rsidRPr="0004797C">
        <w:rPr>
          <w:rFonts w:ascii="Book Antiqua" w:hAnsi="Book Antiqua" w:cs="Arial"/>
          <w:i/>
          <w:sz w:val="24"/>
          <w:szCs w:val="20"/>
          <w:lang w:val="en-US"/>
        </w:rPr>
        <w:t>e.g</w:t>
      </w:r>
      <w:r w:rsidRPr="00B977AE">
        <w:rPr>
          <w:rFonts w:ascii="Book Antiqua" w:hAnsi="Book Antiqua" w:cs="Arial"/>
          <w:sz w:val="24"/>
          <w:szCs w:val="20"/>
          <w:lang w:val="en-US"/>
        </w:rPr>
        <w:t>., amlodipine)</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&lt;Refman&gt;&lt;Cite&gt;&lt;Author&gt;Brinker&lt;/Author&gt;&lt;Year&gt;2013&lt;/Year&gt;&lt;RecNum&gt;11&lt;/RecNum&gt;&lt;IDText&gt;Profiling Cumulative Proportional Reporting Ratios of Drug-Induced Liver Injury in the FDA Adverse Event Reporting System (FAERS) Database&lt;/IDText&gt;&lt;MDL Ref_Type="Journal"&gt;&lt;Ref_Type&gt;Journal&lt;/Ref_Type&gt;&lt;Ref_ID&gt;11&lt;/Ref_ID&gt;&lt;Title_Primary&gt;Profiling Cumulative Proportional Reporting Ratios of Drug-Induced Liver Injury in the FDA Adverse Event Reporting System (FAERS) Database&lt;/Title_Primary&gt;&lt;Authors_Primary&gt;Brinker,A.D.&lt;/Authors_Primary&gt;&lt;Authors_Primary&gt;Lyndly,J.&lt;/Authors_Primary&gt;&lt;Authors_Primary&gt;Tonning,J.&lt;/Authors_Primary&gt;&lt;Authors_Primary&gt;Moeny,D.&lt;/Authors_Primary&gt;&lt;Authors_Primary&gt;Levine,J.G.&lt;/Authors_Primary&gt;&lt;Authors_Primary&gt;Avigan,M.I.&lt;/Authors_Primary&gt;&lt;Date_Primary&gt;2013/12&lt;/Date_Primary&gt;&lt;Keywords&gt;Drug-Induced Liver Injury&lt;/Keywords&gt;&lt;Keywords&gt;epidemiology&lt;/Keywords&gt;&lt;Keywords&gt;etiology&lt;/Keywords&gt;&lt;Keywords&gt;Liver&lt;/Keywords&gt;&lt;Reprint&gt;In File&lt;/Reprint&gt;&lt;Start_Page&gt;1169&lt;/Start_Page&gt;&lt;End_Page&gt;1178&lt;/End_Page&gt;&lt;Periodical&gt;Drug Saf&lt;/Periodical&gt;&lt;Volume&gt;36&lt;/Volume&gt;&lt;Issue&gt;12&lt;/Issue&gt;&lt;Address&gt;Office of Surveillance and Epidemiology, Center for Drug Evaluation and Research, Food and Drug Administration, 10903 New Hampshire Avenue, Silver Spring, MD, 20993, USA, allen.brinker@fda.hhs.gov&lt;/Address&gt;&lt;Web_URL&gt;PM:24178291&lt;/Web_URL&gt;&lt;ZZ_JournalStdAbbrev&gt;&lt;f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[42]</w:t>
      </w:r>
      <w:r w:rsidR="002411CC" w:rsidRPr="00B977AE">
        <w:rPr>
          <w:rFonts w:ascii="Book Antiqua" w:hAnsi="Book Antiqua" w:cs="Arial"/>
          <w:sz w:val="24"/>
          <w:szCs w:val="20"/>
          <w:lang w:val="en-US"/>
        </w:rPr>
        <w:fldChar w:fldCharType="end"/>
      </w:r>
      <w:r w:rsidRPr="00B977AE">
        <w:rPr>
          <w:rFonts w:ascii="Book Antiqua" w:hAnsi="Book Antiqua" w:cs="Arial"/>
          <w:sz w:val="24"/>
          <w:szCs w:val="20"/>
          <w:lang w:val="en-US"/>
        </w:rPr>
        <w:t>.</w:t>
      </w:r>
      <w:r w:rsidR="00D03B29" w:rsidRPr="00B977AE">
        <w:rPr>
          <w:rFonts w:ascii="Book Antiqua" w:hAnsi="Book Antiqua" w:cs="Arial"/>
          <w:sz w:val="24"/>
          <w:szCs w:val="20"/>
          <w:lang w:val="en-US"/>
        </w:rPr>
        <w:t xml:space="preserve"> In </w:t>
      </w:r>
      <w:r w:rsidR="006F141D" w:rsidRPr="00B977AE">
        <w:rPr>
          <w:rFonts w:ascii="Book Antiqua" w:hAnsi="Book Antiqua" w:cs="Arial"/>
          <w:sz w:val="24"/>
          <w:szCs w:val="20"/>
          <w:lang w:val="en-US"/>
        </w:rPr>
        <w:t>this context, our</w:t>
      </w:r>
      <w:r w:rsidR="00D03B29" w:rsidRPr="00B977AE">
        <w:rPr>
          <w:rFonts w:ascii="Book Antiqua" w:hAnsi="Book Antiqua" w:cs="Arial"/>
          <w:sz w:val="24"/>
          <w:szCs w:val="20"/>
          <w:lang w:val="en-US"/>
        </w:rPr>
        <w:t xml:space="preserve"> top-10 ranking </w:t>
      </w:r>
      <w:r w:rsidR="006F141D" w:rsidRPr="00B977AE">
        <w:rPr>
          <w:rFonts w:ascii="Book Antiqua" w:hAnsi="Book Antiqua" w:cs="Arial"/>
          <w:sz w:val="24"/>
          <w:szCs w:val="20"/>
          <w:lang w:val="en-US"/>
        </w:rPr>
        <w:t>drugs have</w:t>
      </w:r>
      <w:r w:rsidR="00D03B29" w:rsidRPr="00B977AE">
        <w:rPr>
          <w:rFonts w:ascii="Book Antiqua" w:hAnsi="Book Antiqua" w:cs="Arial"/>
          <w:sz w:val="24"/>
          <w:szCs w:val="20"/>
          <w:lang w:val="en-US"/>
        </w:rPr>
        <w:t xml:space="preserve"> already know</w:t>
      </w:r>
      <w:r w:rsidR="0098780E" w:rsidRPr="00B977AE">
        <w:rPr>
          <w:rFonts w:ascii="Book Antiqua" w:hAnsi="Book Antiqua" w:cs="Arial"/>
          <w:sz w:val="24"/>
          <w:szCs w:val="20"/>
          <w:lang w:val="en-US"/>
        </w:rPr>
        <w:t>n</w:t>
      </w:r>
      <w:r w:rsidR="00D03B29" w:rsidRPr="00B977AE">
        <w:rPr>
          <w:rFonts w:ascii="Book Antiqua" w:hAnsi="Book Antiqua" w:cs="Arial"/>
          <w:sz w:val="24"/>
          <w:szCs w:val="20"/>
          <w:lang w:val="en-US"/>
        </w:rPr>
        <w:t xml:space="preserve"> hepatotoxic risk (</w:t>
      </w:r>
      <w:r w:rsidR="0004797C" w:rsidRPr="0004797C">
        <w:rPr>
          <w:rFonts w:ascii="Book Antiqua" w:hAnsi="Book Antiqua" w:cs="Arial"/>
          <w:i/>
          <w:sz w:val="24"/>
          <w:szCs w:val="20"/>
          <w:lang w:val="en-US"/>
        </w:rPr>
        <w:t>e.g</w:t>
      </w:r>
      <w:r w:rsidR="00D03B29" w:rsidRPr="00B977AE">
        <w:rPr>
          <w:rFonts w:ascii="Book Antiqua" w:hAnsi="Book Antiqua" w:cs="Arial"/>
          <w:sz w:val="24"/>
          <w:szCs w:val="20"/>
          <w:lang w:val="en-US"/>
        </w:rPr>
        <w:t xml:space="preserve">., </w:t>
      </w:r>
      <w:proofErr w:type="spellStart"/>
      <w:r w:rsidR="00D03B29" w:rsidRPr="00B977AE">
        <w:rPr>
          <w:rFonts w:ascii="Book Antiqua" w:hAnsi="Book Antiqua" w:cs="Arial"/>
          <w:sz w:val="24"/>
          <w:szCs w:val="20"/>
          <w:lang w:val="en-US"/>
        </w:rPr>
        <w:t>paracetamol</w:t>
      </w:r>
      <w:proofErr w:type="spellEnd"/>
      <w:r w:rsidR="00D03B29" w:rsidRPr="00B977AE">
        <w:rPr>
          <w:rFonts w:ascii="Book Antiqua" w:hAnsi="Book Antiqua" w:cs="Arial"/>
          <w:sz w:val="24"/>
          <w:szCs w:val="20"/>
          <w:lang w:val="en-US"/>
        </w:rPr>
        <w:t xml:space="preserve">), a finding in line with similar </w:t>
      </w:r>
      <w:proofErr w:type="spellStart"/>
      <w:r w:rsidR="00D03B29" w:rsidRPr="00B977AE">
        <w:rPr>
          <w:rFonts w:ascii="Book Antiqua" w:hAnsi="Book Antiqua" w:cs="Arial"/>
          <w:sz w:val="24"/>
          <w:szCs w:val="20"/>
          <w:lang w:val="en-US"/>
        </w:rPr>
        <w:t>pharmacovigilance</w:t>
      </w:r>
      <w:proofErr w:type="spellEnd"/>
      <w:r w:rsidR="00D03B29" w:rsidRPr="00B977AE">
        <w:rPr>
          <w:rFonts w:ascii="Book Antiqua" w:hAnsi="Book Antiqua" w:cs="Arial"/>
          <w:sz w:val="24"/>
          <w:szCs w:val="20"/>
          <w:lang w:val="en-US"/>
        </w:rPr>
        <w:t xml:space="preserve"> study </w:t>
      </w:r>
      <w:r w:rsidR="000E4479" w:rsidRPr="00B977AE">
        <w:rPr>
          <w:rFonts w:ascii="Book Antiqua" w:hAnsi="Book Antiqua" w:cs="Arial"/>
          <w:sz w:val="24"/>
          <w:szCs w:val="20"/>
          <w:lang w:val="en-US"/>
        </w:rPr>
        <w:t xml:space="preserve">recently </w:t>
      </w:r>
      <w:r w:rsidR="00F44E5D" w:rsidRPr="00B977AE">
        <w:rPr>
          <w:rFonts w:ascii="Book Antiqua" w:hAnsi="Book Antiqua" w:cs="Arial"/>
          <w:sz w:val="24"/>
          <w:szCs w:val="20"/>
          <w:lang w:val="en-US"/>
        </w:rPr>
        <w:t xml:space="preserve">performed on </w:t>
      </w:r>
      <w:proofErr w:type="spellStart"/>
      <w:r w:rsidR="00F44E5D" w:rsidRPr="00B977AE">
        <w:rPr>
          <w:rFonts w:ascii="Book Antiqua" w:hAnsi="Book Antiqua" w:cs="Arial"/>
          <w:sz w:val="24"/>
          <w:szCs w:val="20"/>
          <w:lang w:val="en-US"/>
        </w:rPr>
        <w:t>Vigibase</w:t>
      </w:r>
      <w:proofErr w:type="spellEnd"/>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&lt;Refman&gt;&lt;Cite&gt;&lt;Author&gt;Suzuki&lt;/Author&gt;&lt;Year&gt;2010&lt;/Year&gt;&lt;RecNum&gt;13&lt;/RecNum&gt;&lt;IDText&gt;Drugs associated with hepatotoxicity and their reporting frequency of liver adverse events in VigiBase: unified list based on international collaborative work&lt;/IDText&gt;&lt;MDL Ref_Type="Journal"&gt;&lt;Ref_Type&gt;Journal&lt;/Ref_Type&gt;&lt;Ref_ID&gt;13&lt;/Ref_ID&gt;&lt;Title_Primary&gt;Drugs associated with hepatotoxicity and their reporting frequency of liver adverse events in VigiBase: unified list based on international collaborative work&lt;/Title_Primary&gt;&lt;Authors_Primary&gt;Suzuki,A.&lt;/Authors_Primary&gt;&lt;Authors_Primary&gt;Andrade,R.J.&lt;/Authors_Primary&gt;&lt;Authors_Primary&gt;Bjornsson,E.&lt;/Authors_Primary&gt;&lt;Authors_Primary&gt;Lucena,M.I.&lt;/Authors_Primary&gt;&lt;Authors_Primary&gt;Lee,W.M.&lt;/Authors_Primary&gt;&lt;Authors_Primary&gt;Yuen,N.A.&lt;/Authors_Primary&gt;&lt;Authors_Primary&gt;Hunt,C.M.&lt;/Authors_Primary&gt;&lt;Authors_Primary&gt;Freston,J.W.&lt;/Authors_Primary&gt;&lt;Date_Primary&gt;2010/6/1&lt;/Date_Primary&gt;&lt;Keywords&gt;Adverse Drug Reaction Reporting Systems&lt;/Keywords&gt;&lt;Keywords&gt;adverse effects&lt;/Keywords&gt;&lt;Keywords&gt;diagnosis&lt;/Keywords&gt;&lt;Keywords&gt;Drug and Narcotic Control&lt;/Keywords&gt;&lt;Keywords&gt;Drug-Induced Liver Injury&lt;/Keywords&gt;&lt;Keywords&gt;epidemiology&lt;/Keywords&gt;&lt;Keywords&gt;etiology&lt;/Keywords&gt;&lt;Keywords&gt;Europe&lt;/Keywords&gt;&lt;Keywords&gt;Humans&lt;/Keywords&gt;&lt;Keywords&gt;International Cooperation&lt;/Keywords&gt;&lt;Keywords&gt;Liver&lt;/Keywords&gt;&lt;Keywords&gt;Liver Failure&lt;/Keywords&gt;&lt;Keywords&gt;Prescription Drugs&lt;/Keywords&gt;&lt;Keywords&gt;Registries&lt;/Keywords&gt;&lt;Keywords&gt;Safety-Based Drug Withdrawals&lt;/Keywords&gt;&lt;Keywords&gt;statistics &amp;amp; numerical data&lt;/Keywords&gt;&lt;Keywords&gt;Sweden&lt;/Keywords&gt;&lt;Keywords&gt;United States&lt;/Keywords&gt;&lt;Keywords&gt;World Health Organization&lt;/Keywords&gt;&lt;Reprint&gt;In File&lt;/Reprint&gt;&lt;Start_Page&gt;503&lt;/Start_Page&gt;&lt;End_Page&gt;522&lt;/End_Page&gt;&lt;Periodical&gt;Drug Saf&lt;/Periodical&gt;&lt;Volume&gt;33&lt;/Volume&gt;&lt;Issue&gt;6&lt;/Issue&gt;&lt;Address&gt;Division of Gastroenterology, Duke University, Durham, North Carolina 27710, USA. suzuk004@mc.duke.edu&lt;/Address&gt;&lt;Web_URL&gt;PM:20486732&lt;/Web_URL&gt;&lt;ZZ_JournalStdAbbrev&gt;&lt;f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6416CF" w:rsidRPr="00B977AE">
        <w:rPr>
          <w:rFonts w:ascii="Book Antiqua" w:hAnsi="Book Antiqua" w:cs="Arial"/>
          <w:sz w:val="24"/>
          <w:szCs w:val="20"/>
          <w:vertAlign w:val="superscript"/>
          <w:lang w:val="en-US"/>
        </w:rPr>
        <w:t>[44]</w:t>
      </w:r>
      <w:r w:rsidR="002411CC" w:rsidRPr="00B977AE">
        <w:rPr>
          <w:rFonts w:ascii="Book Antiqua" w:hAnsi="Book Antiqua" w:cs="Arial"/>
          <w:sz w:val="24"/>
          <w:szCs w:val="20"/>
          <w:lang w:val="en-US"/>
        </w:rPr>
        <w:fldChar w:fldCharType="end"/>
      </w:r>
      <w:r w:rsidR="006F141D" w:rsidRPr="00B977AE">
        <w:rPr>
          <w:rFonts w:ascii="Book Antiqua" w:hAnsi="Book Antiqua" w:cs="Arial"/>
          <w:sz w:val="24"/>
          <w:szCs w:val="20"/>
          <w:lang w:val="en-US"/>
        </w:rPr>
        <w:t>, and can be considered our positive controls</w:t>
      </w:r>
      <w:r w:rsidR="00D03B29" w:rsidRPr="00B977AE">
        <w:rPr>
          <w:rFonts w:ascii="Book Antiqua" w:hAnsi="Book Antiqua" w:cs="Arial"/>
          <w:sz w:val="24"/>
          <w:szCs w:val="20"/>
          <w:lang w:val="en-US"/>
        </w:rPr>
        <w:t>.</w:t>
      </w:r>
      <w:r w:rsidR="00661813" w:rsidRPr="00B977AE">
        <w:rPr>
          <w:rFonts w:ascii="Book Antiqua" w:hAnsi="Book Antiqua" w:cs="Arial"/>
          <w:sz w:val="24"/>
          <w:szCs w:val="20"/>
          <w:lang w:val="en-US"/>
        </w:rPr>
        <w:t xml:space="preserve"> </w:t>
      </w:r>
      <w:r w:rsidR="006F141D" w:rsidRPr="00B977AE">
        <w:rPr>
          <w:rFonts w:ascii="Book Antiqua" w:hAnsi="Book Antiqua" w:cs="Arial"/>
          <w:sz w:val="24"/>
          <w:szCs w:val="20"/>
          <w:lang w:val="en-US"/>
        </w:rPr>
        <w:t>Second, it should be noticed that</w:t>
      </w:r>
      <w:r w:rsidR="00FF2E48" w:rsidRPr="00B977AE">
        <w:rPr>
          <w:rFonts w:ascii="Book Antiqua" w:hAnsi="Book Antiqua" w:cs="Arial"/>
          <w:sz w:val="24"/>
          <w:szCs w:val="20"/>
          <w:lang w:val="en-US"/>
        </w:rPr>
        <w:t>: (</w:t>
      </w:r>
      <w:r w:rsidR="0098195B" w:rsidRPr="00B977AE">
        <w:rPr>
          <w:rFonts w:ascii="Book Antiqua" w:hAnsi="Book Antiqua" w:cs="Arial"/>
          <w:sz w:val="24"/>
          <w:szCs w:val="20"/>
          <w:lang w:val="en-US" w:eastAsia="zh-CN"/>
        </w:rPr>
        <w:t>1</w:t>
      </w:r>
      <w:r w:rsidR="00FF2E48" w:rsidRPr="00B977AE">
        <w:rPr>
          <w:rFonts w:ascii="Book Antiqua" w:hAnsi="Book Antiqua" w:cs="Arial"/>
          <w:sz w:val="24"/>
          <w:szCs w:val="20"/>
          <w:lang w:val="en-US"/>
        </w:rPr>
        <w:t xml:space="preserve">) </w:t>
      </w:r>
      <w:proofErr w:type="spellStart"/>
      <w:r w:rsidR="00661813" w:rsidRPr="00B977AE">
        <w:rPr>
          <w:rFonts w:ascii="Book Antiqua" w:hAnsi="Book Antiqua" w:cs="Arial"/>
          <w:sz w:val="24"/>
          <w:szCs w:val="20"/>
          <w:lang w:val="en-US"/>
        </w:rPr>
        <w:t>sorafenib</w:t>
      </w:r>
      <w:proofErr w:type="spellEnd"/>
      <w:r w:rsidR="00661813" w:rsidRPr="00B977AE">
        <w:rPr>
          <w:rFonts w:ascii="Book Antiqua" w:hAnsi="Book Antiqua" w:cs="Arial"/>
          <w:sz w:val="24"/>
          <w:szCs w:val="20"/>
          <w:lang w:val="en-US"/>
        </w:rPr>
        <w:t xml:space="preserve"> (</w:t>
      </w:r>
      <w:r w:rsidR="00D27B05" w:rsidRPr="00B977AE">
        <w:rPr>
          <w:rFonts w:ascii="Book Antiqua" w:hAnsi="Book Antiqua" w:cs="Arial"/>
          <w:sz w:val="24"/>
          <w:szCs w:val="20"/>
          <w:lang w:val="en-US"/>
        </w:rPr>
        <w:t xml:space="preserve">a novel tyrosine kinase inhibitor for which liver toxicity is under scrutiny and requires diligent surveillance </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&lt;Refman&gt;&lt;Cite&gt;&lt;Author&gt;Shah&lt;/Author&gt;&lt;Year&gt;2013&lt;/Year&gt;&lt;RecNum&gt;64&lt;/RecNum&gt;&lt;IDText&gt;Hepatotoxicity of tyrosine kinase inhibitors: clinical and regulatory perspectives&lt;/IDText&gt;&lt;MDL Ref_Type="Journal"&gt;&lt;Ref_Type&gt;Journal&lt;/Ref_Type&gt;&lt;Ref_ID&gt;64&lt;/Ref_ID&gt;&lt;Title_Primary&gt;Hepatotoxicity of tyrosine kinase inhibitors: clinical and regulatory perspectives&lt;/Title_Primary&gt;&lt;Authors_Primary&gt;Shah,R.R.&lt;/Authors_Primary&gt;&lt;Authors_Primary&gt;Morganroth,J.&lt;/Authors_Primary&gt;&lt;Authors_Primary&gt;Shah,D.R.&lt;/Authors_Primary&gt;&lt;Date_Primary&gt;2013/7&lt;/Date_Primary&gt;&lt;Keywords&gt;diagnosis&lt;/Keywords&gt;&lt;Keywords&gt;Drug Interactions&lt;/Keywords&gt;&lt;Keywords&gt;Liver&lt;/Keywords&gt;&lt;Keywords&gt;Risk&lt;/Keywords&gt;&lt;Keywords&gt;therapy&lt;/Keywords&gt;&lt;Reprint&gt;Not in File&lt;/Reprint&gt;&lt;Start_Page&gt;491&lt;/Start_Page&gt;&lt;End_Page&gt;503&lt;/End_Page&gt;&lt;Periodical&gt;Drug Saf&lt;/Periodical&gt;&lt;Volume&gt;36&lt;/Volume&gt;&lt;Issue&gt;7&lt;/Issue&gt;&lt;Address&gt;Rashmi Shah Consultancy Ltd, 8 Birchdale, Gerrards Cross, Buckinghamshire, SL9 7JA, UK. clinical.safety@hotmail.co.uk&lt;/Address&gt;&lt;Web_URL&gt;PM:23620168&lt;/Web_URL&gt;&lt;ZZ_JournalStdAbbrev&gt;&lt;f name="System"&gt;Drug Saf&lt;/f&gt;&lt;/ZZ_JournalStdAbbrev&gt;&lt;ZZ_WorkformID&gt;1&lt;/ZZ_WorkformID&gt;&lt;/MDL&gt;&lt;/Cite&gt;&lt;/Refman&gt;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[51]</w:t>
      </w:r>
      <w:r w:rsidR="002411CC" w:rsidRPr="00B977AE">
        <w:rPr>
          <w:rFonts w:ascii="Book Antiqua" w:hAnsi="Book Antiqua" w:cs="Arial"/>
          <w:sz w:val="24"/>
          <w:szCs w:val="20"/>
          <w:lang w:val="en-US"/>
        </w:rPr>
        <w:fldChar w:fldCharType="end"/>
      </w:r>
      <w:r w:rsidR="00D27B05" w:rsidRPr="00B977AE">
        <w:rPr>
          <w:rFonts w:ascii="Book Antiqua" w:hAnsi="Book Antiqua" w:cs="Arial"/>
          <w:sz w:val="24"/>
          <w:szCs w:val="20"/>
          <w:lang w:val="en-US"/>
        </w:rPr>
        <w:t xml:space="preserve">) is ranked </w:t>
      </w:r>
      <w:r w:rsidR="003D48E2" w:rsidRPr="00B977AE">
        <w:rPr>
          <w:rFonts w:ascii="Book Antiqua" w:hAnsi="Book Antiqua" w:cs="Arial"/>
          <w:sz w:val="24"/>
          <w:szCs w:val="20"/>
          <w:lang w:val="en-US"/>
        </w:rPr>
        <w:t>second</w:t>
      </w:r>
      <w:r w:rsidR="00D27B05" w:rsidRPr="00B977AE">
        <w:rPr>
          <w:rFonts w:ascii="Book Antiqua" w:hAnsi="Book Antiqua" w:cs="Arial"/>
          <w:sz w:val="24"/>
          <w:szCs w:val="20"/>
          <w:lang w:val="en-US"/>
        </w:rPr>
        <w:t xml:space="preserve"> in terms of ALF</w:t>
      </w:r>
      <w:r w:rsidR="003D48E2" w:rsidRPr="00B977AE">
        <w:rPr>
          <w:rFonts w:ascii="Book Antiqua" w:hAnsi="Book Antiqua" w:cs="Arial"/>
          <w:sz w:val="24"/>
          <w:szCs w:val="20"/>
          <w:lang w:val="en-US"/>
        </w:rPr>
        <w:t xml:space="preserve"> (after </w:t>
      </w:r>
      <w:proofErr w:type="spellStart"/>
      <w:r w:rsidR="003D48E2" w:rsidRPr="00B977AE">
        <w:rPr>
          <w:rFonts w:ascii="Book Antiqua" w:hAnsi="Book Antiqua" w:cs="Arial"/>
          <w:sz w:val="24"/>
          <w:szCs w:val="20"/>
          <w:lang w:val="en-US"/>
        </w:rPr>
        <w:t>paracetamol</w:t>
      </w:r>
      <w:proofErr w:type="spellEnd"/>
      <w:r w:rsidR="003D48E2" w:rsidRPr="00B977AE">
        <w:rPr>
          <w:rFonts w:ascii="Book Antiqua" w:hAnsi="Book Antiqua" w:cs="Arial"/>
          <w:sz w:val="24"/>
          <w:szCs w:val="20"/>
          <w:lang w:val="en-US"/>
        </w:rPr>
        <w:t>)</w:t>
      </w:r>
      <w:r w:rsidR="0098195B" w:rsidRPr="00B977AE">
        <w:rPr>
          <w:rFonts w:ascii="Book Antiqua" w:hAnsi="Book Antiqua" w:cs="Arial"/>
          <w:sz w:val="24"/>
          <w:szCs w:val="20"/>
          <w:lang w:val="en-US" w:eastAsia="zh-CN"/>
        </w:rPr>
        <w:t>;</w:t>
      </w:r>
      <w:r w:rsidR="00661813" w:rsidRPr="00B977AE">
        <w:rPr>
          <w:rFonts w:ascii="Book Antiqua" w:hAnsi="Book Antiqua" w:cs="Arial"/>
          <w:sz w:val="24"/>
          <w:szCs w:val="20"/>
          <w:lang w:val="en-US"/>
        </w:rPr>
        <w:t xml:space="preserve"> </w:t>
      </w:r>
      <w:r w:rsidR="00FF2E48" w:rsidRPr="00B977AE">
        <w:rPr>
          <w:rFonts w:ascii="Book Antiqua" w:hAnsi="Book Antiqua" w:cs="Arial"/>
          <w:sz w:val="24"/>
          <w:szCs w:val="20"/>
          <w:lang w:val="en-US"/>
        </w:rPr>
        <w:t>and (</w:t>
      </w:r>
      <w:r w:rsidR="0098195B" w:rsidRPr="00B977AE">
        <w:rPr>
          <w:rFonts w:ascii="Book Antiqua" w:hAnsi="Book Antiqua" w:cs="Arial"/>
          <w:sz w:val="24"/>
          <w:szCs w:val="20"/>
          <w:lang w:val="en-US" w:eastAsia="zh-CN"/>
        </w:rPr>
        <w:t>2</w:t>
      </w:r>
      <w:r w:rsidR="00FF2E48" w:rsidRPr="00B977AE">
        <w:rPr>
          <w:rFonts w:ascii="Book Antiqua" w:hAnsi="Book Antiqua" w:cs="Arial"/>
          <w:sz w:val="24"/>
          <w:szCs w:val="20"/>
          <w:lang w:val="en-US"/>
        </w:rPr>
        <w:t xml:space="preserve">) </w:t>
      </w:r>
      <w:r w:rsidR="00F275A3" w:rsidRPr="00B977AE">
        <w:rPr>
          <w:rFonts w:ascii="Book Antiqua" w:hAnsi="Book Antiqua" w:cs="Arial"/>
          <w:sz w:val="24"/>
          <w:szCs w:val="20"/>
          <w:lang w:val="en-US"/>
        </w:rPr>
        <w:t xml:space="preserve">in our analysis, </w:t>
      </w:r>
      <w:proofErr w:type="spellStart"/>
      <w:r w:rsidR="00FF2E48" w:rsidRPr="00B977AE">
        <w:rPr>
          <w:rFonts w:ascii="Book Antiqua" w:hAnsi="Book Antiqua" w:cs="Arial"/>
          <w:sz w:val="24"/>
          <w:szCs w:val="20"/>
          <w:lang w:val="en-US"/>
        </w:rPr>
        <w:t>vori</w:t>
      </w:r>
      <w:r w:rsidR="00F275A3" w:rsidRPr="00B977AE">
        <w:rPr>
          <w:rFonts w:ascii="Book Antiqua" w:hAnsi="Book Antiqua" w:cs="Arial"/>
          <w:sz w:val="24"/>
          <w:szCs w:val="20"/>
          <w:lang w:val="en-US"/>
        </w:rPr>
        <w:t>conazole</w:t>
      </w:r>
      <w:proofErr w:type="spellEnd"/>
      <w:r w:rsidR="00F275A3" w:rsidRPr="00B977AE">
        <w:rPr>
          <w:rFonts w:ascii="Book Antiqua" w:hAnsi="Book Antiqua" w:cs="Arial"/>
          <w:sz w:val="24"/>
          <w:szCs w:val="20"/>
          <w:lang w:val="en-US"/>
        </w:rPr>
        <w:t xml:space="preserve"> and </w:t>
      </w:r>
      <w:proofErr w:type="spellStart"/>
      <w:r w:rsidR="00F275A3" w:rsidRPr="00B977AE">
        <w:rPr>
          <w:rFonts w:ascii="Book Antiqua" w:hAnsi="Book Antiqua" w:cs="Arial"/>
          <w:sz w:val="24"/>
          <w:szCs w:val="20"/>
          <w:lang w:val="en-US"/>
        </w:rPr>
        <w:t>posaconazole</w:t>
      </w:r>
      <w:proofErr w:type="spellEnd"/>
      <w:r w:rsidR="00FF2E48" w:rsidRPr="00B977AE">
        <w:rPr>
          <w:rFonts w:ascii="Book Antiqua" w:hAnsi="Book Antiqua" w:cs="Arial"/>
          <w:sz w:val="24"/>
          <w:szCs w:val="20"/>
          <w:lang w:val="en-US"/>
        </w:rPr>
        <w:t xml:space="preserve"> are associated with significant disproportion already in their first year of marketing life (Figure </w:t>
      </w:r>
      <w:r w:rsidR="00B46928" w:rsidRPr="00B977AE">
        <w:rPr>
          <w:rFonts w:ascii="Book Antiqua" w:hAnsi="Book Antiqua" w:cs="Arial"/>
          <w:sz w:val="24"/>
          <w:szCs w:val="20"/>
          <w:lang w:val="en-US"/>
        </w:rPr>
        <w:t>2</w:t>
      </w:r>
      <w:r w:rsidR="00FF2E48" w:rsidRPr="00B977AE">
        <w:rPr>
          <w:rFonts w:ascii="Book Antiqua" w:hAnsi="Book Antiqua" w:cs="Arial"/>
          <w:sz w:val="24"/>
          <w:szCs w:val="20"/>
          <w:lang w:val="en-US"/>
        </w:rPr>
        <w:t>)</w:t>
      </w:r>
      <w:r w:rsidR="00661813" w:rsidRPr="00B977AE">
        <w:rPr>
          <w:rFonts w:ascii="Book Antiqua" w:hAnsi="Book Antiqua" w:cs="Arial"/>
          <w:sz w:val="24"/>
          <w:szCs w:val="20"/>
          <w:lang w:val="en-US"/>
        </w:rPr>
        <w:t>.</w:t>
      </w:r>
      <w:r w:rsidR="0002486F" w:rsidRPr="00B977AE">
        <w:rPr>
          <w:rFonts w:ascii="Book Antiqua" w:hAnsi="Book Antiqua"/>
          <w:lang w:val="en-US"/>
        </w:rPr>
        <w:t xml:space="preserve"> </w:t>
      </w:r>
      <w:r w:rsidR="0002486F" w:rsidRPr="00B977AE">
        <w:rPr>
          <w:rFonts w:ascii="Book Antiqua" w:hAnsi="Book Antiqua" w:cs="Arial"/>
          <w:sz w:val="24"/>
          <w:szCs w:val="20"/>
          <w:lang w:val="en-US"/>
        </w:rPr>
        <w:t xml:space="preserve">Although the indication for </w:t>
      </w:r>
      <w:proofErr w:type="spellStart"/>
      <w:r w:rsidR="000833EC" w:rsidRPr="00B977AE">
        <w:rPr>
          <w:rFonts w:ascii="Book Antiqua" w:hAnsi="Book Antiqua" w:cs="Arial"/>
          <w:sz w:val="24"/>
          <w:szCs w:val="20"/>
          <w:lang w:val="en-US"/>
        </w:rPr>
        <w:t>unresec</w:t>
      </w:r>
      <w:r w:rsidR="009A624B" w:rsidRPr="00B977AE">
        <w:rPr>
          <w:rFonts w:ascii="Book Antiqua" w:hAnsi="Book Antiqua" w:cs="Arial"/>
          <w:sz w:val="24"/>
          <w:szCs w:val="20"/>
          <w:lang w:val="en-US"/>
        </w:rPr>
        <w:t>t</w:t>
      </w:r>
      <w:r w:rsidR="000833EC" w:rsidRPr="00B977AE">
        <w:rPr>
          <w:rFonts w:ascii="Book Antiqua" w:hAnsi="Book Antiqua" w:cs="Arial"/>
          <w:sz w:val="24"/>
          <w:szCs w:val="20"/>
          <w:lang w:val="en-US"/>
        </w:rPr>
        <w:t>able</w:t>
      </w:r>
      <w:proofErr w:type="spellEnd"/>
      <w:r w:rsidR="000833EC" w:rsidRPr="00B977AE">
        <w:rPr>
          <w:rFonts w:ascii="Book Antiqua" w:hAnsi="Book Antiqua" w:cs="Arial"/>
          <w:sz w:val="24"/>
          <w:szCs w:val="20"/>
          <w:lang w:val="en-US"/>
        </w:rPr>
        <w:t xml:space="preserve"> </w:t>
      </w:r>
      <w:r w:rsidR="0002486F" w:rsidRPr="00B977AE">
        <w:rPr>
          <w:rFonts w:ascii="Book Antiqua" w:hAnsi="Book Antiqua" w:cs="Arial"/>
          <w:sz w:val="24"/>
          <w:szCs w:val="20"/>
          <w:lang w:val="en-US"/>
        </w:rPr>
        <w:t>hepatocellular carcinoma complicates the causality assessment</w:t>
      </w:r>
      <w:r w:rsidR="00D24A4B" w:rsidRPr="00B977AE">
        <w:rPr>
          <w:rFonts w:ascii="Book Antiqua" w:hAnsi="Book Antiqua" w:cs="Arial"/>
          <w:sz w:val="24"/>
          <w:szCs w:val="20"/>
          <w:lang w:val="en-US"/>
        </w:rPr>
        <w:t xml:space="preserve"> for </w:t>
      </w:r>
      <w:proofErr w:type="spellStart"/>
      <w:r w:rsidR="00D24A4B" w:rsidRPr="00B977AE">
        <w:rPr>
          <w:rFonts w:ascii="Book Antiqua" w:hAnsi="Book Antiqua" w:cs="Arial"/>
          <w:sz w:val="24"/>
          <w:szCs w:val="20"/>
          <w:lang w:val="en-US"/>
        </w:rPr>
        <w:t>sorafenib</w:t>
      </w:r>
      <w:proofErr w:type="spellEnd"/>
      <w:r w:rsidR="0002486F" w:rsidRPr="00B977AE">
        <w:rPr>
          <w:rFonts w:ascii="Book Antiqua" w:hAnsi="Book Antiqua" w:cs="Arial"/>
          <w:sz w:val="24"/>
          <w:szCs w:val="20"/>
          <w:lang w:val="en-US"/>
        </w:rPr>
        <w:t>, EMA</w:t>
      </w:r>
      <w:r w:rsidR="00D24A4B" w:rsidRPr="00B977AE">
        <w:rPr>
          <w:rFonts w:ascii="Book Antiqua" w:hAnsi="Book Antiqua" w:cs="Arial"/>
          <w:sz w:val="24"/>
          <w:szCs w:val="20"/>
          <w:lang w:val="en-US"/>
        </w:rPr>
        <w:t xml:space="preserve"> and FDA</w:t>
      </w:r>
      <w:r w:rsidR="0002486F" w:rsidRPr="00B977AE">
        <w:rPr>
          <w:rFonts w:ascii="Book Antiqua" w:hAnsi="Book Antiqua" w:cs="Arial"/>
          <w:sz w:val="24"/>
          <w:szCs w:val="20"/>
          <w:lang w:val="en-US"/>
        </w:rPr>
        <w:t xml:space="preserve"> amended the prescribing information to add the hepatotoxic potential </w:t>
      </w:r>
      <w:r w:rsidR="00D24A4B" w:rsidRPr="00B977AE">
        <w:rPr>
          <w:rFonts w:ascii="Book Antiqua" w:hAnsi="Book Antiqua" w:cs="Arial"/>
          <w:sz w:val="24"/>
          <w:szCs w:val="20"/>
          <w:lang w:val="en-US"/>
        </w:rPr>
        <w:t>in the label (2010 and 2012, respectively)</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&lt;Refman&gt;&lt;Cite&gt;&lt;Year&gt;2010&lt;/Year&gt;&lt;RecNum&gt;75&lt;/RecNum&gt;&lt;IDText&gt;NEVAXAR. EMA: procedural steps taken and scientific information after the authorisation&lt;/IDText&gt;&lt;MDL Ref_Type="Electronic Citation"&gt;&lt;Ref_Type&gt;Electronic Citation&lt;/Ref_Type&gt;&lt;Ref_ID&gt;75&lt;/Ref_ID&gt;&lt;Title_Primary&gt;NEVAXAR. EMA: procedural steps taken and scientific information after the authorisation&lt;/Title_Primary&gt;&lt;Date_Primary&gt;2010&lt;/Date_Primary&gt;&lt;Reprint&gt;Not in File&lt;/Reprint&gt;&lt;Periodical&gt;http://www.ema.europa.eu/docs/en_GB/document_library/EPAR_-_Procedural_steps_taken_and_scientific_information_after_authorisation/human/000690/WC500027709.pdf&lt;/Periodical&gt;&lt;ZZ_JournalStdAbbrev&gt;&lt;f name="System"&gt;http://www.ema.europa.eu/docs/en_GB/document_library/EPAR_-_Procedural_steps_taken_and_scientific_information_after_authorisation/human/000690/WC500027709.pdf&lt;/f&gt;&lt;/ZZ_JournalStdAbbrev&gt;&lt;ZZ_WorkformID&gt;34&lt;/ZZ_WorkformID&gt;&lt;/MDL&gt;&lt;/Cite&gt;&lt;Cite&gt;&lt;Year&gt;2012&lt;/Year&gt;&lt;RecNum&gt;76&lt;/RecNum&gt;&lt;IDText&gt;NEVAXAR. FDA: Labeling Revision&lt;/IDText&gt;&lt;MDL Ref_Type="Electronic Citation"&gt;&lt;Ref_Type&gt;Electronic Citation&lt;/Ref_Type&gt;&lt;Ref_ID&gt;76&lt;/Ref_ID&gt;&lt;Title_Primary&gt;NEVAXAR. FDA: Labeling Revision&lt;/Title_Primary&gt;&lt;Date_Primary&gt;2012&lt;/Date_Primary&gt;&lt;Reprint&gt;Not in File&lt;/Reprint&gt;&lt;Periodical&gt;http://www.accessdata.fda.gov/drugsatfda_docs/appletter/2012/021923Origs013ltr.pdf&lt;/Periodical&gt;&lt;ZZ_JournalStdAbbrev&gt;&lt;f name="System"&gt;http://www.accessdata.fda.gov/drugsatfda_docs/appletter/2012/021923Origs013ltr.pdf&lt;/f&gt;&lt;/ZZ_JournalStdAbbrev&gt;&lt;ZZ_WorkformID&gt;34&lt;/ZZ_WorkformID&gt;&lt;/MDL&gt;&lt;/Cite&gt;&lt;/Refman&gt;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[52,53]</w:t>
      </w:r>
      <w:r w:rsidR="002411CC" w:rsidRPr="00B977AE">
        <w:rPr>
          <w:rFonts w:ascii="Book Antiqua" w:hAnsi="Book Antiqua" w:cs="Arial"/>
          <w:sz w:val="24"/>
          <w:szCs w:val="20"/>
          <w:lang w:val="en-US"/>
        </w:rPr>
        <w:fldChar w:fldCharType="end"/>
      </w:r>
      <w:r w:rsidR="0002486F" w:rsidRPr="00B977AE">
        <w:rPr>
          <w:rFonts w:ascii="Book Antiqua" w:hAnsi="Book Antiqua" w:cs="Arial"/>
          <w:sz w:val="24"/>
          <w:szCs w:val="20"/>
          <w:lang w:val="en-US"/>
        </w:rPr>
        <w:t>.</w:t>
      </w:r>
    </w:p>
    <w:p w:rsidR="00443071" w:rsidRPr="00B977AE" w:rsidRDefault="00443071"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 xml:space="preserve">An </w:t>
      </w:r>
      <w:r w:rsidR="00F275A3" w:rsidRPr="00B977AE">
        <w:rPr>
          <w:rFonts w:ascii="Book Antiqua" w:hAnsi="Book Antiqua" w:cs="Arial"/>
          <w:sz w:val="24"/>
          <w:szCs w:val="20"/>
          <w:lang w:val="en-US"/>
        </w:rPr>
        <w:t xml:space="preserve">incidental observation of this study is that female gender does not seem to be associated with a reporting pattern of DILI for </w:t>
      </w:r>
      <w:proofErr w:type="spellStart"/>
      <w:r w:rsidR="00F275A3" w:rsidRPr="00B977AE">
        <w:rPr>
          <w:rFonts w:ascii="Book Antiqua" w:hAnsi="Book Antiqua" w:cs="Arial"/>
          <w:sz w:val="24"/>
          <w:szCs w:val="20"/>
          <w:lang w:val="en-US"/>
        </w:rPr>
        <w:t>antimycotics</w:t>
      </w:r>
      <w:proofErr w:type="spellEnd"/>
      <w:r w:rsidR="00F275A3" w:rsidRPr="00B977AE">
        <w:rPr>
          <w:rFonts w:ascii="Book Antiqua" w:hAnsi="Book Antiqua" w:cs="Arial"/>
          <w:sz w:val="24"/>
          <w:szCs w:val="20"/>
          <w:lang w:val="en-US"/>
        </w:rPr>
        <w:t xml:space="preserve">, which differs from current data </w:t>
      </w:r>
      <w:r w:rsidRPr="00B977AE">
        <w:rPr>
          <w:rFonts w:ascii="Book Antiqua" w:hAnsi="Book Antiqua" w:cs="Arial"/>
          <w:sz w:val="24"/>
          <w:szCs w:val="20"/>
          <w:lang w:val="en-US"/>
        </w:rPr>
        <w:t>showing that females predominated in liver cases associated with a number of drug class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&lt;Refman&gt;&lt;Cite&gt;&lt;Author&gt;Petronijevic&lt;/Author&gt;&lt;Year&gt;2013&lt;/Year&gt;&lt;RecNum&gt;12&lt;/RecNum&gt;&lt;IDText&gt;Associations of gender and age with the reporting of drug-induced hepatic failure: data from the VigiBase&lt;/IDText&gt;&lt;MDL Ref_Type="Journal"&gt;&lt;Ref_Type&gt;Journal&lt;/Ref_Type&gt;&lt;Ref_ID&gt;12&lt;/Ref_ID&gt;&lt;Title_Primary&gt;Associations of gender and age with the reporting of drug-induced hepatic failure: data from the VigiBase&lt;/Title_Primary&gt;&lt;Authors_Primary&gt;Petronijevic,M.&lt;/Authors_Primary&gt;&lt;Authors_Primary&gt;Ilic,K.&lt;/Authors_Primary&gt;&lt;Date_Primary&gt;2013/4&lt;/Date_Primary&gt;&lt;Keywords&gt;Adolescent&lt;/Keywords&gt;&lt;Keywords&gt;Adult&lt;/Keywords&gt;&lt;Keywords&gt;Adverse Drug Reaction Reporting Systems&lt;/Keywords&gt;&lt;Keywords&gt;adverse effects&lt;/Keywords&gt;&lt;Keywords&gt;Age Factors&lt;/Keywords&gt;&lt;Keywords&gt;Aged&lt;/Keywords&gt;&lt;Keywords&gt;Aged,80 and over&lt;/Keywords&gt;&lt;Keywords&gt;chemically induced&lt;/Keywords&gt;&lt;Keywords&gt;Child&lt;/Keywords&gt;&lt;Keywords&gt;Child,Preschool&lt;/Keywords&gt;&lt;Keywords&gt;Drug-Induced Liver Injury&lt;/Keywords&gt;&lt;Keywords&gt;Female&lt;/Keywords&gt;&lt;Keywords&gt;Humans&lt;/Keywords&gt;&lt;Keywords&gt;Infant&lt;/Keywords&gt;&lt;Keywords&gt;Infant,Newborn&lt;/Keywords&gt;&lt;Keywords&gt;Liver&lt;/Keywords&gt;&lt;Keywords&gt;Liver Failure&lt;/Keywords&gt;&lt;Keywords&gt;Male&lt;/Keywords&gt;&lt;Keywords&gt;Middle Aged&lt;/Keywords&gt;&lt;Keywords&gt;Pharmaceutical Preparations&lt;/Keywords&gt;&lt;Keywords&gt;Risk Factors&lt;/Keywords&gt;&lt;Keywords&gt;Sex Factors&lt;/Keywords&gt;&lt;Keywords&gt;statistics &amp;amp; numerical data&lt;/Keywords&gt;&lt;Keywords&gt;Young Adult&lt;/Keywords&gt;&lt;Reprint&gt;In File&lt;/Reprint&gt;&lt;Start_Page&gt;435&lt;/Start_Page&gt;&lt;End_Page&gt;443&lt;/End_Page&gt;&lt;Periodical&gt;J Clin Pharmacol&lt;/Periodical&gt;&lt;Volume&gt;53&lt;/Volume&gt;&lt;Issue&gt;4&lt;/Issue&gt;&lt;Address&gt;Medicines and Medical Devices Agency of Serbia, Belgrade, Republic of Serbia&lt;/Address&gt;&lt;Web_URL&gt;PM:23440959&lt;/Web_URL&gt;&lt;ZZ_JournalStdAbbrev&gt;&lt;f name="System"&gt;J Clin Pharmacol&lt;/f&gt;&lt;/ZZ_JournalStdAbbrev&gt;&lt;ZZ_WorkformID&gt;1&lt;/ZZ_WorkformID&gt;&lt;/MDL&gt;&lt;/Cite&gt;&lt;/Refman&gt;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[54]</w:t>
      </w:r>
      <w:r w:rsidR="002411CC" w:rsidRPr="00B977AE">
        <w:rPr>
          <w:rFonts w:ascii="Book Antiqua" w:hAnsi="Book Antiqua" w:cs="Arial"/>
          <w:sz w:val="24"/>
          <w:szCs w:val="20"/>
          <w:lang w:val="en-US"/>
        </w:rPr>
        <w:fldChar w:fldCharType="end"/>
      </w:r>
      <w:r w:rsidR="00F275A3" w:rsidRPr="00B977AE">
        <w:rPr>
          <w:rFonts w:ascii="Book Antiqua" w:hAnsi="Book Antiqua" w:cs="Arial"/>
          <w:sz w:val="24"/>
          <w:szCs w:val="20"/>
          <w:lang w:val="en-US"/>
        </w:rPr>
        <w:t>.</w:t>
      </w:r>
      <w:r w:rsidR="005967B5" w:rsidRPr="00B977AE">
        <w:rPr>
          <w:rFonts w:ascii="Book Antiqua" w:hAnsi="Book Antiqua" w:cs="Arial"/>
          <w:sz w:val="24"/>
          <w:szCs w:val="20"/>
          <w:lang w:val="en-US"/>
        </w:rPr>
        <w:t xml:space="preserve"> </w:t>
      </w:r>
    </w:p>
    <w:p w:rsidR="000E2BFA" w:rsidRPr="00B977AE" w:rsidRDefault="000E2BFA"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 xml:space="preserve">The large number of cases associated with </w:t>
      </w:r>
      <w:proofErr w:type="spellStart"/>
      <w:r w:rsidRPr="00B977AE">
        <w:rPr>
          <w:rFonts w:ascii="Book Antiqua" w:hAnsi="Book Antiqua" w:cs="Arial"/>
          <w:sz w:val="24"/>
          <w:szCs w:val="20"/>
          <w:lang w:val="en-US"/>
        </w:rPr>
        <w:t>triazole</w:t>
      </w:r>
      <w:proofErr w:type="spellEnd"/>
      <w:r w:rsidRPr="00B977AE">
        <w:rPr>
          <w:rFonts w:ascii="Book Antiqua" w:hAnsi="Book Antiqua" w:cs="Arial"/>
          <w:sz w:val="24"/>
          <w:szCs w:val="20"/>
          <w:lang w:val="en-US"/>
        </w:rPr>
        <w:t xml:space="preserve"> antifungals</w:t>
      </w:r>
      <w:r w:rsidR="00A07B6F" w:rsidRPr="00B977AE">
        <w:rPr>
          <w:rFonts w:ascii="Book Antiqua" w:hAnsi="Book Antiqua" w:cs="Arial"/>
          <w:sz w:val="24"/>
          <w:szCs w:val="20"/>
          <w:lang w:val="en-US"/>
        </w:rPr>
        <w:t xml:space="preserve"> and </w:t>
      </w:r>
      <w:proofErr w:type="spellStart"/>
      <w:r w:rsidR="00A07B6F" w:rsidRPr="00B977AE">
        <w:rPr>
          <w:rFonts w:ascii="Book Antiqua" w:hAnsi="Book Antiqua" w:cs="Arial"/>
          <w:sz w:val="24"/>
          <w:szCs w:val="20"/>
          <w:lang w:val="en-US"/>
        </w:rPr>
        <w:t>t</w:t>
      </w:r>
      <w:r w:rsidR="00F275A3" w:rsidRPr="00B977AE">
        <w:rPr>
          <w:rFonts w:ascii="Book Antiqua" w:hAnsi="Book Antiqua" w:cs="Arial"/>
          <w:sz w:val="24"/>
          <w:szCs w:val="20"/>
          <w:lang w:val="en-US"/>
        </w:rPr>
        <w:t>erbinafine</w:t>
      </w:r>
      <w:proofErr w:type="spellEnd"/>
      <w:r w:rsidR="00A07B6F" w:rsidRPr="00B977AE">
        <w:rPr>
          <w:rFonts w:ascii="Book Antiqua" w:hAnsi="Book Antiqua" w:cs="Arial"/>
          <w:sz w:val="24"/>
          <w:szCs w:val="20"/>
          <w:lang w:val="en-US"/>
        </w:rPr>
        <w:t xml:space="preserve"> can be partially explained by the underlying clinical conditions of patients (critically ill</w:t>
      </w:r>
      <w:r w:rsidR="00F616DE" w:rsidRPr="00B977AE">
        <w:rPr>
          <w:rFonts w:ascii="Book Antiqua" w:hAnsi="Book Antiqua" w:cs="Arial"/>
          <w:sz w:val="24"/>
          <w:szCs w:val="20"/>
          <w:lang w:val="en-US"/>
        </w:rPr>
        <w:t xml:space="preserve"> patients, usually with systemic infections, cancer and other diseases that may increase the likelihood of adverse drug reactions). Moreover, when discussing and interpreting </w:t>
      </w:r>
      <w:proofErr w:type="spellStart"/>
      <w:r w:rsidR="00F616DE" w:rsidRPr="00B977AE">
        <w:rPr>
          <w:rFonts w:ascii="Book Antiqua" w:hAnsi="Book Antiqua" w:cs="Arial"/>
          <w:sz w:val="24"/>
          <w:szCs w:val="20"/>
          <w:lang w:val="en-US"/>
        </w:rPr>
        <w:t>pharmacovigilance</w:t>
      </w:r>
      <w:proofErr w:type="spellEnd"/>
      <w:r w:rsidR="00F616DE" w:rsidRPr="00B977AE">
        <w:rPr>
          <w:rFonts w:ascii="Book Antiqua" w:hAnsi="Book Antiqua" w:cs="Arial"/>
          <w:sz w:val="24"/>
          <w:szCs w:val="20"/>
          <w:lang w:val="en-US"/>
        </w:rPr>
        <w:t xml:space="preserve"> results, drug consumption data should be also taken into account</w:t>
      </w:r>
      <w:r w:rsidR="00D3782E" w:rsidRPr="00B977AE">
        <w:rPr>
          <w:rFonts w:ascii="Book Antiqua" w:hAnsi="Book Antiqua" w:cs="Arial"/>
          <w:sz w:val="24"/>
          <w:szCs w:val="20"/>
          <w:lang w:val="en-US"/>
        </w:rPr>
        <w:t xml:space="preserve"> can provide an additional perspective to regulators and clinicians in assessing the possible consequences of side effects of drugs (</w:t>
      </w:r>
      <w:r w:rsidR="0004797C" w:rsidRPr="0004797C">
        <w:rPr>
          <w:rFonts w:ascii="Book Antiqua" w:hAnsi="Book Antiqua" w:cs="Arial"/>
          <w:i/>
          <w:sz w:val="24"/>
          <w:szCs w:val="20"/>
          <w:lang w:val="en-US"/>
        </w:rPr>
        <w:t>e.g</w:t>
      </w:r>
      <w:r w:rsidR="00D3782E" w:rsidRPr="00B977AE">
        <w:rPr>
          <w:rFonts w:ascii="Book Antiqua" w:hAnsi="Book Antiqua" w:cs="Arial"/>
          <w:sz w:val="24"/>
          <w:szCs w:val="20"/>
          <w:lang w:val="en-US"/>
        </w:rPr>
        <w:t>., by mapping the level of risk in a population standpoint)</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&lt;Refman&gt;&lt;Cite&gt;&lt;Author&gt;Raschi&lt;/Author&gt;&lt;Year&gt;2009&lt;/Year&gt;&lt;RecNum&gt;68&lt;/RecNum&gt;&lt;IDText&gt;Exposure to antibacterial agents with QT liability in 14 European countries: trends over an 8-year period&lt;/IDText&gt;&lt;MDL Ref_Type="Journal"&gt;&lt;Ref_Type&gt;Journal&lt;/Ref_Type&gt;&lt;Ref_ID&gt;68&lt;/Ref_ID&gt;&lt;Title_Primary&gt;Exposure to antibacterial agents with QT liability in 14 European countries: trends over an 8-year period&lt;/Title_Primary&gt;&lt;Authors_Primary&gt;Raschi,E.&lt;/Authors_Primary&gt;&lt;Authors_Primary&gt;Poluzzi,E.&lt;/Authors_Primary&gt;&lt;Authors_Primary&gt;Zuliani,C.&lt;/Authors_Primary&gt;&lt;Authors_Primary&gt;Muller,A.&lt;/Authors_Primary&gt;&lt;Authors_Primary&gt;Goossens,H.&lt;/Authors_Primary&gt;&lt;Authors_Primary&gt;De,Ponti F.&lt;/Authors_Primary&gt;&lt;Date_Primary&gt;2009/1&lt;/Date_Primary&gt;&lt;Keywords&gt;adverse effects&lt;/Keywords&gt;&lt;Keywords&gt;Anti-Bacterial Agents&lt;/Keywords&gt;&lt;Keywords&gt;Arrhythmias,Cardiac&lt;/Keywords&gt;&lt;Keywords&gt;chemically induced&lt;/Keywords&gt;&lt;Keywords&gt;classification&lt;/Keywords&gt;&lt;Keywords&gt;drug effects&lt;/Keywords&gt;&lt;Keywords&gt;Drug Utilization&lt;/Keywords&gt;&lt;Keywords&gt;Electrocardiography&lt;/Keywords&gt;&lt;Keywords&gt;Europe&lt;/Keywords&gt;&lt;Keywords&gt;Humans&lt;/Keywords&gt;&lt;Keywords&gt;methods&lt;/Keywords&gt;&lt;Keywords&gt;Spain&lt;/Keywords&gt;&lt;Keywords&gt;statistics &amp;amp; numerical data&lt;/Keywords&gt;&lt;Keywords&gt;Sweden&lt;/Keywords&gt;&lt;Keywords&gt;Torsades de Pointes&lt;/Keywords&gt;&lt;Reprint&gt;Not in File&lt;/Reprint&gt;&lt;Start_Page&gt;88&lt;/Start_Page&gt;&lt;End_Page&gt;98&lt;/End_Page&gt;&lt;Periodical&gt;Br.J.Clin.Pharmacol.&lt;/Periodical&gt;&lt;Volume&gt;67&lt;/Volume&gt;&lt;Issue&gt;1&lt;/Issue&gt;&lt;Address&gt;Department of Pharmacology, University of Bologna, Bologna, Italy&lt;/Address&gt;&lt;Web_URL&gt;PM:19076158&lt;/Web_URL&gt;&lt;ZZ_JournalStdAbbrev&gt;&lt;f name="System"&gt;Br.J.Clin.Pharmacol.&lt;/f&gt;&lt;/ZZ_JournalStdAbbrev&gt;&lt;ZZ_WorkformID&gt;1&lt;/ZZ_WorkformID&gt;&lt;/MDL&gt;&lt;/Cite&gt;&lt;Cite&gt;&lt;Author&gt;Raschi&lt;/Author&gt;&lt;Year&gt;2013&lt;/Year&gt;&lt;RecNum&gt;65&lt;/RecNum&gt;&lt;IDText&gt;Torsadogenic Risk of Antipsychotics: Combining Adverse Event Reports with Drug Utilization Data across Europe&lt;/IDText&gt;&lt;MDL Ref_Type="Journal"&gt;&lt;Ref_Type&gt;Journal&lt;/Ref_Type&gt;&lt;Ref_ID&gt;65&lt;/Ref_ID&gt;&lt;Title_Primary&gt;Torsadogenic Risk of Antipsychotics: Combining Adverse Event Reports with Drug Utilization Data across Europe&lt;/Title_Primary&gt;&lt;Authors_Primary&gt;Raschi,E.&lt;/Authors_Primary&gt;&lt;Authors_Primary&gt;Poluzzi,E.&lt;/Authors_Primary&gt;&lt;Authors_Primary&gt;Godman,B.&lt;/Authors_Primary&gt;&lt;Authors_Primary&gt;Koci,A.&lt;/Authors_Primary&gt;&lt;Authors_Primary&gt;Moretti,U.&lt;/Authors_Primary&gt;&lt;Authors_Primary&gt;Kalaba,M.&lt;/Authors_Primary&gt;&lt;Authors_Primary&gt;Bennie,M.&lt;/Authors_Primary&gt;&lt;Authors_Primary&gt;Barbui,C.&lt;/Authors_Primary&gt;&lt;Authors_Primary&gt;Wettermark,B.&lt;/Authors_Primary&gt;&lt;Authors_Primary&gt;Sturkenboom,M.&lt;/Authors_Primary&gt;&lt;Authors_Primary&gt;De,Ponti F.&lt;/Authors_Primary&gt;&lt;Date_Primary&gt;2013&lt;/Date_Primary&gt;&lt;Keywords&gt;Drug Utilization&lt;/Keywords&gt;&lt;Keywords&gt;Europe&lt;/Keywords&gt;&lt;Keywords&gt;France&lt;/Keywords&gt;&lt;Keywords&gt;methods&lt;/Keywords&gt;&lt;Keywords&gt;Odds Ratio&lt;/Keywords&gt;&lt;Keywords&gt;Pharmacovigilance&lt;/Keywords&gt;&lt;Keywords&gt;Risk&lt;/Keywords&gt;&lt;Keywords&gt;utilization&lt;/Keywords&gt;&lt;Reprint&gt;Not in File&lt;/Reprint&gt;&lt;Start_Page&gt;e81208&lt;/Start_Page&gt;&lt;Periodical&gt;PLoS.One.&lt;/Periodical&gt;&lt;Volume&gt;8&lt;/Volume&gt;&lt;Issue&gt;11&lt;/Issue&gt;&lt;Address&gt;Department of Medical and Surgical Sciences, Alma Mater Studiorum - University of Bologna, Bologna, Italy&lt;/Address&gt;&lt;Web_URL&gt;PM:24278396&lt;/Web_URL&gt;&lt;ZZ_JournalStdAbbrev&gt;&lt;f name="System"&gt;PLoS.One.&lt;/f&gt;&lt;/ZZ_JournalStdAbbrev&gt;&lt;ZZ_WorkformID&gt;1&lt;/ZZ_WorkformID&gt;&lt;/MDL&gt;&lt;/Cite&gt;&lt;/Refman&gt;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[55,56]</w:t>
      </w:r>
      <w:r w:rsidR="002411CC" w:rsidRPr="00B977AE">
        <w:rPr>
          <w:rFonts w:ascii="Book Antiqua" w:hAnsi="Book Antiqua" w:cs="Arial"/>
          <w:sz w:val="24"/>
          <w:szCs w:val="20"/>
          <w:lang w:val="en-US"/>
        </w:rPr>
        <w:fldChar w:fldCharType="end"/>
      </w:r>
      <w:r w:rsidR="00F616DE" w:rsidRPr="00B977AE">
        <w:rPr>
          <w:rFonts w:ascii="Book Antiqua" w:hAnsi="Book Antiqua" w:cs="Arial"/>
          <w:sz w:val="24"/>
          <w:szCs w:val="20"/>
          <w:lang w:val="en-US"/>
        </w:rPr>
        <w:t>.</w:t>
      </w:r>
      <w:r w:rsidR="00D3782E" w:rsidRPr="00B977AE">
        <w:rPr>
          <w:rFonts w:ascii="Book Antiqua" w:hAnsi="Book Antiqua" w:cs="Arial"/>
          <w:sz w:val="24"/>
          <w:szCs w:val="20"/>
          <w:lang w:val="en-US"/>
        </w:rPr>
        <w:t xml:space="preserve"> Notably, the first ESAC survey on 2007 consumption data found that </w:t>
      </w:r>
      <w:proofErr w:type="spellStart"/>
      <w:r w:rsidR="00D3782E" w:rsidRPr="00B977AE">
        <w:rPr>
          <w:rFonts w:ascii="Book Antiqua" w:hAnsi="Book Antiqua" w:cs="Arial"/>
          <w:sz w:val="24"/>
          <w:szCs w:val="20"/>
          <w:lang w:val="en-US"/>
        </w:rPr>
        <w:lastRenderedPageBreak/>
        <w:t>terbinafine</w:t>
      </w:r>
      <w:proofErr w:type="spellEnd"/>
      <w:r w:rsidR="00D3782E" w:rsidRPr="00B977AE">
        <w:rPr>
          <w:rFonts w:ascii="Book Antiqua" w:hAnsi="Book Antiqua" w:cs="Arial"/>
          <w:sz w:val="24"/>
          <w:szCs w:val="20"/>
          <w:lang w:val="en-US"/>
        </w:rPr>
        <w:t xml:space="preserve">, ketoconazole, </w:t>
      </w:r>
      <w:proofErr w:type="spellStart"/>
      <w:r w:rsidR="00D3782E" w:rsidRPr="00B977AE">
        <w:rPr>
          <w:rFonts w:ascii="Book Antiqua" w:hAnsi="Book Antiqua" w:cs="Arial"/>
          <w:sz w:val="24"/>
          <w:szCs w:val="20"/>
          <w:lang w:val="en-US"/>
        </w:rPr>
        <w:t>itraconazole</w:t>
      </w:r>
      <w:proofErr w:type="spellEnd"/>
      <w:r w:rsidR="00D3782E" w:rsidRPr="00B977AE">
        <w:rPr>
          <w:rFonts w:ascii="Book Antiqua" w:hAnsi="Book Antiqua" w:cs="Arial"/>
          <w:sz w:val="24"/>
          <w:szCs w:val="20"/>
          <w:lang w:val="en-US"/>
        </w:rPr>
        <w:t xml:space="preserve"> and fluconazole represented &gt;94% of the total outpatient </w:t>
      </w:r>
      <w:proofErr w:type="spellStart"/>
      <w:r w:rsidR="00D3782E" w:rsidRPr="00B977AE">
        <w:rPr>
          <w:rFonts w:ascii="Book Antiqua" w:hAnsi="Book Antiqua" w:cs="Arial"/>
          <w:sz w:val="24"/>
          <w:szCs w:val="20"/>
          <w:lang w:val="en-US"/>
        </w:rPr>
        <w:t>antimycotic</w:t>
      </w:r>
      <w:proofErr w:type="spellEnd"/>
      <w:r w:rsidR="00D3782E" w:rsidRPr="00B977AE">
        <w:rPr>
          <w:rFonts w:ascii="Book Antiqua" w:hAnsi="Book Antiqua" w:cs="Arial"/>
          <w:sz w:val="24"/>
          <w:szCs w:val="20"/>
          <w:lang w:val="en-US"/>
        </w:rPr>
        <w:t xml:space="preserve"> and antifungal use in 20 European Countries. </w:t>
      </w:r>
      <w:proofErr w:type="spellStart"/>
      <w:r w:rsidR="00D3782E" w:rsidRPr="00B977AE">
        <w:rPr>
          <w:rFonts w:ascii="Book Antiqua" w:hAnsi="Book Antiqua" w:cs="Arial"/>
          <w:sz w:val="24"/>
          <w:szCs w:val="20"/>
          <w:lang w:val="en-US"/>
        </w:rPr>
        <w:t>Terbinafine</w:t>
      </w:r>
      <w:proofErr w:type="spellEnd"/>
      <w:r w:rsidR="00D3782E" w:rsidRPr="00B977AE">
        <w:rPr>
          <w:rFonts w:ascii="Book Antiqua" w:hAnsi="Book Antiqua" w:cs="Arial"/>
          <w:sz w:val="24"/>
          <w:szCs w:val="20"/>
          <w:lang w:val="en-US"/>
        </w:rPr>
        <w:t xml:space="preserve"> use represented &gt;</w:t>
      </w:r>
      <w:r w:rsidR="009F673C" w:rsidRPr="00B977AE">
        <w:rPr>
          <w:rFonts w:ascii="Book Antiqua" w:hAnsi="Book Antiqua" w:cs="Arial"/>
          <w:sz w:val="24"/>
          <w:szCs w:val="20"/>
          <w:lang w:val="en-US" w:eastAsia="zh-CN"/>
        </w:rPr>
        <w:t xml:space="preserve"> </w:t>
      </w:r>
      <w:r w:rsidR="00D3782E" w:rsidRPr="00B977AE">
        <w:rPr>
          <w:rFonts w:ascii="Book Antiqua" w:hAnsi="Book Antiqua" w:cs="Arial"/>
          <w:sz w:val="24"/>
          <w:szCs w:val="20"/>
          <w:lang w:val="en-US"/>
        </w:rPr>
        <w:t xml:space="preserve">50% of the total systemic </w:t>
      </w:r>
      <w:proofErr w:type="spellStart"/>
      <w:r w:rsidR="00D3782E" w:rsidRPr="00B977AE">
        <w:rPr>
          <w:rFonts w:ascii="Book Antiqua" w:hAnsi="Book Antiqua" w:cs="Arial"/>
          <w:sz w:val="24"/>
          <w:szCs w:val="20"/>
          <w:lang w:val="en-US"/>
        </w:rPr>
        <w:t>antimycotic</w:t>
      </w:r>
      <w:proofErr w:type="spellEnd"/>
      <w:r w:rsidR="00D3782E" w:rsidRPr="00B977AE">
        <w:rPr>
          <w:rFonts w:ascii="Book Antiqua" w:hAnsi="Book Antiqua" w:cs="Arial"/>
          <w:sz w:val="24"/>
          <w:szCs w:val="20"/>
          <w:lang w:val="en-US"/>
        </w:rPr>
        <w:t xml:space="preserve"> and antifungal use in 16 out of 20 Countries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&lt;Refman&gt;&lt;Cite&gt;&lt;Author&gt;Adriaenssens&lt;/Author&gt;&lt;Year&gt;2010&lt;/Year&gt;&lt;RecNum&gt;70&lt;/RecNum&gt;&lt;IDText&gt;European Surveillance of Antimicrobial Consumption (ESAC): outpatient systemic antimycotic and antifungal use in Europe&lt;/IDText&gt;&lt;MDL Ref_Type="Journal"&gt;&lt;Ref_Type&gt;Journal&lt;/Ref_Type&gt;&lt;Ref_ID&gt;70&lt;/Ref_ID&gt;&lt;Title_Primary&gt;European Surveillance of Antimicrobial Consumption (ESAC): outpatient systemic antimycotic and antifungal use in Europe&lt;/Title_Primary&gt;&lt;Authors_Primary&gt;Adriaenssens,N.&lt;/Authors_Primary&gt;&lt;Authors_Primary&gt;Coenen,S.&lt;/Authors_Primary&gt;&lt;Authors_Primary&gt;Muller,A.&lt;/Authors_Primary&gt;&lt;Authors_Primary&gt;Vankerckhoven,V.&lt;/Authors_Primary&gt;&lt;Authors_Primary&gt;Goossens,H.&lt;/Authors_Primary&gt;&lt;Date_Primary&gt;2010/4&lt;/Date_Primary&gt;&lt;Keywords&gt;Ambulatory Care&lt;/Keywords&gt;&lt;Keywords&gt;Antifungal Agents&lt;/Keywords&gt;&lt;Keywords&gt;classification&lt;/Keywords&gt;&lt;Keywords&gt;Drug Utilization&lt;/Keywords&gt;&lt;Keywords&gt;Europe&lt;/Keywords&gt;&lt;Keywords&gt;Fluconazole&lt;/Keywords&gt;&lt;Keywords&gt;Humans&lt;/Keywords&gt;&lt;Keywords&gt;Ketoconazole&lt;/Keywords&gt;&lt;Keywords&gt;methods&lt;/Keywords&gt;&lt;Keywords&gt;statistics &amp;amp; numerical data&lt;/Keywords&gt;&lt;Keywords&gt;therapeutic use&lt;/Keywords&gt;&lt;Keywords&gt;trends&lt;/Keywords&gt;&lt;Reprint&gt;Not in File&lt;/Reprint&gt;&lt;Start_Page&gt;769&lt;/Start_Page&gt;&lt;End_Page&gt;774&lt;/End_Page&gt;&lt;Periodical&gt;J.Antimicrob.Chemother.&lt;/Periodical&gt;&lt;Volume&gt;65&lt;/Volume&gt;&lt;Issue&gt;4&lt;/Issue&gt;&lt;Address&gt;Laboratory of Medical Microbiology, Vaccine &amp;amp; Infectious Disease Institute, University of Antwerp, Universiteitsplein 1, 2610 Antwerp, Belgium. Niels.Adriaenssens@ua.ac.be&lt;/Address&gt;&lt;Web_URL&gt;PM:20142264&lt;/Web_URL&gt;&lt;ZZ_JournalStdAbbrev&gt;&lt;f name="System"&gt;J.Antimicrob.Chemother.&lt;/f&gt;&lt;/ZZ_JournalStdAbbrev&gt;&lt;ZZ_WorkformID&gt;1&lt;/ZZ_WorkformID&gt;&lt;/MDL&gt;&lt;/Cite&gt;&lt;/Refman&gt;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[57]</w:t>
      </w:r>
      <w:r w:rsidR="002411CC" w:rsidRPr="00B977AE">
        <w:rPr>
          <w:rFonts w:ascii="Book Antiqua" w:hAnsi="Book Antiqua" w:cs="Arial"/>
          <w:sz w:val="24"/>
          <w:szCs w:val="20"/>
          <w:lang w:val="en-US"/>
        </w:rPr>
        <w:fldChar w:fldCharType="end"/>
      </w:r>
      <w:r w:rsidR="00D3782E" w:rsidRPr="00B977AE">
        <w:rPr>
          <w:rFonts w:ascii="Book Antiqua" w:hAnsi="Book Antiqua" w:cs="Arial"/>
          <w:sz w:val="24"/>
          <w:szCs w:val="20"/>
          <w:lang w:val="en-US"/>
        </w:rPr>
        <w:t>.</w:t>
      </w:r>
      <w:r w:rsidR="00D7399C" w:rsidRPr="00B977AE">
        <w:rPr>
          <w:rFonts w:ascii="Book Antiqua" w:hAnsi="Book Antiqua" w:cs="Arial"/>
          <w:sz w:val="24"/>
          <w:szCs w:val="20"/>
          <w:lang w:val="en-US"/>
        </w:rPr>
        <w:t xml:space="preserve"> The updated analysis on 2009 data showed an increased outpatient use and confirms </w:t>
      </w:r>
      <w:proofErr w:type="spellStart"/>
      <w:r w:rsidR="00D7399C" w:rsidRPr="00B977AE">
        <w:rPr>
          <w:rFonts w:ascii="Book Antiqua" w:hAnsi="Book Antiqua" w:cs="Arial"/>
          <w:sz w:val="24"/>
          <w:szCs w:val="20"/>
          <w:lang w:val="en-US"/>
        </w:rPr>
        <w:t>terbinafine</w:t>
      </w:r>
      <w:proofErr w:type="spellEnd"/>
      <w:r w:rsidR="00D7399C" w:rsidRPr="00B977AE">
        <w:rPr>
          <w:rFonts w:ascii="Book Antiqua" w:hAnsi="Book Antiqua" w:cs="Arial"/>
          <w:sz w:val="24"/>
          <w:szCs w:val="20"/>
          <w:lang w:val="en-US"/>
        </w:rPr>
        <w:t xml:space="preserve"> and fluconazole as the most used compounds</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&lt;Refman&gt;&lt;Cite&gt;&lt;Author&gt;Adriaenssens&lt;/Author&gt;&lt;Year&gt;2013&lt;/Year&gt;&lt;RecNum&gt;71&lt;/RecNum&gt;&lt;IDText&gt;Outpatient systemic antimycotic and antifungal use in Europe: new outcome measure provides new insight&lt;/IDText&gt;&lt;MDL Ref_Type="Journal"&gt;&lt;Ref_Type&gt;Journal&lt;/Ref_Type&gt;&lt;Ref_ID&gt;71&lt;/Ref_ID&gt;&lt;Title_Primary&gt;Outpatient systemic antimycotic and antifungal use in Europe: new outcome measure provides new insight&lt;/Title_Primary&gt;&lt;Authors_Primary&gt;Adriaenssens,N.&lt;/Authors_Primary&gt;&lt;Authors_Primary&gt;Coenen,S.&lt;/Authors_Primary&gt;&lt;Authors_Primary&gt;Versporten,A.&lt;/Authors_Primary&gt;&lt;Authors_Primary&gt;Goossens,H.&lt;/Authors_Primary&gt;&lt;Date_Primary&gt;2013/11&lt;/Date_Primary&gt;&lt;Keywords&gt;classification&lt;/Keywords&gt;&lt;Keywords&gt;Europe&lt;/Keywords&gt;&lt;Keywords&gt;Fluconazole&lt;/Keywords&gt;&lt;Keywords&gt;Sweden&lt;/Keywords&gt;&lt;Reprint&gt;Not in File&lt;/Reprint&gt;&lt;Start_Page&gt;466&lt;/Start_Page&gt;&lt;End_Page&gt;470&lt;/End_Page&gt;&lt;Periodical&gt;Int.J.Antimicrob.Agents&lt;/Periodical&gt;&lt;Volume&gt;42&lt;/Volume&gt;&lt;Issue&gt;5&lt;/Issue&gt;&lt;Address&gt;University of Antwerp, Vaccine &amp;amp; Infectious Disease Institute (VAXINFECTIO), Laboratory of Medical Microbiology, Universiteitsplein 1, 2610 Antwerp, Belgium; University of Antwerp, Vaccine &amp;amp; Infectious Disease Institute (VAXINFECTIO), Centre for General Practice, Antwerp, Belgium. Electronic address: niels.adriaenssens@ua.ac.be&lt;/Address&gt;&lt;Web_URL&gt;PM:23993932&lt;/Web_URL&gt;&lt;ZZ_JournalStdAbbrev&gt;&lt;f name="System"&gt;Int.J.Antimicrob.Agents&lt;/f&gt;&lt;/ZZ_JournalStdAbbrev&gt;&lt;ZZ_WorkformID&gt;1&lt;/ZZ_WorkformID&gt;&lt;/MDL&gt;&lt;/Cite&gt;&lt;/Refman&gt;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[58]</w:t>
      </w:r>
      <w:r w:rsidR="002411CC" w:rsidRPr="00B977AE">
        <w:rPr>
          <w:rFonts w:ascii="Book Antiqua" w:hAnsi="Book Antiqua" w:cs="Arial"/>
          <w:sz w:val="24"/>
          <w:szCs w:val="20"/>
          <w:lang w:val="en-US"/>
        </w:rPr>
        <w:fldChar w:fldCharType="end"/>
      </w:r>
      <w:r w:rsidR="008A6673" w:rsidRPr="00B977AE">
        <w:rPr>
          <w:rFonts w:ascii="Book Antiqua" w:hAnsi="Book Antiqua" w:cs="Arial"/>
          <w:sz w:val="24"/>
          <w:szCs w:val="20"/>
          <w:lang w:val="en-US"/>
        </w:rPr>
        <w:t xml:space="preserve">. </w:t>
      </w:r>
      <w:r w:rsidR="00CD2D84" w:rsidRPr="00B977AE">
        <w:rPr>
          <w:rFonts w:ascii="Book Antiqua" w:hAnsi="Book Antiqua" w:cs="Arial"/>
          <w:sz w:val="24"/>
          <w:szCs w:val="20"/>
          <w:lang w:val="en-US"/>
        </w:rPr>
        <w:t xml:space="preserve">Two point-prevalence ESAC surveys in European hospitals revealed that the most used antifungal was fluconazole (60.5%) followed by </w:t>
      </w:r>
      <w:proofErr w:type="spellStart"/>
      <w:r w:rsidR="00CD2D84" w:rsidRPr="00B977AE">
        <w:rPr>
          <w:rFonts w:ascii="Book Antiqua" w:hAnsi="Book Antiqua" w:cs="Arial"/>
          <w:sz w:val="24"/>
          <w:szCs w:val="20"/>
          <w:lang w:val="en-US"/>
        </w:rPr>
        <w:t>caspofungin</w:t>
      </w:r>
      <w:proofErr w:type="spellEnd"/>
      <w:r w:rsidR="00CD2D84" w:rsidRPr="00B977AE">
        <w:rPr>
          <w:rFonts w:ascii="Book Antiqua" w:hAnsi="Book Antiqua" w:cs="Arial"/>
          <w:sz w:val="24"/>
          <w:szCs w:val="20"/>
          <w:lang w:val="en-US"/>
        </w:rPr>
        <w:t xml:space="preserve"> (10.5%). </w:t>
      </w:r>
      <w:r w:rsidR="00F70EE3" w:rsidRPr="00B977AE">
        <w:rPr>
          <w:rFonts w:ascii="Book Antiqua" w:hAnsi="Book Antiqua" w:cs="Arial"/>
          <w:sz w:val="24"/>
          <w:szCs w:val="20"/>
          <w:lang w:val="en-US"/>
        </w:rPr>
        <w:t>Notably, a</w:t>
      </w:r>
      <w:r w:rsidR="00CD2D84" w:rsidRPr="00B977AE">
        <w:rPr>
          <w:rFonts w:ascii="Book Antiqua" w:hAnsi="Book Antiqua" w:cs="Arial"/>
          <w:sz w:val="24"/>
          <w:szCs w:val="20"/>
          <w:lang w:val="en-US"/>
        </w:rPr>
        <w:t>ntifungal-antibacterial combinations were frequently used (77.5%)</w:t>
      </w:r>
      <w:r w:rsidR="002411CC" w:rsidRPr="00B977AE">
        <w:rPr>
          <w:rFonts w:ascii="Book Antiqua" w:hAnsi="Book Antiqua" w:cs="Arial"/>
          <w:sz w:val="24"/>
          <w:szCs w:val="20"/>
          <w:lang w:val="en-US"/>
        </w:rPr>
        <w:fldChar w:fldCharType="begin"/>
      </w:r>
      <w:r w:rsidR="003804A8" w:rsidRPr="00B977AE">
        <w:rPr>
          <w:rFonts w:ascii="Book Antiqua" w:hAnsi="Book Antiqua" w:cs="Arial"/>
          <w:sz w:val="24"/>
          <w:szCs w:val="20"/>
          <w:lang w:val="en-US"/>
        </w:rPr>
        <w:instrText xml:space="preserve"> ADDIN REFMGR.CITE &lt;Refman&gt;&lt;Cite&gt;&lt;Author&gt;Zarb&lt;/Author&gt;&lt;Year&gt;2012&lt;/Year&gt;&lt;RecNum&gt;69&lt;/RecNum&gt;&lt;IDText&gt;Antifungal therapy in European hospitals: data from the ESAC point-prevalence surveys 2008 and 2009&lt;/IDText&gt;&lt;MDL Ref_Type="Journal"&gt;&lt;Ref_Type&gt;Journal&lt;/Ref_Type&gt;&lt;Ref_ID&gt;69&lt;/Ref_ID&gt;&lt;Title_Primary&gt;Antifungal therapy in European hospitals: data from the ESAC point-prevalence surveys 2008 and 2009&lt;/Title_Primary&gt;&lt;Authors_Primary&gt;Zarb,P.&lt;/Authors_Primary&gt;&lt;Authors_Primary&gt;Amadeo,B.&lt;/Authors_Primary&gt;&lt;Authors_Primary&gt;Muller,A.&lt;/Authors_Primary&gt;&lt;Authors_Primary&gt;Drapier,N.&lt;/Authors_Primary&gt;&lt;Authors_Primary&gt;Vankerckhoven,V.&lt;/Authors_Primary&gt;&lt;Authors_Primary&gt;Davey,P.&lt;/Authors_Primary&gt;&lt;Authors_Primary&gt;Goossens,H.&lt;/Authors_Primary&gt;&lt;Date_Primary&gt;2012/10&lt;/Date_Primary&gt;&lt;Keywords&gt;Adolescent&lt;/Keywords&gt;&lt;Keywords&gt;Adult&lt;/Keywords&gt;&lt;Keywords&gt;Aged&lt;/Keywords&gt;&lt;Keywords&gt;Antibiotic Prophylaxis&lt;/Keywords&gt;&lt;Keywords&gt;Antifungal Agents&lt;/Keywords&gt;&lt;Keywords&gt;Child&lt;/Keywords&gt;&lt;Keywords&gt;Child,Preschool&lt;/Keywords&gt;&lt;Keywords&gt;classification&lt;/Keywords&gt;&lt;Keywords&gt;Cross Infection&lt;/Keywords&gt;&lt;Keywords&gt;drug therapy&lt;/Keywords&gt;&lt;Keywords&gt;epidemiology&lt;/Keywords&gt;&lt;Keywords&gt;Europe&lt;/Keywords&gt;&lt;Keywords&gt;Fluconazole&lt;/Keywords&gt;&lt;Keywords&gt;Hospitals&lt;/Keywords&gt;&lt;Keywords&gt;Humans&lt;/Keywords&gt;&lt;Keywords&gt;Infant&lt;/Keywords&gt;&lt;Keywords&gt;Middle Aged&lt;/Keywords&gt;&lt;Keywords&gt;Mycoses&lt;/Keywords&gt;&lt;Keywords&gt;Prevalence&lt;/Keywords&gt;&lt;Keywords&gt;statistics &amp;amp; numerical data&lt;/Keywords&gt;&lt;Keywords&gt;therapeutic use&lt;/Keywords&gt;&lt;Keywords&gt;therapy&lt;/Keywords&gt;&lt;Reprint&gt;Not in File&lt;/Reprint&gt;&lt;Start_Page&gt;E389&lt;/Start_Page&gt;&lt;End_Page&gt;E395&lt;/End_Page&gt;&lt;Periodical&gt;Clin.Microbiol.Infect.&lt;/Periodical&gt;&lt;Volume&gt;18&lt;/Volume&gt;&lt;Issue&gt;10&lt;/Issue&gt;&lt;Address&gt;Infection Control Unit, Mater Dei Hospital, Msida, Malta. peter.zarb@gov.mt&lt;/Address&gt;&lt;Web_URL&gt;PM:22827696&lt;/Web_URL&gt;&lt;ZZ_JournalStdAbbrev&gt;&lt;f name="System"&gt;Clin.Microbiol.Infect.&lt;/f&gt;&lt;/ZZ_JournalStdAbbrev&gt;&lt;ZZ_WorkformID&gt;1&lt;/ZZ_WorkformID&gt;&lt;/MDL&gt;&lt;/Cite&gt;&lt;/Refman&gt;</w:instrText>
      </w:r>
      <w:r w:rsidR="002411CC" w:rsidRPr="00B977AE">
        <w:rPr>
          <w:rFonts w:ascii="Book Antiqua" w:hAnsi="Book Antiqua" w:cs="Arial"/>
          <w:sz w:val="24"/>
          <w:szCs w:val="20"/>
          <w:lang w:val="en-US"/>
        </w:rPr>
        <w:fldChar w:fldCharType="separate"/>
      </w:r>
      <w:r w:rsidR="003804A8" w:rsidRPr="00B977AE">
        <w:rPr>
          <w:rFonts w:ascii="Book Antiqua" w:hAnsi="Book Antiqua" w:cs="Arial"/>
          <w:sz w:val="24"/>
          <w:szCs w:val="20"/>
          <w:vertAlign w:val="superscript"/>
          <w:lang w:val="en-US"/>
        </w:rPr>
        <w:t>[59]</w:t>
      </w:r>
      <w:r w:rsidR="002411CC" w:rsidRPr="00B977AE">
        <w:rPr>
          <w:rFonts w:ascii="Book Antiqua" w:hAnsi="Book Antiqua" w:cs="Arial"/>
          <w:sz w:val="24"/>
          <w:szCs w:val="20"/>
          <w:lang w:val="en-US"/>
        </w:rPr>
        <w:fldChar w:fldCharType="end"/>
      </w:r>
      <w:r w:rsidR="00CD2D84" w:rsidRPr="00B977AE">
        <w:rPr>
          <w:rFonts w:ascii="Book Antiqua" w:hAnsi="Book Antiqua" w:cs="Arial"/>
          <w:sz w:val="24"/>
          <w:szCs w:val="20"/>
          <w:lang w:val="en-US"/>
        </w:rPr>
        <w:t>.</w:t>
      </w:r>
      <w:r w:rsidR="000165BD" w:rsidRPr="00B977AE">
        <w:rPr>
          <w:rFonts w:ascii="Book Antiqua" w:hAnsi="Book Antiqua" w:cs="Arial"/>
          <w:sz w:val="24"/>
          <w:szCs w:val="20"/>
          <w:lang w:val="en-US"/>
        </w:rPr>
        <w:t xml:space="preserve"> As clearly emerged from these drug utilization studies, widely used </w:t>
      </w:r>
      <w:proofErr w:type="spellStart"/>
      <w:r w:rsidR="000165BD" w:rsidRPr="00B977AE">
        <w:rPr>
          <w:rFonts w:ascii="Book Antiqua" w:hAnsi="Book Antiqua" w:cs="Arial"/>
          <w:sz w:val="24"/>
          <w:szCs w:val="20"/>
          <w:lang w:val="en-US"/>
        </w:rPr>
        <w:t>antimycotics</w:t>
      </w:r>
      <w:proofErr w:type="spellEnd"/>
      <w:r w:rsidR="000165BD" w:rsidRPr="00B977AE">
        <w:rPr>
          <w:rFonts w:ascii="Book Antiqua" w:hAnsi="Book Antiqua" w:cs="Arial"/>
          <w:sz w:val="24"/>
          <w:szCs w:val="20"/>
          <w:lang w:val="en-US"/>
        </w:rPr>
        <w:t xml:space="preserve"> are also frequently reported in DI</w:t>
      </w:r>
      <w:r w:rsidR="00884E4F" w:rsidRPr="00B977AE">
        <w:rPr>
          <w:rFonts w:ascii="Book Antiqua" w:hAnsi="Book Antiqua" w:cs="Arial"/>
          <w:sz w:val="24"/>
          <w:szCs w:val="20"/>
          <w:lang w:val="en-US"/>
        </w:rPr>
        <w:t>L</w:t>
      </w:r>
      <w:r w:rsidR="000165BD" w:rsidRPr="00B977AE">
        <w:rPr>
          <w:rFonts w:ascii="Book Antiqua" w:hAnsi="Book Antiqua" w:cs="Arial"/>
          <w:sz w:val="24"/>
          <w:szCs w:val="20"/>
          <w:lang w:val="en-US"/>
        </w:rPr>
        <w:t>I cases extracted from FAERS. Therefore, not only active monitoring is warranted, but also appropriateness of prescriptions should be carefully considered by clinicians.</w:t>
      </w:r>
    </w:p>
    <w:p w:rsidR="00C94D58" w:rsidRPr="00B977AE" w:rsidRDefault="003D5498" w:rsidP="004D1284">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sz w:val="24"/>
          <w:szCs w:val="20"/>
          <w:lang w:val="en-US"/>
        </w:rPr>
        <w:t>Another imp</w:t>
      </w:r>
      <w:r w:rsidR="005967B5" w:rsidRPr="00B977AE">
        <w:rPr>
          <w:rFonts w:ascii="Book Antiqua" w:hAnsi="Book Antiqua" w:cs="Arial"/>
          <w:sz w:val="24"/>
          <w:szCs w:val="20"/>
          <w:lang w:val="en-US"/>
        </w:rPr>
        <w:t>ortant aspect</w:t>
      </w:r>
      <w:r w:rsidRPr="00B977AE">
        <w:rPr>
          <w:rFonts w:ascii="Book Antiqua" w:hAnsi="Book Antiqua" w:cs="Arial"/>
          <w:sz w:val="24"/>
          <w:szCs w:val="20"/>
          <w:lang w:val="en-US"/>
        </w:rPr>
        <w:t xml:space="preserve"> regards the issue of potential drug interactions.</w:t>
      </w:r>
      <w:r w:rsidR="007B0A33" w:rsidRPr="00B977AE">
        <w:rPr>
          <w:rFonts w:ascii="Book Antiqua" w:hAnsi="Book Antiqua" w:cs="Arial"/>
          <w:sz w:val="24"/>
          <w:szCs w:val="20"/>
          <w:lang w:val="en-US"/>
        </w:rPr>
        <w:t xml:space="preserve"> As a matter of fact, </w:t>
      </w:r>
      <w:r w:rsidR="00D45D81" w:rsidRPr="00B977AE">
        <w:rPr>
          <w:rFonts w:ascii="Book Antiqua" w:hAnsi="Book Antiqua" w:cs="Arial"/>
          <w:sz w:val="24"/>
          <w:szCs w:val="20"/>
          <w:lang w:val="en-US"/>
        </w:rPr>
        <w:t xml:space="preserve">several </w:t>
      </w:r>
      <w:proofErr w:type="spellStart"/>
      <w:r w:rsidR="00D45D81" w:rsidRPr="00B977AE">
        <w:rPr>
          <w:rFonts w:ascii="Book Antiqua" w:hAnsi="Book Antiqua" w:cs="Arial"/>
          <w:sz w:val="24"/>
          <w:szCs w:val="20"/>
          <w:lang w:val="en-US"/>
        </w:rPr>
        <w:t>antimycotics</w:t>
      </w:r>
      <w:proofErr w:type="spellEnd"/>
      <w:r w:rsidR="00D45D81" w:rsidRPr="00B977AE">
        <w:rPr>
          <w:rFonts w:ascii="Book Antiqua" w:hAnsi="Book Antiqua" w:cs="Arial"/>
          <w:sz w:val="24"/>
          <w:szCs w:val="20"/>
          <w:lang w:val="en-US"/>
        </w:rPr>
        <w:t xml:space="preserve"> are metabolized or even inhibit crucial liver </w:t>
      </w:r>
      <w:proofErr w:type="spellStart"/>
      <w:r w:rsidR="00D45D81" w:rsidRPr="00B977AE">
        <w:rPr>
          <w:rFonts w:ascii="Book Antiqua" w:hAnsi="Book Antiqua" w:cs="Arial"/>
          <w:sz w:val="24"/>
          <w:szCs w:val="20"/>
          <w:lang w:val="en-US"/>
        </w:rPr>
        <w:t>cytocrom</w:t>
      </w:r>
      <w:r w:rsidR="0079260E" w:rsidRPr="00B977AE">
        <w:rPr>
          <w:rFonts w:ascii="Book Antiqua" w:hAnsi="Book Antiqua" w:cs="Arial"/>
          <w:sz w:val="24"/>
          <w:szCs w:val="20"/>
          <w:lang w:val="en-US"/>
        </w:rPr>
        <w:t>e</w:t>
      </w:r>
      <w:r w:rsidR="00D45D81" w:rsidRPr="00B977AE">
        <w:rPr>
          <w:rFonts w:ascii="Book Antiqua" w:hAnsi="Book Antiqua" w:cs="Arial"/>
          <w:sz w:val="24"/>
          <w:szCs w:val="20"/>
          <w:lang w:val="en-US"/>
        </w:rPr>
        <w:t>s</w:t>
      </w:r>
      <w:proofErr w:type="spellEnd"/>
      <w:r w:rsidR="00D45D81" w:rsidRPr="00B977AE">
        <w:rPr>
          <w:rFonts w:ascii="Book Antiqua" w:hAnsi="Book Antiqua" w:cs="Arial"/>
          <w:sz w:val="24"/>
          <w:szCs w:val="20"/>
          <w:lang w:val="en-US"/>
        </w:rPr>
        <w:t xml:space="preserve"> for drug metabolism (</w:t>
      </w:r>
      <w:r w:rsidR="0004797C" w:rsidRPr="0004797C">
        <w:rPr>
          <w:rFonts w:ascii="Book Antiqua" w:hAnsi="Book Antiqua" w:cs="Arial"/>
          <w:i/>
          <w:sz w:val="24"/>
          <w:szCs w:val="20"/>
          <w:lang w:val="en-US"/>
        </w:rPr>
        <w:t>e.g</w:t>
      </w:r>
      <w:r w:rsidR="00D45D81" w:rsidRPr="00B977AE">
        <w:rPr>
          <w:rFonts w:ascii="Book Antiqua" w:hAnsi="Book Antiqua" w:cs="Arial"/>
          <w:sz w:val="24"/>
          <w:szCs w:val="20"/>
          <w:lang w:val="en-US"/>
        </w:rPr>
        <w:t xml:space="preserve">., CYP3A4) (Table </w:t>
      </w:r>
      <w:r w:rsidR="00814338">
        <w:rPr>
          <w:rFonts w:ascii="Book Antiqua" w:hAnsi="Book Antiqua" w:cs="Arial" w:hint="eastAsia"/>
          <w:sz w:val="24"/>
          <w:szCs w:val="20"/>
          <w:lang w:val="en-US" w:eastAsia="zh-CN"/>
        </w:rPr>
        <w:t>4</w:t>
      </w:r>
      <w:r w:rsidR="00D45D81" w:rsidRPr="00B977AE">
        <w:rPr>
          <w:rFonts w:ascii="Book Antiqua" w:hAnsi="Book Antiqua" w:cs="Arial"/>
          <w:sz w:val="24"/>
          <w:szCs w:val="20"/>
          <w:lang w:val="en-US"/>
        </w:rPr>
        <w:t>).</w:t>
      </w:r>
      <w:r w:rsidR="00672FBF" w:rsidRPr="00B977AE">
        <w:rPr>
          <w:rFonts w:ascii="Book Antiqua" w:hAnsi="Book Antiqua" w:cs="Arial"/>
          <w:sz w:val="24"/>
          <w:szCs w:val="20"/>
          <w:lang w:val="en-US"/>
        </w:rPr>
        <w:t xml:space="preserve"> Although the clinical relevance of drug interactions is still a matter of debate, concomitant administration of drugs and/or herb (which are recognized to have hepatotoxic potential</w:t>
      </w:r>
      <w:r w:rsidR="003100AD" w:rsidRPr="00B977AE">
        <w:rPr>
          <w:rFonts w:ascii="Book Antiqua" w:hAnsi="Book Antiqua" w:cs="Arial"/>
          <w:sz w:val="24"/>
          <w:szCs w:val="20"/>
          <w:lang w:val="en-US"/>
        </w:rPr>
        <w:t>) should be assessed for potential interactions or interference with hepatic metabolism.</w:t>
      </w:r>
      <w:r w:rsidR="00C94D58" w:rsidRPr="00B977AE">
        <w:rPr>
          <w:rFonts w:ascii="Book Antiqua" w:hAnsi="Book Antiqua" w:cs="Arial"/>
          <w:sz w:val="24"/>
          <w:szCs w:val="20"/>
          <w:lang w:val="en-US"/>
        </w:rPr>
        <w:t xml:space="preserve"> Remarkably, the clinical implications of our data are also influenced by the different therapeutic indications of </w:t>
      </w:r>
      <w:proofErr w:type="spellStart"/>
      <w:r w:rsidR="00C94D58" w:rsidRPr="00B977AE">
        <w:rPr>
          <w:rFonts w:ascii="Book Antiqua" w:hAnsi="Book Antiqua" w:cs="Arial"/>
          <w:sz w:val="24"/>
          <w:szCs w:val="20"/>
          <w:lang w:val="en-US"/>
        </w:rPr>
        <w:t>antimycotics</w:t>
      </w:r>
      <w:proofErr w:type="spellEnd"/>
      <w:r w:rsidR="00C94D58" w:rsidRPr="00B977AE">
        <w:rPr>
          <w:rFonts w:ascii="Book Antiqua" w:hAnsi="Book Antiqua" w:cs="Arial"/>
          <w:sz w:val="24"/>
          <w:szCs w:val="20"/>
          <w:lang w:val="en-US"/>
        </w:rPr>
        <w:t xml:space="preserve"> (Table </w:t>
      </w:r>
      <w:r w:rsidR="00814338">
        <w:rPr>
          <w:rFonts w:ascii="Book Antiqua" w:hAnsi="Book Antiqua" w:cs="Arial" w:hint="eastAsia"/>
          <w:sz w:val="24"/>
          <w:szCs w:val="20"/>
          <w:lang w:val="en-US" w:eastAsia="zh-CN"/>
        </w:rPr>
        <w:t>4</w:t>
      </w:r>
      <w:r w:rsidR="00C94D58" w:rsidRPr="00B977AE">
        <w:rPr>
          <w:rFonts w:ascii="Book Antiqua" w:hAnsi="Book Antiqua" w:cs="Arial"/>
          <w:sz w:val="24"/>
          <w:szCs w:val="20"/>
          <w:lang w:val="en-US"/>
        </w:rPr>
        <w:t>).</w:t>
      </w:r>
      <w:r w:rsidR="003432CF" w:rsidRPr="00B977AE">
        <w:rPr>
          <w:rFonts w:ascii="Book Antiqua" w:hAnsi="Book Antiqua" w:cs="Arial"/>
          <w:sz w:val="24"/>
          <w:szCs w:val="20"/>
          <w:lang w:val="en-US"/>
        </w:rPr>
        <w:t xml:space="preserve"> In this context, </w:t>
      </w:r>
      <w:proofErr w:type="spellStart"/>
      <w:r w:rsidR="003432CF" w:rsidRPr="00B977AE">
        <w:rPr>
          <w:rFonts w:ascii="Book Antiqua" w:hAnsi="Book Antiqua" w:cs="Arial"/>
          <w:sz w:val="24"/>
          <w:szCs w:val="20"/>
          <w:lang w:val="en-US"/>
        </w:rPr>
        <w:t>griseofulvin</w:t>
      </w:r>
      <w:proofErr w:type="spellEnd"/>
      <w:r w:rsidR="00F97E18" w:rsidRPr="00B977AE">
        <w:rPr>
          <w:rFonts w:ascii="Book Antiqua" w:hAnsi="Book Antiqua" w:cs="Arial"/>
          <w:sz w:val="24"/>
          <w:szCs w:val="20"/>
          <w:lang w:val="en-US"/>
        </w:rPr>
        <w:t>,</w:t>
      </w:r>
      <w:r w:rsidR="003432CF" w:rsidRPr="00B977AE">
        <w:rPr>
          <w:rFonts w:ascii="Book Antiqua" w:hAnsi="Book Antiqua" w:cs="Arial"/>
          <w:sz w:val="24"/>
          <w:szCs w:val="20"/>
          <w:lang w:val="en-US"/>
        </w:rPr>
        <w:t xml:space="preserve"> </w:t>
      </w:r>
      <w:proofErr w:type="spellStart"/>
      <w:r w:rsidR="003432CF" w:rsidRPr="00B977AE">
        <w:rPr>
          <w:rFonts w:ascii="Book Antiqua" w:hAnsi="Book Antiqua" w:cs="Arial"/>
          <w:sz w:val="24"/>
          <w:szCs w:val="20"/>
          <w:lang w:val="en-US"/>
        </w:rPr>
        <w:t>terbinafine</w:t>
      </w:r>
      <w:proofErr w:type="spellEnd"/>
      <w:r w:rsidR="00F97E18" w:rsidRPr="00B977AE">
        <w:rPr>
          <w:rFonts w:ascii="Book Antiqua" w:hAnsi="Book Antiqua" w:cs="Arial"/>
          <w:sz w:val="24"/>
          <w:szCs w:val="20"/>
          <w:lang w:val="en-US"/>
        </w:rPr>
        <w:t xml:space="preserve">, fluconazole and </w:t>
      </w:r>
      <w:proofErr w:type="spellStart"/>
      <w:r w:rsidR="00F97E18" w:rsidRPr="00B977AE">
        <w:rPr>
          <w:rFonts w:ascii="Book Antiqua" w:hAnsi="Book Antiqua" w:cs="Arial"/>
          <w:sz w:val="24"/>
          <w:szCs w:val="20"/>
          <w:lang w:val="en-US"/>
        </w:rPr>
        <w:t>itraconazole</w:t>
      </w:r>
      <w:proofErr w:type="spellEnd"/>
      <w:r w:rsidR="003432CF" w:rsidRPr="00B977AE">
        <w:rPr>
          <w:rFonts w:ascii="Book Antiqua" w:hAnsi="Book Antiqua" w:cs="Arial"/>
          <w:sz w:val="24"/>
          <w:szCs w:val="20"/>
          <w:lang w:val="en-US"/>
        </w:rPr>
        <w:t xml:space="preserve"> share </w:t>
      </w:r>
      <w:proofErr w:type="spellStart"/>
      <w:r w:rsidR="003432CF" w:rsidRPr="00B977AE">
        <w:rPr>
          <w:rFonts w:ascii="Book Antiqua" w:hAnsi="Book Antiqua" w:cs="Arial"/>
          <w:sz w:val="24"/>
          <w:szCs w:val="20"/>
          <w:lang w:val="en-US"/>
        </w:rPr>
        <w:t>onicomycosis</w:t>
      </w:r>
      <w:proofErr w:type="spellEnd"/>
      <w:r w:rsidR="003432CF" w:rsidRPr="00B977AE">
        <w:rPr>
          <w:rFonts w:ascii="Book Antiqua" w:hAnsi="Book Antiqua" w:cs="Arial"/>
          <w:sz w:val="24"/>
          <w:szCs w:val="20"/>
          <w:lang w:val="en-US"/>
        </w:rPr>
        <w:t xml:space="preserve"> as main indication, </w:t>
      </w:r>
      <w:r w:rsidR="00F97E18" w:rsidRPr="00B977AE">
        <w:rPr>
          <w:rFonts w:ascii="Book Antiqua" w:hAnsi="Book Antiqua" w:cs="Arial"/>
          <w:sz w:val="24"/>
          <w:szCs w:val="20"/>
          <w:lang w:val="en-US"/>
        </w:rPr>
        <w:t xml:space="preserve">whereas </w:t>
      </w:r>
      <w:proofErr w:type="spellStart"/>
      <w:r w:rsidR="00F97E18" w:rsidRPr="00B977AE">
        <w:rPr>
          <w:rFonts w:ascii="Book Antiqua" w:hAnsi="Book Antiqua" w:cs="Arial"/>
          <w:sz w:val="24"/>
          <w:szCs w:val="20"/>
          <w:lang w:val="en-US"/>
        </w:rPr>
        <w:t>micafungin</w:t>
      </w:r>
      <w:proofErr w:type="spellEnd"/>
      <w:r w:rsidR="00F97E18" w:rsidRPr="00B977AE">
        <w:rPr>
          <w:rFonts w:ascii="Book Antiqua" w:hAnsi="Book Antiqua" w:cs="Arial"/>
          <w:sz w:val="24"/>
          <w:szCs w:val="20"/>
          <w:lang w:val="en-US"/>
        </w:rPr>
        <w:t xml:space="preserve">, </w:t>
      </w:r>
      <w:proofErr w:type="spellStart"/>
      <w:r w:rsidR="00F97E18" w:rsidRPr="00B977AE">
        <w:rPr>
          <w:rFonts w:ascii="Book Antiqua" w:hAnsi="Book Antiqua" w:cs="Arial"/>
          <w:sz w:val="24"/>
          <w:szCs w:val="20"/>
          <w:lang w:val="en-US"/>
        </w:rPr>
        <w:t>voriconazole</w:t>
      </w:r>
      <w:proofErr w:type="spellEnd"/>
      <w:r w:rsidR="00F97E18" w:rsidRPr="00B977AE">
        <w:rPr>
          <w:rFonts w:ascii="Book Antiqua" w:hAnsi="Book Antiqua" w:cs="Arial"/>
          <w:sz w:val="24"/>
          <w:szCs w:val="20"/>
          <w:lang w:val="en-US"/>
        </w:rPr>
        <w:t xml:space="preserve">, </w:t>
      </w:r>
      <w:proofErr w:type="spellStart"/>
      <w:r w:rsidR="00F97E18" w:rsidRPr="00B977AE">
        <w:rPr>
          <w:rFonts w:ascii="Book Antiqua" w:hAnsi="Book Antiqua" w:cs="Arial"/>
          <w:sz w:val="24"/>
          <w:szCs w:val="20"/>
          <w:lang w:val="en-US"/>
        </w:rPr>
        <w:t>posaconazole</w:t>
      </w:r>
      <w:proofErr w:type="spellEnd"/>
      <w:r w:rsidR="00233D0A" w:rsidRPr="00B977AE">
        <w:rPr>
          <w:rFonts w:ascii="Book Antiqua" w:hAnsi="Book Antiqua" w:cs="Arial"/>
          <w:sz w:val="24"/>
          <w:szCs w:val="20"/>
          <w:lang w:val="en-US"/>
        </w:rPr>
        <w:t>,</w:t>
      </w:r>
      <w:r w:rsidR="00F97E18" w:rsidRPr="00B977AE">
        <w:rPr>
          <w:rFonts w:ascii="Book Antiqua" w:hAnsi="Book Antiqua" w:cs="Arial"/>
          <w:sz w:val="24"/>
          <w:szCs w:val="20"/>
          <w:lang w:val="en-US"/>
        </w:rPr>
        <w:t xml:space="preserve"> </w:t>
      </w:r>
      <w:proofErr w:type="spellStart"/>
      <w:r w:rsidR="00F97E18" w:rsidRPr="00B977AE">
        <w:rPr>
          <w:rFonts w:ascii="Book Antiqua" w:hAnsi="Book Antiqua" w:cs="Arial"/>
          <w:sz w:val="24"/>
          <w:szCs w:val="20"/>
          <w:lang w:val="en-US"/>
        </w:rPr>
        <w:t>caspofungin</w:t>
      </w:r>
      <w:proofErr w:type="spellEnd"/>
      <w:r w:rsidR="00F97E18" w:rsidRPr="00B977AE">
        <w:rPr>
          <w:rFonts w:ascii="Book Antiqua" w:hAnsi="Book Antiqua" w:cs="Arial"/>
          <w:sz w:val="24"/>
          <w:szCs w:val="20"/>
          <w:lang w:val="en-US"/>
        </w:rPr>
        <w:t xml:space="preserve"> </w:t>
      </w:r>
      <w:r w:rsidR="00233D0A" w:rsidRPr="00B977AE">
        <w:rPr>
          <w:rFonts w:ascii="Book Antiqua" w:hAnsi="Book Antiqua" w:cs="Arial"/>
          <w:sz w:val="24"/>
          <w:szCs w:val="20"/>
          <w:lang w:val="en-US"/>
        </w:rPr>
        <w:t xml:space="preserve">and amphotericin </w:t>
      </w:r>
      <w:r w:rsidR="00F97E18" w:rsidRPr="00B977AE">
        <w:rPr>
          <w:rFonts w:ascii="Book Antiqua" w:hAnsi="Book Antiqua" w:cs="Arial"/>
          <w:sz w:val="24"/>
          <w:szCs w:val="20"/>
          <w:lang w:val="en-US"/>
        </w:rPr>
        <w:t>are used for systemic invasive infections, implying different baseline patients’ conditions that may contribute to increase their hepatotoxic potential.</w:t>
      </w:r>
      <w:r w:rsidR="00233D0A" w:rsidRPr="00B977AE">
        <w:rPr>
          <w:rFonts w:ascii="Book Antiqua" w:hAnsi="Book Antiqua" w:cs="Arial"/>
          <w:sz w:val="24"/>
          <w:szCs w:val="20"/>
          <w:lang w:val="en-US"/>
        </w:rPr>
        <w:t xml:space="preserve"> In particular, </w:t>
      </w:r>
      <w:proofErr w:type="spellStart"/>
      <w:r w:rsidR="00233D0A" w:rsidRPr="00B977AE">
        <w:rPr>
          <w:rFonts w:ascii="Book Antiqua" w:hAnsi="Book Antiqua" w:cs="Arial"/>
          <w:sz w:val="24"/>
          <w:szCs w:val="20"/>
          <w:lang w:val="en-US"/>
        </w:rPr>
        <w:t>voriconazole</w:t>
      </w:r>
      <w:proofErr w:type="spellEnd"/>
      <w:r w:rsidR="00233D0A" w:rsidRPr="00B977AE">
        <w:rPr>
          <w:rFonts w:ascii="Book Antiqua" w:hAnsi="Book Antiqua" w:cs="Arial"/>
          <w:sz w:val="24"/>
          <w:szCs w:val="20"/>
          <w:lang w:val="en-US"/>
        </w:rPr>
        <w:t xml:space="preserve"> and </w:t>
      </w:r>
      <w:proofErr w:type="spellStart"/>
      <w:r w:rsidR="00233D0A" w:rsidRPr="00B977AE">
        <w:rPr>
          <w:rFonts w:ascii="Book Antiqua" w:hAnsi="Book Antiqua" w:cs="Arial"/>
          <w:sz w:val="24"/>
          <w:szCs w:val="20"/>
          <w:lang w:val="en-US"/>
        </w:rPr>
        <w:t>posaconazole</w:t>
      </w:r>
      <w:proofErr w:type="spellEnd"/>
      <w:r w:rsidR="00233D0A" w:rsidRPr="00B977AE">
        <w:rPr>
          <w:rFonts w:ascii="Book Antiqua" w:hAnsi="Book Antiqua" w:cs="Arial"/>
          <w:sz w:val="24"/>
          <w:szCs w:val="20"/>
          <w:lang w:val="en-US"/>
        </w:rPr>
        <w:t xml:space="preserve"> are the most recently marketed compound</w:t>
      </w:r>
      <w:r w:rsidR="00576D84" w:rsidRPr="00B977AE">
        <w:rPr>
          <w:rFonts w:ascii="Book Antiqua" w:hAnsi="Book Antiqua" w:cs="Arial"/>
          <w:sz w:val="24"/>
          <w:szCs w:val="20"/>
          <w:lang w:val="en-US"/>
        </w:rPr>
        <w:t xml:space="preserve"> and are indicated as second-line treatment for invasive fungal infections (</w:t>
      </w:r>
      <w:r w:rsidR="0004797C" w:rsidRPr="0004797C">
        <w:rPr>
          <w:rFonts w:ascii="Book Antiqua" w:hAnsi="Book Antiqua" w:cs="Arial"/>
          <w:i/>
          <w:sz w:val="24"/>
          <w:szCs w:val="20"/>
          <w:lang w:val="en-US"/>
        </w:rPr>
        <w:t>e.g</w:t>
      </w:r>
      <w:r w:rsidR="00576D84" w:rsidRPr="00B977AE">
        <w:rPr>
          <w:rFonts w:ascii="Book Antiqua" w:hAnsi="Book Antiqua" w:cs="Arial"/>
          <w:sz w:val="24"/>
          <w:szCs w:val="20"/>
          <w:lang w:val="en-US"/>
        </w:rPr>
        <w:t>., following treatment failure with fluconazole); therefore, a potential channeling bias should be considered (</w:t>
      </w:r>
      <w:r w:rsidR="00553915" w:rsidRPr="00B977AE">
        <w:rPr>
          <w:rFonts w:ascii="Book Antiqua" w:hAnsi="Book Antiqua" w:cs="Arial"/>
          <w:i/>
          <w:sz w:val="24"/>
          <w:szCs w:val="20"/>
          <w:lang w:val="en-US"/>
        </w:rPr>
        <w:t>i.e.</w:t>
      </w:r>
      <w:r w:rsidR="00576D84" w:rsidRPr="00B977AE">
        <w:rPr>
          <w:rFonts w:ascii="Book Antiqua" w:hAnsi="Book Antiqua" w:cs="Arial"/>
          <w:sz w:val="24"/>
          <w:szCs w:val="20"/>
          <w:lang w:val="en-US"/>
        </w:rPr>
        <w:t>, the possibility that drugs may be differently prescribed in relation to the severity of disease).</w:t>
      </w:r>
    </w:p>
    <w:p w:rsidR="00EC6011" w:rsidRPr="00B977AE" w:rsidRDefault="00B32F97" w:rsidP="004D1284">
      <w:pPr>
        <w:autoSpaceDE w:val="0"/>
        <w:autoSpaceDN w:val="0"/>
        <w:adjustRightInd w:val="0"/>
        <w:spacing w:line="360" w:lineRule="auto"/>
        <w:ind w:firstLineChars="150" w:firstLine="360"/>
        <w:jc w:val="both"/>
        <w:rPr>
          <w:rFonts w:ascii="Book Antiqua" w:hAnsi="Book Antiqua" w:cs="Arial"/>
          <w:sz w:val="24"/>
          <w:szCs w:val="20"/>
          <w:lang w:val="en-US"/>
        </w:rPr>
      </w:pPr>
      <w:r w:rsidRPr="00B977AE">
        <w:rPr>
          <w:rFonts w:ascii="Book Antiqua" w:hAnsi="Book Antiqua" w:cs="Arial"/>
          <w:sz w:val="24"/>
          <w:szCs w:val="20"/>
          <w:lang w:val="en-US" w:eastAsia="zh-CN"/>
        </w:rPr>
        <w:t xml:space="preserve">In a </w:t>
      </w:r>
      <w:r w:rsidRPr="00B977AE">
        <w:rPr>
          <w:rFonts w:ascii="Book Antiqua" w:hAnsi="Book Antiqua" w:cs="Arial"/>
          <w:sz w:val="24"/>
          <w:szCs w:val="20"/>
          <w:lang w:val="en-US"/>
        </w:rPr>
        <w:t>c</w:t>
      </w:r>
      <w:r w:rsidR="003F6A52" w:rsidRPr="00B977AE">
        <w:rPr>
          <w:rFonts w:ascii="Book Antiqua" w:hAnsi="Book Antiqua" w:cs="Arial"/>
          <w:sz w:val="24"/>
          <w:szCs w:val="20"/>
          <w:lang w:val="en-US"/>
        </w:rPr>
        <w:t>onclusion</w:t>
      </w:r>
      <w:r w:rsidRPr="00B977AE">
        <w:rPr>
          <w:rFonts w:ascii="Book Antiqua" w:hAnsi="Book Antiqua" w:cs="Arial"/>
          <w:sz w:val="24"/>
          <w:szCs w:val="20"/>
          <w:lang w:val="en-US" w:eastAsia="zh-CN"/>
        </w:rPr>
        <w:t>,</w:t>
      </w:r>
      <w:r w:rsidRPr="00B977AE">
        <w:rPr>
          <w:rFonts w:ascii="Book Antiqua" w:hAnsi="Book Antiqua" w:cs="Arial"/>
          <w:b/>
          <w:sz w:val="24"/>
          <w:szCs w:val="20"/>
          <w:lang w:val="en-US" w:eastAsia="zh-CN"/>
        </w:rPr>
        <w:t xml:space="preserve"> </w:t>
      </w:r>
      <w:r w:rsidRPr="00B977AE">
        <w:rPr>
          <w:rFonts w:ascii="Book Antiqua" w:hAnsi="Book Antiqua" w:cs="Arial"/>
          <w:sz w:val="24"/>
          <w:szCs w:val="20"/>
          <w:lang w:val="en-US"/>
        </w:rPr>
        <w:t>w</w:t>
      </w:r>
      <w:r w:rsidR="00506457" w:rsidRPr="00B977AE">
        <w:rPr>
          <w:rFonts w:ascii="Book Antiqua" w:hAnsi="Book Antiqua" w:cs="Arial"/>
          <w:sz w:val="24"/>
          <w:szCs w:val="20"/>
          <w:lang w:val="en-US"/>
        </w:rPr>
        <w:t xml:space="preserve">e have used the recent regulatory case of ketoconazole to provide clues to clinicians </w:t>
      </w:r>
      <w:r w:rsidR="00EC6011" w:rsidRPr="00B977AE">
        <w:rPr>
          <w:rFonts w:ascii="Book Antiqua" w:hAnsi="Book Antiqua" w:cs="Arial"/>
          <w:sz w:val="24"/>
          <w:szCs w:val="20"/>
          <w:lang w:val="en-US"/>
        </w:rPr>
        <w:t xml:space="preserve">needing practical guidance to assign the level of DILI risk among </w:t>
      </w:r>
      <w:proofErr w:type="spellStart"/>
      <w:r w:rsidR="00EC6011" w:rsidRPr="00B977AE">
        <w:rPr>
          <w:rFonts w:ascii="Book Antiqua" w:hAnsi="Book Antiqua" w:cs="Arial"/>
          <w:sz w:val="24"/>
          <w:szCs w:val="20"/>
          <w:lang w:val="en-US"/>
        </w:rPr>
        <w:t>antimycotics</w:t>
      </w:r>
      <w:proofErr w:type="spellEnd"/>
      <w:r w:rsidR="00EC6011" w:rsidRPr="00B977AE">
        <w:rPr>
          <w:rFonts w:ascii="Book Antiqua" w:hAnsi="Book Antiqua" w:cs="Arial"/>
          <w:sz w:val="24"/>
          <w:szCs w:val="20"/>
          <w:lang w:val="en-US"/>
        </w:rPr>
        <w:t>.</w:t>
      </w:r>
    </w:p>
    <w:p w:rsidR="00CD242A" w:rsidRPr="00B977AE" w:rsidRDefault="00CD242A"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From our analysis</w:t>
      </w:r>
      <w:r w:rsidR="00FC7A8C" w:rsidRPr="00B977AE">
        <w:rPr>
          <w:rFonts w:ascii="Book Antiqua" w:hAnsi="Book Antiqua" w:cs="Arial"/>
          <w:sz w:val="24"/>
          <w:szCs w:val="20"/>
          <w:lang w:val="en-US"/>
        </w:rPr>
        <w:t>,</w:t>
      </w:r>
      <w:r w:rsidRPr="00B977AE">
        <w:rPr>
          <w:rFonts w:ascii="Book Antiqua" w:hAnsi="Book Antiqua" w:cs="Arial"/>
          <w:sz w:val="24"/>
          <w:szCs w:val="20"/>
          <w:lang w:val="en-US"/>
        </w:rPr>
        <w:t xml:space="preserve"> it clearly emerges that it is not possib</w:t>
      </w:r>
      <w:r w:rsidR="00EC6011" w:rsidRPr="00B977AE">
        <w:rPr>
          <w:rFonts w:ascii="Book Antiqua" w:hAnsi="Book Antiqua" w:cs="Arial"/>
          <w:sz w:val="24"/>
          <w:szCs w:val="20"/>
          <w:lang w:val="en-US"/>
        </w:rPr>
        <w:t xml:space="preserve">le to identify a safe systemic </w:t>
      </w:r>
      <w:proofErr w:type="spellStart"/>
      <w:r w:rsidR="00EC6011" w:rsidRPr="00B977AE">
        <w:rPr>
          <w:rFonts w:ascii="Book Antiqua" w:hAnsi="Book Antiqua" w:cs="Arial"/>
          <w:sz w:val="24"/>
          <w:szCs w:val="20"/>
          <w:lang w:val="en-US"/>
        </w:rPr>
        <w:t>antimycotic</w:t>
      </w:r>
      <w:proofErr w:type="spellEnd"/>
      <w:r w:rsidRPr="00B977AE">
        <w:rPr>
          <w:rFonts w:ascii="Book Antiqua" w:hAnsi="Book Antiqua" w:cs="Arial"/>
          <w:sz w:val="24"/>
          <w:szCs w:val="20"/>
          <w:lang w:val="en-US"/>
        </w:rPr>
        <w:t xml:space="preserve"> because all agents show a disproportionality signal for DILI. </w:t>
      </w:r>
      <w:r w:rsidR="008134F3" w:rsidRPr="00B977AE">
        <w:rPr>
          <w:rFonts w:ascii="Book Antiqua" w:hAnsi="Book Antiqua" w:cs="Arial"/>
          <w:sz w:val="24"/>
          <w:szCs w:val="20"/>
          <w:lang w:val="en-US"/>
        </w:rPr>
        <w:t>Although</w:t>
      </w:r>
      <w:r w:rsidRPr="00B977AE">
        <w:rPr>
          <w:rFonts w:ascii="Book Antiqua" w:hAnsi="Book Antiqua" w:cs="Arial"/>
          <w:sz w:val="24"/>
          <w:szCs w:val="20"/>
          <w:lang w:val="en-US"/>
        </w:rPr>
        <w:t xml:space="preserve"> this </w:t>
      </w:r>
      <w:r w:rsidRPr="00B977AE">
        <w:rPr>
          <w:rFonts w:ascii="Book Antiqua" w:hAnsi="Book Antiqua" w:cs="Arial"/>
          <w:sz w:val="24"/>
          <w:szCs w:val="20"/>
          <w:lang w:val="en-US"/>
        </w:rPr>
        <w:lastRenderedPageBreak/>
        <w:t>safety issue was already</w:t>
      </w:r>
      <w:r w:rsidR="008134F3" w:rsidRPr="00B977AE">
        <w:rPr>
          <w:rFonts w:ascii="Book Antiqua" w:hAnsi="Book Antiqua" w:cs="Arial"/>
          <w:sz w:val="24"/>
          <w:szCs w:val="20"/>
          <w:lang w:val="en-US"/>
        </w:rPr>
        <w:t xml:space="preserve"> </w:t>
      </w:r>
      <w:r w:rsidRPr="00B977AE">
        <w:rPr>
          <w:rFonts w:ascii="Book Antiqua" w:hAnsi="Book Antiqua" w:cs="Arial"/>
          <w:sz w:val="24"/>
          <w:szCs w:val="20"/>
          <w:lang w:val="en-US"/>
        </w:rPr>
        <w:t>formally m</w:t>
      </w:r>
      <w:r w:rsidR="008134F3" w:rsidRPr="00B977AE">
        <w:rPr>
          <w:rFonts w:ascii="Book Antiqua" w:hAnsi="Book Antiqua" w:cs="Arial"/>
          <w:sz w:val="24"/>
          <w:szCs w:val="20"/>
          <w:lang w:val="en-US"/>
        </w:rPr>
        <w:t xml:space="preserve">entioned in the label, it </w:t>
      </w:r>
      <w:r w:rsidRPr="00B977AE">
        <w:rPr>
          <w:rFonts w:ascii="Book Antiqua" w:hAnsi="Book Antiqua" w:cs="Arial"/>
          <w:sz w:val="24"/>
          <w:szCs w:val="20"/>
          <w:lang w:val="en-US"/>
        </w:rPr>
        <w:t>is still possible that clinicians do not fully appreciate this aspect.</w:t>
      </w:r>
    </w:p>
    <w:p w:rsidR="00B1242B" w:rsidRPr="00B977AE" w:rsidRDefault="00CD242A"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The</w:t>
      </w:r>
      <w:r w:rsidR="008134F3" w:rsidRPr="00B977AE">
        <w:rPr>
          <w:rFonts w:ascii="Book Antiqua" w:hAnsi="Book Antiqua" w:cs="Arial"/>
          <w:sz w:val="24"/>
          <w:szCs w:val="20"/>
          <w:lang w:val="en-US"/>
        </w:rPr>
        <w:t xml:space="preserve"> recent marketing restrictions of ketoc</w:t>
      </w:r>
      <w:r w:rsidRPr="00B977AE">
        <w:rPr>
          <w:rFonts w:ascii="Book Antiqua" w:hAnsi="Book Antiqua" w:cs="Arial"/>
          <w:sz w:val="24"/>
          <w:szCs w:val="20"/>
          <w:lang w:val="en-US"/>
        </w:rPr>
        <w:t xml:space="preserve">onazole by regulatory Agencies should not lead physicians to overlook hepatotoxicity due to other systemic antifungals. </w:t>
      </w:r>
      <w:r w:rsidR="00245B2D" w:rsidRPr="00B977AE">
        <w:rPr>
          <w:rFonts w:ascii="Book Antiqua" w:hAnsi="Book Antiqua" w:cs="Arial"/>
          <w:sz w:val="24"/>
          <w:szCs w:val="20"/>
          <w:lang w:val="en-US"/>
        </w:rPr>
        <w:t>Careful monitoring is therefore recommended, especially in critical poly-treated patients</w:t>
      </w:r>
      <w:r w:rsidR="00B1242B" w:rsidRPr="00B977AE">
        <w:rPr>
          <w:rFonts w:ascii="Book Antiqua" w:hAnsi="Book Antiqua" w:cs="Arial"/>
          <w:sz w:val="24"/>
          <w:szCs w:val="20"/>
          <w:lang w:val="en-US"/>
        </w:rPr>
        <w:t>, keeping in mind that treatment usually requires drug exposure for a significant period of time</w:t>
      </w:r>
      <w:r w:rsidR="00245B2D" w:rsidRPr="00B977AE">
        <w:rPr>
          <w:rFonts w:ascii="Book Antiqua" w:hAnsi="Book Antiqua" w:cs="Arial"/>
          <w:sz w:val="24"/>
          <w:szCs w:val="20"/>
          <w:lang w:val="en-US"/>
        </w:rPr>
        <w:t>.</w:t>
      </w:r>
    </w:p>
    <w:p w:rsidR="003F6A52" w:rsidRPr="00B977AE" w:rsidRDefault="00102A5E" w:rsidP="004D1284">
      <w:pPr>
        <w:autoSpaceDE w:val="0"/>
        <w:autoSpaceDN w:val="0"/>
        <w:adjustRightInd w:val="0"/>
        <w:spacing w:line="360" w:lineRule="auto"/>
        <w:ind w:firstLineChars="200" w:firstLine="480"/>
        <w:jc w:val="both"/>
        <w:rPr>
          <w:rFonts w:ascii="Book Antiqua" w:hAnsi="Book Antiqua" w:cs="Arial"/>
          <w:sz w:val="24"/>
          <w:szCs w:val="20"/>
          <w:lang w:val="en-US"/>
        </w:rPr>
      </w:pPr>
      <w:r w:rsidRPr="00B977AE">
        <w:rPr>
          <w:rFonts w:ascii="Book Antiqua" w:hAnsi="Book Antiqua" w:cs="Arial"/>
          <w:sz w:val="24"/>
          <w:szCs w:val="20"/>
          <w:lang w:val="en-US"/>
        </w:rPr>
        <w:t>It is clear that drug developers and clini</w:t>
      </w:r>
      <w:r w:rsidR="00B1242B" w:rsidRPr="00B977AE">
        <w:rPr>
          <w:rFonts w:ascii="Book Antiqua" w:hAnsi="Book Antiqua" w:cs="Arial"/>
          <w:sz w:val="24"/>
          <w:szCs w:val="20"/>
          <w:lang w:val="en-US"/>
        </w:rPr>
        <w:t>cians face</w:t>
      </w:r>
      <w:r w:rsidR="00FC7A8C" w:rsidRPr="00B977AE">
        <w:rPr>
          <w:rFonts w:ascii="Book Antiqua" w:hAnsi="Book Antiqua" w:cs="Arial"/>
          <w:sz w:val="24"/>
          <w:szCs w:val="20"/>
          <w:lang w:val="en-US"/>
        </w:rPr>
        <w:t xml:space="preserve"> a challenging task in</w:t>
      </w:r>
      <w:r w:rsidRPr="00B977AE">
        <w:rPr>
          <w:rFonts w:ascii="Book Antiqua" w:hAnsi="Book Antiqua" w:cs="Arial"/>
          <w:sz w:val="24"/>
          <w:szCs w:val="20"/>
          <w:lang w:val="en-US"/>
        </w:rPr>
        <w:t xml:space="preserve"> early recognition of DILI, a rare but potentially serious event for which drug discontinuation remains the key aspect o</w:t>
      </w:r>
      <w:r w:rsidR="00FC7A8C" w:rsidRPr="00B977AE">
        <w:rPr>
          <w:rFonts w:ascii="Book Antiqua" w:hAnsi="Book Antiqua" w:cs="Arial"/>
          <w:sz w:val="24"/>
          <w:szCs w:val="20"/>
          <w:lang w:val="en-US"/>
        </w:rPr>
        <w:t xml:space="preserve">f </w:t>
      </w:r>
      <w:r w:rsidRPr="00B977AE">
        <w:rPr>
          <w:rFonts w:ascii="Book Antiqua" w:hAnsi="Book Antiqua" w:cs="Arial"/>
          <w:sz w:val="24"/>
          <w:szCs w:val="20"/>
          <w:lang w:val="en-US"/>
        </w:rPr>
        <w:t>management</w:t>
      </w:r>
      <w:r w:rsidR="00CA0118" w:rsidRPr="00B977AE">
        <w:rPr>
          <w:rFonts w:ascii="Book Antiqua" w:hAnsi="Book Antiqua" w:cs="Arial"/>
          <w:sz w:val="24"/>
          <w:szCs w:val="20"/>
          <w:lang w:val="en-US"/>
        </w:rPr>
        <w:t xml:space="preserve">, </w:t>
      </w:r>
      <w:r w:rsidR="00FC7A8C" w:rsidRPr="00B977AE">
        <w:rPr>
          <w:rFonts w:ascii="Book Antiqua" w:hAnsi="Book Antiqua" w:cs="Arial"/>
          <w:sz w:val="24"/>
          <w:szCs w:val="20"/>
          <w:lang w:val="en-US"/>
        </w:rPr>
        <w:t>provided that diagnosis is correct</w:t>
      </w:r>
      <w:r w:rsidRPr="00B977AE">
        <w:rPr>
          <w:rFonts w:ascii="Book Antiqua" w:hAnsi="Book Antiqua" w:cs="Arial"/>
          <w:sz w:val="24"/>
          <w:szCs w:val="20"/>
          <w:lang w:val="en-US"/>
        </w:rPr>
        <w:t>.</w:t>
      </w:r>
      <w:r w:rsidR="006844F6" w:rsidRPr="00B977AE">
        <w:rPr>
          <w:rFonts w:ascii="Book Antiqua" w:hAnsi="Book Antiqua" w:cs="Arial"/>
          <w:sz w:val="24"/>
          <w:szCs w:val="20"/>
          <w:lang w:val="en-US"/>
        </w:rPr>
        <w:t xml:space="preserve"> Therefore, the creation of novel multidisciplinary projects and the implementati</w:t>
      </w:r>
      <w:r w:rsidR="00B1242B" w:rsidRPr="00B977AE">
        <w:rPr>
          <w:rFonts w:ascii="Book Antiqua" w:hAnsi="Book Antiqua" w:cs="Arial"/>
          <w:sz w:val="24"/>
          <w:szCs w:val="20"/>
          <w:lang w:val="en-US"/>
        </w:rPr>
        <w:t>on of existing</w:t>
      </w:r>
      <w:r w:rsidR="006844F6" w:rsidRPr="00B977AE">
        <w:rPr>
          <w:rFonts w:ascii="Book Antiqua" w:hAnsi="Book Antiqua" w:cs="Arial"/>
          <w:sz w:val="24"/>
          <w:szCs w:val="20"/>
          <w:lang w:val="en-US"/>
        </w:rPr>
        <w:t xml:space="preserve"> consortia (</w:t>
      </w:r>
      <w:r w:rsidR="0004797C" w:rsidRPr="0004797C">
        <w:rPr>
          <w:rFonts w:ascii="Book Antiqua" w:hAnsi="Book Antiqua" w:cs="Arial"/>
          <w:i/>
          <w:sz w:val="24"/>
          <w:szCs w:val="20"/>
          <w:lang w:val="en-US"/>
        </w:rPr>
        <w:t>e.g</w:t>
      </w:r>
      <w:r w:rsidR="006844F6" w:rsidRPr="00B977AE">
        <w:rPr>
          <w:rFonts w:ascii="Book Antiqua" w:hAnsi="Book Antiqua" w:cs="Arial"/>
          <w:sz w:val="24"/>
          <w:szCs w:val="20"/>
          <w:lang w:val="en-US"/>
        </w:rPr>
        <w:t xml:space="preserve">., the DILI network) </w:t>
      </w:r>
      <w:proofErr w:type="gramStart"/>
      <w:r w:rsidR="006844F6" w:rsidRPr="00B977AE">
        <w:rPr>
          <w:rFonts w:ascii="Book Antiqua" w:hAnsi="Book Antiqua" w:cs="Arial"/>
          <w:sz w:val="24"/>
          <w:szCs w:val="20"/>
          <w:lang w:val="en-US"/>
        </w:rPr>
        <w:t>is</w:t>
      </w:r>
      <w:proofErr w:type="gramEnd"/>
      <w:r w:rsidR="006844F6" w:rsidRPr="00B977AE">
        <w:rPr>
          <w:rFonts w:ascii="Book Antiqua" w:hAnsi="Book Antiqua" w:cs="Arial"/>
          <w:sz w:val="24"/>
          <w:szCs w:val="20"/>
          <w:lang w:val="en-US"/>
        </w:rPr>
        <w:t xml:space="preserve"> desirable to achieve the best risk prediction in the preclinical phase and make </w:t>
      </w:r>
      <w:proofErr w:type="spellStart"/>
      <w:r w:rsidR="006844F6" w:rsidRPr="00B977AE">
        <w:rPr>
          <w:rFonts w:ascii="Book Antiqua" w:hAnsi="Book Antiqua" w:cs="Arial"/>
          <w:sz w:val="24"/>
          <w:szCs w:val="20"/>
          <w:lang w:val="en-US"/>
        </w:rPr>
        <w:t>pharmacovigilance</w:t>
      </w:r>
      <w:proofErr w:type="spellEnd"/>
      <w:r w:rsidR="006844F6" w:rsidRPr="00B977AE">
        <w:rPr>
          <w:rFonts w:ascii="Book Antiqua" w:hAnsi="Book Antiqua" w:cs="Arial"/>
          <w:sz w:val="24"/>
          <w:szCs w:val="20"/>
          <w:lang w:val="en-US"/>
        </w:rPr>
        <w:t xml:space="preserve"> a reliable indicator of the post-marketing risk. This </w:t>
      </w:r>
      <w:r w:rsidR="00A46597" w:rsidRPr="00B977AE">
        <w:rPr>
          <w:rFonts w:ascii="Book Antiqua" w:hAnsi="Book Antiqua" w:cs="Arial"/>
          <w:sz w:val="24"/>
          <w:szCs w:val="20"/>
          <w:lang w:val="en-US"/>
        </w:rPr>
        <w:t xml:space="preserve">is </w:t>
      </w:r>
      <w:r w:rsidR="00586DD4" w:rsidRPr="00B977AE">
        <w:rPr>
          <w:rFonts w:ascii="Book Antiqua" w:hAnsi="Book Antiqua" w:cs="Arial"/>
          <w:sz w:val="24"/>
          <w:szCs w:val="20"/>
          <w:lang w:val="en-US"/>
        </w:rPr>
        <w:t xml:space="preserve">also </w:t>
      </w:r>
      <w:r w:rsidR="00A46597" w:rsidRPr="00B977AE">
        <w:rPr>
          <w:rFonts w:ascii="Book Antiqua" w:hAnsi="Book Antiqua" w:cs="Arial"/>
          <w:sz w:val="24"/>
          <w:szCs w:val="20"/>
          <w:lang w:val="en-US"/>
        </w:rPr>
        <w:t xml:space="preserve">in line with </w:t>
      </w:r>
      <w:r w:rsidR="00B1242B" w:rsidRPr="00B977AE">
        <w:rPr>
          <w:rFonts w:ascii="Book Antiqua" w:hAnsi="Book Antiqua" w:cs="Arial"/>
          <w:sz w:val="24"/>
          <w:szCs w:val="20"/>
          <w:lang w:val="en-US"/>
        </w:rPr>
        <w:t>new European</w:t>
      </w:r>
      <w:r w:rsidR="00A46597" w:rsidRPr="00B977AE">
        <w:rPr>
          <w:rFonts w:ascii="Book Antiqua" w:hAnsi="Book Antiqua" w:cs="Arial"/>
          <w:sz w:val="24"/>
          <w:szCs w:val="20"/>
          <w:lang w:val="en-US"/>
        </w:rPr>
        <w:t xml:space="preserve"> </w:t>
      </w:r>
      <w:proofErr w:type="spellStart"/>
      <w:r w:rsidR="00A46597" w:rsidRPr="00B977AE">
        <w:rPr>
          <w:rFonts w:ascii="Book Antiqua" w:hAnsi="Book Antiqua" w:cs="Arial"/>
          <w:sz w:val="24"/>
          <w:szCs w:val="20"/>
          <w:lang w:val="en-US"/>
        </w:rPr>
        <w:t>pharmacovigilance</w:t>
      </w:r>
      <w:proofErr w:type="spellEnd"/>
      <w:r w:rsidR="00A46597" w:rsidRPr="00B977AE">
        <w:rPr>
          <w:rFonts w:ascii="Book Antiqua" w:hAnsi="Book Antiqua" w:cs="Arial"/>
          <w:sz w:val="24"/>
          <w:szCs w:val="20"/>
          <w:lang w:val="en-US"/>
        </w:rPr>
        <w:t xml:space="preserve"> legislation (in force since July 2012</w:t>
      </w:r>
      <w:r w:rsidR="005810A1" w:rsidRPr="00B977AE">
        <w:rPr>
          <w:rFonts w:ascii="Book Antiqua" w:hAnsi="Book Antiqua" w:cs="Arial"/>
          <w:sz w:val="24"/>
          <w:szCs w:val="20"/>
          <w:lang w:val="en-US"/>
        </w:rPr>
        <w:t>)</w:t>
      </w:r>
      <w:r w:rsidR="00B1242B" w:rsidRPr="00B977AE">
        <w:rPr>
          <w:rFonts w:ascii="Book Antiqua" w:hAnsi="Book Antiqua" w:cs="Arial"/>
          <w:sz w:val="24"/>
          <w:szCs w:val="20"/>
          <w:lang w:val="en-US"/>
        </w:rPr>
        <w:t>, which advocates the need for</w:t>
      </w:r>
      <w:r w:rsidR="005810A1" w:rsidRPr="00B977AE">
        <w:rPr>
          <w:rFonts w:ascii="Book Antiqua" w:hAnsi="Book Antiqua" w:cs="Arial"/>
          <w:sz w:val="24"/>
          <w:szCs w:val="20"/>
          <w:lang w:val="en-US"/>
        </w:rPr>
        <w:t xml:space="preserve"> global </w:t>
      </w:r>
      <w:r w:rsidR="00A46597" w:rsidRPr="00B977AE">
        <w:rPr>
          <w:rFonts w:ascii="Book Antiqua" w:hAnsi="Book Antiqua" w:cs="Arial"/>
          <w:sz w:val="24"/>
          <w:szCs w:val="20"/>
          <w:lang w:val="en-US"/>
        </w:rPr>
        <w:t>risk-benefit assessment</w:t>
      </w:r>
      <w:r w:rsidR="0016771C" w:rsidRPr="00B977AE">
        <w:rPr>
          <w:rFonts w:ascii="Book Antiqua" w:hAnsi="Book Antiqua" w:cs="Arial"/>
          <w:sz w:val="24"/>
          <w:szCs w:val="20"/>
          <w:lang w:val="en-US"/>
        </w:rPr>
        <w:t>.</w:t>
      </w:r>
    </w:p>
    <w:p w:rsidR="00AC2703" w:rsidRPr="00B977AE" w:rsidRDefault="00AC2703" w:rsidP="004D1284">
      <w:pPr>
        <w:autoSpaceDE w:val="0"/>
        <w:autoSpaceDN w:val="0"/>
        <w:adjustRightInd w:val="0"/>
        <w:spacing w:line="360" w:lineRule="auto"/>
        <w:jc w:val="both"/>
        <w:rPr>
          <w:rFonts w:ascii="Book Antiqua" w:hAnsi="Book Antiqua" w:cs="Arial"/>
          <w:sz w:val="24"/>
          <w:szCs w:val="20"/>
          <w:lang w:val="en-US"/>
        </w:rPr>
      </w:pPr>
    </w:p>
    <w:p w:rsidR="00AC2703" w:rsidRPr="00B977AE" w:rsidRDefault="00AC2703" w:rsidP="004D1284">
      <w:pPr>
        <w:spacing w:line="360" w:lineRule="auto"/>
        <w:jc w:val="both"/>
        <w:rPr>
          <w:rFonts w:ascii="Book Antiqua" w:hAnsi="Book Antiqua"/>
          <w:b/>
          <w:sz w:val="24"/>
          <w:szCs w:val="24"/>
          <w:lang w:val="en"/>
        </w:rPr>
      </w:pPr>
      <w:bookmarkStart w:id="113" w:name="OLE_LINK348"/>
      <w:bookmarkStart w:id="114" w:name="OLE_LINK349"/>
      <w:r w:rsidRPr="00B977AE">
        <w:rPr>
          <w:rFonts w:ascii="Book Antiqua" w:hAnsi="Book Antiqua"/>
          <w:b/>
          <w:sz w:val="24"/>
          <w:szCs w:val="24"/>
          <w:lang w:val="en"/>
        </w:rPr>
        <w:t>COMMENTS</w:t>
      </w:r>
    </w:p>
    <w:p w:rsidR="00AC2703" w:rsidRPr="00B977AE" w:rsidRDefault="00AC2703" w:rsidP="004D1284">
      <w:pPr>
        <w:spacing w:line="360" w:lineRule="auto"/>
        <w:jc w:val="both"/>
        <w:rPr>
          <w:rFonts w:ascii="Book Antiqua" w:hAnsi="Book Antiqua"/>
          <w:bCs/>
          <w:sz w:val="24"/>
          <w:szCs w:val="24"/>
        </w:rPr>
      </w:pPr>
      <w:bookmarkStart w:id="115" w:name="OLE_LINK344"/>
      <w:bookmarkStart w:id="116" w:name="OLE_LINK345"/>
      <w:bookmarkEnd w:id="113"/>
      <w:bookmarkEnd w:id="114"/>
      <w:r w:rsidRPr="00B977AE">
        <w:rPr>
          <w:rFonts w:ascii="Book Antiqua" w:hAnsi="Book Antiqua"/>
          <w:b/>
          <w:bCs/>
          <w:i/>
          <w:sz w:val="24"/>
          <w:szCs w:val="24"/>
        </w:rPr>
        <w:t>Background</w:t>
      </w:r>
      <w:bookmarkEnd w:id="115"/>
      <w:bookmarkEnd w:id="116"/>
    </w:p>
    <w:p w:rsidR="00AC2703" w:rsidRPr="00B977AE" w:rsidRDefault="00AC2703" w:rsidP="004D1284">
      <w:pPr>
        <w:spacing w:line="360" w:lineRule="auto"/>
        <w:jc w:val="both"/>
        <w:rPr>
          <w:rFonts w:ascii="Book Antiqua" w:hAnsi="Book Antiqua" w:cs="Arial"/>
          <w:sz w:val="24"/>
          <w:szCs w:val="24"/>
        </w:rPr>
      </w:pPr>
      <w:r w:rsidRPr="00B977AE">
        <w:rPr>
          <w:rFonts w:ascii="Book Antiqua" w:hAnsi="Book Antiqua" w:cs="Arial"/>
          <w:sz w:val="24"/>
          <w:szCs w:val="24"/>
          <w:lang w:val="en-US"/>
        </w:rPr>
        <w:t>The recent regulatory interventions (US restriction and EU suspension) concerning ketoconazole for drug-induced liver injury (DILI) poses a prescribing challenge to clinicians, who should now carefully consider safer therapeutic alternatives.</w:t>
      </w:r>
    </w:p>
    <w:p w:rsidR="00AC2703" w:rsidRPr="00B977AE" w:rsidRDefault="00AC2703" w:rsidP="004D1284">
      <w:pPr>
        <w:spacing w:line="360" w:lineRule="auto"/>
        <w:jc w:val="both"/>
        <w:rPr>
          <w:rFonts w:ascii="Book Antiqua" w:hAnsi="Book Antiqua" w:cs="Arial"/>
          <w:sz w:val="24"/>
          <w:szCs w:val="24"/>
        </w:rPr>
      </w:pPr>
    </w:p>
    <w:p w:rsidR="00636B56" w:rsidRPr="00B977AE" w:rsidRDefault="00AC2703" w:rsidP="004D1284">
      <w:pPr>
        <w:spacing w:line="360" w:lineRule="auto"/>
        <w:jc w:val="both"/>
        <w:rPr>
          <w:rFonts w:ascii="Book Antiqua" w:hAnsi="Book Antiqua"/>
          <w:b/>
          <w:bCs/>
          <w:i/>
          <w:sz w:val="24"/>
          <w:szCs w:val="24"/>
          <w:lang w:eastAsia="zh-CN"/>
        </w:rPr>
      </w:pPr>
      <w:r w:rsidRPr="00B977AE">
        <w:rPr>
          <w:rFonts w:ascii="Book Antiqua" w:hAnsi="Book Antiqua"/>
          <w:b/>
          <w:bCs/>
          <w:i/>
          <w:sz w:val="24"/>
          <w:szCs w:val="24"/>
        </w:rPr>
        <w:t>Research frontiers</w:t>
      </w:r>
    </w:p>
    <w:p w:rsidR="00AC2703" w:rsidRPr="00B977AE" w:rsidRDefault="00AC2703" w:rsidP="004D1284">
      <w:pPr>
        <w:spacing w:line="360" w:lineRule="auto"/>
        <w:jc w:val="both"/>
        <w:rPr>
          <w:rFonts w:ascii="Book Antiqua" w:hAnsi="Book Antiqua" w:cs="Arial"/>
          <w:sz w:val="24"/>
          <w:szCs w:val="24"/>
        </w:rPr>
      </w:pPr>
      <w:r w:rsidRPr="00B977AE">
        <w:rPr>
          <w:rFonts w:ascii="Book Antiqua" w:hAnsi="Book Antiqua" w:cs="Arial"/>
          <w:sz w:val="24"/>
          <w:szCs w:val="24"/>
          <w:lang w:val="en-US"/>
        </w:rPr>
        <w:t xml:space="preserve">Eleven systemic </w:t>
      </w:r>
      <w:proofErr w:type="spellStart"/>
      <w:r w:rsidRPr="00B977AE">
        <w:rPr>
          <w:rFonts w:ascii="Book Antiqua" w:hAnsi="Book Antiqua" w:cs="Arial"/>
          <w:sz w:val="24"/>
          <w:szCs w:val="24"/>
          <w:lang w:val="en-US"/>
        </w:rPr>
        <w:t>antimycotics</w:t>
      </w:r>
      <w:proofErr w:type="spellEnd"/>
      <w:r w:rsidRPr="00B977AE">
        <w:rPr>
          <w:rFonts w:ascii="Book Antiqua" w:hAnsi="Book Antiqua" w:cs="Arial"/>
          <w:sz w:val="24"/>
          <w:szCs w:val="24"/>
          <w:lang w:val="en-US"/>
        </w:rPr>
        <w:t xml:space="preserve"> (including ketoconazole and the newer </w:t>
      </w:r>
      <w:proofErr w:type="spellStart"/>
      <w:r w:rsidRPr="00B977AE">
        <w:rPr>
          <w:rFonts w:ascii="Book Antiqua" w:hAnsi="Book Antiqua" w:cs="Arial"/>
          <w:sz w:val="24"/>
          <w:szCs w:val="24"/>
          <w:lang w:val="en-US"/>
        </w:rPr>
        <w:t>triazole</w:t>
      </w:r>
      <w:proofErr w:type="spellEnd"/>
      <w:r w:rsidRPr="00B977AE">
        <w:rPr>
          <w:rFonts w:ascii="Book Antiqua" w:hAnsi="Book Antiqua" w:cs="Arial"/>
          <w:sz w:val="24"/>
          <w:szCs w:val="24"/>
          <w:lang w:val="en-US"/>
        </w:rPr>
        <w:t xml:space="preserve"> derivatives </w:t>
      </w:r>
      <w:proofErr w:type="spellStart"/>
      <w:r w:rsidRPr="00B977AE">
        <w:rPr>
          <w:rFonts w:ascii="Book Antiqua" w:hAnsi="Book Antiqua" w:cs="Arial"/>
          <w:sz w:val="24"/>
          <w:szCs w:val="24"/>
          <w:lang w:val="en-US"/>
        </w:rPr>
        <w:t>voriconazole</w:t>
      </w:r>
      <w:proofErr w:type="spellEnd"/>
      <w:r w:rsidRPr="00B977AE">
        <w:rPr>
          <w:rFonts w:ascii="Book Antiqua" w:hAnsi="Book Antiqua" w:cs="Arial"/>
          <w:sz w:val="24"/>
          <w:szCs w:val="24"/>
          <w:lang w:val="en-US"/>
        </w:rPr>
        <w:t xml:space="preserve"> and </w:t>
      </w:r>
      <w:proofErr w:type="spellStart"/>
      <w:r w:rsidRPr="00B977AE">
        <w:rPr>
          <w:rFonts w:ascii="Book Antiqua" w:hAnsi="Book Antiqua" w:cs="Arial"/>
          <w:sz w:val="24"/>
          <w:szCs w:val="24"/>
          <w:lang w:val="en-US"/>
        </w:rPr>
        <w:t>posaconazole</w:t>
      </w:r>
      <w:proofErr w:type="spellEnd"/>
      <w:r w:rsidRPr="00B977AE">
        <w:rPr>
          <w:rFonts w:ascii="Book Antiqua" w:hAnsi="Book Antiqua" w:cs="Arial"/>
          <w:sz w:val="24"/>
          <w:szCs w:val="24"/>
          <w:lang w:val="en-US"/>
        </w:rPr>
        <w:t xml:space="preserve">) and </w:t>
      </w:r>
      <w:proofErr w:type="spellStart"/>
      <w:r w:rsidRPr="00B977AE">
        <w:rPr>
          <w:rFonts w:ascii="Book Antiqua" w:hAnsi="Book Antiqua" w:cs="Arial"/>
          <w:sz w:val="24"/>
          <w:szCs w:val="24"/>
          <w:lang w:val="en-US"/>
        </w:rPr>
        <w:t>terbinafine</w:t>
      </w:r>
      <w:proofErr w:type="spellEnd"/>
      <w:r w:rsidRPr="00B977AE">
        <w:rPr>
          <w:rFonts w:ascii="Book Antiqua" w:hAnsi="Book Antiqua" w:cs="Arial"/>
          <w:sz w:val="24"/>
          <w:szCs w:val="24"/>
          <w:lang w:val="en-US"/>
        </w:rPr>
        <w:t xml:space="preserve"> (used systemically to treat </w:t>
      </w:r>
      <w:proofErr w:type="spellStart"/>
      <w:r w:rsidRPr="00B977AE">
        <w:rPr>
          <w:rFonts w:ascii="Book Antiqua" w:hAnsi="Book Antiqua" w:cs="Arial"/>
          <w:sz w:val="24"/>
          <w:szCs w:val="24"/>
          <w:lang w:val="en-US"/>
        </w:rPr>
        <w:t>onychomicosis</w:t>
      </w:r>
      <w:proofErr w:type="spellEnd"/>
      <w:r w:rsidRPr="00B977AE">
        <w:rPr>
          <w:rFonts w:ascii="Book Antiqua" w:hAnsi="Book Antiqua" w:cs="Arial"/>
          <w:sz w:val="24"/>
          <w:szCs w:val="24"/>
          <w:lang w:val="en-US"/>
        </w:rPr>
        <w:t>) generated a significant disproportionality, indicating a post-marketing signal of risk.</w:t>
      </w:r>
    </w:p>
    <w:p w:rsidR="00AC2703" w:rsidRPr="00B977AE" w:rsidRDefault="00AC2703" w:rsidP="004D1284">
      <w:pPr>
        <w:spacing w:line="360" w:lineRule="auto"/>
        <w:jc w:val="both"/>
        <w:rPr>
          <w:rFonts w:ascii="Book Antiqua" w:hAnsi="Book Antiqua" w:cs="Arial"/>
          <w:sz w:val="24"/>
          <w:szCs w:val="24"/>
        </w:rPr>
      </w:pPr>
    </w:p>
    <w:p w:rsidR="00AC2703" w:rsidRPr="00B977AE" w:rsidRDefault="00AC2703" w:rsidP="004D1284">
      <w:pPr>
        <w:spacing w:line="360" w:lineRule="auto"/>
        <w:jc w:val="both"/>
        <w:rPr>
          <w:rFonts w:ascii="Book Antiqua" w:hAnsi="Book Antiqua"/>
          <w:b/>
          <w:bCs/>
          <w:i/>
          <w:sz w:val="24"/>
          <w:szCs w:val="24"/>
        </w:rPr>
      </w:pPr>
      <w:r w:rsidRPr="00B977AE">
        <w:rPr>
          <w:rFonts w:ascii="Book Antiqua" w:hAnsi="Book Antiqua"/>
          <w:b/>
          <w:bCs/>
          <w:i/>
          <w:sz w:val="24"/>
          <w:szCs w:val="24"/>
        </w:rPr>
        <w:t>Innovations and breakthroughs</w:t>
      </w:r>
    </w:p>
    <w:p w:rsidR="00AC2703" w:rsidRPr="00B977AE" w:rsidRDefault="00AC2703" w:rsidP="004D1284">
      <w:pPr>
        <w:autoSpaceDE w:val="0"/>
        <w:autoSpaceDN w:val="0"/>
        <w:adjustRightInd w:val="0"/>
        <w:spacing w:line="360" w:lineRule="auto"/>
        <w:jc w:val="both"/>
        <w:rPr>
          <w:rFonts w:ascii="Book Antiqua" w:hAnsi="Book Antiqua" w:cs="Arial"/>
          <w:sz w:val="24"/>
          <w:szCs w:val="24"/>
        </w:rPr>
      </w:pPr>
      <w:r w:rsidRPr="00B977AE">
        <w:rPr>
          <w:rFonts w:ascii="Book Antiqua" w:hAnsi="Book Antiqua" w:cs="Arial"/>
          <w:sz w:val="24"/>
          <w:szCs w:val="24"/>
        </w:rPr>
        <w:t>Authors</w:t>
      </w:r>
      <w:r w:rsidRPr="00B977AE">
        <w:rPr>
          <w:rFonts w:ascii="Book Antiqua" w:hAnsi="Book Antiqua" w:cs="Arial"/>
          <w:sz w:val="24"/>
          <w:szCs w:val="24"/>
          <w:lang w:val="en-US"/>
        </w:rPr>
        <w:t xml:space="preserve"> have used the recent regulatory case of ketoconazole to provide clues to clinicians needing practical guidance to assign the level of DILI risk among </w:t>
      </w:r>
      <w:proofErr w:type="spellStart"/>
      <w:r w:rsidRPr="00B977AE">
        <w:rPr>
          <w:rFonts w:ascii="Book Antiqua" w:hAnsi="Book Antiqua" w:cs="Arial"/>
          <w:sz w:val="24"/>
          <w:szCs w:val="24"/>
          <w:lang w:val="en-US"/>
        </w:rPr>
        <w:t>antimycotics</w:t>
      </w:r>
      <w:proofErr w:type="spellEnd"/>
      <w:r w:rsidRPr="00B977AE">
        <w:rPr>
          <w:rFonts w:ascii="Book Antiqua" w:hAnsi="Book Antiqua" w:cs="Arial"/>
          <w:sz w:val="24"/>
          <w:szCs w:val="24"/>
          <w:lang w:val="en-US"/>
        </w:rPr>
        <w:t>.</w:t>
      </w:r>
    </w:p>
    <w:p w:rsidR="00AC2703" w:rsidRPr="00B977AE" w:rsidRDefault="00AC2703" w:rsidP="004D1284">
      <w:pPr>
        <w:autoSpaceDE w:val="0"/>
        <w:autoSpaceDN w:val="0"/>
        <w:adjustRightInd w:val="0"/>
        <w:spacing w:line="360" w:lineRule="auto"/>
        <w:jc w:val="both"/>
        <w:rPr>
          <w:rFonts w:ascii="Book Antiqua" w:hAnsi="Book Antiqua" w:cs="Arial"/>
          <w:sz w:val="24"/>
          <w:szCs w:val="24"/>
        </w:rPr>
      </w:pPr>
    </w:p>
    <w:p w:rsidR="00AC2703" w:rsidRPr="00B977AE" w:rsidRDefault="00AC2703" w:rsidP="004D1284">
      <w:pPr>
        <w:autoSpaceDE w:val="0"/>
        <w:autoSpaceDN w:val="0"/>
        <w:adjustRightInd w:val="0"/>
        <w:spacing w:line="360" w:lineRule="auto"/>
        <w:jc w:val="both"/>
        <w:rPr>
          <w:rFonts w:ascii="Book Antiqua" w:hAnsi="Book Antiqua" w:cs="Arial"/>
          <w:sz w:val="24"/>
          <w:szCs w:val="24"/>
          <w:lang w:val="en-US"/>
        </w:rPr>
      </w:pPr>
      <w:bookmarkStart w:id="117" w:name="OLE_LINK229"/>
      <w:bookmarkStart w:id="118" w:name="OLE_LINK230"/>
      <w:bookmarkStart w:id="119" w:name="OLE_LINK401"/>
      <w:r w:rsidRPr="00B977AE">
        <w:rPr>
          <w:rFonts w:ascii="Book Antiqua" w:hAnsi="Book Antiqua"/>
          <w:b/>
          <w:bCs/>
          <w:i/>
          <w:sz w:val="24"/>
          <w:szCs w:val="24"/>
        </w:rPr>
        <w:t>Peer review</w:t>
      </w:r>
      <w:bookmarkEnd w:id="117"/>
      <w:bookmarkEnd w:id="118"/>
      <w:bookmarkEnd w:id="119"/>
    </w:p>
    <w:p w:rsidR="00AC2703" w:rsidRPr="00B977AE" w:rsidRDefault="00AC2703" w:rsidP="004D1284">
      <w:pPr>
        <w:spacing w:line="360" w:lineRule="auto"/>
        <w:jc w:val="both"/>
        <w:rPr>
          <w:rFonts w:ascii="Book Antiqua" w:hAnsi="Book Antiqua"/>
          <w:sz w:val="24"/>
          <w:szCs w:val="24"/>
          <w:lang w:val="en-US"/>
        </w:rPr>
      </w:pPr>
      <w:r w:rsidRPr="00B977AE">
        <w:rPr>
          <w:rFonts w:ascii="Book Antiqua" w:hAnsi="Book Antiqua"/>
          <w:sz w:val="24"/>
          <w:szCs w:val="24"/>
        </w:rPr>
        <w:lastRenderedPageBreak/>
        <w:t xml:space="preserve">This is a well-written manuscript that provides valuable information about drug hepatotoxicity, particularly those induced by antimycotics. </w:t>
      </w:r>
    </w:p>
    <w:p w:rsidR="00405427" w:rsidRPr="00B977AE" w:rsidRDefault="002D36D1" w:rsidP="009E220B">
      <w:pPr>
        <w:autoSpaceDE w:val="0"/>
        <w:autoSpaceDN w:val="0"/>
        <w:adjustRightInd w:val="0"/>
        <w:spacing w:line="360" w:lineRule="auto"/>
        <w:jc w:val="both"/>
        <w:rPr>
          <w:rFonts w:ascii="Book Antiqua" w:hAnsi="Book Antiqua" w:cs="Arial"/>
          <w:sz w:val="24"/>
          <w:szCs w:val="20"/>
          <w:lang w:val="en-US"/>
        </w:rPr>
      </w:pPr>
      <w:r w:rsidRPr="00B977AE">
        <w:rPr>
          <w:rFonts w:ascii="Book Antiqua" w:hAnsi="Book Antiqua" w:cs="Arial"/>
          <w:sz w:val="24"/>
          <w:szCs w:val="20"/>
          <w:lang w:val="en-US"/>
        </w:rPr>
        <w:t xml:space="preserve"> </w:t>
      </w:r>
    </w:p>
    <w:p w:rsidR="003804A8" w:rsidRPr="00B977AE" w:rsidRDefault="002411CC" w:rsidP="004D1284">
      <w:pPr>
        <w:spacing w:line="360" w:lineRule="auto"/>
        <w:jc w:val="both"/>
        <w:rPr>
          <w:rFonts w:ascii="Book Antiqua" w:hAnsi="Book Antiqua"/>
          <w:b/>
          <w:sz w:val="24"/>
          <w:szCs w:val="20"/>
          <w:lang w:val="en-US" w:eastAsia="zh-CN"/>
        </w:rPr>
      </w:pPr>
      <w:r w:rsidRPr="00B977AE">
        <w:rPr>
          <w:rFonts w:ascii="Book Antiqua" w:hAnsi="Book Antiqua"/>
          <w:sz w:val="20"/>
          <w:szCs w:val="20"/>
          <w:lang w:val="en-US"/>
        </w:rPr>
        <w:fldChar w:fldCharType="begin"/>
      </w:r>
      <w:r w:rsidR="00405427" w:rsidRPr="00B977AE">
        <w:rPr>
          <w:rFonts w:ascii="Book Antiqua" w:hAnsi="Book Antiqua"/>
          <w:sz w:val="20"/>
          <w:szCs w:val="20"/>
          <w:lang w:val="en-US"/>
        </w:rPr>
        <w:instrText xml:space="preserve"> ADDIN REFMGR.REFLIST </w:instrText>
      </w:r>
      <w:r w:rsidRPr="00B977AE">
        <w:rPr>
          <w:rFonts w:ascii="Book Antiqua" w:hAnsi="Book Antiqua"/>
          <w:sz w:val="20"/>
          <w:szCs w:val="20"/>
          <w:lang w:val="en-US"/>
        </w:rPr>
        <w:fldChar w:fldCharType="separate"/>
      </w:r>
      <w:r w:rsidR="006548A0" w:rsidRPr="00B977AE">
        <w:rPr>
          <w:rFonts w:ascii="Book Antiqua" w:hAnsi="Book Antiqua"/>
          <w:b/>
          <w:sz w:val="24"/>
          <w:szCs w:val="20"/>
          <w:lang w:val="en-US"/>
        </w:rPr>
        <w:t>REFERENCES</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Hussaini SH</w:t>
      </w:r>
      <w:r w:rsidRPr="00503752">
        <w:rPr>
          <w:rFonts w:ascii="Book Antiqua" w:eastAsia="宋体" w:hAnsi="Book Antiqua" w:cs="宋体"/>
          <w:color w:val="000000"/>
          <w:sz w:val="24"/>
          <w:szCs w:val="24"/>
        </w:rPr>
        <w:t>, Farrington EA. Idiosyncratic drug-induced liver injury: an update on the 2007 overview.</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Expert Opin 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13</w:t>
      </w:r>
      <w:r w:rsidRPr="00503752">
        <w:rPr>
          <w:rFonts w:ascii="Book Antiqua" w:eastAsia="宋体" w:hAnsi="Book Antiqua" w:cs="宋体"/>
          <w:color w:val="000000"/>
          <w:sz w:val="24"/>
          <w:szCs w:val="24"/>
        </w:rPr>
        <w:t>: 67-81 [PMID: 24073714 DOI: 10.1517/14740338.2013.828032]</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Leise MD</w:t>
      </w:r>
      <w:r w:rsidRPr="00503752">
        <w:rPr>
          <w:rFonts w:ascii="Book Antiqua" w:eastAsia="宋体" w:hAnsi="Book Antiqua" w:cs="宋体"/>
          <w:color w:val="000000"/>
          <w:sz w:val="24"/>
          <w:szCs w:val="24"/>
        </w:rPr>
        <w:t>, Poterucha JJ, Talwalkar JA. Drug-induced liver injury.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Mayo Clin Proc</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89</w:t>
      </w:r>
      <w:r w:rsidRPr="00503752">
        <w:rPr>
          <w:rFonts w:ascii="Book Antiqua" w:eastAsia="宋体" w:hAnsi="Book Antiqua" w:cs="宋体"/>
          <w:color w:val="000000"/>
          <w:sz w:val="24"/>
          <w:szCs w:val="24"/>
        </w:rPr>
        <w:t>: 95-106 [PMID: 24388027 DOI: 10.1016/j.mayocp.2013.09.016]</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Kaplowitz N</w:t>
      </w:r>
      <w:r w:rsidRPr="00503752">
        <w:rPr>
          <w:rFonts w:ascii="Book Antiqua" w:eastAsia="宋体" w:hAnsi="Book Antiqua" w:cs="宋体"/>
          <w:color w:val="000000"/>
          <w:sz w:val="24"/>
          <w:szCs w:val="24"/>
        </w:rPr>
        <w:t>. Idiosyncratic drug hepatotoxicity.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Nat Rev Drug Discov</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w:t>
      </w:r>
      <w:r w:rsidRPr="00503752">
        <w:rPr>
          <w:rFonts w:ascii="Book Antiqua" w:eastAsia="宋体" w:hAnsi="Book Antiqua" w:cs="宋体"/>
          <w:color w:val="000000"/>
          <w:sz w:val="24"/>
          <w:szCs w:val="24"/>
        </w:rPr>
        <w:t>: 489-499 [PMID: 15931258 DOI: 10.1038/nrd1750]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Roth RA</w:t>
      </w:r>
      <w:r w:rsidRPr="00503752">
        <w:rPr>
          <w:rFonts w:ascii="Book Antiqua" w:eastAsia="宋体" w:hAnsi="Book Antiqua" w:cs="宋体"/>
          <w:color w:val="000000"/>
          <w:sz w:val="24"/>
          <w:szCs w:val="24"/>
        </w:rPr>
        <w:t>, Ganey PE. Intrinsic versus idiosyncratic drug-induced hepatotoxicity--two villains or one?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J Pharmacol Exp Ther</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332</w:t>
      </w:r>
      <w:r w:rsidRPr="00503752">
        <w:rPr>
          <w:rFonts w:ascii="Book Antiqua" w:eastAsia="宋体" w:hAnsi="Book Antiqua" w:cs="宋体"/>
          <w:color w:val="000000"/>
          <w:sz w:val="24"/>
          <w:szCs w:val="24"/>
        </w:rPr>
        <w:t>: 692-697 [PMID: 20019161 DOI: 10.1124/jpet.109.162651]</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Lammert C</w:t>
      </w:r>
      <w:r w:rsidRPr="00503752">
        <w:rPr>
          <w:rFonts w:ascii="Book Antiqua" w:eastAsia="宋体" w:hAnsi="Book Antiqua" w:cs="宋体"/>
          <w:color w:val="000000"/>
          <w:sz w:val="24"/>
          <w:szCs w:val="24"/>
        </w:rPr>
        <w:t>, Bjornsson E, Niklasson A, Chalasani N. Oral medications with significant hepatic metabolism at higher risk for hepatic adverse events.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51</w:t>
      </w:r>
      <w:r w:rsidRPr="00503752">
        <w:rPr>
          <w:rFonts w:ascii="Book Antiqua" w:eastAsia="宋体" w:hAnsi="Book Antiqua" w:cs="宋体"/>
          <w:color w:val="000000"/>
          <w:sz w:val="24"/>
          <w:szCs w:val="24"/>
        </w:rPr>
        <w:t>: 615-620 [PMID: 19839004 DOI: 10.1002/hep.23317]</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Lammert C</w:t>
      </w:r>
      <w:r w:rsidRPr="00503752">
        <w:rPr>
          <w:rFonts w:ascii="Book Antiqua" w:eastAsia="宋体" w:hAnsi="Book Antiqua" w:cs="宋体"/>
          <w:color w:val="000000"/>
          <w:sz w:val="24"/>
          <w:szCs w:val="24"/>
        </w:rPr>
        <w:t>, Einarsson S, Saha C, Niklasson A, Bjornsson E, Chalasani N. Relationship between daily dose of oral medications and idiosyncratic drug-induced liver injury: search for signals.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47</w:t>
      </w:r>
      <w:r w:rsidRPr="00503752">
        <w:rPr>
          <w:rFonts w:ascii="Book Antiqua" w:eastAsia="宋体" w:hAnsi="Book Antiqua" w:cs="宋体"/>
          <w:color w:val="000000"/>
          <w:sz w:val="24"/>
          <w:szCs w:val="24"/>
        </w:rPr>
        <w:t>: 2003-2009 [PMID: 18454504 DOI: 10.1002/hep.22272]</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7</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Chen M</w:t>
      </w:r>
      <w:r w:rsidRPr="00503752">
        <w:rPr>
          <w:rFonts w:ascii="Book Antiqua" w:eastAsia="宋体" w:hAnsi="Book Antiqua" w:cs="宋体"/>
          <w:color w:val="000000"/>
          <w:sz w:val="24"/>
          <w:szCs w:val="24"/>
        </w:rPr>
        <w:t>, Borlak J, Tong W. High lipophilicity and high daily dose of oral medications are associated with significant risk for drug-induced liver injury.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58</w:t>
      </w:r>
      <w:r w:rsidRPr="00503752">
        <w:rPr>
          <w:rFonts w:ascii="Book Antiqua" w:eastAsia="宋体" w:hAnsi="Book Antiqua" w:cs="宋体"/>
          <w:color w:val="000000"/>
          <w:sz w:val="24"/>
          <w:szCs w:val="24"/>
        </w:rPr>
        <w:t>: 388-396 [PMID: 23258593 DOI: 10.1002/hep.26208]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Yu K</w:t>
      </w:r>
      <w:r w:rsidRPr="00503752">
        <w:rPr>
          <w:rFonts w:ascii="Book Antiqua" w:eastAsia="宋体" w:hAnsi="Book Antiqua" w:cs="宋体"/>
          <w:color w:val="000000"/>
          <w:sz w:val="24"/>
          <w:szCs w:val="24"/>
        </w:rPr>
        <w:t>, Geng X, Chen M, Zhang J, Wang B, Ilic K, Tong W. High daily dose and being a substrate of cytochrome P450 enzymes are two important predictors of drug-induced liver injury.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Metab Dispos</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42</w:t>
      </w:r>
      <w:r w:rsidRPr="00503752">
        <w:rPr>
          <w:rFonts w:ascii="Book Antiqua" w:eastAsia="宋体" w:hAnsi="Book Antiqua" w:cs="宋体"/>
          <w:color w:val="000000"/>
          <w:sz w:val="24"/>
          <w:szCs w:val="24"/>
        </w:rPr>
        <w:t>: 744-750 [PMID: 24464804 DOI: 10.1124/dmd.113.056267]</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Aithal GP</w:t>
      </w:r>
      <w:r w:rsidRPr="00503752">
        <w:rPr>
          <w:rFonts w:ascii="Book Antiqua" w:eastAsia="宋体" w:hAnsi="Book Antiqua" w:cs="宋体"/>
          <w:color w:val="000000"/>
          <w:sz w:val="24"/>
          <w:szCs w:val="24"/>
        </w:rPr>
        <w:t>, Watkins PB, Andrade RJ, Larrey D, Molokhia M, Takikawa H, Hunt CM, Wilke RA, Avigan M, Kaplowitz N, Bjornsson E, Daly AK. Case definition and phenotype standardization in drug-induced liver injury.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Clin Pharmacol Ther</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89</w:t>
      </w:r>
      <w:r w:rsidRPr="00503752">
        <w:rPr>
          <w:rFonts w:ascii="Book Antiqua" w:eastAsia="宋体" w:hAnsi="Book Antiqua" w:cs="宋体"/>
          <w:color w:val="000000"/>
          <w:sz w:val="24"/>
          <w:szCs w:val="24"/>
        </w:rPr>
        <w:t>: 806-815 [PMID: 21544079 DOI: 10.1038/clpt.2011.58]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lastRenderedPageBreak/>
        <w:t>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Bénichou C</w:t>
      </w:r>
      <w:r w:rsidRPr="00503752">
        <w:rPr>
          <w:rFonts w:ascii="Book Antiqua" w:eastAsia="宋体" w:hAnsi="Book Antiqua" w:cs="宋体"/>
          <w:color w:val="000000"/>
          <w:sz w:val="24"/>
          <w:szCs w:val="24"/>
        </w:rPr>
        <w:t>. Criteria of drug-induced liver disorders. Report of an international consensus meeting.</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J Hepatol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1990;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11</w:t>
      </w:r>
      <w:r w:rsidRPr="00503752">
        <w:rPr>
          <w:rFonts w:ascii="Book Antiqua" w:eastAsia="宋体" w:hAnsi="Book Antiqua" w:cs="宋体"/>
          <w:color w:val="000000"/>
          <w:sz w:val="24"/>
          <w:szCs w:val="24"/>
        </w:rPr>
        <w:t>: 272-276 [PMID: 2254635 DOI: 10.1016/0168-8278(90)90124-A]</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Teschke R</w:t>
      </w:r>
      <w:r w:rsidRPr="00503752">
        <w:rPr>
          <w:rFonts w:ascii="Book Antiqua" w:eastAsia="宋体" w:hAnsi="Book Antiqua" w:cs="宋体"/>
          <w:color w:val="000000"/>
          <w:sz w:val="24"/>
          <w:szCs w:val="24"/>
        </w:rPr>
        <w:t>, Wolff A, Frenzel C, Schwarzenboeck A, Schulze J, Eickhoff A. Drug and herb induced liver injury: Council for International Organizations of Medical Sciences scale for causality assessment.</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World J Hepatol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6</w:t>
      </w:r>
      <w:r w:rsidRPr="00503752">
        <w:rPr>
          <w:rFonts w:ascii="Book Antiqua" w:eastAsia="宋体" w:hAnsi="Book Antiqua" w:cs="宋体"/>
          <w:color w:val="000000"/>
          <w:sz w:val="24"/>
          <w:szCs w:val="24"/>
        </w:rPr>
        <w:t>: 17-32 [PMID: 24653791]</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Brinker AD</w:t>
      </w:r>
      <w:r w:rsidRPr="00503752">
        <w:rPr>
          <w:rFonts w:ascii="Book Antiqua" w:eastAsia="宋体" w:hAnsi="Book Antiqua" w:cs="宋体"/>
          <w:color w:val="000000"/>
          <w:sz w:val="24"/>
          <w:szCs w:val="24"/>
        </w:rPr>
        <w:t>, Wassel RT, Lyndly J, Serrano J, Avigan M, Lee WM, Seeff LB. Telithromycin-associated hepatotoxicity: Clinical spectrum and causality assessment of 42 cases.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49</w:t>
      </w:r>
      <w:r w:rsidRPr="00503752">
        <w:rPr>
          <w:rFonts w:ascii="Book Antiqua" w:eastAsia="宋体" w:hAnsi="Book Antiqua" w:cs="宋体"/>
          <w:color w:val="000000"/>
          <w:sz w:val="24"/>
          <w:szCs w:val="24"/>
        </w:rPr>
        <w:t>: 250-257 [PMID: 19085949 DOI: 10.1002/hep.22620]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Fontana RJ</w:t>
      </w:r>
      <w:r w:rsidRPr="00503752">
        <w:rPr>
          <w:rFonts w:ascii="Book Antiqua" w:eastAsia="宋体" w:hAnsi="Book Antiqua" w:cs="宋体"/>
          <w:color w:val="000000"/>
          <w:sz w:val="24"/>
          <w:szCs w:val="24"/>
        </w:rPr>
        <w:t>, Seeff LB, Andrade RJ, Björnsson E, Day CP, Serrano J, Hoofnagle JH. Standardization of nomenclature and causality assessment in drug-induced liver injury: summary of a clinical research workshop.</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52</w:t>
      </w:r>
      <w:r w:rsidRPr="00503752">
        <w:rPr>
          <w:rFonts w:ascii="Book Antiqua" w:eastAsia="宋体" w:hAnsi="Book Antiqua" w:cs="宋体"/>
          <w:color w:val="000000"/>
          <w:sz w:val="24"/>
          <w:szCs w:val="24"/>
        </w:rPr>
        <w:t>: 730-742 [PMID: 20564754 DOI: 10.1002/hep.23696]</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Kleiner DE</w:t>
      </w:r>
      <w:r w:rsidRPr="00503752">
        <w:rPr>
          <w:rFonts w:ascii="Book Antiqua" w:eastAsia="宋体" w:hAnsi="Book Antiqua" w:cs="宋体"/>
          <w:color w:val="000000"/>
          <w:sz w:val="24"/>
          <w:szCs w:val="24"/>
        </w:rPr>
        <w:t>, Chalasani NP, Lee WM, Fontana RJ, Bonkovsky HL, Watkins PB, Hayashi PH, Davern TJ, Navarro V, Reddy R, Talwalkar JA, Stolz A, Gu J, Barnhart H, Hoofnagle JH. Hepatic histological findings in suspected drug-induced liver injury: systematic evaluation and clinical associations.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59</w:t>
      </w:r>
      <w:r w:rsidRPr="00503752">
        <w:rPr>
          <w:rFonts w:ascii="Book Antiqua" w:eastAsia="宋体" w:hAnsi="Book Antiqua" w:cs="宋体"/>
          <w:color w:val="000000"/>
          <w:sz w:val="24"/>
          <w:szCs w:val="24"/>
        </w:rPr>
        <w:t>: 661-670 [PMID: 24037963]</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Agarwal VK</w:t>
      </w:r>
      <w:r w:rsidRPr="00503752">
        <w:rPr>
          <w:rFonts w:ascii="Book Antiqua" w:eastAsia="宋体" w:hAnsi="Book Antiqua" w:cs="宋体"/>
          <w:color w:val="000000"/>
          <w:sz w:val="24"/>
          <w:szCs w:val="24"/>
        </w:rPr>
        <w:t>, McHutchison JG, Hoofnagle JH. Important elements for the diagnosis of drug-induced liver injury.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Clin Gastroenterol Hepatol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8</w:t>
      </w:r>
      <w:r w:rsidRPr="00503752">
        <w:rPr>
          <w:rFonts w:ascii="Book Antiqua" w:eastAsia="宋体" w:hAnsi="Book Antiqua" w:cs="宋体"/>
          <w:color w:val="000000"/>
          <w:sz w:val="24"/>
          <w:szCs w:val="24"/>
        </w:rPr>
        <w:t>: 463-470 [PMID: 20170750 DOI: 10.1016/j.cgh.2010.02.008]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Fontana RJ</w:t>
      </w:r>
      <w:r w:rsidRPr="00503752">
        <w:rPr>
          <w:rFonts w:ascii="Book Antiqua" w:eastAsia="宋体" w:hAnsi="Book Antiqua" w:cs="宋体"/>
          <w:color w:val="000000"/>
          <w:sz w:val="24"/>
          <w:szCs w:val="24"/>
        </w:rPr>
        <w:t>, Watkins PB, Bonkovsky HL, Chalasani N, Davern T, Serrano J, Rochon J. Drug-Induced Liver Injury Network (DILIN) prospective study: rationale, design and conduct.</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32</w:t>
      </w:r>
      <w:r w:rsidRPr="00503752">
        <w:rPr>
          <w:rFonts w:ascii="Book Antiqua" w:eastAsia="宋体" w:hAnsi="Book Antiqua" w:cs="宋体"/>
          <w:color w:val="000000"/>
          <w:sz w:val="24"/>
          <w:szCs w:val="24"/>
        </w:rPr>
        <w:t>: 55-68 [PMID: 19132805 DOI: 10.2165/00002018-200932010-00005]</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17</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Shah RR</w:t>
      </w:r>
      <w:r w:rsidRPr="00503752">
        <w:rPr>
          <w:rFonts w:ascii="Book Antiqua" w:eastAsia="宋体" w:hAnsi="Book Antiqua" w:cs="宋体"/>
          <w:color w:val="000000"/>
          <w:sz w:val="24"/>
          <w:szCs w:val="24"/>
        </w:rPr>
        <w:t>. Can pharmacogenetics help rescue drugs withdrawn from the market?</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Pharmacogenomics</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7</w:t>
      </w:r>
      <w:r w:rsidRPr="00503752">
        <w:rPr>
          <w:rFonts w:ascii="Book Antiqua" w:eastAsia="宋体" w:hAnsi="Book Antiqua" w:cs="宋体"/>
          <w:color w:val="000000"/>
          <w:sz w:val="24"/>
          <w:szCs w:val="24"/>
        </w:rPr>
        <w:t>: 889-908 [PMID: 16981848 DOI: 10.2217/14622416.7.6.889]</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18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Coloma PM</w:t>
      </w:r>
      <w:r w:rsidRPr="00503752">
        <w:rPr>
          <w:rFonts w:ascii="Book Antiqua" w:eastAsia="宋体" w:hAnsi="Book Antiqua" w:cs="宋体"/>
          <w:color w:val="000000"/>
          <w:sz w:val="24"/>
          <w:szCs w:val="24"/>
        </w:rPr>
        <w:t>, Trifirò G, Patadia V, Sturkenboom M. Postmarketing safety surveillance : where does signal detection using electronic healthcare records fit into the big picture?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w:t>
      </w:r>
      <w:r w:rsidRPr="00503752">
        <w:rPr>
          <w:rFonts w:ascii="Book Antiqua" w:eastAsia="宋体" w:hAnsi="Book Antiqua" w:cs="宋体"/>
          <w:color w:val="000000"/>
          <w:sz w:val="24"/>
          <w:szCs w:val="24"/>
        </w:rPr>
        <w:t>: 183-197 [PMID: 23377696 DOI: 10.1007/s40264-013-0018-x]</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lastRenderedPageBreak/>
        <w:t>19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Regev A</w:t>
      </w:r>
      <w:r w:rsidRPr="00503752">
        <w:rPr>
          <w:rFonts w:ascii="Book Antiqua" w:eastAsia="宋体" w:hAnsi="Book Antiqua" w:cs="宋体"/>
          <w:color w:val="000000"/>
          <w:sz w:val="24"/>
          <w:szCs w:val="24"/>
        </w:rPr>
        <w:t>. How to avoid being surprised by hepatotoxicity at the final stages of drug development and approval.</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Clin Liver Dis</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17</w:t>
      </w:r>
      <w:r w:rsidRPr="00503752">
        <w:rPr>
          <w:rFonts w:ascii="Book Antiqua" w:eastAsia="宋体" w:hAnsi="Book Antiqua" w:cs="宋体"/>
          <w:color w:val="000000"/>
          <w:sz w:val="24"/>
          <w:szCs w:val="24"/>
        </w:rPr>
        <w:t>: 749-67, xi [PMID: 24099029 DOI: 10.1016/j.cld.2013.07.014]</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Corsini A</w:t>
      </w:r>
      <w:r w:rsidRPr="00503752">
        <w:rPr>
          <w:rFonts w:ascii="Book Antiqua" w:eastAsia="宋体" w:hAnsi="Book Antiqua" w:cs="宋体"/>
          <w:color w:val="000000"/>
          <w:sz w:val="24"/>
          <w:szCs w:val="24"/>
        </w:rPr>
        <w:t>, Ganey P, Ju C, Kaplowitz N, Pessayre D, Roth R, Watkins PB, Albassam M, Liu B, Stancic S, Suter L, Bortolini M. Current challenges and controversies in drug-induced liver injury.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35</w:t>
      </w:r>
      <w:r w:rsidRPr="00503752">
        <w:rPr>
          <w:rFonts w:ascii="Book Antiqua" w:eastAsia="宋体" w:hAnsi="Book Antiqua" w:cs="宋体"/>
          <w:color w:val="000000"/>
          <w:sz w:val="24"/>
          <w:szCs w:val="24"/>
        </w:rPr>
        <w:t>: 1099-1117 [PMID: 23137150]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Hawkins MT</w:t>
      </w:r>
      <w:r w:rsidRPr="00503752">
        <w:rPr>
          <w:rFonts w:ascii="Book Antiqua" w:eastAsia="宋体" w:hAnsi="Book Antiqua" w:cs="宋体"/>
          <w:color w:val="000000"/>
          <w:sz w:val="24"/>
          <w:szCs w:val="24"/>
        </w:rPr>
        <w:t>, Lewis JH. Latest advances in predicting DILI in human subjects: focus on biomarkers.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Expert Opin Drug Metab Toxicol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8</w:t>
      </w:r>
      <w:r w:rsidRPr="00503752">
        <w:rPr>
          <w:rFonts w:ascii="Book Antiqua" w:eastAsia="宋体" w:hAnsi="Book Antiqua" w:cs="宋体"/>
          <w:color w:val="000000"/>
          <w:sz w:val="24"/>
          <w:szCs w:val="24"/>
        </w:rPr>
        <w:t>: 1521-1530 [PMID: 22998122 DOI: 10.1517/17425255.2012.724060]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Temple R</w:t>
      </w:r>
      <w:r w:rsidRPr="00503752">
        <w:rPr>
          <w:rFonts w:ascii="Book Antiqua" w:eastAsia="宋体" w:hAnsi="Book Antiqua" w:cs="宋体"/>
          <w:color w:val="000000"/>
          <w:sz w:val="24"/>
          <w:szCs w:val="24"/>
        </w:rPr>
        <w:t>. Hy's law: predicting serious hepatotoxicity.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Pharmacoepidemiol 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15</w:t>
      </w:r>
      <w:r w:rsidRPr="00503752">
        <w:rPr>
          <w:rFonts w:ascii="Book Antiqua" w:eastAsia="宋体" w:hAnsi="Book Antiqua" w:cs="宋体"/>
          <w:color w:val="000000"/>
          <w:sz w:val="24"/>
          <w:szCs w:val="24"/>
        </w:rPr>
        <w:t>: 241-243 [PMID: 16552790 DOI: 10.1002/pds.1211]</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Andrade RJ</w:t>
      </w:r>
      <w:r w:rsidRPr="00503752">
        <w:rPr>
          <w:rFonts w:ascii="Book Antiqua" w:eastAsia="宋体" w:hAnsi="Book Antiqua" w:cs="宋体"/>
          <w:color w:val="000000"/>
          <w:sz w:val="24"/>
          <w:szCs w:val="24"/>
        </w:rPr>
        <w:t>, Lucena MI, Fernández MC, Pelaez G, Pachkoria K, García-Ruiz E, García-Muñoz B, González-Grande R, Pizarro A, Durán JA, Jiménez M, Rodrigo L, Romero-Gomez M, Navarro JM, Planas R, Costa J, Borras A, Soler A, Salmerón J, Martin-Vivaldi R. Drug-induced liver injury: an analysis of 461 incidences submitted to the Spanish registry over a 10-year period.</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Gastroenterology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129</w:t>
      </w:r>
      <w:r w:rsidRPr="00503752">
        <w:rPr>
          <w:rFonts w:ascii="Book Antiqua" w:eastAsia="宋体" w:hAnsi="Book Antiqua" w:cs="宋体"/>
          <w:color w:val="000000"/>
          <w:sz w:val="24"/>
          <w:szCs w:val="24"/>
        </w:rPr>
        <w:t>: 512-521 [PMID: 16083708 DOI: 10.1016/j.gastro.2005.05.006]</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Björnsson E</w:t>
      </w:r>
      <w:r w:rsidRPr="00503752">
        <w:rPr>
          <w:rFonts w:ascii="Book Antiqua" w:eastAsia="宋体" w:hAnsi="Book Antiqua" w:cs="宋体"/>
          <w:color w:val="000000"/>
          <w:sz w:val="24"/>
          <w:szCs w:val="24"/>
        </w:rPr>
        <w:t>, Olsson R. Outcome and prognostic markers in severe drug-induced liver disease.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Hepatology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42</w:t>
      </w:r>
      <w:r w:rsidRPr="00503752">
        <w:rPr>
          <w:rFonts w:ascii="Book Antiqua" w:eastAsia="宋体" w:hAnsi="Book Antiqua" w:cs="宋体"/>
          <w:color w:val="000000"/>
          <w:sz w:val="24"/>
          <w:szCs w:val="24"/>
        </w:rPr>
        <w:t>: 481-489 [PMID: 16025496 DOI: 10.1002/hep.20800]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25</w:t>
      </w:r>
      <w:r w:rsidRPr="00B977AE">
        <w:rPr>
          <w:rFonts w:ascii="Book Antiqua" w:eastAsia="宋体" w:hAnsi="Book Antiqua" w:cs="宋体"/>
          <w:color w:val="000000"/>
          <w:sz w:val="24"/>
          <w:szCs w:val="24"/>
        </w:rPr>
        <w:t xml:space="preserve"> </w:t>
      </w:r>
      <w:r w:rsidRPr="00503752">
        <w:rPr>
          <w:rFonts w:ascii="Book Antiqua" w:eastAsia="宋体" w:hAnsi="Book Antiqua" w:cs="宋体"/>
          <w:b/>
          <w:color w:val="000000"/>
          <w:sz w:val="24"/>
          <w:szCs w:val="24"/>
        </w:rPr>
        <w:t>FDA</w:t>
      </w:r>
      <w:r w:rsidRPr="00503752">
        <w:rPr>
          <w:rFonts w:ascii="Book Antiqua" w:eastAsia="宋体" w:hAnsi="Book Antiqua" w:cs="宋体"/>
          <w:color w:val="000000"/>
          <w:sz w:val="24"/>
          <w:szCs w:val="24"/>
        </w:rPr>
        <w:t>. Guidance for Industry. Drug-Induced Liver Injury: Premarketing Clinical Evaluation. 2009. Available from: URL: http: //www.fda.gov/downloads/Drugs/.../Guidances/UCM174090.pdf</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Watkins PB</w:t>
      </w:r>
      <w:r w:rsidRPr="00503752">
        <w:rPr>
          <w:rFonts w:ascii="Book Antiqua" w:eastAsia="宋体" w:hAnsi="Book Antiqua" w:cs="宋体"/>
          <w:color w:val="000000"/>
          <w:sz w:val="24"/>
          <w:szCs w:val="24"/>
        </w:rPr>
        <w:t>, Desai M, Berkowitz SD, Peters G, Horsmans Y, Larrey D, Maddrey W. Evaluation of drug-induced serious hepatotoxicity (eDISH): application of this data organization approach to phase III clinical trials of rivaroxaban after total hip or knee replacement surgery.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34</w:t>
      </w:r>
      <w:r w:rsidRPr="00503752">
        <w:rPr>
          <w:rFonts w:ascii="Book Antiqua" w:eastAsia="宋体" w:hAnsi="Book Antiqua" w:cs="宋体"/>
          <w:color w:val="000000"/>
          <w:sz w:val="24"/>
          <w:szCs w:val="24"/>
        </w:rPr>
        <w:t>: 243-252 [PMID: 21332248 DOI: 10.2165/11586600-000000000-00000]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27</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Andrade RJ</w:t>
      </w:r>
      <w:r w:rsidRPr="00503752">
        <w:rPr>
          <w:rFonts w:ascii="Book Antiqua" w:eastAsia="宋体" w:hAnsi="Book Antiqua" w:cs="宋体"/>
          <w:color w:val="000000"/>
          <w:sz w:val="24"/>
          <w:szCs w:val="24"/>
        </w:rPr>
        <w:t>, Tulkens PM. Hepatic safety of antibiotics used in primary care.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J Antimicrob Chemother</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66</w:t>
      </w:r>
      <w:r w:rsidRPr="00503752">
        <w:rPr>
          <w:rFonts w:ascii="Book Antiqua" w:eastAsia="宋体" w:hAnsi="Book Antiqua" w:cs="宋体"/>
          <w:color w:val="000000"/>
          <w:sz w:val="24"/>
          <w:szCs w:val="24"/>
        </w:rPr>
        <w:t>: 1431-1446 [PMID: 21586591 DOI: 10.1093/jac/dkr159]</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28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Cronin S</w:t>
      </w:r>
      <w:r w:rsidRPr="00503752">
        <w:rPr>
          <w:rFonts w:ascii="Book Antiqua" w:eastAsia="宋体" w:hAnsi="Book Antiqua" w:cs="宋体"/>
          <w:color w:val="000000"/>
          <w:sz w:val="24"/>
          <w:szCs w:val="24"/>
        </w:rPr>
        <w:t>, Chandrasekar PH. Safety of triazole antifungal drugs in patients with cancer.</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J Antimicrob Chemother</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65</w:t>
      </w:r>
      <w:r w:rsidRPr="00503752">
        <w:rPr>
          <w:rFonts w:ascii="Book Antiqua" w:eastAsia="宋体" w:hAnsi="Book Antiqua" w:cs="宋体"/>
          <w:color w:val="000000"/>
          <w:sz w:val="24"/>
          <w:szCs w:val="24"/>
        </w:rPr>
        <w:t>: 410-416 [PMID: 20035021 DOI: 10.1093/jac/dkp464]</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lastRenderedPageBreak/>
        <w:t>29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Lewis JH</w:t>
      </w:r>
      <w:r w:rsidRPr="00503752">
        <w:rPr>
          <w:rFonts w:ascii="Book Antiqua" w:eastAsia="宋体" w:hAnsi="Book Antiqua" w:cs="宋体"/>
          <w:color w:val="000000"/>
          <w:sz w:val="24"/>
          <w:szCs w:val="24"/>
        </w:rPr>
        <w:t>, Zimmerman HJ, Benson GD, Ishak KG. Hepatic injury associated with ketoconazole therapy. Analysis of 33 cases.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Gastroenterology</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1984;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86</w:t>
      </w:r>
      <w:r w:rsidRPr="00503752">
        <w:rPr>
          <w:rFonts w:ascii="Book Antiqua" w:eastAsia="宋体" w:hAnsi="Book Antiqua" w:cs="宋体"/>
          <w:color w:val="000000"/>
          <w:sz w:val="24"/>
          <w:szCs w:val="24"/>
        </w:rPr>
        <w:t>: 503-513 [PMID: 6319220]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García Rodríguez LA</w:t>
      </w:r>
      <w:r w:rsidRPr="00503752">
        <w:rPr>
          <w:rFonts w:ascii="Book Antiqua" w:eastAsia="宋体" w:hAnsi="Book Antiqua" w:cs="宋体"/>
          <w:color w:val="000000"/>
          <w:sz w:val="24"/>
          <w:szCs w:val="24"/>
        </w:rPr>
        <w:t>, Duque A, Castellsague J, Pérez-Gutthann S, Stricker BH. A cohort study on the risk of acute liver injury among users of ketoconazole and other antifungal drugs.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Br J Clin Pharmacol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1999;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48</w:t>
      </w:r>
      <w:r w:rsidRPr="00503752">
        <w:rPr>
          <w:rFonts w:ascii="Book Antiqua" w:eastAsia="宋体" w:hAnsi="Book Antiqua" w:cs="宋体"/>
          <w:color w:val="000000"/>
          <w:sz w:val="24"/>
          <w:szCs w:val="24"/>
        </w:rPr>
        <w:t>: 847-852 [PMID: 10594489 DOI: 10.1046/j.1365-2125.1999.00095.x]</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Yan JY</w:t>
      </w:r>
      <w:r w:rsidRPr="00503752">
        <w:rPr>
          <w:rFonts w:ascii="Book Antiqua" w:eastAsia="宋体" w:hAnsi="Book Antiqua" w:cs="宋体"/>
          <w:color w:val="000000"/>
          <w:sz w:val="24"/>
          <w:szCs w:val="24"/>
        </w:rPr>
        <w:t>, Nie XL, Tao QM, Zhan SY, Zhang YD. Ketoconazole associated hepatotoxicity: a systematic review and meta- analysis.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Biomed Environ Sci</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26</w:t>
      </w:r>
      <w:r w:rsidRPr="00503752">
        <w:rPr>
          <w:rFonts w:ascii="Book Antiqua" w:eastAsia="宋体" w:hAnsi="Book Antiqua" w:cs="宋体"/>
          <w:color w:val="000000"/>
          <w:sz w:val="24"/>
          <w:szCs w:val="24"/>
        </w:rPr>
        <w:t>: 605-610 [PMID: 23895707]</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Fernandes NF</w:t>
      </w:r>
      <w:r w:rsidRPr="00503752">
        <w:rPr>
          <w:rFonts w:ascii="Book Antiqua" w:eastAsia="宋体" w:hAnsi="Book Antiqua" w:cs="宋体"/>
          <w:color w:val="000000"/>
          <w:sz w:val="24"/>
          <w:szCs w:val="24"/>
        </w:rPr>
        <w:t>, Geller SA, Fong TL. Terbinafine hepatotoxicity: case report and review of the literature.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Am J Gastroenterol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1998;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93</w:t>
      </w:r>
      <w:r w:rsidRPr="00503752">
        <w:rPr>
          <w:rFonts w:ascii="Book Antiqua" w:eastAsia="宋体" w:hAnsi="Book Antiqua" w:cs="宋体"/>
          <w:color w:val="000000"/>
          <w:sz w:val="24"/>
          <w:szCs w:val="24"/>
        </w:rPr>
        <w:t>: 459-460 [PMID: 9517658 DOI: 10.1111/j.1572-0241.1998.00459.x]</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Ajit C</w:t>
      </w:r>
      <w:r w:rsidRPr="00503752">
        <w:rPr>
          <w:rFonts w:ascii="Book Antiqua" w:eastAsia="宋体" w:hAnsi="Book Antiqua" w:cs="宋体"/>
          <w:color w:val="000000"/>
          <w:sz w:val="24"/>
          <w:szCs w:val="24"/>
        </w:rPr>
        <w:t>, Suvannasankha A, Zaeri N, Munoz SJ. Terbinafine-associated hepatotoxicity.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Am J Med Sci</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325</w:t>
      </w:r>
      <w:r w:rsidRPr="00503752">
        <w:rPr>
          <w:rFonts w:ascii="Book Antiqua" w:eastAsia="宋体" w:hAnsi="Book Antiqua" w:cs="宋体"/>
          <w:color w:val="000000"/>
          <w:sz w:val="24"/>
          <w:szCs w:val="24"/>
        </w:rPr>
        <w:t>: 292-295 [PMID: 12792250 DOI: 10.1097/00000441-200305000-00008]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Anania FA</w:t>
      </w:r>
      <w:r w:rsidRPr="00503752">
        <w:rPr>
          <w:rFonts w:ascii="Book Antiqua" w:eastAsia="宋体" w:hAnsi="Book Antiqua" w:cs="宋体"/>
          <w:color w:val="000000"/>
          <w:sz w:val="24"/>
          <w:szCs w:val="24"/>
        </w:rPr>
        <w:t>, Rabin L. Terbinafine hepatotoxicity resulting in chronic biliary ductopenia and portal fibrosis.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Am J Med</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112</w:t>
      </w:r>
      <w:r w:rsidRPr="00503752">
        <w:rPr>
          <w:rFonts w:ascii="Book Antiqua" w:eastAsia="宋体" w:hAnsi="Book Antiqua" w:cs="宋体"/>
          <w:color w:val="000000"/>
          <w:sz w:val="24"/>
          <w:szCs w:val="24"/>
        </w:rPr>
        <w:t>: 741-742 [PMID: 12079721 DOI: 10.1016/S0002-9343(02)01109-9]</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Kao WY</w:t>
      </w:r>
      <w:r w:rsidRPr="00503752">
        <w:rPr>
          <w:rFonts w:ascii="Book Antiqua" w:eastAsia="宋体" w:hAnsi="Book Antiqua" w:cs="宋体"/>
          <w:color w:val="000000"/>
          <w:sz w:val="24"/>
          <w:szCs w:val="24"/>
        </w:rPr>
        <w:t>, Su CW, Huang YS, Chou YC, Chen YC, Chung WH, Hou MC, Lin HC, Lee FY, Wu JC. Risk of oral antifungal agent-induced liver injury in Taiwanese.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Br J Clin Pharmacol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77</w:t>
      </w:r>
      <w:r w:rsidRPr="00503752">
        <w:rPr>
          <w:rFonts w:ascii="Book Antiqua" w:eastAsia="宋体" w:hAnsi="Book Antiqua" w:cs="宋体"/>
          <w:color w:val="000000"/>
          <w:sz w:val="24"/>
          <w:szCs w:val="24"/>
        </w:rPr>
        <w:t>: 180-189 [PMID: 23750489 DOI: 10.1111/bcp.12178]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Trifirò G</w:t>
      </w:r>
      <w:r w:rsidRPr="00503752">
        <w:rPr>
          <w:rFonts w:ascii="Book Antiqua" w:eastAsia="宋体" w:hAnsi="Book Antiqua" w:cs="宋体"/>
          <w:color w:val="000000"/>
          <w:sz w:val="24"/>
          <w:szCs w:val="24"/>
        </w:rPr>
        <w:t>, Pariente A, Coloma PM, Kors JA, Polimeni G, Miremont-Salamé G, Catania MA, Salvo F, David A, Moore N, Caputi AP, Sturkenboom M, Molokhia M, Hippisley-Cox J, Acedo CD, van der Lei J, Fourrier-Reglat A. Data mining on electronic health record databases for signal detection in pharmacovigilance: which events to monitor?</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Pharmacoepidemiol 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18</w:t>
      </w:r>
      <w:r w:rsidRPr="00503752">
        <w:rPr>
          <w:rFonts w:ascii="Book Antiqua" w:eastAsia="宋体" w:hAnsi="Book Antiqua" w:cs="宋体"/>
          <w:color w:val="000000"/>
          <w:sz w:val="24"/>
          <w:szCs w:val="24"/>
        </w:rPr>
        <w:t>: 1176-1184 [PMID: 19757412 DOI: 10.1002/pds.1836]</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37</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Harpaz R</w:t>
      </w:r>
      <w:r w:rsidRPr="00503752">
        <w:rPr>
          <w:rFonts w:ascii="Book Antiqua" w:eastAsia="宋体" w:hAnsi="Book Antiqua" w:cs="宋体"/>
          <w:color w:val="000000"/>
          <w:sz w:val="24"/>
          <w:szCs w:val="24"/>
        </w:rPr>
        <w:t>, DuMouchel W, LePendu P, Bauer-Mehren A, Ryan P, Shah NH. Performance of pharmacovigilance signal-detection algorithms for the FDA adverse event reporting system.</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Clin Pharmacol Ther</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93</w:t>
      </w:r>
      <w:r w:rsidRPr="00503752">
        <w:rPr>
          <w:rFonts w:ascii="Book Antiqua" w:eastAsia="宋体" w:hAnsi="Book Antiqua" w:cs="宋体"/>
          <w:color w:val="000000"/>
          <w:sz w:val="24"/>
          <w:szCs w:val="24"/>
        </w:rPr>
        <w:t>: 539-546 [PMID: 23571771 DOI: 10.1038/clpt.2013.24]</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lastRenderedPageBreak/>
        <w:t>38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Dusetzina SB</w:t>
      </w:r>
      <w:r w:rsidRPr="00503752">
        <w:rPr>
          <w:rFonts w:ascii="Book Antiqua" w:eastAsia="宋体" w:hAnsi="Book Antiqua" w:cs="宋体"/>
          <w:color w:val="000000"/>
          <w:sz w:val="24"/>
          <w:szCs w:val="24"/>
        </w:rPr>
        <w:t>, Higashi AS, Dorsey ER, Conti R, Huskamp HA, Zhu S, Garfield CF, Alexander GC. Impact of FDA drug risk communications on health care utilization and health behaviors: a systematic review.</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Med Care</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50</w:t>
      </w:r>
      <w:r w:rsidRPr="00503752">
        <w:rPr>
          <w:rFonts w:ascii="Book Antiqua" w:eastAsia="宋体" w:hAnsi="Book Antiqua" w:cs="宋体"/>
          <w:color w:val="000000"/>
          <w:sz w:val="24"/>
          <w:szCs w:val="24"/>
        </w:rPr>
        <w:t>: 466-478 [PMID: 22266704 DOI: 10.1097/MLR.0b013e318245a160]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39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Poluzzi E</w:t>
      </w:r>
      <w:r w:rsidRPr="00503752">
        <w:rPr>
          <w:rFonts w:ascii="Book Antiqua" w:eastAsia="宋体" w:hAnsi="Book Antiqua" w:cs="宋体"/>
          <w:color w:val="000000"/>
          <w:sz w:val="24"/>
          <w:szCs w:val="24"/>
        </w:rPr>
        <w:t>, Raschi E, Moretti U, De Ponti F. Drug-induced torsades de pointes: data mining of the public version of the FDA Adverse Event Reporting System (AERS).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Pharmacoepidemiol 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18</w:t>
      </w:r>
      <w:r w:rsidRPr="00503752">
        <w:rPr>
          <w:rFonts w:ascii="Book Antiqua" w:eastAsia="宋体" w:hAnsi="Book Antiqua" w:cs="宋体"/>
          <w:color w:val="000000"/>
          <w:sz w:val="24"/>
          <w:szCs w:val="24"/>
        </w:rPr>
        <w:t>: 512-518 [PMID: 19358226 DOI: 10.1002/pds.1746]</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Poluzzi E</w:t>
      </w:r>
      <w:r w:rsidRPr="00503752">
        <w:rPr>
          <w:rFonts w:ascii="Book Antiqua" w:eastAsia="宋体" w:hAnsi="Book Antiqua" w:cs="宋体"/>
          <w:color w:val="000000"/>
          <w:sz w:val="24"/>
          <w:szCs w:val="24"/>
        </w:rPr>
        <w:t>, Raschi E, Motola D, Moretti U, De Ponti F. Antimicrobials and the risk of torsades de pointes: the contribution from data mining of the US FDA Adverse Event Reporting System.</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33</w:t>
      </w:r>
      <w:r w:rsidRPr="00503752">
        <w:rPr>
          <w:rFonts w:ascii="Book Antiqua" w:eastAsia="宋体" w:hAnsi="Book Antiqua" w:cs="宋体"/>
          <w:color w:val="000000"/>
          <w:sz w:val="24"/>
          <w:szCs w:val="24"/>
        </w:rPr>
        <w:t>: 303-314 [PMID: 20297862 DOI: 10.2165/11531850-000000000-00000]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Poluzzi E</w:t>
      </w:r>
      <w:r w:rsidRPr="00503752">
        <w:rPr>
          <w:rFonts w:ascii="Book Antiqua" w:eastAsia="宋体" w:hAnsi="Book Antiqua" w:cs="宋体"/>
          <w:color w:val="000000"/>
          <w:sz w:val="24"/>
          <w:szCs w:val="24"/>
        </w:rPr>
        <w:t>, Raschi E, Koci A, Moretti U, Spina E, Behr ER, Sturkenboom M, De Ponti F. Antipsychotics and torsadogenic risk: signals emerging from the US FDA Adverse Event Reporting System database.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w:t>
      </w:r>
      <w:r w:rsidRPr="00503752">
        <w:rPr>
          <w:rFonts w:ascii="Book Antiqua" w:eastAsia="宋体" w:hAnsi="Book Antiqua" w:cs="宋体"/>
          <w:color w:val="000000"/>
          <w:sz w:val="24"/>
          <w:szCs w:val="24"/>
        </w:rPr>
        <w:t>: 467-479 [PMID: 23553446 DOI: 10.1007/s40264-013-0032-z]</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Brinker AD</w:t>
      </w:r>
      <w:r w:rsidRPr="00503752">
        <w:rPr>
          <w:rFonts w:ascii="Book Antiqua" w:eastAsia="宋体" w:hAnsi="Book Antiqua" w:cs="宋体"/>
          <w:color w:val="000000"/>
          <w:sz w:val="24"/>
          <w:szCs w:val="24"/>
        </w:rPr>
        <w:t>, Lyndly J, Tonning J, Moeny D, Levine JG, Avigan MI. Profiling cumulative proportional reporting ratios of drug-induced liver injury in the FDA Adverse Event Reporting System (FAERS) database.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w:t>
      </w:r>
      <w:r w:rsidRPr="00503752">
        <w:rPr>
          <w:rFonts w:ascii="Book Antiqua" w:eastAsia="宋体" w:hAnsi="Book Antiqua" w:cs="宋体"/>
          <w:color w:val="000000"/>
          <w:sz w:val="24"/>
          <w:szCs w:val="24"/>
        </w:rPr>
        <w:t>: 1169-1178 [PMID: 24178291 DOI: 10.1007/s40264-013-0116-9]</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43</w:t>
      </w:r>
      <w:r w:rsidRPr="00B977AE">
        <w:rPr>
          <w:rFonts w:ascii="Book Antiqua" w:eastAsia="宋体" w:hAnsi="Book Antiqua" w:cs="宋体"/>
          <w:color w:val="000000"/>
          <w:sz w:val="24"/>
          <w:szCs w:val="24"/>
        </w:rPr>
        <w:t xml:space="preserve"> </w:t>
      </w:r>
      <w:r w:rsidRPr="00503752">
        <w:rPr>
          <w:rFonts w:ascii="Book Antiqua" w:eastAsia="宋体" w:hAnsi="Book Antiqua" w:cs="宋体"/>
          <w:b/>
          <w:color w:val="000000"/>
          <w:sz w:val="24"/>
          <w:szCs w:val="24"/>
        </w:rPr>
        <w:t>Poluzzi E</w:t>
      </w:r>
      <w:r w:rsidRPr="00503752">
        <w:rPr>
          <w:rFonts w:ascii="Book Antiqua" w:eastAsia="宋体" w:hAnsi="Book Antiqua" w:cs="宋体"/>
          <w:color w:val="000000"/>
          <w:sz w:val="24"/>
          <w:szCs w:val="24"/>
        </w:rPr>
        <w:t>, Raschi E, Piccinni C, De Ponti F. Data Mining Techniques in Pharmacovigilance: Analysis of the Publicly Accessible FDA Adverse Event Reporting System (AERS). In: Karahoca A. Data Mining Applications in Engineering and Medicine. InTech: Rijeka, Croatia, 2012: 267-301</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Suzuki A</w:t>
      </w:r>
      <w:r w:rsidRPr="00503752">
        <w:rPr>
          <w:rFonts w:ascii="Book Antiqua" w:eastAsia="宋体" w:hAnsi="Book Antiqua" w:cs="宋体"/>
          <w:color w:val="000000"/>
          <w:sz w:val="24"/>
          <w:szCs w:val="24"/>
        </w:rPr>
        <w:t>, Andrade RJ, Bjornsson E, Lucena MI, Lee WM, Yuen NA, Hunt CM, Freston JW. Drugs associated with hepatotoxicity and their reporting frequency of liver adverse events in VigiBase: unified list based on international collaborative work.</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33</w:t>
      </w:r>
      <w:r w:rsidRPr="00503752">
        <w:rPr>
          <w:rFonts w:ascii="Book Antiqua" w:eastAsia="宋体" w:hAnsi="Book Antiqua" w:cs="宋体"/>
          <w:color w:val="000000"/>
          <w:sz w:val="24"/>
          <w:szCs w:val="24"/>
        </w:rPr>
        <w:t>: 503-522 [PMID: 20486732 DOI: 10.2165/11535340-000000000-00000]</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Bernal W</w:t>
      </w:r>
      <w:r w:rsidRPr="00503752">
        <w:rPr>
          <w:rFonts w:ascii="Book Antiqua" w:eastAsia="宋体" w:hAnsi="Book Antiqua" w:cs="宋体"/>
          <w:color w:val="000000"/>
          <w:sz w:val="24"/>
          <w:szCs w:val="24"/>
        </w:rPr>
        <w:t>, Wendon J. Acute liver failure.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N Engl J Med</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369</w:t>
      </w:r>
      <w:r w:rsidRPr="00503752">
        <w:rPr>
          <w:rFonts w:ascii="Book Antiqua" w:eastAsia="宋体" w:hAnsi="Book Antiqua" w:cs="宋体"/>
          <w:color w:val="000000"/>
          <w:sz w:val="24"/>
          <w:szCs w:val="24"/>
        </w:rPr>
        <w:t>: 2525-2534 [PMID: 24369077 DOI: 10.1056/NEJMra1208937]</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van Puijenbroek EP</w:t>
      </w:r>
      <w:r w:rsidRPr="00503752">
        <w:rPr>
          <w:rFonts w:ascii="Book Antiqua" w:eastAsia="宋体" w:hAnsi="Book Antiqua" w:cs="宋体"/>
          <w:color w:val="000000"/>
          <w:sz w:val="24"/>
          <w:szCs w:val="24"/>
        </w:rPr>
        <w:t xml:space="preserve">, Bate A, Leufkens HG, Lindquist M, Orre R, Egberts AC. A comparison of measures of disproportionality for signal detection in spontaneous </w:t>
      </w:r>
      <w:r w:rsidRPr="00503752">
        <w:rPr>
          <w:rFonts w:ascii="Book Antiqua" w:eastAsia="宋体" w:hAnsi="Book Antiqua" w:cs="宋体"/>
          <w:color w:val="000000"/>
          <w:sz w:val="24"/>
          <w:szCs w:val="24"/>
        </w:rPr>
        <w:lastRenderedPageBreak/>
        <w:t>reporting systems for adverse drug reactions.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Pharmacoepidemiol Drug Saf</w:t>
      </w:r>
      <w:r w:rsidRPr="00B977AE">
        <w:rPr>
          <w:rFonts w:ascii="Book Antiqua" w:eastAsia="宋体" w:hAnsi="Book Antiqua" w:cs="宋体"/>
          <w:color w:val="000000"/>
          <w:sz w:val="24"/>
          <w:szCs w:val="24"/>
        </w:rPr>
        <w:t> 2002</w:t>
      </w:r>
      <w:r w:rsidRPr="00503752">
        <w:rPr>
          <w:rFonts w:ascii="Book Antiqua" w:eastAsia="宋体" w:hAnsi="Book Antiqua" w:cs="宋体"/>
          <w:color w:val="000000"/>
          <w:sz w:val="24"/>
          <w:szCs w:val="24"/>
        </w:rPr>
        <w:t>;</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11</w:t>
      </w:r>
      <w:r w:rsidRPr="00503752">
        <w:rPr>
          <w:rFonts w:ascii="Book Antiqua" w:eastAsia="宋体" w:hAnsi="Book Antiqua" w:cs="宋体"/>
          <w:color w:val="000000"/>
          <w:sz w:val="24"/>
          <w:szCs w:val="24"/>
        </w:rPr>
        <w:t>: 3-10 [PMID: 11998548 DOI: 10.1002/pds.668]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47</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Raschi E</w:t>
      </w:r>
      <w:r w:rsidRPr="00503752">
        <w:rPr>
          <w:rFonts w:ascii="Book Antiqua" w:eastAsia="宋体" w:hAnsi="Book Antiqua" w:cs="宋体"/>
          <w:color w:val="000000"/>
          <w:sz w:val="24"/>
          <w:szCs w:val="24"/>
        </w:rPr>
        <w:t>, Piccinni C, Poluzzi E, Marchesini G, De Ponti F. The association of pancreatitis with antidiabetic drug use: gaining insight through the FDA pharmacovigilance database.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Acta Diabetol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50</w:t>
      </w:r>
      <w:r w:rsidRPr="00503752">
        <w:rPr>
          <w:rFonts w:ascii="Book Antiqua" w:eastAsia="宋体" w:hAnsi="Book Antiqua" w:cs="宋体"/>
          <w:color w:val="000000"/>
          <w:sz w:val="24"/>
          <w:szCs w:val="24"/>
        </w:rPr>
        <w:t>: 569-577 [PMID: 22008948 DOI: 10.1007/s00592-011-0340-7]</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Ryan PB</w:t>
      </w:r>
      <w:r w:rsidRPr="00503752">
        <w:rPr>
          <w:rFonts w:ascii="Book Antiqua" w:eastAsia="宋体" w:hAnsi="Book Antiqua" w:cs="宋体"/>
          <w:color w:val="000000"/>
          <w:sz w:val="24"/>
          <w:szCs w:val="24"/>
        </w:rPr>
        <w:t>, Schuemie MJ, Welebob E, Duke J, Valentine S, Hartzema AG. Defining a reference set to support methodological research in drug safety.</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 Suppl 1</w:t>
      </w:r>
      <w:r w:rsidRPr="00503752">
        <w:rPr>
          <w:rFonts w:ascii="Book Antiqua" w:eastAsia="宋体" w:hAnsi="Book Antiqua" w:cs="宋体"/>
          <w:color w:val="000000"/>
          <w:sz w:val="24"/>
          <w:szCs w:val="24"/>
        </w:rPr>
        <w:t>: S33-S47 [PMID: 24166222 DOI: 10.1007/s40264-013-0097-8]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49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Coloma PM</w:t>
      </w:r>
      <w:r w:rsidRPr="00503752">
        <w:rPr>
          <w:rFonts w:ascii="Book Antiqua" w:eastAsia="宋体" w:hAnsi="Book Antiqua" w:cs="宋体"/>
          <w:color w:val="000000"/>
          <w:sz w:val="24"/>
          <w:szCs w:val="24"/>
        </w:rPr>
        <w:t>, Avillach P, Salvo F, Schuemie MJ, Ferrajolo C, Pariente A, Fourrier-Réglat A, Molokhia M, Patadia V, van der Lei J, Sturkenboom M, Trifirò G. A reference standard for evaluation of methods for drug safety signal detection using electronic healthcare record databases.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w:t>
      </w:r>
      <w:r w:rsidRPr="00503752">
        <w:rPr>
          <w:rFonts w:ascii="Book Antiqua" w:eastAsia="宋体" w:hAnsi="Book Antiqua" w:cs="宋体"/>
          <w:color w:val="000000"/>
          <w:sz w:val="24"/>
          <w:szCs w:val="24"/>
        </w:rPr>
        <w:t>: 13-23 [PMID: 23315292 DOI: 10.1007/s40264-012-0002-x]</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Bate A</w:t>
      </w:r>
      <w:r w:rsidRPr="00503752">
        <w:rPr>
          <w:rFonts w:ascii="Book Antiqua" w:eastAsia="宋体" w:hAnsi="Book Antiqua" w:cs="宋体"/>
          <w:color w:val="000000"/>
          <w:sz w:val="24"/>
          <w:szCs w:val="24"/>
        </w:rPr>
        <w:t>, Evans SJ. Quantitative signal detection using spontaneous ADR reporting.</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Pharmacoepidemiol 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18</w:t>
      </w:r>
      <w:r w:rsidRPr="00503752">
        <w:rPr>
          <w:rFonts w:ascii="Book Antiqua" w:eastAsia="宋体" w:hAnsi="Book Antiqua" w:cs="宋体"/>
          <w:color w:val="000000"/>
          <w:sz w:val="24"/>
          <w:szCs w:val="24"/>
        </w:rPr>
        <w:t>: 427-436 [PMID: 19358225 DOI: 10.1002/pds.1742]</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51</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Shah RR</w:t>
      </w:r>
      <w:r w:rsidRPr="00503752">
        <w:rPr>
          <w:rFonts w:ascii="Book Antiqua" w:eastAsia="宋体" w:hAnsi="Book Antiqua" w:cs="宋体"/>
          <w:color w:val="000000"/>
          <w:sz w:val="24"/>
          <w:szCs w:val="24"/>
        </w:rPr>
        <w:t>, Morganroth J, Shah DR. Hepatotoxicity of tyrosine kinase inhibitors: clinical and regulatory perspectives.</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Drug Saf</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36</w:t>
      </w:r>
      <w:r w:rsidRPr="00503752">
        <w:rPr>
          <w:rFonts w:ascii="Book Antiqua" w:eastAsia="宋体" w:hAnsi="Book Antiqua" w:cs="宋体"/>
          <w:color w:val="000000"/>
          <w:sz w:val="24"/>
          <w:szCs w:val="24"/>
        </w:rPr>
        <w:t>: 491-503 [PMID: 23620168 DOI: 10.1007/s40264-013-0048-4]</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52 . NEVAXAR. EMA: procedural steps taken and scientific information after the authorisation. 2010. Available from: URL: http: //www.ema.europa.eu/docs/en_GB/document_library/EPAR_-_Procedural_steps_taken_and_scientific_information_after_authorisation/human/000690/WC500027709.pdf</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53 . NEVAXAR. FDA: Labeling Revision. 2010. Available from: URL: http: //www.accessdata.fda.gov/drugsatfda_docs/appletter/2012/021923Origs013ltr.pdf</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54</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Petronijevic M</w:t>
      </w:r>
      <w:r w:rsidRPr="00503752">
        <w:rPr>
          <w:rFonts w:ascii="Book Antiqua" w:eastAsia="宋体" w:hAnsi="Book Antiqua" w:cs="宋体"/>
          <w:color w:val="000000"/>
          <w:sz w:val="24"/>
          <w:szCs w:val="24"/>
        </w:rPr>
        <w:t>, Ilic K. Associations of gender and age with the reporting of drug-induced hepatic failure: data from the VigiBase™.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J Clin Pharmacol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53</w:t>
      </w:r>
      <w:r w:rsidRPr="00503752">
        <w:rPr>
          <w:rFonts w:ascii="Book Antiqua" w:eastAsia="宋体" w:hAnsi="Book Antiqua" w:cs="宋体"/>
          <w:color w:val="000000"/>
          <w:sz w:val="24"/>
          <w:szCs w:val="24"/>
        </w:rPr>
        <w:t>: 435-443 [PMID: 23440959 DOI: 10.1002/jcph.3]</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55</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Raschi E</w:t>
      </w:r>
      <w:r w:rsidRPr="00503752">
        <w:rPr>
          <w:rFonts w:ascii="Book Antiqua" w:eastAsia="宋体" w:hAnsi="Book Antiqua" w:cs="宋体"/>
          <w:color w:val="000000"/>
          <w:sz w:val="24"/>
          <w:szCs w:val="24"/>
        </w:rPr>
        <w:t xml:space="preserve">, Poluzzi E, Zuliani C, Muller A, Goossens H, De Ponti F. Exposure to antibacterial agents with QT liability in 14 European countries: trends over an 8-year </w:t>
      </w:r>
      <w:r w:rsidRPr="00503752">
        <w:rPr>
          <w:rFonts w:ascii="Book Antiqua" w:eastAsia="宋体" w:hAnsi="Book Antiqua" w:cs="宋体"/>
          <w:color w:val="000000"/>
          <w:sz w:val="24"/>
          <w:szCs w:val="24"/>
        </w:rPr>
        <w:lastRenderedPageBreak/>
        <w:t>period.</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Br J Clin Pharmacol</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2009;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67</w:t>
      </w:r>
      <w:r w:rsidRPr="00503752">
        <w:rPr>
          <w:rFonts w:ascii="Book Antiqua" w:eastAsia="宋体" w:hAnsi="Book Antiqua" w:cs="宋体"/>
          <w:color w:val="000000"/>
          <w:sz w:val="24"/>
          <w:szCs w:val="24"/>
        </w:rPr>
        <w:t>: 88-98 [PMID: 19076158 DOI: 10.1111/j.1365-2125.2008.03319.x]</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56</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Raschi E</w:t>
      </w:r>
      <w:r w:rsidRPr="00503752">
        <w:rPr>
          <w:rFonts w:ascii="Book Antiqua" w:eastAsia="宋体" w:hAnsi="Book Antiqua" w:cs="宋体"/>
          <w:color w:val="000000"/>
          <w:sz w:val="24"/>
          <w:szCs w:val="24"/>
        </w:rPr>
        <w:t>, Poluzzi E, Godman B, Koci A, Moretti U, Kalaba M, Bennie M, Barbui C, Wettermark B, Sturkenboom M, De Ponti F. Torsadogenic risk of antipsychotics: combining adverse event reports with drug utilization data across Europe.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PLoS One</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8</w:t>
      </w:r>
      <w:r w:rsidRPr="00503752">
        <w:rPr>
          <w:rFonts w:ascii="Book Antiqua" w:eastAsia="宋体" w:hAnsi="Book Antiqua" w:cs="宋体"/>
          <w:color w:val="000000"/>
          <w:sz w:val="24"/>
          <w:szCs w:val="24"/>
        </w:rPr>
        <w:t>: e81208 [PMID: 24278396 DOI: 10.1371/journal.pone.0081208]</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57</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Adriaenssens N</w:t>
      </w:r>
      <w:r w:rsidRPr="00503752">
        <w:rPr>
          <w:rFonts w:ascii="Book Antiqua" w:eastAsia="宋体" w:hAnsi="Book Antiqua" w:cs="宋体"/>
          <w:color w:val="000000"/>
          <w:sz w:val="24"/>
          <w:szCs w:val="24"/>
        </w:rPr>
        <w:t>, Coenen S, Muller A, Vankerckhoven V, Goossens H. European Surveillance of Antimicrobial Consumption (ESAC): outpatient systemic antimycotic and antifungal use in Europe.</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J Antimicrob Chemother</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2010;</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65</w:t>
      </w:r>
      <w:r w:rsidRPr="00503752">
        <w:rPr>
          <w:rFonts w:ascii="Book Antiqua" w:eastAsia="宋体" w:hAnsi="Book Antiqua" w:cs="宋体"/>
          <w:color w:val="000000"/>
          <w:sz w:val="24"/>
          <w:szCs w:val="24"/>
        </w:rPr>
        <w:t>: 769-774 [PMID: 20142264 DOI: 10.1093/jac/dkq023]</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58</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Adriaenssens N</w:t>
      </w:r>
      <w:r w:rsidRPr="00503752">
        <w:rPr>
          <w:rFonts w:ascii="Book Antiqua" w:eastAsia="宋体" w:hAnsi="Book Antiqua" w:cs="宋体"/>
          <w:color w:val="000000"/>
          <w:sz w:val="24"/>
          <w:szCs w:val="24"/>
        </w:rPr>
        <w:t>, Coenen S, Versporten A, Goossens H. Outpatient systemic antimycotic and antifungal use in Europe: new outcome measure provides new insight.</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Int J Antimicrob Agents</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2013;</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42</w:t>
      </w:r>
      <w:r w:rsidRPr="00503752">
        <w:rPr>
          <w:rFonts w:ascii="Book Antiqua" w:eastAsia="宋体" w:hAnsi="Book Antiqua" w:cs="宋体"/>
          <w:color w:val="000000"/>
          <w:sz w:val="24"/>
          <w:szCs w:val="24"/>
        </w:rPr>
        <w:t>: 466-470 [PMID: 23993932 DOI: 10.1016/j.ijantimicag.2013.07.004]</w:t>
      </w:r>
    </w:p>
    <w:p w:rsidR="00817BDE" w:rsidRPr="00503752" w:rsidRDefault="00817BDE" w:rsidP="00817BDE">
      <w:pPr>
        <w:spacing w:line="360" w:lineRule="auto"/>
        <w:jc w:val="both"/>
        <w:rPr>
          <w:rFonts w:ascii="Book Antiqua" w:eastAsia="宋体" w:hAnsi="Book Antiqua" w:cs="宋体"/>
          <w:color w:val="000000"/>
          <w:sz w:val="24"/>
          <w:szCs w:val="24"/>
        </w:rPr>
      </w:pPr>
      <w:r w:rsidRPr="00503752">
        <w:rPr>
          <w:rFonts w:ascii="Book Antiqua" w:eastAsia="宋体" w:hAnsi="Book Antiqua" w:cs="宋体"/>
          <w:color w:val="000000"/>
          <w:sz w:val="24"/>
          <w:szCs w:val="24"/>
        </w:rPr>
        <w:t>59</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Zarb P</w:t>
      </w:r>
      <w:r w:rsidRPr="00503752">
        <w:rPr>
          <w:rFonts w:ascii="Book Antiqua" w:eastAsia="宋体" w:hAnsi="Book Antiqua" w:cs="宋体"/>
          <w:color w:val="000000"/>
          <w:sz w:val="24"/>
          <w:szCs w:val="24"/>
        </w:rPr>
        <w:t>, Amadeo B, Muller A, Drapier N, Vankerckhoven V, Davey P, Goossens H. Antifungal therapy in European hospitals: data from the ESAC point-prevalence surveys 2008 and 2009.</w:t>
      </w:r>
      <w:r w:rsidRPr="00B977AE">
        <w:rPr>
          <w:rFonts w:ascii="Book Antiqua" w:eastAsia="宋体" w:hAnsi="Book Antiqua" w:cs="宋体"/>
          <w:color w:val="000000"/>
          <w:sz w:val="24"/>
          <w:szCs w:val="24"/>
        </w:rPr>
        <w:t> </w:t>
      </w:r>
      <w:r w:rsidRPr="00503752">
        <w:rPr>
          <w:rFonts w:ascii="Book Antiqua" w:eastAsia="宋体" w:hAnsi="Book Antiqua" w:cs="宋体"/>
          <w:i/>
          <w:iCs/>
          <w:color w:val="000000"/>
          <w:sz w:val="24"/>
          <w:szCs w:val="24"/>
        </w:rPr>
        <w:t>Clin Microbiol Infect</w:t>
      </w:r>
      <w:r w:rsidRPr="00B977AE">
        <w:rPr>
          <w:rFonts w:ascii="Book Antiqua" w:eastAsia="宋体" w:hAnsi="Book Antiqua" w:cs="宋体"/>
          <w:color w:val="000000"/>
          <w:sz w:val="24"/>
          <w:szCs w:val="24"/>
        </w:rPr>
        <w:t> </w:t>
      </w:r>
      <w:r w:rsidRPr="00503752">
        <w:rPr>
          <w:rFonts w:ascii="Book Antiqua" w:eastAsia="宋体" w:hAnsi="Book Antiqua" w:cs="宋体"/>
          <w:color w:val="000000"/>
          <w:sz w:val="24"/>
          <w:szCs w:val="24"/>
        </w:rPr>
        <w:t>2012;</w:t>
      </w:r>
      <w:r w:rsidRPr="00B977AE">
        <w:rPr>
          <w:rFonts w:ascii="Book Antiqua" w:eastAsia="宋体" w:hAnsi="Book Antiqua" w:cs="宋体"/>
          <w:color w:val="000000"/>
          <w:sz w:val="24"/>
          <w:szCs w:val="24"/>
        </w:rPr>
        <w:t> </w:t>
      </w:r>
      <w:r w:rsidRPr="00503752">
        <w:rPr>
          <w:rFonts w:ascii="Book Antiqua" w:eastAsia="宋体" w:hAnsi="Book Antiqua" w:cs="宋体"/>
          <w:b/>
          <w:bCs/>
          <w:color w:val="000000"/>
          <w:sz w:val="24"/>
          <w:szCs w:val="24"/>
        </w:rPr>
        <w:t>18</w:t>
      </w:r>
      <w:r w:rsidRPr="00503752">
        <w:rPr>
          <w:rFonts w:ascii="Book Antiqua" w:eastAsia="宋体" w:hAnsi="Book Antiqua" w:cs="宋体"/>
          <w:color w:val="000000"/>
          <w:sz w:val="24"/>
          <w:szCs w:val="24"/>
        </w:rPr>
        <w:t>: E389-E395 [PMID: 22827696 DOI: 10.1111/j.1469-0691.2012.03973.x]</w:t>
      </w:r>
    </w:p>
    <w:p w:rsidR="00817BDE" w:rsidRPr="00B977AE" w:rsidRDefault="00817BDE" w:rsidP="00817BDE">
      <w:pPr>
        <w:spacing w:line="360" w:lineRule="auto"/>
        <w:jc w:val="right"/>
        <w:rPr>
          <w:rFonts w:ascii="Book Antiqua" w:hAnsi="Book Antiqua"/>
          <w:sz w:val="24"/>
          <w:szCs w:val="24"/>
        </w:rPr>
      </w:pPr>
    </w:p>
    <w:p w:rsidR="00817BDE" w:rsidRPr="00B977AE" w:rsidRDefault="00817BDE" w:rsidP="00817BDE">
      <w:pPr>
        <w:wordWrap w:val="0"/>
        <w:spacing w:line="360" w:lineRule="auto"/>
        <w:jc w:val="right"/>
        <w:rPr>
          <w:rFonts w:ascii="Book Antiqua" w:hAnsi="Book Antiqua"/>
          <w:b/>
          <w:bCs/>
          <w:color w:val="000000"/>
          <w:sz w:val="24"/>
        </w:rPr>
      </w:pPr>
      <w:bookmarkStart w:id="120" w:name="OLE_LINK11"/>
      <w:bookmarkStart w:id="121" w:name="OLE_LINK36"/>
      <w:bookmarkStart w:id="122" w:name="OLE_LINK37"/>
      <w:bookmarkStart w:id="123" w:name="OLE_LINK20"/>
      <w:bookmarkStart w:id="124" w:name="OLE_LINK80"/>
      <w:bookmarkStart w:id="125" w:name="OLE_LINK85"/>
      <w:bookmarkStart w:id="126" w:name="OLE_LINK194"/>
      <w:bookmarkStart w:id="127" w:name="OLE_LINK118"/>
      <w:bookmarkStart w:id="128" w:name="OLE_LINK159"/>
      <w:bookmarkStart w:id="129" w:name="OLE_LINK200"/>
      <w:bookmarkStart w:id="130" w:name="OLE_LINK310"/>
      <w:bookmarkStart w:id="131" w:name="OLE_LINK225"/>
      <w:bookmarkStart w:id="132" w:name="OLE_LINK397"/>
      <w:bookmarkStart w:id="133" w:name="OLE_LINK471"/>
      <w:bookmarkStart w:id="134" w:name="OLE_LINK234"/>
      <w:bookmarkStart w:id="135" w:name="OLE_LINK251"/>
      <w:bookmarkStart w:id="136" w:name="OLE_LINK474"/>
      <w:bookmarkStart w:id="137" w:name="OLE_LINK235"/>
      <w:bookmarkStart w:id="138" w:name="OLE_LINK466"/>
      <w:bookmarkStart w:id="139" w:name="OLE_LINK481"/>
      <w:bookmarkStart w:id="140" w:name="OLE_LINK501"/>
      <w:bookmarkStart w:id="141" w:name="OLE_LINK515"/>
      <w:bookmarkStart w:id="142" w:name="OLE_LINK516"/>
      <w:bookmarkStart w:id="143" w:name="OLE_LINK532"/>
      <w:bookmarkStart w:id="144" w:name="OLE_LINK549"/>
      <w:bookmarkStart w:id="145" w:name="OLE_LINK518"/>
      <w:bookmarkStart w:id="146" w:name="OLE_LINK616"/>
      <w:bookmarkStart w:id="147" w:name="OLE_LINK494"/>
      <w:bookmarkStart w:id="148" w:name="OLE_LINK244"/>
      <w:bookmarkStart w:id="149" w:name="OLE_LINK249"/>
      <w:bookmarkStart w:id="150" w:name="OLE_LINK254"/>
      <w:bookmarkStart w:id="151" w:name="OLE_LINK507"/>
      <w:bookmarkStart w:id="152" w:name="OLE_LINK520"/>
      <w:bookmarkStart w:id="153" w:name="OLE_LINK245"/>
      <w:bookmarkStart w:id="154" w:name="OLE_LINK502"/>
      <w:bookmarkStart w:id="155" w:name="OLE_LINK506"/>
      <w:r w:rsidRPr="00B977AE">
        <w:rPr>
          <w:rStyle w:val="ad"/>
          <w:rFonts w:ascii="Book Antiqua" w:hAnsi="Book Antiqua"/>
          <w:noProof/>
          <w:color w:val="000000"/>
          <w:sz w:val="24"/>
          <w:szCs w:val="24"/>
        </w:rPr>
        <w:t>P-Reviewer</w:t>
      </w:r>
      <w:bookmarkEnd w:id="120"/>
      <w:r w:rsidRPr="00B977AE">
        <w:rPr>
          <w:rStyle w:val="ad"/>
          <w:rFonts w:ascii="Book Antiqua" w:hAnsi="Book Antiqua"/>
          <w:noProof/>
          <w:color w:val="000000"/>
          <w:sz w:val="24"/>
          <w:szCs w:val="24"/>
          <w:lang w:eastAsia="zh-CN"/>
        </w:rPr>
        <w:t>s</w:t>
      </w:r>
      <w:r w:rsidRPr="00B977AE">
        <w:rPr>
          <w:rStyle w:val="ad"/>
          <w:rFonts w:ascii="Book Antiqua" w:hAnsi="Book Antiqua"/>
          <w:noProof/>
          <w:color w:val="000000"/>
          <w:sz w:val="24"/>
          <w:szCs w:val="24"/>
        </w:rPr>
        <w:t>:</w:t>
      </w:r>
      <w:r w:rsidRPr="00B977AE">
        <w:rPr>
          <w:rFonts w:ascii="Book Antiqua" w:hAnsi="Book Antiqua"/>
          <w:b/>
          <w:bCs/>
          <w:color w:val="000000"/>
          <w:sz w:val="24"/>
        </w:rPr>
        <w:t xml:space="preserve"> </w:t>
      </w:r>
      <w:r w:rsidRPr="00B977AE">
        <w:rPr>
          <w:rFonts w:ascii="Book Antiqua" w:hAnsi="Book Antiqua"/>
          <w:bCs/>
          <w:color w:val="000000"/>
          <w:sz w:val="24"/>
        </w:rPr>
        <w:t>Julie</w:t>
      </w:r>
      <w:r w:rsidRPr="00B977AE">
        <w:rPr>
          <w:rFonts w:ascii="Book Antiqua" w:hAnsi="Book Antiqua"/>
          <w:b/>
          <w:bCs/>
          <w:color w:val="000000"/>
          <w:sz w:val="24"/>
        </w:rPr>
        <w:t xml:space="preserve"> </w:t>
      </w:r>
      <w:r w:rsidRPr="00B977AE">
        <w:rPr>
          <w:rFonts w:ascii="Book Antiqua" w:hAnsi="Book Antiqua"/>
          <w:bCs/>
          <w:color w:val="000000"/>
          <w:sz w:val="24"/>
          <w:lang w:eastAsia="zh-CN"/>
        </w:rPr>
        <w:t>NL, Neil L</w:t>
      </w:r>
      <w:r w:rsidRPr="00B977AE">
        <w:rPr>
          <w:rFonts w:ascii="Book Antiqua" w:hAnsi="Book Antiqua"/>
          <w:b/>
          <w:bCs/>
          <w:color w:val="000000"/>
          <w:sz w:val="24"/>
          <w:lang w:eastAsia="zh-CN"/>
        </w:rPr>
        <w:t xml:space="preserve"> </w:t>
      </w:r>
      <w:r w:rsidRPr="00B977AE">
        <w:rPr>
          <w:rFonts w:ascii="Book Antiqua" w:hAnsi="Book Antiqua"/>
          <w:b/>
          <w:bCs/>
          <w:color w:val="000000"/>
          <w:sz w:val="24"/>
        </w:rPr>
        <w:t xml:space="preserve">S-Editor: </w:t>
      </w:r>
      <w:r w:rsidRPr="00B977AE">
        <w:rPr>
          <w:rFonts w:ascii="Book Antiqua" w:hAnsi="Book Antiqua"/>
          <w:bCs/>
          <w:color w:val="000000"/>
          <w:sz w:val="24"/>
        </w:rPr>
        <w:t xml:space="preserve">Wen LL </w:t>
      </w:r>
      <w:r w:rsidRPr="00B977AE">
        <w:rPr>
          <w:rFonts w:ascii="Book Antiqua" w:hAnsi="Book Antiqua"/>
          <w:b/>
          <w:bCs/>
          <w:color w:val="000000"/>
          <w:sz w:val="24"/>
        </w:rPr>
        <w:t>L-Editor: E-Editor:</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3804A8" w:rsidRPr="00B977AE" w:rsidRDefault="003804A8" w:rsidP="004D1284">
      <w:pPr>
        <w:tabs>
          <w:tab w:val="right" w:pos="142"/>
          <w:tab w:val="left" w:pos="426"/>
        </w:tabs>
        <w:spacing w:line="360" w:lineRule="auto"/>
        <w:ind w:left="426" w:hanging="426"/>
        <w:jc w:val="both"/>
        <w:rPr>
          <w:rFonts w:ascii="Book Antiqua" w:hAnsi="Book Antiqua"/>
          <w:sz w:val="20"/>
          <w:szCs w:val="20"/>
        </w:rPr>
      </w:pPr>
    </w:p>
    <w:p w:rsidR="00EE29E7" w:rsidRDefault="002411CC" w:rsidP="004D1284">
      <w:pPr>
        <w:tabs>
          <w:tab w:val="right" w:pos="540"/>
          <w:tab w:val="left" w:pos="720"/>
        </w:tabs>
        <w:spacing w:line="360" w:lineRule="auto"/>
        <w:ind w:left="1440" w:hanging="1440"/>
        <w:jc w:val="both"/>
        <w:rPr>
          <w:rFonts w:ascii="Book Antiqua" w:hAnsi="Book Antiqua"/>
          <w:sz w:val="20"/>
          <w:szCs w:val="20"/>
          <w:lang w:val="en-US"/>
        </w:rPr>
      </w:pPr>
      <w:r w:rsidRPr="00B977AE">
        <w:rPr>
          <w:rFonts w:ascii="Book Antiqua" w:hAnsi="Book Antiqua"/>
          <w:sz w:val="20"/>
          <w:szCs w:val="20"/>
          <w:lang w:val="en-US"/>
        </w:rPr>
        <w:fldChar w:fldCharType="end"/>
      </w:r>
      <w:r w:rsidR="00EE29E7">
        <w:rPr>
          <w:rFonts w:ascii="Book Antiqua" w:hAnsi="Book Antiqua"/>
          <w:sz w:val="20"/>
          <w:szCs w:val="20"/>
          <w:lang w:val="en-US"/>
        </w:rPr>
        <w:br w:type="page"/>
      </w:r>
    </w:p>
    <w:p w:rsidR="00EE29E7" w:rsidRPr="00B977AE" w:rsidRDefault="00EE29E7" w:rsidP="00EE29E7">
      <w:pPr>
        <w:tabs>
          <w:tab w:val="right" w:pos="540"/>
          <w:tab w:val="left" w:pos="720"/>
        </w:tabs>
        <w:spacing w:line="360" w:lineRule="auto"/>
        <w:jc w:val="both"/>
        <w:rPr>
          <w:rFonts w:ascii="Book Antiqua" w:hAnsi="Book Antiqua"/>
          <w:b/>
          <w:sz w:val="24"/>
          <w:lang w:val="en-US"/>
        </w:rPr>
      </w:pPr>
      <w:r w:rsidRPr="00B977AE">
        <w:rPr>
          <w:rFonts w:ascii="Book Antiqua" w:hAnsi="Book Antiqua"/>
          <w:noProof/>
          <w:lang w:val="en-US" w:eastAsia="zh-CN"/>
        </w:rPr>
        <w:lastRenderedPageBreak/>
        <w:drawing>
          <wp:inline distT="0" distB="0" distL="0" distR="0" wp14:anchorId="111E8F27" wp14:editId="5C66895B">
            <wp:extent cx="6120130" cy="41415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130" cy="4141548"/>
                    </a:xfrm>
                    <a:prstGeom prst="rect">
                      <a:avLst/>
                    </a:prstGeom>
                    <a:noFill/>
                    <a:ln w="9525">
                      <a:noFill/>
                      <a:miter lim="800000"/>
                      <a:headEnd/>
                      <a:tailEnd/>
                    </a:ln>
                  </pic:spPr>
                </pic:pic>
              </a:graphicData>
            </a:graphic>
          </wp:inline>
        </w:drawing>
      </w:r>
    </w:p>
    <w:p w:rsidR="00EE29E7" w:rsidRDefault="00EE29E7" w:rsidP="00EE29E7">
      <w:pPr>
        <w:tabs>
          <w:tab w:val="right" w:pos="540"/>
          <w:tab w:val="left" w:pos="720"/>
        </w:tabs>
        <w:spacing w:line="360" w:lineRule="auto"/>
        <w:jc w:val="both"/>
        <w:rPr>
          <w:rFonts w:ascii="Book Antiqua" w:hAnsi="Book Antiqua"/>
          <w:b/>
          <w:sz w:val="24"/>
          <w:lang w:val="en-US"/>
        </w:rPr>
      </w:pPr>
      <w:r w:rsidRPr="00CB0EA0">
        <w:rPr>
          <w:rFonts w:ascii="Book Antiqua" w:hAnsi="Book Antiqua"/>
          <w:b/>
          <w:sz w:val="24"/>
          <w:lang w:val="en-US"/>
        </w:rPr>
        <w:t>Figure 1 Flowchart describing data-mining approach to allocate cases of interest according to selection criteria and case definition.</w:t>
      </w:r>
      <w:r>
        <w:rPr>
          <w:rFonts w:ascii="Book Antiqua" w:hAnsi="Book Antiqua"/>
          <w:b/>
          <w:sz w:val="24"/>
          <w:lang w:val="en-US"/>
        </w:rPr>
        <w:br w:type="page"/>
      </w:r>
    </w:p>
    <w:p w:rsidR="00EE29E7" w:rsidRPr="00CB0EA0" w:rsidRDefault="00EE29E7" w:rsidP="00EE29E7">
      <w:pPr>
        <w:tabs>
          <w:tab w:val="right" w:pos="540"/>
          <w:tab w:val="left" w:pos="720"/>
        </w:tabs>
        <w:spacing w:line="360" w:lineRule="auto"/>
        <w:jc w:val="both"/>
        <w:rPr>
          <w:rFonts w:ascii="Book Antiqua" w:hAnsi="Book Antiqua"/>
          <w:b/>
          <w:sz w:val="24"/>
          <w:lang w:val="en-US"/>
        </w:rPr>
      </w:pPr>
    </w:p>
    <w:p w:rsidR="00EE29E7" w:rsidRPr="00B977AE" w:rsidRDefault="00EE29E7" w:rsidP="00EE29E7">
      <w:pPr>
        <w:tabs>
          <w:tab w:val="right" w:pos="540"/>
          <w:tab w:val="left" w:pos="720"/>
        </w:tabs>
        <w:spacing w:line="360" w:lineRule="auto"/>
        <w:jc w:val="both"/>
        <w:rPr>
          <w:rFonts w:ascii="Book Antiqua" w:hAnsi="Book Antiqua"/>
          <w:sz w:val="24"/>
          <w:lang w:val="en-US"/>
        </w:rPr>
      </w:pPr>
      <w:r w:rsidRPr="00B977AE">
        <w:rPr>
          <w:rFonts w:ascii="Book Antiqua" w:hAnsi="Book Antiqua"/>
          <w:noProof/>
          <w:lang w:val="en-US" w:eastAsia="zh-CN"/>
        </w:rPr>
        <w:drawing>
          <wp:inline distT="0" distB="0" distL="0" distR="0" wp14:anchorId="64B05F1E" wp14:editId="5D3DF3CA">
            <wp:extent cx="6120130" cy="4007271"/>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130" cy="4007271"/>
                    </a:xfrm>
                    <a:prstGeom prst="rect">
                      <a:avLst/>
                    </a:prstGeom>
                    <a:noFill/>
                    <a:ln w="9525">
                      <a:noFill/>
                      <a:miter lim="800000"/>
                      <a:headEnd/>
                      <a:tailEnd/>
                    </a:ln>
                  </pic:spPr>
                </pic:pic>
              </a:graphicData>
            </a:graphic>
          </wp:inline>
        </w:drawing>
      </w:r>
    </w:p>
    <w:p w:rsidR="00EE29E7" w:rsidRPr="00B977AE" w:rsidRDefault="00EE29E7" w:rsidP="00EE29E7">
      <w:pPr>
        <w:tabs>
          <w:tab w:val="right" w:pos="540"/>
          <w:tab w:val="left" w:pos="720"/>
        </w:tabs>
        <w:spacing w:line="360" w:lineRule="auto"/>
        <w:jc w:val="both"/>
        <w:rPr>
          <w:rFonts w:ascii="Book Antiqua" w:hAnsi="Book Antiqua"/>
          <w:sz w:val="24"/>
          <w:lang w:val="en-US"/>
        </w:rPr>
      </w:pPr>
      <w:r w:rsidRPr="00B977AE">
        <w:rPr>
          <w:rFonts w:ascii="Book Antiqua" w:hAnsi="Book Antiqua"/>
          <w:b/>
          <w:sz w:val="24"/>
          <w:lang w:val="en-US"/>
        </w:rPr>
        <w:t>Figure 2</w:t>
      </w:r>
      <w:r w:rsidRPr="00B977AE">
        <w:rPr>
          <w:rFonts w:ascii="Book Antiqua" w:hAnsi="Book Antiqua"/>
          <w:sz w:val="24"/>
          <w:lang w:val="en-US"/>
        </w:rPr>
        <w:t xml:space="preserve"> </w:t>
      </w:r>
      <w:r w:rsidRPr="00141EB4">
        <w:rPr>
          <w:rFonts w:ascii="Book Antiqua" w:hAnsi="Book Antiqua"/>
          <w:b/>
          <w:sz w:val="24"/>
          <w:lang w:val="en-US"/>
        </w:rPr>
        <w:t>Cumulative time trend analysis of disproportionality (</w:t>
      </w:r>
      <w:r w:rsidRPr="00141EB4">
        <w:rPr>
          <w:rFonts w:ascii="Book Antiqua" w:hAnsi="Book Antiqua"/>
          <w:b/>
          <w:i/>
          <w:sz w:val="24"/>
          <w:lang w:val="en-US"/>
        </w:rPr>
        <w:t>i.e.</w:t>
      </w:r>
      <w:r w:rsidRPr="00141EB4">
        <w:rPr>
          <w:rFonts w:ascii="Book Antiqua" w:hAnsi="Book Antiqua"/>
          <w:b/>
          <w:sz w:val="24"/>
          <w:lang w:val="en-US"/>
        </w:rPr>
        <w:t xml:space="preserve">, lower limit of 95%CI) on OLI for ketoconazole (recently restricted/suspended), </w:t>
      </w:r>
      <w:proofErr w:type="spellStart"/>
      <w:r w:rsidRPr="00141EB4">
        <w:rPr>
          <w:rFonts w:ascii="Book Antiqua" w:hAnsi="Book Antiqua"/>
          <w:b/>
          <w:sz w:val="24"/>
          <w:lang w:val="en-US"/>
        </w:rPr>
        <w:t>voriconazole</w:t>
      </w:r>
      <w:proofErr w:type="spellEnd"/>
      <w:r w:rsidRPr="00141EB4">
        <w:rPr>
          <w:rFonts w:ascii="Book Antiqua" w:hAnsi="Book Antiqua"/>
          <w:b/>
          <w:sz w:val="24"/>
          <w:lang w:val="en-US"/>
        </w:rPr>
        <w:t xml:space="preserve"> and </w:t>
      </w:r>
      <w:proofErr w:type="spellStart"/>
      <w:r w:rsidRPr="00141EB4">
        <w:rPr>
          <w:rFonts w:ascii="Book Antiqua" w:hAnsi="Book Antiqua"/>
          <w:b/>
          <w:sz w:val="24"/>
          <w:lang w:val="en-US"/>
        </w:rPr>
        <w:t>posaconazole</w:t>
      </w:r>
      <w:proofErr w:type="spellEnd"/>
      <w:r w:rsidRPr="00141EB4">
        <w:rPr>
          <w:rFonts w:ascii="Book Antiqua" w:hAnsi="Book Antiqua"/>
          <w:b/>
          <w:sz w:val="24"/>
          <w:lang w:val="en-US"/>
        </w:rPr>
        <w:t xml:space="preserve"> (the most recent </w:t>
      </w:r>
      <w:proofErr w:type="spellStart"/>
      <w:r w:rsidRPr="00141EB4">
        <w:rPr>
          <w:rFonts w:ascii="Book Antiqua" w:hAnsi="Book Antiqua"/>
          <w:b/>
          <w:sz w:val="24"/>
          <w:lang w:val="en-US"/>
        </w:rPr>
        <w:t>antimycotics</w:t>
      </w:r>
      <w:proofErr w:type="spellEnd"/>
      <w:r w:rsidRPr="00141EB4">
        <w:rPr>
          <w:rFonts w:ascii="Book Antiqua" w:hAnsi="Book Antiqua"/>
          <w:b/>
          <w:sz w:val="24"/>
          <w:lang w:val="en-US"/>
        </w:rPr>
        <w:t xml:space="preserve"> receiving marketing authorization in US and Europe). Relevant regulatory milestones (</w:t>
      </w:r>
      <w:r w:rsidRPr="00141EB4">
        <w:rPr>
          <w:rFonts w:ascii="Book Antiqua" w:hAnsi="Book Antiqua"/>
          <w:b/>
          <w:i/>
          <w:sz w:val="24"/>
          <w:lang w:val="en-US"/>
        </w:rPr>
        <w:t>i.e.</w:t>
      </w:r>
      <w:r w:rsidRPr="00141EB4">
        <w:rPr>
          <w:rFonts w:ascii="Book Antiqua" w:hAnsi="Book Antiqua"/>
          <w:b/>
          <w:sz w:val="24"/>
          <w:lang w:val="en-US"/>
        </w:rPr>
        <w:t>, marketing approvals) are indicated by arrows.</w:t>
      </w:r>
      <w:r w:rsidRPr="00B977AE">
        <w:rPr>
          <w:rFonts w:ascii="Book Antiqua" w:hAnsi="Book Antiqua"/>
          <w:sz w:val="24"/>
          <w:lang w:val="en-US"/>
        </w:rPr>
        <w:t xml:space="preserve"> The total number of cases is also indicated when disproportionality was calculated for the first time (the first point of the lower limit of the 95%CI is provided when at least 3 cases of interest were recorded).</w:t>
      </w:r>
    </w:p>
    <w:p w:rsidR="00EE29E7" w:rsidRPr="00B977AE" w:rsidRDefault="00EE29E7" w:rsidP="00EE29E7">
      <w:pPr>
        <w:tabs>
          <w:tab w:val="right" w:pos="540"/>
          <w:tab w:val="left" w:pos="720"/>
        </w:tabs>
        <w:spacing w:line="360" w:lineRule="auto"/>
        <w:jc w:val="both"/>
        <w:rPr>
          <w:rFonts w:ascii="Book Antiqua" w:hAnsi="Book Antiqua"/>
          <w:lang w:val="en-US"/>
        </w:rPr>
        <w:sectPr w:rsidR="00EE29E7" w:rsidRPr="00B977AE" w:rsidSect="0098152E">
          <w:pgSz w:w="11906" w:h="16838"/>
          <w:pgMar w:top="1134" w:right="1134" w:bottom="1417" w:left="1134" w:header="708" w:footer="708" w:gutter="0"/>
          <w:cols w:space="708"/>
          <w:docGrid w:linePitch="360"/>
        </w:sectPr>
      </w:pPr>
    </w:p>
    <w:p w:rsidR="00B160CD" w:rsidRPr="005D688F" w:rsidRDefault="00B160CD" w:rsidP="00B160CD">
      <w:pPr>
        <w:autoSpaceDE w:val="0"/>
        <w:autoSpaceDN w:val="0"/>
        <w:adjustRightInd w:val="0"/>
        <w:spacing w:line="360" w:lineRule="auto"/>
        <w:jc w:val="both"/>
        <w:rPr>
          <w:rFonts w:ascii="Book Antiqua" w:eastAsia="Calibri" w:hAnsi="Book Antiqua" w:cs="Arial"/>
          <w:b/>
          <w:bCs/>
          <w:sz w:val="24"/>
          <w:szCs w:val="24"/>
          <w:lang w:val="en-US"/>
        </w:rPr>
      </w:pPr>
      <w:r w:rsidRPr="005D688F">
        <w:rPr>
          <w:rFonts w:ascii="Book Antiqua" w:eastAsia="Calibri" w:hAnsi="Book Antiqua" w:cs="Arial"/>
          <w:b/>
          <w:sz w:val="24"/>
          <w:szCs w:val="24"/>
          <w:lang w:val="en-US"/>
        </w:rPr>
        <w:lastRenderedPageBreak/>
        <w:t>Table 1</w:t>
      </w:r>
      <w:r w:rsidRPr="005D688F">
        <w:rPr>
          <w:rFonts w:ascii="Book Antiqua" w:hAnsi="Book Antiqua" w:cs="Arial" w:hint="eastAsia"/>
          <w:b/>
          <w:sz w:val="24"/>
          <w:szCs w:val="24"/>
          <w:lang w:val="en-US" w:eastAsia="zh-CN"/>
        </w:rPr>
        <w:t xml:space="preserve"> </w:t>
      </w:r>
      <w:proofErr w:type="spellStart"/>
      <w:r w:rsidRPr="005D688F">
        <w:rPr>
          <w:rFonts w:ascii="Book Antiqua" w:eastAsia="Calibri" w:hAnsi="Book Antiqua" w:cs="Arial"/>
          <w:b/>
          <w:sz w:val="24"/>
          <w:szCs w:val="24"/>
          <w:lang w:val="en-US"/>
        </w:rPr>
        <w:t>MedDRA</w:t>
      </w:r>
      <w:proofErr w:type="spellEnd"/>
      <w:r w:rsidRPr="005D688F">
        <w:rPr>
          <w:rFonts w:ascii="Book Antiqua" w:eastAsia="Calibri" w:hAnsi="Book Antiqua" w:cs="Arial"/>
          <w:b/>
          <w:sz w:val="24"/>
          <w:szCs w:val="24"/>
          <w:lang w:val="en-US"/>
        </w:rPr>
        <w:t xml:space="preserve"> preferred terms </w:t>
      </w:r>
      <w:r w:rsidRPr="005D688F">
        <w:rPr>
          <w:rFonts w:ascii="Book Antiqua" w:eastAsia="Calibri" w:hAnsi="Book Antiqua" w:cs="Arial"/>
          <w:b/>
          <w:bCs/>
          <w:sz w:val="24"/>
          <w:szCs w:val="24"/>
          <w:lang w:val="en-US"/>
        </w:rPr>
        <w:t>used to retrieve liver events in FAERS</w:t>
      </w:r>
    </w:p>
    <w:tbl>
      <w:tblPr>
        <w:tblW w:w="9889" w:type="dxa"/>
        <w:tblBorders>
          <w:top w:val="single" w:sz="4" w:space="0" w:color="auto"/>
          <w:bottom w:val="single" w:sz="4" w:space="0" w:color="auto"/>
        </w:tblBorders>
        <w:tblLook w:val="04A0" w:firstRow="1" w:lastRow="0" w:firstColumn="1" w:lastColumn="0" w:noHBand="0" w:noVBand="1"/>
      </w:tblPr>
      <w:tblGrid>
        <w:gridCol w:w="4928"/>
        <w:gridCol w:w="2551"/>
        <w:gridCol w:w="2410"/>
      </w:tblGrid>
      <w:tr w:rsidR="00B160CD" w:rsidRPr="00B977AE" w:rsidTr="0011338A">
        <w:tc>
          <w:tcPr>
            <w:tcW w:w="4928" w:type="dxa"/>
            <w:tcBorders>
              <w:top w:val="single" w:sz="4" w:space="0" w:color="auto"/>
              <w:bottom w:val="single" w:sz="4" w:space="0" w:color="auto"/>
            </w:tcBorders>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b/>
                <w:szCs w:val="20"/>
                <w:lang w:val="en-US"/>
              </w:rPr>
              <w:t>PT</w:t>
            </w:r>
          </w:p>
        </w:tc>
        <w:tc>
          <w:tcPr>
            <w:tcW w:w="2551" w:type="dxa"/>
            <w:tcBorders>
              <w:top w:val="single" w:sz="4" w:space="0" w:color="auto"/>
              <w:bottom w:val="single" w:sz="4" w:space="0" w:color="auto"/>
            </w:tcBorders>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b/>
                <w:szCs w:val="20"/>
                <w:lang w:val="en-US"/>
              </w:rPr>
              <w:t>Liver injury</w:t>
            </w:r>
          </w:p>
        </w:tc>
        <w:tc>
          <w:tcPr>
            <w:tcW w:w="2410" w:type="dxa"/>
            <w:tcBorders>
              <w:top w:val="single" w:sz="4" w:space="0" w:color="auto"/>
              <w:bottom w:val="single" w:sz="4" w:space="0" w:color="auto"/>
            </w:tcBorders>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b/>
                <w:szCs w:val="20"/>
                <w:lang w:val="en-US"/>
              </w:rPr>
              <w:t>Acute hepatic failure</w:t>
            </w:r>
          </w:p>
        </w:tc>
      </w:tr>
      <w:tr w:rsidR="00B160CD" w:rsidRPr="00B977AE" w:rsidTr="0011338A">
        <w:tc>
          <w:tcPr>
            <w:tcW w:w="4928" w:type="dxa"/>
            <w:tcBorders>
              <w:top w:val="single" w:sz="4" w:space="0" w:color="auto"/>
            </w:tcBorders>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Acute hepatic failure</w:t>
            </w:r>
          </w:p>
        </w:tc>
        <w:tc>
          <w:tcPr>
            <w:tcW w:w="2551" w:type="dxa"/>
            <w:tcBorders>
              <w:top w:val="single" w:sz="4" w:space="0" w:color="auto"/>
            </w:tcBorders>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c>
          <w:tcPr>
            <w:tcW w:w="2410" w:type="dxa"/>
            <w:tcBorders>
              <w:top w:val="single" w:sz="4" w:space="0" w:color="auto"/>
            </w:tcBorders>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Alanine aminotransferase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Alanine aminotransferase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Ammonia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Aspartate aminotransferase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Aspartate aminotransferase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Bilirubin conjugated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Bilirubin urine</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Blood bilirubin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Blood bilirubin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Blood bilirubin unconjugated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Cholestasis</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Coma hepatic</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Cytolytic hepatitis</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 xml:space="preserve">Hepatic encephalopathy </w:t>
            </w:r>
          </w:p>
        </w:tc>
        <w:tc>
          <w:tcPr>
            <w:tcW w:w="2551"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c>
          <w:tcPr>
            <w:tcW w:w="2410"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Hepatic enzyme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Hepatic enzyme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Hepatic failure</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Hepatic function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Hepatic necrosis</w:t>
            </w:r>
          </w:p>
        </w:tc>
        <w:tc>
          <w:tcPr>
            <w:tcW w:w="2551"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Hepatitis</w:t>
            </w:r>
          </w:p>
        </w:tc>
        <w:tc>
          <w:tcPr>
            <w:tcW w:w="2551"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Hepatitis acute</w:t>
            </w:r>
          </w:p>
        </w:tc>
        <w:tc>
          <w:tcPr>
            <w:tcW w:w="2551"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shd w:val="clear" w:color="auto" w:fill="auto"/>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 xml:space="preserve">Hepatitis </w:t>
            </w:r>
            <w:proofErr w:type="spellStart"/>
            <w:r w:rsidRPr="00B977AE">
              <w:rPr>
                <w:rFonts w:ascii="Book Antiqua" w:eastAsia="Calibri" w:hAnsi="Book Antiqua" w:cs="Arial"/>
                <w:szCs w:val="20"/>
                <w:lang w:val="en-US"/>
              </w:rPr>
              <w:t>cholestatic</w:t>
            </w:r>
            <w:proofErr w:type="spellEnd"/>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Hepatitis fulminant</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Hepatitis toxic</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Hepatocellular damage</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Hepatotoxicity</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rPr>
            </w:pPr>
            <w:r w:rsidRPr="00B977AE">
              <w:rPr>
                <w:rFonts w:ascii="Book Antiqua" w:eastAsia="Calibri" w:hAnsi="Book Antiqua" w:cs="Arial"/>
                <w:szCs w:val="20"/>
              </w:rPr>
              <w:t>Hyperammonaemia</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Hyperbilirubinaemia</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Jaundice</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 xml:space="preserve">Jaundice </w:t>
            </w:r>
            <w:proofErr w:type="spellStart"/>
            <w:r w:rsidRPr="00B977AE">
              <w:rPr>
                <w:rFonts w:ascii="Book Antiqua" w:eastAsia="Calibri" w:hAnsi="Book Antiqua" w:cs="Arial"/>
                <w:szCs w:val="20"/>
                <w:lang w:val="en-US"/>
              </w:rPr>
              <w:t>cholestatic</w:t>
            </w:r>
            <w:proofErr w:type="spellEnd"/>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Jaundice hepatocellular</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lastRenderedPageBreak/>
              <w:t>Liver function test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Liver injury</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Liver transplant</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Mixed hepatocellular-</w:t>
            </w:r>
            <w:proofErr w:type="spellStart"/>
            <w:r w:rsidRPr="00B977AE">
              <w:rPr>
                <w:rFonts w:ascii="Book Antiqua" w:eastAsia="Calibri" w:hAnsi="Book Antiqua" w:cs="Arial"/>
                <w:szCs w:val="20"/>
                <w:lang w:val="en-US"/>
              </w:rPr>
              <w:t>cholestatic</w:t>
            </w:r>
            <w:proofErr w:type="spellEnd"/>
            <w:r w:rsidRPr="00B977AE">
              <w:rPr>
                <w:rFonts w:ascii="Book Antiqua" w:eastAsia="Calibri" w:hAnsi="Book Antiqua" w:cs="Arial"/>
                <w:szCs w:val="20"/>
                <w:lang w:val="en-US"/>
              </w:rPr>
              <w:t xml:space="preserve"> injury</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proofErr w:type="spellStart"/>
            <w:r w:rsidRPr="00B977AE">
              <w:rPr>
                <w:rFonts w:ascii="Book Antiqua" w:eastAsia="Calibri" w:hAnsi="Book Antiqua" w:cs="Arial"/>
                <w:szCs w:val="20"/>
                <w:lang w:val="en-US"/>
              </w:rPr>
              <w:t>Subacute</w:t>
            </w:r>
            <w:proofErr w:type="spellEnd"/>
            <w:r w:rsidRPr="00B977AE">
              <w:rPr>
                <w:rFonts w:ascii="Book Antiqua" w:eastAsia="Calibri" w:hAnsi="Book Antiqua" w:cs="Arial"/>
                <w:szCs w:val="20"/>
                <w:lang w:val="en-US"/>
              </w:rPr>
              <w:t xml:space="preserve"> hepatic failure</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lang w:val="en-US"/>
              </w:rPr>
              <w:t>Transaminases abnormal</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b/>
                <w:szCs w:val="20"/>
                <w:lang w:val="en-US"/>
              </w:rPr>
            </w:pPr>
            <w:r w:rsidRPr="00B977AE">
              <w:rPr>
                <w:rFonts w:ascii="Book Antiqua" w:eastAsia="Calibri" w:hAnsi="Book Antiqua" w:cs="Arial"/>
                <w:szCs w:val="20"/>
              </w:rPr>
              <w:t>Transaminases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r w:rsidR="00B160CD" w:rsidRPr="00B977AE" w:rsidTr="0011338A">
        <w:tc>
          <w:tcPr>
            <w:tcW w:w="4928"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rPr>
            </w:pPr>
            <w:r w:rsidRPr="00B977AE">
              <w:rPr>
                <w:rFonts w:ascii="Book Antiqua" w:eastAsia="Calibri" w:hAnsi="Book Antiqua" w:cs="Arial"/>
                <w:szCs w:val="20"/>
              </w:rPr>
              <w:t>Urine bilirubin increased</w:t>
            </w:r>
          </w:p>
        </w:tc>
        <w:tc>
          <w:tcPr>
            <w:tcW w:w="2551"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r w:rsidRPr="00B977AE">
              <w:rPr>
                <w:rFonts w:ascii="Book Antiqua" w:eastAsia="Calibri" w:hAnsi="Book Antiqua" w:cs="Arial"/>
                <w:szCs w:val="20"/>
                <w:lang w:val="en-US"/>
              </w:rPr>
              <w:t>X</w:t>
            </w:r>
          </w:p>
        </w:tc>
        <w:tc>
          <w:tcPr>
            <w:tcW w:w="2410" w:type="dxa"/>
          </w:tcPr>
          <w:p w:rsidR="00B160CD" w:rsidRPr="00B977AE" w:rsidRDefault="00B160CD" w:rsidP="0011338A">
            <w:pPr>
              <w:autoSpaceDE w:val="0"/>
              <w:autoSpaceDN w:val="0"/>
              <w:adjustRightInd w:val="0"/>
              <w:spacing w:line="360" w:lineRule="auto"/>
              <w:jc w:val="both"/>
              <w:rPr>
                <w:rFonts w:ascii="Book Antiqua" w:eastAsia="Calibri" w:hAnsi="Book Antiqua" w:cs="Arial"/>
                <w:szCs w:val="20"/>
                <w:lang w:val="en-US"/>
              </w:rPr>
            </w:pPr>
          </w:p>
        </w:tc>
      </w:tr>
    </w:tbl>
    <w:p w:rsidR="00B160CD" w:rsidRPr="00B977AE" w:rsidRDefault="00B160CD" w:rsidP="00B160CD">
      <w:pPr>
        <w:spacing w:line="360" w:lineRule="auto"/>
        <w:jc w:val="both"/>
        <w:rPr>
          <w:rFonts w:ascii="Book Antiqua" w:hAnsi="Book Antiqua"/>
          <w:lang w:val="en-US"/>
        </w:rPr>
      </w:pPr>
      <w:r w:rsidRPr="00B977AE">
        <w:rPr>
          <w:rFonts w:ascii="Book Antiqua" w:hAnsi="Book Antiqua"/>
          <w:lang w:val="en-US"/>
        </w:rPr>
        <w:t xml:space="preserve">PT: Preferred term of the </w:t>
      </w:r>
      <w:proofErr w:type="spellStart"/>
      <w:r w:rsidRPr="00B977AE">
        <w:rPr>
          <w:rFonts w:ascii="Book Antiqua" w:hAnsi="Book Antiqua"/>
          <w:lang w:val="en-US"/>
        </w:rPr>
        <w:t>MedDRA</w:t>
      </w:r>
      <w:proofErr w:type="spellEnd"/>
      <w:r w:rsidRPr="00B977AE">
        <w:rPr>
          <w:rFonts w:ascii="Book Antiqua" w:hAnsi="Book Antiqua"/>
          <w:lang w:val="en-US"/>
        </w:rPr>
        <w:t xml:space="preserve"> terminology. “X” indicates that the PT was used to define the liver event.</w:t>
      </w:r>
    </w:p>
    <w:p w:rsidR="00B160CD" w:rsidRPr="00B977AE" w:rsidRDefault="00B160CD" w:rsidP="00B160CD">
      <w:pPr>
        <w:spacing w:line="360" w:lineRule="auto"/>
        <w:jc w:val="both"/>
        <w:rPr>
          <w:rFonts w:ascii="Book Antiqua" w:hAnsi="Book Antiqua"/>
          <w:b/>
          <w:sz w:val="24"/>
          <w:lang w:val="en-US"/>
        </w:rPr>
        <w:sectPr w:rsidR="00B160CD" w:rsidRPr="00B977AE" w:rsidSect="0098152E">
          <w:pgSz w:w="11906" w:h="16838"/>
          <w:pgMar w:top="1134" w:right="1134" w:bottom="1417" w:left="1134" w:header="708" w:footer="708" w:gutter="0"/>
          <w:cols w:space="708"/>
          <w:docGrid w:linePitch="360"/>
        </w:sectPr>
      </w:pPr>
    </w:p>
    <w:p w:rsidR="00E80FB4" w:rsidRPr="00B977AE" w:rsidRDefault="00E80FB4" w:rsidP="004D1284">
      <w:pPr>
        <w:tabs>
          <w:tab w:val="right" w:pos="540"/>
          <w:tab w:val="left" w:pos="720"/>
        </w:tabs>
        <w:spacing w:line="360" w:lineRule="auto"/>
        <w:ind w:left="1440" w:hanging="1440"/>
        <w:jc w:val="both"/>
        <w:rPr>
          <w:rFonts w:ascii="Book Antiqua" w:hAnsi="Book Antiqua" w:cs="Arial"/>
          <w:sz w:val="24"/>
          <w:szCs w:val="20"/>
          <w:lang w:val="en-US"/>
        </w:rPr>
      </w:pPr>
    </w:p>
    <w:p w:rsidR="00090928" w:rsidRPr="00B977AE" w:rsidRDefault="00090928" w:rsidP="004D1284">
      <w:pPr>
        <w:spacing w:line="360" w:lineRule="auto"/>
        <w:jc w:val="both"/>
        <w:rPr>
          <w:rFonts w:ascii="Book Antiqua" w:hAnsi="Book Antiqua" w:cs="Arial"/>
          <w:bCs/>
          <w:szCs w:val="20"/>
          <w:lang w:val="en-US"/>
        </w:rPr>
      </w:pPr>
      <w:r w:rsidRPr="00B977AE">
        <w:rPr>
          <w:rFonts w:ascii="Book Antiqua" w:hAnsi="Book Antiqua"/>
          <w:b/>
          <w:lang w:val="en-US"/>
        </w:rPr>
        <w:t xml:space="preserve">Table </w:t>
      </w:r>
      <w:r w:rsidR="00B160CD">
        <w:rPr>
          <w:rFonts w:ascii="Book Antiqua" w:hAnsi="Book Antiqua" w:hint="eastAsia"/>
          <w:b/>
          <w:lang w:val="en-US" w:eastAsia="zh-CN"/>
        </w:rPr>
        <w:t>2</w:t>
      </w:r>
      <w:r w:rsidRPr="00B977AE">
        <w:rPr>
          <w:rFonts w:ascii="Book Antiqua" w:hAnsi="Book Antiqua"/>
          <w:b/>
          <w:lang w:val="en-US"/>
        </w:rPr>
        <w:t xml:space="preserve"> Top-10 drugs ranked in FAERS according to their reporting frequency for overall liver injury</w:t>
      </w:r>
      <w:r w:rsidR="00090FD0" w:rsidRPr="00B977AE">
        <w:rPr>
          <w:rFonts w:ascii="Book Antiqua" w:hAnsi="Book Antiqua"/>
          <w:b/>
          <w:lang w:val="en-US"/>
        </w:rPr>
        <w:t xml:space="preserve"> </w:t>
      </w:r>
    </w:p>
    <w:tbl>
      <w:tblPr>
        <w:tblStyle w:val="a3"/>
        <w:tblW w:w="472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2686"/>
        <w:gridCol w:w="1202"/>
        <w:gridCol w:w="1215"/>
        <w:gridCol w:w="1158"/>
        <w:gridCol w:w="1983"/>
        <w:gridCol w:w="2266"/>
        <w:gridCol w:w="1983"/>
      </w:tblGrid>
      <w:tr w:rsidR="00090928" w:rsidRPr="00B977AE" w:rsidTr="004C1D71">
        <w:tc>
          <w:tcPr>
            <w:tcW w:w="446" w:type="pct"/>
            <w:tcBorders>
              <w:top w:val="single" w:sz="4" w:space="0" w:color="auto"/>
              <w:bottom w:val="single" w:sz="4" w:space="0" w:color="auto"/>
            </w:tcBorders>
            <w:vAlign w:val="center"/>
          </w:tcPr>
          <w:p w:rsidR="00090928" w:rsidRPr="00B977AE" w:rsidRDefault="00090928" w:rsidP="004D1284">
            <w:pPr>
              <w:spacing w:line="360" w:lineRule="auto"/>
              <w:jc w:val="both"/>
              <w:rPr>
                <w:rFonts w:ascii="Book Antiqua" w:hAnsi="Book Antiqua"/>
                <w:b/>
                <w:lang w:val="en-US"/>
              </w:rPr>
            </w:pPr>
            <w:r w:rsidRPr="00B977AE">
              <w:rPr>
                <w:rFonts w:ascii="Book Antiqua" w:hAnsi="Book Antiqua"/>
                <w:b/>
                <w:lang w:val="en-US"/>
              </w:rPr>
              <w:t>ATC code</w:t>
            </w:r>
          </w:p>
        </w:tc>
        <w:tc>
          <w:tcPr>
            <w:tcW w:w="979" w:type="pct"/>
            <w:tcBorders>
              <w:top w:val="single" w:sz="4" w:space="0" w:color="auto"/>
              <w:bottom w:val="single" w:sz="4" w:space="0" w:color="auto"/>
            </w:tcBorders>
            <w:vAlign w:val="center"/>
          </w:tcPr>
          <w:p w:rsidR="00090928" w:rsidRPr="00B977AE" w:rsidRDefault="00090928" w:rsidP="004D1284">
            <w:pPr>
              <w:spacing w:line="360" w:lineRule="auto"/>
              <w:jc w:val="both"/>
              <w:rPr>
                <w:rFonts w:ascii="Book Antiqua" w:hAnsi="Book Antiqua"/>
                <w:b/>
                <w:lang w:val="en-US"/>
              </w:rPr>
            </w:pPr>
            <w:r w:rsidRPr="00B977AE">
              <w:rPr>
                <w:rFonts w:ascii="Book Antiqua" w:hAnsi="Book Antiqua"/>
                <w:b/>
                <w:lang w:val="en-US"/>
              </w:rPr>
              <w:t>Active Su</w:t>
            </w:r>
            <w:r w:rsidR="00BE1E61" w:rsidRPr="00B977AE">
              <w:rPr>
                <w:rFonts w:ascii="Book Antiqua" w:hAnsi="Book Antiqua"/>
                <w:b/>
                <w:lang w:val="en-US"/>
              </w:rPr>
              <w:t>b</w:t>
            </w:r>
            <w:r w:rsidRPr="00B977AE">
              <w:rPr>
                <w:rFonts w:ascii="Book Antiqua" w:hAnsi="Book Antiqua"/>
                <w:b/>
                <w:lang w:val="en-US"/>
              </w:rPr>
              <w:t>stance</w:t>
            </w:r>
          </w:p>
        </w:tc>
        <w:tc>
          <w:tcPr>
            <w:tcW w:w="438" w:type="pct"/>
            <w:tcBorders>
              <w:top w:val="single" w:sz="4" w:space="0" w:color="auto"/>
              <w:bottom w:val="single" w:sz="4" w:space="0" w:color="auto"/>
            </w:tcBorders>
            <w:vAlign w:val="center"/>
          </w:tcPr>
          <w:p w:rsidR="00090928" w:rsidRPr="00B977AE" w:rsidRDefault="00090FD0" w:rsidP="004D1284">
            <w:pPr>
              <w:spacing w:line="360" w:lineRule="auto"/>
              <w:jc w:val="both"/>
              <w:rPr>
                <w:rFonts w:ascii="Book Antiqua" w:hAnsi="Book Antiqua"/>
                <w:b/>
                <w:lang w:val="en-US"/>
              </w:rPr>
            </w:pPr>
            <w:r w:rsidRPr="00B977AE">
              <w:rPr>
                <w:rFonts w:ascii="Book Antiqua" w:hAnsi="Book Antiqua"/>
                <w:b/>
                <w:lang w:val="en-US"/>
              </w:rPr>
              <w:t xml:space="preserve">Cases </w:t>
            </w:r>
            <w:r w:rsidR="00090928" w:rsidRPr="00B977AE">
              <w:rPr>
                <w:rFonts w:ascii="Book Antiqua" w:hAnsi="Book Antiqua"/>
                <w:b/>
                <w:lang w:val="en-US"/>
              </w:rPr>
              <w:t>L</w:t>
            </w:r>
            <w:r w:rsidRPr="00B977AE">
              <w:rPr>
                <w:rFonts w:ascii="Book Antiqua" w:hAnsi="Book Antiqua"/>
                <w:b/>
                <w:lang w:val="en-US"/>
              </w:rPr>
              <w:t>I</w:t>
            </w:r>
          </w:p>
        </w:tc>
        <w:tc>
          <w:tcPr>
            <w:tcW w:w="443" w:type="pct"/>
            <w:tcBorders>
              <w:top w:val="single" w:sz="4" w:space="0" w:color="auto"/>
              <w:bottom w:val="single" w:sz="4" w:space="0" w:color="auto"/>
            </w:tcBorders>
            <w:vAlign w:val="center"/>
          </w:tcPr>
          <w:p w:rsidR="00090928" w:rsidRPr="00B977AE" w:rsidRDefault="00090928" w:rsidP="004D1284">
            <w:pPr>
              <w:spacing w:line="360" w:lineRule="auto"/>
              <w:jc w:val="both"/>
              <w:rPr>
                <w:rFonts w:ascii="Book Antiqua" w:hAnsi="Book Antiqua"/>
                <w:b/>
                <w:lang w:val="en-US"/>
              </w:rPr>
            </w:pPr>
            <w:r w:rsidRPr="00B977AE">
              <w:rPr>
                <w:rFonts w:ascii="Book Antiqua" w:hAnsi="Book Antiqua"/>
                <w:b/>
                <w:lang w:val="en-US"/>
              </w:rPr>
              <w:t>Cases ALF</w:t>
            </w:r>
          </w:p>
        </w:tc>
        <w:tc>
          <w:tcPr>
            <w:tcW w:w="422" w:type="pct"/>
            <w:tcBorders>
              <w:top w:val="single" w:sz="4" w:space="0" w:color="auto"/>
              <w:bottom w:val="single" w:sz="4" w:space="0" w:color="auto"/>
            </w:tcBorders>
            <w:vAlign w:val="center"/>
          </w:tcPr>
          <w:p w:rsidR="00090928" w:rsidRPr="00B977AE" w:rsidRDefault="00090928" w:rsidP="004D1284">
            <w:pPr>
              <w:spacing w:line="360" w:lineRule="auto"/>
              <w:jc w:val="both"/>
              <w:rPr>
                <w:rFonts w:ascii="Book Antiqua" w:hAnsi="Book Antiqua"/>
                <w:b/>
                <w:lang w:val="en-US"/>
              </w:rPr>
            </w:pPr>
            <w:r w:rsidRPr="00B977AE">
              <w:rPr>
                <w:rFonts w:ascii="Book Antiqua" w:hAnsi="Book Antiqua"/>
                <w:b/>
                <w:lang w:val="en-US"/>
              </w:rPr>
              <w:t>Cases OL</w:t>
            </w:r>
            <w:r w:rsidR="00090FD0" w:rsidRPr="00B977AE">
              <w:rPr>
                <w:rFonts w:ascii="Book Antiqua" w:hAnsi="Book Antiqua"/>
                <w:b/>
                <w:lang w:val="en-US"/>
              </w:rPr>
              <w:t>I</w:t>
            </w:r>
          </w:p>
        </w:tc>
        <w:tc>
          <w:tcPr>
            <w:tcW w:w="723" w:type="pct"/>
            <w:tcBorders>
              <w:top w:val="single" w:sz="4" w:space="0" w:color="auto"/>
              <w:bottom w:val="single" w:sz="4" w:space="0" w:color="auto"/>
            </w:tcBorders>
            <w:vAlign w:val="center"/>
          </w:tcPr>
          <w:p w:rsidR="00090928" w:rsidRPr="00B977AE" w:rsidRDefault="004C1D71" w:rsidP="004D1284">
            <w:pPr>
              <w:spacing w:line="360" w:lineRule="auto"/>
              <w:jc w:val="both"/>
              <w:rPr>
                <w:rFonts w:ascii="Book Antiqua" w:hAnsi="Book Antiqua"/>
                <w:b/>
                <w:lang w:val="en-US"/>
              </w:rPr>
            </w:pPr>
            <w:r w:rsidRPr="00B977AE">
              <w:rPr>
                <w:rFonts w:ascii="Book Antiqua" w:hAnsi="Book Antiqua"/>
                <w:b/>
                <w:lang w:val="en-US"/>
              </w:rPr>
              <w:t xml:space="preserve">ROR (95%CI) </w:t>
            </w:r>
            <w:r w:rsidR="00090928" w:rsidRPr="00B977AE">
              <w:rPr>
                <w:rFonts w:ascii="Book Antiqua" w:hAnsi="Book Antiqua"/>
                <w:b/>
                <w:lang w:val="en-US"/>
              </w:rPr>
              <w:t>L</w:t>
            </w:r>
            <w:r w:rsidRPr="00B977AE">
              <w:rPr>
                <w:rFonts w:ascii="Book Antiqua" w:hAnsi="Book Antiqua"/>
                <w:b/>
                <w:lang w:val="en-US"/>
              </w:rPr>
              <w:t>I</w:t>
            </w:r>
          </w:p>
        </w:tc>
        <w:tc>
          <w:tcPr>
            <w:tcW w:w="826" w:type="pct"/>
            <w:tcBorders>
              <w:top w:val="single" w:sz="4" w:space="0" w:color="auto"/>
              <w:bottom w:val="single" w:sz="4" w:space="0" w:color="auto"/>
            </w:tcBorders>
            <w:vAlign w:val="center"/>
          </w:tcPr>
          <w:p w:rsidR="00090928" w:rsidRPr="00B977AE" w:rsidRDefault="00090928" w:rsidP="004D1284">
            <w:pPr>
              <w:spacing w:line="360" w:lineRule="auto"/>
              <w:jc w:val="both"/>
              <w:rPr>
                <w:rFonts w:ascii="Book Antiqua" w:hAnsi="Book Antiqua"/>
                <w:b/>
              </w:rPr>
            </w:pPr>
            <w:r w:rsidRPr="00B977AE">
              <w:rPr>
                <w:rFonts w:ascii="Book Antiqua" w:hAnsi="Book Antiqua"/>
                <w:b/>
                <w:lang w:val="en-US"/>
              </w:rPr>
              <w:t xml:space="preserve">ROR </w:t>
            </w:r>
            <w:r w:rsidRPr="00B977AE">
              <w:rPr>
                <w:rFonts w:ascii="Book Antiqua" w:hAnsi="Book Antiqua"/>
                <w:b/>
              </w:rPr>
              <w:t>(95%CI) ALF</w:t>
            </w:r>
          </w:p>
        </w:tc>
        <w:tc>
          <w:tcPr>
            <w:tcW w:w="723" w:type="pct"/>
            <w:tcBorders>
              <w:top w:val="single" w:sz="4" w:space="0" w:color="auto"/>
              <w:bottom w:val="single" w:sz="4" w:space="0" w:color="auto"/>
            </w:tcBorders>
            <w:vAlign w:val="center"/>
          </w:tcPr>
          <w:p w:rsidR="00090928" w:rsidRPr="00B977AE" w:rsidRDefault="00090928" w:rsidP="004D1284">
            <w:pPr>
              <w:spacing w:line="360" w:lineRule="auto"/>
              <w:jc w:val="both"/>
              <w:rPr>
                <w:rFonts w:ascii="Book Antiqua" w:hAnsi="Book Antiqua"/>
                <w:b/>
              </w:rPr>
            </w:pPr>
            <w:r w:rsidRPr="00B977AE">
              <w:rPr>
                <w:rFonts w:ascii="Book Antiqua" w:hAnsi="Book Antiqua"/>
                <w:b/>
              </w:rPr>
              <w:t>ROR (95%CI) OL</w:t>
            </w:r>
            <w:r w:rsidR="00090FD0" w:rsidRPr="00B977AE">
              <w:rPr>
                <w:rFonts w:ascii="Book Antiqua" w:hAnsi="Book Antiqua"/>
                <w:b/>
              </w:rPr>
              <w:t>I</w:t>
            </w:r>
          </w:p>
        </w:tc>
      </w:tr>
      <w:tr w:rsidR="004C1D71" w:rsidRPr="00B977AE" w:rsidTr="004C1D71">
        <w:tc>
          <w:tcPr>
            <w:tcW w:w="446" w:type="pct"/>
            <w:tcBorders>
              <w:top w:val="single" w:sz="4" w:space="0" w:color="auto"/>
            </w:tcBorders>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N02BE01</w:t>
            </w:r>
          </w:p>
        </w:tc>
        <w:tc>
          <w:tcPr>
            <w:tcW w:w="979" w:type="pct"/>
            <w:tcBorders>
              <w:top w:val="single" w:sz="4" w:space="0" w:color="auto"/>
            </w:tcBorders>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Paracetamol</w:t>
            </w:r>
          </w:p>
        </w:tc>
        <w:tc>
          <w:tcPr>
            <w:tcW w:w="438" w:type="pct"/>
            <w:tcBorders>
              <w:top w:val="single" w:sz="4" w:space="0" w:color="auto"/>
            </w:tcBorders>
          </w:tcPr>
          <w:p w:rsidR="004C1D71" w:rsidRPr="00B977AE" w:rsidRDefault="004C1D71" w:rsidP="0087129E">
            <w:pPr>
              <w:spacing w:line="360" w:lineRule="auto"/>
              <w:jc w:val="both"/>
              <w:rPr>
                <w:rFonts w:ascii="Book Antiqua" w:hAnsi="Book Antiqua"/>
              </w:rPr>
            </w:pPr>
            <w:r w:rsidRPr="00B977AE">
              <w:rPr>
                <w:rFonts w:ascii="Book Antiqua" w:hAnsi="Book Antiqua"/>
              </w:rPr>
              <w:t>2780</w:t>
            </w:r>
          </w:p>
        </w:tc>
        <w:tc>
          <w:tcPr>
            <w:tcW w:w="443" w:type="pct"/>
            <w:tcBorders>
              <w:top w:val="single" w:sz="4" w:space="0" w:color="auto"/>
            </w:tcBorders>
          </w:tcPr>
          <w:p w:rsidR="004C1D71" w:rsidRPr="00B977AE" w:rsidRDefault="004C1D71" w:rsidP="004D1284">
            <w:pPr>
              <w:spacing w:line="360" w:lineRule="auto"/>
              <w:jc w:val="both"/>
              <w:rPr>
                <w:rFonts w:ascii="Book Antiqua" w:hAnsi="Book Antiqua"/>
              </w:rPr>
            </w:pPr>
            <w:r w:rsidRPr="00B977AE">
              <w:rPr>
                <w:rFonts w:ascii="Book Antiqua" w:hAnsi="Book Antiqua"/>
              </w:rPr>
              <w:t>645</w:t>
            </w:r>
          </w:p>
        </w:tc>
        <w:tc>
          <w:tcPr>
            <w:tcW w:w="422" w:type="pct"/>
            <w:tcBorders>
              <w:top w:val="single" w:sz="4" w:space="0" w:color="auto"/>
            </w:tcBorders>
          </w:tcPr>
          <w:p w:rsidR="004C1D71" w:rsidRPr="00B977AE" w:rsidRDefault="004C1D71" w:rsidP="004D1284">
            <w:pPr>
              <w:spacing w:line="360" w:lineRule="auto"/>
              <w:jc w:val="both"/>
              <w:rPr>
                <w:rFonts w:ascii="Book Antiqua" w:hAnsi="Book Antiqua"/>
              </w:rPr>
            </w:pPr>
            <w:r w:rsidRPr="00B977AE">
              <w:rPr>
                <w:rFonts w:ascii="Book Antiqua" w:hAnsi="Book Antiqua"/>
              </w:rPr>
              <w:t>3,425</w:t>
            </w:r>
          </w:p>
        </w:tc>
        <w:tc>
          <w:tcPr>
            <w:tcW w:w="723" w:type="pct"/>
            <w:tcBorders>
              <w:top w:val="single" w:sz="4" w:space="0" w:color="auto"/>
            </w:tcBorders>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3.69 (3.54-3.84) </w:t>
            </w:r>
            <w:r w:rsidR="0087129E" w:rsidRPr="0087129E">
              <w:rPr>
                <w:rFonts w:ascii="Book Antiqua" w:hAnsi="Book Antiqua"/>
                <w:vertAlign w:val="superscript"/>
              </w:rPr>
              <w:t>1</w:t>
            </w:r>
          </w:p>
        </w:tc>
        <w:tc>
          <w:tcPr>
            <w:tcW w:w="826" w:type="pct"/>
            <w:tcBorders>
              <w:top w:val="single" w:sz="4" w:space="0" w:color="auto"/>
            </w:tcBorders>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9.58 (8.82-10.41) </w:t>
            </w:r>
            <w:r w:rsidR="0087129E" w:rsidRPr="0087129E">
              <w:rPr>
                <w:rFonts w:ascii="Book Antiqua" w:hAnsi="Book Antiqua"/>
                <w:vertAlign w:val="superscript"/>
              </w:rPr>
              <w:t>1</w:t>
            </w:r>
          </w:p>
        </w:tc>
        <w:tc>
          <w:tcPr>
            <w:tcW w:w="723" w:type="pct"/>
            <w:tcBorders>
              <w:top w:val="single" w:sz="4" w:space="0" w:color="auto"/>
            </w:tcBorders>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4.31 (4.16-4.48) </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C10AA05</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Atorvastatin</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1763</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131</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1,894</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3.46 (3.29-3.64)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2.62 (2.20-3.12)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3.43 (3.27-3.60) </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C10AA01</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Simvastatin</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1516</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80</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1,596</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2.62 (2.49-2.77)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1.44 (1.15-1.80)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2.54 (2.41-2.67) </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N06AX21</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Duloxetine</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1456</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59</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1,515</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3.34 (3.15-3.53)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1.42 (1.10-1.83)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3.32 (3.14-3.50) </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L03AB07</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Interferon beta-1</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1377</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46</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1,423</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0.73 (0.70-0.78) </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0.27 (0.20-0.36) </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0.69 (0.66-0.73) </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J05AF05</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Lamivudine</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1162</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130</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1,292</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4.68 (4.40-4.98)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5.22 (4.38-6.22)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4.86 (4,57-5.16)</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szCs w:val="18"/>
                <w:shd w:val="clear" w:color="auto" w:fill="FFFFFF"/>
              </w:rPr>
              <w:t>L01BA01</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Methotrexate</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1200</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86</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1,286</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2.89 (2.72-3.07)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2.15 (1.74-2.66)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2.85 (2.69-3.02)</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szCs w:val="18"/>
                <w:shd w:val="clear" w:color="auto" w:fill="FFFFFF"/>
              </w:rPr>
              <w:t>J01CR02</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Amoxicillin/clavulanic acid</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1164</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94</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1,258</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5.86 (5.49-11.36)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4.50 (3.67-5.53)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5.89 (5.54-6.27) </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C02KX01</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Bosentan</w:t>
            </w:r>
          </w:p>
        </w:tc>
        <w:tc>
          <w:tcPr>
            <w:tcW w:w="438" w:type="pct"/>
          </w:tcPr>
          <w:p w:rsidR="004C1D71" w:rsidRPr="00B977AE" w:rsidRDefault="004C1D71" w:rsidP="0087129E">
            <w:pPr>
              <w:spacing w:line="360" w:lineRule="auto"/>
              <w:jc w:val="both"/>
              <w:rPr>
                <w:rFonts w:ascii="Book Antiqua" w:hAnsi="Book Antiqua"/>
              </w:rPr>
            </w:pPr>
            <w:r w:rsidRPr="00B977AE">
              <w:rPr>
                <w:rFonts w:ascii="Book Antiqua" w:hAnsi="Book Antiqua"/>
              </w:rPr>
              <w:t>1177</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49</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1,226</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9.53 (8.91-10.19)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3.35 (3.53-4.45)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9.20 (8.61-9.83) </w:t>
            </w:r>
            <w:r w:rsidR="0087129E" w:rsidRPr="0087129E">
              <w:rPr>
                <w:rFonts w:ascii="Book Antiqua" w:hAnsi="Book Antiqua"/>
                <w:vertAlign w:val="superscript"/>
              </w:rPr>
              <w:t>1</w:t>
            </w:r>
          </w:p>
        </w:tc>
      </w:tr>
      <w:tr w:rsidR="004C1D71" w:rsidRPr="00B977AE" w:rsidTr="004C1D71">
        <w:tc>
          <w:tcPr>
            <w:tcW w:w="446" w:type="pct"/>
            <w:vAlign w:val="center"/>
          </w:tcPr>
          <w:p w:rsidR="004C1D71" w:rsidRPr="00B977AE" w:rsidRDefault="004C1D71" w:rsidP="004D1284">
            <w:pPr>
              <w:spacing w:line="360" w:lineRule="auto"/>
              <w:jc w:val="both"/>
              <w:rPr>
                <w:rFonts w:ascii="Book Antiqua" w:hAnsi="Book Antiqua"/>
                <w:color w:val="000000"/>
              </w:rPr>
            </w:pPr>
            <w:r w:rsidRPr="00B977AE">
              <w:rPr>
                <w:rFonts w:ascii="Book Antiqua" w:hAnsi="Book Antiqua"/>
                <w:color w:val="000000"/>
              </w:rPr>
              <w:t>L01XE05</w:t>
            </w:r>
          </w:p>
        </w:tc>
        <w:tc>
          <w:tcPr>
            <w:tcW w:w="979" w:type="pct"/>
            <w:vAlign w:val="center"/>
          </w:tcPr>
          <w:p w:rsidR="004C1D71" w:rsidRPr="00B977AE" w:rsidRDefault="004C1D71" w:rsidP="004D1284">
            <w:pPr>
              <w:spacing w:line="360" w:lineRule="auto"/>
              <w:jc w:val="both"/>
              <w:rPr>
                <w:rFonts w:ascii="Book Antiqua" w:hAnsi="Book Antiqua"/>
              </w:rPr>
            </w:pPr>
            <w:r w:rsidRPr="00B977AE">
              <w:rPr>
                <w:rFonts w:ascii="Book Antiqua" w:hAnsi="Book Antiqua"/>
              </w:rPr>
              <w:t>Sorafenib</w:t>
            </w:r>
          </w:p>
        </w:tc>
        <w:tc>
          <w:tcPr>
            <w:tcW w:w="438" w:type="pct"/>
          </w:tcPr>
          <w:p w:rsidR="004C1D71" w:rsidRPr="00B977AE" w:rsidRDefault="004C1D71" w:rsidP="004D1284">
            <w:pPr>
              <w:spacing w:line="360" w:lineRule="auto"/>
              <w:jc w:val="both"/>
              <w:rPr>
                <w:rFonts w:ascii="Book Antiqua" w:hAnsi="Book Antiqua"/>
              </w:rPr>
            </w:pPr>
            <w:r w:rsidRPr="00B977AE">
              <w:rPr>
                <w:rFonts w:ascii="Book Antiqua" w:hAnsi="Book Antiqua"/>
              </w:rPr>
              <w:t>920</w:t>
            </w:r>
          </w:p>
        </w:tc>
        <w:tc>
          <w:tcPr>
            <w:tcW w:w="443" w:type="pct"/>
          </w:tcPr>
          <w:p w:rsidR="004C1D71" w:rsidRPr="00B977AE" w:rsidRDefault="004C1D71" w:rsidP="004D1284">
            <w:pPr>
              <w:spacing w:line="360" w:lineRule="auto"/>
              <w:jc w:val="both"/>
              <w:rPr>
                <w:rFonts w:ascii="Book Antiqua" w:hAnsi="Book Antiqua"/>
              </w:rPr>
            </w:pPr>
            <w:r w:rsidRPr="00B977AE">
              <w:rPr>
                <w:rFonts w:ascii="Book Antiqua" w:hAnsi="Book Antiqua"/>
              </w:rPr>
              <w:t>271</w:t>
            </w:r>
          </w:p>
        </w:tc>
        <w:tc>
          <w:tcPr>
            <w:tcW w:w="422" w:type="pct"/>
          </w:tcPr>
          <w:p w:rsidR="004C1D71" w:rsidRPr="00B977AE" w:rsidRDefault="004C1D71" w:rsidP="004D1284">
            <w:pPr>
              <w:spacing w:line="360" w:lineRule="auto"/>
              <w:jc w:val="both"/>
              <w:rPr>
                <w:rFonts w:ascii="Book Antiqua" w:hAnsi="Book Antiqua"/>
              </w:rPr>
            </w:pPr>
            <w:r w:rsidRPr="00B977AE">
              <w:rPr>
                <w:rFonts w:ascii="Book Antiqua" w:hAnsi="Book Antiqua"/>
              </w:rPr>
              <w:t>1,191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4.98 (4.64-5.35) </w:t>
            </w:r>
            <w:r w:rsidR="0087129E" w:rsidRPr="0087129E">
              <w:rPr>
                <w:rFonts w:ascii="Book Antiqua" w:hAnsi="Book Antiqua"/>
                <w:vertAlign w:val="superscript"/>
              </w:rPr>
              <w:t>1</w:t>
            </w:r>
          </w:p>
        </w:tc>
        <w:tc>
          <w:tcPr>
            <w:tcW w:w="826"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15.39 (13.58-17.44) </w:t>
            </w:r>
            <w:r w:rsidR="0087129E" w:rsidRPr="0087129E">
              <w:rPr>
                <w:rFonts w:ascii="Book Antiqua" w:hAnsi="Book Antiqua"/>
                <w:vertAlign w:val="superscript"/>
              </w:rPr>
              <w:t>1</w:t>
            </w:r>
          </w:p>
        </w:tc>
        <w:tc>
          <w:tcPr>
            <w:tcW w:w="723" w:type="pct"/>
          </w:tcPr>
          <w:p w:rsidR="004C1D71" w:rsidRPr="00B977AE" w:rsidRDefault="004C1D71" w:rsidP="004D1284">
            <w:pPr>
              <w:spacing w:line="360" w:lineRule="auto"/>
              <w:jc w:val="both"/>
              <w:rPr>
                <w:rFonts w:ascii="Book Antiqua" w:hAnsi="Book Antiqua"/>
              </w:rPr>
            </w:pPr>
            <w:r w:rsidRPr="00B977AE">
              <w:rPr>
                <w:rFonts w:ascii="Book Antiqua" w:hAnsi="Book Antiqua"/>
              </w:rPr>
              <w:t xml:space="preserve">6.22 (5.83-6.63) </w:t>
            </w:r>
            <w:r w:rsidR="0087129E" w:rsidRPr="0087129E">
              <w:rPr>
                <w:rFonts w:ascii="Book Antiqua" w:hAnsi="Book Antiqua"/>
                <w:vertAlign w:val="superscript"/>
              </w:rPr>
              <w:t>1</w:t>
            </w:r>
          </w:p>
        </w:tc>
      </w:tr>
    </w:tbl>
    <w:p w:rsidR="00F86E83" w:rsidRPr="0087129E" w:rsidRDefault="0087129E" w:rsidP="004D1284">
      <w:pPr>
        <w:autoSpaceDE w:val="0"/>
        <w:autoSpaceDN w:val="0"/>
        <w:adjustRightInd w:val="0"/>
        <w:spacing w:line="360" w:lineRule="auto"/>
        <w:jc w:val="both"/>
        <w:rPr>
          <w:rFonts w:ascii="Book Antiqua" w:hAnsi="Book Antiqua" w:cs="Arial"/>
          <w:i/>
          <w:sz w:val="24"/>
          <w:szCs w:val="24"/>
          <w:lang w:val="en-US"/>
        </w:rPr>
      </w:pPr>
      <w:proofErr w:type="gramStart"/>
      <w:r w:rsidRPr="0087129E">
        <w:rPr>
          <w:rFonts w:ascii="Book Antiqua" w:hAnsi="Book Antiqua"/>
          <w:sz w:val="24"/>
          <w:szCs w:val="24"/>
          <w:vertAlign w:val="superscript"/>
          <w:lang w:val="en-US"/>
        </w:rPr>
        <w:t>1</w:t>
      </w:r>
      <w:r w:rsidRPr="0087129E">
        <w:rPr>
          <w:rFonts w:ascii="Book Antiqua" w:hAnsi="Book Antiqua"/>
          <w:sz w:val="24"/>
          <w:szCs w:val="24"/>
          <w:lang w:val="en-US"/>
        </w:rPr>
        <w:t>S</w:t>
      </w:r>
      <w:r w:rsidR="00090928" w:rsidRPr="0087129E">
        <w:rPr>
          <w:rFonts w:ascii="Book Antiqua" w:hAnsi="Book Antiqua"/>
          <w:sz w:val="24"/>
          <w:szCs w:val="24"/>
          <w:lang w:val="en-US"/>
        </w:rPr>
        <w:t>tatistically significant disproportionality (Lower Limit 95%CI</w:t>
      </w:r>
      <w:r w:rsidRPr="0087129E">
        <w:rPr>
          <w:rFonts w:ascii="Book Antiqua" w:hAnsi="Book Antiqua" w:hint="eastAsia"/>
          <w:sz w:val="24"/>
          <w:szCs w:val="24"/>
          <w:lang w:val="en-US" w:eastAsia="zh-CN"/>
        </w:rPr>
        <w:t xml:space="preserve"> </w:t>
      </w:r>
      <w:r w:rsidR="00090928" w:rsidRPr="0087129E">
        <w:rPr>
          <w:rFonts w:ascii="Book Antiqua" w:hAnsi="Book Antiqua"/>
          <w:sz w:val="24"/>
          <w:szCs w:val="24"/>
          <w:lang w:val="en-US"/>
        </w:rPr>
        <w:t>&gt;</w:t>
      </w:r>
      <w:r w:rsidRPr="0087129E">
        <w:rPr>
          <w:rFonts w:ascii="Book Antiqua" w:hAnsi="Book Antiqua" w:hint="eastAsia"/>
          <w:sz w:val="24"/>
          <w:szCs w:val="24"/>
          <w:lang w:val="en-US" w:eastAsia="zh-CN"/>
        </w:rPr>
        <w:t xml:space="preserve"> </w:t>
      </w:r>
      <w:r w:rsidR="00090928" w:rsidRPr="0087129E">
        <w:rPr>
          <w:rFonts w:ascii="Book Antiqua" w:hAnsi="Book Antiqua"/>
          <w:sz w:val="24"/>
          <w:szCs w:val="24"/>
          <w:lang w:val="en-US"/>
        </w:rPr>
        <w:t>1)</w:t>
      </w:r>
      <w:r w:rsidR="00F86E83" w:rsidRPr="0087129E">
        <w:rPr>
          <w:rFonts w:ascii="Book Antiqua" w:hAnsi="Book Antiqua"/>
          <w:sz w:val="24"/>
          <w:szCs w:val="24"/>
          <w:lang w:val="en-US"/>
        </w:rPr>
        <w:t>.</w:t>
      </w:r>
      <w:proofErr w:type="gramEnd"/>
      <w:r>
        <w:rPr>
          <w:rFonts w:ascii="Book Antiqua" w:hAnsi="Book Antiqua" w:hint="eastAsia"/>
          <w:sz w:val="24"/>
          <w:szCs w:val="24"/>
          <w:lang w:val="en-US" w:eastAsia="zh-CN"/>
        </w:rPr>
        <w:t xml:space="preserve"> </w:t>
      </w:r>
      <w:r w:rsidR="00F86E83" w:rsidRPr="0087129E">
        <w:rPr>
          <w:rFonts w:ascii="Book Antiqua" w:hAnsi="Book Antiqua"/>
          <w:sz w:val="24"/>
          <w:szCs w:val="24"/>
          <w:lang w:val="en-US"/>
        </w:rPr>
        <w:t>ALF: Acute</w:t>
      </w:r>
      <w:r w:rsidRPr="0087129E">
        <w:rPr>
          <w:rFonts w:ascii="Book Antiqua" w:hAnsi="Book Antiqua"/>
          <w:sz w:val="24"/>
          <w:szCs w:val="24"/>
          <w:lang w:val="en-US"/>
        </w:rPr>
        <w:t xml:space="preserve"> liver fail</w:t>
      </w:r>
      <w:r w:rsidR="00F86E83" w:rsidRPr="0087129E">
        <w:rPr>
          <w:rFonts w:ascii="Book Antiqua" w:hAnsi="Book Antiqua"/>
          <w:sz w:val="24"/>
          <w:szCs w:val="24"/>
          <w:lang w:val="en-US"/>
        </w:rPr>
        <w:t>ure; L</w:t>
      </w:r>
      <w:r w:rsidR="00090FD0" w:rsidRPr="0087129E">
        <w:rPr>
          <w:rFonts w:ascii="Book Antiqua" w:hAnsi="Book Antiqua"/>
          <w:sz w:val="24"/>
          <w:szCs w:val="24"/>
          <w:lang w:val="en-US"/>
        </w:rPr>
        <w:t>I</w:t>
      </w:r>
      <w:r w:rsidR="00F86E83" w:rsidRPr="0087129E">
        <w:rPr>
          <w:rFonts w:ascii="Book Antiqua" w:hAnsi="Book Antiqua"/>
          <w:sz w:val="24"/>
          <w:szCs w:val="24"/>
          <w:lang w:val="en-US"/>
        </w:rPr>
        <w:t xml:space="preserve">: Liver </w:t>
      </w:r>
      <w:r w:rsidRPr="0087129E">
        <w:rPr>
          <w:rFonts w:ascii="Book Antiqua" w:hAnsi="Book Antiqua"/>
          <w:sz w:val="24"/>
          <w:szCs w:val="24"/>
          <w:lang w:val="en-US"/>
        </w:rPr>
        <w:t>i</w:t>
      </w:r>
      <w:r w:rsidR="00090FD0" w:rsidRPr="0087129E">
        <w:rPr>
          <w:rFonts w:ascii="Book Antiqua" w:hAnsi="Book Antiqua"/>
          <w:sz w:val="24"/>
          <w:szCs w:val="24"/>
          <w:lang w:val="en-US"/>
        </w:rPr>
        <w:t>njury</w:t>
      </w:r>
      <w:r w:rsidR="00F86E83" w:rsidRPr="0087129E">
        <w:rPr>
          <w:rFonts w:ascii="Book Antiqua" w:hAnsi="Book Antiqua"/>
          <w:sz w:val="24"/>
          <w:szCs w:val="24"/>
          <w:lang w:val="en-US"/>
        </w:rPr>
        <w:t>; OL</w:t>
      </w:r>
      <w:r w:rsidR="00090FD0" w:rsidRPr="0087129E">
        <w:rPr>
          <w:rFonts w:ascii="Book Antiqua" w:hAnsi="Book Antiqua"/>
          <w:sz w:val="24"/>
          <w:szCs w:val="24"/>
          <w:lang w:val="en-US"/>
        </w:rPr>
        <w:t>I</w:t>
      </w:r>
      <w:r w:rsidR="00F86E83" w:rsidRPr="0087129E">
        <w:rPr>
          <w:rFonts w:ascii="Book Antiqua" w:hAnsi="Book Antiqua"/>
          <w:sz w:val="24"/>
          <w:szCs w:val="24"/>
          <w:lang w:val="en-US"/>
        </w:rPr>
        <w:t>: Overall</w:t>
      </w:r>
      <w:r w:rsidRPr="0087129E">
        <w:rPr>
          <w:rFonts w:ascii="Book Antiqua" w:hAnsi="Book Antiqua"/>
          <w:sz w:val="24"/>
          <w:szCs w:val="24"/>
          <w:lang w:val="en-US"/>
        </w:rPr>
        <w:t xml:space="preserve"> liver i</w:t>
      </w:r>
      <w:r w:rsidR="00090FD0" w:rsidRPr="0087129E">
        <w:rPr>
          <w:rFonts w:ascii="Book Antiqua" w:hAnsi="Book Antiqua"/>
          <w:sz w:val="24"/>
          <w:szCs w:val="24"/>
          <w:lang w:val="en-US"/>
        </w:rPr>
        <w:t>njury</w:t>
      </w:r>
      <w:r w:rsidR="00F86E83" w:rsidRPr="0087129E">
        <w:rPr>
          <w:rFonts w:ascii="Book Antiqua" w:hAnsi="Book Antiqua"/>
          <w:sz w:val="24"/>
          <w:szCs w:val="24"/>
          <w:lang w:val="en-US"/>
        </w:rPr>
        <w:t>.</w:t>
      </w:r>
    </w:p>
    <w:p w:rsidR="00090928" w:rsidRPr="00B977AE" w:rsidRDefault="00090928" w:rsidP="004D1284">
      <w:pPr>
        <w:spacing w:line="360" w:lineRule="auto"/>
        <w:jc w:val="both"/>
        <w:rPr>
          <w:rFonts w:ascii="Book Antiqua" w:hAnsi="Book Antiqua" w:cs="Arial"/>
          <w:bCs/>
          <w:szCs w:val="20"/>
          <w:lang w:val="en-US"/>
        </w:rPr>
      </w:pPr>
      <w:r w:rsidRPr="00B977AE">
        <w:rPr>
          <w:rFonts w:ascii="Book Antiqua" w:hAnsi="Book Antiqua"/>
          <w:b/>
          <w:lang w:val="en-US"/>
        </w:rPr>
        <w:br w:type="page"/>
      </w:r>
    </w:p>
    <w:p w:rsidR="007D45D4" w:rsidRPr="0031275B" w:rsidRDefault="007606D2" w:rsidP="004D1284">
      <w:pPr>
        <w:spacing w:line="360" w:lineRule="auto"/>
        <w:jc w:val="both"/>
        <w:rPr>
          <w:rFonts w:ascii="Book Antiqua" w:hAnsi="Book Antiqua"/>
          <w:b/>
          <w:sz w:val="24"/>
          <w:szCs w:val="24"/>
          <w:lang w:val="en-US" w:eastAsia="zh-CN"/>
        </w:rPr>
      </w:pPr>
      <w:r w:rsidRPr="00E1403F">
        <w:rPr>
          <w:rFonts w:ascii="Book Antiqua" w:hAnsi="Book Antiqua"/>
          <w:b/>
          <w:sz w:val="24"/>
          <w:szCs w:val="24"/>
          <w:lang w:val="en-US"/>
        </w:rPr>
        <w:lastRenderedPageBreak/>
        <w:t xml:space="preserve">Table </w:t>
      </w:r>
      <w:r w:rsidR="00B160CD">
        <w:rPr>
          <w:rFonts w:ascii="Book Antiqua" w:hAnsi="Book Antiqua" w:hint="eastAsia"/>
          <w:b/>
          <w:sz w:val="24"/>
          <w:szCs w:val="24"/>
          <w:lang w:val="en-US" w:eastAsia="zh-CN"/>
        </w:rPr>
        <w:t>3</w:t>
      </w:r>
      <w:r w:rsidR="000929B8" w:rsidRPr="00E1403F">
        <w:rPr>
          <w:rFonts w:ascii="Book Antiqua" w:hAnsi="Book Antiqua"/>
          <w:sz w:val="24"/>
          <w:szCs w:val="24"/>
          <w:lang w:val="en-US"/>
        </w:rPr>
        <w:t xml:space="preserve"> </w:t>
      </w:r>
      <w:r w:rsidR="00153923" w:rsidRPr="0031275B">
        <w:rPr>
          <w:rFonts w:ascii="Book Antiqua" w:hAnsi="Book Antiqua"/>
          <w:b/>
          <w:sz w:val="24"/>
          <w:szCs w:val="24"/>
          <w:lang w:val="en-US"/>
        </w:rPr>
        <w:t xml:space="preserve">Key results of </w:t>
      </w:r>
      <w:r w:rsidR="00E1403F" w:rsidRPr="0031275B">
        <w:rPr>
          <w:rFonts w:ascii="Book Antiqua" w:hAnsi="Book Antiqua" w:cs="Arial"/>
          <w:b/>
          <w:sz w:val="24"/>
          <w:szCs w:val="24"/>
          <w:lang w:val="en-US"/>
        </w:rPr>
        <w:t>drug-induced liver injury</w:t>
      </w:r>
      <w:r w:rsidR="00E1403F" w:rsidRPr="0031275B">
        <w:rPr>
          <w:rFonts w:ascii="Book Antiqua" w:hAnsi="Book Antiqua"/>
          <w:b/>
          <w:sz w:val="24"/>
          <w:szCs w:val="24"/>
          <w:lang w:val="en-US"/>
        </w:rPr>
        <w:t xml:space="preserve"> </w:t>
      </w:r>
      <w:r w:rsidR="00153923" w:rsidRPr="0031275B">
        <w:rPr>
          <w:rFonts w:ascii="Book Antiqua" w:hAnsi="Book Antiqua"/>
          <w:b/>
          <w:sz w:val="24"/>
          <w:szCs w:val="24"/>
          <w:lang w:val="en-US"/>
        </w:rPr>
        <w:t xml:space="preserve">associated with </w:t>
      </w:r>
      <w:proofErr w:type="spellStart"/>
      <w:r w:rsidRPr="0031275B">
        <w:rPr>
          <w:rFonts w:ascii="Book Antiqua" w:hAnsi="Book Antiqua"/>
          <w:b/>
          <w:sz w:val="24"/>
          <w:szCs w:val="24"/>
          <w:lang w:val="en-US"/>
        </w:rPr>
        <w:t>antimycotics</w:t>
      </w:r>
      <w:proofErr w:type="spellEnd"/>
      <w:r w:rsidR="00153923" w:rsidRPr="0031275B">
        <w:rPr>
          <w:rFonts w:ascii="Book Antiqua" w:hAnsi="Book Antiqua"/>
          <w:b/>
          <w:sz w:val="24"/>
          <w:szCs w:val="24"/>
          <w:lang w:val="en-US"/>
        </w:rPr>
        <w:t xml:space="preserve">: </w:t>
      </w:r>
      <w:r w:rsidR="000612A3" w:rsidRPr="0031275B">
        <w:rPr>
          <w:rFonts w:ascii="Book Antiqua" w:hAnsi="Book Antiqua"/>
          <w:b/>
          <w:sz w:val="24"/>
          <w:szCs w:val="24"/>
          <w:lang w:val="en-US"/>
        </w:rPr>
        <w:t>N</w:t>
      </w:r>
      <w:r w:rsidR="00153923" w:rsidRPr="0031275B">
        <w:rPr>
          <w:rFonts w:ascii="Book Antiqua" w:hAnsi="Book Antiqua"/>
          <w:b/>
          <w:sz w:val="24"/>
          <w:szCs w:val="24"/>
          <w:lang w:val="en-US"/>
        </w:rPr>
        <w:t>umber of cases with relevant disproportionality</w:t>
      </w:r>
      <w:r w:rsidR="003A2C58" w:rsidRPr="0031275B">
        <w:rPr>
          <w:rFonts w:ascii="Book Antiqua" w:hAnsi="Book Antiqua"/>
          <w:b/>
          <w:sz w:val="24"/>
          <w:szCs w:val="24"/>
          <w:lang w:val="en-US"/>
        </w:rPr>
        <w:t xml:space="preserve"> analyses</w:t>
      </w:r>
    </w:p>
    <w:tbl>
      <w:tblPr>
        <w:tblStyle w:val="a3"/>
        <w:tblW w:w="447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776"/>
        <w:gridCol w:w="979"/>
        <w:gridCol w:w="1020"/>
        <w:gridCol w:w="1184"/>
        <w:gridCol w:w="1966"/>
        <w:gridCol w:w="1854"/>
        <w:gridCol w:w="1968"/>
      </w:tblGrid>
      <w:tr w:rsidR="00124F23" w:rsidRPr="00B977AE" w:rsidTr="00820F53">
        <w:tc>
          <w:tcPr>
            <w:tcW w:w="861" w:type="pct"/>
            <w:tcBorders>
              <w:top w:val="single" w:sz="4" w:space="0" w:color="auto"/>
              <w:bottom w:val="single" w:sz="4" w:space="0" w:color="auto"/>
            </w:tcBorders>
            <w:vAlign w:val="center"/>
          </w:tcPr>
          <w:p w:rsidR="003C278E" w:rsidRPr="00B977AE" w:rsidRDefault="002B2664" w:rsidP="004D1284">
            <w:pPr>
              <w:spacing w:line="360" w:lineRule="auto"/>
              <w:jc w:val="both"/>
              <w:rPr>
                <w:rFonts w:ascii="Book Antiqua" w:hAnsi="Book Antiqua"/>
                <w:b/>
                <w:sz w:val="20"/>
                <w:lang w:val="en-US"/>
              </w:rPr>
            </w:pPr>
            <w:r w:rsidRPr="00B977AE">
              <w:rPr>
                <w:rFonts w:ascii="Book Antiqua" w:hAnsi="Book Antiqua"/>
                <w:b/>
                <w:sz w:val="20"/>
                <w:lang w:val="en-US"/>
              </w:rPr>
              <w:t>Pharmacological class</w:t>
            </w:r>
          </w:p>
        </w:tc>
        <w:tc>
          <w:tcPr>
            <w:tcW w:w="684" w:type="pct"/>
            <w:tcBorders>
              <w:top w:val="single" w:sz="4" w:space="0" w:color="auto"/>
              <w:bottom w:val="single" w:sz="4" w:space="0" w:color="auto"/>
            </w:tcBorders>
            <w:vAlign w:val="center"/>
          </w:tcPr>
          <w:p w:rsidR="003C278E" w:rsidRPr="00B977AE" w:rsidRDefault="003C278E" w:rsidP="004D1284">
            <w:pPr>
              <w:spacing w:line="360" w:lineRule="auto"/>
              <w:jc w:val="both"/>
              <w:rPr>
                <w:rFonts w:ascii="Book Antiqua" w:hAnsi="Book Antiqua"/>
                <w:b/>
                <w:sz w:val="20"/>
                <w:lang w:val="en-US"/>
              </w:rPr>
            </w:pPr>
            <w:r w:rsidRPr="00B977AE">
              <w:rPr>
                <w:rFonts w:ascii="Book Antiqua" w:hAnsi="Book Antiqua"/>
                <w:b/>
                <w:sz w:val="20"/>
                <w:lang w:val="en-US"/>
              </w:rPr>
              <w:t>Active Su</w:t>
            </w:r>
            <w:r w:rsidR="00BE1E61" w:rsidRPr="00B977AE">
              <w:rPr>
                <w:rFonts w:ascii="Book Antiqua" w:hAnsi="Book Antiqua"/>
                <w:b/>
                <w:sz w:val="20"/>
                <w:lang w:val="en-US"/>
              </w:rPr>
              <w:t>b</w:t>
            </w:r>
            <w:r w:rsidRPr="00B977AE">
              <w:rPr>
                <w:rFonts w:ascii="Book Antiqua" w:hAnsi="Book Antiqua"/>
                <w:b/>
                <w:sz w:val="20"/>
                <w:lang w:val="en-US"/>
              </w:rPr>
              <w:t>stance</w:t>
            </w:r>
          </w:p>
        </w:tc>
        <w:tc>
          <w:tcPr>
            <w:tcW w:w="377" w:type="pct"/>
            <w:tcBorders>
              <w:top w:val="single" w:sz="4" w:space="0" w:color="auto"/>
              <w:bottom w:val="single" w:sz="4" w:space="0" w:color="auto"/>
            </w:tcBorders>
            <w:vAlign w:val="center"/>
          </w:tcPr>
          <w:p w:rsidR="003C278E" w:rsidRPr="00B977AE" w:rsidRDefault="00124F23" w:rsidP="004D1284">
            <w:pPr>
              <w:spacing w:line="360" w:lineRule="auto"/>
              <w:ind w:left="-20" w:right="-108"/>
              <w:jc w:val="both"/>
              <w:rPr>
                <w:rFonts w:ascii="Book Antiqua" w:hAnsi="Book Antiqua"/>
                <w:b/>
                <w:sz w:val="20"/>
                <w:lang w:val="en-US"/>
              </w:rPr>
            </w:pPr>
            <w:r w:rsidRPr="00B977AE">
              <w:rPr>
                <w:rFonts w:ascii="Book Antiqua" w:hAnsi="Book Antiqua"/>
                <w:b/>
                <w:sz w:val="20"/>
                <w:lang w:val="en-US"/>
              </w:rPr>
              <w:t xml:space="preserve">Cases </w:t>
            </w:r>
            <w:r w:rsidR="003C278E" w:rsidRPr="00B977AE">
              <w:rPr>
                <w:rFonts w:ascii="Book Antiqua" w:hAnsi="Book Antiqua"/>
                <w:b/>
                <w:sz w:val="20"/>
                <w:lang w:val="en-US"/>
              </w:rPr>
              <w:t>L</w:t>
            </w:r>
            <w:r w:rsidR="00CE4495" w:rsidRPr="00B977AE">
              <w:rPr>
                <w:rFonts w:ascii="Book Antiqua" w:hAnsi="Book Antiqua"/>
                <w:b/>
                <w:sz w:val="20"/>
                <w:lang w:val="en-US"/>
              </w:rPr>
              <w:t>I</w:t>
            </w:r>
          </w:p>
        </w:tc>
        <w:tc>
          <w:tcPr>
            <w:tcW w:w="393" w:type="pct"/>
            <w:tcBorders>
              <w:top w:val="single" w:sz="4" w:space="0" w:color="auto"/>
              <w:bottom w:val="single" w:sz="4" w:space="0" w:color="auto"/>
            </w:tcBorders>
            <w:vAlign w:val="center"/>
          </w:tcPr>
          <w:p w:rsidR="003C278E" w:rsidRPr="00B977AE" w:rsidRDefault="00124F23" w:rsidP="004D1284">
            <w:pPr>
              <w:spacing w:line="360" w:lineRule="auto"/>
              <w:ind w:right="-108"/>
              <w:jc w:val="both"/>
              <w:rPr>
                <w:rFonts w:ascii="Book Antiqua" w:hAnsi="Book Antiqua"/>
                <w:b/>
                <w:sz w:val="20"/>
                <w:lang w:val="en-US"/>
              </w:rPr>
            </w:pPr>
            <w:r w:rsidRPr="00B977AE">
              <w:rPr>
                <w:rFonts w:ascii="Book Antiqua" w:hAnsi="Book Antiqua"/>
                <w:b/>
                <w:sz w:val="20"/>
                <w:lang w:val="en-US"/>
              </w:rPr>
              <w:t xml:space="preserve">Cases </w:t>
            </w:r>
            <w:r w:rsidR="003C278E" w:rsidRPr="00B977AE">
              <w:rPr>
                <w:rFonts w:ascii="Book Antiqua" w:hAnsi="Book Antiqua"/>
                <w:b/>
                <w:sz w:val="20"/>
                <w:lang w:val="en-US"/>
              </w:rPr>
              <w:t>ALF</w:t>
            </w:r>
          </w:p>
        </w:tc>
        <w:tc>
          <w:tcPr>
            <w:tcW w:w="456" w:type="pct"/>
            <w:tcBorders>
              <w:top w:val="single" w:sz="4" w:space="0" w:color="auto"/>
              <w:bottom w:val="single" w:sz="4" w:space="0" w:color="auto"/>
            </w:tcBorders>
            <w:vAlign w:val="center"/>
          </w:tcPr>
          <w:p w:rsidR="003C278E" w:rsidRPr="00B977AE" w:rsidRDefault="003C278E" w:rsidP="004D1284">
            <w:pPr>
              <w:spacing w:line="360" w:lineRule="auto"/>
              <w:jc w:val="both"/>
              <w:rPr>
                <w:rFonts w:ascii="Book Antiqua" w:hAnsi="Book Antiqua"/>
                <w:b/>
                <w:sz w:val="20"/>
                <w:lang w:val="en-US"/>
              </w:rPr>
            </w:pPr>
            <w:r w:rsidRPr="00B977AE">
              <w:rPr>
                <w:rFonts w:ascii="Book Antiqua" w:hAnsi="Book Antiqua"/>
                <w:b/>
                <w:sz w:val="20"/>
                <w:lang w:val="en-US"/>
              </w:rPr>
              <w:t xml:space="preserve">Cases </w:t>
            </w:r>
            <w:r w:rsidR="004C6878" w:rsidRPr="00B977AE">
              <w:rPr>
                <w:rFonts w:ascii="Book Antiqua" w:hAnsi="Book Antiqua"/>
                <w:b/>
                <w:sz w:val="20"/>
                <w:lang w:val="en-US"/>
              </w:rPr>
              <w:t>OL</w:t>
            </w:r>
            <w:r w:rsidR="00CE4495" w:rsidRPr="00B977AE">
              <w:rPr>
                <w:rFonts w:ascii="Book Antiqua" w:hAnsi="Book Antiqua"/>
                <w:b/>
                <w:sz w:val="20"/>
                <w:lang w:val="en-US"/>
              </w:rPr>
              <w:t>I</w:t>
            </w:r>
          </w:p>
        </w:tc>
        <w:tc>
          <w:tcPr>
            <w:tcW w:w="757" w:type="pct"/>
            <w:tcBorders>
              <w:top w:val="single" w:sz="4" w:space="0" w:color="auto"/>
              <w:bottom w:val="single" w:sz="4" w:space="0" w:color="auto"/>
            </w:tcBorders>
            <w:vAlign w:val="center"/>
          </w:tcPr>
          <w:p w:rsidR="003C278E" w:rsidRPr="00B977AE" w:rsidRDefault="003C278E" w:rsidP="004D1284">
            <w:pPr>
              <w:spacing w:line="360" w:lineRule="auto"/>
              <w:jc w:val="both"/>
              <w:rPr>
                <w:rFonts w:ascii="Book Antiqua" w:hAnsi="Book Antiqua"/>
                <w:b/>
                <w:sz w:val="20"/>
                <w:lang w:val="en-US"/>
              </w:rPr>
            </w:pPr>
            <w:r w:rsidRPr="00B977AE">
              <w:rPr>
                <w:rFonts w:ascii="Book Antiqua" w:hAnsi="Book Antiqua"/>
                <w:b/>
                <w:sz w:val="20"/>
                <w:lang w:val="en-US"/>
              </w:rPr>
              <w:t>ROR (95%CI) L</w:t>
            </w:r>
            <w:r w:rsidR="00CE4495" w:rsidRPr="00B977AE">
              <w:rPr>
                <w:rFonts w:ascii="Book Antiqua" w:hAnsi="Book Antiqua"/>
                <w:b/>
                <w:sz w:val="20"/>
                <w:lang w:val="en-US"/>
              </w:rPr>
              <w:t>I</w:t>
            </w:r>
          </w:p>
        </w:tc>
        <w:tc>
          <w:tcPr>
            <w:tcW w:w="714" w:type="pct"/>
            <w:tcBorders>
              <w:top w:val="single" w:sz="4" w:space="0" w:color="auto"/>
              <w:bottom w:val="single" w:sz="4" w:space="0" w:color="auto"/>
            </w:tcBorders>
            <w:vAlign w:val="center"/>
          </w:tcPr>
          <w:p w:rsidR="003C278E" w:rsidRPr="00B977AE" w:rsidRDefault="003C278E" w:rsidP="004D1284">
            <w:pPr>
              <w:spacing w:line="360" w:lineRule="auto"/>
              <w:jc w:val="both"/>
              <w:rPr>
                <w:rFonts w:ascii="Book Antiqua" w:hAnsi="Book Antiqua"/>
                <w:b/>
                <w:sz w:val="20"/>
              </w:rPr>
            </w:pPr>
            <w:r w:rsidRPr="00B977AE">
              <w:rPr>
                <w:rFonts w:ascii="Book Antiqua" w:hAnsi="Book Antiqua"/>
                <w:b/>
                <w:sz w:val="20"/>
                <w:lang w:val="en-US"/>
              </w:rPr>
              <w:t xml:space="preserve">ROR </w:t>
            </w:r>
            <w:r w:rsidRPr="00B977AE">
              <w:rPr>
                <w:rFonts w:ascii="Book Antiqua" w:hAnsi="Book Antiqua"/>
                <w:b/>
                <w:sz w:val="20"/>
              </w:rPr>
              <w:t>(95%CI) ALF</w:t>
            </w:r>
          </w:p>
        </w:tc>
        <w:tc>
          <w:tcPr>
            <w:tcW w:w="758" w:type="pct"/>
            <w:tcBorders>
              <w:top w:val="single" w:sz="4" w:space="0" w:color="auto"/>
              <w:bottom w:val="single" w:sz="4" w:space="0" w:color="auto"/>
            </w:tcBorders>
            <w:vAlign w:val="center"/>
          </w:tcPr>
          <w:p w:rsidR="003C278E" w:rsidRPr="00B977AE" w:rsidRDefault="003C278E" w:rsidP="004D1284">
            <w:pPr>
              <w:spacing w:line="360" w:lineRule="auto"/>
              <w:jc w:val="both"/>
              <w:rPr>
                <w:rFonts w:ascii="Book Antiqua" w:hAnsi="Book Antiqua"/>
                <w:b/>
                <w:sz w:val="20"/>
                <w:lang w:val="en-US"/>
              </w:rPr>
            </w:pPr>
            <w:r w:rsidRPr="00B977AE">
              <w:rPr>
                <w:rFonts w:ascii="Book Antiqua" w:hAnsi="Book Antiqua"/>
                <w:b/>
                <w:sz w:val="20"/>
                <w:lang w:val="en-US"/>
              </w:rPr>
              <w:t xml:space="preserve">ROR </w:t>
            </w:r>
            <w:r w:rsidRPr="00B977AE">
              <w:rPr>
                <w:rFonts w:ascii="Book Antiqua" w:hAnsi="Book Antiqua"/>
                <w:b/>
                <w:sz w:val="20"/>
              </w:rPr>
              <w:t xml:space="preserve">(95%CI) </w:t>
            </w:r>
            <w:r w:rsidR="004C6878" w:rsidRPr="00B977AE">
              <w:rPr>
                <w:rFonts w:ascii="Book Antiqua" w:hAnsi="Book Antiqua"/>
                <w:b/>
                <w:sz w:val="20"/>
              </w:rPr>
              <w:t>OL</w:t>
            </w:r>
            <w:r w:rsidR="00CE4495" w:rsidRPr="00B977AE">
              <w:rPr>
                <w:rFonts w:ascii="Book Antiqua" w:hAnsi="Book Antiqua"/>
                <w:b/>
                <w:sz w:val="20"/>
              </w:rPr>
              <w:t>I</w:t>
            </w:r>
          </w:p>
        </w:tc>
      </w:tr>
      <w:tr w:rsidR="003C278E" w:rsidRPr="00B977AE" w:rsidTr="00820F53">
        <w:tc>
          <w:tcPr>
            <w:tcW w:w="5000" w:type="pct"/>
            <w:gridSpan w:val="8"/>
            <w:tcBorders>
              <w:top w:val="single" w:sz="4" w:space="0" w:color="auto"/>
              <w:bottom w:val="single" w:sz="4" w:space="0" w:color="auto"/>
            </w:tcBorders>
            <w:vAlign w:val="center"/>
          </w:tcPr>
          <w:p w:rsidR="003C278E" w:rsidRPr="004A71BD" w:rsidRDefault="003C278E" w:rsidP="004D1284">
            <w:pPr>
              <w:autoSpaceDE w:val="0"/>
              <w:autoSpaceDN w:val="0"/>
              <w:adjustRightInd w:val="0"/>
              <w:spacing w:line="360" w:lineRule="auto"/>
              <w:jc w:val="both"/>
              <w:rPr>
                <w:rFonts w:ascii="Book Antiqua" w:hAnsi="Book Antiqua" w:cs="Arial"/>
                <w:b/>
                <w:sz w:val="20"/>
                <w:szCs w:val="20"/>
                <w:lang w:val="en-US"/>
              </w:rPr>
            </w:pPr>
            <w:r w:rsidRPr="004A71BD">
              <w:rPr>
                <w:rFonts w:ascii="Book Antiqua" w:hAnsi="Book Antiqua" w:cs="Arial"/>
                <w:b/>
                <w:sz w:val="20"/>
                <w:szCs w:val="20"/>
                <w:lang w:val="en-US"/>
              </w:rPr>
              <w:t>Antibiotics</w:t>
            </w:r>
          </w:p>
        </w:tc>
      </w:tr>
      <w:tr w:rsidR="00B9136C" w:rsidRPr="00B977AE" w:rsidTr="00B9136C">
        <w:trPr>
          <w:trHeight w:val="434"/>
        </w:trPr>
        <w:tc>
          <w:tcPr>
            <w:tcW w:w="861"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Amphotericin B</w:t>
            </w:r>
          </w:p>
        </w:tc>
        <w:tc>
          <w:tcPr>
            <w:tcW w:w="377"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251</w:t>
            </w:r>
          </w:p>
        </w:tc>
        <w:tc>
          <w:tcPr>
            <w:tcW w:w="393"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14</w:t>
            </w:r>
          </w:p>
        </w:tc>
        <w:tc>
          <w:tcPr>
            <w:tcW w:w="456"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265</w:t>
            </w:r>
          </w:p>
        </w:tc>
        <w:tc>
          <w:tcPr>
            <w:tcW w:w="757"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5.33 (4.65-6.10) </w:t>
            </w:r>
            <w:r w:rsidR="0087129E" w:rsidRPr="004A71BD">
              <w:rPr>
                <w:rFonts w:ascii="Book Antiqua" w:hAnsi="Book Antiqua"/>
                <w:sz w:val="20"/>
                <w:vertAlign w:val="superscript"/>
              </w:rPr>
              <w:t>1</w:t>
            </w:r>
          </w:p>
        </w:tc>
        <w:tc>
          <w:tcPr>
            <w:tcW w:w="714"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2.86 (1.69-4.84) </w:t>
            </w:r>
            <w:r w:rsidR="0087129E" w:rsidRPr="004A71BD">
              <w:rPr>
                <w:rFonts w:ascii="Book Antiqua" w:hAnsi="Book Antiqua"/>
                <w:sz w:val="20"/>
                <w:vertAlign w:val="superscript"/>
              </w:rPr>
              <w:t>1</w:t>
            </w:r>
          </w:p>
        </w:tc>
        <w:tc>
          <w:tcPr>
            <w:tcW w:w="758" w:type="pct"/>
            <w:tcBorders>
              <w:top w:val="single" w:sz="4" w:space="0" w:color="auto"/>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5.20 (4.55-5.94) </w:t>
            </w:r>
            <w:r w:rsidR="0087129E" w:rsidRPr="004A71BD">
              <w:rPr>
                <w:rFonts w:ascii="Book Antiqua" w:hAnsi="Book Antiqua"/>
                <w:sz w:val="20"/>
                <w:vertAlign w:val="superscript"/>
              </w:rPr>
              <w:t>1</w:t>
            </w:r>
          </w:p>
        </w:tc>
      </w:tr>
      <w:tr w:rsidR="003C278E" w:rsidRPr="00B977AE" w:rsidTr="00820F53">
        <w:tc>
          <w:tcPr>
            <w:tcW w:w="5000" w:type="pct"/>
            <w:gridSpan w:val="8"/>
            <w:tcBorders>
              <w:top w:val="single" w:sz="4" w:space="0" w:color="auto"/>
              <w:bottom w:val="single" w:sz="4" w:space="0" w:color="auto"/>
            </w:tcBorders>
            <w:vAlign w:val="center"/>
          </w:tcPr>
          <w:p w:rsidR="003C278E" w:rsidRPr="004A71BD" w:rsidRDefault="00022948" w:rsidP="004D1284">
            <w:pPr>
              <w:autoSpaceDE w:val="0"/>
              <w:autoSpaceDN w:val="0"/>
              <w:adjustRightInd w:val="0"/>
              <w:spacing w:line="360" w:lineRule="auto"/>
              <w:jc w:val="both"/>
              <w:rPr>
                <w:rFonts w:ascii="Book Antiqua" w:hAnsi="Book Antiqua" w:cs="Arial"/>
                <w:b/>
                <w:sz w:val="20"/>
                <w:szCs w:val="20"/>
                <w:lang w:val="en-US"/>
              </w:rPr>
            </w:pPr>
            <w:r w:rsidRPr="004A71BD">
              <w:rPr>
                <w:rFonts w:ascii="Book Antiqua" w:hAnsi="Book Antiqua" w:cs="Arial"/>
                <w:b/>
                <w:sz w:val="20"/>
                <w:szCs w:val="20"/>
                <w:lang w:val="en-US"/>
              </w:rPr>
              <w:t>Imidazole derivatives</w:t>
            </w:r>
          </w:p>
        </w:tc>
      </w:tr>
      <w:tr w:rsidR="00B9136C" w:rsidRPr="00B977AE" w:rsidTr="00B9136C">
        <w:tc>
          <w:tcPr>
            <w:tcW w:w="861"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Miconazole </w:t>
            </w:r>
            <w:r w:rsidR="00DC3229" w:rsidRPr="00DC3229">
              <w:rPr>
                <w:rFonts w:ascii="Book Antiqua" w:hAnsi="Book Antiqua"/>
                <w:sz w:val="20"/>
                <w:vertAlign w:val="superscript"/>
                <w:lang w:val="en-US"/>
              </w:rPr>
              <w:t>2</w:t>
            </w:r>
          </w:p>
        </w:tc>
        <w:tc>
          <w:tcPr>
            <w:tcW w:w="37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16</w:t>
            </w:r>
          </w:p>
        </w:tc>
        <w:tc>
          <w:tcPr>
            <w:tcW w:w="393"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456"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16</w:t>
            </w:r>
          </w:p>
        </w:tc>
        <w:tc>
          <w:tcPr>
            <w:tcW w:w="75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0.33 (0.20-0.54)</w:t>
            </w:r>
          </w:p>
        </w:tc>
        <w:tc>
          <w:tcPr>
            <w:tcW w:w="71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758"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0.30 (0.18-0.50)</w:t>
            </w:r>
          </w:p>
        </w:tc>
      </w:tr>
      <w:tr w:rsidR="00B9136C" w:rsidRPr="00B977AE" w:rsidTr="00B9136C">
        <w:trPr>
          <w:trHeight w:val="358"/>
        </w:trPr>
        <w:tc>
          <w:tcPr>
            <w:tcW w:w="861"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Ketoconazole </w:t>
            </w:r>
            <w:r w:rsidR="00DC3229" w:rsidRPr="00DC3229">
              <w:rPr>
                <w:rFonts w:ascii="Book Antiqua" w:hAnsi="Book Antiqua"/>
                <w:sz w:val="20"/>
                <w:vertAlign w:val="superscript"/>
                <w:lang w:val="en-US"/>
              </w:rPr>
              <w:t>2</w:t>
            </w:r>
            <w:r w:rsidRPr="004A71BD">
              <w:rPr>
                <w:rFonts w:ascii="Book Antiqua" w:hAnsi="Book Antiqua"/>
                <w:sz w:val="20"/>
              </w:rPr>
              <w:t xml:space="preserve"> </w:t>
            </w:r>
          </w:p>
        </w:tc>
        <w:tc>
          <w:tcPr>
            <w:tcW w:w="37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88</w:t>
            </w:r>
          </w:p>
        </w:tc>
        <w:tc>
          <w:tcPr>
            <w:tcW w:w="393"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6</w:t>
            </w:r>
          </w:p>
        </w:tc>
        <w:tc>
          <w:tcPr>
            <w:tcW w:w="456"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94</w:t>
            </w:r>
          </w:p>
        </w:tc>
        <w:tc>
          <w:tcPr>
            <w:tcW w:w="75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6.68 (5.28-8.44) </w:t>
            </w:r>
            <w:r w:rsidR="0087129E" w:rsidRPr="004A71BD">
              <w:rPr>
                <w:rFonts w:ascii="Book Antiqua" w:hAnsi="Book Antiqua"/>
                <w:sz w:val="20"/>
                <w:szCs w:val="20"/>
                <w:vertAlign w:val="superscript"/>
              </w:rPr>
              <w:t>1</w:t>
            </w:r>
          </w:p>
        </w:tc>
        <w:tc>
          <w:tcPr>
            <w:tcW w:w="71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4.22 (1.88-9.45) </w:t>
            </w:r>
            <w:r w:rsidR="0087129E" w:rsidRPr="004A71BD">
              <w:rPr>
                <w:rFonts w:ascii="Book Antiqua" w:hAnsi="Book Antiqua"/>
                <w:sz w:val="20"/>
                <w:szCs w:val="20"/>
                <w:vertAlign w:val="superscript"/>
              </w:rPr>
              <w:t>1</w:t>
            </w:r>
          </w:p>
        </w:tc>
        <w:tc>
          <w:tcPr>
            <w:tcW w:w="758"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6.64 (5.28-8.34) </w:t>
            </w:r>
            <w:r w:rsidR="0087129E" w:rsidRPr="004A71BD">
              <w:rPr>
                <w:rFonts w:ascii="Book Antiqua" w:hAnsi="Book Antiqua"/>
                <w:sz w:val="20"/>
                <w:szCs w:val="20"/>
                <w:vertAlign w:val="superscript"/>
              </w:rPr>
              <w:t>1</w:t>
            </w:r>
          </w:p>
        </w:tc>
      </w:tr>
      <w:tr w:rsidR="003C278E" w:rsidRPr="00B977AE" w:rsidTr="00B9136C">
        <w:tc>
          <w:tcPr>
            <w:tcW w:w="5000" w:type="pct"/>
            <w:gridSpan w:val="8"/>
            <w:tcBorders>
              <w:top w:val="single" w:sz="4" w:space="0" w:color="auto"/>
              <w:bottom w:val="single" w:sz="4" w:space="0" w:color="auto"/>
            </w:tcBorders>
            <w:vAlign w:val="center"/>
          </w:tcPr>
          <w:p w:rsidR="003C278E" w:rsidRPr="004A71BD" w:rsidRDefault="00022948" w:rsidP="004D1284">
            <w:pPr>
              <w:autoSpaceDE w:val="0"/>
              <w:autoSpaceDN w:val="0"/>
              <w:adjustRightInd w:val="0"/>
              <w:spacing w:line="360" w:lineRule="auto"/>
              <w:jc w:val="both"/>
              <w:rPr>
                <w:rFonts w:ascii="Book Antiqua" w:hAnsi="Book Antiqua" w:cs="Arial"/>
                <w:b/>
                <w:sz w:val="20"/>
                <w:szCs w:val="20"/>
                <w:lang w:val="en-US"/>
              </w:rPr>
            </w:pPr>
            <w:proofErr w:type="spellStart"/>
            <w:r w:rsidRPr="004A71BD">
              <w:rPr>
                <w:rFonts w:ascii="Book Antiqua" w:hAnsi="Book Antiqua" w:cs="Arial"/>
                <w:b/>
                <w:sz w:val="20"/>
                <w:szCs w:val="20"/>
                <w:lang w:val="en-US"/>
              </w:rPr>
              <w:t>Triazole</w:t>
            </w:r>
            <w:proofErr w:type="spellEnd"/>
            <w:r w:rsidRPr="004A71BD">
              <w:rPr>
                <w:rFonts w:ascii="Book Antiqua" w:hAnsi="Book Antiqua" w:cs="Arial"/>
                <w:b/>
                <w:sz w:val="20"/>
                <w:szCs w:val="20"/>
                <w:lang w:val="en-US"/>
              </w:rPr>
              <w:t xml:space="preserve"> derivatives</w:t>
            </w:r>
          </w:p>
        </w:tc>
      </w:tr>
      <w:tr w:rsidR="00B9136C" w:rsidRPr="00B977AE" w:rsidTr="00B9136C">
        <w:tc>
          <w:tcPr>
            <w:tcW w:w="861"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Fluconazole </w:t>
            </w:r>
          </w:p>
        </w:tc>
        <w:tc>
          <w:tcPr>
            <w:tcW w:w="37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381</w:t>
            </w:r>
          </w:p>
        </w:tc>
        <w:tc>
          <w:tcPr>
            <w:tcW w:w="393"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31</w:t>
            </w:r>
          </w:p>
        </w:tc>
        <w:tc>
          <w:tcPr>
            <w:tcW w:w="456"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412</w:t>
            </w:r>
          </w:p>
        </w:tc>
        <w:tc>
          <w:tcPr>
            <w:tcW w:w="75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4.25 (3.81-4.74) </w:t>
            </w:r>
            <w:r w:rsidR="0087129E" w:rsidRPr="004A71BD">
              <w:rPr>
                <w:rFonts w:ascii="Book Antiqua" w:hAnsi="Book Antiqua"/>
                <w:sz w:val="20"/>
                <w:szCs w:val="20"/>
                <w:vertAlign w:val="superscript"/>
              </w:rPr>
              <w:t>1</w:t>
            </w:r>
          </w:p>
        </w:tc>
        <w:tc>
          <w:tcPr>
            <w:tcW w:w="71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3.46 (2.42-4.93) </w:t>
            </w:r>
            <w:r w:rsidR="0087129E" w:rsidRPr="004A71BD">
              <w:rPr>
                <w:rFonts w:ascii="Book Antiqua" w:hAnsi="Book Antiqua"/>
                <w:sz w:val="20"/>
                <w:szCs w:val="20"/>
                <w:vertAlign w:val="superscript"/>
              </w:rPr>
              <w:t>1</w:t>
            </w:r>
          </w:p>
        </w:tc>
        <w:tc>
          <w:tcPr>
            <w:tcW w:w="758"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4.26 (3.83-4.73) </w:t>
            </w:r>
            <w:r w:rsidR="0087129E" w:rsidRPr="004A71BD">
              <w:rPr>
                <w:rFonts w:ascii="Book Antiqua" w:hAnsi="Book Antiqua"/>
                <w:sz w:val="20"/>
                <w:szCs w:val="20"/>
                <w:vertAlign w:val="superscript"/>
              </w:rPr>
              <w:t>1</w:t>
            </w:r>
          </w:p>
        </w:tc>
      </w:tr>
      <w:tr w:rsidR="00B9136C" w:rsidRPr="00B977AE" w:rsidTr="00B9136C">
        <w:tc>
          <w:tcPr>
            <w:tcW w:w="861" w:type="pct"/>
            <w:vAlign w:val="center"/>
          </w:tcPr>
          <w:p w:rsidR="00B9136C" w:rsidRPr="004A71BD" w:rsidRDefault="00B9136C" w:rsidP="004D1284">
            <w:pPr>
              <w:spacing w:line="360" w:lineRule="auto"/>
              <w:jc w:val="both"/>
              <w:rPr>
                <w:rFonts w:ascii="Book Antiqua" w:hAnsi="Book Antiqua"/>
                <w:sz w:val="20"/>
              </w:rPr>
            </w:pPr>
          </w:p>
        </w:tc>
        <w:tc>
          <w:tcPr>
            <w:tcW w:w="684" w:type="pct"/>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Itraconazole </w:t>
            </w:r>
          </w:p>
        </w:tc>
        <w:tc>
          <w:tcPr>
            <w:tcW w:w="37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178</w:t>
            </w:r>
          </w:p>
        </w:tc>
        <w:tc>
          <w:tcPr>
            <w:tcW w:w="393"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4</w:t>
            </w:r>
          </w:p>
        </w:tc>
        <w:tc>
          <w:tcPr>
            <w:tcW w:w="456"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182</w:t>
            </w:r>
          </w:p>
        </w:tc>
        <w:tc>
          <w:tcPr>
            <w:tcW w:w="75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3.73 (3.19-4.37) </w:t>
            </w:r>
            <w:r w:rsidR="0087129E" w:rsidRPr="004A71BD">
              <w:rPr>
                <w:rFonts w:ascii="Book Antiqua" w:hAnsi="Book Antiqua"/>
                <w:sz w:val="20"/>
                <w:szCs w:val="20"/>
                <w:vertAlign w:val="superscript"/>
              </w:rPr>
              <w:t>1</w:t>
            </w:r>
          </w:p>
        </w:tc>
        <w:tc>
          <w:tcPr>
            <w:tcW w:w="714"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0.84 (0.32-2.25)</w:t>
            </w:r>
          </w:p>
        </w:tc>
        <w:tc>
          <w:tcPr>
            <w:tcW w:w="758"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3.50 (2.99-4.09) </w:t>
            </w:r>
            <w:r w:rsidR="0087129E" w:rsidRPr="004A71BD">
              <w:rPr>
                <w:rFonts w:ascii="Book Antiqua" w:hAnsi="Book Antiqua"/>
                <w:sz w:val="20"/>
                <w:szCs w:val="20"/>
                <w:vertAlign w:val="superscript"/>
              </w:rPr>
              <w:t>1</w:t>
            </w:r>
          </w:p>
        </w:tc>
      </w:tr>
      <w:tr w:rsidR="00B9136C" w:rsidRPr="00B977AE" w:rsidTr="00B9136C">
        <w:tc>
          <w:tcPr>
            <w:tcW w:w="861" w:type="pct"/>
            <w:vAlign w:val="center"/>
          </w:tcPr>
          <w:p w:rsidR="00B9136C" w:rsidRPr="004A71BD" w:rsidRDefault="00B9136C" w:rsidP="004D1284">
            <w:pPr>
              <w:spacing w:line="360" w:lineRule="auto"/>
              <w:jc w:val="both"/>
              <w:rPr>
                <w:rFonts w:ascii="Book Antiqua" w:hAnsi="Book Antiqua"/>
                <w:sz w:val="20"/>
              </w:rPr>
            </w:pPr>
          </w:p>
        </w:tc>
        <w:tc>
          <w:tcPr>
            <w:tcW w:w="684" w:type="pct"/>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Voriconazole</w:t>
            </w:r>
          </w:p>
        </w:tc>
        <w:tc>
          <w:tcPr>
            <w:tcW w:w="37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342</w:t>
            </w:r>
          </w:p>
        </w:tc>
        <w:tc>
          <w:tcPr>
            <w:tcW w:w="393"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19</w:t>
            </w:r>
          </w:p>
        </w:tc>
        <w:tc>
          <w:tcPr>
            <w:tcW w:w="456"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361</w:t>
            </w:r>
          </w:p>
        </w:tc>
        <w:tc>
          <w:tcPr>
            <w:tcW w:w="75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5.61 (4.99-6.31) </w:t>
            </w:r>
            <w:r w:rsidR="0087129E" w:rsidRPr="004A71BD">
              <w:rPr>
                <w:rFonts w:ascii="Book Antiqua" w:hAnsi="Book Antiqua"/>
                <w:sz w:val="20"/>
                <w:szCs w:val="20"/>
                <w:vertAlign w:val="superscript"/>
              </w:rPr>
              <w:t>1</w:t>
            </w:r>
          </w:p>
        </w:tc>
        <w:tc>
          <w:tcPr>
            <w:tcW w:w="714"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2.97 (1.89-4.67) </w:t>
            </w:r>
            <w:r w:rsidR="0087129E" w:rsidRPr="004A71BD">
              <w:rPr>
                <w:rFonts w:ascii="Book Antiqua" w:hAnsi="Book Antiqua"/>
                <w:sz w:val="20"/>
                <w:szCs w:val="20"/>
                <w:vertAlign w:val="superscript"/>
              </w:rPr>
              <w:t>1</w:t>
            </w:r>
          </w:p>
        </w:tc>
        <w:tc>
          <w:tcPr>
            <w:tcW w:w="758"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5.48 (4.89-6.14) </w:t>
            </w:r>
            <w:r w:rsidR="0087129E" w:rsidRPr="004A71BD">
              <w:rPr>
                <w:rFonts w:ascii="Book Antiqua" w:hAnsi="Book Antiqua"/>
                <w:sz w:val="20"/>
                <w:szCs w:val="20"/>
                <w:vertAlign w:val="superscript"/>
              </w:rPr>
              <w:t>1</w:t>
            </w:r>
          </w:p>
        </w:tc>
      </w:tr>
      <w:tr w:rsidR="00B9136C" w:rsidRPr="00B977AE" w:rsidTr="00B9136C">
        <w:tc>
          <w:tcPr>
            <w:tcW w:w="861"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Posaconazole</w:t>
            </w:r>
          </w:p>
        </w:tc>
        <w:tc>
          <w:tcPr>
            <w:tcW w:w="37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65</w:t>
            </w:r>
          </w:p>
        </w:tc>
        <w:tc>
          <w:tcPr>
            <w:tcW w:w="393"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5</w:t>
            </w:r>
          </w:p>
        </w:tc>
        <w:tc>
          <w:tcPr>
            <w:tcW w:w="456"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70</w:t>
            </w:r>
          </w:p>
        </w:tc>
        <w:tc>
          <w:tcPr>
            <w:tcW w:w="75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5.39 (4.12-7.04) </w:t>
            </w:r>
            <w:r w:rsidR="0087129E" w:rsidRPr="004A71BD">
              <w:rPr>
                <w:rFonts w:ascii="Book Antiqua" w:hAnsi="Book Antiqua"/>
                <w:sz w:val="20"/>
                <w:szCs w:val="20"/>
                <w:vertAlign w:val="superscript"/>
              </w:rPr>
              <w:t>1</w:t>
            </w:r>
          </w:p>
        </w:tc>
        <w:tc>
          <w:tcPr>
            <w:tcW w:w="71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4.00 (1.65-9.66) </w:t>
            </w:r>
            <w:r w:rsidR="0087129E" w:rsidRPr="004A71BD">
              <w:rPr>
                <w:rFonts w:ascii="Book Antiqua" w:hAnsi="Book Antiqua"/>
                <w:sz w:val="20"/>
                <w:szCs w:val="20"/>
                <w:vertAlign w:val="superscript"/>
              </w:rPr>
              <w:t>1</w:t>
            </w:r>
          </w:p>
        </w:tc>
        <w:tc>
          <w:tcPr>
            <w:tcW w:w="758"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5.39 (4.16-6.99) </w:t>
            </w:r>
            <w:r w:rsidR="0087129E" w:rsidRPr="004A71BD">
              <w:rPr>
                <w:rFonts w:ascii="Book Antiqua" w:hAnsi="Book Antiqua"/>
                <w:sz w:val="20"/>
                <w:szCs w:val="20"/>
                <w:vertAlign w:val="superscript"/>
              </w:rPr>
              <w:t>1</w:t>
            </w:r>
          </w:p>
        </w:tc>
      </w:tr>
      <w:tr w:rsidR="003C278E" w:rsidRPr="00B977AE" w:rsidTr="00B9136C">
        <w:tc>
          <w:tcPr>
            <w:tcW w:w="5000" w:type="pct"/>
            <w:gridSpan w:val="8"/>
            <w:tcBorders>
              <w:top w:val="single" w:sz="4" w:space="0" w:color="auto"/>
              <w:bottom w:val="single" w:sz="4" w:space="0" w:color="auto"/>
            </w:tcBorders>
            <w:vAlign w:val="center"/>
          </w:tcPr>
          <w:p w:rsidR="003C278E" w:rsidRPr="004A71BD" w:rsidRDefault="003C278E" w:rsidP="004D1284">
            <w:pPr>
              <w:autoSpaceDE w:val="0"/>
              <w:autoSpaceDN w:val="0"/>
              <w:adjustRightInd w:val="0"/>
              <w:spacing w:line="360" w:lineRule="auto"/>
              <w:jc w:val="both"/>
              <w:rPr>
                <w:rFonts w:ascii="Book Antiqua" w:hAnsi="Book Antiqua" w:cs="Arial"/>
                <w:b/>
                <w:sz w:val="20"/>
                <w:szCs w:val="20"/>
                <w:lang w:val="en-US"/>
              </w:rPr>
            </w:pPr>
            <w:r w:rsidRPr="004A71BD">
              <w:rPr>
                <w:rFonts w:ascii="Book Antiqua" w:hAnsi="Book Antiqua" w:cs="Arial"/>
                <w:b/>
                <w:sz w:val="20"/>
                <w:szCs w:val="20"/>
                <w:lang w:val="en-US"/>
              </w:rPr>
              <w:t xml:space="preserve">Other </w:t>
            </w:r>
            <w:proofErr w:type="spellStart"/>
            <w:r w:rsidRPr="004A71BD">
              <w:rPr>
                <w:rFonts w:ascii="Book Antiqua" w:hAnsi="Book Antiqua" w:cs="Arial"/>
                <w:b/>
                <w:sz w:val="20"/>
                <w:szCs w:val="20"/>
                <w:lang w:val="en-US"/>
              </w:rPr>
              <w:t>antim</w:t>
            </w:r>
            <w:r w:rsidR="00022948" w:rsidRPr="004A71BD">
              <w:rPr>
                <w:rFonts w:ascii="Book Antiqua" w:hAnsi="Book Antiqua" w:cs="Arial"/>
                <w:b/>
                <w:sz w:val="20"/>
                <w:szCs w:val="20"/>
                <w:lang w:val="en-US"/>
              </w:rPr>
              <w:t>ycotics</w:t>
            </w:r>
            <w:proofErr w:type="spellEnd"/>
            <w:r w:rsidR="00022948" w:rsidRPr="004A71BD">
              <w:rPr>
                <w:rFonts w:ascii="Book Antiqua" w:hAnsi="Book Antiqua" w:cs="Arial"/>
                <w:b/>
                <w:sz w:val="20"/>
                <w:szCs w:val="20"/>
                <w:lang w:val="en-US"/>
              </w:rPr>
              <w:t xml:space="preserve"> for systemic use</w:t>
            </w:r>
          </w:p>
        </w:tc>
      </w:tr>
      <w:tr w:rsidR="00B9136C" w:rsidRPr="00B977AE" w:rsidTr="00B9136C">
        <w:tc>
          <w:tcPr>
            <w:tcW w:w="861"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lang w:val="en-US"/>
              </w:rPr>
            </w:pPr>
          </w:p>
        </w:tc>
        <w:tc>
          <w:tcPr>
            <w:tcW w:w="68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Flucytosine</w:t>
            </w:r>
          </w:p>
        </w:tc>
        <w:tc>
          <w:tcPr>
            <w:tcW w:w="37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6</w:t>
            </w:r>
          </w:p>
        </w:tc>
        <w:tc>
          <w:tcPr>
            <w:tcW w:w="393"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456"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6</w:t>
            </w:r>
          </w:p>
        </w:tc>
        <w:tc>
          <w:tcPr>
            <w:tcW w:w="75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3.06 (1.31-7.13) </w:t>
            </w:r>
            <w:r w:rsidR="0087129E" w:rsidRPr="004A71BD">
              <w:rPr>
                <w:rFonts w:ascii="Book Antiqua" w:hAnsi="Book Antiqua"/>
                <w:sz w:val="20"/>
                <w:szCs w:val="20"/>
                <w:vertAlign w:val="superscript"/>
              </w:rPr>
              <w:t>1</w:t>
            </w:r>
          </w:p>
        </w:tc>
        <w:tc>
          <w:tcPr>
            <w:tcW w:w="71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758"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2.80 (1.20-6.52) </w:t>
            </w:r>
            <w:r w:rsidR="0087129E" w:rsidRPr="004A71BD">
              <w:rPr>
                <w:rFonts w:ascii="Book Antiqua" w:hAnsi="Book Antiqua"/>
                <w:sz w:val="20"/>
                <w:szCs w:val="20"/>
                <w:vertAlign w:val="superscript"/>
              </w:rPr>
              <w:t>1</w:t>
            </w:r>
          </w:p>
        </w:tc>
      </w:tr>
      <w:tr w:rsidR="00B9136C" w:rsidRPr="00B977AE" w:rsidTr="00B9136C">
        <w:tc>
          <w:tcPr>
            <w:tcW w:w="861" w:type="pct"/>
            <w:vAlign w:val="center"/>
          </w:tcPr>
          <w:p w:rsidR="00B9136C" w:rsidRPr="004A71BD" w:rsidRDefault="00B9136C" w:rsidP="004D1284">
            <w:pPr>
              <w:spacing w:line="360" w:lineRule="auto"/>
              <w:jc w:val="both"/>
              <w:rPr>
                <w:rFonts w:ascii="Book Antiqua" w:hAnsi="Book Antiqua"/>
                <w:sz w:val="20"/>
              </w:rPr>
            </w:pPr>
          </w:p>
        </w:tc>
        <w:tc>
          <w:tcPr>
            <w:tcW w:w="684" w:type="pct"/>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Caspofungin </w:t>
            </w:r>
          </w:p>
        </w:tc>
        <w:tc>
          <w:tcPr>
            <w:tcW w:w="37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161</w:t>
            </w:r>
          </w:p>
        </w:tc>
        <w:tc>
          <w:tcPr>
            <w:tcW w:w="393"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7</w:t>
            </w:r>
          </w:p>
        </w:tc>
        <w:tc>
          <w:tcPr>
            <w:tcW w:w="456"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168</w:t>
            </w:r>
          </w:p>
        </w:tc>
        <w:tc>
          <w:tcPr>
            <w:tcW w:w="75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7.03 (5.90-7.37) </w:t>
            </w:r>
            <w:r w:rsidR="0087129E" w:rsidRPr="004A71BD">
              <w:rPr>
                <w:rFonts w:ascii="Book Antiqua" w:hAnsi="Book Antiqua"/>
                <w:sz w:val="20"/>
                <w:szCs w:val="20"/>
                <w:vertAlign w:val="superscript"/>
              </w:rPr>
              <w:t>1</w:t>
            </w:r>
          </w:p>
        </w:tc>
        <w:tc>
          <w:tcPr>
            <w:tcW w:w="714"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2.79 (1.32-5.87) </w:t>
            </w:r>
            <w:r w:rsidR="0087129E" w:rsidRPr="004A71BD">
              <w:rPr>
                <w:rFonts w:ascii="Book Antiqua" w:hAnsi="Book Antiqua"/>
                <w:sz w:val="20"/>
                <w:szCs w:val="20"/>
                <w:vertAlign w:val="superscript"/>
              </w:rPr>
              <w:t>1</w:t>
            </w:r>
          </w:p>
        </w:tc>
        <w:tc>
          <w:tcPr>
            <w:tcW w:w="758"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6.78 (5.71-8.05) </w:t>
            </w:r>
            <w:r w:rsidR="0087129E" w:rsidRPr="004A71BD">
              <w:rPr>
                <w:rFonts w:ascii="Book Antiqua" w:hAnsi="Book Antiqua"/>
                <w:sz w:val="20"/>
                <w:szCs w:val="20"/>
                <w:vertAlign w:val="superscript"/>
              </w:rPr>
              <w:t>1</w:t>
            </w:r>
          </w:p>
        </w:tc>
      </w:tr>
      <w:tr w:rsidR="00B9136C" w:rsidRPr="00B977AE" w:rsidTr="00B9136C">
        <w:tc>
          <w:tcPr>
            <w:tcW w:w="861" w:type="pct"/>
            <w:vAlign w:val="center"/>
          </w:tcPr>
          <w:p w:rsidR="00B9136C" w:rsidRPr="004A71BD" w:rsidRDefault="00B9136C" w:rsidP="004D1284">
            <w:pPr>
              <w:spacing w:line="360" w:lineRule="auto"/>
              <w:jc w:val="both"/>
              <w:rPr>
                <w:rFonts w:ascii="Book Antiqua" w:hAnsi="Book Antiqua"/>
                <w:sz w:val="20"/>
              </w:rPr>
            </w:pPr>
          </w:p>
        </w:tc>
        <w:tc>
          <w:tcPr>
            <w:tcW w:w="684" w:type="pct"/>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Micafungin </w:t>
            </w:r>
          </w:p>
        </w:tc>
        <w:tc>
          <w:tcPr>
            <w:tcW w:w="37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48</w:t>
            </w:r>
          </w:p>
        </w:tc>
        <w:tc>
          <w:tcPr>
            <w:tcW w:w="393"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2</w:t>
            </w:r>
          </w:p>
        </w:tc>
        <w:tc>
          <w:tcPr>
            <w:tcW w:w="456"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50</w:t>
            </w:r>
          </w:p>
        </w:tc>
        <w:tc>
          <w:tcPr>
            <w:tcW w:w="757"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6.90 (5.02-9.49) </w:t>
            </w:r>
            <w:r w:rsidR="0087129E" w:rsidRPr="004A71BD">
              <w:rPr>
                <w:rFonts w:ascii="Book Antiqua" w:hAnsi="Book Antiqua"/>
                <w:sz w:val="20"/>
                <w:szCs w:val="20"/>
                <w:vertAlign w:val="superscript"/>
              </w:rPr>
              <w:t>1</w:t>
            </w:r>
          </w:p>
        </w:tc>
        <w:tc>
          <w:tcPr>
            <w:tcW w:w="714"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758" w:type="pct"/>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6.64 (4.86-9.09) </w:t>
            </w:r>
            <w:r w:rsidR="0087129E" w:rsidRPr="004A71BD">
              <w:rPr>
                <w:rFonts w:ascii="Book Antiqua" w:hAnsi="Book Antiqua"/>
                <w:sz w:val="20"/>
                <w:szCs w:val="20"/>
                <w:vertAlign w:val="superscript"/>
              </w:rPr>
              <w:t>1</w:t>
            </w:r>
          </w:p>
        </w:tc>
      </w:tr>
      <w:tr w:rsidR="00B9136C" w:rsidRPr="00B977AE" w:rsidTr="00B9136C">
        <w:tc>
          <w:tcPr>
            <w:tcW w:w="861"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 xml:space="preserve">Anidulafungin </w:t>
            </w:r>
          </w:p>
        </w:tc>
        <w:tc>
          <w:tcPr>
            <w:tcW w:w="37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13</w:t>
            </w:r>
          </w:p>
        </w:tc>
        <w:tc>
          <w:tcPr>
            <w:tcW w:w="393"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w:t>
            </w:r>
          </w:p>
        </w:tc>
        <w:tc>
          <w:tcPr>
            <w:tcW w:w="456"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14</w:t>
            </w:r>
          </w:p>
        </w:tc>
        <w:tc>
          <w:tcPr>
            <w:tcW w:w="75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4.97 (2.75-9.00) </w:t>
            </w:r>
            <w:r w:rsidR="0087129E" w:rsidRPr="004A71BD">
              <w:rPr>
                <w:rFonts w:ascii="Book Antiqua" w:hAnsi="Book Antiqua"/>
                <w:sz w:val="20"/>
                <w:szCs w:val="20"/>
                <w:vertAlign w:val="superscript"/>
              </w:rPr>
              <w:t>1</w:t>
            </w:r>
          </w:p>
        </w:tc>
        <w:tc>
          <w:tcPr>
            <w:tcW w:w="71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758"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4.97 (2.79-8.84) </w:t>
            </w:r>
            <w:r w:rsidR="0087129E" w:rsidRPr="004A71BD">
              <w:rPr>
                <w:rFonts w:ascii="Book Antiqua" w:hAnsi="Book Antiqua"/>
                <w:sz w:val="20"/>
                <w:szCs w:val="20"/>
                <w:vertAlign w:val="superscript"/>
              </w:rPr>
              <w:t>1</w:t>
            </w:r>
          </w:p>
        </w:tc>
      </w:tr>
      <w:tr w:rsidR="002B2664" w:rsidRPr="00B977AE" w:rsidTr="00B9136C">
        <w:tc>
          <w:tcPr>
            <w:tcW w:w="5000" w:type="pct"/>
            <w:gridSpan w:val="8"/>
            <w:tcBorders>
              <w:top w:val="single" w:sz="4" w:space="0" w:color="auto"/>
              <w:bottom w:val="single" w:sz="4" w:space="0" w:color="auto"/>
            </w:tcBorders>
            <w:vAlign w:val="center"/>
          </w:tcPr>
          <w:p w:rsidR="002B2664" w:rsidRPr="004A71BD" w:rsidRDefault="002B2664" w:rsidP="004D1284">
            <w:pPr>
              <w:spacing w:line="360" w:lineRule="auto"/>
              <w:jc w:val="both"/>
              <w:rPr>
                <w:rFonts w:ascii="Book Antiqua" w:hAnsi="Book Antiqua"/>
                <w:sz w:val="20"/>
                <w:szCs w:val="20"/>
                <w:lang w:val="en-US"/>
              </w:rPr>
            </w:pPr>
            <w:proofErr w:type="spellStart"/>
            <w:r w:rsidRPr="004A71BD">
              <w:rPr>
                <w:rFonts w:ascii="Book Antiqua" w:hAnsi="Book Antiqua" w:cs="Arial"/>
                <w:b/>
                <w:sz w:val="20"/>
                <w:szCs w:val="20"/>
                <w:lang w:val="en-US"/>
              </w:rPr>
              <w:t>Antimycotics</w:t>
            </w:r>
            <w:proofErr w:type="spellEnd"/>
            <w:r w:rsidRPr="004A71BD">
              <w:rPr>
                <w:rFonts w:ascii="Book Antiqua" w:hAnsi="Book Antiqua" w:cs="Arial"/>
                <w:b/>
                <w:sz w:val="20"/>
                <w:szCs w:val="20"/>
                <w:lang w:val="en-US"/>
              </w:rPr>
              <w:t xml:space="preserve"> </w:t>
            </w:r>
            <w:r w:rsidR="001A5A0A" w:rsidRPr="004A71BD">
              <w:rPr>
                <w:rFonts w:ascii="Book Antiqua" w:hAnsi="Book Antiqua" w:cs="Arial"/>
                <w:b/>
                <w:sz w:val="20"/>
                <w:szCs w:val="20"/>
                <w:lang w:val="en-US"/>
              </w:rPr>
              <w:t>used for topical indications (</w:t>
            </w:r>
            <w:r w:rsidRPr="004A71BD">
              <w:rPr>
                <w:rFonts w:ascii="Book Antiqua" w:hAnsi="Book Antiqua" w:cs="Arial"/>
                <w:b/>
                <w:sz w:val="20"/>
                <w:szCs w:val="20"/>
                <w:lang w:val="en-US"/>
              </w:rPr>
              <w:t>dermatological</w:t>
            </w:r>
            <w:r w:rsidR="00D45E12" w:rsidRPr="004A71BD">
              <w:rPr>
                <w:rFonts w:ascii="Book Antiqua" w:hAnsi="Book Antiqua" w:cs="Arial"/>
                <w:b/>
                <w:sz w:val="20"/>
                <w:szCs w:val="20"/>
                <w:lang w:val="en-US"/>
              </w:rPr>
              <w:t xml:space="preserve"> use</w:t>
            </w:r>
            <w:r w:rsidR="001A5A0A" w:rsidRPr="004A71BD">
              <w:rPr>
                <w:rFonts w:ascii="Book Antiqua" w:hAnsi="Book Antiqua" w:cs="Arial"/>
                <w:b/>
                <w:sz w:val="20"/>
                <w:szCs w:val="20"/>
                <w:lang w:val="en-US"/>
              </w:rPr>
              <w:t>) with systemic absorption</w:t>
            </w:r>
          </w:p>
        </w:tc>
      </w:tr>
      <w:tr w:rsidR="00B9136C" w:rsidRPr="00B977AE" w:rsidTr="00B9136C">
        <w:tc>
          <w:tcPr>
            <w:tcW w:w="861"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lang w:val="en-US"/>
              </w:rPr>
            </w:pPr>
          </w:p>
        </w:tc>
        <w:tc>
          <w:tcPr>
            <w:tcW w:w="684" w:type="pct"/>
            <w:tcBorders>
              <w:top w:val="single" w:sz="4" w:space="0" w:color="auto"/>
            </w:tcBorders>
            <w:vAlign w:val="center"/>
          </w:tcPr>
          <w:p w:rsidR="00B9136C" w:rsidRPr="004A71BD" w:rsidRDefault="00B9136C" w:rsidP="00DC3229">
            <w:pPr>
              <w:spacing w:line="360" w:lineRule="auto"/>
              <w:jc w:val="both"/>
              <w:rPr>
                <w:rFonts w:ascii="Book Antiqua" w:hAnsi="Book Antiqua"/>
                <w:sz w:val="20"/>
                <w:lang w:eastAsia="zh-CN"/>
              </w:rPr>
            </w:pPr>
            <w:r w:rsidRPr="004A71BD">
              <w:rPr>
                <w:rFonts w:ascii="Book Antiqua" w:hAnsi="Book Antiqua"/>
                <w:sz w:val="20"/>
              </w:rPr>
              <w:t>Griseofulvin</w:t>
            </w:r>
            <w:r w:rsidR="00DC3229" w:rsidRPr="00DC3229">
              <w:rPr>
                <w:rFonts w:ascii="Book Antiqua" w:hAnsi="Book Antiqua" w:hint="eastAsia"/>
                <w:sz w:val="20"/>
                <w:vertAlign w:val="superscript"/>
                <w:lang w:eastAsia="zh-CN"/>
              </w:rPr>
              <w:t>3</w:t>
            </w:r>
          </w:p>
        </w:tc>
        <w:tc>
          <w:tcPr>
            <w:tcW w:w="37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w:t>
            </w:r>
          </w:p>
        </w:tc>
        <w:tc>
          <w:tcPr>
            <w:tcW w:w="393"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456"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w:t>
            </w:r>
          </w:p>
        </w:tc>
        <w:tc>
          <w:tcPr>
            <w:tcW w:w="757"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2.00 (0.62-6.47) </w:t>
            </w:r>
          </w:p>
        </w:tc>
        <w:tc>
          <w:tcPr>
            <w:tcW w:w="714"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w:t>
            </w:r>
          </w:p>
        </w:tc>
        <w:tc>
          <w:tcPr>
            <w:tcW w:w="758" w:type="pct"/>
            <w:tcBorders>
              <w:top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1.83 (0.57-5.92)</w:t>
            </w:r>
          </w:p>
        </w:tc>
      </w:tr>
      <w:tr w:rsidR="00B9136C" w:rsidRPr="00B977AE" w:rsidTr="00B9136C">
        <w:tc>
          <w:tcPr>
            <w:tcW w:w="861"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p>
        </w:tc>
        <w:tc>
          <w:tcPr>
            <w:tcW w:w="68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rPr>
            </w:pPr>
            <w:r w:rsidRPr="004A71BD">
              <w:rPr>
                <w:rFonts w:ascii="Book Antiqua" w:hAnsi="Book Antiqua"/>
                <w:sz w:val="20"/>
              </w:rPr>
              <w:t>Terbinafine</w:t>
            </w:r>
            <w:r w:rsidR="00DC3229" w:rsidRPr="00DC3229">
              <w:rPr>
                <w:rFonts w:ascii="Book Antiqua" w:hAnsi="Book Antiqua" w:hint="eastAsia"/>
                <w:sz w:val="20"/>
                <w:vertAlign w:val="superscript"/>
                <w:lang w:eastAsia="zh-CN"/>
              </w:rPr>
              <w:t>3</w:t>
            </w:r>
          </w:p>
        </w:tc>
        <w:tc>
          <w:tcPr>
            <w:tcW w:w="37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395</w:t>
            </w:r>
          </w:p>
        </w:tc>
        <w:tc>
          <w:tcPr>
            <w:tcW w:w="393"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27</w:t>
            </w:r>
          </w:p>
        </w:tc>
        <w:tc>
          <w:tcPr>
            <w:tcW w:w="456"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422</w:t>
            </w:r>
          </w:p>
        </w:tc>
        <w:tc>
          <w:tcPr>
            <w:tcW w:w="757"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5.11 (4.58-5.69) </w:t>
            </w:r>
            <w:r w:rsidR="0087129E" w:rsidRPr="004A71BD">
              <w:rPr>
                <w:rFonts w:ascii="Book Antiqua" w:hAnsi="Book Antiqua"/>
                <w:sz w:val="20"/>
                <w:szCs w:val="20"/>
                <w:vertAlign w:val="superscript"/>
              </w:rPr>
              <w:t>1</w:t>
            </w:r>
          </w:p>
        </w:tc>
        <w:tc>
          <w:tcPr>
            <w:tcW w:w="714"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3.39 (2.32-4.96) </w:t>
            </w:r>
            <w:r w:rsidR="0087129E" w:rsidRPr="004A71BD">
              <w:rPr>
                <w:rFonts w:ascii="Book Antiqua" w:hAnsi="Book Antiqua"/>
                <w:sz w:val="20"/>
                <w:szCs w:val="20"/>
                <w:vertAlign w:val="superscript"/>
              </w:rPr>
              <w:t>1</w:t>
            </w:r>
          </w:p>
        </w:tc>
        <w:tc>
          <w:tcPr>
            <w:tcW w:w="758" w:type="pct"/>
            <w:tcBorders>
              <w:bottom w:val="single" w:sz="4" w:space="0" w:color="auto"/>
            </w:tcBorders>
            <w:vAlign w:val="center"/>
          </w:tcPr>
          <w:p w:rsidR="00B9136C" w:rsidRPr="004A71BD" w:rsidRDefault="00B9136C" w:rsidP="004D1284">
            <w:pPr>
              <w:spacing w:line="360" w:lineRule="auto"/>
              <w:jc w:val="both"/>
              <w:rPr>
                <w:rFonts w:ascii="Book Antiqua" w:hAnsi="Book Antiqua"/>
                <w:sz w:val="20"/>
                <w:szCs w:val="20"/>
              </w:rPr>
            </w:pPr>
            <w:r w:rsidRPr="004A71BD">
              <w:rPr>
                <w:rFonts w:ascii="Book Antiqua" w:hAnsi="Book Antiqua"/>
                <w:sz w:val="20"/>
                <w:szCs w:val="20"/>
              </w:rPr>
              <w:t xml:space="preserve">5.06 (4.55-5.62) </w:t>
            </w:r>
            <w:r w:rsidR="0087129E" w:rsidRPr="004A71BD">
              <w:rPr>
                <w:rFonts w:ascii="Book Antiqua" w:hAnsi="Book Antiqua"/>
                <w:sz w:val="20"/>
                <w:szCs w:val="20"/>
                <w:vertAlign w:val="superscript"/>
              </w:rPr>
              <w:t>1</w:t>
            </w:r>
          </w:p>
        </w:tc>
      </w:tr>
      <w:tr w:rsidR="002B2664" w:rsidRPr="00B977AE" w:rsidTr="00B9136C">
        <w:tc>
          <w:tcPr>
            <w:tcW w:w="5000" w:type="pct"/>
            <w:gridSpan w:val="8"/>
            <w:tcBorders>
              <w:top w:val="single" w:sz="4" w:space="0" w:color="auto"/>
              <w:bottom w:val="single" w:sz="4" w:space="0" w:color="auto"/>
            </w:tcBorders>
            <w:vAlign w:val="center"/>
          </w:tcPr>
          <w:p w:rsidR="002B2664" w:rsidRPr="004A71BD" w:rsidRDefault="002B2664" w:rsidP="004D1284">
            <w:pPr>
              <w:spacing w:line="360" w:lineRule="auto"/>
              <w:jc w:val="both"/>
              <w:rPr>
                <w:rFonts w:ascii="Book Antiqua" w:hAnsi="Book Antiqua"/>
                <w:sz w:val="20"/>
                <w:szCs w:val="20"/>
                <w:lang w:val="en-US"/>
              </w:rPr>
            </w:pPr>
            <w:proofErr w:type="spellStart"/>
            <w:r w:rsidRPr="004A71BD">
              <w:rPr>
                <w:rFonts w:ascii="Book Antiqua" w:hAnsi="Book Antiqua" w:cs="Arial"/>
                <w:b/>
                <w:sz w:val="20"/>
                <w:szCs w:val="20"/>
                <w:lang w:val="en-US"/>
              </w:rPr>
              <w:t>Antimycotics</w:t>
            </w:r>
            <w:proofErr w:type="spellEnd"/>
            <w:r w:rsidRPr="004A71BD">
              <w:rPr>
                <w:rFonts w:ascii="Book Antiqua" w:hAnsi="Book Antiqua" w:cs="Arial"/>
                <w:b/>
                <w:sz w:val="20"/>
                <w:szCs w:val="20"/>
                <w:lang w:val="en-US"/>
              </w:rPr>
              <w:t xml:space="preserve"> for topical use with potential systemic absorption (</w:t>
            </w:r>
            <w:r w:rsidR="0004797C" w:rsidRPr="0004797C">
              <w:rPr>
                <w:rFonts w:ascii="Book Antiqua" w:hAnsi="Book Antiqua" w:cs="Arial"/>
                <w:b/>
                <w:i/>
                <w:sz w:val="20"/>
                <w:szCs w:val="20"/>
                <w:lang w:val="en-US"/>
              </w:rPr>
              <w:t>e.g</w:t>
            </w:r>
            <w:r w:rsidRPr="004A71BD">
              <w:rPr>
                <w:rFonts w:ascii="Book Antiqua" w:hAnsi="Book Antiqua" w:cs="Arial"/>
                <w:b/>
                <w:sz w:val="20"/>
                <w:szCs w:val="20"/>
                <w:lang w:val="en-US"/>
              </w:rPr>
              <w:t xml:space="preserve">., gynecological </w:t>
            </w:r>
            <w:r w:rsidR="00182F60" w:rsidRPr="004A71BD">
              <w:rPr>
                <w:rFonts w:ascii="Book Antiqua" w:hAnsi="Book Antiqua" w:cs="Arial"/>
                <w:b/>
                <w:sz w:val="20"/>
                <w:szCs w:val="20"/>
                <w:lang w:val="en-US"/>
              </w:rPr>
              <w:t xml:space="preserve">and intestinal </w:t>
            </w:r>
            <w:r w:rsidRPr="004A71BD">
              <w:rPr>
                <w:rFonts w:ascii="Book Antiqua" w:hAnsi="Book Antiqua" w:cs="Arial"/>
                <w:b/>
                <w:sz w:val="20"/>
                <w:szCs w:val="20"/>
                <w:lang w:val="en-US"/>
              </w:rPr>
              <w:t>use)</w:t>
            </w:r>
          </w:p>
        </w:tc>
      </w:tr>
      <w:tr w:rsidR="00B9136C" w:rsidRPr="00B977AE" w:rsidTr="00B9136C">
        <w:tc>
          <w:tcPr>
            <w:tcW w:w="861"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lang w:val="en-US"/>
              </w:rPr>
            </w:pPr>
          </w:p>
        </w:tc>
        <w:tc>
          <w:tcPr>
            <w:tcW w:w="684" w:type="pct"/>
            <w:tcBorders>
              <w:top w:val="single" w:sz="4" w:space="0" w:color="auto"/>
            </w:tcBorders>
          </w:tcPr>
          <w:p w:rsidR="00B9136C" w:rsidRPr="00B977AE" w:rsidRDefault="00047002" w:rsidP="004D1284">
            <w:pPr>
              <w:spacing w:line="360" w:lineRule="auto"/>
              <w:jc w:val="both"/>
              <w:rPr>
                <w:rFonts w:ascii="Book Antiqua" w:hAnsi="Book Antiqua"/>
                <w:sz w:val="20"/>
                <w:szCs w:val="20"/>
              </w:rPr>
            </w:pPr>
            <w:r w:rsidRPr="00B977AE">
              <w:rPr>
                <w:rFonts w:ascii="Book Antiqua" w:hAnsi="Book Antiqua"/>
                <w:sz w:val="20"/>
                <w:szCs w:val="20"/>
              </w:rPr>
              <w:t>N</w:t>
            </w:r>
            <w:r w:rsidR="00B9136C" w:rsidRPr="00B977AE">
              <w:rPr>
                <w:rFonts w:ascii="Book Antiqua" w:hAnsi="Book Antiqua"/>
                <w:sz w:val="20"/>
                <w:szCs w:val="20"/>
              </w:rPr>
              <w:t>ystatin</w:t>
            </w:r>
          </w:p>
        </w:tc>
        <w:tc>
          <w:tcPr>
            <w:tcW w:w="377"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12</w:t>
            </w:r>
          </w:p>
        </w:tc>
        <w:tc>
          <w:tcPr>
            <w:tcW w:w="393"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w:t>
            </w:r>
          </w:p>
        </w:tc>
        <w:tc>
          <w:tcPr>
            <w:tcW w:w="456"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12</w:t>
            </w:r>
          </w:p>
        </w:tc>
        <w:tc>
          <w:tcPr>
            <w:tcW w:w="757"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 xml:space="preserve">2.01 (1.12-3.62) </w:t>
            </w:r>
            <w:r w:rsidR="0087129E" w:rsidRPr="0087129E">
              <w:rPr>
                <w:rFonts w:ascii="Book Antiqua" w:hAnsi="Book Antiqua"/>
                <w:sz w:val="20"/>
                <w:szCs w:val="20"/>
                <w:vertAlign w:val="superscript"/>
              </w:rPr>
              <w:t>1</w:t>
            </w:r>
          </w:p>
        </w:tc>
        <w:tc>
          <w:tcPr>
            <w:tcW w:w="714"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w:t>
            </w:r>
          </w:p>
        </w:tc>
        <w:tc>
          <w:tcPr>
            <w:tcW w:w="758" w:type="pct"/>
            <w:tcBorders>
              <w:top w:val="single" w:sz="4" w:space="0" w:color="auto"/>
            </w:tcBorders>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 xml:space="preserve">1.84 (1.02-3.31) </w:t>
            </w:r>
            <w:r w:rsidR="0087129E" w:rsidRPr="0087129E">
              <w:rPr>
                <w:rFonts w:ascii="Book Antiqua" w:hAnsi="Book Antiqua"/>
                <w:sz w:val="20"/>
                <w:szCs w:val="20"/>
                <w:vertAlign w:val="superscript"/>
              </w:rPr>
              <w:t>1</w:t>
            </w:r>
          </w:p>
        </w:tc>
      </w:tr>
      <w:tr w:rsidR="00B9136C" w:rsidRPr="00B977AE" w:rsidTr="00B9136C">
        <w:tc>
          <w:tcPr>
            <w:tcW w:w="861" w:type="pct"/>
            <w:vAlign w:val="center"/>
          </w:tcPr>
          <w:p w:rsidR="00B9136C" w:rsidRPr="00B977AE" w:rsidRDefault="00B9136C" w:rsidP="004D1284">
            <w:pPr>
              <w:spacing w:line="360" w:lineRule="auto"/>
              <w:jc w:val="both"/>
              <w:rPr>
                <w:rFonts w:ascii="Book Antiqua" w:hAnsi="Book Antiqua"/>
                <w:sz w:val="20"/>
                <w:szCs w:val="20"/>
                <w:lang w:val="en-US"/>
              </w:rPr>
            </w:pPr>
          </w:p>
        </w:tc>
        <w:tc>
          <w:tcPr>
            <w:tcW w:w="684" w:type="pct"/>
          </w:tcPr>
          <w:p w:rsidR="00B9136C" w:rsidRPr="00B977AE" w:rsidRDefault="00047002" w:rsidP="004D1284">
            <w:pPr>
              <w:spacing w:line="360" w:lineRule="auto"/>
              <w:jc w:val="both"/>
              <w:rPr>
                <w:rFonts w:ascii="Book Antiqua" w:hAnsi="Book Antiqua"/>
                <w:sz w:val="20"/>
                <w:szCs w:val="20"/>
              </w:rPr>
            </w:pPr>
            <w:r w:rsidRPr="00B977AE">
              <w:rPr>
                <w:rFonts w:ascii="Book Antiqua" w:hAnsi="Book Antiqua"/>
                <w:sz w:val="20"/>
                <w:szCs w:val="20"/>
              </w:rPr>
              <w:t>E</w:t>
            </w:r>
            <w:r w:rsidR="00B9136C" w:rsidRPr="00B977AE">
              <w:rPr>
                <w:rFonts w:ascii="Book Antiqua" w:hAnsi="Book Antiqua"/>
                <w:sz w:val="20"/>
                <w:szCs w:val="20"/>
              </w:rPr>
              <w:t>conazole</w:t>
            </w:r>
          </w:p>
        </w:tc>
        <w:tc>
          <w:tcPr>
            <w:tcW w:w="377"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6</w:t>
            </w:r>
          </w:p>
        </w:tc>
        <w:tc>
          <w:tcPr>
            <w:tcW w:w="393"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w:t>
            </w:r>
          </w:p>
        </w:tc>
        <w:tc>
          <w:tcPr>
            <w:tcW w:w="456"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6</w:t>
            </w:r>
          </w:p>
        </w:tc>
        <w:tc>
          <w:tcPr>
            <w:tcW w:w="757"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 xml:space="preserve">3.25 (1.39-7.60) </w:t>
            </w:r>
            <w:r w:rsidR="0087129E" w:rsidRPr="0087129E">
              <w:rPr>
                <w:rFonts w:ascii="Book Antiqua" w:hAnsi="Book Antiqua"/>
                <w:sz w:val="20"/>
                <w:szCs w:val="20"/>
                <w:vertAlign w:val="superscript"/>
              </w:rPr>
              <w:t>1</w:t>
            </w:r>
          </w:p>
        </w:tc>
        <w:tc>
          <w:tcPr>
            <w:tcW w:w="714"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w:t>
            </w:r>
          </w:p>
        </w:tc>
        <w:tc>
          <w:tcPr>
            <w:tcW w:w="758"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 xml:space="preserve">2.97 (1.27-6.94) </w:t>
            </w:r>
            <w:r w:rsidR="0087129E" w:rsidRPr="0087129E">
              <w:rPr>
                <w:rFonts w:ascii="Book Antiqua" w:hAnsi="Book Antiqua"/>
                <w:sz w:val="20"/>
                <w:szCs w:val="20"/>
                <w:vertAlign w:val="superscript"/>
              </w:rPr>
              <w:t>1</w:t>
            </w:r>
          </w:p>
        </w:tc>
      </w:tr>
      <w:tr w:rsidR="00B9136C" w:rsidRPr="00B977AE" w:rsidTr="00B9136C">
        <w:tc>
          <w:tcPr>
            <w:tcW w:w="861" w:type="pct"/>
            <w:vAlign w:val="center"/>
          </w:tcPr>
          <w:p w:rsidR="00B9136C" w:rsidRPr="00B977AE" w:rsidRDefault="00B9136C" w:rsidP="004D1284">
            <w:pPr>
              <w:spacing w:line="360" w:lineRule="auto"/>
              <w:jc w:val="both"/>
              <w:rPr>
                <w:rFonts w:ascii="Book Antiqua" w:hAnsi="Book Antiqua"/>
                <w:sz w:val="20"/>
                <w:szCs w:val="20"/>
                <w:lang w:val="en-US"/>
              </w:rPr>
            </w:pPr>
          </w:p>
        </w:tc>
        <w:tc>
          <w:tcPr>
            <w:tcW w:w="684" w:type="pct"/>
          </w:tcPr>
          <w:p w:rsidR="00B9136C" w:rsidRPr="00B977AE" w:rsidRDefault="00047002" w:rsidP="004D1284">
            <w:pPr>
              <w:spacing w:line="360" w:lineRule="auto"/>
              <w:jc w:val="both"/>
              <w:rPr>
                <w:rFonts w:ascii="Book Antiqua" w:hAnsi="Book Antiqua"/>
                <w:sz w:val="20"/>
                <w:szCs w:val="20"/>
              </w:rPr>
            </w:pPr>
            <w:r w:rsidRPr="00B977AE">
              <w:rPr>
                <w:rFonts w:ascii="Book Antiqua" w:hAnsi="Book Antiqua"/>
                <w:sz w:val="20"/>
                <w:szCs w:val="20"/>
              </w:rPr>
              <w:t>C</w:t>
            </w:r>
            <w:r w:rsidR="00B9136C" w:rsidRPr="00B977AE">
              <w:rPr>
                <w:rFonts w:ascii="Book Antiqua" w:hAnsi="Book Antiqua"/>
                <w:sz w:val="20"/>
                <w:szCs w:val="20"/>
              </w:rPr>
              <w:t>iclopirox</w:t>
            </w:r>
          </w:p>
        </w:tc>
        <w:tc>
          <w:tcPr>
            <w:tcW w:w="377"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3</w:t>
            </w:r>
          </w:p>
        </w:tc>
        <w:tc>
          <w:tcPr>
            <w:tcW w:w="393"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w:t>
            </w:r>
          </w:p>
        </w:tc>
        <w:tc>
          <w:tcPr>
            <w:tcW w:w="456"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3</w:t>
            </w:r>
          </w:p>
        </w:tc>
        <w:tc>
          <w:tcPr>
            <w:tcW w:w="757"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 xml:space="preserve">3.39 (1.02-11.30) </w:t>
            </w:r>
            <w:r w:rsidR="0087129E" w:rsidRPr="0087129E">
              <w:rPr>
                <w:rFonts w:ascii="Book Antiqua" w:hAnsi="Book Antiqua"/>
                <w:sz w:val="20"/>
                <w:szCs w:val="20"/>
                <w:vertAlign w:val="superscript"/>
              </w:rPr>
              <w:t>1</w:t>
            </w:r>
          </w:p>
        </w:tc>
        <w:tc>
          <w:tcPr>
            <w:tcW w:w="714"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w:t>
            </w:r>
          </w:p>
        </w:tc>
        <w:tc>
          <w:tcPr>
            <w:tcW w:w="758" w:type="pct"/>
            <w:vAlign w:val="center"/>
          </w:tcPr>
          <w:p w:rsidR="00B9136C" w:rsidRPr="00B977AE" w:rsidRDefault="00B9136C" w:rsidP="004D1284">
            <w:pPr>
              <w:spacing w:line="360" w:lineRule="auto"/>
              <w:jc w:val="both"/>
              <w:rPr>
                <w:rFonts w:ascii="Book Antiqua" w:hAnsi="Book Antiqua"/>
                <w:sz w:val="20"/>
                <w:szCs w:val="20"/>
              </w:rPr>
            </w:pPr>
            <w:r w:rsidRPr="00B977AE">
              <w:rPr>
                <w:rFonts w:ascii="Book Antiqua" w:hAnsi="Book Antiqua"/>
                <w:sz w:val="20"/>
                <w:szCs w:val="20"/>
              </w:rPr>
              <w:t>3.10 (0.93-10.33)</w:t>
            </w:r>
          </w:p>
        </w:tc>
      </w:tr>
    </w:tbl>
    <w:p w:rsidR="007606D2" w:rsidRPr="006951EE" w:rsidRDefault="006951EE" w:rsidP="004D1284">
      <w:pPr>
        <w:autoSpaceDE w:val="0"/>
        <w:autoSpaceDN w:val="0"/>
        <w:adjustRightInd w:val="0"/>
        <w:spacing w:line="360" w:lineRule="auto"/>
        <w:jc w:val="both"/>
        <w:rPr>
          <w:rFonts w:ascii="Book Antiqua" w:hAnsi="Book Antiqua"/>
          <w:b/>
          <w:sz w:val="24"/>
          <w:szCs w:val="24"/>
          <w:lang w:val="en-US"/>
        </w:rPr>
      </w:pPr>
      <w:r w:rsidRPr="006951EE">
        <w:rPr>
          <w:rFonts w:ascii="Book Antiqua" w:hAnsi="Book Antiqua"/>
          <w:sz w:val="24"/>
          <w:szCs w:val="24"/>
          <w:lang w:val="en-US"/>
        </w:rPr>
        <w:t>Only agents with at least three cases for the event of interest are shown (</w:t>
      </w:r>
      <w:r w:rsidRPr="006951EE">
        <w:rPr>
          <w:rFonts w:ascii="Book Antiqua" w:hAnsi="Book Antiqua"/>
          <w:i/>
          <w:sz w:val="24"/>
          <w:szCs w:val="24"/>
          <w:lang w:val="en-US"/>
        </w:rPr>
        <w:t>i.e.</w:t>
      </w:r>
      <w:r w:rsidRPr="006951EE">
        <w:rPr>
          <w:rFonts w:ascii="Book Antiqua" w:hAnsi="Book Antiqua"/>
          <w:sz w:val="24"/>
          <w:szCs w:val="24"/>
          <w:lang w:val="en-US"/>
        </w:rPr>
        <w:t>, those for which disproportionality can be calculated)</w:t>
      </w:r>
      <w:r w:rsidRPr="006951EE">
        <w:rPr>
          <w:rFonts w:ascii="Book Antiqua" w:hAnsi="Book Antiqua" w:hint="eastAsia"/>
          <w:sz w:val="24"/>
          <w:szCs w:val="24"/>
          <w:lang w:val="en-US" w:eastAsia="zh-CN"/>
        </w:rPr>
        <w:t xml:space="preserve">. </w:t>
      </w:r>
      <w:proofErr w:type="gramStart"/>
      <w:r w:rsidR="0087129E" w:rsidRPr="006951EE">
        <w:rPr>
          <w:rFonts w:ascii="Book Antiqua" w:hAnsi="Book Antiqua"/>
          <w:sz w:val="24"/>
          <w:szCs w:val="24"/>
          <w:vertAlign w:val="superscript"/>
          <w:lang w:val="en-US"/>
        </w:rPr>
        <w:t>1</w:t>
      </w:r>
      <w:r w:rsidR="00DC3229" w:rsidRPr="006951EE">
        <w:rPr>
          <w:rFonts w:ascii="Book Antiqua" w:hAnsi="Book Antiqua"/>
          <w:sz w:val="24"/>
          <w:szCs w:val="24"/>
          <w:lang w:val="en-US"/>
        </w:rPr>
        <w:t>S</w:t>
      </w:r>
      <w:r w:rsidR="0021135F" w:rsidRPr="006951EE">
        <w:rPr>
          <w:rFonts w:ascii="Book Antiqua" w:hAnsi="Book Antiqua"/>
          <w:sz w:val="24"/>
          <w:szCs w:val="24"/>
          <w:lang w:val="en-US"/>
        </w:rPr>
        <w:t>tatistically significant disproportionality (Lower Limit 95%CI</w:t>
      </w:r>
      <w:r>
        <w:rPr>
          <w:rFonts w:ascii="Book Antiqua" w:hAnsi="Book Antiqua" w:hint="eastAsia"/>
          <w:sz w:val="24"/>
          <w:szCs w:val="24"/>
          <w:lang w:val="en-US" w:eastAsia="zh-CN"/>
        </w:rPr>
        <w:t xml:space="preserve"> </w:t>
      </w:r>
      <w:r w:rsidR="0021135F" w:rsidRPr="006951EE">
        <w:rPr>
          <w:rFonts w:ascii="Book Antiqua" w:hAnsi="Book Antiqua"/>
          <w:sz w:val="24"/>
          <w:szCs w:val="24"/>
          <w:lang w:val="en-US"/>
        </w:rPr>
        <w:t>&gt;</w:t>
      </w:r>
      <w:r>
        <w:rPr>
          <w:rFonts w:ascii="Book Antiqua" w:hAnsi="Book Antiqua" w:hint="eastAsia"/>
          <w:sz w:val="24"/>
          <w:szCs w:val="24"/>
          <w:lang w:val="en-US" w:eastAsia="zh-CN"/>
        </w:rPr>
        <w:t xml:space="preserve"> </w:t>
      </w:r>
      <w:r w:rsidR="0021135F" w:rsidRPr="006951EE">
        <w:rPr>
          <w:rFonts w:ascii="Book Antiqua" w:hAnsi="Book Antiqua"/>
          <w:sz w:val="24"/>
          <w:szCs w:val="24"/>
          <w:lang w:val="en-US"/>
        </w:rPr>
        <w:t>1)</w:t>
      </w:r>
      <w:r w:rsidR="004E2040">
        <w:rPr>
          <w:rFonts w:ascii="Book Antiqua" w:hAnsi="Book Antiqua" w:hint="eastAsia"/>
          <w:sz w:val="24"/>
          <w:szCs w:val="24"/>
          <w:lang w:val="en-US" w:eastAsia="zh-CN"/>
        </w:rPr>
        <w:t>;</w:t>
      </w:r>
      <w:r>
        <w:rPr>
          <w:rFonts w:ascii="Book Antiqua" w:hAnsi="Book Antiqua" w:hint="eastAsia"/>
          <w:sz w:val="24"/>
          <w:szCs w:val="24"/>
          <w:lang w:val="en-US" w:eastAsia="zh-CN"/>
        </w:rPr>
        <w:t xml:space="preserve"> </w:t>
      </w:r>
      <w:r w:rsidR="00DC3229" w:rsidRPr="00DC3229">
        <w:rPr>
          <w:rFonts w:ascii="Book Antiqua" w:hAnsi="Book Antiqua"/>
          <w:sz w:val="24"/>
          <w:szCs w:val="24"/>
          <w:vertAlign w:val="superscript"/>
          <w:lang w:val="en-US"/>
        </w:rPr>
        <w:t>2</w:t>
      </w:r>
      <w:r w:rsidR="004E2040" w:rsidRPr="006951EE">
        <w:rPr>
          <w:rFonts w:ascii="Book Antiqua" w:hAnsi="Book Antiqua"/>
          <w:sz w:val="24"/>
          <w:szCs w:val="24"/>
          <w:lang w:val="en-US"/>
        </w:rPr>
        <w:t>F</w:t>
      </w:r>
      <w:r w:rsidR="002B2664" w:rsidRPr="006951EE">
        <w:rPr>
          <w:rFonts w:ascii="Book Antiqua" w:hAnsi="Book Antiqua"/>
          <w:sz w:val="24"/>
          <w:szCs w:val="24"/>
          <w:lang w:val="en-US"/>
        </w:rPr>
        <w:t>req</w:t>
      </w:r>
      <w:r w:rsidR="004E2040">
        <w:rPr>
          <w:rFonts w:ascii="Book Antiqua" w:hAnsi="Book Antiqua"/>
          <w:sz w:val="24"/>
          <w:szCs w:val="24"/>
          <w:lang w:val="en-US"/>
        </w:rPr>
        <w:t>uent topical use</w:t>
      </w:r>
      <w:r w:rsidR="004E2040">
        <w:rPr>
          <w:rFonts w:ascii="Book Antiqua" w:hAnsi="Book Antiqua" w:hint="eastAsia"/>
          <w:sz w:val="24"/>
          <w:szCs w:val="24"/>
          <w:lang w:val="en-US" w:eastAsia="zh-CN"/>
        </w:rPr>
        <w:t xml:space="preserve">; </w:t>
      </w:r>
      <w:r w:rsidR="004E2040" w:rsidRPr="00DC3229">
        <w:rPr>
          <w:rFonts w:ascii="Book Antiqua" w:hAnsi="Book Antiqua" w:hint="eastAsia"/>
          <w:sz w:val="20"/>
          <w:vertAlign w:val="superscript"/>
          <w:lang w:eastAsia="zh-CN"/>
        </w:rPr>
        <w:t>3</w:t>
      </w:r>
      <w:r w:rsidR="004E2040" w:rsidRPr="006951EE">
        <w:rPr>
          <w:rFonts w:ascii="Book Antiqua" w:hAnsi="Book Antiqua" w:cs="Arial"/>
          <w:sz w:val="24"/>
          <w:szCs w:val="24"/>
          <w:lang w:val="en-US"/>
        </w:rPr>
        <w:t>Also topical use.</w:t>
      </w:r>
      <w:proofErr w:type="gramEnd"/>
      <w:r w:rsidR="0099050F">
        <w:rPr>
          <w:rFonts w:ascii="Book Antiqua" w:hAnsi="Book Antiqua" w:cs="Arial" w:hint="eastAsia"/>
          <w:sz w:val="24"/>
          <w:szCs w:val="24"/>
          <w:lang w:val="en-US" w:eastAsia="zh-CN"/>
        </w:rPr>
        <w:t xml:space="preserve"> </w:t>
      </w:r>
      <w:r w:rsidR="00F86E83" w:rsidRPr="006951EE">
        <w:rPr>
          <w:rFonts w:ascii="Book Antiqua" w:hAnsi="Book Antiqua"/>
          <w:sz w:val="24"/>
          <w:szCs w:val="24"/>
          <w:lang w:val="en-US"/>
        </w:rPr>
        <w:t xml:space="preserve">ALF: Acute </w:t>
      </w:r>
      <w:r w:rsidR="0099050F" w:rsidRPr="006951EE">
        <w:rPr>
          <w:rFonts w:ascii="Book Antiqua" w:hAnsi="Book Antiqua"/>
          <w:sz w:val="24"/>
          <w:szCs w:val="24"/>
          <w:lang w:val="en-US"/>
        </w:rPr>
        <w:t>liver f</w:t>
      </w:r>
      <w:r w:rsidR="00F86E83" w:rsidRPr="006951EE">
        <w:rPr>
          <w:rFonts w:ascii="Book Antiqua" w:hAnsi="Book Antiqua"/>
          <w:sz w:val="24"/>
          <w:szCs w:val="24"/>
          <w:lang w:val="en-US"/>
        </w:rPr>
        <w:t>ailure; L</w:t>
      </w:r>
      <w:r w:rsidR="00B9136C" w:rsidRPr="006951EE">
        <w:rPr>
          <w:rFonts w:ascii="Book Antiqua" w:hAnsi="Book Antiqua"/>
          <w:sz w:val="24"/>
          <w:szCs w:val="24"/>
          <w:lang w:val="en-US"/>
        </w:rPr>
        <w:t>I</w:t>
      </w:r>
      <w:r w:rsidR="00F86E83" w:rsidRPr="006951EE">
        <w:rPr>
          <w:rFonts w:ascii="Book Antiqua" w:hAnsi="Book Antiqua"/>
          <w:sz w:val="24"/>
          <w:szCs w:val="24"/>
          <w:lang w:val="en-US"/>
        </w:rPr>
        <w:t xml:space="preserve">: Liver </w:t>
      </w:r>
      <w:r w:rsidR="0099050F" w:rsidRPr="006951EE">
        <w:rPr>
          <w:rFonts w:ascii="Book Antiqua" w:hAnsi="Book Antiqua"/>
          <w:sz w:val="24"/>
          <w:szCs w:val="24"/>
          <w:lang w:val="en-US"/>
        </w:rPr>
        <w:t>i</w:t>
      </w:r>
      <w:r w:rsidR="00B9136C" w:rsidRPr="006951EE">
        <w:rPr>
          <w:rFonts w:ascii="Book Antiqua" w:hAnsi="Book Antiqua"/>
          <w:sz w:val="24"/>
          <w:szCs w:val="24"/>
          <w:lang w:val="en-US"/>
        </w:rPr>
        <w:t>njury</w:t>
      </w:r>
      <w:r w:rsidR="00F86E83" w:rsidRPr="006951EE">
        <w:rPr>
          <w:rFonts w:ascii="Book Antiqua" w:hAnsi="Book Antiqua"/>
          <w:sz w:val="24"/>
          <w:szCs w:val="24"/>
          <w:lang w:val="en-US"/>
        </w:rPr>
        <w:t>; OL</w:t>
      </w:r>
      <w:r w:rsidR="00B9136C" w:rsidRPr="006951EE">
        <w:rPr>
          <w:rFonts w:ascii="Book Antiqua" w:hAnsi="Book Antiqua"/>
          <w:sz w:val="24"/>
          <w:szCs w:val="24"/>
          <w:lang w:val="en-US"/>
        </w:rPr>
        <w:t>I</w:t>
      </w:r>
      <w:r w:rsidR="00F86E83" w:rsidRPr="006951EE">
        <w:rPr>
          <w:rFonts w:ascii="Book Antiqua" w:hAnsi="Book Antiqua"/>
          <w:sz w:val="24"/>
          <w:szCs w:val="24"/>
          <w:lang w:val="en-US"/>
        </w:rPr>
        <w:t xml:space="preserve">: Overall </w:t>
      </w:r>
      <w:r w:rsidR="0099050F" w:rsidRPr="006951EE">
        <w:rPr>
          <w:rFonts w:ascii="Book Antiqua" w:hAnsi="Book Antiqua"/>
          <w:sz w:val="24"/>
          <w:szCs w:val="24"/>
          <w:lang w:val="en-US"/>
        </w:rPr>
        <w:t>liver i</w:t>
      </w:r>
      <w:r w:rsidR="00B9136C" w:rsidRPr="006951EE">
        <w:rPr>
          <w:rFonts w:ascii="Book Antiqua" w:hAnsi="Book Antiqua"/>
          <w:sz w:val="24"/>
          <w:szCs w:val="24"/>
          <w:lang w:val="en-US"/>
        </w:rPr>
        <w:t>njury</w:t>
      </w:r>
      <w:r w:rsidR="00F86E83" w:rsidRPr="006951EE">
        <w:rPr>
          <w:rFonts w:ascii="Book Antiqua" w:hAnsi="Book Antiqua"/>
          <w:sz w:val="24"/>
          <w:szCs w:val="24"/>
          <w:lang w:val="en-US"/>
        </w:rPr>
        <w:t>.</w:t>
      </w:r>
      <w:r w:rsidR="007606D2" w:rsidRPr="006951EE">
        <w:rPr>
          <w:rFonts w:ascii="Book Antiqua" w:hAnsi="Book Antiqua"/>
          <w:b/>
          <w:sz w:val="24"/>
          <w:szCs w:val="24"/>
          <w:lang w:val="en-US"/>
        </w:rPr>
        <w:br w:type="page"/>
      </w:r>
    </w:p>
    <w:p w:rsidR="005D762C" w:rsidRPr="006951EE" w:rsidRDefault="005D762C" w:rsidP="004D1284">
      <w:pPr>
        <w:spacing w:line="360" w:lineRule="auto"/>
        <w:jc w:val="both"/>
        <w:rPr>
          <w:rFonts w:ascii="Book Antiqua" w:hAnsi="Book Antiqua"/>
          <w:b/>
          <w:sz w:val="24"/>
          <w:szCs w:val="24"/>
          <w:lang w:val="en-US"/>
        </w:rPr>
        <w:sectPr w:rsidR="005D762C" w:rsidRPr="006951EE" w:rsidSect="003C278E">
          <w:footerReference w:type="default" r:id="rId13"/>
          <w:pgSz w:w="16838" w:h="11906" w:orient="landscape"/>
          <w:pgMar w:top="1134" w:right="1417" w:bottom="1134" w:left="1134" w:header="708" w:footer="708" w:gutter="0"/>
          <w:cols w:space="708"/>
          <w:docGrid w:linePitch="360"/>
        </w:sectPr>
      </w:pPr>
    </w:p>
    <w:p w:rsidR="00E66B42" w:rsidRPr="00B977AE" w:rsidRDefault="00E66B42" w:rsidP="004D1284">
      <w:pPr>
        <w:spacing w:line="360" w:lineRule="auto"/>
        <w:jc w:val="both"/>
        <w:rPr>
          <w:rFonts w:ascii="Book Antiqua" w:hAnsi="Book Antiqua"/>
          <w:sz w:val="24"/>
          <w:lang w:val="en-US"/>
        </w:rPr>
      </w:pPr>
      <w:r w:rsidRPr="00B977AE">
        <w:rPr>
          <w:rFonts w:ascii="Book Antiqua" w:hAnsi="Book Antiqua"/>
          <w:b/>
          <w:sz w:val="24"/>
          <w:lang w:val="en-US"/>
        </w:rPr>
        <w:lastRenderedPageBreak/>
        <w:t xml:space="preserve">Table </w:t>
      </w:r>
      <w:r w:rsidR="00B23101">
        <w:rPr>
          <w:rFonts w:ascii="Book Antiqua" w:hAnsi="Book Antiqua" w:hint="eastAsia"/>
          <w:b/>
          <w:sz w:val="24"/>
          <w:lang w:val="en-US" w:eastAsia="zh-CN"/>
        </w:rPr>
        <w:t>4</w:t>
      </w:r>
      <w:r w:rsidRPr="00B977AE">
        <w:rPr>
          <w:rFonts w:ascii="Book Antiqua" w:hAnsi="Book Antiqua"/>
          <w:sz w:val="24"/>
          <w:lang w:val="en-US"/>
        </w:rPr>
        <w:t xml:space="preserve"> </w:t>
      </w:r>
      <w:r w:rsidRPr="00384DD9">
        <w:rPr>
          <w:rFonts w:ascii="Book Antiqua" w:hAnsi="Book Antiqua"/>
          <w:b/>
          <w:sz w:val="24"/>
          <w:lang w:val="en-US"/>
        </w:rPr>
        <w:t xml:space="preserve">Clinical, pharmacological and regulatory aspects of </w:t>
      </w:r>
      <w:proofErr w:type="spellStart"/>
      <w:r w:rsidRPr="00384DD9">
        <w:rPr>
          <w:rFonts w:ascii="Book Antiqua" w:hAnsi="Book Antiqua"/>
          <w:b/>
          <w:sz w:val="24"/>
          <w:lang w:val="en-US"/>
        </w:rPr>
        <w:t>antimycotics</w:t>
      </w:r>
      <w:proofErr w:type="spellEnd"/>
      <w:r w:rsidRPr="00384DD9">
        <w:rPr>
          <w:rFonts w:ascii="Book Antiqua" w:hAnsi="Book Antiqua"/>
          <w:b/>
          <w:sz w:val="24"/>
          <w:lang w:val="en-US"/>
        </w:rPr>
        <w:t xml:space="preserve"> for systemic use currently on the market (ketoconazole not shown)</w:t>
      </w:r>
      <w:r w:rsidRPr="00B977AE">
        <w:rPr>
          <w:rFonts w:ascii="Book Antiqua" w:hAnsi="Book Antiqua"/>
          <w:sz w:val="24"/>
          <w:lang w:val="en-US"/>
        </w:rPr>
        <w:t xml:space="preserve"> </w:t>
      </w:r>
    </w:p>
    <w:tbl>
      <w:tblPr>
        <w:tblStyle w:val="a3"/>
        <w:tblW w:w="512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374"/>
        <w:gridCol w:w="4102"/>
        <w:gridCol w:w="1937"/>
        <w:gridCol w:w="1832"/>
      </w:tblGrid>
      <w:tr w:rsidR="00E66B42" w:rsidRPr="004C7726" w:rsidTr="003F3520">
        <w:tc>
          <w:tcPr>
            <w:tcW w:w="780" w:type="pct"/>
            <w:tcBorders>
              <w:top w:val="single" w:sz="4" w:space="0" w:color="auto"/>
              <w:bottom w:val="single" w:sz="4" w:space="0" w:color="auto"/>
            </w:tcBorders>
          </w:tcPr>
          <w:p w:rsidR="00E66B42" w:rsidRPr="004C7726" w:rsidRDefault="00E66B42" w:rsidP="004D1284">
            <w:pPr>
              <w:spacing w:line="360" w:lineRule="auto"/>
              <w:jc w:val="both"/>
              <w:rPr>
                <w:rFonts w:ascii="Book Antiqua" w:hAnsi="Book Antiqua"/>
                <w:b/>
                <w:sz w:val="18"/>
                <w:lang w:val="en-US"/>
              </w:rPr>
            </w:pPr>
            <w:r w:rsidRPr="004C7726">
              <w:rPr>
                <w:rFonts w:ascii="Book Antiqua" w:hAnsi="Book Antiqua"/>
                <w:b/>
                <w:sz w:val="18"/>
                <w:lang w:val="en-US"/>
              </w:rPr>
              <w:t>Drug</w:t>
            </w:r>
          </w:p>
        </w:tc>
        <w:tc>
          <w:tcPr>
            <w:tcW w:w="627" w:type="pct"/>
            <w:tcBorders>
              <w:top w:val="single" w:sz="4" w:space="0" w:color="auto"/>
              <w:bottom w:val="single" w:sz="4" w:space="0" w:color="auto"/>
            </w:tcBorders>
          </w:tcPr>
          <w:p w:rsidR="00E66B42" w:rsidRPr="004C7726" w:rsidRDefault="00E66B42" w:rsidP="004D1284">
            <w:pPr>
              <w:spacing w:line="360" w:lineRule="auto"/>
              <w:jc w:val="both"/>
              <w:rPr>
                <w:rFonts w:ascii="Book Antiqua" w:hAnsi="Book Antiqua"/>
                <w:b/>
                <w:sz w:val="18"/>
                <w:lang w:val="en-US"/>
              </w:rPr>
            </w:pPr>
            <w:r w:rsidRPr="004C7726">
              <w:rPr>
                <w:rFonts w:ascii="Book Antiqua" w:hAnsi="Book Antiqua"/>
                <w:b/>
                <w:sz w:val="18"/>
                <w:lang w:val="en-US"/>
              </w:rPr>
              <w:t>Approval (EMA-FDA)</w:t>
            </w:r>
          </w:p>
        </w:tc>
        <w:tc>
          <w:tcPr>
            <w:tcW w:w="1872" w:type="pct"/>
            <w:tcBorders>
              <w:top w:val="single" w:sz="4" w:space="0" w:color="auto"/>
              <w:bottom w:val="single" w:sz="4" w:space="0" w:color="auto"/>
            </w:tcBorders>
          </w:tcPr>
          <w:p w:rsidR="00E66B42" w:rsidRPr="004C7726" w:rsidRDefault="00E66B42" w:rsidP="004D1284">
            <w:pPr>
              <w:spacing w:line="360" w:lineRule="auto"/>
              <w:jc w:val="both"/>
              <w:rPr>
                <w:rFonts w:ascii="Book Antiqua" w:hAnsi="Book Antiqua"/>
                <w:b/>
                <w:sz w:val="18"/>
                <w:lang w:val="en-US"/>
              </w:rPr>
            </w:pPr>
            <w:r w:rsidRPr="004C7726">
              <w:rPr>
                <w:rFonts w:ascii="Book Antiqua" w:hAnsi="Book Antiqua"/>
                <w:b/>
                <w:sz w:val="18"/>
                <w:lang w:val="en-US"/>
              </w:rPr>
              <w:t>Indication(s)</w:t>
            </w:r>
          </w:p>
        </w:tc>
        <w:tc>
          <w:tcPr>
            <w:tcW w:w="884" w:type="pct"/>
            <w:tcBorders>
              <w:top w:val="single" w:sz="4" w:space="0" w:color="auto"/>
              <w:bottom w:val="single" w:sz="4" w:space="0" w:color="auto"/>
            </w:tcBorders>
          </w:tcPr>
          <w:p w:rsidR="00E66B42" w:rsidRPr="004C7726" w:rsidRDefault="00E66B42" w:rsidP="004D1284">
            <w:pPr>
              <w:spacing w:line="360" w:lineRule="auto"/>
              <w:jc w:val="both"/>
              <w:rPr>
                <w:rFonts w:ascii="Book Antiqua" w:hAnsi="Book Antiqua"/>
                <w:b/>
                <w:sz w:val="18"/>
                <w:lang w:val="en-US"/>
              </w:rPr>
            </w:pPr>
            <w:r w:rsidRPr="004C7726">
              <w:rPr>
                <w:rFonts w:ascii="Book Antiqua" w:hAnsi="Book Antiqua"/>
                <w:b/>
                <w:sz w:val="18"/>
                <w:lang w:val="en-US"/>
              </w:rPr>
              <w:t>Main hepatic issues</w:t>
            </w:r>
          </w:p>
        </w:tc>
        <w:tc>
          <w:tcPr>
            <w:tcW w:w="836" w:type="pct"/>
            <w:tcBorders>
              <w:top w:val="single" w:sz="4" w:space="0" w:color="auto"/>
              <w:bottom w:val="single" w:sz="4" w:space="0" w:color="auto"/>
            </w:tcBorders>
          </w:tcPr>
          <w:p w:rsidR="00E66B42" w:rsidRPr="004C7726" w:rsidRDefault="00E66B42" w:rsidP="004D1284">
            <w:pPr>
              <w:spacing w:line="360" w:lineRule="auto"/>
              <w:jc w:val="both"/>
              <w:rPr>
                <w:rFonts w:ascii="Book Antiqua" w:hAnsi="Book Antiqua"/>
                <w:b/>
                <w:sz w:val="18"/>
                <w:lang w:val="en-US"/>
              </w:rPr>
            </w:pPr>
            <w:r w:rsidRPr="004C7726">
              <w:rPr>
                <w:rFonts w:ascii="Book Antiqua" w:hAnsi="Book Antiqua"/>
                <w:b/>
                <w:sz w:val="18"/>
                <w:lang w:val="en-US"/>
              </w:rPr>
              <w:t>Drug interactions</w:t>
            </w:r>
          </w:p>
        </w:tc>
      </w:tr>
      <w:tr w:rsidR="00E66B42" w:rsidRPr="004C7726" w:rsidTr="003F3520">
        <w:tc>
          <w:tcPr>
            <w:tcW w:w="780" w:type="pct"/>
            <w:tcBorders>
              <w:top w:val="single" w:sz="4" w:space="0" w:color="auto"/>
            </w:tcBorders>
          </w:tcPr>
          <w:p w:rsidR="00E66B42" w:rsidRPr="004C7726" w:rsidRDefault="008B4F19" w:rsidP="004D1284">
            <w:pPr>
              <w:spacing w:line="360" w:lineRule="auto"/>
              <w:jc w:val="both"/>
              <w:rPr>
                <w:rFonts w:ascii="Book Antiqua" w:hAnsi="Book Antiqua"/>
                <w:sz w:val="18"/>
                <w:lang w:val="en-US"/>
              </w:rPr>
            </w:pPr>
            <w:r w:rsidRPr="004C7726">
              <w:rPr>
                <w:rFonts w:ascii="Book Antiqua" w:hAnsi="Book Antiqua"/>
                <w:sz w:val="18"/>
                <w:lang w:val="en-US"/>
              </w:rPr>
              <w:t>A</w:t>
            </w:r>
            <w:r w:rsidR="00E66B42" w:rsidRPr="004C7726">
              <w:rPr>
                <w:rFonts w:ascii="Book Antiqua" w:hAnsi="Book Antiqua"/>
                <w:sz w:val="18"/>
                <w:lang w:val="en-US"/>
              </w:rPr>
              <w:t>mphotericin B</w:t>
            </w:r>
          </w:p>
        </w:tc>
        <w:tc>
          <w:tcPr>
            <w:tcW w:w="627" w:type="pct"/>
            <w:tcBorders>
              <w:top w:val="single" w:sz="4" w:space="0" w:color="auto"/>
            </w:tcBorders>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199</w:t>
            </w:r>
            <w:r w:rsidR="0009605A" w:rsidRPr="004C7726">
              <w:rPr>
                <w:rFonts w:ascii="Book Antiqua" w:hAnsi="Book Antiqua"/>
                <w:sz w:val="18"/>
                <w:lang w:val="en-US"/>
              </w:rPr>
              <w:t>5</w:t>
            </w:r>
            <w:r w:rsidRPr="004C7726">
              <w:rPr>
                <w:rFonts w:ascii="Book Antiqua" w:hAnsi="Book Antiqua"/>
                <w:sz w:val="18"/>
                <w:lang w:val="en-US"/>
              </w:rPr>
              <w:t xml:space="preserve"> (FDA)</w:t>
            </w:r>
            <w:r w:rsidR="0009605A" w:rsidRPr="004C7726">
              <w:rPr>
                <w:rFonts w:ascii="Book Antiqua" w:hAnsi="Book Antiqua"/>
                <w:sz w:val="18"/>
                <w:lang w:val="en-US"/>
              </w:rPr>
              <w:t xml:space="preserve"> </w:t>
            </w:r>
            <w:r w:rsidR="0087129E" w:rsidRPr="004C7726">
              <w:rPr>
                <w:rFonts w:ascii="Book Antiqua" w:hAnsi="Book Antiqua"/>
                <w:sz w:val="18"/>
                <w:vertAlign w:val="superscript"/>
                <w:lang w:val="en-US"/>
              </w:rPr>
              <w:t>1</w:t>
            </w:r>
          </w:p>
        </w:tc>
        <w:tc>
          <w:tcPr>
            <w:tcW w:w="1872" w:type="pct"/>
            <w:tcBorders>
              <w:top w:val="single" w:sz="4" w:space="0" w:color="auto"/>
            </w:tcBorders>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Empirical therapy for presumed fungal infection in febrile, </w:t>
            </w:r>
            <w:proofErr w:type="spellStart"/>
            <w:r w:rsidRPr="004C7726">
              <w:rPr>
                <w:rFonts w:ascii="Book Antiqua" w:hAnsi="Book Antiqua"/>
                <w:sz w:val="18"/>
                <w:lang w:val="en-US"/>
              </w:rPr>
              <w:t>neutropenic</w:t>
            </w:r>
            <w:proofErr w:type="spellEnd"/>
            <w:r w:rsidRPr="004C7726">
              <w:rPr>
                <w:rFonts w:ascii="Book Antiqua" w:hAnsi="Book Antiqua"/>
                <w:sz w:val="18"/>
                <w:lang w:val="en-US"/>
              </w:rPr>
              <w:t xml:space="preserve"> patients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proofErr w:type="spellStart"/>
            <w:r w:rsidRPr="004C7726">
              <w:rPr>
                <w:rFonts w:ascii="Book Antiqua" w:hAnsi="Book Antiqua"/>
                <w:sz w:val="18"/>
                <w:lang w:val="en-US"/>
              </w:rPr>
              <w:t>Cryptococcal</w:t>
            </w:r>
            <w:proofErr w:type="spellEnd"/>
            <w:r w:rsidRPr="004C7726">
              <w:rPr>
                <w:rFonts w:ascii="Book Antiqua" w:hAnsi="Book Antiqua"/>
                <w:sz w:val="18"/>
                <w:lang w:val="en-US"/>
              </w:rPr>
              <w:t xml:space="preserve"> Meningitis in HIV infected patients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Visceral </w:t>
            </w:r>
            <w:proofErr w:type="spellStart"/>
            <w:r w:rsidRPr="004C7726">
              <w:rPr>
                <w:rFonts w:ascii="Book Antiqua" w:hAnsi="Book Antiqua"/>
                <w:sz w:val="18"/>
                <w:lang w:val="en-US"/>
              </w:rPr>
              <w:t>leishmaniasis</w:t>
            </w:r>
            <w:proofErr w:type="spellEnd"/>
          </w:p>
        </w:tc>
        <w:tc>
          <w:tcPr>
            <w:tcW w:w="884" w:type="pct"/>
            <w:tcBorders>
              <w:top w:val="single" w:sz="4" w:space="0" w:color="auto"/>
            </w:tcBorders>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No detailed information provided (general statement in the section on side effects)</w:t>
            </w:r>
          </w:p>
        </w:tc>
        <w:tc>
          <w:tcPr>
            <w:tcW w:w="836" w:type="pct"/>
            <w:tcBorders>
              <w:top w:val="single" w:sz="4" w:space="0" w:color="auto"/>
            </w:tcBorders>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 xml:space="preserve">Unclear from the label (metabolic pathway unknown) </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Miconazole</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No centralized approval</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proofErr w:type="spellStart"/>
            <w:r w:rsidRPr="004C7726">
              <w:rPr>
                <w:rFonts w:ascii="Book Antiqua" w:hAnsi="Book Antiqua"/>
                <w:sz w:val="18"/>
                <w:lang w:val="en-US"/>
              </w:rPr>
              <w:t>Onyc</w:t>
            </w:r>
            <w:r w:rsidR="00F31DA8" w:rsidRPr="004C7726">
              <w:rPr>
                <w:rFonts w:ascii="Book Antiqua" w:hAnsi="Book Antiqua"/>
                <w:sz w:val="18"/>
                <w:lang w:val="en-US"/>
              </w:rPr>
              <w:t>h</w:t>
            </w:r>
            <w:r w:rsidRPr="004C7726">
              <w:rPr>
                <w:rFonts w:ascii="Book Antiqua" w:hAnsi="Book Antiqua"/>
                <w:sz w:val="18"/>
                <w:lang w:val="en-US"/>
              </w:rPr>
              <w:t>om</w:t>
            </w:r>
            <w:r w:rsidR="00F31DA8" w:rsidRPr="004C7726">
              <w:rPr>
                <w:rFonts w:ascii="Book Antiqua" w:hAnsi="Book Antiqua"/>
                <w:sz w:val="18"/>
                <w:lang w:val="en-US"/>
              </w:rPr>
              <w:t>y</w:t>
            </w:r>
            <w:r w:rsidRPr="004C7726">
              <w:rPr>
                <w:rFonts w:ascii="Book Antiqua" w:hAnsi="Book Antiqua"/>
                <w:sz w:val="18"/>
                <w:lang w:val="en-US"/>
              </w:rPr>
              <w:t>cosis</w:t>
            </w:r>
            <w:proofErr w:type="spellEnd"/>
            <w:r w:rsidRPr="004C7726">
              <w:rPr>
                <w:rFonts w:ascii="Book Antiqua" w:hAnsi="Book Antiqua"/>
                <w:sz w:val="18"/>
                <w:lang w:val="en-US"/>
              </w:rPr>
              <w:t xml:space="preserve"> </w:t>
            </w:r>
            <w:r w:rsidR="00BC6027" w:rsidRPr="004C7726">
              <w:rPr>
                <w:rFonts w:ascii="Book Antiqua" w:hAnsi="Book Antiqua"/>
                <w:sz w:val="18"/>
                <w:lang w:val="en-US"/>
              </w:rPr>
              <w:t>(topical)</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Local candida infections</w:t>
            </w:r>
            <w:r w:rsidR="00BC6027" w:rsidRPr="004C7726">
              <w:rPr>
                <w:rFonts w:ascii="Book Antiqua" w:hAnsi="Book Antiqua"/>
                <w:sz w:val="18"/>
                <w:lang w:val="en-US"/>
              </w:rPr>
              <w:t xml:space="preserve"> (topical and systemic)</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Not reported</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CYP3A4 and CYP2C9 inhibitor (when administered systemically)</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r w:rsidRPr="004C7726">
              <w:rPr>
                <w:rFonts w:ascii="Book Antiqua" w:hAnsi="Book Antiqua"/>
                <w:sz w:val="18"/>
                <w:lang w:val="en-US"/>
              </w:rPr>
              <w:t>Fluconazole</w:t>
            </w:r>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1990 (FDA)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Acute vaginal candidiasis when local therapy is not appropriate</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proofErr w:type="spellStart"/>
            <w:r w:rsidRPr="004C7726">
              <w:rPr>
                <w:rFonts w:ascii="Book Antiqua" w:hAnsi="Book Antiqua"/>
                <w:sz w:val="18"/>
                <w:lang w:val="en-US"/>
              </w:rPr>
              <w:t>Candidal</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balanitis</w:t>
            </w:r>
            <w:proofErr w:type="spellEnd"/>
            <w:r w:rsidRPr="004C7726">
              <w:rPr>
                <w:rFonts w:ascii="Book Antiqua" w:hAnsi="Book Antiqua"/>
                <w:sz w:val="18"/>
                <w:lang w:val="en-US"/>
              </w:rPr>
              <w:t xml:space="preserve"> when local therapy is not appropriate</w:t>
            </w:r>
          </w:p>
          <w:p w:rsidR="00096FF9" w:rsidRPr="004C7726" w:rsidRDefault="00096FF9"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Mucosal and invasive candidiasis, genital candidiasis (</w:t>
            </w:r>
            <w:proofErr w:type="spellStart"/>
            <w:r w:rsidRPr="004C7726">
              <w:rPr>
                <w:rFonts w:ascii="Book Antiqua" w:hAnsi="Book Antiqua"/>
                <w:sz w:val="18"/>
                <w:lang w:val="en-US"/>
              </w:rPr>
              <w:t>trush</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crypotococcal</w:t>
            </w:r>
            <w:proofErr w:type="spellEnd"/>
            <w:r w:rsidRPr="004C7726">
              <w:rPr>
                <w:rFonts w:ascii="Book Antiqua" w:hAnsi="Book Antiqua"/>
                <w:sz w:val="18"/>
                <w:lang w:val="en-US"/>
              </w:rPr>
              <w:t xml:space="preserve"> meningitis, </w:t>
            </w:r>
            <w:proofErr w:type="spellStart"/>
            <w:r w:rsidRPr="004C7726">
              <w:rPr>
                <w:rFonts w:ascii="Book Antiqua" w:hAnsi="Book Antiqua"/>
                <w:sz w:val="18"/>
                <w:lang w:val="en-US"/>
              </w:rPr>
              <w:t>dermatomycosis</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coccidiodomycosis</w:t>
            </w:r>
            <w:proofErr w:type="spellEnd"/>
            <w:r w:rsidRPr="004C7726">
              <w:rPr>
                <w:rFonts w:ascii="Book Antiqua" w:hAnsi="Book Antiqua"/>
                <w:sz w:val="18"/>
                <w:lang w:val="en-US"/>
              </w:rPr>
              <w:t xml:space="preserve"> and </w:t>
            </w:r>
            <w:proofErr w:type="spellStart"/>
            <w:r w:rsidRPr="004C7726">
              <w:rPr>
                <w:rFonts w:ascii="Book Antiqua" w:hAnsi="Book Antiqua"/>
                <w:sz w:val="18"/>
                <w:lang w:val="en-US"/>
              </w:rPr>
              <w:t>onychomycosis</w:t>
            </w:r>
            <w:proofErr w:type="spellEnd"/>
            <w:r w:rsidRPr="004C7726">
              <w:rPr>
                <w:rFonts w:ascii="Book Antiqua" w:hAnsi="Book Antiqua"/>
                <w:sz w:val="18"/>
                <w:lang w:val="en-US"/>
              </w:rPr>
              <w:t xml:space="preserve"> (EMA revision in 2011)</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Hepatic injury (warning FDA and EMA)</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Potent CYP2C9 inhibitor</w:t>
            </w:r>
            <w:r w:rsidR="00A452DF" w:rsidRPr="004C7726">
              <w:rPr>
                <w:rFonts w:ascii="Book Antiqua" w:hAnsi="Book Antiqua"/>
                <w:sz w:val="18"/>
                <w:lang w:val="en-US"/>
              </w:rPr>
              <w:t>;</w:t>
            </w:r>
          </w:p>
          <w:p w:rsidR="00E66B42" w:rsidRPr="004C7726" w:rsidRDefault="00A452DF" w:rsidP="004D1284">
            <w:pPr>
              <w:spacing w:line="360" w:lineRule="auto"/>
              <w:jc w:val="both"/>
              <w:rPr>
                <w:rFonts w:ascii="Book Antiqua" w:hAnsi="Book Antiqua"/>
                <w:sz w:val="18"/>
                <w:lang w:val="en-US"/>
              </w:rPr>
            </w:pPr>
            <w:r w:rsidRPr="004C7726">
              <w:rPr>
                <w:rFonts w:ascii="Book Antiqua" w:hAnsi="Book Antiqua"/>
                <w:sz w:val="18"/>
                <w:lang w:val="en-US"/>
              </w:rPr>
              <w:t>m</w:t>
            </w:r>
            <w:r w:rsidR="00E66B42" w:rsidRPr="004C7726">
              <w:rPr>
                <w:rFonts w:ascii="Book Antiqua" w:hAnsi="Book Antiqua"/>
                <w:sz w:val="18"/>
                <w:lang w:val="en-US"/>
              </w:rPr>
              <w:t>oderate CYP3A4 inhibitor</w:t>
            </w:r>
            <w:r w:rsidRPr="004C7726">
              <w:rPr>
                <w:rFonts w:ascii="Book Antiqua" w:hAnsi="Book Antiqua"/>
                <w:sz w:val="18"/>
                <w:lang w:val="en-US"/>
              </w:rPr>
              <w:t xml:space="preserve">; </w:t>
            </w:r>
            <w:r w:rsidR="00E66B42" w:rsidRPr="004C7726">
              <w:rPr>
                <w:rFonts w:ascii="Book Antiqua" w:hAnsi="Book Antiqua"/>
                <w:sz w:val="18"/>
                <w:lang w:val="en-US"/>
              </w:rPr>
              <w:t>CYP2C19 inhibitor</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Itraconazole</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1992 (FDA)</w:t>
            </w:r>
          </w:p>
        </w:tc>
        <w:tc>
          <w:tcPr>
            <w:tcW w:w="1872" w:type="pct"/>
          </w:tcPr>
          <w:p w:rsidR="00E66B42" w:rsidRPr="004C7726" w:rsidRDefault="0034148E" w:rsidP="004D1284">
            <w:pPr>
              <w:pStyle w:val="a4"/>
              <w:numPr>
                <w:ilvl w:val="0"/>
                <w:numId w:val="3"/>
              </w:numPr>
              <w:spacing w:line="360" w:lineRule="auto"/>
              <w:ind w:left="226" w:hanging="226"/>
              <w:jc w:val="both"/>
              <w:rPr>
                <w:rFonts w:ascii="Book Antiqua" w:hAnsi="Book Antiqua"/>
                <w:sz w:val="18"/>
                <w:lang w:val="en-US"/>
              </w:rPr>
            </w:pPr>
            <w:proofErr w:type="spellStart"/>
            <w:r w:rsidRPr="004C7726">
              <w:rPr>
                <w:rFonts w:ascii="Book Antiqua" w:hAnsi="Book Antiqua"/>
                <w:sz w:val="18"/>
                <w:lang w:val="en-US"/>
              </w:rPr>
              <w:t>Onychomycosis</w:t>
            </w:r>
            <w:proofErr w:type="spellEnd"/>
            <w:r w:rsidRPr="004C7726">
              <w:rPr>
                <w:rFonts w:ascii="Book Antiqua" w:hAnsi="Book Antiqua"/>
                <w:sz w:val="18"/>
                <w:lang w:val="en-US"/>
              </w:rPr>
              <w:t xml:space="preserve"> </w:t>
            </w:r>
            <w:r w:rsidR="00E66B42" w:rsidRPr="004C7726">
              <w:rPr>
                <w:rFonts w:ascii="Book Antiqua" w:hAnsi="Book Antiqua"/>
                <w:sz w:val="18"/>
                <w:lang w:val="en-US"/>
              </w:rPr>
              <w:t xml:space="preserve">of the toenail caused by </w:t>
            </w:r>
            <w:proofErr w:type="spellStart"/>
            <w:r w:rsidR="00E66B42" w:rsidRPr="004C7726">
              <w:rPr>
                <w:rFonts w:ascii="Book Antiqua" w:hAnsi="Book Antiqua"/>
                <w:sz w:val="18"/>
                <w:lang w:val="en-US"/>
              </w:rPr>
              <w:t>Trichophyton</w:t>
            </w:r>
            <w:proofErr w:type="spellEnd"/>
            <w:r w:rsidR="00E66B42" w:rsidRPr="004C7726">
              <w:rPr>
                <w:rFonts w:ascii="Book Antiqua" w:hAnsi="Book Antiqua"/>
                <w:sz w:val="18"/>
                <w:lang w:val="en-US"/>
              </w:rPr>
              <w:t xml:space="preserve"> </w:t>
            </w:r>
            <w:proofErr w:type="spellStart"/>
            <w:r w:rsidR="00E66B42" w:rsidRPr="004C7726">
              <w:rPr>
                <w:rFonts w:ascii="Book Antiqua" w:hAnsi="Book Antiqua"/>
                <w:sz w:val="18"/>
                <w:lang w:val="en-US"/>
              </w:rPr>
              <w:t>rubrum</w:t>
            </w:r>
            <w:proofErr w:type="spellEnd"/>
            <w:r w:rsidR="00E66B42" w:rsidRPr="004C7726">
              <w:rPr>
                <w:rFonts w:ascii="Book Antiqua" w:hAnsi="Book Antiqua"/>
                <w:sz w:val="18"/>
                <w:lang w:val="en-US"/>
              </w:rPr>
              <w:t xml:space="preserve"> or T. </w:t>
            </w:r>
            <w:proofErr w:type="spellStart"/>
            <w:r w:rsidR="00E66B42" w:rsidRPr="004C7726">
              <w:rPr>
                <w:rFonts w:ascii="Book Antiqua" w:hAnsi="Book Antiqua"/>
                <w:sz w:val="18"/>
                <w:lang w:val="en-US"/>
              </w:rPr>
              <w:t>mentagrophytes</w:t>
            </w:r>
            <w:proofErr w:type="spellEnd"/>
            <w:r w:rsidR="00E66B42" w:rsidRPr="004C7726">
              <w:rPr>
                <w:rFonts w:ascii="Book Antiqua" w:hAnsi="Book Antiqua"/>
                <w:sz w:val="18"/>
                <w:lang w:val="en-US"/>
              </w:rPr>
              <w:t xml:space="preserve"> (FDA)</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Hepatic injury (FDA)</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Potent CYP3A4 inhibitor</w:t>
            </w:r>
          </w:p>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(drug interactions in warnings)</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Voriconazole</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2002 (EMA and FDA)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Invasive </w:t>
            </w:r>
            <w:proofErr w:type="spellStart"/>
            <w:r w:rsidRPr="004C7726">
              <w:rPr>
                <w:rFonts w:ascii="Book Antiqua" w:hAnsi="Book Antiqua"/>
                <w:sz w:val="18"/>
                <w:lang w:val="en-US"/>
              </w:rPr>
              <w:t>aspergillosis</w:t>
            </w:r>
            <w:proofErr w:type="spellEnd"/>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proofErr w:type="spellStart"/>
            <w:r w:rsidRPr="004C7726">
              <w:rPr>
                <w:rFonts w:ascii="Book Antiqua" w:hAnsi="Book Antiqua"/>
                <w:sz w:val="18"/>
                <w:lang w:val="en-US"/>
              </w:rPr>
              <w:t>Candidemia</w:t>
            </w:r>
            <w:proofErr w:type="spellEnd"/>
            <w:r w:rsidRPr="004C7726">
              <w:rPr>
                <w:rFonts w:ascii="Book Antiqua" w:hAnsi="Book Antiqua"/>
                <w:sz w:val="18"/>
                <w:lang w:val="en-US"/>
              </w:rPr>
              <w:t xml:space="preserve"> in non-</w:t>
            </w:r>
            <w:proofErr w:type="spellStart"/>
            <w:r w:rsidRPr="004C7726">
              <w:rPr>
                <w:rFonts w:ascii="Book Antiqua" w:hAnsi="Book Antiqua"/>
                <w:sz w:val="18"/>
                <w:lang w:val="en-US"/>
              </w:rPr>
              <w:t>neutropenic</w:t>
            </w:r>
            <w:proofErr w:type="spellEnd"/>
            <w:r w:rsidRPr="004C7726">
              <w:rPr>
                <w:rFonts w:ascii="Book Antiqua" w:hAnsi="Book Antiqua"/>
                <w:sz w:val="18"/>
                <w:lang w:val="en-US"/>
              </w:rPr>
              <w:t xml:space="preserve"> patients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Esophageal candidiasis (FDA)</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Fluconazole-resistant serious invasive Candida infections (including </w:t>
            </w:r>
            <w:r w:rsidRPr="004C7726">
              <w:rPr>
                <w:rFonts w:ascii="Book Antiqua" w:hAnsi="Book Antiqua"/>
                <w:i/>
                <w:sz w:val="18"/>
                <w:lang w:val="en-US"/>
              </w:rPr>
              <w:t xml:space="preserve">C. </w:t>
            </w:r>
            <w:proofErr w:type="spellStart"/>
            <w:r w:rsidRPr="004C7726">
              <w:rPr>
                <w:rFonts w:ascii="Book Antiqua" w:hAnsi="Book Antiqua"/>
                <w:i/>
                <w:sz w:val="18"/>
                <w:lang w:val="en-US"/>
              </w:rPr>
              <w:t>krusei</w:t>
            </w:r>
            <w:proofErr w:type="spellEnd"/>
            <w:r w:rsidRPr="004C7726">
              <w:rPr>
                <w:rFonts w:ascii="Book Antiqua" w:hAnsi="Book Antiqua"/>
                <w:sz w:val="18"/>
                <w:lang w:val="en-US"/>
              </w:rPr>
              <w:t>) (EMA)</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Serious fungal infections caused by </w:t>
            </w:r>
            <w:proofErr w:type="spellStart"/>
            <w:r w:rsidRPr="004C7726">
              <w:rPr>
                <w:rFonts w:ascii="Book Antiqua" w:hAnsi="Book Antiqua"/>
                <w:i/>
                <w:sz w:val="18"/>
                <w:lang w:val="en-US"/>
              </w:rPr>
              <w:t>Scedosporium</w:t>
            </w:r>
            <w:proofErr w:type="spellEnd"/>
            <w:r w:rsidRPr="004C7726">
              <w:rPr>
                <w:rFonts w:ascii="Book Antiqua" w:hAnsi="Book Antiqua"/>
                <w:i/>
                <w:sz w:val="18"/>
                <w:lang w:val="en-US"/>
              </w:rPr>
              <w:t xml:space="preserve"> spp</w:t>
            </w:r>
            <w:r w:rsidRPr="004C7726">
              <w:rPr>
                <w:rFonts w:ascii="Book Antiqua" w:hAnsi="Book Antiqua"/>
                <w:sz w:val="18"/>
                <w:lang w:val="en-US"/>
              </w:rPr>
              <w:t xml:space="preserve">. and </w:t>
            </w:r>
            <w:proofErr w:type="spellStart"/>
            <w:r w:rsidRPr="004C7726">
              <w:rPr>
                <w:rFonts w:ascii="Book Antiqua" w:hAnsi="Book Antiqua"/>
                <w:i/>
                <w:sz w:val="18"/>
                <w:lang w:val="en-US"/>
              </w:rPr>
              <w:t>Fusarium</w:t>
            </w:r>
            <w:proofErr w:type="spellEnd"/>
            <w:r w:rsidRPr="004C7726">
              <w:rPr>
                <w:rFonts w:ascii="Book Antiqua" w:hAnsi="Book Antiqua"/>
                <w:i/>
                <w:sz w:val="18"/>
                <w:lang w:val="en-US"/>
              </w:rPr>
              <w:t xml:space="preserve"> spp</w:t>
            </w:r>
            <w:r w:rsidRPr="004C7726">
              <w:rPr>
                <w:rFonts w:ascii="Book Antiqua" w:hAnsi="Book Antiqua"/>
                <w:sz w:val="18"/>
                <w:lang w:val="en-US"/>
              </w:rPr>
              <w:t>.</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Hepatic toxicity and monitoring of hepatic function (EMA and FDA)</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CYP2C9, 2C19 and 3A4 inhibitor (several contraindicated drugs)</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Posaconazole</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2006 (FDA)</w:t>
            </w:r>
          </w:p>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2005 (EMA)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Refractory IFI/Patients with IFI intolerant to </w:t>
            </w:r>
            <w:r w:rsidR="002131B9" w:rsidRPr="004C7726">
              <w:rPr>
                <w:rFonts w:ascii="Book Antiqua" w:hAnsi="Book Antiqua"/>
                <w:sz w:val="18"/>
                <w:lang w:val="en-US"/>
              </w:rPr>
              <w:t xml:space="preserve">first </w:t>
            </w:r>
            <w:r w:rsidRPr="004C7726">
              <w:rPr>
                <w:rFonts w:ascii="Book Antiqua" w:hAnsi="Book Antiqua"/>
                <w:sz w:val="18"/>
                <w:lang w:val="en-US"/>
              </w:rPr>
              <w:t>line therapy</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Oropharyngeal candidiasis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Prophylaxis of IFI</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Hepatic toxicity and monitoring of hepatic function (EMA and FDA)</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Potent CYP3A4 inhibitor</w:t>
            </w:r>
          </w:p>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(drug interactions in contraindications)</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Caspofungin</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2001</w:t>
            </w:r>
            <w:r w:rsidR="0009605A" w:rsidRPr="004C7726">
              <w:rPr>
                <w:rFonts w:ascii="Book Antiqua" w:hAnsi="Book Antiqua"/>
                <w:sz w:val="18"/>
                <w:lang w:val="en-US"/>
              </w:rPr>
              <w:t>(EMA and FDA)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Empirical therapy for presumed fungal infections in febrile, </w:t>
            </w:r>
            <w:proofErr w:type="spellStart"/>
            <w:r w:rsidRPr="004C7726">
              <w:rPr>
                <w:rFonts w:ascii="Book Antiqua" w:hAnsi="Book Antiqua"/>
                <w:sz w:val="18"/>
                <w:lang w:val="en-US"/>
              </w:rPr>
              <w:t>neutropenic</w:t>
            </w:r>
            <w:proofErr w:type="spellEnd"/>
            <w:r w:rsidRPr="004C7726">
              <w:rPr>
                <w:rFonts w:ascii="Book Antiqua" w:hAnsi="Book Antiqua"/>
                <w:sz w:val="18"/>
                <w:lang w:val="en-US"/>
              </w:rPr>
              <w:t xml:space="preserve"> patients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Invasive candidiasis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Invasive </w:t>
            </w:r>
            <w:proofErr w:type="spellStart"/>
            <w:r w:rsidRPr="004C7726">
              <w:rPr>
                <w:rFonts w:ascii="Book Antiqua" w:hAnsi="Book Antiqua"/>
                <w:sz w:val="18"/>
                <w:lang w:val="en-US"/>
              </w:rPr>
              <w:t>aspergillosis</w:t>
            </w:r>
            <w:proofErr w:type="spellEnd"/>
            <w:r w:rsidRPr="004C7726">
              <w:rPr>
                <w:rFonts w:ascii="Book Antiqua" w:hAnsi="Book Antiqua"/>
                <w:sz w:val="18"/>
                <w:lang w:val="en-US"/>
              </w:rPr>
              <w:t xml:space="preserve"> (patients refractory or </w:t>
            </w:r>
            <w:r w:rsidRPr="004C7726">
              <w:rPr>
                <w:rFonts w:ascii="Book Antiqua" w:hAnsi="Book Antiqua"/>
                <w:sz w:val="18"/>
                <w:lang w:val="en-US"/>
              </w:rPr>
              <w:lastRenderedPageBreak/>
              <w:t>intolerant)</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lastRenderedPageBreak/>
              <w:t>Hepatic effects</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No CYP3A4 inhibition</w:t>
            </w:r>
            <w:r w:rsidR="00A452DF" w:rsidRPr="004C7726">
              <w:rPr>
                <w:rFonts w:ascii="Book Antiqua" w:hAnsi="Book Antiqua"/>
                <w:sz w:val="18"/>
                <w:lang w:val="en-US"/>
              </w:rPr>
              <w:t xml:space="preserve">; </w:t>
            </w:r>
            <w:r w:rsidRPr="004C7726">
              <w:rPr>
                <w:rFonts w:ascii="Book Antiqua" w:hAnsi="Book Antiqua"/>
                <w:sz w:val="18"/>
                <w:lang w:val="en-US"/>
              </w:rPr>
              <w:t>No P-</w:t>
            </w:r>
            <w:proofErr w:type="spellStart"/>
            <w:r w:rsidRPr="004C7726">
              <w:rPr>
                <w:rFonts w:ascii="Book Antiqua" w:hAnsi="Book Antiqua"/>
                <w:sz w:val="18"/>
                <w:lang w:val="en-US"/>
              </w:rPr>
              <w:t>gp</w:t>
            </w:r>
            <w:proofErr w:type="spellEnd"/>
            <w:r w:rsidRPr="004C7726">
              <w:rPr>
                <w:rFonts w:ascii="Book Antiqua" w:hAnsi="Book Antiqua"/>
                <w:sz w:val="18"/>
                <w:lang w:val="en-US"/>
              </w:rPr>
              <w:t xml:space="preserve"> induction and poor substrate</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lastRenderedPageBreak/>
              <w:t>Micafungin</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2005</w:t>
            </w:r>
            <w:r w:rsidR="00C739EE" w:rsidRPr="004C7726">
              <w:rPr>
                <w:rFonts w:ascii="Book Antiqua" w:hAnsi="Book Antiqua"/>
                <w:sz w:val="18"/>
                <w:lang w:val="en-US"/>
              </w:rPr>
              <w:t xml:space="preserve"> (only FDA)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Treatment of invasive candidiasis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Treatment of esophageal candidiasis</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Prophylaxis of Candida infection</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Hepatic effects</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No P-</w:t>
            </w:r>
            <w:proofErr w:type="spellStart"/>
            <w:r w:rsidRPr="004C7726">
              <w:rPr>
                <w:rFonts w:ascii="Book Antiqua" w:hAnsi="Book Antiqua"/>
                <w:sz w:val="18"/>
                <w:lang w:val="en-US"/>
              </w:rPr>
              <w:t>gp</w:t>
            </w:r>
            <w:proofErr w:type="spellEnd"/>
            <w:r w:rsidRPr="004C7726">
              <w:rPr>
                <w:rFonts w:ascii="Book Antiqua" w:hAnsi="Book Antiqua"/>
                <w:sz w:val="18"/>
                <w:lang w:val="en-US"/>
              </w:rPr>
              <w:t xml:space="preserve"> induction or substrate</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Anidulafungin</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2006</w:t>
            </w:r>
            <w:r w:rsidR="00C739EE" w:rsidRPr="004C7726">
              <w:rPr>
                <w:rFonts w:ascii="Book Antiqua" w:hAnsi="Book Antiqua"/>
                <w:sz w:val="18"/>
                <w:lang w:val="en-US"/>
              </w:rPr>
              <w:t xml:space="preserve"> (FDA)</w:t>
            </w:r>
          </w:p>
          <w:p w:rsidR="00C739EE" w:rsidRPr="004C7726" w:rsidRDefault="00C739EE" w:rsidP="004D1284">
            <w:pPr>
              <w:spacing w:line="360" w:lineRule="auto"/>
              <w:jc w:val="both"/>
              <w:rPr>
                <w:rFonts w:ascii="Book Antiqua" w:hAnsi="Book Antiqua"/>
                <w:sz w:val="18"/>
                <w:lang w:val="en-US"/>
              </w:rPr>
            </w:pPr>
            <w:r w:rsidRPr="004C7726">
              <w:rPr>
                <w:rFonts w:ascii="Book Antiqua" w:hAnsi="Book Antiqua"/>
                <w:sz w:val="18"/>
                <w:lang w:val="en-US"/>
              </w:rPr>
              <w:t>2007 (EMA)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Invasive candidiasis in adult non-</w:t>
            </w:r>
            <w:proofErr w:type="spellStart"/>
            <w:r w:rsidRPr="004C7726">
              <w:rPr>
                <w:rFonts w:ascii="Book Antiqua" w:hAnsi="Book Antiqua"/>
                <w:sz w:val="18"/>
                <w:lang w:val="en-US"/>
              </w:rPr>
              <w:t>neutropenic</w:t>
            </w:r>
            <w:proofErr w:type="spellEnd"/>
            <w:r w:rsidRPr="004C7726">
              <w:rPr>
                <w:rFonts w:ascii="Book Antiqua" w:hAnsi="Book Antiqua"/>
                <w:sz w:val="18"/>
                <w:lang w:val="en-US"/>
              </w:rPr>
              <w:t xml:space="preserve"> patients (EMA)</w:t>
            </w:r>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Esophageal candidiasis (FDA)</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Hepatic effects (warning FDA and EMA)</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No CYP substrate, inhibitor or inducer</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Terbinafine</w:t>
            </w:r>
            <w:proofErr w:type="spellEnd"/>
          </w:p>
        </w:tc>
        <w:tc>
          <w:tcPr>
            <w:tcW w:w="627" w:type="pct"/>
          </w:tcPr>
          <w:p w:rsidR="00E66B42" w:rsidRPr="004C7726" w:rsidRDefault="00C739EE" w:rsidP="004D1284">
            <w:pPr>
              <w:spacing w:line="360" w:lineRule="auto"/>
              <w:jc w:val="both"/>
              <w:rPr>
                <w:rFonts w:ascii="Book Antiqua" w:hAnsi="Book Antiqua"/>
                <w:sz w:val="18"/>
                <w:lang w:val="en-US"/>
              </w:rPr>
            </w:pPr>
            <w:r w:rsidRPr="004C7726">
              <w:rPr>
                <w:rFonts w:ascii="Book Antiqua" w:hAnsi="Book Antiqua"/>
                <w:sz w:val="18"/>
                <w:lang w:val="en-US"/>
              </w:rPr>
              <w:t>1995</w:t>
            </w:r>
            <w:r w:rsidR="000A47C1" w:rsidRPr="000A47C1">
              <w:rPr>
                <w:rFonts w:ascii="Book Antiqua" w:hAnsi="Book Antiqua" w:hint="eastAsia"/>
                <w:sz w:val="24"/>
                <w:szCs w:val="24"/>
                <w:vertAlign w:val="superscript"/>
                <w:lang w:val="en-US" w:eastAsia="zh-CN"/>
              </w:rPr>
              <w:t>2</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Fingernail </w:t>
            </w:r>
            <w:proofErr w:type="spellStart"/>
            <w:r w:rsidRPr="004C7726">
              <w:rPr>
                <w:rFonts w:ascii="Book Antiqua" w:hAnsi="Book Antiqua"/>
                <w:sz w:val="18"/>
                <w:lang w:val="en-US"/>
              </w:rPr>
              <w:t>onychomycosis</w:t>
            </w:r>
            <w:proofErr w:type="spellEnd"/>
          </w:p>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Toenail </w:t>
            </w:r>
            <w:proofErr w:type="spellStart"/>
            <w:r w:rsidRPr="004C7726">
              <w:rPr>
                <w:rFonts w:ascii="Book Antiqua" w:hAnsi="Book Antiqua"/>
                <w:sz w:val="18"/>
                <w:lang w:val="en-US"/>
              </w:rPr>
              <w:t>onychomycosis</w:t>
            </w:r>
            <w:proofErr w:type="spellEnd"/>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 xml:space="preserve">Hepatotoxicity </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CYP2D6 inhibitor</w:t>
            </w:r>
          </w:p>
        </w:tc>
      </w:tr>
      <w:tr w:rsidR="00E66B42" w:rsidRPr="004C7726" w:rsidTr="003F3520">
        <w:tc>
          <w:tcPr>
            <w:tcW w:w="780" w:type="pct"/>
          </w:tcPr>
          <w:p w:rsidR="00E66B42" w:rsidRPr="004C7726" w:rsidRDefault="008B4F19" w:rsidP="004D1284">
            <w:pPr>
              <w:spacing w:line="360" w:lineRule="auto"/>
              <w:jc w:val="both"/>
              <w:rPr>
                <w:rFonts w:ascii="Book Antiqua" w:hAnsi="Book Antiqua"/>
                <w:sz w:val="18"/>
                <w:lang w:val="en-US"/>
              </w:rPr>
            </w:pPr>
            <w:proofErr w:type="spellStart"/>
            <w:r w:rsidRPr="004C7726">
              <w:rPr>
                <w:rFonts w:ascii="Book Antiqua" w:hAnsi="Book Antiqua"/>
                <w:sz w:val="18"/>
                <w:lang w:val="en-US"/>
              </w:rPr>
              <w:t>Griseofulvin</w:t>
            </w:r>
            <w:proofErr w:type="spellEnd"/>
          </w:p>
        </w:tc>
        <w:tc>
          <w:tcPr>
            <w:tcW w:w="627"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1975 (FDA)</w:t>
            </w:r>
          </w:p>
        </w:tc>
        <w:tc>
          <w:tcPr>
            <w:tcW w:w="1872" w:type="pct"/>
          </w:tcPr>
          <w:p w:rsidR="00E66B42" w:rsidRPr="004C7726" w:rsidRDefault="00E66B42" w:rsidP="004D1284">
            <w:pPr>
              <w:pStyle w:val="a4"/>
              <w:numPr>
                <w:ilvl w:val="0"/>
                <w:numId w:val="3"/>
              </w:numPr>
              <w:spacing w:line="360" w:lineRule="auto"/>
              <w:ind w:left="226" w:hanging="226"/>
              <w:jc w:val="both"/>
              <w:rPr>
                <w:rFonts w:ascii="Book Antiqua" w:hAnsi="Book Antiqua"/>
                <w:sz w:val="18"/>
                <w:lang w:val="en-US"/>
              </w:rPr>
            </w:pPr>
            <w:r w:rsidRPr="004C7726">
              <w:rPr>
                <w:rFonts w:ascii="Book Antiqua" w:hAnsi="Book Antiqua"/>
                <w:sz w:val="18"/>
                <w:lang w:val="en-US"/>
              </w:rPr>
              <w:t xml:space="preserve">Various forms of </w:t>
            </w:r>
            <w:proofErr w:type="spellStart"/>
            <w:r w:rsidRPr="004C7726">
              <w:rPr>
                <w:rFonts w:ascii="Book Antiqua" w:hAnsi="Book Antiqua"/>
                <w:sz w:val="18"/>
                <w:lang w:val="en-US"/>
              </w:rPr>
              <w:t>tineas</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corporis</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pedis</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cruris</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barbae</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capitis</w:t>
            </w:r>
            <w:proofErr w:type="spellEnd"/>
            <w:r w:rsidRPr="004C7726">
              <w:rPr>
                <w:rFonts w:ascii="Book Antiqua" w:hAnsi="Book Antiqua"/>
                <w:sz w:val="18"/>
                <w:lang w:val="en-US"/>
              </w:rPr>
              <w:t xml:space="preserve">, </w:t>
            </w:r>
            <w:proofErr w:type="spellStart"/>
            <w:r w:rsidRPr="004C7726">
              <w:rPr>
                <w:rFonts w:ascii="Book Antiqua" w:hAnsi="Book Antiqua"/>
                <w:sz w:val="18"/>
                <w:lang w:val="en-US"/>
              </w:rPr>
              <w:t>unguium</w:t>
            </w:r>
            <w:proofErr w:type="spellEnd"/>
            <w:r w:rsidR="005337A6" w:rsidRPr="004C7726">
              <w:rPr>
                <w:rFonts w:ascii="Book Antiqua" w:hAnsi="Book Antiqua"/>
                <w:sz w:val="18"/>
                <w:lang w:val="en-US"/>
              </w:rPr>
              <w:t>)</w:t>
            </w:r>
          </w:p>
        </w:tc>
        <w:tc>
          <w:tcPr>
            <w:tcW w:w="884"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Hepatotoxicity</w:t>
            </w:r>
          </w:p>
        </w:tc>
        <w:tc>
          <w:tcPr>
            <w:tcW w:w="836" w:type="pct"/>
          </w:tcPr>
          <w:p w:rsidR="00E66B42" w:rsidRPr="004C7726" w:rsidRDefault="00E66B42" w:rsidP="004D1284">
            <w:pPr>
              <w:spacing w:line="360" w:lineRule="auto"/>
              <w:jc w:val="both"/>
              <w:rPr>
                <w:rFonts w:ascii="Book Antiqua" w:hAnsi="Book Antiqua"/>
                <w:sz w:val="18"/>
                <w:lang w:val="en-US"/>
              </w:rPr>
            </w:pPr>
            <w:r w:rsidRPr="004C7726">
              <w:rPr>
                <w:rFonts w:ascii="Book Antiqua" w:hAnsi="Book Antiqua"/>
                <w:sz w:val="18"/>
                <w:lang w:val="en-US"/>
              </w:rPr>
              <w:t>Unclear from the label</w:t>
            </w:r>
          </w:p>
        </w:tc>
      </w:tr>
    </w:tbl>
    <w:p w:rsidR="00C739EE" w:rsidRPr="00384DD9" w:rsidRDefault="00384DD9" w:rsidP="004D1284">
      <w:pPr>
        <w:spacing w:line="360" w:lineRule="auto"/>
        <w:jc w:val="both"/>
        <w:rPr>
          <w:rFonts w:ascii="Book Antiqua" w:hAnsi="Book Antiqua"/>
          <w:sz w:val="24"/>
          <w:szCs w:val="24"/>
          <w:lang w:val="en-US"/>
        </w:rPr>
      </w:pPr>
      <w:r w:rsidRPr="00384DD9">
        <w:rPr>
          <w:rFonts w:ascii="Book Antiqua" w:hAnsi="Book Antiqua"/>
          <w:sz w:val="24"/>
          <w:szCs w:val="24"/>
          <w:lang w:val="en-US"/>
        </w:rPr>
        <w:t>When no information could be obtained from EMA and FDA documents, the Italian label was used.</w:t>
      </w:r>
      <w:r w:rsidRPr="00384DD9">
        <w:rPr>
          <w:rFonts w:ascii="Book Antiqua" w:hAnsi="Book Antiqua" w:hint="eastAsia"/>
          <w:sz w:val="24"/>
          <w:szCs w:val="24"/>
          <w:lang w:val="en-US" w:eastAsia="zh-CN"/>
        </w:rPr>
        <w:t xml:space="preserve"> </w:t>
      </w:r>
      <w:r w:rsidR="00E66B42" w:rsidRPr="00384DD9">
        <w:rPr>
          <w:rFonts w:ascii="Book Antiqua" w:hAnsi="Book Antiqua"/>
          <w:sz w:val="24"/>
          <w:szCs w:val="24"/>
          <w:lang w:val="en-US"/>
        </w:rPr>
        <w:t xml:space="preserve">EMA: European Medicines Agency; FDA: Food and Drug Administration; IFI: </w:t>
      </w:r>
      <w:r w:rsidR="00A47671" w:rsidRPr="00384DD9">
        <w:rPr>
          <w:rFonts w:ascii="Book Antiqua" w:hAnsi="Book Antiqua"/>
          <w:sz w:val="24"/>
          <w:szCs w:val="24"/>
          <w:lang w:val="en-US"/>
        </w:rPr>
        <w:t>I</w:t>
      </w:r>
      <w:r w:rsidR="00E66B42" w:rsidRPr="00384DD9">
        <w:rPr>
          <w:rFonts w:ascii="Book Antiqua" w:hAnsi="Book Antiqua"/>
          <w:sz w:val="24"/>
          <w:szCs w:val="24"/>
          <w:lang w:val="en-US"/>
        </w:rPr>
        <w:t>nvasive fungal infections.</w:t>
      </w:r>
      <w:r w:rsidR="00485001">
        <w:rPr>
          <w:rFonts w:ascii="Book Antiqua" w:hAnsi="Book Antiqua" w:hint="eastAsia"/>
          <w:sz w:val="24"/>
          <w:szCs w:val="24"/>
          <w:lang w:val="en-US" w:eastAsia="zh-CN"/>
        </w:rPr>
        <w:t xml:space="preserve"> </w:t>
      </w:r>
      <w:r w:rsidR="0087129E" w:rsidRPr="00384DD9">
        <w:rPr>
          <w:rFonts w:ascii="Book Antiqua" w:hAnsi="Book Antiqua"/>
          <w:sz w:val="24"/>
          <w:szCs w:val="24"/>
          <w:vertAlign w:val="superscript"/>
          <w:lang w:val="en-US"/>
        </w:rPr>
        <w:t>1</w:t>
      </w:r>
      <w:r w:rsidR="0009605A" w:rsidRPr="00384DD9">
        <w:rPr>
          <w:rFonts w:ascii="Book Antiqua" w:hAnsi="Book Antiqua"/>
          <w:sz w:val="24"/>
          <w:szCs w:val="24"/>
          <w:lang w:val="en-US"/>
        </w:rPr>
        <w:t xml:space="preserve">On 28 August 2006, orphan designation (EU/3/06/391) was granted by the European Commission to </w:t>
      </w:r>
      <w:proofErr w:type="spellStart"/>
      <w:r w:rsidR="0009605A" w:rsidRPr="00384DD9">
        <w:rPr>
          <w:rFonts w:ascii="Book Antiqua" w:hAnsi="Book Antiqua"/>
          <w:sz w:val="24"/>
          <w:szCs w:val="24"/>
          <w:lang w:val="en-US"/>
        </w:rPr>
        <w:t>Nektar</w:t>
      </w:r>
      <w:proofErr w:type="spellEnd"/>
      <w:r w:rsidR="0009605A" w:rsidRPr="00384DD9">
        <w:rPr>
          <w:rFonts w:ascii="Book Antiqua" w:hAnsi="Book Antiqua"/>
          <w:sz w:val="24"/>
          <w:szCs w:val="24"/>
          <w:lang w:val="en-US"/>
        </w:rPr>
        <w:t xml:space="preserve"> Therapeutics </w:t>
      </w:r>
      <w:r w:rsidR="000078A2" w:rsidRPr="00384DD9">
        <w:rPr>
          <w:rFonts w:ascii="Book Antiqua" w:hAnsi="Book Antiqua"/>
          <w:sz w:val="24"/>
          <w:szCs w:val="24"/>
          <w:lang w:val="en-US"/>
        </w:rPr>
        <w:t>United Kingdom</w:t>
      </w:r>
      <w:r w:rsidR="0009605A" w:rsidRPr="00384DD9">
        <w:rPr>
          <w:rFonts w:ascii="Book Antiqua" w:hAnsi="Book Antiqua"/>
          <w:sz w:val="24"/>
          <w:szCs w:val="24"/>
          <w:lang w:val="en-US"/>
        </w:rPr>
        <w:t xml:space="preserve"> Ltd, United Kingdom, for amphotericin B (for inhalation use) for the prevention of pulmonary fungal infections in patients deemed at risk</w:t>
      </w:r>
      <w:r w:rsidR="000A47C1">
        <w:rPr>
          <w:rFonts w:ascii="Book Antiqua" w:hAnsi="Book Antiqua" w:hint="eastAsia"/>
          <w:sz w:val="24"/>
          <w:szCs w:val="24"/>
          <w:lang w:val="en-US" w:eastAsia="zh-CN"/>
        </w:rPr>
        <w:t xml:space="preserve">; </w:t>
      </w:r>
      <w:r w:rsidR="000A47C1" w:rsidRPr="000A47C1">
        <w:rPr>
          <w:rFonts w:ascii="Book Antiqua" w:hAnsi="Book Antiqua" w:hint="eastAsia"/>
          <w:sz w:val="24"/>
          <w:szCs w:val="24"/>
          <w:vertAlign w:val="superscript"/>
          <w:lang w:val="en-US" w:eastAsia="zh-CN"/>
        </w:rPr>
        <w:t>2</w:t>
      </w:r>
      <w:r w:rsidR="00C739EE" w:rsidRPr="00384DD9">
        <w:rPr>
          <w:rFonts w:ascii="Book Antiqua" w:hAnsi="Book Antiqua"/>
          <w:sz w:val="24"/>
          <w:szCs w:val="24"/>
          <w:lang w:val="en-US"/>
        </w:rPr>
        <w:t>Pediatric investigation plan agreed with EMA.</w:t>
      </w:r>
    </w:p>
    <w:sectPr w:rsidR="00C739EE" w:rsidRPr="00384DD9" w:rsidSect="007A52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79" w:rsidRDefault="008F1579" w:rsidP="002F2CD5">
      <w:r>
        <w:separator/>
      </w:r>
    </w:p>
  </w:endnote>
  <w:endnote w:type="continuationSeparator" w:id="0">
    <w:p w:rsidR="008F1579" w:rsidRDefault="008F1579" w:rsidP="002F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641"/>
      <w:docPartObj>
        <w:docPartGallery w:val="Page Numbers (Bottom of Page)"/>
        <w:docPartUnique/>
      </w:docPartObj>
    </w:sdtPr>
    <w:sdtEndPr/>
    <w:sdtContent>
      <w:p w:rsidR="00EE29E7" w:rsidRDefault="00EE29E7">
        <w:pPr>
          <w:pStyle w:val="ab"/>
          <w:jc w:val="right"/>
        </w:pPr>
        <w:r>
          <w:fldChar w:fldCharType="begin"/>
        </w:r>
        <w:r>
          <w:instrText xml:space="preserve"> PAGE   \* MERGEFORMAT </w:instrText>
        </w:r>
        <w:r>
          <w:fldChar w:fldCharType="separate"/>
        </w:r>
        <w:r w:rsidR="0010250C">
          <w:rPr>
            <w:noProof/>
          </w:rPr>
          <w:t>32</w:t>
        </w:r>
        <w:r>
          <w:rPr>
            <w:noProof/>
          </w:rPr>
          <w:fldChar w:fldCharType="end"/>
        </w:r>
      </w:p>
    </w:sdtContent>
  </w:sdt>
  <w:p w:rsidR="00EE29E7" w:rsidRDefault="00EE29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79" w:rsidRDefault="008F1579" w:rsidP="002F2CD5">
      <w:r>
        <w:separator/>
      </w:r>
    </w:p>
  </w:footnote>
  <w:footnote w:type="continuationSeparator" w:id="0">
    <w:p w:rsidR="008F1579" w:rsidRDefault="008F1579" w:rsidP="002F2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151"/>
    <w:multiLevelType w:val="hybridMultilevel"/>
    <w:tmpl w:val="E626E8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B17477"/>
    <w:multiLevelType w:val="hybridMultilevel"/>
    <w:tmpl w:val="9F02B9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28439C"/>
    <w:multiLevelType w:val="hybridMultilevel"/>
    <w:tmpl w:val="72360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World Journal of Hepatology&lt;/StartingRefnum&gt;&lt;FontName&gt;Calibri&lt;/FontName&gt;&lt;FontSize&gt;10&lt;/FontSize&gt;&lt;ReflistTitle&gt;References&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DILI&lt;/item&gt;&lt;/Libraries&gt;&lt;/Databases&gt;"/>
  </w:docVars>
  <w:rsids>
    <w:rsidRoot w:val="00170B38"/>
    <w:rsid w:val="000078A2"/>
    <w:rsid w:val="0001051B"/>
    <w:rsid w:val="00010F05"/>
    <w:rsid w:val="000165BD"/>
    <w:rsid w:val="00017DE4"/>
    <w:rsid w:val="00017F0A"/>
    <w:rsid w:val="00020EE0"/>
    <w:rsid w:val="00022948"/>
    <w:rsid w:val="0002486F"/>
    <w:rsid w:val="00025206"/>
    <w:rsid w:val="000262CA"/>
    <w:rsid w:val="00027B19"/>
    <w:rsid w:val="000330EB"/>
    <w:rsid w:val="00035A3C"/>
    <w:rsid w:val="0003771F"/>
    <w:rsid w:val="000417C8"/>
    <w:rsid w:val="00047002"/>
    <w:rsid w:val="0004797C"/>
    <w:rsid w:val="000514AB"/>
    <w:rsid w:val="0005531C"/>
    <w:rsid w:val="00057112"/>
    <w:rsid w:val="000612A3"/>
    <w:rsid w:val="00062331"/>
    <w:rsid w:val="00062CBD"/>
    <w:rsid w:val="00063540"/>
    <w:rsid w:val="00063B43"/>
    <w:rsid w:val="000701D6"/>
    <w:rsid w:val="00073738"/>
    <w:rsid w:val="00074358"/>
    <w:rsid w:val="000772E8"/>
    <w:rsid w:val="00083260"/>
    <w:rsid w:val="000833EC"/>
    <w:rsid w:val="0008340D"/>
    <w:rsid w:val="00086194"/>
    <w:rsid w:val="00090928"/>
    <w:rsid w:val="00090BDA"/>
    <w:rsid w:val="00090FD0"/>
    <w:rsid w:val="000929B8"/>
    <w:rsid w:val="0009605A"/>
    <w:rsid w:val="0009609F"/>
    <w:rsid w:val="00096FF9"/>
    <w:rsid w:val="000A0D62"/>
    <w:rsid w:val="000A33AF"/>
    <w:rsid w:val="000A4109"/>
    <w:rsid w:val="000A47C1"/>
    <w:rsid w:val="000A628C"/>
    <w:rsid w:val="000B5524"/>
    <w:rsid w:val="000C0FD8"/>
    <w:rsid w:val="000C1B9E"/>
    <w:rsid w:val="000C1F08"/>
    <w:rsid w:val="000C29C8"/>
    <w:rsid w:val="000C409D"/>
    <w:rsid w:val="000D021B"/>
    <w:rsid w:val="000D29E1"/>
    <w:rsid w:val="000D6C17"/>
    <w:rsid w:val="000E14F2"/>
    <w:rsid w:val="000E2BFA"/>
    <w:rsid w:val="000E4479"/>
    <w:rsid w:val="000F139F"/>
    <w:rsid w:val="000F20FA"/>
    <w:rsid w:val="000F2172"/>
    <w:rsid w:val="000F4669"/>
    <w:rsid w:val="000F64BC"/>
    <w:rsid w:val="0010250C"/>
    <w:rsid w:val="00102A5E"/>
    <w:rsid w:val="001054F7"/>
    <w:rsid w:val="001109A9"/>
    <w:rsid w:val="00111ED6"/>
    <w:rsid w:val="0011315A"/>
    <w:rsid w:val="00113628"/>
    <w:rsid w:val="00113BB1"/>
    <w:rsid w:val="00115BE9"/>
    <w:rsid w:val="00124F23"/>
    <w:rsid w:val="00125534"/>
    <w:rsid w:val="001318E2"/>
    <w:rsid w:val="0013351F"/>
    <w:rsid w:val="00134E84"/>
    <w:rsid w:val="001354F3"/>
    <w:rsid w:val="001355D1"/>
    <w:rsid w:val="0013717A"/>
    <w:rsid w:val="00141229"/>
    <w:rsid w:val="00141EB4"/>
    <w:rsid w:val="00143871"/>
    <w:rsid w:val="00143E1B"/>
    <w:rsid w:val="00145B57"/>
    <w:rsid w:val="00150BA9"/>
    <w:rsid w:val="00151EA0"/>
    <w:rsid w:val="00153923"/>
    <w:rsid w:val="00156969"/>
    <w:rsid w:val="00160626"/>
    <w:rsid w:val="00160853"/>
    <w:rsid w:val="00163086"/>
    <w:rsid w:val="0016771C"/>
    <w:rsid w:val="00167CE8"/>
    <w:rsid w:val="00170B38"/>
    <w:rsid w:val="00171ADE"/>
    <w:rsid w:val="001728BF"/>
    <w:rsid w:val="00175D55"/>
    <w:rsid w:val="0017678A"/>
    <w:rsid w:val="001778D7"/>
    <w:rsid w:val="00181AB4"/>
    <w:rsid w:val="00182F60"/>
    <w:rsid w:val="00185060"/>
    <w:rsid w:val="00186AA9"/>
    <w:rsid w:val="00191BAB"/>
    <w:rsid w:val="00192195"/>
    <w:rsid w:val="00192F2A"/>
    <w:rsid w:val="00195C9A"/>
    <w:rsid w:val="00195DC6"/>
    <w:rsid w:val="00196230"/>
    <w:rsid w:val="001A35AC"/>
    <w:rsid w:val="001A3A94"/>
    <w:rsid w:val="001A5A0A"/>
    <w:rsid w:val="001B28D9"/>
    <w:rsid w:val="001B5EA1"/>
    <w:rsid w:val="001B7D84"/>
    <w:rsid w:val="001C2CCB"/>
    <w:rsid w:val="001C34D1"/>
    <w:rsid w:val="001C464F"/>
    <w:rsid w:val="001D1E47"/>
    <w:rsid w:val="001D2772"/>
    <w:rsid w:val="001E03DA"/>
    <w:rsid w:val="001E3F15"/>
    <w:rsid w:val="001E5F2D"/>
    <w:rsid w:val="001F65D2"/>
    <w:rsid w:val="002041F3"/>
    <w:rsid w:val="002053D3"/>
    <w:rsid w:val="002059FE"/>
    <w:rsid w:val="002105A0"/>
    <w:rsid w:val="0021135F"/>
    <w:rsid w:val="002131B9"/>
    <w:rsid w:val="00213EB1"/>
    <w:rsid w:val="00214EB9"/>
    <w:rsid w:val="002162E2"/>
    <w:rsid w:val="0022108E"/>
    <w:rsid w:val="00223139"/>
    <w:rsid w:val="00223C94"/>
    <w:rsid w:val="0023020C"/>
    <w:rsid w:val="0023231B"/>
    <w:rsid w:val="00233D0A"/>
    <w:rsid w:val="0023686E"/>
    <w:rsid w:val="002411CC"/>
    <w:rsid w:val="00245B2D"/>
    <w:rsid w:val="0024726A"/>
    <w:rsid w:val="00247D00"/>
    <w:rsid w:val="00252852"/>
    <w:rsid w:val="00255658"/>
    <w:rsid w:val="00255DFF"/>
    <w:rsid w:val="00261B86"/>
    <w:rsid w:val="00262A95"/>
    <w:rsid w:val="00271A38"/>
    <w:rsid w:val="002732D1"/>
    <w:rsid w:val="00274747"/>
    <w:rsid w:val="00274F24"/>
    <w:rsid w:val="00277A4F"/>
    <w:rsid w:val="00281B6C"/>
    <w:rsid w:val="00283947"/>
    <w:rsid w:val="00283A48"/>
    <w:rsid w:val="00283C05"/>
    <w:rsid w:val="00285D41"/>
    <w:rsid w:val="00287223"/>
    <w:rsid w:val="0029020E"/>
    <w:rsid w:val="002903DC"/>
    <w:rsid w:val="00292F3D"/>
    <w:rsid w:val="00293661"/>
    <w:rsid w:val="002A39F4"/>
    <w:rsid w:val="002A6AFC"/>
    <w:rsid w:val="002B2664"/>
    <w:rsid w:val="002B3562"/>
    <w:rsid w:val="002B3BBE"/>
    <w:rsid w:val="002B7017"/>
    <w:rsid w:val="002D0AD4"/>
    <w:rsid w:val="002D0B46"/>
    <w:rsid w:val="002D36D1"/>
    <w:rsid w:val="002D68E5"/>
    <w:rsid w:val="002E0F65"/>
    <w:rsid w:val="002E5B12"/>
    <w:rsid w:val="002E6EFA"/>
    <w:rsid w:val="002E7E43"/>
    <w:rsid w:val="002F161D"/>
    <w:rsid w:val="002F2CD5"/>
    <w:rsid w:val="002F360A"/>
    <w:rsid w:val="002F5649"/>
    <w:rsid w:val="00304461"/>
    <w:rsid w:val="003100AD"/>
    <w:rsid w:val="00310775"/>
    <w:rsid w:val="0031275B"/>
    <w:rsid w:val="003159C3"/>
    <w:rsid w:val="003171F1"/>
    <w:rsid w:val="00317E69"/>
    <w:rsid w:val="003235A5"/>
    <w:rsid w:val="00325D20"/>
    <w:rsid w:val="0034148E"/>
    <w:rsid w:val="003419DE"/>
    <w:rsid w:val="003432CF"/>
    <w:rsid w:val="0035288C"/>
    <w:rsid w:val="0035432E"/>
    <w:rsid w:val="00355A64"/>
    <w:rsid w:val="0036136B"/>
    <w:rsid w:val="00364420"/>
    <w:rsid w:val="0037322D"/>
    <w:rsid w:val="0037353F"/>
    <w:rsid w:val="00373814"/>
    <w:rsid w:val="00375BBD"/>
    <w:rsid w:val="00377FA7"/>
    <w:rsid w:val="003804A8"/>
    <w:rsid w:val="00380564"/>
    <w:rsid w:val="003843FD"/>
    <w:rsid w:val="0038442A"/>
    <w:rsid w:val="00384DD9"/>
    <w:rsid w:val="003859CA"/>
    <w:rsid w:val="003869DA"/>
    <w:rsid w:val="00387837"/>
    <w:rsid w:val="00387FEC"/>
    <w:rsid w:val="003A10D2"/>
    <w:rsid w:val="003A2C58"/>
    <w:rsid w:val="003A4400"/>
    <w:rsid w:val="003B0E21"/>
    <w:rsid w:val="003B2CEF"/>
    <w:rsid w:val="003B3616"/>
    <w:rsid w:val="003B371A"/>
    <w:rsid w:val="003C0FAE"/>
    <w:rsid w:val="003C1CFC"/>
    <w:rsid w:val="003C278E"/>
    <w:rsid w:val="003D48E2"/>
    <w:rsid w:val="003D5498"/>
    <w:rsid w:val="003D6FA0"/>
    <w:rsid w:val="003E47D8"/>
    <w:rsid w:val="003E711A"/>
    <w:rsid w:val="003F1FE1"/>
    <w:rsid w:val="003F3470"/>
    <w:rsid w:val="003F3520"/>
    <w:rsid w:val="003F6A52"/>
    <w:rsid w:val="003F6F27"/>
    <w:rsid w:val="003F7BED"/>
    <w:rsid w:val="0040200C"/>
    <w:rsid w:val="00405427"/>
    <w:rsid w:val="00406444"/>
    <w:rsid w:val="0040780F"/>
    <w:rsid w:val="00414948"/>
    <w:rsid w:val="00420C5F"/>
    <w:rsid w:val="00420CDB"/>
    <w:rsid w:val="00421589"/>
    <w:rsid w:val="00421EC0"/>
    <w:rsid w:val="00431EC9"/>
    <w:rsid w:val="00432C15"/>
    <w:rsid w:val="00433FBB"/>
    <w:rsid w:val="00443071"/>
    <w:rsid w:val="0044504F"/>
    <w:rsid w:val="0045325D"/>
    <w:rsid w:val="0045367D"/>
    <w:rsid w:val="004549F4"/>
    <w:rsid w:val="0045507E"/>
    <w:rsid w:val="004554A7"/>
    <w:rsid w:val="0045584A"/>
    <w:rsid w:val="00462724"/>
    <w:rsid w:val="004629E4"/>
    <w:rsid w:val="00464A53"/>
    <w:rsid w:val="0048004B"/>
    <w:rsid w:val="004806C7"/>
    <w:rsid w:val="004811D6"/>
    <w:rsid w:val="00485001"/>
    <w:rsid w:val="00494CB3"/>
    <w:rsid w:val="004A107F"/>
    <w:rsid w:val="004A1CAD"/>
    <w:rsid w:val="004A1E50"/>
    <w:rsid w:val="004A2BC8"/>
    <w:rsid w:val="004A71BD"/>
    <w:rsid w:val="004A78E7"/>
    <w:rsid w:val="004A7D71"/>
    <w:rsid w:val="004B286C"/>
    <w:rsid w:val="004B6A36"/>
    <w:rsid w:val="004C1D71"/>
    <w:rsid w:val="004C2002"/>
    <w:rsid w:val="004C57E4"/>
    <w:rsid w:val="004C6878"/>
    <w:rsid w:val="004C7726"/>
    <w:rsid w:val="004C7727"/>
    <w:rsid w:val="004C7B2E"/>
    <w:rsid w:val="004D1284"/>
    <w:rsid w:val="004D1AC9"/>
    <w:rsid w:val="004D24B6"/>
    <w:rsid w:val="004D6E68"/>
    <w:rsid w:val="004D7ED4"/>
    <w:rsid w:val="004E1987"/>
    <w:rsid w:val="004E2040"/>
    <w:rsid w:val="004E4200"/>
    <w:rsid w:val="004F05CC"/>
    <w:rsid w:val="004F18CE"/>
    <w:rsid w:val="004F20C2"/>
    <w:rsid w:val="004F664C"/>
    <w:rsid w:val="004F6E5D"/>
    <w:rsid w:val="005003D8"/>
    <w:rsid w:val="005009A8"/>
    <w:rsid w:val="0050378A"/>
    <w:rsid w:val="00506457"/>
    <w:rsid w:val="00507731"/>
    <w:rsid w:val="00511791"/>
    <w:rsid w:val="005128B0"/>
    <w:rsid w:val="0051534C"/>
    <w:rsid w:val="005211F4"/>
    <w:rsid w:val="005225E8"/>
    <w:rsid w:val="00525251"/>
    <w:rsid w:val="005337A6"/>
    <w:rsid w:val="00533ACC"/>
    <w:rsid w:val="00534EA1"/>
    <w:rsid w:val="00541DA9"/>
    <w:rsid w:val="00542FC2"/>
    <w:rsid w:val="00553915"/>
    <w:rsid w:val="00555B8A"/>
    <w:rsid w:val="00557028"/>
    <w:rsid w:val="00560497"/>
    <w:rsid w:val="00563703"/>
    <w:rsid w:val="00565911"/>
    <w:rsid w:val="00565F54"/>
    <w:rsid w:val="00571E1D"/>
    <w:rsid w:val="00573797"/>
    <w:rsid w:val="00574BB4"/>
    <w:rsid w:val="00576D84"/>
    <w:rsid w:val="00577EA4"/>
    <w:rsid w:val="005810A1"/>
    <w:rsid w:val="00582B11"/>
    <w:rsid w:val="00583412"/>
    <w:rsid w:val="00585A59"/>
    <w:rsid w:val="00586DD4"/>
    <w:rsid w:val="005878D2"/>
    <w:rsid w:val="00587DA1"/>
    <w:rsid w:val="0059030D"/>
    <w:rsid w:val="00593946"/>
    <w:rsid w:val="00595457"/>
    <w:rsid w:val="00596152"/>
    <w:rsid w:val="005967B5"/>
    <w:rsid w:val="00596CFE"/>
    <w:rsid w:val="005A7AAF"/>
    <w:rsid w:val="005B1C0D"/>
    <w:rsid w:val="005B38EE"/>
    <w:rsid w:val="005B5E02"/>
    <w:rsid w:val="005B672F"/>
    <w:rsid w:val="005B6968"/>
    <w:rsid w:val="005C1BE3"/>
    <w:rsid w:val="005C1E19"/>
    <w:rsid w:val="005D01AB"/>
    <w:rsid w:val="005D10AB"/>
    <w:rsid w:val="005D3693"/>
    <w:rsid w:val="005D688F"/>
    <w:rsid w:val="005D74F3"/>
    <w:rsid w:val="005D762C"/>
    <w:rsid w:val="005E1B73"/>
    <w:rsid w:val="005E2C0D"/>
    <w:rsid w:val="005F38D4"/>
    <w:rsid w:val="005F4D35"/>
    <w:rsid w:val="005F6D58"/>
    <w:rsid w:val="00600879"/>
    <w:rsid w:val="00600F66"/>
    <w:rsid w:val="00606178"/>
    <w:rsid w:val="00611F1C"/>
    <w:rsid w:val="006174EA"/>
    <w:rsid w:val="006235B6"/>
    <w:rsid w:val="006243EC"/>
    <w:rsid w:val="00626CDE"/>
    <w:rsid w:val="006270BD"/>
    <w:rsid w:val="00627A04"/>
    <w:rsid w:val="006315B4"/>
    <w:rsid w:val="00635C0A"/>
    <w:rsid w:val="00636899"/>
    <w:rsid w:val="00636B56"/>
    <w:rsid w:val="00637D6B"/>
    <w:rsid w:val="006416CF"/>
    <w:rsid w:val="00643DA8"/>
    <w:rsid w:val="00645700"/>
    <w:rsid w:val="0064571D"/>
    <w:rsid w:val="0064682B"/>
    <w:rsid w:val="00646C68"/>
    <w:rsid w:val="00654555"/>
    <w:rsid w:val="006548A0"/>
    <w:rsid w:val="00655591"/>
    <w:rsid w:val="00655657"/>
    <w:rsid w:val="00657242"/>
    <w:rsid w:val="00657D9A"/>
    <w:rsid w:val="00661217"/>
    <w:rsid w:val="00661813"/>
    <w:rsid w:val="00662246"/>
    <w:rsid w:val="006629B1"/>
    <w:rsid w:val="00663A39"/>
    <w:rsid w:val="00663E85"/>
    <w:rsid w:val="00664444"/>
    <w:rsid w:val="006657E0"/>
    <w:rsid w:val="00670362"/>
    <w:rsid w:val="0067219A"/>
    <w:rsid w:val="00672FBF"/>
    <w:rsid w:val="00675C29"/>
    <w:rsid w:val="006806DB"/>
    <w:rsid w:val="00682260"/>
    <w:rsid w:val="006844F6"/>
    <w:rsid w:val="0068517F"/>
    <w:rsid w:val="00686D5E"/>
    <w:rsid w:val="006878A6"/>
    <w:rsid w:val="00691289"/>
    <w:rsid w:val="00691543"/>
    <w:rsid w:val="006951EE"/>
    <w:rsid w:val="00695AD1"/>
    <w:rsid w:val="006A1095"/>
    <w:rsid w:val="006A2E65"/>
    <w:rsid w:val="006A74F7"/>
    <w:rsid w:val="006A7C47"/>
    <w:rsid w:val="006B262D"/>
    <w:rsid w:val="006B6EB4"/>
    <w:rsid w:val="006B72D8"/>
    <w:rsid w:val="006B7F60"/>
    <w:rsid w:val="006C20DD"/>
    <w:rsid w:val="006D0300"/>
    <w:rsid w:val="006D3A6A"/>
    <w:rsid w:val="006D463E"/>
    <w:rsid w:val="006D798D"/>
    <w:rsid w:val="006E2E12"/>
    <w:rsid w:val="006E5ABA"/>
    <w:rsid w:val="006E616B"/>
    <w:rsid w:val="006E71D7"/>
    <w:rsid w:val="006F141D"/>
    <w:rsid w:val="006F4C03"/>
    <w:rsid w:val="006F74CB"/>
    <w:rsid w:val="0070073D"/>
    <w:rsid w:val="00703107"/>
    <w:rsid w:val="00706611"/>
    <w:rsid w:val="00706D6E"/>
    <w:rsid w:val="0070786B"/>
    <w:rsid w:val="0071016B"/>
    <w:rsid w:val="007109F8"/>
    <w:rsid w:val="00710DBE"/>
    <w:rsid w:val="007127D7"/>
    <w:rsid w:val="00725812"/>
    <w:rsid w:val="00725B3C"/>
    <w:rsid w:val="0072799D"/>
    <w:rsid w:val="007413AA"/>
    <w:rsid w:val="00744B8D"/>
    <w:rsid w:val="00745C25"/>
    <w:rsid w:val="0074703B"/>
    <w:rsid w:val="00753355"/>
    <w:rsid w:val="0075478F"/>
    <w:rsid w:val="00760399"/>
    <w:rsid w:val="007606D2"/>
    <w:rsid w:val="007671E2"/>
    <w:rsid w:val="00774ED3"/>
    <w:rsid w:val="0077522F"/>
    <w:rsid w:val="00775EC0"/>
    <w:rsid w:val="00776084"/>
    <w:rsid w:val="00784FAC"/>
    <w:rsid w:val="00791215"/>
    <w:rsid w:val="0079260E"/>
    <w:rsid w:val="0079502B"/>
    <w:rsid w:val="00796A6F"/>
    <w:rsid w:val="00797975"/>
    <w:rsid w:val="007A0037"/>
    <w:rsid w:val="007A5294"/>
    <w:rsid w:val="007A76EA"/>
    <w:rsid w:val="007A7FD4"/>
    <w:rsid w:val="007B08DB"/>
    <w:rsid w:val="007B098C"/>
    <w:rsid w:val="007B0A33"/>
    <w:rsid w:val="007B1979"/>
    <w:rsid w:val="007B455F"/>
    <w:rsid w:val="007B6947"/>
    <w:rsid w:val="007C07BE"/>
    <w:rsid w:val="007C091F"/>
    <w:rsid w:val="007C1442"/>
    <w:rsid w:val="007C14A2"/>
    <w:rsid w:val="007C2003"/>
    <w:rsid w:val="007C29AE"/>
    <w:rsid w:val="007C2DF2"/>
    <w:rsid w:val="007D14E7"/>
    <w:rsid w:val="007D45D4"/>
    <w:rsid w:val="007D6E17"/>
    <w:rsid w:val="007E16A6"/>
    <w:rsid w:val="007E2AE4"/>
    <w:rsid w:val="007F1A7E"/>
    <w:rsid w:val="007F520A"/>
    <w:rsid w:val="007F6D55"/>
    <w:rsid w:val="007F7E04"/>
    <w:rsid w:val="0080321C"/>
    <w:rsid w:val="00805F42"/>
    <w:rsid w:val="00807DA1"/>
    <w:rsid w:val="00810CBF"/>
    <w:rsid w:val="008134F3"/>
    <w:rsid w:val="00813B54"/>
    <w:rsid w:val="00814338"/>
    <w:rsid w:val="008155EA"/>
    <w:rsid w:val="0081635D"/>
    <w:rsid w:val="00817BDE"/>
    <w:rsid w:val="008209D6"/>
    <w:rsid w:val="00820F53"/>
    <w:rsid w:val="00821AB3"/>
    <w:rsid w:val="0082465B"/>
    <w:rsid w:val="008306E0"/>
    <w:rsid w:val="0083130E"/>
    <w:rsid w:val="00834F14"/>
    <w:rsid w:val="0083611D"/>
    <w:rsid w:val="008372BB"/>
    <w:rsid w:val="00840466"/>
    <w:rsid w:val="008432A3"/>
    <w:rsid w:val="0084639F"/>
    <w:rsid w:val="00850E51"/>
    <w:rsid w:val="00852FDC"/>
    <w:rsid w:val="0085703C"/>
    <w:rsid w:val="00864CA8"/>
    <w:rsid w:val="00865E4E"/>
    <w:rsid w:val="008661BF"/>
    <w:rsid w:val="0087129E"/>
    <w:rsid w:val="0087211F"/>
    <w:rsid w:val="00873E6E"/>
    <w:rsid w:val="0087666A"/>
    <w:rsid w:val="00876BC1"/>
    <w:rsid w:val="00883BC2"/>
    <w:rsid w:val="00884E4F"/>
    <w:rsid w:val="008850E9"/>
    <w:rsid w:val="00891F22"/>
    <w:rsid w:val="008920C4"/>
    <w:rsid w:val="0089530A"/>
    <w:rsid w:val="008976C3"/>
    <w:rsid w:val="008A5E7F"/>
    <w:rsid w:val="008A5FA2"/>
    <w:rsid w:val="008A6673"/>
    <w:rsid w:val="008B4F19"/>
    <w:rsid w:val="008C0C5E"/>
    <w:rsid w:val="008C73DF"/>
    <w:rsid w:val="008D209B"/>
    <w:rsid w:val="008D343B"/>
    <w:rsid w:val="008D476C"/>
    <w:rsid w:val="008E6394"/>
    <w:rsid w:val="008F1579"/>
    <w:rsid w:val="008F1AD0"/>
    <w:rsid w:val="008F5648"/>
    <w:rsid w:val="008F653E"/>
    <w:rsid w:val="008F6670"/>
    <w:rsid w:val="00902167"/>
    <w:rsid w:val="00904021"/>
    <w:rsid w:val="00907ED5"/>
    <w:rsid w:val="00910AB7"/>
    <w:rsid w:val="00911B8D"/>
    <w:rsid w:val="00916F87"/>
    <w:rsid w:val="009171E0"/>
    <w:rsid w:val="00922AF6"/>
    <w:rsid w:val="009251B9"/>
    <w:rsid w:val="0092586D"/>
    <w:rsid w:val="00926C04"/>
    <w:rsid w:val="00930354"/>
    <w:rsid w:val="00933AC4"/>
    <w:rsid w:val="00940462"/>
    <w:rsid w:val="009547F2"/>
    <w:rsid w:val="00955D05"/>
    <w:rsid w:val="00960850"/>
    <w:rsid w:val="0096334F"/>
    <w:rsid w:val="00963535"/>
    <w:rsid w:val="00966240"/>
    <w:rsid w:val="009662C2"/>
    <w:rsid w:val="00981515"/>
    <w:rsid w:val="0098152E"/>
    <w:rsid w:val="0098195B"/>
    <w:rsid w:val="00981A3A"/>
    <w:rsid w:val="00981BE0"/>
    <w:rsid w:val="00982AED"/>
    <w:rsid w:val="00982FC1"/>
    <w:rsid w:val="0098780E"/>
    <w:rsid w:val="0099050F"/>
    <w:rsid w:val="009905A9"/>
    <w:rsid w:val="0099078C"/>
    <w:rsid w:val="00993819"/>
    <w:rsid w:val="00993F81"/>
    <w:rsid w:val="00994E8A"/>
    <w:rsid w:val="009955AB"/>
    <w:rsid w:val="00995CF2"/>
    <w:rsid w:val="00995FB8"/>
    <w:rsid w:val="009A1CC7"/>
    <w:rsid w:val="009A286E"/>
    <w:rsid w:val="009A624B"/>
    <w:rsid w:val="009A7650"/>
    <w:rsid w:val="009B0B44"/>
    <w:rsid w:val="009B2A31"/>
    <w:rsid w:val="009B3FA7"/>
    <w:rsid w:val="009B4E3C"/>
    <w:rsid w:val="009C1F01"/>
    <w:rsid w:val="009C24C5"/>
    <w:rsid w:val="009C3E7F"/>
    <w:rsid w:val="009C4701"/>
    <w:rsid w:val="009D2525"/>
    <w:rsid w:val="009D4B31"/>
    <w:rsid w:val="009D4E98"/>
    <w:rsid w:val="009D4F62"/>
    <w:rsid w:val="009D5AC2"/>
    <w:rsid w:val="009D6BC3"/>
    <w:rsid w:val="009D7F37"/>
    <w:rsid w:val="009E0786"/>
    <w:rsid w:val="009E0882"/>
    <w:rsid w:val="009E220B"/>
    <w:rsid w:val="009E6CDB"/>
    <w:rsid w:val="009F673C"/>
    <w:rsid w:val="009F7A5D"/>
    <w:rsid w:val="009F7DDC"/>
    <w:rsid w:val="00A00377"/>
    <w:rsid w:val="00A01822"/>
    <w:rsid w:val="00A05D6A"/>
    <w:rsid w:val="00A07B6F"/>
    <w:rsid w:val="00A10122"/>
    <w:rsid w:val="00A11002"/>
    <w:rsid w:val="00A20A87"/>
    <w:rsid w:val="00A236D7"/>
    <w:rsid w:val="00A23C89"/>
    <w:rsid w:val="00A23F9A"/>
    <w:rsid w:val="00A269BF"/>
    <w:rsid w:val="00A32440"/>
    <w:rsid w:val="00A34291"/>
    <w:rsid w:val="00A42709"/>
    <w:rsid w:val="00A452DF"/>
    <w:rsid w:val="00A46597"/>
    <w:rsid w:val="00A46A74"/>
    <w:rsid w:val="00A47671"/>
    <w:rsid w:val="00A4771B"/>
    <w:rsid w:val="00A54418"/>
    <w:rsid w:val="00A550D9"/>
    <w:rsid w:val="00A61164"/>
    <w:rsid w:val="00A65589"/>
    <w:rsid w:val="00A74B16"/>
    <w:rsid w:val="00A7603D"/>
    <w:rsid w:val="00A8698A"/>
    <w:rsid w:val="00A86F32"/>
    <w:rsid w:val="00A9618B"/>
    <w:rsid w:val="00AA00DE"/>
    <w:rsid w:val="00AA1631"/>
    <w:rsid w:val="00AA22FA"/>
    <w:rsid w:val="00AA6D20"/>
    <w:rsid w:val="00AB0B55"/>
    <w:rsid w:val="00AB13BA"/>
    <w:rsid w:val="00AB4802"/>
    <w:rsid w:val="00AC0F3C"/>
    <w:rsid w:val="00AC2703"/>
    <w:rsid w:val="00AC4212"/>
    <w:rsid w:val="00AC4695"/>
    <w:rsid w:val="00AC4E0F"/>
    <w:rsid w:val="00AC5C64"/>
    <w:rsid w:val="00AC6F37"/>
    <w:rsid w:val="00AD557D"/>
    <w:rsid w:val="00AD589D"/>
    <w:rsid w:val="00AE2C8F"/>
    <w:rsid w:val="00AE6DDD"/>
    <w:rsid w:val="00AF0994"/>
    <w:rsid w:val="00AF3149"/>
    <w:rsid w:val="00AF6B51"/>
    <w:rsid w:val="00B0367B"/>
    <w:rsid w:val="00B045B9"/>
    <w:rsid w:val="00B1068B"/>
    <w:rsid w:val="00B1242B"/>
    <w:rsid w:val="00B126DD"/>
    <w:rsid w:val="00B1325C"/>
    <w:rsid w:val="00B132B8"/>
    <w:rsid w:val="00B15D3F"/>
    <w:rsid w:val="00B160CD"/>
    <w:rsid w:val="00B23101"/>
    <w:rsid w:val="00B2583E"/>
    <w:rsid w:val="00B278D4"/>
    <w:rsid w:val="00B31EF8"/>
    <w:rsid w:val="00B32395"/>
    <w:rsid w:val="00B32F97"/>
    <w:rsid w:val="00B3746E"/>
    <w:rsid w:val="00B37BE5"/>
    <w:rsid w:val="00B46928"/>
    <w:rsid w:val="00B5466E"/>
    <w:rsid w:val="00B56281"/>
    <w:rsid w:val="00B73B8F"/>
    <w:rsid w:val="00B747DD"/>
    <w:rsid w:val="00B7557D"/>
    <w:rsid w:val="00B75D62"/>
    <w:rsid w:val="00B77829"/>
    <w:rsid w:val="00B83DBD"/>
    <w:rsid w:val="00B86E47"/>
    <w:rsid w:val="00B9136C"/>
    <w:rsid w:val="00B96807"/>
    <w:rsid w:val="00B9749F"/>
    <w:rsid w:val="00B977AE"/>
    <w:rsid w:val="00BA1500"/>
    <w:rsid w:val="00BA3CF6"/>
    <w:rsid w:val="00BA7416"/>
    <w:rsid w:val="00BB1D14"/>
    <w:rsid w:val="00BB479F"/>
    <w:rsid w:val="00BC377B"/>
    <w:rsid w:val="00BC6027"/>
    <w:rsid w:val="00BC7024"/>
    <w:rsid w:val="00BC76AA"/>
    <w:rsid w:val="00BD0AC0"/>
    <w:rsid w:val="00BD1128"/>
    <w:rsid w:val="00BD2C7D"/>
    <w:rsid w:val="00BD2D58"/>
    <w:rsid w:val="00BD42EE"/>
    <w:rsid w:val="00BE1E61"/>
    <w:rsid w:val="00BE1F51"/>
    <w:rsid w:val="00BE615D"/>
    <w:rsid w:val="00BE7E9F"/>
    <w:rsid w:val="00BF0B4C"/>
    <w:rsid w:val="00BF1A71"/>
    <w:rsid w:val="00BF2953"/>
    <w:rsid w:val="00BF3F60"/>
    <w:rsid w:val="00BF4D7E"/>
    <w:rsid w:val="00BF7E61"/>
    <w:rsid w:val="00C062C1"/>
    <w:rsid w:val="00C135B7"/>
    <w:rsid w:val="00C20EE1"/>
    <w:rsid w:val="00C21FED"/>
    <w:rsid w:val="00C23C98"/>
    <w:rsid w:val="00C247F5"/>
    <w:rsid w:val="00C269D0"/>
    <w:rsid w:val="00C26EEC"/>
    <w:rsid w:val="00C31B23"/>
    <w:rsid w:val="00C323BB"/>
    <w:rsid w:val="00C36171"/>
    <w:rsid w:val="00C4060A"/>
    <w:rsid w:val="00C4196E"/>
    <w:rsid w:val="00C41B2D"/>
    <w:rsid w:val="00C4707D"/>
    <w:rsid w:val="00C473E4"/>
    <w:rsid w:val="00C50830"/>
    <w:rsid w:val="00C5151C"/>
    <w:rsid w:val="00C61154"/>
    <w:rsid w:val="00C66A3A"/>
    <w:rsid w:val="00C6796A"/>
    <w:rsid w:val="00C739EE"/>
    <w:rsid w:val="00C7658A"/>
    <w:rsid w:val="00C77D63"/>
    <w:rsid w:val="00C8154D"/>
    <w:rsid w:val="00C918B0"/>
    <w:rsid w:val="00C937D5"/>
    <w:rsid w:val="00C93A5A"/>
    <w:rsid w:val="00C94B07"/>
    <w:rsid w:val="00C94D58"/>
    <w:rsid w:val="00C95635"/>
    <w:rsid w:val="00CA0118"/>
    <w:rsid w:val="00CA374A"/>
    <w:rsid w:val="00CA4156"/>
    <w:rsid w:val="00CA4D45"/>
    <w:rsid w:val="00CB03FB"/>
    <w:rsid w:val="00CB0EA0"/>
    <w:rsid w:val="00CB41BF"/>
    <w:rsid w:val="00CB7046"/>
    <w:rsid w:val="00CC0553"/>
    <w:rsid w:val="00CC53D5"/>
    <w:rsid w:val="00CD242A"/>
    <w:rsid w:val="00CD2D84"/>
    <w:rsid w:val="00CD5C10"/>
    <w:rsid w:val="00CE1E63"/>
    <w:rsid w:val="00CE23B3"/>
    <w:rsid w:val="00CE4495"/>
    <w:rsid w:val="00CF326C"/>
    <w:rsid w:val="00CF41FE"/>
    <w:rsid w:val="00D0006C"/>
    <w:rsid w:val="00D000FD"/>
    <w:rsid w:val="00D029B1"/>
    <w:rsid w:val="00D038C5"/>
    <w:rsid w:val="00D03B29"/>
    <w:rsid w:val="00D07DE8"/>
    <w:rsid w:val="00D108B9"/>
    <w:rsid w:val="00D156C8"/>
    <w:rsid w:val="00D16EA2"/>
    <w:rsid w:val="00D20CF3"/>
    <w:rsid w:val="00D21178"/>
    <w:rsid w:val="00D24A4B"/>
    <w:rsid w:val="00D2530E"/>
    <w:rsid w:val="00D259C2"/>
    <w:rsid w:val="00D276A2"/>
    <w:rsid w:val="00D27B05"/>
    <w:rsid w:val="00D327F8"/>
    <w:rsid w:val="00D32F0D"/>
    <w:rsid w:val="00D34894"/>
    <w:rsid w:val="00D35DA1"/>
    <w:rsid w:val="00D37163"/>
    <w:rsid w:val="00D3782E"/>
    <w:rsid w:val="00D404EE"/>
    <w:rsid w:val="00D42346"/>
    <w:rsid w:val="00D43402"/>
    <w:rsid w:val="00D4443F"/>
    <w:rsid w:val="00D45D81"/>
    <w:rsid w:val="00D45E12"/>
    <w:rsid w:val="00D46AD0"/>
    <w:rsid w:val="00D46F38"/>
    <w:rsid w:val="00D472C4"/>
    <w:rsid w:val="00D47ABB"/>
    <w:rsid w:val="00D517CC"/>
    <w:rsid w:val="00D54896"/>
    <w:rsid w:val="00D54D8F"/>
    <w:rsid w:val="00D61B0C"/>
    <w:rsid w:val="00D62FAC"/>
    <w:rsid w:val="00D632A9"/>
    <w:rsid w:val="00D6596E"/>
    <w:rsid w:val="00D72BC5"/>
    <w:rsid w:val="00D72CB6"/>
    <w:rsid w:val="00D7399C"/>
    <w:rsid w:val="00D76393"/>
    <w:rsid w:val="00D82475"/>
    <w:rsid w:val="00D82BD4"/>
    <w:rsid w:val="00D84403"/>
    <w:rsid w:val="00D86BF7"/>
    <w:rsid w:val="00D875BE"/>
    <w:rsid w:val="00D93B56"/>
    <w:rsid w:val="00DA2BD6"/>
    <w:rsid w:val="00DA3C5A"/>
    <w:rsid w:val="00DA3F8D"/>
    <w:rsid w:val="00DA6AA0"/>
    <w:rsid w:val="00DA72AD"/>
    <w:rsid w:val="00DB0508"/>
    <w:rsid w:val="00DB3897"/>
    <w:rsid w:val="00DB636F"/>
    <w:rsid w:val="00DB70EE"/>
    <w:rsid w:val="00DB76FE"/>
    <w:rsid w:val="00DC2CB1"/>
    <w:rsid w:val="00DC3229"/>
    <w:rsid w:val="00DD33D5"/>
    <w:rsid w:val="00DD4D11"/>
    <w:rsid w:val="00DD68D6"/>
    <w:rsid w:val="00DE0E21"/>
    <w:rsid w:val="00DE1BA2"/>
    <w:rsid w:val="00DE1E6B"/>
    <w:rsid w:val="00DE7A24"/>
    <w:rsid w:val="00DF0DEA"/>
    <w:rsid w:val="00DF1D30"/>
    <w:rsid w:val="00E00AB2"/>
    <w:rsid w:val="00E03A1A"/>
    <w:rsid w:val="00E07EE3"/>
    <w:rsid w:val="00E11D30"/>
    <w:rsid w:val="00E1403F"/>
    <w:rsid w:val="00E21D99"/>
    <w:rsid w:val="00E2242D"/>
    <w:rsid w:val="00E24315"/>
    <w:rsid w:val="00E255BC"/>
    <w:rsid w:val="00E32009"/>
    <w:rsid w:val="00E3490E"/>
    <w:rsid w:val="00E36D0C"/>
    <w:rsid w:val="00E37676"/>
    <w:rsid w:val="00E515DD"/>
    <w:rsid w:val="00E520BA"/>
    <w:rsid w:val="00E52D5A"/>
    <w:rsid w:val="00E54336"/>
    <w:rsid w:val="00E554E5"/>
    <w:rsid w:val="00E60C06"/>
    <w:rsid w:val="00E61C6B"/>
    <w:rsid w:val="00E64D62"/>
    <w:rsid w:val="00E66A61"/>
    <w:rsid w:val="00E66B42"/>
    <w:rsid w:val="00E7028C"/>
    <w:rsid w:val="00E71605"/>
    <w:rsid w:val="00E74C44"/>
    <w:rsid w:val="00E75825"/>
    <w:rsid w:val="00E80FB4"/>
    <w:rsid w:val="00E81452"/>
    <w:rsid w:val="00E826AB"/>
    <w:rsid w:val="00E855D1"/>
    <w:rsid w:val="00E90892"/>
    <w:rsid w:val="00E921EF"/>
    <w:rsid w:val="00E9360B"/>
    <w:rsid w:val="00E95CA4"/>
    <w:rsid w:val="00E96AD3"/>
    <w:rsid w:val="00EA4FA1"/>
    <w:rsid w:val="00EB1A7A"/>
    <w:rsid w:val="00EB4E30"/>
    <w:rsid w:val="00EC430D"/>
    <w:rsid w:val="00EC6011"/>
    <w:rsid w:val="00ED033C"/>
    <w:rsid w:val="00ED336B"/>
    <w:rsid w:val="00ED562D"/>
    <w:rsid w:val="00EE29E7"/>
    <w:rsid w:val="00EE3BCE"/>
    <w:rsid w:val="00EE3F5E"/>
    <w:rsid w:val="00EF4DC2"/>
    <w:rsid w:val="00EF549D"/>
    <w:rsid w:val="00F01E6C"/>
    <w:rsid w:val="00F02129"/>
    <w:rsid w:val="00F04026"/>
    <w:rsid w:val="00F04BDC"/>
    <w:rsid w:val="00F05F4B"/>
    <w:rsid w:val="00F119D2"/>
    <w:rsid w:val="00F14381"/>
    <w:rsid w:val="00F14BC8"/>
    <w:rsid w:val="00F152D8"/>
    <w:rsid w:val="00F15323"/>
    <w:rsid w:val="00F17B76"/>
    <w:rsid w:val="00F17FF3"/>
    <w:rsid w:val="00F2416E"/>
    <w:rsid w:val="00F275A3"/>
    <w:rsid w:val="00F31621"/>
    <w:rsid w:val="00F31DA8"/>
    <w:rsid w:val="00F31FA9"/>
    <w:rsid w:val="00F32128"/>
    <w:rsid w:val="00F345C7"/>
    <w:rsid w:val="00F359C4"/>
    <w:rsid w:val="00F3795C"/>
    <w:rsid w:val="00F4396E"/>
    <w:rsid w:val="00F448F1"/>
    <w:rsid w:val="00F44E5D"/>
    <w:rsid w:val="00F4666E"/>
    <w:rsid w:val="00F5147C"/>
    <w:rsid w:val="00F57975"/>
    <w:rsid w:val="00F616DE"/>
    <w:rsid w:val="00F64D23"/>
    <w:rsid w:val="00F67501"/>
    <w:rsid w:val="00F70EE3"/>
    <w:rsid w:val="00F746E8"/>
    <w:rsid w:val="00F77CAA"/>
    <w:rsid w:val="00F86E83"/>
    <w:rsid w:val="00F97E18"/>
    <w:rsid w:val="00FB2690"/>
    <w:rsid w:val="00FB48B7"/>
    <w:rsid w:val="00FB6F23"/>
    <w:rsid w:val="00FB7052"/>
    <w:rsid w:val="00FB7CB3"/>
    <w:rsid w:val="00FC1B46"/>
    <w:rsid w:val="00FC63D3"/>
    <w:rsid w:val="00FC6FB7"/>
    <w:rsid w:val="00FC7A8C"/>
    <w:rsid w:val="00FD02C5"/>
    <w:rsid w:val="00FD420F"/>
    <w:rsid w:val="00FD47EA"/>
    <w:rsid w:val="00FE0E5F"/>
    <w:rsid w:val="00FE1FE8"/>
    <w:rsid w:val="00FE4D5B"/>
    <w:rsid w:val="00FE7393"/>
    <w:rsid w:val="00FE7DB1"/>
    <w:rsid w:val="00FF2E48"/>
    <w:rsid w:val="00FF68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D4"/>
    <w:pPr>
      <w:spacing w:after="0" w:line="240" w:lineRule="auto"/>
    </w:pPr>
    <w:rPr>
      <w:rFonts w:ascii="Calibri" w:hAnsi="Calibri" w:cs="Times New Roman"/>
    </w:rPr>
  </w:style>
  <w:style w:type="paragraph" w:styleId="1">
    <w:name w:val="heading 1"/>
    <w:basedOn w:val="a"/>
    <w:link w:val="1Char"/>
    <w:uiPriority w:val="9"/>
    <w:qFormat/>
    <w:rsid w:val="00B9749F"/>
    <w:pPr>
      <w:spacing w:before="240" w:after="120"/>
      <w:outlineLvl w:val="0"/>
    </w:pPr>
    <w:rPr>
      <w:rFonts w:ascii="Times New Roman" w:eastAsia="Times New Roman" w:hAnsi="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BC3"/>
    <w:pPr>
      <w:ind w:left="720"/>
      <w:contextualSpacing/>
    </w:pPr>
  </w:style>
  <w:style w:type="character" w:styleId="a5">
    <w:name w:val="Placeholder Text"/>
    <w:basedOn w:val="a0"/>
    <w:uiPriority w:val="99"/>
    <w:semiHidden/>
    <w:rsid w:val="00BD2C7D"/>
    <w:rPr>
      <w:color w:val="808080"/>
    </w:rPr>
  </w:style>
  <w:style w:type="paragraph" w:styleId="a6">
    <w:name w:val="Balloon Text"/>
    <w:basedOn w:val="a"/>
    <w:link w:val="Char"/>
    <w:uiPriority w:val="99"/>
    <w:semiHidden/>
    <w:unhideWhenUsed/>
    <w:rsid w:val="00BD2C7D"/>
    <w:rPr>
      <w:rFonts w:ascii="Tahoma" w:hAnsi="Tahoma" w:cs="Tahoma"/>
      <w:sz w:val="16"/>
      <w:szCs w:val="16"/>
    </w:rPr>
  </w:style>
  <w:style w:type="character" w:customStyle="1" w:styleId="Char">
    <w:name w:val="批注框文本 Char"/>
    <w:basedOn w:val="a0"/>
    <w:link w:val="a6"/>
    <w:uiPriority w:val="99"/>
    <w:semiHidden/>
    <w:rsid w:val="00BD2C7D"/>
    <w:rPr>
      <w:rFonts w:ascii="Tahoma" w:hAnsi="Tahoma" w:cs="Tahoma"/>
      <w:sz w:val="16"/>
      <w:szCs w:val="16"/>
    </w:rPr>
  </w:style>
  <w:style w:type="character" w:styleId="a7">
    <w:name w:val="annotation reference"/>
    <w:basedOn w:val="a0"/>
    <w:uiPriority w:val="99"/>
    <w:semiHidden/>
    <w:unhideWhenUsed/>
    <w:rsid w:val="007A0037"/>
    <w:rPr>
      <w:sz w:val="16"/>
      <w:szCs w:val="16"/>
    </w:rPr>
  </w:style>
  <w:style w:type="paragraph" w:styleId="a8">
    <w:name w:val="annotation text"/>
    <w:basedOn w:val="a"/>
    <w:link w:val="Char0"/>
    <w:uiPriority w:val="99"/>
    <w:semiHidden/>
    <w:unhideWhenUsed/>
    <w:rsid w:val="007A0037"/>
    <w:rPr>
      <w:sz w:val="20"/>
      <w:szCs w:val="20"/>
    </w:rPr>
  </w:style>
  <w:style w:type="character" w:customStyle="1" w:styleId="Char0">
    <w:name w:val="批注文字 Char"/>
    <w:basedOn w:val="a0"/>
    <w:link w:val="a8"/>
    <w:uiPriority w:val="99"/>
    <w:semiHidden/>
    <w:rsid w:val="007A0037"/>
    <w:rPr>
      <w:rFonts w:ascii="Calibri" w:hAnsi="Calibri" w:cs="Times New Roman"/>
      <w:sz w:val="20"/>
      <w:szCs w:val="20"/>
    </w:rPr>
  </w:style>
  <w:style w:type="paragraph" w:styleId="a9">
    <w:name w:val="annotation subject"/>
    <w:basedOn w:val="a8"/>
    <w:next w:val="a8"/>
    <w:link w:val="Char1"/>
    <w:uiPriority w:val="99"/>
    <w:semiHidden/>
    <w:unhideWhenUsed/>
    <w:rsid w:val="007A0037"/>
    <w:rPr>
      <w:b/>
      <w:bCs/>
    </w:rPr>
  </w:style>
  <w:style w:type="character" w:customStyle="1" w:styleId="Char1">
    <w:name w:val="批注主题 Char"/>
    <w:basedOn w:val="Char0"/>
    <w:link w:val="a9"/>
    <w:uiPriority w:val="99"/>
    <w:semiHidden/>
    <w:rsid w:val="007A0037"/>
    <w:rPr>
      <w:rFonts w:ascii="Calibri" w:hAnsi="Calibri" w:cs="Times New Roman"/>
      <w:b/>
      <w:bCs/>
      <w:sz w:val="20"/>
      <w:szCs w:val="20"/>
    </w:rPr>
  </w:style>
  <w:style w:type="paragraph" w:styleId="aa">
    <w:name w:val="header"/>
    <w:basedOn w:val="a"/>
    <w:link w:val="Char2"/>
    <w:uiPriority w:val="99"/>
    <w:unhideWhenUsed/>
    <w:rsid w:val="002F2CD5"/>
    <w:pPr>
      <w:tabs>
        <w:tab w:val="center" w:pos="4819"/>
        <w:tab w:val="right" w:pos="9638"/>
      </w:tabs>
    </w:pPr>
  </w:style>
  <w:style w:type="character" w:customStyle="1" w:styleId="Char2">
    <w:name w:val="页眉 Char"/>
    <w:basedOn w:val="a0"/>
    <w:link w:val="aa"/>
    <w:uiPriority w:val="99"/>
    <w:rsid w:val="002F2CD5"/>
    <w:rPr>
      <w:rFonts w:ascii="Calibri" w:hAnsi="Calibri" w:cs="Times New Roman"/>
    </w:rPr>
  </w:style>
  <w:style w:type="paragraph" w:styleId="ab">
    <w:name w:val="footer"/>
    <w:basedOn w:val="a"/>
    <w:link w:val="Char3"/>
    <w:uiPriority w:val="99"/>
    <w:unhideWhenUsed/>
    <w:rsid w:val="002F2CD5"/>
    <w:pPr>
      <w:tabs>
        <w:tab w:val="center" w:pos="4819"/>
        <w:tab w:val="right" w:pos="9638"/>
      </w:tabs>
    </w:pPr>
  </w:style>
  <w:style w:type="character" w:customStyle="1" w:styleId="Char3">
    <w:name w:val="页脚 Char"/>
    <w:basedOn w:val="a0"/>
    <w:link w:val="ab"/>
    <w:uiPriority w:val="99"/>
    <w:rsid w:val="002F2CD5"/>
    <w:rPr>
      <w:rFonts w:ascii="Calibri" w:hAnsi="Calibri" w:cs="Times New Roman"/>
    </w:rPr>
  </w:style>
  <w:style w:type="character" w:styleId="ac">
    <w:name w:val="Hyperlink"/>
    <w:basedOn w:val="a0"/>
    <w:uiPriority w:val="99"/>
    <w:unhideWhenUsed/>
    <w:rsid w:val="004629E4"/>
    <w:rPr>
      <w:color w:val="0000FF" w:themeColor="hyperlink"/>
      <w:u w:val="single"/>
    </w:rPr>
  </w:style>
  <w:style w:type="character" w:customStyle="1" w:styleId="1Char">
    <w:name w:val="标题 1 Char"/>
    <w:basedOn w:val="a0"/>
    <w:link w:val="1"/>
    <w:uiPriority w:val="9"/>
    <w:rsid w:val="00B9749F"/>
    <w:rPr>
      <w:rFonts w:ascii="Times New Roman" w:eastAsia="Times New Roman" w:hAnsi="Times New Roman" w:cs="Times New Roman"/>
      <w:b/>
      <w:bCs/>
      <w:color w:val="000000"/>
      <w:kern w:val="36"/>
      <w:sz w:val="33"/>
      <w:szCs w:val="33"/>
      <w:lang w:eastAsia="it-IT"/>
    </w:rPr>
  </w:style>
  <w:style w:type="character" w:customStyle="1" w:styleId="highlight1">
    <w:name w:val="highlight1"/>
    <w:basedOn w:val="a0"/>
    <w:rsid w:val="00B9749F"/>
    <w:rPr>
      <w:shd w:val="clear" w:color="auto" w:fill="F2F5F8"/>
    </w:rPr>
  </w:style>
  <w:style w:type="character" w:styleId="ad">
    <w:name w:val="Strong"/>
    <w:uiPriority w:val="22"/>
    <w:qFormat/>
    <w:rsid w:val="00817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D4"/>
    <w:pPr>
      <w:spacing w:after="0" w:line="240" w:lineRule="auto"/>
    </w:pPr>
    <w:rPr>
      <w:rFonts w:ascii="Calibri" w:hAnsi="Calibri" w:cs="Times New Roman"/>
    </w:rPr>
  </w:style>
  <w:style w:type="paragraph" w:styleId="1">
    <w:name w:val="heading 1"/>
    <w:basedOn w:val="a"/>
    <w:link w:val="1Char"/>
    <w:uiPriority w:val="9"/>
    <w:qFormat/>
    <w:rsid w:val="00B9749F"/>
    <w:pPr>
      <w:spacing w:before="240" w:after="120"/>
      <w:outlineLvl w:val="0"/>
    </w:pPr>
    <w:rPr>
      <w:rFonts w:ascii="Times New Roman" w:eastAsia="Times New Roman" w:hAnsi="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BC3"/>
    <w:pPr>
      <w:ind w:left="720"/>
      <w:contextualSpacing/>
    </w:pPr>
  </w:style>
  <w:style w:type="character" w:styleId="a5">
    <w:name w:val="Placeholder Text"/>
    <w:basedOn w:val="a0"/>
    <w:uiPriority w:val="99"/>
    <w:semiHidden/>
    <w:rsid w:val="00BD2C7D"/>
    <w:rPr>
      <w:color w:val="808080"/>
    </w:rPr>
  </w:style>
  <w:style w:type="paragraph" w:styleId="a6">
    <w:name w:val="Balloon Text"/>
    <w:basedOn w:val="a"/>
    <w:link w:val="Char"/>
    <w:uiPriority w:val="99"/>
    <w:semiHidden/>
    <w:unhideWhenUsed/>
    <w:rsid w:val="00BD2C7D"/>
    <w:rPr>
      <w:rFonts w:ascii="Tahoma" w:hAnsi="Tahoma" w:cs="Tahoma"/>
      <w:sz w:val="16"/>
      <w:szCs w:val="16"/>
    </w:rPr>
  </w:style>
  <w:style w:type="character" w:customStyle="1" w:styleId="Char">
    <w:name w:val="批注框文本 Char"/>
    <w:basedOn w:val="a0"/>
    <w:link w:val="a6"/>
    <w:uiPriority w:val="99"/>
    <w:semiHidden/>
    <w:rsid w:val="00BD2C7D"/>
    <w:rPr>
      <w:rFonts w:ascii="Tahoma" w:hAnsi="Tahoma" w:cs="Tahoma"/>
      <w:sz w:val="16"/>
      <w:szCs w:val="16"/>
    </w:rPr>
  </w:style>
  <w:style w:type="character" w:styleId="a7">
    <w:name w:val="annotation reference"/>
    <w:basedOn w:val="a0"/>
    <w:uiPriority w:val="99"/>
    <w:semiHidden/>
    <w:unhideWhenUsed/>
    <w:rsid w:val="007A0037"/>
    <w:rPr>
      <w:sz w:val="16"/>
      <w:szCs w:val="16"/>
    </w:rPr>
  </w:style>
  <w:style w:type="paragraph" w:styleId="a8">
    <w:name w:val="annotation text"/>
    <w:basedOn w:val="a"/>
    <w:link w:val="Char0"/>
    <w:uiPriority w:val="99"/>
    <w:semiHidden/>
    <w:unhideWhenUsed/>
    <w:rsid w:val="007A0037"/>
    <w:rPr>
      <w:sz w:val="20"/>
      <w:szCs w:val="20"/>
    </w:rPr>
  </w:style>
  <w:style w:type="character" w:customStyle="1" w:styleId="Char0">
    <w:name w:val="批注文字 Char"/>
    <w:basedOn w:val="a0"/>
    <w:link w:val="a8"/>
    <w:uiPriority w:val="99"/>
    <w:semiHidden/>
    <w:rsid w:val="007A0037"/>
    <w:rPr>
      <w:rFonts w:ascii="Calibri" w:hAnsi="Calibri" w:cs="Times New Roman"/>
      <w:sz w:val="20"/>
      <w:szCs w:val="20"/>
    </w:rPr>
  </w:style>
  <w:style w:type="paragraph" w:styleId="a9">
    <w:name w:val="annotation subject"/>
    <w:basedOn w:val="a8"/>
    <w:next w:val="a8"/>
    <w:link w:val="Char1"/>
    <w:uiPriority w:val="99"/>
    <w:semiHidden/>
    <w:unhideWhenUsed/>
    <w:rsid w:val="007A0037"/>
    <w:rPr>
      <w:b/>
      <w:bCs/>
    </w:rPr>
  </w:style>
  <w:style w:type="character" w:customStyle="1" w:styleId="Char1">
    <w:name w:val="批注主题 Char"/>
    <w:basedOn w:val="Char0"/>
    <w:link w:val="a9"/>
    <w:uiPriority w:val="99"/>
    <w:semiHidden/>
    <w:rsid w:val="007A0037"/>
    <w:rPr>
      <w:rFonts w:ascii="Calibri" w:hAnsi="Calibri" w:cs="Times New Roman"/>
      <w:b/>
      <w:bCs/>
      <w:sz w:val="20"/>
      <w:szCs w:val="20"/>
    </w:rPr>
  </w:style>
  <w:style w:type="paragraph" w:styleId="aa">
    <w:name w:val="header"/>
    <w:basedOn w:val="a"/>
    <w:link w:val="Char2"/>
    <w:uiPriority w:val="99"/>
    <w:unhideWhenUsed/>
    <w:rsid w:val="002F2CD5"/>
    <w:pPr>
      <w:tabs>
        <w:tab w:val="center" w:pos="4819"/>
        <w:tab w:val="right" w:pos="9638"/>
      </w:tabs>
    </w:pPr>
  </w:style>
  <w:style w:type="character" w:customStyle="1" w:styleId="Char2">
    <w:name w:val="页眉 Char"/>
    <w:basedOn w:val="a0"/>
    <w:link w:val="aa"/>
    <w:uiPriority w:val="99"/>
    <w:rsid w:val="002F2CD5"/>
    <w:rPr>
      <w:rFonts w:ascii="Calibri" w:hAnsi="Calibri" w:cs="Times New Roman"/>
    </w:rPr>
  </w:style>
  <w:style w:type="paragraph" w:styleId="ab">
    <w:name w:val="footer"/>
    <w:basedOn w:val="a"/>
    <w:link w:val="Char3"/>
    <w:uiPriority w:val="99"/>
    <w:unhideWhenUsed/>
    <w:rsid w:val="002F2CD5"/>
    <w:pPr>
      <w:tabs>
        <w:tab w:val="center" w:pos="4819"/>
        <w:tab w:val="right" w:pos="9638"/>
      </w:tabs>
    </w:pPr>
  </w:style>
  <w:style w:type="character" w:customStyle="1" w:styleId="Char3">
    <w:name w:val="页脚 Char"/>
    <w:basedOn w:val="a0"/>
    <w:link w:val="ab"/>
    <w:uiPriority w:val="99"/>
    <w:rsid w:val="002F2CD5"/>
    <w:rPr>
      <w:rFonts w:ascii="Calibri" w:hAnsi="Calibri" w:cs="Times New Roman"/>
    </w:rPr>
  </w:style>
  <w:style w:type="character" w:styleId="ac">
    <w:name w:val="Hyperlink"/>
    <w:basedOn w:val="a0"/>
    <w:uiPriority w:val="99"/>
    <w:unhideWhenUsed/>
    <w:rsid w:val="004629E4"/>
    <w:rPr>
      <w:color w:val="0000FF" w:themeColor="hyperlink"/>
      <w:u w:val="single"/>
    </w:rPr>
  </w:style>
  <w:style w:type="character" w:customStyle="1" w:styleId="1Char">
    <w:name w:val="标题 1 Char"/>
    <w:basedOn w:val="a0"/>
    <w:link w:val="1"/>
    <w:uiPriority w:val="9"/>
    <w:rsid w:val="00B9749F"/>
    <w:rPr>
      <w:rFonts w:ascii="Times New Roman" w:eastAsia="Times New Roman" w:hAnsi="Times New Roman" w:cs="Times New Roman"/>
      <w:b/>
      <w:bCs/>
      <w:color w:val="000000"/>
      <w:kern w:val="36"/>
      <w:sz w:val="33"/>
      <w:szCs w:val="33"/>
      <w:lang w:eastAsia="it-IT"/>
    </w:rPr>
  </w:style>
  <w:style w:type="character" w:customStyle="1" w:styleId="highlight1">
    <w:name w:val="highlight1"/>
    <w:basedOn w:val="a0"/>
    <w:rsid w:val="00B9749F"/>
    <w:rPr>
      <w:shd w:val="clear" w:color="auto" w:fill="F2F5F8"/>
    </w:rPr>
  </w:style>
  <w:style w:type="character" w:styleId="ad">
    <w:name w:val="Strong"/>
    <w:uiPriority w:val="22"/>
    <w:qFormat/>
    <w:rsid w:val="0081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3878">
      <w:bodyDiv w:val="1"/>
      <w:marLeft w:val="0"/>
      <w:marRight w:val="0"/>
      <w:marTop w:val="0"/>
      <w:marBottom w:val="0"/>
      <w:divBdr>
        <w:top w:val="none" w:sz="0" w:space="0" w:color="auto"/>
        <w:left w:val="none" w:sz="0" w:space="0" w:color="auto"/>
        <w:bottom w:val="none" w:sz="0" w:space="0" w:color="auto"/>
        <w:right w:val="none" w:sz="0" w:space="0" w:color="auto"/>
      </w:divBdr>
    </w:div>
    <w:div w:id="1445230200">
      <w:bodyDiv w:val="1"/>
      <w:marLeft w:val="0"/>
      <w:marRight w:val="0"/>
      <w:marTop w:val="0"/>
      <w:marBottom w:val="0"/>
      <w:divBdr>
        <w:top w:val="none" w:sz="0" w:space="0" w:color="auto"/>
        <w:left w:val="none" w:sz="0" w:space="0" w:color="auto"/>
        <w:bottom w:val="none" w:sz="0" w:space="0" w:color="auto"/>
        <w:right w:val="none" w:sz="0" w:space="0" w:color="auto"/>
      </w:divBdr>
      <w:divsChild>
        <w:div w:id="282616214">
          <w:marLeft w:val="0"/>
          <w:marRight w:val="1"/>
          <w:marTop w:val="0"/>
          <w:marBottom w:val="0"/>
          <w:divBdr>
            <w:top w:val="none" w:sz="0" w:space="0" w:color="auto"/>
            <w:left w:val="none" w:sz="0" w:space="0" w:color="auto"/>
            <w:bottom w:val="none" w:sz="0" w:space="0" w:color="auto"/>
            <w:right w:val="none" w:sz="0" w:space="0" w:color="auto"/>
          </w:divBdr>
          <w:divsChild>
            <w:div w:id="1818450764">
              <w:marLeft w:val="0"/>
              <w:marRight w:val="0"/>
              <w:marTop w:val="0"/>
              <w:marBottom w:val="0"/>
              <w:divBdr>
                <w:top w:val="none" w:sz="0" w:space="0" w:color="auto"/>
                <w:left w:val="none" w:sz="0" w:space="0" w:color="auto"/>
                <w:bottom w:val="none" w:sz="0" w:space="0" w:color="auto"/>
                <w:right w:val="none" w:sz="0" w:space="0" w:color="auto"/>
              </w:divBdr>
              <w:divsChild>
                <w:div w:id="658734422">
                  <w:marLeft w:val="0"/>
                  <w:marRight w:val="1"/>
                  <w:marTop w:val="0"/>
                  <w:marBottom w:val="0"/>
                  <w:divBdr>
                    <w:top w:val="none" w:sz="0" w:space="0" w:color="auto"/>
                    <w:left w:val="none" w:sz="0" w:space="0" w:color="auto"/>
                    <w:bottom w:val="none" w:sz="0" w:space="0" w:color="auto"/>
                    <w:right w:val="none" w:sz="0" w:space="0" w:color="auto"/>
                  </w:divBdr>
                  <w:divsChild>
                    <w:div w:id="1884172569">
                      <w:marLeft w:val="0"/>
                      <w:marRight w:val="0"/>
                      <w:marTop w:val="0"/>
                      <w:marBottom w:val="0"/>
                      <w:divBdr>
                        <w:top w:val="none" w:sz="0" w:space="0" w:color="auto"/>
                        <w:left w:val="none" w:sz="0" w:space="0" w:color="auto"/>
                        <w:bottom w:val="none" w:sz="0" w:space="0" w:color="auto"/>
                        <w:right w:val="none" w:sz="0" w:space="0" w:color="auto"/>
                      </w:divBdr>
                      <w:divsChild>
                        <w:div w:id="1107311199">
                          <w:marLeft w:val="0"/>
                          <w:marRight w:val="0"/>
                          <w:marTop w:val="0"/>
                          <w:marBottom w:val="0"/>
                          <w:divBdr>
                            <w:top w:val="none" w:sz="0" w:space="0" w:color="auto"/>
                            <w:left w:val="none" w:sz="0" w:space="0" w:color="auto"/>
                            <w:bottom w:val="none" w:sz="0" w:space="0" w:color="auto"/>
                            <w:right w:val="none" w:sz="0" w:space="0" w:color="auto"/>
                          </w:divBdr>
                          <w:divsChild>
                            <w:div w:id="906185985">
                              <w:marLeft w:val="0"/>
                              <w:marRight w:val="0"/>
                              <w:marTop w:val="120"/>
                              <w:marBottom w:val="360"/>
                              <w:divBdr>
                                <w:top w:val="none" w:sz="0" w:space="0" w:color="auto"/>
                                <w:left w:val="none" w:sz="0" w:space="0" w:color="auto"/>
                                <w:bottom w:val="none" w:sz="0" w:space="0" w:color="auto"/>
                                <w:right w:val="none" w:sz="0" w:space="0" w:color="auto"/>
                              </w:divBdr>
                              <w:divsChild>
                                <w:div w:id="166791950">
                                  <w:marLeft w:val="0"/>
                                  <w:marRight w:val="0"/>
                                  <w:marTop w:val="0"/>
                                  <w:marBottom w:val="0"/>
                                  <w:divBdr>
                                    <w:top w:val="none" w:sz="0" w:space="0" w:color="auto"/>
                                    <w:left w:val="none" w:sz="0" w:space="0" w:color="auto"/>
                                    <w:bottom w:val="none" w:sz="0" w:space="0" w:color="auto"/>
                                    <w:right w:val="none" w:sz="0" w:space="0" w:color="auto"/>
                                  </w:divBdr>
                                </w:div>
                                <w:div w:id="468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vertox.nih.gov/" TargetMode="External"/><Relationship Id="rId4" Type="http://schemas.microsoft.com/office/2007/relationships/stylesWithEffects" Target="stylesWithEffects.xml"/><Relationship Id="rId9" Type="http://schemas.openxmlformats.org/officeDocument/2006/relationships/hyperlink" Target="mailto:fabrizio.deponti@unib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09D0-8CAC-43FF-9443-615AEC2B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24917</Words>
  <Characters>142029</Characters>
  <Application>Microsoft Office Word</Application>
  <DocSecurity>0</DocSecurity>
  <Lines>1183</Lines>
  <Paragraphs>333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LS Ma</cp:lastModifiedBy>
  <cp:revision>2</cp:revision>
  <cp:lastPrinted>2014-02-10T10:49:00Z</cp:lastPrinted>
  <dcterms:created xsi:type="dcterms:W3CDTF">2014-07-16T18:25:00Z</dcterms:created>
  <dcterms:modified xsi:type="dcterms:W3CDTF">2014-07-16T18:25:00Z</dcterms:modified>
</cp:coreProperties>
</file>