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E47" w:rsidRPr="00F40A26" w:rsidRDefault="001B10E2">
      <w:pPr>
        <w:snapToGrid w:val="0"/>
        <w:spacing w:line="360" w:lineRule="auto"/>
        <w:rPr>
          <w:rFonts w:ascii="Book Antiqua" w:hAnsi="Book Antiqua" w:cs="Tahoma"/>
          <w:b/>
          <w:color w:val="000000"/>
          <w:sz w:val="24"/>
          <w:szCs w:val="24"/>
        </w:rPr>
      </w:pPr>
      <w:bookmarkStart w:id="0" w:name="OLE_LINK319"/>
      <w:bookmarkStart w:id="1" w:name="OLE_LINK320"/>
      <w:bookmarkStart w:id="2" w:name="OLE_LINK355"/>
      <w:r w:rsidRPr="00F40A26">
        <w:rPr>
          <w:rFonts w:ascii="Book Antiqua" w:hAnsi="Book Antiqua" w:cs="Tahoma"/>
          <w:b/>
          <w:color w:val="0000FF"/>
          <w:sz w:val="24"/>
          <w:szCs w:val="24"/>
        </w:rPr>
        <w:t xml:space="preserve">Name of journal: </w:t>
      </w:r>
      <w:r w:rsidR="008C16DD" w:rsidRPr="00F40A26">
        <w:rPr>
          <w:rFonts w:ascii="Book Antiqua" w:hAnsi="Book Antiqua" w:cs="Tahoma"/>
          <w:i/>
          <w:color w:val="000000"/>
          <w:sz w:val="24"/>
          <w:szCs w:val="24"/>
        </w:rPr>
        <w:t>World Journal of Gastroenterology</w:t>
      </w:r>
    </w:p>
    <w:p w:rsidR="00C67E47" w:rsidRPr="00F40A26" w:rsidRDefault="001B10E2">
      <w:pPr>
        <w:snapToGrid w:val="0"/>
        <w:spacing w:line="360" w:lineRule="auto"/>
        <w:rPr>
          <w:rFonts w:ascii="Book Antiqua" w:hAnsi="Book Antiqua" w:cs="Tahoma"/>
          <w:b/>
          <w:color w:val="0000FF"/>
          <w:sz w:val="24"/>
          <w:szCs w:val="24"/>
        </w:rPr>
      </w:pPr>
      <w:r w:rsidRPr="00F40A26">
        <w:rPr>
          <w:rFonts w:ascii="Book Antiqua" w:hAnsi="Book Antiqua" w:cs="Tahoma"/>
          <w:b/>
          <w:color w:val="0000FF"/>
          <w:sz w:val="24"/>
          <w:szCs w:val="24"/>
        </w:rPr>
        <w:t>ESPS Manuscript NO:</w:t>
      </w:r>
      <w:r w:rsidR="008C16DD" w:rsidRPr="00F40A26">
        <w:rPr>
          <w:rFonts w:ascii="Book Antiqua" w:hAnsi="Book Antiqua" w:cs="Tahoma"/>
          <w:b/>
          <w:color w:val="000000" w:themeColor="text1"/>
          <w:sz w:val="24"/>
          <w:szCs w:val="24"/>
        </w:rPr>
        <w:t xml:space="preserve"> 10079</w:t>
      </w:r>
    </w:p>
    <w:p w:rsidR="00C67E47" w:rsidRPr="00F40A26" w:rsidRDefault="001B10E2">
      <w:pPr>
        <w:snapToGrid w:val="0"/>
        <w:spacing w:line="360" w:lineRule="auto"/>
        <w:rPr>
          <w:rFonts w:ascii="Book Antiqua" w:hAnsi="Book Antiqua" w:cs="Tahoma"/>
          <w:b/>
          <w:color w:val="000000"/>
          <w:sz w:val="24"/>
          <w:szCs w:val="24"/>
        </w:rPr>
      </w:pPr>
      <w:r w:rsidRPr="00F40A26">
        <w:rPr>
          <w:rFonts w:ascii="Book Antiqua" w:hAnsi="Book Antiqua" w:cs="Tahoma"/>
          <w:b/>
          <w:color w:val="0000FF"/>
          <w:sz w:val="24"/>
          <w:szCs w:val="24"/>
        </w:rPr>
        <w:t>Columns:</w:t>
      </w:r>
      <w:r w:rsidRPr="00F40A26">
        <w:rPr>
          <w:rFonts w:ascii="Book Antiqua" w:hAnsi="Book Antiqua"/>
          <w:sz w:val="24"/>
          <w:szCs w:val="24"/>
        </w:rPr>
        <w:t xml:space="preserve"> </w:t>
      </w:r>
      <w:r w:rsidR="008C16DD" w:rsidRPr="00F40A26">
        <w:rPr>
          <w:rFonts w:ascii="Book Antiqua" w:hAnsi="Book Antiqua"/>
          <w:b/>
          <w:sz w:val="24"/>
          <w:szCs w:val="24"/>
        </w:rPr>
        <w:t>REVIEW</w:t>
      </w:r>
    </w:p>
    <w:bookmarkEnd w:id="0"/>
    <w:bookmarkEnd w:id="1"/>
    <w:bookmarkEnd w:id="2"/>
    <w:p w:rsidR="00C67E47" w:rsidRPr="00F40A26" w:rsidRDefault="00C67E47">
      <w:pPr>
        <w:snapToGrid w:val="0"/>
        <w:spacing w:line="360" w:lineRule="auto"/>
        <w:rPr>
          <w:rFonts w:ascii="Book Antiqua" w:hAnsi="Book Antiqua" w:cs="Times New Roman"/>
          <w:b/>
          <w:bCs/>
          <w:sz w:val="24"/>
          <w:szCs w:val="24"/>
        </w:rPr>
      </w:pPr>
    </w:p>
    <w:p w:rsidR="00C67E47" w:rsidRPr="00F40A26" w:rsidRDefault="00BF1893">
      <w:pPr>
        <w:snapToGrid w:val="0"/>
        <w:spacing w:line="360" w:lineRule="auto"/>
        <w:rPr>
          <w:rFonts w:ascii="Book Antiqua" w:hAnsi="Book Antiqua" w:cs="Times New Roman"/>
          <w:b/>
          <w:sz w:val="24"/>
          <w:szCs w:val="24"/>
        </w:rPr>
      </w:pPr>
      <w:r w:rsidRPr="00F40A26">
        <w:rPr>
          <w:rFonts w:ascii="Book Antiqua" w:hAnsi="Book Antiqua" w:cs="Times New Roman"/>
          <w:b/>
          <w:bCs/>
          <w:sz w:val="24"/>
          <w:szCs w:val="24"/>
        </w:rPr>
        <w:t xml:space="preserve">Interventional treatment </w:t>
      </w:r>
      <w:r w:rsidR="00F37D71" w:rsidRPr="00F40A26">
        <w:rPr>
          <w:rFonts w:ascii="Book Antiqua" w:hAnsi="Book Antiqua" w:cs="Times New Roman"/>
          <w:b/>
          <w:bCs/>
          <w:sz w:val="24"/>
          <w:szCs w:val="24"/>
        </w:rPr>
        <w:t>for</w:t>
      </w:r>
      <w:r w:rsidRPr="00F40A26">
        <w:rPr>
          <w:rFonts w:ascii="Book Antiqua" w:hAnsi="Book Antiqua" w:cs="Times New Roman"/>
          <w:b/>
          <w:bCs/>
          <w:sz w:val="24"/>
          <w:szCs w:val="24"/>
        </w:rPr>
        <w:t xml:space="preserve"> unresectable</w:t>
      </w:r>
      <w:r w:rsidR="004B6484" w:rsidRPr="00F40A26">
        <w:rPr>
          <w:rFonts w:ascii="Book Antiqua" w:hAnsi="Book Antiqua" w:cs="Times New Roman"/>
          <w:b/>
          <w:bCs/>
          <w:sz w:val="24"/>
          <w:szCs w:val="24"/>
        </w:rPr>
        <w:t xml:space="preserve"> </w:t>
      </w:r>
      <w:r w:rsidR="009E53DB" w:rsidRPr="00F40A26">
        <w:rPr>
          <w:rFonts w:ascii="Book Antiqua" w:hAnsi="Book Antiqua" w:cs="Times New Roman"/>
          <w:b/>
          <w:sz w:val="24"/>
          <w:szCs w:val="24"/>
        </w:rPr>
        <w:t>hepatocellular carcinoma</w:t>
      </w:r>
    </w:p>
    <w:p w:rsidR="00C67E47" w:rsidRPr="00F40A26" w:rsidRDefault="00C67E47">
      <w:pPr>
        <w:snapToGrid w:val="0"/>
        <w:spacing w:line="360" w:lineRule="auto"/>
        <w:rPr>
          <w:rFonts w:ascii="Book Antiqua" w:hAnsi="Book Antiqua" w:cs="Times New Roman"/>
          <w:b/>
          <w:sz w:val="24"/>
          <w:szCs w:val="24"/>
        </w:rPr>
      </w:pPr>
    </w:p>
    <w:p w:rsidR="00C67E47" w:rsidRPr="00F40A26" w:rsidRDefault="001B10E2">
      <w:pPr>
        <w:snapToGrid w:val="0"/>
        <w:spacing w:line="360" w:lineRule="auto"/>
        <w:rPr>
          <w:rFonts w:ascii="Book Antiqua" w:hAnsi="Book Antiqua" w:cs="Times New Roman"/>
          <w:sz w:val="24"/>
          <w:szCs w:val="24"/>
        </w:rPr>
      </w:pPr>
      <w:r w:rsidRPr="00F40A26">
        <w:rPr>
          <w:rFonts w:ascii="Book Antiqua" w:hAnsi="Book Antiqua" w:cs="Times New Roman"/>
          <w:bCs/>
          <w:sz w:val="24"/>
          <w:szCs w:val="24"/>
        </w:rPr>
        <w:t xml:space="preserve">Murata S </w:t>
      </w:r>
      <w:r w:rsidR="00F32DC0" w:rsidRPr="00F40A26">
        <w:rPr>
          <w:rFonts w:ascii="Book Antiqua" w:hAnsi="Book Antiqua" w:cs="Times New Roman"/>
          <w:bCs/>
          <w:i/>
          <w:sz w:val="24"/>
          <w:szCs w:val="24"/>
        </w:rPr>
        <w:t>et al</w:t>
      </w:r>
      <w:r w:rsidR="00F32DC0" w:rsidRPr="00F40A26">
        <w:rPr>
          <w:rFonts w:ascii="Book Antiqua" w:hAnsi="Book Antiqua" w:cs="Times New Roman"/>
          <w:sz w:val="24"/>
          <w:szCs w:val="24"/>
          <w:lang w:eastAsia="zh-CN"/>
        </w:rPr>
        <w:t xml:space="preserve">. </w:t>
      </w:r>
      <w:r w:rsidR="00F32DC0" w:rsidRPr="00F40A26">
        <w:rPr>
          <w:rFonts w:ascii="Book Antiqua" w:hAnsi="Book Antiqua" w:cs="Times New Roman"/>
          <w:bCs/>
          <w:sz w:val="24"/>
          <w:szCs w:val="24"/>
        </w:rPr>
        <w:t>Interventional treatment for HCC</w:t>
      </w:r>
    </w:p>
    <w:p w:rsidR="00C67E47" w:rsidRPr="00F40A26" w:rsidRDefault="00C67E47">
      <w:pPr>
        <w:snapToGrid w:val="0"/>
        <w:spacing w:line="360" w:lineRule="auto"/>
        <w:rPr>
          <w:rFonts w:ascii="Book Antiqua" w:hAnsi="Book Antiqua" w:cs="Times New Roman"/>
          <w:bCs/>
          <w:sz w:val="24"/>
          <w:szCs w:val="24"/>
        </w:rPr>
      </w:pP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t>Satoru Murata, Takahiko Mine, Fumie Sugihara, Daisuke Yasui, Hidenori Yamaguchi, Tatsuo Ueda, Shiro Onozawa, Shin-ichiro Kumita</w:t>
      </w:r>
    </w:p>
    <w:p w:rsidR="00C67E47" w:rsidRPr="00F40A26" w:rsidRDefault="00C67E47">
      <w:pPr>
        <w:snapToGrid w:val="0"/>
        <w:spacing w:line="360" w:lineRule="auto"/>
        <w:rPr>
          <w:rFonts w:ascii="Book Antiqua" w:hAnsi="Book Antiqua" w:cs="Times New Roman"/>
          <w:bCs/>
          <w:sz w:val="24"/>
          <w:szCs w:val="24"/>
        </w:rPr>
      </w:pPr>
    </w:p>
    <w:p w:rsidR="00C67E47" w:rsidRPr="00F40A26" w:rsidRDefault="00F32DC0">
      <w:pPr>
        <w:snapToGrid w:val="0"/>
        <w:spacing w:line="360" w:lineRule="auto"/>
        <w:rPr>
          <w:rFonts w:ascii="Book Antiqua" w:hAnsi="Book Antiqua"/>
          <w:sz w:val="24"/>
          <w:szCs w:val="24"/>
          <w:lang w:eastAsia="zh-CN"/>
        </w:rPr>
      </w:pPr>
      <w:r w:rsidRPr="00F40A26">
        <w:rPr>
          <w:rFonts w:ascii="Book Antiqua" w:hAnsi="Book Antiqua" w:cs="Times New Roman"/>
          <w:b/>
          <w:bCs/>
          <w:sz w:val="24"/>
          <w:szCs w:val="24"/>
        </w:rPr>
        <w:t>Satoru Murata, Takahiko Mine, Fumie Sugihara, Daisuke Yasui, Hidenori Yamaguchi, Tatsuo Ueda, Shiro Onozawa, Shin-ichiro Kumita</w:t>
      </w:r>
      <w:r w:rsidRPr="00F40A26">
        <w:rPr>
          <w:rFonts w:ascii="Book Antiqua" w:hAnsi="Book Antiqua" w:cs="Times New Roman"/>
          <w:bCs/>
          <w:sz w:val="24"/>
          <w:szCs w:val="24"/>
        </w:rPr>
        <w:t xml:space="preserve">, </w:t>
      </w:r>
      <w:r w:rsidRPr="00F40A26">
        <w:rPr>
          <w:rFonts w:ascii="Book Antiqua" w:hAnsi="Book Antiqua"/>
          <w:sz w:val="24"/>
          <w:szCs w:val="24"/>
        </w:rPr>
        <w:t>Department of Radiology/Center for Advanced Medical Technology, Nippon Medical School, Tokyo 113-8602, Japan</w:t>
      </w:r>
    </w:p>
    <w:p w:rsidR="00C67E47" w:rsidRPr="00F40A26" w:rsidRDefault="00C67E47">
      <w:pPr>
        <w:snapToGrid w:val="0"/>
        <w:spacing w:line="360" w:lineRule="auto"/>
        <w:rPr>
          <w:rFonts w:ascii="Book Antiqua" w:hAnsi="Book Antiqua"/>
          <w:sz w:val="24"/>
          <w:szCs w:val="24"/>
        </w:rPr>
      </w:pP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sz w:val="24"/>
          <w:szCs w:val="24"/>
        </w:rPr>
        <w:t>Author contributions:</w:t>
      </w:r>
      <w:r w:rsidRPr="00F40A26">
        <w:rPr>
          <w:rFonts w:ascii="Book Antiqua" w:hAnsi="Book Antiqua" w:cs="Times New Roman"/>
          <w:bCs/>
          <w:sz w:val="24"/>
          <w:szCs w:val="24"/>
        </w:rPr>
        <w:t xml:space="preserve"> Murata S contributed to conception and design, literature search, manuscript preparation and editing; Mine T, Sugihara F, Yasui D, Yamaguchi H, Ueda T, Onozawa S and Kumita S contributed to literature search, manuscript preparation and editing; all authors have reviewed and approved the manuscript in its final form; Murata S is the guarantor of the article.</w:t>
      </w:r>
    </w:p>
    <w:p w:rsidR="00C67E47" w:rsidRPr="00F40A26" w:rsidRDefault="00C67E47">
      <w:pPr>
        <w:snapToGrid w:val="0"/>
        <w:spacing w:line="360" w:lineRule="auto"/>
        <w:rPr>
          <w:rFonts w:ascii="Book Antiqua" w:hAnsi="Book Antiqua"/>
          <w:sz w:val="24"/>
          <w:szCs w:val="24"/>
        </w:rPr>
      </w:pPr>
    </w:p>
    <w:p w:rsidR="00C67E47" w:rsidRPr="00F40A26" w:rsidRDefault="00F32DC0">
      <w:pPr>
        <w:snapToGrid w:val="0"/>
        <w:spacing w:line="360" w:lineRule="auto"/>
        <w:rPr>
          <w:rFonts w:ascii="Book Antiqua" w:hAnsi="Book Antiqua"/>
          <w:sz w:val="24"/>
          <w:szCs w:val="24"/>
          <w:lang w:eastAsia="zh-CN"/>
        </w:rPr>
      </w:pPr>
      <w:r w:rsidRPr="00F40A26">
        <w:rPr>
          <w:rFonts w:ascii="Book Antiqua" w:hAnsi="Book Antiqua"/>
          <w:b/>
          <w:sz w:val="24"/>
          <w:szCs w:val="24"/>
        </w:rPr>
        <w:t>Correspondence to: Satoru Murata, MD, PhD,</w:t>
      </w:r>
      <w:r w:rsidRPr="00F40A26">
        <w:rPr>
          <w:rFonts w:ascii="Book Antiqua" w:hAnsi="Book Antiqua"/>
          <w:sz w:val="24"/>
          <w:szCs w:val="24"/>
        </w:rPr>
        <w:t xml:space="preserve"> Department of Radiology/Center for Advanced Medical Technology, Nippon Medical School,</w:t>
      </w:r>
      <w:r w:rsidRPr="00F40A26">
        <w:rPr>
          <w:rFonts w:ascii="Book Antiqua" w:hAnsi="Book Antiqua"/>
          <w:sz w:val="24"/>
          <w:szCs w:val="24"/>
          <w:lang w:eastAsia="zh-CN"/>
        </w:rPr>
        <w:t xml:space="preserve"> </w:t>
      </w:r>
      <w:r w:rsidRPr="00F40A26">
        <w:rPr>
          <w:rFonts w:ascii="Book Antiqua" w:hAnsi="Book Antiqua"/>
          <w:sz w:val="24"/>
          <w:szCs w:val="24"/>
        </w:rPr>
        <w:t>1-1-5 Sendagi, Bunkyou-ku, Tokyo 113-860</w:t>
      </w:r>
      <w:r w:rsidRPr="00F40A26">
        <w:rPr>
          <w:rFonts w:ascii="Book Antiqua" w:hAnsi="Book Antiqua"/>
          <w:sz w:val="24"/>
          <w:szCs w:val="24"/>
          <w:lang w:eastAsia="zh-CN"/>
        </w:rPr>
        <w:t>2</w:t>
      </w:r>
      <w:r w:rsidRPr="00F40A26">
        <w:rPr>
          <w:rFonts w:ascii="Book Antiqua" w:hAnsi="Book Antiqua"/>
          <w:sz w:val="24"/>
          <w:szCs w:val="24"/>
        </w:rPr>
        <w:t xml:space="preserve">, Japan. </w:t>
      </w:r>
      <w:hyperlink r:id="rId8" w:history="1">
        <w:r w:rsidRPr="00F40A26">
          <w:rPr>
            <w:rStyle w:val="a5"/>
            <w:rFonts w:ascii="Book Antiqua" w:hAnsi="Book Antiqua"/>
            <w:sz w:val="24"/>
            <w:szCs w:val="24"/>
          </w:rPr>
          <w:t>genji@nms.ac.jp</w:t>
        </w:r>
      </w:hyperlink>
    </w:p>
    <w:p w:rsidR="00C67E47" w:rsidRPr="00F40A26" w:rsidRDefault="00C67E47">
      <w:pPr>
        <w:snapToGrid w:val="0"/>
        <w:spacing w:line="360" w:lineRule="auto"/>
        <w:rPr>
          <w:rFonts w:ascii="Book Antiqua" w:hAnsi="Book Antiqua"/>
          <w:sz w:val="24"/>
          <w:szCs w:val="24"/>
          <w:lang w:eastAsia="zh-CN"/>
        </w:rPr>
      </w:pPr>
    </w:p>
    <w:p w:rsidR="00C67E47" w:rsidRPr="00F40A26" w:rsidRDefault="00F32DC0">
      <w:pPr>
        <w:snapToGrid w:val="0"/>
        <w:spacing w:line="360" w:lineRule="auto"/>
        <w:rPr>
          <w:rFonts w:ascii="Book Antiqua" w:hAnsi="Book Antiqua"/>
          <w:sz w:val="24"/>
          <w:szCs w:val="24"/>
        </w:rPr>
      </w:pPr>
      <w:r w:rsidRPr="00F40A26">
        <w:rPr>
          <w:rFonts w:ascii="Book Antiqua" w:hAnsi="Book Antiqua"/>
          <w:b/>
          <w:color w:val="000000"/>
          <w:sz w:val="24"/>
          <w:szCs w:val="24"/>
        </w:rPr>
        <w:t>Telephone: +</w:t>
      </w:r>
      <w:r w:rsidRPr="00F40A26">
        <w:rPr>
          <w:rFonts w:ascii="Book Antiqua" w:hAnsi="Book Antiqua"/>
          <w:sz w:val="24"/>
          <w:szCs w:val="24"/>
        </w:rPr>
        <w:t>81-3</w:t>
      </w:r>
      <w:r w:rsidRPr="00F40A26">
        <w:rPr>
          <w:rFonts w:ascii="Book Antiqua" w:hAnsi="Book Antiqua"/>
          <w:sz w:val="24"/>
          <w:szCs w:val="24"/>
          <w:lang w:eastAsia="zh-CN"/>
        </w:rPr>
        <w:t>-</w:t>
      </w:r>
      <w:r w:rsidRPr="00F40A26">
        <w:rPr>
          <w:rFonts w:ascii="Book Antiqua" w:hAnsi="Book Antiqua"/>
          <w:sz w:val="24"/>
          <w:szCs w:val="24"/>
        </w:rPr>
        <w:t xml:space="preserve">58146240 </w:t>
      </w:r>
      <w:r w:rsidRPr="00F40A26">
        <w:rPr>
          <w:rFonts w:ascii="Book Antiqua" w:hAnsi="Book Antiqua"/>
          <w:b/>
          <w:sz w:val="24"/>
          <w:szCs w:val="24"/>
        </w:rPr>
        <w:t xml:space="preserve">  Fax:</w:t>
      </w:r>
      <w:r w:rsidRPr="00F40A26">
        <w:rPr>
          <w:rFonts w:ascii="Book Antiqua" w:hAnsi="Book Antiqua"/>
          <w:sz w:val="24"/>
          <w:szCs w:val="24"/>
        </w:rPr>
        <w:t xml:space="preserve"> +81-3</w:t>
      </w:r>
      <w:r w:rsidRPr="00F40A26">
        <w:rPr>
          <w:rFonts w:ascii="Book Antiqua" w:hAnsi="Book Antiqua"/>
          <w:sz w:val="24"/>
          <w:szCs w:val="24"/>
          <w:lang w:eastAsia="zh-CN"/>
        </w:rPr>
        <w:t>-</w:t>
      </w:r>
      <w:r w:rsidRPr="00F40A26">
        <w:rPr>
          <w:rFonts w:ascii="Book Antiqua" w:hAnsi="Book Antiqua"/>
          <w:sz w:val="24"/>
          <w:szCs w:val="24"/>
        </w:rPr>
        <w:t xml:space="preserve">56851795 </w:t>
      </w:r>
    </w:p>
    <w:p w:rsidR="00C67E47" w:rsidRPr="00F40A26" w:rsidRDefault="00C67E47">
      <w:pPr>
        <w:snapToGrid w:val="0"/>
        <w:spacing w:line="360" w:lineRule="auto"/>
        <w:rPr>
          <w:rFonts w:ascii="Book Antiqua" w:eastAsia="MS Mincho" w:hAnsi="Book Antiqua" w:cs="Times New Roman"/>
          <w:b/>
          <w:sz w:val="24"/>
          <w:szCs w:val="24"/>
          <w:lang w:val="fr-FR"/>
        </w:rPr>
      </w:pPr>
    </w:p>
    <w:p w:rsidR="00C67E47" w:rsidRPr="00F40A26" w:rsidRDefault="00F32DC0">
      <w:pPr>
        <w:snapToGrid w:val="0"/>
        <w:spacing w:line="360" w:lineRule="auto"/>
        <w:rPr>
          <w:rFonts w:ascii="Book Antiqua" w:hAnsi="Book Antiqua"/>
          <w:b/>
          <w:color w:val="000000"/>
          <w:sz w:val="24"/>
          <w:szCs w:val="24"/>
          <w:lang w:eastAsia="zh-CN"/>
        </w:rPr>
      </w:pPr>
      <w:bookmarkStart w:id="3" w:name="OLE_LINK4"/>
      <w:bookmarkStart w:id="4" w:name="OLE_LINK5"/>
      <w:bookmarkStart w:id="5" w:name="OLE_LINK332"/>
      <w:bookmarkStart w:id="6" w:name="OLE_LINK329"/>
      <w:bookmarkStart w:id="7" w:name="OLE_LINK381"/>
      <w:bookmarkStart w:id="8" w:name="OLE_LINK12"/>
      <w:bookmarkStart w:id="9" w:name="OLE_LINK212"/>
      <w:r w:rsidRPr="00F40A26">
        <w:rPr>
          <w:rFonts w:ascii="Book Antiqua" w:hAnsi="Book Antiqua"/>
          <w:b/>
          <w:color w:val="000000"/>
          <w:sz w:val="24"/>
          <w:szCs w:val="24"/>
        </w:rPr>
        <w:lastRenderedPageBreak/>
        <w:t>Received:</w:t>
      </w:r>
      <w:r w:rsidRPr="00F40A26">
        <w:rPr>
          <w:rFonts w:ascii="Book Antiqua" w:hAnsi="Book Antiqua"/>
          <w:b/>
          <w:color w:val="000000"/>
          <w:sz w:val="24"/>
          <w:szCs w:val="24"/>
          <w:lang w:eastAsia="zh-CN"/>
        </w:rPr>
        <w:t xml:space="preserve"> </w:t>
      </w:r>
      <w:r w:rsidRPr="00F40A26">
        <w:rPr>
          <w:rFonts w:ascii="Book Antiqua" w:hAnsi="Book Antiqua"/>
          <w:color w:val="000000"/>
          <w:sz w:val="24"/>
          <w:szCs w:val="24"/>
          <w:lang w:eastAsia="zh-CN"/>
        </w:rPr>
        <w:t>March 11, 2014</w:t>
      </w:r>
      <w:r w:rsidRPr="00F40A26">
        <w:rPr>
          <w:rFonts w:ascii="Book Antiqua" w:hAnsi="Book Antiqua"/>
          <w:b/>
          <w:color w:val="000000"/>
          <w:sz w:val="24"/>
          <w:szCs w:val="24"/>
        </w:rPr>
        <w:t xml:space="preserve">  </w:t>
      </w:r>
      <w:r w:rsidRPr="00F40A26">
        <w:rPr>
          <w:rFonts w:ascii="Book Antiqua" w:hAnsi="Book Antiqua"/>
          <w:color w:val="000000"/>
          <w:sz w:val="24"/>
          <w:szCs w:val="24"/>
        </w:rPr>
        <w:t xml:space="preserve"> </w:t>
      </w:r>
      <w:r w:rsidRPr="00F40A26">
        <w:rPr>
          <w:rFonts w:ascii="Book Antiqua" w:hAnsi="Book Antiqua"/>
          <w:b/>
          <w:color w:val="000000"/>
          <w:sz w:val="24"/>
          <w:szCs w:val="24"/>
        </w:rPr>
        <w:t>Revised:</w:t>
      </w:r>
      <w:r w:rsidRPr="00F40A26">
        <w:rPr>
          <w:rFonts w:ascii="Book Antiqua" w:hAnsi="Book Antiqua"/>
          <w:b/>
          <w:color w:val="000000"/>
          <w:sz w:val="24"/>
          <w:szCs w:val="24"/>
          <w:lang w:eastAsia="zh-CN"/>
        </w:rPr>
        <w:t xml:space="preserve"> </w:t>
      </w:r>
      <w:r w:rsidRPr="00F40A26">
        <w:rPr>
          <w:rFonts w:ascii="Book Antiqua" w:hAnsi="Book Antiqua"/>
          <w:color w:val="000000"/>
          <w:sz w:val="24"/>
          <w:szCs w:val="24"/>
          <w:lang w:eastAsia="zh-CN"/>
        </w:rPr>
        <w:t>April 22, 2014</w:t>
      </w:r>
    </w:p>
    <w:p w:rsidR="00C14486" w:rsidRDefault="00F32DC0" w:rsidP="00C14486">
      <w:pPr>
        <w:rPr>
          <w:rFonts w:ascii="Book Antiqua" w:hAnsi="Book Antiqua"/>
          <w:color w:val="000000"/>
          <w:sz w:val="24"/>
        </w:rPr>
      </w:pPr>
      <w:r w:rsidRPr="00F40A26">
        <w:rPr>
          <w:rFonts w:ascii="Book Antiqua" w:hAnsi="Book Antiqua"/>
          <w:b/>
          <w:color w:val="000000"/>
          <w:sz w:val="24"/>
          <w:szCs w:val="24"/>
        </w:rPr>
        <w:t>Accepted:</w:t>
      </w:r>
      <w:bookmarkStart w:id="10" w:name="OLE_LINK1"/>
      <w:bookmarkStart w:id="11" w:name="OLE_LINK2"/>
      <w:bookmarkStart w:id="12" w:name="OLE_LINK3"/>
      <w:bookmarkStart w:id="13" w:name="OLE_LINK6"/>
      <w:bookmarkStart w:id="14" w:name="OLE_LINK7"/>
      <w:bookmarkStart w:id="15" w:name="OLE_LINK9"/>
      <w:bookmarkStart w:id="16" w:name="OLE_LINK10"/>
      <w:bookmarkStart w:id="17" w:name="OLE_LINK13"/>
      <w:bookmarkStart w:id="18" w:name="OLE_LINK14"/>
      <w:bookmarkStart w:id="19" w:name="OLE_LINK17"/>
      <w:bookmarkStart w:id="20" w:name="OLE_LINK18"/>
      <w:bookmarkStart w:id="21" w:name="OLE_LINK19"/>
      <w:bookmarkStart w:id="22" w:name="OLE_LINK22"/>
      <w:bookmarkStart w:id="23" w:name="OLE_LINK24"/>
      <w:bookmarkStart w:id="24" w:name="OLE_LINK25"/>
      <w:bookmarkStart w:id="25" w:name="OLE_LINK26"/>
      <w:bookmarkStart w:id="26" w:name="OLE_LINK27"/>
      <w:bookmarkStart w:id="27" w:name="OLE_LINK28"/>
      <w:bookmarkStart w:id="28" w:name="OLE_LINK29"/>
      <w:bookmarkStart w:id="29" w:name="OLE_LINK30"/>
      <w:bookmarkStart w:id="30" w:name="OLE_LINK31"/>
      <w:bookmarkStart w:id="31" w:name="OLE_LINK32"/>
      <w:bookmarkStart w:id="32" w:name="OLE_LINK34"/>
      <w:bookmarkStart w:id="33" w:name="OLE_LINK36"/>
      <w:bookmarkStart w:id="34" w:name="OLE_LINK37"/>
      <w:bookmarkStart w:id="35" w:name="OLE_LINK38"/>
      <w:bookmarkStart w:id="36" w:name="OLE_LINK41"/>
      <w:bookmarkStart w:id="37" w:name="OLE_LINK42"/>
      <w:bookmarkStart w:id="38" w:name="OLE_LINK44"/>
      <w:bookmarkStart w:id="39" w:name="OLE_LINK45"/>
      <w:bookmarkStart w:id="40" w:name="OLE_LINK46"/>
      <w:bookmarkStart w:id="41" w:name="OLE_LINK47"/>
      <w:bookmarkStart w:id="42" w:name="OLE_LINK52"/>
      <w:bookmarkStart w:id="43" w:name="OLE_LINK43"/>
      <w:bookmarkStart w:id="44" w:name="OLE_LINK57"/>
      <w:bookmarkStart w:id="45" w:name="OLE_LINK58"/>
      <w:bookmarkStart w:id="46" w:name="OLE_LINK8"/>
      <w:bookmarkStart w:id="47" w:name="OLE_LINK62"/>
      <w:bookmarkStart w:id="48" w:name="OLE_LINK66"/>
      <w:bookmarkStart w:id="49" w:name="OLE_LINK68"/>
      <w:bookmarkStart w:id="50" w:name="OLE_LINK69"/>
      <w:bookmarkStart w:id="51" w:name="OLE_LINK71"/>
      <w:bookmarkStart w:id="52" w:name="OLE_LINK74"/>
      <w:bookmarkStart w:id="53" w:name="OLE_LINK77"/>
      <w:bookmarkStart w:id="54" w:name="OLE_LINK78"/>
      <w:bookmarkStart w:id="55" w:name="OLE_LINK72"/>
      <w:bookmarkStart w:id="56" w:name="OLE_LINK73"/>
      <w:bookmarkStart w:id="57" w:name="OLE_LINK79"/>
      <w:bookmarkStart w:id="58" w:name="OLE_LINK81"/>
      <w:r w:rsidR="00C14486" w:rsidRPr="00C14486">
        <w:rPr>
          <w:rFonts w:ascii="Book Antiqua" w:hAnsi="Book Antiqua"/>
          <w:color w:val="000000"/>
          <w:sz w:val="24"/>
        </w:rPr>
        <w:t xml:space="preserve"> </w:t>
      </w:r>
      <w:r w:rsidR="00C14486">
        <w:rPr>
          <w:rFonts w:ascii="Book Antiqua" w:hAnsi="Book Antiqua"/>
          <w:color w:val="000000"/>
          <w:sz w:val="24"/>
        </w:rPr>
        <w:t>July 24, 2014</w:t>
      </w:r>
    </w:p>
    <w:p w:rsidR="00C67E47" w:rsidRPr="00F40A26" w:rsidRDefault="00F32DC0">
      <w:pPr>
        <w:snapToGrid w:val="0"/>
        <w:spacing w:line="360" w:lineRule="auto"/>
        <w:rPr>
          <w:rFonts w:ascii="Book Antiqua" w:hAnsi="Book Antiqua"/>
          <w:b/>
          <w:color w:val="000000"/>
          <w:sz w:val="24"/>
          <w:szCs w:val="24"/>
        </w:rPr>
      </w:pPr>
      <w:bookmarkStart w:id="59" w:name="_GoBack"/>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40A26">
        <w:rPr>
          <w:rFonts w:ascii="Book Antiqua" w:hAnsi="Book Antiqua"/>
          <w:b/>
          <w:color w:val="000000"/>
          <w:sz w:val="24"/>
          <w:szCs w:val="24"/>
        </w:rPr>
        <w:t xml:space="preserve"> </w:t>
      </w:r>
    </w:p>
    <w:p w:rsidR="00C67E47" w:rsidRPr="00F40A26" w:rsidRDefault="00F32DC0">
      <w:pPr>
        <w:snapToGrid w:val="0"/>
        <w:spacing w:line="360" w:lineRule="auto"/>
        <w:rPr>
          <w:rFonts w:ascii="Book Antiqua" w:hAnsi="Book Antiqua"/>
          <w:color w:val="000000"/>
          <w:sz w:val="24"/>
          <w:szCs w:val="24"/>
        </w:rPr>
      </w:pPr>
      <w:r w:rsidRPr="00F40A26">
        <w:rPr>
          <w:rFonts w:ascii="Book Antiqua" w:hAnsi="Book Antiqua"/>
          <w:b/>
          <w:color w:val="000000"/>
          <w:sz w:val="24"/>
          <w:szCs w:val="24"/>
        </w:rPr>
        <w:t xml:space="preserve">Published online: </w:t>
      </w:r>
    </w:p>
    <w:bookmarkEnd w:id="3"/>
    <w:bookmarkEnd w:id="4"/>
    <w:bookmarkEnd w:id="5"/>
    <w:bookmarkEnd w:id="6"/>
    <w:bookmarkEnd w:id="7"/>
    <w:bookmarkEnd w:id="8"/>
    <w:bookmarkEnd w:id="9"/>
    <w:p w:rsidR="00C67E47" w:rsidRDefault="00C67E47">
      <w:pPr>
        <w:snapToGrid w:val="0"/>
        <w:spacing w:line="360" w:lineRule="auto"/>
        <w:rPr>
          <w:rFonts w:ascii="Book Antiqua" w:hAnsi="Book Antiqua" w:cs="Times New Roman"/>
          <w:b/>
          <w:sz w:val="24"/>
          <w:szCs w:val="24"/>
          <w:lang w:val="fr-FR" w:eastAsia="zh-CN"/>
        </w:rPr>
      </w:pPr>
    </w:p>
    <w:p w:rsidR="00BB3534" w:rsidRPr="00F57C4D" w:rsidRDefault="00BB3534">
      <w:pPr>
        <w:snapToGrid w:val="0"/>
        <w:spacing w:line="360" w:lineRule="auto"/>
        <w:rPr>
          <w:rFonts w:ascii="Book Antiqua" w:hAnsi="Book Antiqua" w:cs="Times New Roman"/>
          <w:b/>
          <w:sz w:val="24"/>
          <w:szCs w:val="24"/>
          <w:lang w:val="fr-FR" w:eastAsia="zh-CN"/>
        </w:rPr>
      </w:pPr>
    </w:p>
    <w:p w:rsidR="00C67E47" w:rsidRPr="00F40A26" w:rsidRDefault="00F32DC0">
      <w:pPr>
        <w:snapToGrid w:val="0"/>
        <w:spacing w:line="360" w:lineRule="auto"/>
        <w:rPr>
          <w:rFonts w:ascii="Book Antiqua" w:eastAsia="MS Mincho" w:hAnsi="Book Antiqua" w:cs="Times New Roman"/>
          <w:b/>
          <w:sz w:val="24"/>
          <w:szCs w:val="24"/>
          <w:lang w:val="fr-FR"/>
        </w:rPr>
      </w:pPr>
      <w:r w:rsidRPr="00F40A26">
        <w:rPr>
          <w:rFonts w:ascii="Book Antiqua" w:eastAsia="MS Mincho" w:hAnsi="Book Antiqua" w:cs="Times New Roman"/>
          <w:b/>
          <w:sz w:val="24"/>
          <w:szCs w:val="24"/>
          <w:lang w:val="fr-FR"/>
        </w:rPr>
        <w:t>Abstract</w:t>
      </w:r>
    </w:p>
    <w:p w:rsidR="00C67E47" w:rsidRPr="00F40A26" w:rsidRDefault="00F32DC0">
      <w:pPr>
        <w:snapToGrid w:val="0"/>
        <w:spacing w:line="360" w:lineRule="auto"/>
        <w:rPr>
          <w:rFonts w:ascii="Book Antiqua" w:hAnsi="Book Antiqua" w:cs="Times New Roman"/>
          <w:sz w:val="24"/>
          <w:szCs w:val="24"/>
        </w:rPr>
      </w:pPr>
      <w:r w:rsidRPr="00F40A26">
        <w:rPr>
          <w:rFonts w:ascii="Book Antiqua" w:hAnsi="Book Antiqua" w:cs="Times New Roman"/>
          <w:sz w:val="24"/>
          <w:szCs w:val="24"/>
        </w:rPr>
        <w:t xml:space="preserve">Hepatocellular carcinoma (HCC) is </w:t>
      </w:r>
      <w:r w:rsidRPr="00F40A26">
        <w:rPr>
          <w:rFonts w:ascii="Book Antiqua" w:hAnsi="Book Antiqua" w:cs="Times New Roman"/>
          <w:color w:val="131313"/>
          <w:kern w:val="0"/>
          <w:sz w:val="24"/>
          <w:szCs w:val="24"/>
        </w:rPr>
        <w:t>the sixth most common cancer and third leading cause of cancer-related death in the world.</w:t>
      </w:r>
      <w:r w:rsidRPr="00F40A26">
        <w:rPr>
          <w:rFonts w:ascii="Book Antiqua" w:eastAsia="MS Mincho" w:hAnsi="Book Antiqua" w:cs="Times New Roman"/>
          <w:sz w:val="24"/>
          <w:szCs w:val="24"/>
        </w:rPr>
        <w:t xml:space="preserve"> The Barcelona clinic liver cancer classification is the current standard classification system for the clinical management of patients with HCC and suggests that</w:t>
      </w:r>
      <w:r w:rsidRPr="00F40A26">
        <w:rPr>
          <w:rFonts w:ascii="Book Antiqua" w:hAnsi="Book Antiqua" w:cs="Times New Roman"/>
          <w:sz w:val="24"/>
          <w:szCs w:val="24"/>
        </w:rPr>
        <w:t xml:space="preserve"> </w:t>
      </w:r>
      <w:r w:rsidRPr="00F40A26">
        <w:rPr>
          <w:rFonts w:ascii="Book Antiqua" w:hAnsi="Book Antiqua" w:cs="Times New Roman"/>
          <w:bCs/>
          <w:sz w:val="24"/>
          <w:szCs w:val="24"/>
        </w:rPr>
        <w:t xml:space="preserve">patients with intermediate-stage HCC benefit from </w:t>
      </w:r>
      <w:r w:rsidRPr="00F40A26">
        <w:rPr>
          <w:rFonts w:ascii="Book Antiqua" w:eastAsia="MS Mincho" w:hAnsi="Book Antiqua" w:cs="Times New Roman"/>
          <w:sz w:val="24"/>
          <w:szCs w:val="24"/>
        </w:rPr>
        <w:t>transcatheter arterial chemoembolization (TACE).</w:t>
      </w:r>
      <w:r w:rsidRPr="00F40A26">
        <w:rPr>
          <w:rFonts w:ascii="Book Antiqua" w:hAnsi="Book Antiqua" w:cs="Times New Roman"/>
          <w:bCs/>
          <w:sz w:val="24"/>
          <w:szCs w:val="24"/>
        </w:rPr>
        <w:t xml:space="preserve"> Interventional treatments such as TACE, balloon-occluded TACE, drug-eluting bead embolization, radioembolization, and combined therapies including TACE and </w:t>
      </w:r>
      <w:r w:rsidRPr="00F40A26">
        <w:rPr>
          <w:rFonts w:ascii="Book Antiqua" w:hAnsi="Book Antiqua" w:cs="Times New Roman"/>
          <w:sz w:val="24"/>
          <w:szCs w:val="24"/>
        </w:rPr>
        <w:t>radiofrequency ablation,</w:t>
      </w:r>
      <w:r w:rsidRPr="00F40A26">
        <w:rPr>
          <w:rFonts w:ascii="Book Antiqua" w:hAnsi="Book Antiqua" w:cs="Times New Roman"/>
          <w:bCs/>
          <w:sz w:val="24"/>
          <w:szCs w:val="24"/>
        </w:rPr>
        <w:t xml:space="preserve"> continue to evolve, resulting in improved patient prognosis. However, patients with advanced-stage HCC typically receive only chemotherapy with sorafenib, a multi-kinase inhibitor, or palliative and conservative therapy. </w:t>
      </w:r>
      <w:r w:rsidRPr="00F40A26">
        <w:rPr>
          <w:rFonts w:ascii="Book Antiqua" w:hAnsi="Book Antiqua" w:cs="Times New Roman"/>
          <w:sz w:val="24"/>
          <w:szCs w:val="24"/>
        </w:rPr>
        <w:t>Most patients receive palliative or conservative therapy only, and approximately 50% of patients with HCC are candidates for systemic therapy. However, these patients</w:t>
      </w:r>
      <w:r w:rsidRPr="00F40A26">
        <w:rPr>
          <w:rFonts w:ascii="Book Antiqua" w:hAnsi="Book Antiqua" w:cs="Times New Roman"/>
          <w:color w:val="FF0000"/>
          <w:sz w:val="24"/>
          <w:szCs w:val="24"/>
        </w:rPr>
        <w:t xml:space="preserve"> </w:t>
      </w:r>
      <w:r w:rsidRPr="00F40A26">
        <w:rPr>
          <w:rFonts w:ascii="Book Antiqua" w:hAnsi="Book Antiqua" w:cs="Times New Roman"/>
          <w:sz w:val="24"/>
          <w:szCs w:val="24"/>
        </w:rPr>
        <w:t>require therapy that is more effective than sorafenib or conservative treatment. Several researchers try to perform more effective therapies, such as combined therapies (</w:t>
      </w:r>
      <w:r w:rsidRPr="00F40A26">
        <w:rPr>
          <w:rFonts w:ascii="Book Antiqua" w:hAnsi="Book Antiqua" w:cs="Times New Roman"/>
          <w:bCs/>
          <w:sz w:val="24"/>
          <w:szCs w:val="24"/>
        </w:rPr>
        <w:t>TACE with radiotherapy and sorafenib with TACE), modified TACE for HCC with arterioportal or arteriohepatic vein shunts, TACE based on hepatic hemodynamics, and isolated hepatic perfusion</w:t>
      </w:r>
      <w:r w:rsidRPr="00F40A26">
        <w:rPr>
          <w:rFonts w:ascii="Book Antiqua" w:hAnsi="Book Antiqua" w:cs="Times New Roman"/>
          <w:sz w:val="24"/>
          <w:szCs w:val="24"/>
        </w:rPr>
        <w:t xml:space="preserve">. </w:t>
      </w:r>
      <w:r w:rsidRPr="00F40A26">
        <w:rPr>
          <w:rFonts w:ascii="Book Antiqua" w:hAnsi="Book Antiqua" w:cs="Times New Roman"/>
          <w:color w:val="131313"/>
          <w:kern w:val="0"/>
          <w:sz w:val="24"/>
          <w:szCs w:val="24"/>
        </w:rPr>
        <w:t xml:space="preserve">This review summarizes the published data and data on important ongoing studies concerning interventional treatments for unresectable HCC and discusses the technical improvements in these interventions, particularly for advanced-stage HCC. </w:t>
      </w:r>
    </w:p>
    <w:p w:rsidR="00C67E47" w:rsidRPr="00F40A26" w:rsidRDefault="00C67E47">
      <w:pPr>
        <w:snapToGrid w:val="0"/>
        <w:spacing w:line="360" w:lineRule="auto"/>
        <w:rPr>
          <w:rFonts w:ascii="Book Antiqua" w:hAnsi="Book Antiqua" w:cs="Times New Roman"/>
          <w:sz w:val="24"/>
          <w:szCs w:val="24"/>
        </w:rPr>
      </w:pPr>
    </w:p>
    <w:p w:rsidR="006F4A6F" w:rsidRPr="00F40A26" w:rsidRDefault="00F32DC0" w:rsidP="006F4A6F">
      <w:pPr>
        <w:adjustRightInd w:val="0"/>
        <w:snapToGrid w:val="0"/>
        <w:spacing w:line="360" w:lineRule="auto"/>
        <w:rPr>
          <w:rFonts w:ascii="Book Antiqua" w:hAnsi="Book Antiqua"/>
          <w:sz w:val="24"/>
          <w:szCs w:val="24"/>
        </w:rPr>
      </w:pPr>
      <w:bookmarkStart w:id="60" w:name="OLE_LINK98"/>
      <w:bookmarkStart w:id="61" w:name="OLE_LINK156"/>
      <w:bookmarkStart w:id="62" w:name="OLE_LINK196"/>
      <w:bookmarkStart w:id="63" w:name="OLE_LINK217"/>
      <w:bookmarkStart w:id="64" w:name="OLE_LINK242"/>
      <w:bookmarkStart w:id="65" w:name="OLE_LINK247"/>
      <w:bookmarkStart w:id="66" w:name="OLE_LINK311"/>
      <w:bookmarkStart w:id="67" w:name="OLE_LINK312"/>
      <w:bookmarkStart w:id="68" w:name="OLE_LINK325"/>
      <w:bookmarkStart w:id="69" w:name="OLE_LINK330"/>
      <w:bookmarkStart w:id="70" w:name="OLE_LINK513"/>
      <w:bookmarkStart w:id="71" w:name="OLE_LINK514"/>
      <w:bookmarkStart w:id="72" w:name="OLE_LINK464"/>
      <w:bookmarkStart w:id="73" w:name="OLE_LINK465"/>
      <w:bookmarkStart w:id="74" w:name="OLE_LINK466"/>
      <w:bookmarkStart w:id="75" w:name="OLE_LINK470"/>
      <w:bookmarkStart w:id="76" w:name="OLE_LINK471"/>
      <w:bookmarkStart w:id="77" w:name="OLE_LINK472"/>
      <w:bookmarkStart w:id="78" w:name="OLE_LINK474"/>
      <w:bookmarkStart w:id="79" w:name="OLE_LINK512"/>
      <w:bookmarkStart w:id="80" w:name="OLE_LINK800"/>
      <w:bookmarkStart w:id="81" w:name="OLE_LINK982"/>
      <w:bookmarkStart w:id="82" w:name="OLE_LINK1027"/>
      <w:bookmarkStart w:id="83" w:name="OLE_LINK504"/>
      <w:bookmarkStart w:id="84" w:name="OLE_LINK546"/>
      <w:bookmarkStart w:id="85" w:name="OLE_LINK547"/>
      <w:bookmarkStart w:id="86" w:name="OLE_LINK575"/>
      <w:bookmarkStart w:id="87" w:name="OLE_LINK640"/>
      <w:bookmarkStart w:id="88" w:name="OLE_LINK672"/>
      <w:bookmarkStart w:id="89" w:name="OLE_LINK714"/>
      <w:bookmarkStart w:id="90" w:name="OLE_LINK651"/>
      <w:bookmarkStart w:id="91" w:name="OLE_LINK652"/>
      <w:bookmarkStart w:id="92" w:name="OLE_LINK744"/>
      <w:bookmarkStart w:id="93" w:name="OLE_LINK758"/>
      <w:bookmarkStart w:id="94" w:name="OLE_LINK787"/>
      <w:bookmarkStart w:id="95" w:name="OLE_LINK807"/>
      <w:bookmarkStart w:id="96" w:name="OLE_LINK820"/>
      <w:bookmarkStart w:id="97" w:name="OLE_LINK862"/>
      <w:bookmarkStart w:id="98" w:name="OLE_LINK879"/>
      <w:bookmarkStart w:id="99" w:name="OLE_LINK906"/>
      <w:bookmarkStart w:id="100" w:name="OLE_LINK928"/>
      <w:bookmarkStart w:id="101" w:name="OLE_LINK960"/>
      <w:bookmarkStart w:id="102" w:name="OLE_LINK861"/>
      <w:bookmarkStart w:id="103" w:name="OLE_LINK983"/>
      <w:bookmarkStart w:id="104" w:name="OLE_LINK1334"/>
      <w:bookmarkStart w:id="105" w:name="OLE_LINK1029"/>
      <w:bookmarkStart w:id="106" w:name="OLE_LINK1060"/>
      <w:bookmarkStart w:id="107" w:name="OLE_LINK1061"/>
      <w:bookmarkStart w:id="108" w:name="OLE_LINK1348"/>
      <w:bookmarkStart w:id="109" w:name="OLE_LINK1086"/>
      <w:bookmarkStart w:id="110" w:name="OLE_LINK1100"/>
      <w:bookmarkStart w:id="111" w:name="OLE_LINK1125"/>
      <w:bookmarkStart w:id="112" w:name="OLE_LINK1163"/>
      <w:bookmarkStart w:id="113" w:name="OLE_LINK1193"/>
      <w:bookmarkStart w:id="114" w:name="OLE_LINK1219"/>
      <w:bookmarkStart w:id="115" w:name="OLE_LINK1247"/>
      <w:bookmarkStart w:id="116" w:name="OLE_LINK1284"/>
      <w:bookmarkStart w:id="117" w:name="OLE_LINK1313"/>
      <w:bookmarkStart w:id="118" w:name="OLE_LINK1361"/>
      <w:bookmarkStart w:id="119" w:name="OLE_LINK1384"/>
      <w:bookmarkStart w:id="120" w:name="OLE_LINK1403"/>
      <w:bookmarkStart w:id="121" w:name="OLE_LINK1437"/>
      <w:bookmarkStart w:id="122" w:name="OLE_LINK1454"/>
      <w:bookmarkStart w:id="123" w:name="OLE_LINK1480"/>
      <w:bookmarkStart w:id="124" w:name="OLE_LINK1504"/>
      <w:bookmarkStart w:id="125" w:name="OLE_LINK1516"/>
      <w:bookmarkStart w:id="126" w:name="OLE_LINK135"/>
      <w:bookmarkStart w:id="127" w:name="OLE_LINK216"/>
      <w:bookmarkStart w:id="128" w:name="OLE_LINK259"/>
      <w:bookmarkStart w:id="129" w:name="OLE_LINK1186"/>
      <w:bookmarkStart w:id="130" w:name="OLE_LINK1265"/>
      <w:bookmarkStart w:id="131" w:name="OLE_LINK1373"/>
      <w:bookmarkStart w:id="132" w:name="OLE_LINK1478"/>
      <w:bookmarkStart w:id="133" w:name="OLE_LINK1644"/>
      <w:bookmarkStart w:id="134" w:name="OLE_LINK1884"/>
      <w:bookmarkStart w:id="135" w:name="OLE_LINK1885"/>
      <w:bookmarkStart w:id="136" w:name="OLE_LINK1538"/>
      <w:bookmarkStart w:id="137" w:name="OLE_LINK1539"/>
      <w:bookmarkStart w:id="138" w:name="OLE_LINK1543"/>
      <w:bookmarkStart w:id="139" w:name="OLE_LINK1549"/>
      <w:bookmarkStart w:id="140" w:name="OLE_LINK1778"/>
      <w:bookmarkStart w:id="141" w:name="OLE_LINK1756"/>
      <w:bookmarkStart w:id="142" w:name="OLE_LINK1776"/>
      <w:bookmarkStart w:id="143" w:name="OLE_LINK1777"/>
      <w:bookmarkStart w:id="144" w:name="OLE_LINK1868"/>
      <w:bookmarkStart w:id="145" w:name="OLE_LINK1744"/>
      <w:bookmarkStart w:id="146" w:name="OLE_LINK1817"/>
      <w:bookmarkStart w:id="147" w:name="OLE_LINK1835"/>
      <w:bookmarkStart w:id="148" w:name="OLE_LINK1866"/>
      <w:bookmarkStart w:id="149" w:name="OLE_LINK1882"/>
      <w:bookmarkStart w:id="150" w:name="OLE_LINK1901"/>
      <w:bookmarkStart w:id="151" w:name="OLE_LINK1902"/>
      <w:bookmarkStart w:id="152" w:name="OLE_LINK2013"/>
      <w:bookmarkStart w:id="153" w:name="OLE_LINK1894"/>
      <w:bookmarkStart w:id="154" w:name="OLE_LINK1929"/>
      <w:bookmarkStart w:id="155" w:name="OLE_LINK1941"/>
      <w:bookmarkStart w:id="156" w:name="OLE_LINK1995"/>
      <w:bookmarkStart w:id="157" w:name="OLE_LINK1938"/>
      <w:bookmarkStart w:id="158" w:name="OLE_LINK2081"/>
      <w:bookmarkStart w:id="159" w:name="OLE_LINK2082"/>
      <w:bookmarkStart w:id="160" w:name="OLE_LINK2292"/>
      <w:bookmarkStart w:id="161" w:name="OLE_LINK1931"/>
      <w:bookmarkStart w:id="162" w:name="OLE_LINK1964"/>
      <w:bookmarkStart w:id="163" w:name="OLE_LINK2020"/>
      <w:bookmarkStart w:id="164" w:name="OLE_LINK2071"/>
      <w:bookmarkStart w:id="165" w:name="OLE_LINK2134"/>
      <w:bookmarkStart w:id="166" w:name="OLE_LINK2265"/>
      <w:bookmarkStart w:id="167" w:name="OLE_LINK2562"/>
      <w:bookmarkStart w:id="168" w:name="OLE_LINK1923"/>
      <w:bookmarkStart w:id="169" w:name="OLE_LINK2192"/>
      <w:bookmarkStart w:id="170" w:name="OLE_LINK2110"/>
      <w:bookmarkStart w:id="171" w:name="OLE_LINK2445"/>
      <w:bookmarkStart w:id="172" w:name="OLE_LINK2446"/>
      <w:bookmarkStart w:id="173" w:name="OLE_LINK2169"/>
      <w:bookmarkStart w:id="174" w:name="OLE_LINK2190"/>
      <w:bookmarkStart w:id="175" w:name="OLE_LINK2331"/>
      <w:bookmarkStart w:id="176" w:name="OLE_LINK2345"/>
      <w:bookmarkStart w:id="177" w:name="OLE_LINK2467"/>
      <w:bookmarkStart w:id="178" w:name="OLE_LINK2484"/>
      <w:bookmarkStart w:id="179" w:name="OLE_LINK2157"/>
      <w:bookmarkStart w:id="180" w:name="OLE_LINK2221"/>
      <w:bookmarkStart w:id="181" w:name="OLE_LINK2252"/>
      <w:bookmarkStart w:id="182" w:name="OLE_LINK2348"/>
      <w:bookmarkStart w:id="183" w:name="OLE_LINK2451"/>
      <w:bookmarkStart w:id="184" w:name="OLE_LINK2627"/>
      <w:bookmarkStart w:id="185" w:name="OLE_LINK2482"/>
      <w:bookmarkStart w:id="186" w:name="OLE_LINK2663"/>
      <w:bookmarkStart w:id="187" w:name="OLE_LINK2761"/>
      <w:bookmarkStart w:id="188" w:name="OLE_LINK2856"/>
      <w:bookmarkStart w:id="189" w:name="OLE_LINK2993"/>
      <w:bookmarkStart w:id="190" w:name="OLE_LINK2643"/>
      <w:bookmarkStart w:id="191" w:name="OLE_LINK2583"/>
      <w:bookmarkStart w:id="192" w:name="OLE_LINK2762"/>
      <w:bookmarkStart w:id="193" w:name="OLE_LINK2962"/>
      <w:bookmarkStart w:id="194" w:name="OLE_LINK2582"/>
      <w:bookmarkStart w:id="195" w:name="OLE_LINK344"/>
      <w:bookmarkStart w:id="196" w:name="OLE_LINK345"/>
      <w:r w:rsidRPr="00F40A26">
        <w:rPr>
          <w:rFonts w:ascii="Book Antiqua" w:hAnsi="Book Antiqua"/>
          <w:sz w:val="24"/>
          <w:szCs w:val="24"/>
        </w:rPr>
        <w:t xml:space="preserve">© 2014 Baishideng Publishing Group Inc. All rights reserved.  </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rsidR="00C67E47" w:rsidRPr="00F40A26" w:rsidRDefault="00C67E47">
      <w:pPr>
        <w:snapToGrid w:val="0"/>
        <w:spacing w:line="360" w:lineRule="auto"/>
        <w:rPr>
          <w:rFonts w:ascii="Book Antiqua" w:hAnsi="Book Antiqua" w:cs="Times New Roman"/>
          <w:b/>
          <w:sz w:val="24"/>
          <w:szCs w:val="24"/>
        </w:rPr>
      </w:pPr>
    </w:p>
    <w:p w:rsidR="00C67E47" w:rsidRPr="00F40A26" w:rsidRDefault="00F32DC0">
      <w:pPr>
        <w:snapToGrid w:val="0"/>
        <w:spacing w:line="360" w:lineRule="auto"/>
        <w:rPr>
          <w:rFonts w:ascii="Book Antiqua" w:hAnsi="Book Antiqua" w:cs="Times New Roman"/>
          <w:b/>
          <w:sz w:val="24"/>
          <w:szCs w:val="24"/>
        </w:rPr>
      </w:pPr>
      <w:r w:rsidRPr="00F40A26">
        <w:rPr>
          <w:rFonts w:ascii="Book Antiqua" w:hAnsi="Book Antiqua" w:cs="Times New Roman"/>
          <w:b/>
          <w:sz w:val="24"/>
          <w:szCs w:val="24"/>
        </w:rPr>
        <w:t>Key words:</w:t>
      </w:r>
      <w:r w:rsidRPr="00F40A26">
        <w:rPr>
          <w:rFonts w:ascii="Book Antiqua" w:hAnsi="Book Antiqua" w:cs="Times New Roman"/>
          <w:sz w:val="24"/>
          <w:szCs w:val="24"/>
        </w:rPr>
        <w:t xml:space="preserve"> Unresectable; Hepatocellular carcinoma; Intermediate-stage; </w:t>
      </w:r>
      <w:r w:rsidRPr="00F40A26">
        <w:rPr>
          <w:rFonts w:ascii="Book Antiqua" w:hAnsi="Book Antiqua" w:cs="Times New Roman"/>
          <w:color w:val="131313"/>
          <w:kern w:val="0"/>
          <w:sz w:val="24"/>
          <w:szCs w:val="24"/>
        </w:rPr>
        <w:t>Advanced-stage; Interventional</w:t>
      </w:r>
    </w:p>
    <w:p w:rsidR="00C67E47" w:rsidRPr="00F40A26" w:rsidRDefault="00C67E47">
      <w:pPr>
        <w:snapToGrid w:val="0"/>
        <w:spacing w:line="360" w:lineRule="auto"/>
        <w:rPr>
          <w:rFonts w:ascii="Book Antiqua" w:hAnsi="Book Antiqua" w:cs="Times New Roman"/>
          <w:sz w:val="24"/>
          <w:szCs w:val="24"/>
        </w:rPr>
      </w:pPr>
    </w:p>
    <w:p w:rsidR="00C67E47" w:rsidRPr="00F40A26" w:rsidRDefault="00F32DC0">
      <w:pPr>
        <w:snapToGrid w:val="0"/>
        <w:spacing w:line="360" w:lineRule="auto"/>
        <w:rPr>
          <w:rFonts w:ascii="Book Antiqua" w:hAnsi="Book Antiqua" w:cs="Times New Roman"/>
          <w:sz w:val="24"/>
          <w:szCs w:val="24"/>
        </w:rPr>
      </w:pPr>
      <w:r w:rsidRPr="00F40A26">
        <w:rPr>
          <w:rFonts w:ascii="Book Antiqua" w:hAnsi="Book Antiqua" w:cs="Times New Roman"/>
          <w:b/>
          <w:sz w:val="24"/>
          <w:szCs w:val="24"/>
        </w:rPr>
        <w:t>Core tip:</w:t>
      </w:r>
      <w:r w:rsidRPr="00F40A26">
        <w:rPr>
          <w:rFonts w:ascii="Book Antiqua" w:hAnsi="Book Antiqua" w:cs="Times New Roman"/>
          <w:sz w:val="24"/>
          <w:szCs w:val="24"/>
          <w:lang w:eastAsia="zh-CN"/>
        </w:rPr>
        <w:t xml:space="preserve"> </w:t>
      </w:r>
      <w:r w:rsidRPr="00F40A26">
        <w:rPr>
          <w:rFonts w:ascii="Book Antiqua" w:hAnsi="Book Antiqua" w:cs="Times New Roman"/>
          <w:sz w:val="24"/>
          <w:szCs w:val="24"/>
        </w:rPr>
        <w:t xml:space="preserve">Hepatocellular carcinoma (HCC) is </w:t>
      </w:r>
      <w:r w:rsidRPr="00F40A26">
        <w:rPr>
          <w:rFonts w:ascii="Book Antiqua" w:hAnsi="Book Antiqua" w:cs="Times New Roman"/>
          <w:color w:val="131313"/>
          <w:kern w:val="0"/>
          <w:sz w:val="24"/>
          <w:szCs w:val="24"/>
        </w:rPr>
        <w:t>the third leading cause of cancer-related death worldwide.</w:t>
      </w:r>
      <w:r w:rsidRPr="00F40A26">
        <w:rPr>
          <w:rFonts w:ascii="Book Antiqua" w:eastAsia="MS Mincho" w:hAnsi="Book Antiqua" w:cs="Times New Roman"/>
          <w:sz w:val="24"/>
          <w:szCs w:val="24"/>
        </w:rPr>
        <w:t xml:space="preserve"> </w:t>
      </w:r>
      <w:r w:rsidRPr="00F40A26">
        <w:rPr>
          <w:rFonts w:ascii="Book Antiqua" w:hAnsi="Book Antiqua" w:cs="Times New Roman"/>
          <w:bCs/>
          <w:sz w:val="24"/>
          <w:szCs w:val="24"/>
        </w:rPr>
        <w:t xml:space="preserve">Interventional treatments for intermediate-stage HCC patients such as </w:t>
      </w:r>
      <w:r w:rsidRPr="00F40A26">
        <w:rPr>
          <w:rFonts w:ascii="Book Antiqua" w:eastAsia="MS Mincho" w:hAnsi="Book Antiqua" w:cs="Times New Roman"/>
          <w:sz w:val="24"/>
          <w:szCs w:val="24"/>
        </w:rPr>
        <w:t>transcatheter arterial chemoembolization (TACE)</w:t>
      </w:r>
      <w:r w:rsidRPr="00F40A26">
        <w:rPr>
          <w:rFonts w:ascii="Book Antiqua" w:hAnsi="Book Antiqua" w:cs="Times New Roman"/>
          <w:bCs/>
          <w:sz w:val="24"/>
          <w:szCs w:val="24"/>
        </w:rPr>
        <w:t>, drug-eluting bead embolization, and radioembolization, continue to evolve, improving prognosis.</w:t>
      </w:r>
      <w:r w:rsidRPr="00F40A26">
        <w:rPr>
          <w:rFonts w:ascii="Book Antiqua" w:eastAsia="MS Mincho" w:hAnsi="Book Antiqua" w:cs="Times New Roman"/>
          <w:sz w:val="24"/>
          <w:szCs w:val="24"/>
        </w:rPr>
        <w:t xml:space="preserve"> However, </w:t>
      </w:r>
      <w:r w:rsidRPr="00F40A26">
        <w:rPr>
          <w:rFonts w:ascii="Book Antiqua" w:hAnsi="Book Antiqua" w:cs="Times New Roman"/>
          <w:bCs/>
          <w:sz w:val="24"/>
          <w:szCs w:val="24"/>
        </w:rPr>
        <w:t>advanced-stage HCC is typically treated only with sorafenib, with only a</w:t>
      </w:r>
      <w:r w:rsidRPr="00F40A26">
        <w:rPr>
          <w:rFonts w:ascii="Book Antiqua" w:eastAsia="MS Mincho" w:hAnsi="Book Antiqua" w:cs="Times New Roman"/>
          <w:sz w:val="24"/>
          <w:szCs w:val="24"/>
        </w:rPr>
        <w:t xml:space="preserve"> modest improvement</w:t>
      </w:r>
      <w:r w:rsidRPr="00F40A26">
        <w:rPr>
          <w:rFonts w:ascii="Book Antiqua" w:hAnsi="Book Antiqua" w:cs="Times New Roman"/>
          <w:bCs/>
          <w:sz w:val="24"/>
          <w:szCs w:val="24"/>
        </w:rPr>
        <w:t xml:space="preserve"> in</w:t>
      </w:r>
      <w:r w:rsidRPr="00F40A26">
        <w:rPr>
          <w:rFonts w:ascii="Book Antiqua" w:hAnsi="Book Antiqua" w:cs="Times New Roman"/>
          <w:sz w:val="24"/>
          <w:szCs w:val="24"/>
        </w:rPr>
        <w:t xml:space="preserve"> overall survival</w:t>
      </w:r>
      <w:r w:rsidRPr="00F40A26">
        <w:rPr>
          <w:rFonts w:ascii="Book Antiqua" w:eastAsia="MS Mincho" w:hAnsi="Book Antiqua" w:cs="Times New Roman"/>
          <w:sz w:val="24"/>
          <w:szCs w:val="24"/>
        </w:rPr>
        <w:t>.</w:t>
      </w:r>
      <w:r w:rsidRPr="00F40A26">
        <w:rPr>
          <w:rFonts w:ascii="Book Antiqua" w:hAnsi="Book Antiqua" w:cs="Times New Roman"/>
          <w:sz w:val="24"/>
          <w:szCs w:val="24"/>
        </w:rPr>
        <w:t xml:space="preserve"> More effective therapies such as </w:t>
      </w:r>
      <w:r w:rsidRPr="00F40A26">
        <w:rPr>
          <w:rFonts w:ascii="Book Antiqua" w:hAnsi="Book Antiqua" w:cs="Times New Roman"/>
          <w:bCs/>
          <w:sz w:val="24"/>
          <w:szCs w:val="24"/>
        </w:rPr>
        <w:t>combined TACE and radiotherapy, TACE with special techniques, and isolated hepatic perfusion have been studied extensively</w:t>
      </w:r>
      <w:r w:rsidRPr="00F40A26">
        <w:rPr>
          <w:rFonts w:ascii="Book Antiqua" w:hAnsi="Book Antiqua" w:cs="Times New Roman"/>
          <w:sz w:val="24"/>
          <w:szCs w:val="24"/>
        </w:rPr>
        <w:t xml:space="preserve">. </w:t>
      </w:r>
      <w:r w:rsidRPr="00F40A26">
        <w:rPr>
          <w:rFonts w:ascii="Book Antiqua" w:hAnsi="Book Antiqua" w:cs="Times New Roman"/>
          <w:color w:val="131313"/>
          <w:kern w:val="0"/>
          <w:sz w:val="24"/>
          <w:szCs w:val="24"/>
        </w:rPr>
        <w:t xml:space="preserve">This review summarizes data on published and important ongoing studies concerning interventional treatments for unresectable HCC and discusses technical improvements in these interventions, particularly for advanced-stage HCC. </w:t>
      </w:r>
    </w:p>
    <w:p w:rsidR="00C427C5" w:rsidRPr="00F40A26" w:rsidRDefault="00C427C5" w:rsidP="008B5D80">
      <w:pPr>
        <w:adjustRightInd w:val="0"/>
        <w:snapToGrid w:val="0"/>
        <w:spacing w:line="360" w:lineRule="auto"/>
        <w:rPr>
          <w:rFonts w:ascii="Book Antiqua" w:hAnsi="Book Antiqua" w:cs="Tahoma"/>
          <w:sz w:val="24"/>
          <w:szCs w:val="24"/>
        </w:rPr>
      </w:pPr>
      <w:bookmarkStart w:id="197" w:name="OLE_LINK130"/>
      <w:bookmarkStart w:id="198" w:name="OLE_LINK134"/>
    </w:p>
    <w:p w:rsidR="00120896" w:rsidRPr="00F40A26" w:rsidRDefault="00F32DC0">
      <w:pPr>
        <w:adjustRightInd w:val="0"/>
        <w:snapToGrid w:val="0"/>
        <w:spacing w:line="360" w:lineRule="auto"/>
        <w:rPr>
          <w:rFonts w:ascii="Book Antiqua" w:hAnsi="Book Antiqua"/>
          <w:sz w:val="24"/>
          <w:szCs w:val="24"/>
          <w:lang w:eastAsia="zh-CN"/>
        </w:rPr>
      </w:pPr>
      <w:r w:rsidRPr="00F40A26">
        <w:rPr>
          <w:rFonts w:ascii="Book Antiqua" w:hAnsi="Book Antiqua" w:cs="Tahoma"/>
          <w:sz w:val="24"/>
          <w:szCs w:val="24"/>
        </w:rPr>
        <w:t>Murata S, Mine T, Sugihara F, Yasui D, Yamaguchi H, Ueda T, Onozawa S, Kumita S.</w:t>
      </w:r>
      <w:r w:rsidRPr="00F40A26">
        <w:rPr>
          <w:rFonts w:ascii="Book Antiqua" w:hAnsi="Book Antiqua" w:cs="Times New Roman"/>
          <w:bCs/>
          <w:sz w:val="24"/>
          <w:szCs w:val="24"/>
        </w:rPr>
        <w:t xml:space="preserve"> </w:t>
      </w:r>
      <w:r w:rsidRPr="00F40A26">
        <w:rPr>
          <w:rFonts w:ascii="Book Antiqua" w:hAnsi="Book Antiqua" w:cs="Tahoma"/>
          <w:bCs/>
          <w:sz w:val="24"/>
          <w:szCs w:val="24"/>
        </w:rPr>
        <w:t xml:space="preserve">Interventional treatment for unresectable </w:t>
      </w:r>
      <w:r w:rsidRPr="00F40A26">
        <w:rPr>
          <w:rFonts w:ascii="Book Antiqua" w:hAnsi="Book Antiqua" w:cs="Tahoma"/>
          <w:sz w:val="24"/>
          <w:szCs w:val="24"/>
        </w:rPr>
        <w:t>hepatocellular carcinoma.</w:t>
      </w:r>
      <w:r w:rsidRPr="00F40A26">
        <w:rPr>
          <w:rFonts w:ascii="Book Antiqua" w:hAnsi="Book Antiqua"/>
          <w:i/>
          <w:sz w:val="24"/>
          <w:szCs w:val="24"/>
          <w:lang w:eastAsia="zh-CN"/>
        </w:rPr>
        <w:t xml:space="preserve"> </w:t>
      </w:r>
      <w:r w:rsidRPr="00F40A26">
        <w:rPr>
          <w:rFonts w:ascii="Book Antiqua" w:hAnsi="Book Antiqua"/>
          <w:i/>
          <w:sz w:val="24"/>
          <w:szCs w:val="24"/>
        </w:rPr>
        <w:t>World J Gastroenterol</w:t>
      </w:r>
      <w:r w:rsidRPr="00F40A26">
        <w:rPr>
          <w:rFonts w:ascii="Book Antiqua" w:hAnsi="Book Antiqua"/>
          <w:sz w:val="24"/>
          <w:szCs w:val="24"/>
        </w:rPr>
        <w:t xml:space="preserve"> 2014;</w:t>
      </w:r>
      <w:r w:rsidRPr="00F40A26">
        <w:rPr>
          <w:rFonts w:ascii="Book Antiqua" w:hAnsi="Book Antiqua"/>
          <w:sz w:val="24"/>
          <w:szCs w:val="24"/>
          <w:lang w:eastAsia="zh-CN"/>
        </w:rPr>
        <w:t xml:space="preserve"> </w:t>
      </w:r>
      <w:proofErr w:type="gramStart"/>
      <w:r w:rsidRPr="00F40A26">
        <w:rPr>
          <w:rFonts w:ascii="Book Antiqua" w:hAnsi="Book Antiqua"/>
          <w:sz w:val="24"/>
          <w:szCs w:val="24"/>
          <w:lang w:eastAsia="zh-CN"/>
        </w:rPr>
        <w:t>In</w:t>
      </w:r>
      <w:proofErr w:type="gramEnd"/>
      <w:r w:rsidRPr="00F40A26">
        <w:rPr>
          <w:rFonts w:ascii="Book Antiqua" w:hAnsi="Book Antiqua"/>
          <w:sz w:val="24"/>
          <w:szCs w:val="24"/>
          <w:lang w:eastAsia="zh-CN"/>
        </w:rPr>
        <w:t xml:space="preserve"> press</w:t>
      </w:r>
    </w:p>
    <w:p w:rsidR="00C67E47" w:rsidRPr="00F40A26" w:rsidRDefault="00F32DC0">
      <w:pPr>
        <w:adjustRightInd w:val="0"/>
        <w:snapToGrid w:val="0"/>
        <w:spacing w:line="360" w:lineRule="auto"/>
        <w:ind w:rightChars="-506" w:right="-1063"/>
        <w:rPr>
          <w:rFonts w:ascii="Book Antiqua" w:hAnsi="Book Antiqua"/>
          <w:sz w:val="24"/>
          <w:szCs w:val="24"/>
        </w:rPr>
      </w:pPr>
      <w:r w:rsidRPr="00F40A26">
        <w:rPr>
          <w:rFonts w:ascii="Book Antiqua" w:hAnsi="Book Antiqua"/>
          <w:sz w:val="24"/>
          <w:szCs w:val="24"/>
        </w:rPr>
        <w:t xml:space="preserve"> </w:t>
      </w:r>
    </w:p>
    <w:p w:rsidR="006F4A6F" w:rsidRPr="00F40A26" w:rsidRDefault="00F32DC0">
      <w:pPr>
        <w:widowControl/>
        <w:jc w:val="left"/>
        <w:rPr>
          <w:rFonts w:ascii="Book Antiqua" w:hAnsi="Book Antiqua"/>
          <w:b/>
          <w:bCs/>
          <w:sz w:val="24"/>
          <w:szCs w:val="24"/>
        </w:rPr>
      </w:pPr>
      <w:r w:rsidRPr="00F40A26">
        <w:rPr>
          <w:rFonts w:ascii="Book Antiqua" w:hAnsi="Book Antiqua"/>
          <w:b/>
          <w:bCs/>
          <w:sz w:val="24"/>
          <w:szCs w:val="24"/>
        </w:rPr>
        <w:br w:type="page"/>
      </w:r>
    </w:p>
    <w:bookmarkEnd w:id="197"/>
    <w:bookmarkEnd w:id="198"/>
    <w:p w:rsidR="00C67E47" w:rsidRPr="00F40A26" w:rsidRDefault="00F32DC0">
      <w:pPr>
        <w:snapToGrid w:val="0"/>
        <w:spacing w:line="360" w:lineRule="auto"/>
        <w:rPr>
          <w:rFonts w:ascii="Book Antiqua" w:hAnsi="Book Antiqua" w:cs="Times New Roman"/>
          <w:b/>
          <w:bCs/>
          <w:sz w:val="24"/>
          <w:szCs w:val="24"/>
        </w:rPr>
      </w:pPr>
      <w:r w:rsidRPr="00F40A26">
        <w:rPr>
          <w:rFonts w:ascii="Book Antiqua" w:hAnsi="Book Antiqua" w:cs="Times New Roman"/>
          <w:b/>
          <w:bCs/>
          <w:sz w:val="24"/>
          <w:szCs w:val="24"/>
        </w:rPr>
        <w:lastRenderedPageBreak/>
        <w:t>INTRODUCTION</w:t>
      </w:r>
    </w:p>
    <w:p w:rsidR="00C67E47" w:rsidRPr="00F40A26" w:rsidRDefault="00F32DC0">
      <w:pPr>
        <w:snapToGrid w:val="0"/>
        <w:spacing w:line="360" w:lineRule="auto"/>
        <w:rPr>
          <w:rFonts w:ascii="Book Antiqua" w:hAnsi="Book Antiqua" w:cs="Times New Roman"/>
          <w:sz w:val="24"/>
          <w:szCs w:val="24"/>
        </w:rPr>
      </w:pPr>
      <w:r w:rsidRPr="00F40A26">
        <w:rPr>
          <w:rFonts w:ascii="Book Antiqua" w:hAnsi="Book Antiqua" w:cs="Times New Roman"/>
          <w:sz w:val="24"/>
          <w:szCs w:val="24"/>
        </w:rPr>
        <w:t xml:space="preserve">Hepatocellular carcinoma (HCC) is </w:t>
      </w:r>
      <w:r w:rsidRPr="00F40A26">
        <w:rPr>
          <w:rFonts w:ascii="Book Antiqua" w:hAnsi="Book Antiqua" w:cs="Times New Roman"/>
          <w:color w:val="131313"/>
          <w:kern w:val="0"/>
          <w:sz w:val="24"/>
          <w:szCs w:val="24"/>
        </w:rPr>
        <w:t xml:space="preserve">the fifth most common cancer and the third leading cause of cancer-related deaths in the </w:t>
      </w:r>
      <w:proofErr w:type="gramStart"/>
      <w:r w:rsidRPr="00F40A26">
        <w:rPr>
          <w:rFonts w:ascii="Book Antiqua" w:hAnsi="Book Antiqua" w:cs="Times New Roman"/>
          <w:color w:val="131313"/>
          <w:kern w:val="0"/>
          <w:sz w:val="24"/>
          <w:szCs w:val="24"/>
        </w:rPr>
        <w:t>world</w:t>
      </w:r>
      <w:r w:rsidRPr="00F40A26">
        <w:rPr>
          <w:rFonts w:ascii="Book Antiqua" w:hAnsi="Book Antiqua" w:cs="Times New Roman"/>
          <w:color w:val="131313"/>
          <w:kern w:val="0"/>
          <w:sz w:val="24"/>
          <w:szCs w:val="24"/>
          <w:vertAlign w:val="superscript"/>
        </w:rPr>
        <w:t>[</w:t>
      </w:r>
      <w:proofErr w:type="gramEnd"/>
      <w:r w:rsidRPr="00F40A26">
        <w:rPr>
          <w:rFonts w:ascii="Book Antiqua" w:hAnsi="Book Antiqua" w:cs="Times New Roman"/>
          <w:color w:val="131313"/>
          <w:kern w:val="0"/>
          <w:sz w:val="24"/>
          <w:szCs w:val="24"/>
          <w:vertAlign w:val="superscript"/>
        </w:rPr>
        <w:t>1]</w:t>
      </w:r>
      <w:r w:rsidRPr="00F40A26">
        <w:rPr>
          <w:rFonts w:ascii="Book Antiqua" w:hAnsi="Book Antiqua" w:cs="Times New Roman"/>
          <w:color w:val="131313"/>
          <w:kern w:val="0"/>
          <w:sz w:val="24"/>
          <w:szCs w:val="24"/>
        </w:rPr>
        <w:t>.</w:t>
      </w:r>
      <w:r w:rsidRPr="00F40A26">
        <w:rPr>
          <w:rFonts w:ascii="Book Antiqua" w:eastAsia="MS Mincho" w:hAnsi="Book Antiqua" w:cs="Times New Roman"/>
          <w:sz w:val="24"/>
          <w:szCs w:val="24"/>
        </w:rPr>
        <w:t xml:space="preserve"> The Barcelona clinic liver cancer (BCLC) classification is the current standard classification system for clinical management of patients with HCC (Table 1)</w:t>
      </w:r>
      <w:r w:rsidRPr="00F40A26">
        <w:rPr>
          <w:rFonts w:ascii="Book Antiqua" w:hAnsi="Book Antiqua" w:cs="Times New Roman"/>
          <w:sz w:val="24"/>
          <w:szCs w:val="24"/>
          <w:vertAlign w:val="superscript"/>
        </w:rPr>
        <w:t>[2]</w:t>
      </w:r>
      <w:r w:rsidRPr="00F40A26">
        <w:rPr>
          <w:rFonts w:ascii="Book Antiqua" w:hAnsi="Book Antiqua" w:cs="Times New Roman"/>
          <w:sz w:val="24"/>
          <w:szCs w:val="24"/>
        </w:rPr>
        <w:t xml:space="preserve"> and suggests that patients presenting with very early-stage and early-stage disease (20%–30% of HCC patients) are suitable for curative treatments, such as resection, liver transplantation, local ablation with percutaneous ethanol injection, or radiofrequency ablation (RFA)</w:t>
      </w:r>
      <w:r w:rsidRPr="00F40A26">
        <w:rPr>
          <w:rFonts w:ascii="Book Antiqua" w:hAnsi="Book Antiqua" w:cs="Times New Roman"/>
          <w:sz w:val="24"/>
          <w:szCs w:val="24"/>
          <w:vertAlign w:val="superscript"/>
        </w:rPr>
        <w:t>[3,4]</w:t>
      </w:r>
      <w:r w:rsidRPr="00F40A26">
        <w:rPr>
          <w:rFonts w:ascii="Book Antiqua" w:hAnsi="Book Antiqua" w:cs="Times New Roman"/>
          <w:sz w:val="24"/>
          <w:szCs w:val="24"/>
        </w:rPr>
        <w:t xml:space="preserve">. Typically, patients with intermediate-stage disease show a survival benefit with transarterial chemoembolization (TACE). Patients with advanced-stage HCC with macroscopic vascular invasion (portal vein invasion), extrahepatic spread (lymph nodes and metastases), or cancer-related symptoms (performance status 1–2) may have </w:t>
      </w:r>
      <w:r w:rsidRPr="00F40A26">
        <w:rPr>
          <w:rFonts w:ascii="Book Antiqua" w:eastAsia="MS Mincho" w:hAnsi="Book Antiqua" w:cs="Times New Roman"/>
          <w:sz w:val="24"/>
          <w:szCs w:val="24"/>
        </w:rPr>
        <w:t>a modest improvement in prognosis</w:t>
      </w:r>
      <w:r w:rsidRPr="00F40A26">
        <w:rPr>
          <w:rFonts w:ascii="Book Antiqua" w:hAnsi="Book Antiqua" w:cs="Times New Roman"/>
          <w:sz w:val="24"/>
          <w:szCs w:val="24"/>
        </w:rPr>
        <w:t xml:space="preserve"> from first-line treatment with sorafenib,</w:t>
      </w:r>
      <w:r w:rsidRPr="00F40A26">
        <w:rPr>
          <w:rFonts w:ascii="Book Antiqua" w:eastAsia="MS Mincho" w:hAnsi="Book Antiqua" w:cs="Times New Roman"/>
          <w:sz w:val="24"/>
          <w:szCs w:val="24"/>
        </w:rPr>
        <w:t xml:space="preserve"> a molecularly targeted drug</w:t>
      </w:r>
      <w:r w:rsidRPr="00F40A26">
        <w:rPr>
          <w:rFonts w:ascii="Book Antiqua" w:eastAsia="MS Mincho" w:hAnsi="Book Antiqua" w:cs="Times New Roman"/>
          <w:sz w:val="24"/>
          <w:szCs w:val="24"/>
          <w:vertAlign w:val="superscript"/>
        </w:rPr>
        <w:t>[5]</w:t>
      </w:r>
      <w:r w:rsidRPr="00F40A26">
        <w:rPr>
          <w:rFonts w:ascii="Book Antiqua" w:eastAsia="MS Mincho" w:hAnsi="Book Antiqua" w:cs="Times New Roman"/>
          <w:sz w:val="24"/>
          <w:szCs w:val="24"/>
        </w:rPr>
        <w:t>, while p</w:t>
      </w:r>
      <w:r w:rsidRPr="00F40A26">
        <w:rPr>
          <w:rFonts w:ascii="Book Antiqua" w:hAnsi="Book Antiqua" w:cs="Times New Roman"/>
          <w:sz w:val="24"/>
          <w:szCs w:val="24"/>
        </w:rPr>
        <w:t>atients with terminal-stage disease (10%–20% of HCC patients) receive only symptomatic treatment.</w:t>
      </w:r>
    </w:p>
    <w:p w:rsidR="00120896" w:rsidRPr="00F40A26" w:rsidRDefault="00F32DC0">
      <w:pPr>
        <w:snapToGrid w:val="0"/>
        <w:spacing w:line="360" w:lineRule="auto"/>
        <w:ind w:firstLineChars="50" w:firstLine="120"/>
        <w:rPr>
          <w:rFonts w:ascii="Book Antiqua" w:hAnsi="Book Antiqua" w:cs="Times New Roman"/>
          <w:sz w:val="24"/>
          <w:szCs w:val="24"/>
        </w:rPr>
      </w:pPr>
      <w:r w:rsidRPr="00F40A26">
        <w:rPr>
          <w:rFonts w:ascii="Book Antiqua" w:eastAsia="MS Mincho" w:hAnsi="Book Antiqua" w:cs="Times New Roman"/>
          <w:sz w:val="24"/>
          <w:szCs w:val="24"/>
        </w:rPr>
        <w:t>TACE is the current standard of care</w:t>
      </w:r>
      <w:r w:rsidRPr="00F40A26">
        <w:rPr>
          <w:rFonts w:ascii="Book Antiqua" w:hAnsi="Book Antiqua" w:cs="Times New Roman"/>
          <w:sz w:val="24"/>
          <w:szCs w:val="24"/>
        </w:rPr>
        <w:t xml:space="preserve"> for patients with intermediate-stage disease and has been reported to prolong survival and allow control of HCC </w:t>
      </w:r>
      <w:proofErr w:type="gramStart"/>
      <w:r w:rsidRPr="00F40A26">
        <w:rPr>
          <w:rFonts w:ascii="Book Antiqua" w:hAnsi="Book Antiqua" w:cs="Times New Roman"/>
          <w:sz w:val="24"/>
          <w:szCs w:val="24"/>
        </w:rPr>
        <w:t>symptoms</w:t>
      </w:r>
      <w:r w:rsidRPr="00F40A26">
        <w:rPr>
          <w:rFonts w:ascii="Book Antiqua" w:hAnsi="Book Antiqua" w:cs="Times New Roman"/>
          <w:sz w:val="24"/>
          <w:szCs w:val="24"/>
          <w:vertAlign w:val="superscript"/>
        </w:rPr>
        <w:t>[</w:t>
      </w:r>
      <w:proofErr w:type="gramEnd"/>
      <w:r w:rsidRPr="00F40A26">
        <w:rPr>
          <w:rFonts w:ascii="Book Antiqua" w:hAnsi="Book Antiqua" w:cs="Times New Roman"/>
          <w:sz w:val="24"/>
          <w:szCs w:val="24"/>
          <w:vertAlign w:val="superscript"/>
        </w:rPr>
        <w:t>6-8]</w:t>
      </w:r>
      <w:r w:rsidRPr="00F40A26">
        <w:rPr>
          <w:rFonts w:ascii="Book Antiqua" w:eastAsia="MS Mincho" w:hAnsi="Book Antiqua" w:cs="Times New Roman"/>
          <w:sz w:val="24"/>
          <w:szCs w:val="24"/>
        </w:rPr>
        <w:t xml:space="preserve">. </w:t>
      </w:r>
      <w:r w:rsidRPr="00F40A26">
        <w:rPr>
          <w:rFonts w:ascii="Book Antiqua" w:hAnsi="Book Antiqua" w:cs="Times New Roman"/>
          <w:sz w:val="24"/>
          <w:szCs w:val="24"/>
        </w:rPr>
        <w:t xml:space="preserve">Patients with advanced-stage HCC receive first-line therapy with sorafenib, according to the BCLC treatment algorithm, and an increase in overall survival and time to progression has been shown in 2 major </w:t>
      </w:r>
      <w:proofErr w:type="gramStart"/>
      <w:r w:rsidRPr="00F40A26">
        <w:rPr>
          <w:rFonts w:ascii="Book Antiqua" w:hAnsi="Book Antiqua" w:cs="Times New Roman"/>
          <w:sz w:val="24"/>
          <w:szCs w:val="24"/>
        </w:rPr>
        <w:t>trials</w:t>
      </w:r>
      <w:r w:rsidRPr="00F40A26">
        <w:rPr>
          <w:rFonts w:ascii="Book Antiqua" w:hAnsi="Book Antiqua" w:cs="Times New Roman"/>
          <w:sz w:val="24"/>
          <w:szCs w:val="24"/>
          <w:vertAlign w:val="superscript"/>
        </w:rPr>
        <w:t>[</w:t>
      </w:r>
      <w:proofErr w:type="gramEnd"/>
      <w:r w:rsidRPr="00F40A26">
        <w:rPr>
          <w:rFonts w:ascii="Book Antiqua" w:hAnsi="Book Antiqua" w:cs="Times New Roman"/>
          <w:sz w:val="24"/>
          <w:szCs w:val="24"/>
          <w:vertAlign w:val="superscript"/>
        </w:rPr>
        <w:t>5,9]</w:t>
      </w:r>
      <w:r w:rsidRPr="00F40A26">
        <w:rPr>
          <w:rFonts w:ascii="Book Antiqua" w:hAnsi="Book Antiqua" w:cs="Times New Roman"/>
          <w:sz w:val="24"/>
          <w:szCs w:val="24"/>
        </w:rPr>
        <w:t xml:space="preserve">. However, the median overall survivals in patients treated with sorafenib for advanced-stage disease were 10.7 and 6.5 mo in the SHARP and Asia-Pacific trials, respectively, and a better treatment modality is needed. </w:t>
      </w:r>
    </w:p>
    <w:p w:rsidR="00120896" w:rsidRPr="00F40A26" w:rsidRDefault="00F32DC0">
      <w:pPr>
        <w:snapToGrid w:val="0"/>
        <w:spacing w:line="360" w:lineRule="auto"/>
        <w:ind w:firstLineChars="50" w:firstLine="120"/>
        <w:rPr>
          <w:rFonts w:ascii="Book Antiqua" w:hAnsi="Book Antiqua" w:cs="Times New Roman"/>
          <w:sz w:val="24"/>
          <w:szCs w:val="24"/>
        </w:rPr>
      </w:pPr>
      <w:r w:rsidRPr="00F40A26">
        <w:rPr>
          <w:rFonts w:ascii="Book Antiqua" w:hAnsi="Book Antiqua" w:cs="Times New Roman"/>
          <w:sz w:val="24"/>
          <w:szCs w:val="24"/>
        </w:rPr>
        <w:t xml:space="preserve">The aims of </w:t>
      </w:r>
      <w:r w:rsidRPr="00F40A26">
        <w:rPr>
          <w:rFonts w:ascii="Book Antiqua" w:hAnsi="Book Antiqua" w:cs="Times New Roman"/>
          <w:color w:val="131313"/>
          <w:kern w:val="0"/>
          <w:sz w:val="24"/>
          <w:szCs w:val="24"/>
        </w:rPr>
        <w:t xml:space="preserve">this review are to summarize the published data and important ongoing studies concerning interventional managements for HCC and to discuss the technical improvements in TACE, particularly for advanced-stage HCC. </w:t>
      </w:r>
    </w:p>
    <w:p w:rsidR="00C67E47" w:rsidRPr="00F40A26" w:rsidRDefault="00C67E47">
      <w:pPr>
        <w:snapToGrid w:val="0"/>
        <w:spacing w:line="360" w:lineRule="auto"/>
        <w:rPr>
          <w:rFonts w:ascii="Book Antiqua" w:hAnsi="Book Antiqua" w:cs="Times New Roman"/>
          <w:sz w:val="24"/>
          <w:szCs w:val="24"/>
        </w:rPr>
      </w:pPr>
    </w:p>
    <w:p w:rsidR="00C67E47" w:rsidRPr="00F40A26" w:rsidRDefault="00F32DC0">
      <w:pPr>
        <w:snapToGrid w:val="0"/>
        <w:spacing w:line="360" w:lineRule="auto"/>
        <w:rPr>
          <w:rFonts w:ascii="Book Antiqua" w:hAnsi="Book Antiqua" w:cs="Times New Roman"/>
          <w:b/>
          <w:bCs/>
          <w:sz w:val="24"/>
          <w:szCs w:val="24"/>
        </w:rPr>
      </w:pPr>
      <w:r w:rsidRPr="00F40A26">
        <w:rPr>
          <w:rFonts w:ascii="Book Antiqua" w:hAnsi="Book Antiqua" w:cs="Times New Roman"/>
          <w:b/>
          <w:bCs/>
          <w:sz w:val="24"/>
          <w:szCs w:val="24"/>
        </w:rPr>
        <w:lastRenderedPageBreak/>
        <w:t>UNRESECTABLE HCC</w:t>
      </w:r>
    </w:p>
    <w:p w:rsidR="00C67E47" w:rsidRPr="00F40A26" w:rsidRDefault="00F32DC0">
      <w:pPr>
        <w:snapToGrid w:val="0"/>
        <w:spacing w:line="360" w:lineRule="auto"/>
        <w:rPr>
          <w:rFonts w:ascii="Book Antiqua" w:hAnsi="Book Antiqua" w:cs="Times New Roman"/>
          <w:b/>
          <w:bCs/>
          <w:i/>
          <w:sz w:val="24"/>
          <w:szCs w:val="24"/>
        </w:rPr>
      </w:pPr>
      <w:r w:rsidRPr="00F40A26">
        <w:rPr>
          <w:rFonts w:ascii="Book Antiqua" w:hAnsi="Book Antiqua" w:cs="Times New Roman"/>
          <w:b/>
          <w:bCs/>
          <w:i/>
          <w:sz w:val="24"/>
          <w:szCs w:val="24"/>
        </w:rPr>
        <w:t>Intermediate-stage HCC</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t xml:space="preserve">Patients presenting with Child–Pugh class A and B liver function and large or multinodular HCC without cancer-related symptoms, macrovascular invasion, or extrahepatic metastasis are diagnosed with intermediate-stage HCC. Transarterial intervention, particularly TACE, is the recommended </w:t>
      </w:r>
      <w:r w:rsidRPr="00F40A26">
        <w:rPr>
          <w:rFonts w:ascii="Book Antiqua" w:hAnsi="Book Antiqua" w:cs="Times New Roman"/>
          <w:sz w:val="24"/>
          <w:szCs w:val="24"/>
        </w:rPr>
        <w:t>BCLC classification treatment and is endorsed by</w:t>
      </w:r>
      <w:r w:rsidRPr="00F40A26">
        <w:rPr>
          <w:rFonts w:ascii="Book Antiqua" w:hAnsi="Book Antiqua" w:cs="Times New Roman"/>
          <w:bCs/>
          <w:sz w:val="24"/>
          <w:szCs w:val="24"/>
        </w:rPr>
        <w:t xml:space="preserve"> the European Association for the Study of the </w:t>
      </w:r>
      <w:proofErr w:type="gramStart"/>
      <w:r w:rsidRPr="00F40A26">
        <w:rPr>
          <w:rFonts w:ascii="Book Antiqua" w:hAnsi="Book Antiqua" w:cs="Times New Roman"/>
          <w:bCs/>
          <w:sz w:val="24"/>
          <w:szCs w:val="24"/>
        </w:rPr>
        <w:t>Liver</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10]</w:t>
      </w:r>
      <w:r w:rsidRPr="00F40A26">
        <w:rPr>
          <w:rFonts w:ascii="Book Antiqua" w:hAnsi="Book Antiqua" w:cs="Times New Roman"/>
          <w:bCs/>
          <w:sz w:val="24"/>
          <w:szCs w:val="24"/>
        </w:rPr>
        <w:t xml:space="preserve"> and the American Association for the Study of Liver Diseases</w:t>
      </w:r>
      <w:r w:rsidRPr="00F40A26">
        <w:rPr>
          <w:rFonts w:ascii="Book Antiqua" w:hAnsi="Book Antiqua" w:cs="Times New Roman"/>
          <w:bCs/>
          <w:sz w:val="24"/>
          <w:szCs w:val="24"/>
          <w:vertAlign w:val="superscript"/>
        </w:rPr>
        <w:t>[11]</w:t>
      </w:r>
      <w:r w:rsidRPr="00F40A26">
        <w:rPr>
          <w:rFonts w:ascii="Book Antiqua" w:hAnsi="Book Antiqua" w:cs="Times New Roman"/>
          <w:bCs/>
          <w:sz w:val="24"/>
          <w:szCs w:val="24"/>
        </w:rPr>
        <w:t xml:space="preserve"> guidelines. </w:t>
      </w:r>
    </w:p>
    <w:p w:rsidR="00C67E47" w:rsidRPr="00F40A26" w:rsidRDefault="00C67E47">
      <w:pPr>
        <w:snapToGrid w:val="0"/>
        <w:spacing w:line="360" w:lineRule="auto"/>
        <w:rPr>
          <w:rFonts w:ascii="Book Antiqua" w:hAnsi="Book Antiqua" w:cs="Times New Roman"/>
          <w:b/>
          <w:bCs/>
          <w:sz w:val="24"/>
          <w:szCs w:val="24"/>
        </w:rPr>
      </w:pPr>
    </w:p>
    <w:p w:rsidR="00C67E47" w:rsidRPr="00F40A26" w:rsidRDefault="00F32DC0">
      <w:pPr>
        <w:snapToGrid w:val="0"/>
        <w:spacing w:line="360" w:lineRule="auto"/>
        <w:rPr>
          <w:rFonts w:ascii="Book Antiqua" w:eastAsia="MS Mincho" w:hAnsi="Book Antiqua" w:cs="Times New Roman"/>
          <w:sz w:val="24"/>
          <w:szCs w:val="24"/>
        </w:rPr>
      </w:pPr>
      <w:r w:rsidRPr="00F40A26">
        <w:rPr>
          <w:rFonts w:ascii="Book Antiqua" w:hAnsi="Book Antiqua" w:cs="Times New Roman"/>
          <w:b/>
          <w:bCs/>
          <w:sz w:val="24"/>
          <w:szCs w:val="24"/>
        </w:rPr>
        <w:t>TACE</w:t>
      </w:r>
      <w:r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The liver is a unique organ with a dual blood supply provided by the portal vein and hepatic artery. The portal vein delivers 80% of the blood supply to healthy liver tissue, while, the hepatic artery delivers 99% of the blood supply to hepatic tumors. Based on this observation,</w:t>
      </w:r>
      <w:r w:rsidRPr="00F40A26">
        <w:rPr>
          <w:rFonts w:ascii="Book Antiqua" w:eastAsia="MinionPro-Regular" w:hAnsi="Book Antiqua" w:cs="MinionPro-Regular"/>
          <w:kern w:val="0"/>
          <w:sz w:val="24"/>
          <w:szCs w:val="24"/>
        </w:rPr>
        <w:t xml:space="preserve"> </w:t>
      </w:r>
      <w:r w:rsidRPr="00F40A26">
        <w:rPr>
          <w:rFonts w:ascii="Book Antiqua" w:hAnsi="Book Antiqua" w:cs="Times New Roman"/>
          <w:bCs/>
          <w:sz w:val="24"/>
          <w:szCs w:val="24"/>
        </w:rPr>
        <w:t xml:space="preserve">TACE for HCC is appropriate for patients for whom surgical or percutaneous ablative treatment is contraindicated. </w:t>
      </w:r>
      <w:r w:rsidRPr="00F40A26">
        <w:rPr>
          <w:rFonts w:ascii="Book Antiqua" w:eastAsia="MS Mincho" w:hAnsi="Book Antiqua" w:cs="Times New Roman"/>
          <w:sz w:val="24"/>
          <w:szCs w:val="24"/>
        </w:rPr>
        <w:t xml:space="preserve">TACE involves the injection of anticancer drugs (doxorubicin, epirubicin, cisplatin or miriplatin) and iodized oil (Lipiodol Ultra Fluide, Laboratoires Guerber, Aulnay-sous-Bois, France) into the hepatic artery, followed by the administration of embolic </w:t>
      </w:r>
      <w:proofErr w:type="gramStart"/>
      <w:r w:rsidRPr="00F40A26">
        <w:rPr>
          <w:rFonts w:ascii="Book Antiqua" w:eastAsia="MS Mincho" w:hAnsi="Book Antiqua" w:cs="Times New Roman"/>
          <w:sz w:val="24"/>
          <w:szCs w:val="24"/>
        </w:rPr>
        <w:t>agents</w:t>
      </w:r>
      <w:r w:rsidRPr="00F40A26">
        <w:rPr>
          <w:rFonts w:ascii="Book Antiqua" w:eastAsia="MS Mincho" w:hAnsi="Book Antiqua" w:cs="Times New Roman"/>
          <w:sz w:val="24"/>
          <w:szCs w:val="24"/>
          <w:vertAlign w:val="superscript"/>
        </w:rPr>
        <w:t>[</w:t>
      </w:r>
      <w:proofErr w:type="gramEnd"/>
      <w:r w:rsidRPr="00F40A26">
        <w:rPr>
          <w:rFonts w:ascii="Book Antiqua" w:eastAsia="MS Mincho" w:hAnsi="Book Antiqua" w:cs="Times New Roman"/>
          <w:sz w:val="24"/>
          <w:szCs w:val="24"/>
          <w:vertAlign w:val="superscript"/>
        </w:rPr>
        <w:t>12,13]</w:t>
      </w:r>
      <w:r w:rsidRPr="00F40A26">
        <w:rPr>
          <w:rFonts w:ascii="Book Antiqua" w:eastAsia="MS Mincho" w:hAnsi="Book Antiqua" w:cs="Times New Roman"/>
          <w:sz w:val="24"/>
          <w:szCs w:val="24"/>
        </w:rPr>
        <w:t xml:space="preserve">. The antitumor effect of TACE is greater than that of either anticancer </w:t>
      </w:r>
      <w:proofErr w:type="gramStart"/>
      <w:r w:rsidRPr="00F40A26">
        <w:rPr>
          <w:rFonts w:ascii="Book Antiqua" w:eastAsia="MS Mincho" w:hAnsi="Book Antiqua" w:cs="Times New Roman"/>
          <w:sz w:val="24"/>
          <w:szCs w:val="24"/>
        </w:rPr>
        <w:t>drugs</w:t>
      </w:r>
      <w:r w:rsidRPr="00F40A26">
        <w:rPr>
          <w:rFonts w:ascii="Book Antiqua" w:eastAsia="MS Mincho" w:hAnsi="Book Antiqua" w:cs="Times New Roman"/>
          <w:sz w:val="24"/>
          <w:szCs w:val="24"/>
          <w:vertAlign w:val="superscript"/>
        </w:rPr>
        <w:t>[</w:t>
      </w:r>
      <w:proofErr w:type="gramEnd"/>
      <w:r w:rsidRPr="00F40A26">
        <w:rPr>
          <w:rFonts w:ascii="Book Antiqua" w:eastAsia="MS Mincho" w:hAnsi="Book Antiqua" w:cs="Times New Roman"/>
          <w:sz w:val="24"/>
          <w:szCs w:val="24"/>
          <w:vertAlign w:val="superscript"/>
        </w:rPr>
        <w:t>14]</w:t>
      </w:r>
      <w:r w:rsidRPr="00F40A26">
        <w:rPr>
          <w:rFonts w:ascii="Book Antiqua" w:eastAsia="MS Mincho" w:hAnsi="Book Antiqua" w:cs="Times New Roman"/>
          <w:sz w:val="24"/>
          <w:szCs w:val="24"/>
        </w:rPr>
        <w:t xml:space="preserve"> or iodized oil</w:t>
      </w:r>
      <w:r w:rsidRPr="00F40A26">
        <w:rPr>
          <w:rFonts w:ascii="Book Antiqua" w:eastAsia="MS Mincho" w:hAnsi="Book Antiqua" w:cs="Times New Roman"/>
          <w:sz w:val="24"/>
          <w:szCs w:val="24"/>
          <w:vertAlign w:val="superscript"/>
        </w:rPr>
        <w:t>[15,16]</w:t>
      </w:r>
      <w:r w:rsidRPr="00F40A26">
        <w:rPr>
          <w:rFonts w:ascii="Book Antiqua" w:eastAsia="MS Mincho" w:hAnsi="Book Antiqua" w:cs="Times New Roman"/>
          <w:sz w:val="24"/>
          <w:szCs w:val="24"/>
        </w:rPr>
        <w:t xml:space="preserve"> alone. Prognostic factors found to be associated with that a reduction in serum alpha fetoprotein levels after the intervention</w:t>
      </w:r>
      <w:r w:rsidRPr="00F40A26">
        <w:rPr>
          <w:rFonts w:ascii="Book Antiqua" w:eastAsia="MS Mincho" w:hAnsi="Book Antiqua" w:cs="Times New Roman"/>
          <w:sz w:val="24"/>
          <w:szCs w:val="24"/>
          <w:vertAlign w:val="superscript"/>
        </w:rPr>
        <w:t>[17]</w:t>
      </w:r>
      <w:r w:rsidRPr="00F40A26">
        <w:rPr>
          <w:rFonts w:ascii="Book Antiqua" w:eastAsia="MS Mincho" w:hAnsi="Book Antiqua" w:cs="Times New Roman"/>
          <w:sz w:val="24"/>
          <w:szCs w:val="24"/>
        </w:rPr>
        <w:t>, the number of TACE procedures</w:t>
      </w:r>
      <w:r w:rsidRPr="00F40A26">
        <w:rPr>
          <w:rFonts w:ascii="Book Antiqua" w:eastAsia="MS Mincho" w:hAnsi="Book Antiqua" w:cs="Times New Roman"/>
          <w:sz w:val="24"/>
          <w:szCs w:val="24"/>
          <w:vertAlign w:val="superscript"/>
        </w:rPr>
        <w:t>[18,19]</w:t>
      </w:r>
      <w:r w:rsidRPr="00F40A26">
        <w:rPr>
          <w:rFonts w:ascii="Book Antiqua" w:eastAsia="MS Mincho" w:hAnsi="Book Antiqua" w:cs="Times New Roman"/>
          <w:sz w:val="24"/>
          <w:szCs w:val="24"/>
        </w:rPr>
        <w:t>, a low model for end-stage liver disease score</w:t>
      </w:r>
      <w:r w:rsidRPr="00F40A26">
        <w:rPr>
          <w:rFonts w:ascii="Book Antiqua" w:eastAsia="MS Mincho" w:hAnsi="Book Antiqua" w:cs="Times New Roman"/>
          <w:sz w:val="24"/>
          <w:szCs w:val="24"/>
          <w:vertAlign w:val="superscript"/>
        </w:rPr>
        <w:t>[20]</w:t>
      </w:r>
      <w:r w:rsidRPr="00F40A26">
        <w:rPr>
          <w:rFonts w:ascii="Book Antiqua" w:eastAsia="MS Mincho" w:hAnsi="Book Antiqua" w:cs="Times New Roman"/>
          <w:sz w:val="24"/>
          <w:szCs w:val="24"/>
        </w:rPr>
        <w:t>, the absence of diffuse disease</w:t>
      </w:r>
      <w:r w:rsidRPr="00F40A26">
        <w:rPr>
          <w:rFonts w:ascii="Book Antiqua" w:eastAsia="MS Mincho" w:hAnsi="Book Antiqua" w:cs="Times New Roman"/>
          <w:sz w:val="24"/>
          <w:szCs w:val="24"/>
          <w:vertAlign w:val="superscript"/>
        </w:rPr>
        <w:t>[21,22]</w:t>
      </w:r>
      <w:r w:rsidRPr="00F40A26">
        <w:rPr>
          <w:rFonts w:ascii="Book Antiqua" w:eastAsia="MS Mincho" w:hAnsi="Book Antiqua" w:cs="Times New Roman"/>
          <w:sz w:val="24"/>
          <w:szCs w:val="24"/>
        </w:rPr>
        <w:t>, and small tumor size</w:t>
      </w:r>
      <w:r w:rsidRPr="00F40A26">
        <w:rPr>
          <w:rFonts w:ascii="Book Antiqua" w:eastAsia="MS Mincho" w:hAnsi="Book Antiqua" w:cs="Times New Roman"/>
          <w:sz w:val="24"/>
          <w:szCs w:val="24"/>
          <w:vertAlign w:val="superscript"/>
        </w:rPr>
        <w:t>[23]</w:t>
      </w:r>
      <w:r w:rsidRPr="00F40A26">
        <w:rPr>
          <w:rFonts w:ascii="Book Antiqua" w:eastAsia="MS Mincho" w:hAnsi="Book Antiqua" w:cs="Times New Roman"/>
          <w:sz w:val="24"/>
          <w:szCs w:val="24"/>
        </w:rPr>
        <w:t xml:space="preserve"> have been shown to correlate with better survival.</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sz w:val="24"/>
          <w:szCs w:val="24"/>
          <w:lang w:eastAsia="zh-CN"/>
        </w:rPr>
        <w:t xml:space="preserve"> </w:t>
      </w:r>
      <w:r w:rsidRPr="00F40A26">
        <w:rPr>
          <w:rFonts w:ascii="Book Antiqua" w:hAnsi="Book Antiqua" w:cs="Times New Roman"/>
          <w:bCs/>
          <w:sz w:val="24"/>
          <w:szCs w:val="24"/>
        </w:rPr>
        <w:t>Iodized oil is used as an embolic agent and carrier of anticancer drugs in TACE. Mixtures of anticancer drugs and iodized oil are classified as either emulsions (oil with saline and drugs) or suspensions (drugs in oil</w:t>
      </w:r>
      <w:proofErr w:type="gramStart"/>
      <w:r w:rsidRPr="00F40A26">
        <w:rPr>
          <w:rFonts w:ascii="Book Antiqua" w:hAnsi="Book Antiqua" w:cs="Times New Roman"/>
          <w:bCs/>
          <w:sz w:val="24"/>
          <w:szCs w:val="24"/>
        </w:rPr>
        <w:t>)</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24,25]</w:t>
      </w:r>
      <w:r w:rsidRPr="00F40A26">
        <w:rPr>
          <w:rFonts w:ascii="Book Antiqua" w:hAnsi="Book Antiqua" w:cs="Times New Roman"/>
          <w:bCs/>
          <w:sz w:val="24"/>
          <w:szCs w:val="24"/>
        </w:rPr>
        <w:t xml:space="preserve">. Comparative studies of suspensions versus emulsions in TACE, with cisplatin </w:t>
      </w:r>
      <w:r w:rsidRPr="00F40A26">
        <w:rPr>
          <w:rFonts w:ascii="Book Antiqua" w:hAnsi="Book Antiqua" w:cs="Times New Roman"/>
          <w:bCs/>
          <w:sz w:val="24"/>
          <w:szCs w:val="24"/>
        </w:rPr>
        <w:lastRenderedPageBreak/>
        <w:t>powder</w:t>
      </w:r>
      <w:r w:rsidRPr="00F40A26">
        <w:rPr>
          <w:rFonts w:ascii="Book Antiqua" w:hAnsi="Book Antiqua" w:cs="Times New Roman"/>
          <w:bCs/>
          <w:sz w:val="24"/>
          <w:szCs w:val="24"/>
          <w:vertAlign w:val="superscript"/>
        </w:rPr>
        <w:t xml:space="preserve"> [26]</w:t>
      </w:r>
      <w:r w:rsidRPr="00F40A26">
        <w:rPr>
          <w:rFonts w:ascii="Book Antiqua" w:hAnsi="Book Antiqua" w:cs="Times New Roman"/>
          <w:bCs/>
          <w:sz w:val="24"/>
          <w:szCs w:val="24"/>
        </w:rPr>
        <w:t xml:space="preserve"> or </w:t>
      </w:r>
      <w:proofErr w:type="gramStart"/>
      <w:r w:rsidRPr="00F40A26">
        <w:rPr>
          <w:rFonts w:ascii="Book Antiqua" w:hAnsi="Book Antiqua" w:cs="Times New Roman"/>
          <w:bCs/>
          <w:sz w:val="24"/>
          <w:szCs w:val="24"/>
        </w:rPr>
        <w:t>epirubicin</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27]</w:t>
      </w:r>
      <w:r w:rsidRPr="00F40A26">
        <w:rPr>
          <w:rFonts w:ascii="Book Antiqua" w:hAnsi="Book Antiqua" w:cs="Times New Roman"/>
          <w:bCs/>
          <w:sz w:val="24"/>
          <w:szCs w:val="24"/>
        </w:rPr>
        <w:t xml:space="preserve"> as anticancer agents for the treatment of rabbit VX2 liver tumors, demonstrated that suspensions were superior to emulsions with regard to their antitumor effects. Several factors are thought to explain these findings. In an emulsion, most of the powdered drug is contained in the unstable aqueous </w:t>
      </w:r>
      <w:proofErr w:type="gramStart"/>
      <w:r w:rsidRPr="00F40A26">
        <w:rPr>
          <w:rFonts w:ascii="Book Antiqua" w:hAnsi="Book Antiqua" w:cs="Times New Roman"/>
          <w:bCs/>
          <w:sz w:val="24"/>
          <w:szCs w:val="24"/>
        </w:rPr>
        <w:t>phase</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13,28]</w:t>
      </w:r>
      <w:r w:rsidRPr="00F40A26">
        <w:rPr>
          <w:rFonts w:ascii="Book Antiqua" w:hAnsi="Book Antiqua" w:cs="Times New Roman"/>
          <w:bCs/>
          <w:sz w:val="24"/>
          <w:szCs w:val="24"/>
        </w:rPr>
        <w:t xml:space="preserve">, which undergoes rapid dilution in the blood, elimination from the hepatic tissue, and excretion by the kidneys. In a suspension, the powder is directly mixed in the oil phase and distributed in a similar fashion to iodized oil alone through the portal venules and sinusoids over a 24-h </w:t>
      </w:r>
      <w:proofErr w:type="gramStart"/>
      <w:r w:rsidRPr="00F40A26">
        <w:rPr>
          <w:rFonts w:ascii="Book Antiqua" w:hAnsi="Book Antiqua" w:cs="Times New Roman"/>
          <w:bCs/>
          <w:sz w:val="24"/>
          <w:szCs w:val="24"/>
        </w:rPr>
        <w:t>period</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29,30]</w:t>
      </w:r>
      <w:r w:rsidRPr="00F40A26">
        <w:rPr>
          <w:rFonts w:ascii="Book Antiqua" w:hAnsi="Book Antiqua" w:cs="Times New Roman"/>
          <w:bCs/>
          <w:sz w:val="24"/>
          <w:szCs w:val="24"/>
        </w:rPr>
        <w:t xml:space="preserve">. As a result, suspensions show a longer anticancer drug release time at the tumor border and higher continuous drug concentrations. This longer tissue/drug activity period associated with the use of suspensions produces superior antitumor effects, as evaluated by changes to the growth ratio and results of histopathological </w:t>
      </w:r>
      <w:proofErr w:type="gramStart"/>
      <w:r w:rsidRPr="00F40A26">
        <w:rPr>
          <w:rFonts w:ascii="Book Antiqua" w:hAnsi="Book Antiqua" w:cs="Times New Roman"/>
          <w:bCs/>
          <w:sz w:val="24"/>
          <w:szCs w:val="24"/>
        </w:rPr>
        <w:t>investigations</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24,25,31,32]</w:t>
      </w:r>
      <w:r w:rsidRPr="00F40A26">
        <w:rPr>
          <w:rFonts w:ascii="Book Antiqua" w:hAnsi="Book Antiqua" w:cs="Times New Roman"/>
          <w:bCs/>
          <w:sz w:val="24"/>
          <w:szCs w:val="24"/>
        </w:rPr>
        <w:t xml:space="preserve">. However, since most anticancer drugs are hydrophilic, it is hard to make stable drug suspensions in oil. Additionally, </w:t>
      </w:r>
      <w:r w:rsidRPr="00F40A26">
        <w:rPr>
          <w:rFonts w:ascii="Book Antiqua" w:hAnsi="Book Antiqua"/>
          <w:bCs/>
          <w:sz w:val="24"/>
          <w:szCs w:val="24"/>
        </w:rPr>
        <w:t xml:space="preserve">tumor uptake of suspensions is poor, most likely due to their high </w:t>
      </w:r>
      <w:proofErr w:type="gramStart"/>
      <w:r w:rsidRPr="00F40A26">
        <w:rPr>
          <w:rFonts w:ascii="Book Antiqua" w:hAnsi="Book Antiqua"/>
          <w:bCs/>
          <w:sz w:val="24"/>
          <w:szCs w:val="24"/>
        </w:rPr>
        <w:t>viscosity</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33]</w:t>
      </w:r>
      <w:r w:rsidRPr="00F40A26">
        <w:rPr>
          <w:rFonts w:ascii="Book Antiqua" w:hAnsi="Book Antiqua" w:cs="Times New Roman"/>
          <w:bCs/>
          <w:sz w:val="24"/>
          <w:szCs w:val="24"/>
        </w:rPr>
        <w:t xml:space="preserve">. As </w:t>
      </w:r>
      <w:r w:rsidRPr="00F40A26">
        <w:rPr>
          <w:rFonts w:ascii="Book Antiqua" w:hAnsi="Book Antiqua"/>
          <w:bCs/>
          <w:sz w:val="24"/>
          <w:szCs w:val="24"/>
        </w:rPr>
        <w:t>the viscosity of iodized oil has a negative correlation with temperature exceeding 50 mPa</w:t>
      </w:r>
      <w:r w:rsidRPr="00F40A26">
        <w:rPr>
          <w:rFonts w:ascii="Book Antiqua" w:hAnsi="Book Antiqua"/>
          <w:sz w:val="24"/>
          <w:szCs w:val="24"/>
          <w:lang w:eastAsia="zh-CN"/>
        </w:rPr>
        <w:t>.</w:t>
      </w:r>
      <w:r w:rsidRPr="00F40A26">
        <w:rPr>
          <w:rFonts w:ascii="Book Antiqua" w:hAnsi="Book Antiqua"/>
          <w:bCs/>
          <w:sz w:val="24"/>
          <w:szCs w:val="24"/>
        </w:rPr>
        <w:t>s at 20° but decreasing to 22 mPa</w:t>
      </w:r>
      <w:r w:rsidRPr="00F40A26">
        <w:rPr>
          <w:rFonts w:ascii="Book Antiqua" w:hAnsi="Book Antiqua"/>
          <w:sz w:val="24"/>
          <w:szCs w:val="24"/>
          <w:lang w:eastAsia="zh-CN"/>
        </w:rPr>
        <w:t>.</w:t>
      </w:r>
      <w:r w:rsidRPr="00F40A26">
        <w:rPr>
          <w:rFonts w:ascii="Book Antiqua" w:hAnsi="Book Antiqua"/>
          <w:bCs/>
          <w:sz w:val="24"/>
          <w:szCs w:val="24"/>
        </w:rPr>
        <w:t>s and 12 mPa</w:t>
      </w:r>
      <w:r w:rsidRPr="00F40A26">
        <w:rPr>
          <w:rFonts w:ascii="Book Antiqua" w:hAnsi="Book Antiqua"/>
          <w:sz w:val="24"/>
          <w:szCs w:val="24"/>
          <w:lang w:eastAsia="zh-CN"/>
        </w:rPr>
        <w:t>.</w:t>
      </w:r>
      <w:r w:rsidRPr="00F40A26">
        <w:rPr>
          <w:rFonts w:ascii="Book Antiqua" w:hAnsi="Book Antiqua"/>
          <w:bCs/>
          <w:sz w:val="24"/>
          <w:szCs w:val="24"/>
        </w:rPr>
        <w:t>s, at 40° and 60°, respectively</w:t>
      </w:r>
      <w:r w:rsidRPr="00F40A26">
        <w:rPr>
          <w:rFonts w:ascii="Book Antiqua" w:hAnsi="Book Antiqua"/>
          <w:bCs/>
          <w:sz w:val="24"/>
          <w:szCs w:val="24"/>
          <w:vertAlign w:val="superscript"/>
        </w:rPr>
        <w:t>[34]</w:t>
      </w:r>
      <w:r w:rsidRPr="00F40A26">
        <w:rPr>
          <w:rFonts w:ascii="Book Antiqua" w:hAnsi="Book Antiqua"/>
          <w:bCs/>
          <w:sz w:val="24"/>
          <w:szCs w:val="24"/>
        </w:rPr>
        <w:t>,</w:t>
      </w:r>
      <w:r w:rsidRPr="00F40A26">
        <w:rPr>
          <w:rFonts w:ascii="Book Antiqua" w:hAnsi="Book Antiqua" w:cs="Times New Roman"/>
          <w:bCs/>
          <w:sz w:val="24"/>
          <w:szCs w:val="24"/>
        </w:rPr>
        <w:t xml:space="preserve"> </w:t>
      </w:r>
      <w:r w:rsidRPr="00F40A26">
        <w:rPr>
          <w:rFonts w:ascii="Book Antiqua" w:hAnsi="Book Antiqua"/>
          <w:bCs/>
          <w:sz w:val="24"/>
          <w:szCs w:val="24"/>
        </w:rPr>
        <w:t>we designed a syringe warmer to maintain suspensions at a high temperature. We have obtained significant antitumor effects without major adverse events when treating HCC patients with warmed drug suspensions since January of 2011 (article submitted for publication), and a prospective, comparative study of TACE with warmed suspension at 53° is currently under way.</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sz w:val="24"/>
          <w:szCs w:val="24"/>
          <w:lang w:eastAsia="zh-CN"/>
        </w:rPr>
        <w:t xml:space="preserve"> </w:t>
      </w:r>
      <w:r w:rsidRPr="00F40A26">
        <w:rPr>
          <w:rFonts w:ascii="Book Antiqua" w:hAnsi="Book Antiqua" w:cs="Times New Roman"/>
          <w:bCs/>
          <w:sz w:val="24"/>
          <w:szCs w:val="24"/>
        </w:rPr>
        <w:t xml:space="preserve">Drug-eluting beads (DEB), which can be loaded with doxorubicin, represent a novel drug delivery system for chemoembolization. A slow and sustained release of drug is predicted after intra-arterial delivery of DEB, and several studies have reported this method to be safe and efficacious in the treatment of </w:t>
      </w:r>
      <w:proofErr w:type="gramStart"/>
      <w:r w:rsidRPr="00F40A26">
        <w:rPr>
          <w:rFonts w:ascii="Book Antiqua" w:hAnsi="Book Antiqua" w:cs="Times New Roman"/>
          <w:bCs/>
          <w:sz w:val="24"/>
          <w:szCs w:val="24"/>
        </w:rPr>
        <w:t>HCC</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35,36]</w:t>
      </w:r>
      <w:r w:rsidRPr="00F40A26">
        <w:rPr>
          <w:rFonts w:ascii="Book Antiqua" w:hAnsi="Book Antiqua" w:cs="Times New Roman"/>
          <w:bCs/>
          <w:sz w:val="24"/>
          <w:szCs w:val="24"/>
        </w:rPr>
        <w:t xml:space="preserve">. DEB-TACE is proposed to have a better pharmacokinetic profile than conventional Lipiodol-TACE and result in decreased systemic adverse </w:t>
      </w:r>
      <w:proofErr w:type="gramStart"/>
      <w:r w:rsidRPr="00F40A26">
        <w:rPr>
          <w:rFonts w:ascii="Book Antiqua" w:hAnsi="Book Antiqua" w:cs="Times New Roman"/>
          <w:bCs/>
          <w:sz w:val="24"/>
          <w:szCs w:val="24"/>
        </w:rPr>
        <w:t>effects</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37]</w:t>
      </w:r>
      <w:r w:rsidRPr="00F40A26">
        <w:rPr>
          <w:rFonts w:ascii="Book Antiqua" w:hAnsi="Book Antiqua" w:cs="Times New Roman"/>
          <w:bCs/>
          <w:sz w:val="24"/>
          <w:szCs w:val="24"/>
        </w:rPr>
        <w:t xml:space="preserve">. </w:t>
      </w:r>
      <w:r w:rsidRPr="00F40A26">
        <w:rPr>
          <w:rFonts w:ascii="Book Antiqua" w:hAnsi="Book Antiqua" w:cs="Times New Roman"/>
          <w:bCs/>
          <w:sz w:val="24"/>
          <w:szCs w:val="24"/>
        </w:rPr>
        <w:lastRenderedPageBreak/>
        <w:t>However, a recent study reported that liver/biliary injury was strongly associated with DEB-TACE irrespectively of the type of tumor and underlying liver disease. At least 1 liver/biliary injury was observed after 30.4%</w:t>
      </w:r>
      <w:r w:rsidRPr="00F40A26">
        <w:rPr>
          <w:rFonts w:ascii="Book Antiqua" w:hAnsi="Book Antiqua"/>
          <w:bCs/>
          <w:sz w:val="24"/>
          <w:szCs w:val="24"/>
        </w:rPr>
        <w:t>–</w:t>
      </w:r>
      <w:r w:rsidRPr="00F40A26">
        <w:rPr>
          <w:rFonts w:ascii="Book Antiqua" w:hAnsi="Book Antiqua" w:cs="Times New Roman"/>
          <w:bCs/>
          <w:sz w:val="24"/>
          <w:szCs w:val="24"/>
        </w:rPr>
        <w:t>35.7% of DEB-TACE sessions, whereas this event occurred after only 4.2%</w:t>
      </w:r>
      <w:r w:rsidRPr="00F40A26">
        <w:rPr>
          <w:rFonts w:ascii="Book Antiqua" w:hAnsi="Book Antiqua"/>
          <w:bCs/>
          <w:sz w:val="24"/>
          <w:szCs w:val="24"/>
        </w:rPr>
        <w:t>–</w:t>
      </w:r>
      <w:r w:rsidRPr="00F40A26">
        <w:rPr>
          <w:rFonts w:ascii="Book Antiqua" w:hAnsi="Book Antiqua" w:cs="Times New Roman"/>
          <w:bCs/>
          <w:sz w:val="24"/>
          <w:szCs w:val="24"/>
        </w:rPr>
        <w:t>7.2% of conventional Lipiodol-TACE (</w:t>
      </w:r>
      <w:r w:rsidRPr="00F40A26">
        <w:rPr>
          <w:rFonts w:ascii="Book Antiqua" w:hAnsi="Book Antiqua" w:cs="Times New Roman"/>
          <w:bCs/>
          <w:i/>
          <w:sz w:val="24"/>
          <w:szCs w:val="24"/>
        </w:rPr>
        <w:t>P</w:t>
      </w:r>
      <w:r w:rsidRPr="00F40A26">
        <w:rPr>
          <w:rFonts w:ascii="Book Antiqua" w:hAnsi="Book Antiqua" w:cs="Times New Roman"/>
          <w:bCs/>
          <w:sz w:val="24"/>
          <w:szCs w:val="24"/>
        </w:rPr>
        <w:t xml:space="preserve"> &lt; 0.001</w:t>
      </w:r>
      <w:proofErr w:type="gramStart"/>
      <w:r w:rsidRPr="00F40A26">
        <w:rPr>
          <w:rFonts w:ascii="Book Antiqua" w:hAnsi="Book Antiqua" w:cs="Times New Roman"/>
          <w:bCs/>
          <w:sz w:val="24"/>
          <w:szCs w:val="24"/>
        </w:rPr>
        <w:t>)</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38]</w:t>
      </w:r>
      <w:r w:rsidRPr="00F40A26">
        <w:rPr>
          <w:rFonts w:ascii="Book Antiqua" w:hAnsi="Book Antiqua" w:cs="Times New Roman"/>
          <w:bCs/>
          <w:sz w:val="24"/>
          <w:szCs w:val="24"/>
        </w:rPr>
        <w:t>.</w:t>
      </w:r>
      <w:r w:rsidRPr="00F40A26">
        <w:rPr>
          <w:rFonts w:ascii="Book Antiqua" w:eastAsia="MinionPro-Regular" w:hAnsi="Book Antiqua" w:cs="Times New Roman"/>
          <w:kern w:val="0"/>
          <w:sz w:val="24"/>
          <w:szCs w:val="24"/>
        </w:rPr>
        <w:t xml:space="preserve"> D</w:t>
      </w:r>
      <w:r w:rsidRPr="00F40A26">
        <w:rPr>
          <w:rFonts w:ascii="Book Antiqua" w:hAnsi="Book Antiqua" w:cs="Times New Roman"/>
          <w:bCs/>
          <w:sz w:val="24"/>
          <w:szCs w:val="24"/>
        </w:rPr>
        <w:t>espite encouraging pharmacologi</w:t>
      </w:r>
      <w:r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cal and antitumor advantages, a recent large, phase 2 randomized trial of HCC failed to demonstrate a better tumor response rate to DEB-TACE compared with conventional Lipiodol-TACE</w:t>
      </w:r>
      <w:r w:rsidRPr="00F40A26">
        <w:rPr>
          <w:rFonts w:ascii="Book Antiqua" w:hAnsi="Book Antiqua" w:cs="Times New Roman"/>
          <w:bCs/>
          <w:sz w:val="24"/>
          <w:szCs w:val="24"/>
          <w:vertAlign w:val="superscript"/>
        </w:rPr>
        <w:t>[39]</w:t>
      </w:r>
      <w:r w:rsidRPr="00F40A26">
        <w:rPr>
          <w:rFonts w:ascii="Book Antiqua" w:hAnsi="Book Antiqua" w:cs="Times New Roman"/>
          <w:bCs/>
          <w:sz w:val="24"/>
          <w:szCs w:val="24"/>
        </w:rPr>
        <w:t xml:space="preserve">. </w:t>
      </w:r>
      <w:r w:rsidRPr="00F40A26">
        <w:rPr>
          <w:rFonts w:ascii="Book Antiqua" w:eastAsia="MinionPro-Regular" w:hAnsi="Book Antiqua" w:cs="Times New Roman"/>
          <w:kern w:val="0"/>
          <w:sz w:val="24"/>
          <w:szCs w:val="24"/>
        </w:rPr>
        <w:t>Further randomized, controlled, multicenter trials are necessary to explore the differences in adverse events and to assess the effects of DEB-TACE on short- and long-term outcomes.</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i/>
          <w:sz w:val="24"/>
          <w:szCs w:val="24"/>
          <w:lang w:eastAsia="zh-CN"/>
        </w:rPr>
        <w:t xml:space="preserve"> </w:t>
      </w:r>
      <w:r w:rsidRPr="00F40A26">
        <w:rPr>
          <w:rFonts w:ascii="Book Antiqua" w:hAnsi="Book Antiqua" w:cs="Times New Roman"/>
          <w:bCs/>
          <w:sz w:val="24"/>
          <w:szCs w:val="24"/>
        </w:rPr>
        <w:t>Radioembolization involves the catheter-based delivery of yttrium-90 (</w:t>
      </w:r>
      <w:r w:rsidRPr="00F40A26">
        <w:rPr>
          <w:rFonts w:ascii="Book Antiqua" w:hAnsi="Book Antiqua" w:cs="Times New Roman"/>
          <w:bCs/>
          <w:sz w:val="24"/>
          <w:szCs w:val="24"/>
          <w:vertAlign w:val="superscript"/>
        </w:rPr>
        <w:t>90</w:t>
      </w:r>
      <w:r w:rsidRPr="00F40A26">
        <w:rPr>
          <w:rFonts w:ascii="Book Antiqua" w:hAnsi="Book Antiqua" w:cs="Times New Roman"/>
          <w:bCs/>
          <w:sz w:val="24"/>
          <w:szCs w:val="24"/>
        </w:rPr>
        <w:t xml:space="preserve">Y)-embedded resin (SIR-Spheres®; Sirtex Medical, Sidney, New South Wales, Australia) or glass (TheraSphere®, MDS Nordion, Toronto, Ontario, Canada) microspheres into the hepatic </w:t>
      </w:r>
      <w:proofErr w:type="gramStart"/>
      <w:r w:rsidRPr="00F40A26">
        <w:rPr>
          <w:rFonts w:ascii="Book Antiqua" w:hAnsi="Book Antiqua" w:cs="Times New Roman"/>
          <w:bCs/>
          <w:sz w:val="24"/>
          <w:szCs w:val="24"/>
        </w:rPr>
        <w:t>artery</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40]</w:t>
      </w:r>
      <w:r w:rsidRPr="00F40A26">
        <w:rPr>
          <w:rFonts w:ascii="Book Antiqua" w:hAnsi="Book Antiqua" w:cs="Times New Roman"/>
          <w:bCs/>
          <w:sz w:val="24"/>
          <w:szCs w:val="24"/>
        </w:rPr>
        <w:t xml:space="preserve"> to distribute radioisotopes to the tumor. </w:t>
      </w:r>
      <w:r w:rsidRPr="00F40A26">
        <w:rPr>
          <w:rFonts w:ascii="Book Antiqua" w:hAnsi="Book Antiqua" w:cs="Times New Roman"/>
          <w:bCs/>
          <w:sz w:val="24"/>
          <w:szCs w:val="24"/>
          <w:vertAlign w:val="superscript"/>
        </w:rPr>
        <w:t>90</w:t>
      </w:r>
      <w:r w:rsidRPr="00F40A26">
        <w:rPr>
          <w:rFonts w:ascii="Book Antiqua" w:hAnsi="Book Antiqua" w:cs="Times New Roman"/>
          <w:bCs/>
          <w:sz w:val="24"/>
          <w:szCs w:val="24"/>
        </w:rPr>
        <w:t>Y is a pure beta-emitter, which generates high-energy radiation with a short half-life (2.67 d) and tissue penetration (mean 2.5 mm, maximum 11 mm)</w:t>
      </w:r>
      <w:r w:rsidRPr="00F40A26">
        <w:rPr>
          <w:rFonts w:ascii="Book Antiqua" w:hAnsi="Book Antiqua" w:cs="Times New Roman"/>
          <w:bCs/>
          <w:sz w:val="24"/>
          <w:szCs w:val="24"/>
          <w:vertAlign w:val="superscript"/>
        </w:rPr>
        <w:t>[41]</w:t>
      </w:r>
      <w:r w:rsidRPr="00F40A26">
        <w:rPr>
          <w:rFonts w:ascii="Book Antiqua" w:hAnsi="Book Antiqua" w:cs="Times New Roman"/>
          <w:bCs/>
          <w:sz w:val="24"/>
          <w:szCs w:val="24"/>
        </w:rPr>
        <w:t>. Once administered, these microspheres selectively emit high-energy, low-penetration radiation to the tumor, resulting in necrosis. Although there is currently a lack of sufficient prospective data comparing treatment efficacy in terms of response or survival between radioembolization and TACE for intermediate-stage HCC, a retrospective study</w:t>
      </w:r>
      <w:r w:rsidRPr="00F40A26">
        <w:rPr>
          <w:rFonts w:ascii="Book Antiqua" w:hAnsi="Book Antiqua" w:cs="Times New Roman"/>
          <w:bCs/>
          <w:sz w:val="24"/>
          <w:szCs w:val="24"/>
          <w:vertAlign w:val="superscript"/>
        </w:rPr>
        <w:t>[42]</w:t>
      </w:r>
      <w:r w:rsidRPr="00F40A26">
        <w:rPr>
          <w:rFonts w:ascii="Book Antiqua" w:hAnsi="Book Antiqua" w:cs="Times New Roman"/>
          <w:bCs/>
          <w:sz w:val="24"/>
          <w:szCs w:val="24"/>
        </w:rPr>
        <w:t xml:space="preserve"> comparing the outcomes between radioembolization (</w:t>
      </w:r>
      <w:r w:rsidRPr="00F40A26">
        <w:rPr>
          <w:rFonts w:ascii="Book Antiqua" w:hAnsi="Book Antiqua" w:cs="Times New Roman"/>
          <w:bCs/>
          <w:i/>
          <w:sz w:val="24"/>
          <w:szCs w:val="24"/>
        </w:rPr>
        <w:t>n</w:t>
      </w:r>
      <w:r w:rsidRPr="00F40A26">
        <w:rPr>
          <w:rFonts w:ascii="Book Antiqua" w:hAnsi="Book Antiqua" w:cs="Times New Roman"/>
          <w:bCs/>
          <w:sz w:val="24"/>
          <w:szCs w:val="24"/>
        </w:rPr>
        <w:t xml:space="preserve"> = 38) and TACE (</w:t>
      </w:r>
      <w:r w:rsidRPr="00F40A26">
        <w:rPr>
          <w:rFonts w:ascii="Book Antiqua" w:hAnsi="Book Antiqua" w:cs="Times New Roman"/>
          <w:bCs/>
          <w:i/>
          <w:sz w:val="24"/>
          <w:szCs w:val="24"/>
        </w:rPr>
        <w:t>n</w:t>
      </w:r>
      <w:r w:rsidRPr="00F40A26">
        <w:rPr>
          <w:rFonts w:ascii="Book Antiqua" w:hAnsi="Book Antiqua" w:cs="Times New Roman"/>
          <w:bCs/>
          <w:sz w:val="24"/>
          <w:szCs w:val="24"/>
        </w:rPr>
        <w:t xml:space="preserve"> = 35) determined no significant difference in survival (median 8.0 mo </w:t>
      </w:r>
      <w:r w:rsidRPr="00F40A26">
        <w:rPr>
          <w:rFonts w:ascii="Book Antiqua" w:hAnsi="Book Antiqua" w:cs="Times New Roman"/>
          <w:bCs/>
          <w:i/>
          <w:sz w:val="24"/>
          <w:szCs w:val="24"/>
        </w:rPr>
        <w:t>vs</w:t>
      </w:r>
      <w:r w:rsidRPr="00F40A26">
        <w:rPr>
          <w:rFonts w:ascii="Book Antiqua" w:hAnsi="Book Antiqua" w:cs="Times New Roman"/>
          <w:bCs/>
          <w:sz w:val="24"/>
          <w:szCs w:val="24"/>
        </w:rPr>
        <w:t xml:space="preserve"> 10.3 mo, </w:t>
      </w:r>
      <w:r w:rsidRPr="00F40A26">
        <w:rPr>
          <w:rFonts w:ascii="Book Antiqua" w:hAnsi="Book Antiqua" w:cs="Times New Roman"/>
          <w:bCs/>
          <w:i/>
          <w:sz w:val="24"/>
          <w:szCs w:val="24"/>
        </w:rPr>
        <w:t>P</w:t>
      </w:r>
      <w:r w:rsidRPr="00F40A26">
        <w:rPr>
          <w:rFonts w:ascii="Book Antiqua" w:hAnsi="Book Antiqua" w:cs="Times New Roman"/>
          <w:bCs/>
          <w:sz w:val="24"/>
          <w:szCs w:val="24"/>
        </w:rPr>
        <w:t xml:space="preserve"> = 0.33). However, postembolization syndrome was significantly more severe in patients who underwent </w:t>
      </w:r>
      <w:proofErr w:type="gramStart"/>
      <w:r w:rsidRPr="00F40A26">
        <w:rPr>
          <w:rFonts w:ascii="Book Antiqua" w:hAnsi="Book Antiqua" w:cs="Times New Roman"/>
          <w:bCs/>
          <w:sz w:val="24"/>
          <w:szCs w:val="24"/>
        </w:rPr>
        <w:t>TACE</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42]</w:t>
      </w:r>
      <w:r w:rsidRPr="00F40A26">
        <w:rPr>
          <w:rFonts w:ascii="Book Antiqua" w:hAnsi="Book Antiqua" w:cs="Times New Roman"/>
          <w:bCs/>
          <w:sz w:val="24"/>
          <w:szCs w:val="24"/>
        </w:rPr>
        <w:t xml:space="preserve">. Further evaluation of radioembolization, including direct comparisons with TACE, is needed. </w:t>
      </w:r>
    </w:p>
    <w:p w:rsidR="00120896" w:rsidRPr="00F40A26" w:rsidRDefault="00F32DC0">
      <w:pPr>
        <w:snapToGrid w:val="0"/>
        <w:spacing w:line="360" w:lineRule="auto"/>
        <w:ind w:firstLineChars="50" w:firstLine="120"/>
        <w:rPr>
          <w:rFonts w:ascii="Book Antiqua" w:hAnsi="Book Antiqua" w:cs="Times New Roman"/>
          <w:bCs/>
          <w:color w:val="FF0000"/>
          <w:sz w:val="24"/>
          <w:szCs w:val="24"/>
        </w:rPr>
      </w:pPr>
      <w:r w:rsidRPr="00F40A26">
        <w:rPr>
          <w:rFonts w:ascii="Book Antiqua" w:hAnsi="Book Antiqua" w:cs="Times New Roman"/>
          <w:bCs/>
          <w:sz w:val="24"/>
          <w:szCs w:val="24"/>
        </w:rPr>
        <w:t xml:space="preserve">Radioembolization may cause injury to the hepatic tissue and result in fibrotic changes and tissue </w:t>
      </w:r>
      <w:proofErr w:type="gramStart"/>
      <w:r w:rsidRPr="00F40A26">
        <w:rPr>
          <w:rFonts w:ascii="Book Antiqua" w:hAnsi="Book Antiqua" w:cs="Times New Roman"/>
          <w:bCs/>
          <w:sz w:val="24"/>
          <w:szCs w:val="24"/>
        </w:rPr>
        <w:t>atrophy</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43,44]</w:t>
      </w:r>
      <w:r w:rsidRPr="00F40A26">
        <w:rPr>
          <w:rFonts w:ascii="Book Antiqua" w:hAnsi="Book Antiqua" w:cs="Times New Roman"/>
          <w:bCs/>
          <w:sz w:val="24"/>
          <w:szCs w:val="24"/>
        </w:rPr>
        <w:t xml:space="preserve">. The loss of liver function can be compensated for by non-treated liver segments, which tend to undergo hypertrophy after </w:t>
      </w:r>
      <w:r w:rsidRPr="00F40A26">
        <w:rPr>
          <w:rFonts w:ascii="Book Antiqua" w:hAnsi="Book Antiqua" w:cs="Times New Roman"/>
          <w:bCs/>
          <w:sz w:val="24"/>
          <w:szCs w:val="24"/>
        </w:rPr>
        <w:lastRenderedPageBreak/>
        <w:t>radioembolization (the atrophy–hypertrophy complex</w:t>
      </w:r>
      <w:proofErr w:type="gramStart"/>
      <w:r w:rsidRPr="00F40A26">
        <w:rPr>
          <w:rFonts w:ascii="Book Antiqua" w:hAnsi="Book Antiqua" w:cs="Times New Roman"/>
          <w:bCs/>
          <w:sz w:val="24"/>
          <w:szCs w:val="24"/>
        </w:rPr>
        <w:t>)</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45]</w:t>
      </w:r>
      <w:r w:rsidRPr="00F40A26">
        <w:rPr>
          <w:rFonts w:ascii="Book Antiqua" w:hAnsi="Book Antiqua" w:cs="Times New Roman"/>
          <w:bCs/>
          <w:sz w:val="24"/>
          <w:szCs w:val="24"/>
        </w:rPr>
        <w:t>. A few studies have described the hepatic volume changes of treated and non-treated liver segments after radioembolization and report a 40%</w:t>
      </w:r>
      <w:r w:rsidRPr="00F40A26">
        <w:rPr>
          <w:rFonts w:ascii="Book Antiqua" w:hAnsi="Book Antiqua"/>
          <w:bCs/>
          <w:sz w:val="24"/>
          <w:szCs w:val="24"/>
        </w:rPr>
        <w:t>–</w:t>
      </w:r>
      <w:r w:rsidRPr="00F40A26">
        <w:rPr>
          <w:rFonts w:ascii="Book Antiqua" w:hAnsi="Book Antiqua" w:cs="Times New Roman"/>
          <w:bCs/>
          <w:sz w:val="24"/>
          <w:szCs w:val="24"/>
        </w:rPr>
        <w:t>55% loss in volume in treated segments and a 30%</w:t>
      </w:r>
      <w:r w:rsidRPr="00F40A26">
        <w:rPr>
          <w:rFonts w:ascii="Book Antiqua" w:hAnsi="Book Antiqua"/>
          <w:bCs/>
          <w:sz w:val="24"/>
          <w:szCs w:val="24"/>
        </w:rPr>
        <w:t>–</w:t>
      </w:r>
      <w:r w:rsidRPr="00F40A26">
        <w:rPr>
          <w:rFonts w:ascii="Book Antiqua" w:hAnsi="Book Antiqua" w:cs="Times New Roman"/>
          <w:bCs/>
          <w:sz w:val="24"/>
          <w:szCs w:val="24"/>
        </w:rPr>
        <w:t xml:space="preserve">40% increase in volume in non-treated </w:t>
      </w:r>
      <w:proofErr w:type="gramStart"/>
      <w:r w:rsidRPr="00F40A26">
        <w:rPr>
          <w:rFonts w:ascii="Book Antiqua" w:hAnsi="Book Antiqua" w:cs="Times New Roman"/>
          <w:bCs/>
          <w:sz w:val="24"/>
          <w:szCs w:val="24"/>
        </w:rPr>
        <w:t>segments</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46,47]</w:t>
      </w:r>
      <w:r w:rsidRPr="00F40A26">
        <w:rPr>
          <w:rFonts w:ascii="Book Antiqua" w:hAnsi="Book Antiqua" w:cs="Times New Roman"/>
          <w:bCs/>
          <w:sz w:val="24"/>
          <w:szCs w:val="24"/>
        </w:rPr>
        <w:t xml:space="preserve">.  </w:t>
      </w:r>
    </w:p>
    <w:p w:rsidR="00C67E47" w:rsidRPr="00F40A26" w:rsidRDefault="00C67E47">
      <w:pPr>
        <w:snapToGrid w:val="0"/>
        <w:spacing w:line="360" w:lineRule="auto"/>
        <w:rPr>
          <w:rFonts w:ascii="Book Antiqua" w:hAnsi="Book Antiqua" w:cs="Times New Roman"/>
          <w:b/>
          <w:bCs/>
          <w:sz w:val="24"/>
          <w:szCs w:val="24"/>
        </w:rPr>
      </w:pP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sz w:val="24"/>
          <w:szCs w:val="24"/>
        </w:rPr>
        <w:t>Combination TACE and RFA</w:t>
      </w:r>
      <w:r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 xml:space="preserve">RFA is a </w:t>
      </w:r>
      <w:r w:rsidRPr="00F40A26">
        <w:rPr>
          <w:rFonts w:ascii="Book Antiqua" w:hAnsi="Book Antiqua" w:cs="Times New Roman"/>
          <w:sz w:val="24"/>
          <w:szCs w:val="24"/>
        </w:rPr>
        <w:t>curative treatment for very early- and early-stage HCC but is limited in the</w:t>
      </w:r>
      <w:r w:rsidRPr="00F40A26">
        <w:rPr>
          <w:rFonts w:ascii="Book Antiqua" w:hAnsi="Book Antiqua" w:cs="Times New Roman"/>
          <w:bCs/>
          <w:sz w:val="24"/>
          <w:szCs w:val="24"/>
        </w:rPr>
        <w:t xml:space="preserve"> control of large tumors.</w:t>
      </w:r>
      <w:r w:rsidRPr="00F40A26">
        <w:rPr>
          <w:rFonts w:ascii="Book Antiqua" w:hAnsi="Book Antiqua" w:cs="Times New Roman"/>
          <w:sz w:val="24"/>
          <w:szCs w:val="24"/>
        </w:rPr>
        <w:t xml:space="preserve"> </w:t>
      </w:r>
      <w:r w:rsidRPr="00F40A26">
        <w:rPr>
          <w:rFonts w:ascii="Book Antiqua" w:hAnsi="Book Antiqua" w:cs="Times New Roman"/>
          <w:bCs/>
          <w:sz w:val="24"/>
          <w:szCs w:val="24"/>
        </w:rPr>
        <w:t>The effectiveness of RFA is dependent on thermal necrosis, and blood flow through the tumor promotes heat loss and prevents proper heating. TACE can be performed strategically before RFA treatment to reduce this heat sink effect and increase the ablation volume of the tumor. A recently published, randomized study</w:t>
      </w:r>
      <w:r w:rsidRPr="00F40A26">
        <w:rPr>
          <w:rFonts w:ascii="Book Antiqua" w:hAnsi="Book Antiqua" w:cs="Times New Roman"/>
          <w:bCs/>
          <w:sz w:val="24"/>
          <w:szCs w:val="24"/>
          <w:vertAlign w:val="superscript"/>
        </w:rPr>
        <w:t>[48]</w:t>
      </w:r>
      <w:r w:rsidRPr="00F40A26">
        <w:rPr>
          <w:rFonts w:ascii="Book Antiqua" w:hAnsi="Book Antiqua" w:cs="Times New Roman"/>
          <w:bCs/>
          <w:sz w:val="24"/>
          <w:szCs w:val="24"/>
        </w:rPr>
        <w:t xml:space="preserve"> showed that, when patients with tumors &gt;</w:t>
      </w:r>
      <w:r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 xml:space="preserve">3 cm were randomized to receive either TACE, RFA, or TACE–RFA, the combination of TACE–RFA produced a superior median survival (TACE–RFA: 37 mo, TACE: 24 mo, and RFA: 22 mo) and rate of objective tumor response (TACE–RFA: 54%, TACE: 35%, and RFA: 36%). The results of TACE–RFA support the combining of locoregional modalities to improve the outcomes of patients with unresectable HCCs. </w:t>
      </w:r>
    </w:p>
    <w:p w:rsidR="00C67E47" w:rsidRPr="00F40A26" w:rsidRDefault="00C67E47">
      <w:pPr>
        <w:snapToGrid w:val="0"/>
        <w:spacing w:line="360" w:lineRule="auto"/>
        <w:rPr>
          <w:rFonts w:ascii="Book Antiqua" w:hAnsi="Book Antiqua" w:cs="Times New Roman"/>
          <w:bCs/>
          <w:color w:val="FF0000"/>
          <w:sz w:val="24"/>
          <w:szCs w:val="24"/>
        </w:rPr>
      </w:pP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sz w:val="24"/>
          <w:szCs w:val="24"/>
        </w:rPr>
        <w:t>Modified TACE to obtain complete necrosis of the tumor</w:t>
      </w:r>
      <w:r w:rsidRPr="00F40A26">
        <w:rPr>
          <w:rFonts w:ascii="Book Antiqua" w:hAnsi="Book Antiqua" w:cs="Times New Roman"/>
          <w:b/>
          <w:bCs/>
          <w:sz w:val="24"/>
          <w:szCs w:val="24"/>
          <w:lang w:eastAsia="zh-CN"/>
        </w:rPr>
        <w:t>:</w:t>
      </w:r>
      <w:r w:rsidRPr="00F40A26">
        <w:rPr>
          <w:rFonts w:ascii="Book Antiqua" w:hAnsi="Book Antiqua" w:cs="Times New Roman"/>
          <w:b/>
          <w:bCs/>
          <w:i/>
          <w:sz w:val="24"/>
          <w:szCs w:val="24"/>
          <w:lang w:eastAsia="zh-CN"/>
        </w:rPr>
        <w:t xml:space="preserve"> </w:t>
      </w:r>
      <w:r w:rsidRPr="00F40A26">
        <w:rPr>
          <w:rFonts w:ascii="Book Antiqua" w:hAnsi="Book Antiqua" w:cs="Times New Roman"/>
          <w:bCs/>
          <w:sz w:val="24"/>
          <w:szCs w:val="24"/>
        </w:rPr>
        <w:t xml:space="preserve">Histopathological investigations of HCCs resected after TACE have shown that the most viable tissue is located at the periphery of the </w:t>
      </w:r>
      <w:proofErr w:type="gramStart"/>
      <w:r w:rsidRPr="00F40A26">
        <w:rPr>
          <w:rFonts w:ascii="Book Antiqua" w:hAnsi="Book Antiqua" w:cs="Times New Roman"/>
          <w:bCs/>
          <w:sz w:val="24"/>
          <w:szCs w:val="24"/>
        </w:rPr>
        <w:t>tumor</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49]</w:t>
      </w:r>
      <w:r w:rsidRPr="00F40A26">
        <w:rPr>
          <w:rFonts w:ascii="Book Antiqua" w:hAnsi="Book Antiqua" w:cs="Times New Roman"/>
          <w:bCs/>
          <w:sz w:val="24"/>
          <w:szCs w:val="24"/>
        </w:rPr>
        <w:t xml:space="preserve">. The efficacy of TACE is limited by the dual blood supply of liver tumors, which makes it impossible to deliver anticancer agents to the entire tumor area or achieve sufficient tumor ischemia without irreversible damage to surrounding normal liver parenchyma. Some </w:t>
      </w:r>
      <w:proofErr w:type="gramStart"/>
      <w:r w:rsidRPr="00F40A26">
        <w:rPr>
          <w:rFonts w:ascii="Book Antiqua" w:hAnsi="Book Antiqua" w:cs="Times New Roman"/>
          <w:bCs/>
          <w:sz w:val="24"/>
          <w:szCs w:val="24"/>
        </w:rPr>
        <w:t>studies</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50,51]</w:t>
      </w:r>
      <w:r w:rsidRPr="00F40A26">
        <w:rPr>
          <w:rFonts w:ascii="Book Antiqua" w:hAnsi="Book Antiqua" w:cs="Times New Roman"/>
          <w:bCs/>
          <w:sz w:val="24"/>
          <w:szCs w:val="24"/>
        </w:rPr>
        <w:t xml:space="preserve"> have reported superselective TACE to be useful for the treatment of small HCCs because it can embolize both the tumor and surrounding normal parenchyma. For large liver tumors, however, the therapeutic options are limited to techniques that result in complete necrosis of the tumor.</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i/>
          <w:sz w:val="24"/>
          <w:szCs w:val="24"/>
          <w:lang w:eastAsia="zh-CN"/>
        </w:rPr>
        <w:lastRenderedPageBreak/>
        <w:t xml:space="preserve"> </w:t>
      </w:r>
      <w:r w:rsidRPr="00F40A26">
        <w:rPr>
          <w:rFonts w:ascii="Book Antiqua" w:hAnsi="Book Antiqua" w:cs="Times New Roman"/>
          <w:bCs/>
          <w:sz w:val="24"/>
          <w:szCs w:val="24"/>
        </w:rPr>
        <w:t xml:space="preserve">To obtain complete necrosis of a HCC, including the periphery, several </w:t>
      </w:r>
      <w:proofErr w:type="gramStart"/>
      <w:r w:rsidRPr="00F40A26">
        <w:rPr>
          <w:rFonts w:ascii="Book Antiqua" w:hAnsi="Book Antiqua" w:cs="Times New Roman"/>
          <w:bCs/>
          <w:sz w:val="24"/>
          <w:szCs w:val="24"/>
        </w:rPr>
        <w:t>reports</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52-54]</w:t>
      </w:r>
      <w:r w:rsidRPr="00F40A26">
        <w:rPr>
          <w:rFonts w:ascii="Book Antiqua" w:hAnsi="Book Antiqua" w:cs="Times New Roman"/>
          <w:bCs/>
          <w:sz w:val="24"/>
          <w:szCs w:val="24"/>
        </w:rPr>
        <w:t xml:space="preserve"> have investigated the hemodynamic changes occurring in the liver and tumors during hepatic vein balloon occlusion using computed tomography during hepatic arteriography (CTHA) and arterial portography, demonstrated that the occluded area is supplied with arterial blood alone</w:t>
      </w:r>
      <w:r w:rsidRPr="00F40A26">
        <w:rPr>
          <w:rFonts w:ascii="Book Antiqua" w:hAnsi="Book Antiqua" w:cs="Times New Roman"/>
          <w:bCs/>
          <w:sz w:val="24"/>
          <w:szCs w:val="24"/>
          <w:vertAlign w:val="superscript"/>
        </w:rPr>
        <w:t>[53,54]</w:t>
      </w:r>
      <w:r w:rsidRPr="00F40A26">
        <w:rPr>
          <w:rFonts w:ascii="Book Antiqua" w:hAnsi="Book Antiqua" w:cs="Times New Roman"/>
          <w:bCs/>
          <w:sz w:val="24"/>
          <w:szCs w:val="24"/>
        </w:rPr>
        <w:t xml:space="preserve">, and suggested that sufficient embolization may be obtained during TACE with arterial control alone. </w:t>
      </w:r>
      <w:r w:rsidRPr="00F40A26">
        <w:rPr>
          <w:rFonts w:ascii="Book Antiqua" w:hAnsi="Book Antiqua"/>
          <w:bCs/>
          <w:sz w:val="24"/>
          <w:szCs w:val="24"/>
        </w:rPr>
        <w:t xml:space="preserve">Since balloon occlusion of the segmental hepatic vein eliminates the dual blood supply, leaving only the arterial supply, TACE performed using this technique can sufficiently embolize both the tumor and the surrounding liver parenchyma. </w:t>
      </w:r>
      <w:r w:rsidRPr="00F40A26">
        <w:rPr>
          <w:rFonts w:ascii="Book Antiqua" w:hAnsi="Book Antiqua" w:cs="Times New Roman"/>
          <w:bCs/>
          <w:sz w:val="24"/>
          <w:szCs w:val="24"/>
        </w:rPr>
        <w:t xml:space="preserve">We have performed TACE under balloon occlusion of the hepatic vein for more than 70 patients with advanced HCC, but only 30% of the patients benefited from the procedure due to the complex veno-venous communications in the </w:t>
      </w:r>
      <w:proofErr w:type="gramStart"/>
      <w:r w:rsidRPr="00F40A26">
        <w:rPr>
          <w:rFonts w:ascii="Book Antiqua" w:hAnsi="Book Antiqua" w:cs="Times New Roman"/>
          <w:bCs/>
          <w:sz w:val="24"/>
          <w:szCs w:val="24"/>
        </w:rPr>
        <w:t>liver</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34,53]</w:t>
      </w:r>
      <w:r w:rsidRPr="00F40A26">
        <w:rPr>
          <w:rFonts w:ascii="Book Antiqua" w:hAnsi="Book Antiqua" w:cs="Times New Roman"/>
          <w:bCs/>
          <w:sz w:val="24"/>
          <w:szCs w:val="24"/>
        </w:rPr>
        <w:t xml:space="preserve">. The hepatic veins assume the role of draining veins despite single hepatic vein </w:t>
      </w:r>
      <w:proofErr w:type="gramStart"/>
      <w:r w:rsidRPr="00F40A26">
        <w:rPr>
          <w:rFonts w:ascii="Book Antiqua" w:hAnsi="Book Antiqua" w:cs="Times New Roman"/>
          <w:bCs/>
          <w:sz w:val="24"/>
          <w:szCs w:val="24"/>
        </w:rPr>
        <w:t>occlusion</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53,55]</w:t>
      </w:r>
      <w:r w:rsidRPr="00F40A26">
        <w:rPr>
          <w:rFonts w:ascii="Book Antiqua" w:hAnsi="Book Antiqua" w:cs="Times New Roman"/>
          <w:bCs/>
          <w:sz w:val="24"/>
          <w:szCs w:val="24"/>
        </w:rPr>
        <w:t>; therefore, sufficient embolization of large liver tumors using the hepatic vein balloon occlusion technique is difficult.</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i/>
          <w:sz w:val="24"/>
          <w:szCs w:val="24"/>
          <w:lang w:eastAsia="zh-CN"/>
        </w:rPr>
        <w:t xml:space="preserve"> </w:t>
      </w:r>
      <w:r w:rsidRPr="00F40A26">
        <w:rPr>
          <w:rFonts w:ascii="Book Antiqua" w:hAnsi="Book Antiqua" w:cs="Times New Roman"/>
          <w:bCs/>
          <w:sz w:val="24"/>
          <w:szCs w:val="24"/>
        </w:rPr>
        <w:t xml:space="preserve">When portal venous blood flow is decreased or stopped due to tumor thrombus, thromboembolus, or compression of the portal vein, the affected liver parenchyma appears as a hyperattenuated area with straight borders on contrast </w:t>
      </w:r>
      <w:proofErr w:type="gramStart"/>
      <w:r w:rsidRPr="00F40A26">
        <w:rPr>
          <w:rFonts w:ascii="Book Antiqua" w:hAnsi="Book Antiqua" w:cs="Times New Roman"/>
          <w:bCs/>
          <w:sz w:val="24"/>
          <w:szCs w:val="24"/>
        </w:rPr>
        <w:t>CT</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56-62]</w:t>
      </w:r>
      <w:r w:rsidRPr="00F40A26">
        <w:rPr>
          <w:rFonts w:ascii="Book Antiqua" w:hAnsi="Book Antiqua" w:cs="Times New Roman"/>
          <w:bCs/>
          <w:sz w:val="24"/>
          <w:szCs w:val="24"/>
        </w:rPr>
        <w:t xml:space="preserve">. This appearance is similar to that seen with hepatic vein occlusion. One </w:t>
      </w:r>
      <w:proofErr w:type="gramStart"/>
      <w:r w:rsidRPr="00F40A26">
        <w:rPr>
          <w:rFonts w:ascii="Book Antiqua" w:hAnsi="Book Antiqua" w:cs="Times New Roman"/>
          <w:bCs/>
          <w:sz w:val="24"/>
          <w:szCs w:val="24"/>
        </w:rPr>
        <w:t>study</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63]</w:t>
      </w:r>
      <w:r w:rsidRPr="00F40A26">
        <w:rPr>
          <w:rFonts w:ascii="Book Antiqua" w:hAnsi="Book Antiqua" w:cs="Times New Roman"/>
          <w:bCs/>
          <w:sz w:val="24"/>
          <w:szCs w:val="24"/>
        </w:rPr>
        <w:t xml:space="preserve"> investigated the hepatic hemodynamic changes under acute balloon occlusion of the portal vein using single-level dynamic CTHA and reported several phenomena. First, a demarcated, hyperattenuated area of the liver parenchyma was noted in the distribution of the occluded portal vein branch, which was significantly higher than that of the non-occluded area (</w:t>
      </w:r>
      <w:r w:rsidRPr="00F40A26">
        <w:rPr>
          <w:rFonts w:ascii="Book Antiqua" w:hAnsi="Book Antiqua" w:cs="Times New Roman"/>
          <w:bCs/>
          <w:i/>
          <w:sz w:val="24"/>
          <w:szCs w:val="24"/>
        </w:rPr>
        <w:t>P</w:t>
      </w:r>
      <w:r w:rsidRPr="00F40A26">
        <w:rPr>
          <w:rFonts w:ascii="Book Antiqua" w:hAnsi="Book Antiqua" w:cs="Times New Roman"/>
          <w:bCs/>
          <w:sz w:val="24"/>
          <w:szCs w:val="24"/>
        </w:rPr>
        <w:t xml:space="preserve"> &lt; 0.01). Second, the balloon-occluded portal branch enhancement appeared to result from arterioportal communications. These findings suggest that, when portal venous flow stoppage occurs, only the hepatic artery supplies the corresponding area and hepatic arterial blood flow is increased.</w:t>
      </w:r>
      <w:r w:rsidRPr="00F40A26">
        <w:rPr>
          <w:rFonts w:ascii="Book Antiqua" w:eastAsia="MS Mincho" w:hAnsi="Book Antiqua" w:cs="Times New Roman"/>
          <w:bCs/>
          <w:kern w:val="0"/>
          <w:sz w:val="24"/>
          <w:szCs w:val="24"/>
          <w:lang w:bidi="he-IL"/>
        </w:rPr>
        <w:t xml:space="preserve"> </w:t>
      </w:r>
      <w:r w:rsidRPr="00F40A26">
        <w:rPr>
          <w:rFonts w:ascii="Book Antiqua" w:hAnsi="Book Antiqua" w:cs="Times New Roman"/>
          <w:bCs/>
          <w:sz w:val="24"/>
          <w:szCs w:val="24"/>
        </w:rPr>
        <w:t xml:space="preserve">This phenomenon is known as the hepatic artery buffer response. The observed </w:t>
      </w:r>
      <w:r w:rsidRPr="00F40A26">
        <w:rPr>
          <w:rFonts w:ascii="Book Antiqua" w:hAnsi="Book Antiqua" w:cs="Times New Roman"/>
          <w:bCs/>
          <w:sz w:val="24"/>
          <w:szCs w:val="24"/>
        </w:rPr>
        <w:lastRenderedPageBreak/>
        <w:t xml:space="preserve">variations in blood flow are due to the degree of adenosine clearance, to which the hepatic artery is very sensitive, as adenosine is a potent vasodilator of the hepatic </w:t>
      </w:r>
      <w:proofErr w:type="gramStart"/>
      <w:r w:rsidRPr="00F40A26">
        <w:rPr>
          <w:rFonts w:ascii="Book Antiqua" w:hAnsi="Book Antiqua" w:cs="Times New Roman"/>
          <w:bCs/>
          <w:sz w:val="24"/>
          <w:szCs w:val="24"/>
        </w:rPr>
        <w:t>artery</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64-66]</w:t>
      </w:r>
      <w:r w:rsidRPr="00F40A26">
        <w:rPr>
          <w:rFonts w:ascii="Book Antiqua" w:hAnsi="Book Antiqua" w:cs="Times New Roman"/>
          <w:bCs/>
          <w:sz w:val="24"/>
          <w:szCs w:val="24"/>
        </w:rPr>
        <w:t xml:space="preserve">. Finally, there is little anatomical variation in portal veins or porto-portal venous anastomosis. Therefore, sufficient embolization may occur, even in large liver tumors, by TACE under the corresponding portal vein branch occlusion (TACE-PVO). We began using TACE-PVO for large HCCs 6 years ago and have seen promising antitumor effects, which will be reported in the near future. </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i/>
          <w:sz w:val="24"/>
          <w:szCs w:val="24"/>
          <w:lang w:eastAsia="zh-CN"/>
        </w:rPr>
        <w:t xml:space="preserve"> </w:t>
      </w:r>
      <w:r w:rsidRPr="00F40A26">
        <w:rPr>
          <w:rFonts w:ascii="Book Antiqua" w:hAnsi="Book Antiqua" w:cs="Times New Roman"/>
          <w:bCs/>
          <w:sz w:val="24"/>
          <w:szCs w:val="24"/>
        </w:rPr>
        <w:t xml:space="preserve">In 1981, Yamada </w:t>
      </w:r>
      <w:r w:rsidRPr="00F40A26">
        <w:rPr>
          <w:rFonts w:ascii="Book Antiqua" w:hAnsi="Book Antiqua" w:cs="Times New Roman"/>
          <w:bCs/>
          <w:i/>
          <w:sz w:val="24"/>
          <w:szCs w:val="24"/>
        </w:rPr>
        <w:t xml:space="preserve">et </w:t>
      </w:r>
      <w:proofErr w:type="gramStart"/>
      <w:r w:rsidRPr="00F40A26">
        <w:rPr>
          <w:rFonts w:ascii="Book Antiqua" w:hAnsi="Book Antiqua" w:cs="Times New Roman"/>
          <w:bCs/>
          <w:i/>
          <w:sz w:val="24"/>
          <w:szCs w:val="24"/>
        </w:rPr>
        <w:t>al</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67]</w:t>
      </w:r>
      <w:r w:rsidRPr="00F40A26">
        <w:rPr>
          <w:rFonts w:ascii="Book Antiqua" w:hAnsi="Book Antiqua" w:cs="Times New Roman"/>
          <w:bCs/>
          <w:sz w:val="24"/>
          <w:szCs w:val="24"/>
        </w:rPr>
        <w:t xml:space="preserve"> first reported a balloon-occluded arterial infusion therapy for liver tumors. In the 1990s, compulsory, superselective, balloon-occluded arterial embolization using a 3-French microballoon </w:t>
      </w:r>
      <w:proofErr w:type="gramStart"/>
      <w:r w:rsidRPr="00F40A26">
        <w:rPr>
          <w:rFonts w:ascii="Book Antiqua" w:hAnsi="Book Antiqua" w:cs="Times New Roman"/>
          <w:bCs/>
          <w:sz w:val="24"/>
          <w:szCs w:val="24"/>
        </w:rPr>
        <w:t>catheter</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68]</w:t>
      </w:r>
      <w:r w:rsidRPr="00F40A26">
        <w:rPr>
          <w:rFonts w:ascii="Book Antiqua" w:hAnsi="Book Antiqua" w:cs="Times New Roman"/>
          <w:bCs/>
          <w:sz w:val="24"/>
          <w:szCs w:val="24"/>
        </w:rPr>
        <w:t xml:space="preserve"> was introduced for hypovascular liver tumors. The selective balloon-occluded TACE (B-TACE) method is currently a useful treatment for HCC because of preventing proximal migration and leakage of</w:t>
      </w:r>
      <w:r w:rsidRPr="00F40A26">
        <w:rPr>
          <w:rFonts w:ascii="Book Antiqua" w:hAnsi="Book Antiqua" w:cs="AdvPTimes"/>
          <w:kern w:val="0"/>
          <w:sz w:val="24"/>
          <w:szCs w:val="24"/>
        </w:rPr>
        <w:t xml:space="preserve"> </w:t>
      </w:r>
      <w:r w:rsidRPr="00F40A26">
        <w:rPr>
          <w:rFonts w:ascii="Book Antiqua" w:hAnsi="Book Antiqua" w:cs="Times New Roman"/>
          <w:bCs/>
          <w:sz w:val="24"/>
          <w:szCs w:val="24"/>
        </w:rPr>
        <w:t xml:space="preserve">embolization </w:t>
      </w:r>
      <w:proofErr w:type="gramStart"/>
      <w:r w:rsidRPr="00F40A26">
        <w:rPr>
          <w:rFonts w:ascii="Book Antiqua" w:hAnsi="Book Antiqua" w:cs="Times New Roman"/>
          <w:bCs/>
          <w:sz w:val="24"/>
          <w:szCs w:val="24"/>
        </w:rPr>
        <w:t>materials</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69]</w:t>
      </w:r>
      <w:r w:rsidRPr="00F40A26">
        <w:rPr>
          <w:rFonts w:ascii="Book Antiqua" w:hAnsi="Book Antiqua" w:cs="Times New Roman"/>
          <w:bCs/>
          <w:sz w:val="24"/>
          <w:szCs w:val="24"/>
        </w:rPr>
        <w:t xml:space="preserve">. This technique leads to dense lipiodol emulsion accumulation in the HCC </w:t>
      </w:r>
      <w:proofErr w:type="gramStart"/>
      <w:r w:rsidRPr="00F40A26">
        <w:rPr>
          <w:rFonts w:ascii="Book Antiqua" w:hAnsi="Book Antiqua" w:cs="Times New Roman"/>
          <w:bCs/>
          <w:sz w:val="24"/>
          <w:szCs w:val="24"/>
        </w:rPr>
        <w:t>nodule</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69]</w:t>
      </w:r>
      <w:r w:rsidRPr="00F40A26">
        <w:rPr>
          <w:rFonts w:ascii="Book Antiqua" w:hAnsi="Book Antiqua" w:cs="Times New Roman"/>
          <w:bCs/>
          <w:sz w:val="24"/>
          <w:szCs w:val="24"/>
        </w:rPr>
        <w:t xml:space="preserve">; however, the effectiveness of this therapy for HCC is controversial. </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i/>
          <w:sz w:val="24"/>
          <w:szCs w:val="24"/>
          <w:lang w:eastAsia="zh-CN"/>
        </w:rPr>
        <w:t xml:space="preserve"> </w:t>
      </w:r>
      <w:r w:rsidRPr="00F40A26">
        <w:rPr>
          <w:rFonts w:ascii="Book Antiqua" w:hAnsi="Book Antiqua" w:cs="Times New Roman"/>
          <w:bCs/>
          <w:sz w:val="24"/>
          <w:szCs w:val="24"/>
        </w:rPr>
        <w:t xml:space="preserve">CT arteriography under balloon occlusion of the sub- or segmental hepatic artery demonstrates a much higher attenuation in the corresponding liver parenchyma than in HCC </w:t>
      </w:r>
      <w:proofErr w:type="gramStart"/>
      <w:r w:rsidRPr="00F40A26">
        <w:rPr>
          <w:rFonts w:ascii="Book Antiqua" w:hAnsi="Book Antiqua" w:cs="Times New Roman"/>
          <w:bCs/>
          <w:sz w:val="24"/>
          <w:szCs w:val="24"/>
        </w:rPr>
        <w:t>tumors</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70]</w:t>
      </w:r>
      <w:r w:rsidRPr="00F40A26">
        <w:rPr>
          <w:rFonts w:ascii="Book Antiqua" w:hAnsi="Book Antiqua" w:cs="Times New Roman"/>
          <w:bCs/>
          <w:sz w:val="24"/>
          <w:szCs w:val="24"/>
        </w:rPr>
        <w:t xml:space="preserve">. This phenomenon suggests that B-TACE leads to dense lipiodol emulsion accumulation in nontumorous liver parenchyma and not in HCC nodules. Indeed, arteriography </w:t>
      </w:r>
      <w:r w:rsidR="00F328CB" w:rsidRPr="00F40A26">
        <w:rPr>
          <w:rFonts w:ascii="Book Antiqua" w:hAnsi="Book Antiqua" w:cs="Times New Roman"/>
          <w:bCs/>
          <w:i/>
          <w:sz w:val="24"/>
          <w:szCs w:val="24"/>
        </w:rPr>
        <w:t>via</w:t>
      </w:r>
      <w:r w:rsidRPr="00F40A26">
        <w:rPr>
          <w:rFonts w:ascii="Book Antiqua" w:hAnsi="Book Antiqua" w:cs="Times New Roman"/>
          <w:bCs/>
          <w:sz w:val="24"/>
          <w:szCs w:val="24"/>
        </w:rPr>
        <w:t xml:space="preserve"> the balloon-occluded hepatic artery shows dense opacification in the liver parenchyma and faint opacification in the HCC, while arteriography </w:t>
      </w:r>
      <w:r w:rsidR="00F328CB" w:rsidRPr="00F40A26">
        <w:rPr>
          <w:rFonts w:ascii="Book Antiqua" w:hAnsi="Book Antiqua" w:cs="Times New Roman"/>
          <w:bCs/>
          <w:i/>
          <w:sz w:val="24"/>
          <w:szCs w:val="24"/>
        </w:rPr>
        <w:t>via</w:t>
      </w:r>
      <w:r w:rsidRPr="00F40A26">
        <w:rPr>
          <w:rFonts w:ascii="Book Antiqua" w:hAnsi="Book Antiqua" w:cs="Times New Roman"/>
          <w:bCs/>
          <w:sz w:val="24"/>
          <w:szCs w:val="24"/>
        </w:rPr>
        <w:t xml:space="preserve"> the non-occluded hepatic artery shows dense opacification in the HCC (Figure 1). Therefore, the effectiveness of B-TACE is controversial. To remedy this, we developed a two-step B-TACE method for liver tumor (Figure 2). First, tumors are sufficiently embolized by TACE, followed by the inflation of a microballoon catheter to occlude the feeding artery in the second step. B-TACE is then </w:t>
      </w:r>
      <w:r w:rsidRPr="00F40A26">
        <w:rPr>
          <w:rFonts w:ascii="Book Antiqua" w:hAnsi="Book Antiqua" w:cs="Times New Roman"/>
          <w:bCs/>
          <w:sz w:val="24"/>
          <w:szCs w:val="24"/>
        </w:rPr>
        <w:lastRenderedPageBreak/>
        <w:t>performed for full embolization of the peritumoral liver parenchyma. Following this two-step B-TACE procedure, CT images showed dense lipiodol accumulation in the HCC. The two-step B-TACE method has a great advantage for therapy in patients with liver dysfunction because it prevents proximal migration and leakage of</w:t>
      </w:r>
      <w:r w:rsidRPr="00F40A26">
        <w:rPr>
          <w:rFonts w:ascii="Book Antiqua" w:hAnsi="Book Antiqua" w:cs="AdvPTimes"/>
          <w:color w:val="000000"/>
          <w:kern w:val="0"/>
          <w:sz w:val="24"/>
          <w:szCs w:val="24"/>
        </w:rPr>
        <w:t xml:space="preserve"> </w:t>
      </w:r>
      <w:r w:rsidRPr="00F40A26">
        <w:rPr>
          <w:rFonts w:ascii="Book Antiqua" w:hAnsi="Book Antiqua" w:cs="Times New Roman"/>
          <w:bCs/>
          <w:sz w:val="24"/>
          <w:szCs w:val="24"/>
        </w:rPr>
        <w:t xml:space="preserve">embolization materials, the embolized area can be determined, and injury to the liver parenchyma can be prevented. A comparative study of the two-step B-TACE method with conventional TACE obtained promising results for two-step B-TACE. </w:t>
      </w:r>
    </w:p>
    <w:p w:rsidR="00C67E47" w:rsidRPr="00F40A26" w:rsidRDefault="00C67E47">
      <w:pPr>
        <w:snapToGrid w:val="0"/>
        <w:spacing w:line="360" w:lineRule="auto"/>
        <w:rPr>
          <w:rFonts w:ascii="Book Antiqua" w:hAnsi="Book Antiqua" w:cs="Times New Roman"/>
          <w:bCs/>
          <w:i/>
          <w:sz w:val="24"/>
          <w:szCs w:val="24"/>
        </w:rPr>
      </w:pPr>
    </w:p>
    <w:p w:rsidR="00C67E47" w:rsidRPr="00F40A26" w:rsidRDefault="00F32DC0">
      <w:pPr>
        <w:snapToGrid w:val="0"/>
        <w:spacing w:line="360" w:lineRule="auto"/>
        <w:rPr>
          <w:rFonts w:ascii="Book Antiqua" w:hAnsi="Book Antiqua" w:cs="Times New Roman"/>
          <w:b/>
          <w:bCs/>
          <w:i/>
          <w:sz w:val="24"/>
          <w:szCs w:val="24"/>
        </w:rPr>
      </w:pPr>
      <w:r w:rsidRPr="00F40A26">
        <w:rPr>
          <w:rFonts w:ascii="Book Antiqua" w:hAnsi="Book Antiqua" w:cs="Times New Roman"/>
          <w:b/>
          <w:bCs/>
          <w:i/>
          <w:sz w:val="24"/>
          <w:szCs w:val="24"/>
        </w:rPr>
        <w:t>Advanced-stage HCC</w:t>
      </w:r>
    </w:p>
    <w:p w:rsidR="00C67E47" w:rsidRPr="00F40A26" w:rsidRDefault="00F32DC0">
      <w:pPr>
        <w:snapToGrid w:val="0"/>
        <w:spacing w:line="360" w:lineRule="auto"/>
        <w:rPr>
          <w:rFonts w:ascii="Book Antiqua" w:hAnsi="Book Antiqua" w:cs="Times New Roman"/>
          <w:sz w:val="24"/>
          <w:szCs w:val="24"/>
        </w:rPr>
      </w:pPr>
      <w:r w:rsidRPr="00F40A26">
        <w:rPr>
          <w:rFonts w:ascii="Book Antiqua" w:hAnsi="Book Antiqua" w:cs="Times New Roman"/>
          <w:bCs/>
          <w:sz w:val="24"/>
          <w:szCs w:val="24"/>
        </w:rPr>
        <w:t xml:space="preserve">HCC patients with Child–Pugh class A and B liver function who present with </w:t>
      </w:r>
      <w:r w:rsidRPr="00F40A26">
        <w:rPr>
          <w:rFonts w:ascii="Book Antiqua" w:hAnsi="Book Antiqua" w:cs="Times New Roman"/>
          <w:sz w:val="24"/>
          <w:szCs w:val="24"/>
        </w:rPr>
        <w:t xml:space="preserve">macroscopic vascular invasion, extrahepatic spread, or cancer-related symptoms (performance status 1–2) </w:t>
      </w:r>
      <w:r w:rsidRPr="00F40A26">
        <w:rPr>
          <w:rFonts w:ascii="Book Antiqua" w:hAnsi="Book Antiqua" w:cs="Times New Roman"/>
          <w:bCs/>
          <w:sz w:val="24"/>
          <w:szCs w:val="24"/>
        </w:rPr>
        <w:t xml:space="preserve">are diagnosed with </w:t>
      </w:r>
      <w:r w:rsidRPr="00F40A26">
        <w:rPr>
          <w:rFonts w:ascii="Book Antiqua" w:hAnsi="Book Antiqua" w:cs="Times New Roman"/>
          <w:sz w:val="24"/>
          <w:szCs w:val="24"/>
        </w:rPr>
        <w:t>advanced</w:t>
      </w:r>
      <w:r w:rsidRPr="00F40A26">
        <w:rPr>
          <w:rFonts w:ascii="Book Antiqua" w:hAnsi="Book Antiqua" w:cs="Times New Roman"/>
          <w:bCs/>
          <w:sz w:val="24"/>
          <w:szCs w:val="24"/>
        </w:rPr>
        <w:t xml:space="preserve">-stage HCC. </w:t>
      </w:r>
      <w:r w:rsidRPr="00F40A26">
        <w:rPr>
          <w:rFonts w:ascii="Book Antiqua" w:hAnsi="Book Antiqua" w:cs="Times New Roman"/>
          <w:sz w:val="24"/>
          <w:szCs w:val="24"/>
        </w:rPr>
        <w:t>First-line treatment with sorafenib</w:t>
      </w:r>
      <w:r w:rsidRPr="00F40A26">
        <w:rPr>
          <w:rFonts w:ascii="Book Antiqua" w:hAnsi="Book Antiqua" w:cs="Times New Roman"/>
          <w:bCs/>
          <w:sz w:val="24"/>
          <w:szCs w:val="24"/>
        </w:rPr>
        <w:t xml:space="preserve"> is recommended for this stage of HCC according to </w:t>
      </w:r>
      <w:r w:rsidRPr="00F40A26">
        <w:rPr>
          <w:rFonts w:ascii="Book Antiqua" w:hAnsi="Book Antiqua" w:cs="Times New Roman"/>
          <w:sz w:val="24"/>
          <w:szCs w:val="24"/>
        </w:rPr>
        <w:t>the BCLC treatment algorithm</w:t>
      </w:r>
      <w:r w:rsidRPr="00F40A26">
        <w:rPr>
          <w:rFonts w:ascii="Book Antiqua" w:hAnsi="Book Antiqua" w:cs="Times New Roman"/>
          <w:bCs/>
          <w:sz w:val="24"/>
          <w:szCs w:val="24"/>
        </w:rPr>
        <w:t xml:space="preserve"> based on the results of sorafenib therapy in randomized trials in Europe and </w:t>
      </w:r>
      <w:proofErr w:type="gramStart"/>
      <w:r w:rsidRPr="00F40A26">
        <w:rPr>
          <w:rFonts w:ascii="Book Antiqua" w:hAnsi="Book Antiqua" w:cs="Times New Roman"/>
          <w:bCs/>
          <w:sz w:val="24"/>
          <w:szCs w:val="24"/>
        </w:rPr>
        <w:t>Asia</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5,9]</w:t>
      </w:r>
      <w:r w:rsidRPr="00F40A26">
        <w:rPr>
          <w:rFonts w:ascii="Book Antiqua" w:hAnsi="Book Antiqua" w:cs="Times New Roman"/>
          <w:sz w:val="24"/>
          <w:szCs w:val="24"/>
        </w:rPr>
        <w:t xml:space="preserve">. However, overall survival was only </w:t>
      </w:r>
      <w:r w:rsidRPr="00F40A26">
        <w:rPr>
          <w:rFonts w:ascii="Book Antiqua" w:eastAsia="MS Mincho" w:hAnsi="Book Antiqua" w:cs="Times New Roman"/>
          <w:sz w:val="24"/>
          <w:szCs w:val="24"/>
        </w:rPr>
        <w:t xml:space="preserve">modestly improved by 2.8 </w:t>
      </w:r>
      <w:proofErr w:type="gramStart"/>
      <w:r w:rsidRPr="00F40A26">
        <w:rPr>
          <w:rFonts w:ascii="Book Antiqua" w:eastAsia="MS Mincho" w:hAnsi="Book Antiqua" w:cs="Times New Roman"/>
          <w:sz w:val="24"/>
          <w:szCs w:val="24"/>
        </w:rPr>
        <w:t>mo</w:t>
      </w:r>
      <w:r w:rsidRPr="00F40A26">
        <w:rPr>
          <w:rFonts w:ascii="Book Antiqua" w:eastAsia="MS Mincho" w:hAnsi="Book Antiqua" w:cs="Times New Roman"/>
          <w:sz w:val="24"/>
          <w:szCs w:val="24"/>
          <w:vertAlign w:val="superscript"/>
        </w:rPr>
        <w:t>[</w:t>
      </w:r>
      <w:proofErr w:type="gramEnd"/>
      <w:r w:rsidRPr="00F40A26">
        <w:rPr>
          <w:rFonts w:ascii="Book Antiqua" w:eastAsia="MS Mincho" w:hAnsi="Book Antiqua" w:cs="Times New Roman"/>
          <w:sz w:val="24"/>
          <w:szCs w:val="24"/>
          <w:vertAlign w:val="superscript"/>
        </w:rPr>
        <w:t>5]</w:t>
      </w:r>
      <w:r w:rsidRPr="00F40A26">
        <w:rPr>
          <w:rFonts w:ascii="Book Antiqua" w:hAnsi="Book Antiqua" w:cs="Times New Roman"/>
          <w:sz w:val="24"/>
          <w:szCs w:val="24"/>
        </w:rPr>
        <w:t>.</w:t>
      </w:r>
      <w:r w:rsidRPr="00F40A26">
        <w:rPr>
          <w:rFonts w:ascii="Book Antiqua" w:eastAsia="MinionPro-Regular" w:hAnsi="Book Antiqua" w:cs="MinionPro-Regular"/>
          <w:kern w:val="0"/>
          <w:sz w:val="24"/>
          <w:szCs w:val="24"/>
        </w:rPr>
        <w:t xml:space="preserve"> </w:t>
      </w:r>
      <w:r w:rsidRPr="00F40A26">
        <w:rPr>
          <w:rFonts w:ascii="Book Antiqua" w:hAnsi="Book Antiqua" w:cs="Times New Roman"/>
          <w:sz w:val="24"/>
          <w:szCs w:val="24"/>
        </w:rPr>
        <w:t xml:space="preserve">Patients with advanced-stage HCC require more effective therapy than sorafenib or conservative treatment, and this is currently under consideration. </w:t>
      </w:r>
    </w:p>
    <w:p w:rsidR="00C67E47" w:rsidRPr="00F40A26" w:rsidRDefault="00C67E47">
      <w:pPr>
        <w:snapToGrid w:val="0"/>
        <w:spacing w:line="360" w:lineRule="auto"/>
        <w:rPr>
          <w:rFonts w:ascii="Book Antiqua" w:hAnsi="Book Antiqua" w:cs="Times New Roman"/>
          <w:sz w:val="24"/>
          <w:szCs w:val="24"/>
        </w:rPr>
      </w:pP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sz w:val="24"/>
          <w:szCs w:val="24"/>
        </w:rPr>
        <w:t>HCC with vascular invasion</w:t>
      </w:r>
      <w:r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 xml:space="preserve">In general, HCCs with portal venous tumor thrombus (PVTT) and significant arterioportal or arteriohepatic vein shunts are contraindicated for TACE. </w:t>
      </w:r>
      <w:r w:rsidRPr="00F40A26">
        <w:rPr>
          <w:rFonts w:ascii="Book Antiqua" w:hAnsi="Book Antiqua" w:cs="Times New Roman"/>
          <w:sz w:val="24"/>
          <w:szCs w:val="24"/>
        </w:rPr>
        <w:t xml:space="preserve">Conventional TACE did not provide a survival benefit for advanced-stage patients with </w:t>
      </w:r>
      <w:proofErr w:type="gramStart"/>
      <w:r w:rsidRPr="00F40A26">
        <w:rPr>
          <w:rFonts w:ascii="Book Antiqua" w:hAnsi="Book Antiqua" w:cs="Times New Roman"/>
          <w:bCs/>
          <w:sz w:val="24"/>
          <w:szCs w:val="24"/>
        </w:rPr>
        <w:t>PVTT</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71]</w:t>
      </w:r>
      <w:r w:rsidRPr="00F40A26">
        <w:rPr>
          <w:rFonts w:ascii="Book Antiqua" w:hAnsi="Book Antiqua" w:cs="Times New Roman"/>
          <w:bCs/>
          <w:sz w:val="24"/>
          <w:szCs w:val="24"/>
        </w:rPr>
        <w:t>, potentially due to hepatic infarction and acute liver failure. Portal vein invasion is a major prognostic factor for reduced survival in patients with advanced HCC.</w:t>
      </w:r>
      <w:r w:rsidRPr="00F40A26">
        <w:rPr>
          <w:rFonts w:ascii="Book Antiqua" w:hAnsi="Book Antiqua" w:cs="Times New Roman"/>
          <w:bCs/>
          <w:color w:val="FF0000"/>
          <w:sz w:val="24"/>
          <w:szCs w:val="24"/>
        </w:rPr>
        <w:t xml:space="preserve"> </w:t>
      </w:r>
      <w:r w:rsidRPr="00F40A26">
        <w:rPr>
          <w:rFonts w:ascii="Book Antiqua" w:hAnsi="Book Antiqua" w:cs="Times New Roman"/>
          <w:bCs/>
          <w:sz w:val="24"/>
          <w:szCs w:val="24"/>
        </w:rPr>
        <w:t xml:space="preserve">Advanced HCC with PVTT in the major branches of the portal vein, particularly the main portal vein, has an extremely poor prognosis (3–4 mo without </w:t>
      </w:r>
      <w:proofErr w:type="gramStart"/>
      <w:r w:rsidRPr="00F40A26">
        <w:rPr>
          <w:rFonts w:ascii="Book Antiqua" w:hAnsi="Book Antiqua" w:cs="Times New Roman"/>
          <w:bCs/>
          <w:sz w:val="24"/>
          <w:szCs w:val="24"/>
        </w:rPr>
        <w:t>treatment</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72]</w:t>
      </w:r>
      <w:r w:rsidRPr="00F40A26">
        <w:rPr>
          <w:rFonts w:ascii="Book Antiqua" w:hAnsi="Book Antiqua" w:cs="Times New Roman"/>
          <w:bCs/>
          <w:sz w:val="24"/>
          <w:szCs w:val="24"/>
        </w:rPr>
        <w:t xml:space="preserve">) because portal vein invasion may cause liver failure, massive esophageal variceal </w:t>
      </w:r>
      <w:r w:rsidRPr="00F40A26">
        <w:rPr>
          <w:rFonts w:ascii="Book Antiqua" w:hAnsi="Book Antiqua" w:cs="Times New Roman"/>
          <w:bCs/>
          <w:sz w:val="24"/>
          <w:szCs w:val="24"/>
        </w:rPr>
        <w:lastRenderedPageBreak/>
        <w:t>bleeding, or extensive tumor spreading throughout the liver</w:t>
      </w:r>
      <w:r w:rsidRPr="00F40A26">
        <w:rPr>
          <w:rFonts w:ascii="Book Antiqua" w:hAnsi="Book Antiqua" w:cs="Times New Roman"/>
          <w:bCs/>
          <w:sz w:val="24"/>
          <w:szCs w:val="24"/>
          <w:vertAlign w:val="superscript"/>
        </w:rPr>
        <w:t>[73]</w:t>
      </w:r>
      <w:r w:rsidRPr="00F40A26">
        <w:rPr>
          <w:rFonts w:ascii="Book Antiqua" w:hAnsi="Book Antiqua" w:cs="Times New Roman"/>
          <w:bCs/>
          <w:sz w:val="24"/>
          <w:szCs w:val="24"/>
        </w:rPr>
        <w:t xml:space="preserve">. The results of sorafenib therapy in randomized trials in Europe and </w:t>
      </w:r>
      <w:proofErr w:type="gramStart"/>
      <w:r w:rsidRPr="00F40A26">
        <w:rPr>
          <w:rFonts w:ascii="Book Antiqua" w:hAnsi="Book Antiqua" w:cs="Times New Roman"/>
          <w:bCs/>
          <w:sz w:val="24"/>
          <w:szCs w:val="24"/>
        </w:rPr>
        <w:t>Asia</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5,9]</w:t>
      </w:r>
      <w:r w:rsidRPr="00F40A26">
        <w:rPr>
          <w:rFonts w:ascii="Book Antiqua" w:hAnsi="Book Antiqua" w:cs="Times New Roman"/>
          <w:bCs/>
          <w:sz w:val="24"/>
          <w:szCs w:val="24"/>
        </w:rPr>
        <w:t xml:space="preserve"> did not provide a substantial survival improvement in patients with PVTT. As the incidence of patients with HCC and PVTT was reported to be between 12.5% and 39.7% at the time of diagnosis using recent imaging </w:t>
      </w:r>
      <w:proofErr w:type="gramStart"/>
      <w:r w:rsidRPr="00F40A26">
        <w:rPr>
          <w:rFonts w:ascii="Book Antiqua" w:hAnsi="Book Antiqua" w:cs="Times New Roman"/>
          <w:bCs/>
          <w:sz w:val="24"/>
          <w:szCs w:val="24"/>
        </w:rPr>
        <w:t>techniques</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74]</w:t>
      </w:r>
      <w:r w:rsidRPr="00F40A26">
        <w:rPr>
          <w:rFonts w:ascii="Book Antiqua" w:hAnsi="Book Antiqua" w:cs="Times New Roman"/>
          <w:bCs/>
          <w:sz w:val="24"/>
          <w:szCs w:val="24"/>
        </w:rPr>
        <w:t xml:space="preserve">, effective therapies are needed for advanced HCC patients with vascular invasion. </w:t>
      </w:r>
    </w:p>
    <w:p w:rsidR="00C67E47" w:rsidRPr="00F40A26" w:rsidRDefault="00F32DC0">
      <w:pPr>
        <w:snapToGrid w:val="0"/>
        <w:spacing w:line="360" w:lineRule="auto"/>
        <w:rPr>
          <w:rFonts w:ascii="Book Antiqua" w:hAnsi="Book Antiqua" w:cs="Times New Roman"/>
          <w:bCs/>
          <w:color w:val="FF0000"/>
          <w:sz w:val="24"/>
          <w:szCs w:val="24"/>
        </w:rPr>
      </w:pPr>
      <w:r w:rsidRPr="00F40A26">
        <w:rPr>
          <w:rFonts w:ascii="Book Antiqua" w:hAnsi="Book Antiqua" w:cs="Times New Roman"/>
          <w:b/>
          <w:bCs/>
          <w:i/>
          <w:sz w:val="24"/>
          <w:szCs w:val="24"/>
          <w:lang w:eastAsia="zh-CN"/>
        </w:rPr>
        <w:t xml:space="preserve"> </w:t>
      </w:r>
      <w:r w:rsidRPr="00F40A26">
        <w:rPr>
          <w:rFonts w:ascii="Book Antiqua" w:hAnsi="Book Antiqua" w:cs="Times New Roman"/>
          <w:bCs/>
          <w:sz w:val="24"/>
          <w:szCs w:val="24"/>
        </w:rPr>
        <w:t>Combined TACE and radiotherapy (TACE</w:t>
      </w:r>
      <w:r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w:t>
      </w:r>
      <w:r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RT) consists of TACE followed by</w:t>
      </w:r>
      <w:r w:rsidRPr="00F40A26">
        <w:rPr>
          <w:rFonts w:ascii="Book Antiqua" w:hAnsi="Book Antiqua" w:cs="Times New Roman"/>
          <w:kern w:val="0"/>
          <w:sz w:val="24"/>
          <w:szCs w:val="24"/>
        </w:rPr>
        <w:t xml:space="preserve"> radiation therapy to the vascular invasions and</w:t>
      </w:r>
      <w:r w:rsidRPr="00F40A26">
        <w:rPr>
          <w:rFonts w:ascii="Book Antiqua" w:hAnsi="Book Antiqua" w:cs="Times New Roman"/>
          <w:bCs/>
          <w:sz w:val="24"/>
          <w:szCs w:val="24"/>
        </w:rPr>
        <w:t xml:space="preserve"> has shown an overall survival benefit in patients with </w:t>
      </w:r>
      <w:proofErr w:type="gramStart"/>
      <w:r w:rsidRPr="00F40A26">
        <w:rPr>
          <w:rFonts w:ascii="Book Antiqua" w:hAnsi="Book Antiqua" w:cs="Times New Roman"/>
          <w:bCs/>
          <w:sz w:val="24"/>
          <w:szCs w:val="24"/>
        </w:rPr>
        <w:t>PVTT</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75-77]</w:t>
      </w:r>
      <w:r w:rsidRPr="00F40A26">
        <w:rPr>
          <w:rFonts w:ascii="Book Antiqua" w:hAnsi="Book Antiqua" w:cs="Times New Roman"/>
          <w:bCs/>
          <w:sz w:val="24"/>
          <w:szCs w:val="24"/>
        </w:rPr>
        <w:t xml:space="preserve">. Shirai </w:t>
      </w:r>
      <w:r w:rsidRPr="00F40A26">
        <w:rPr>
          <w:rFonts w:ascii="Book Antiqua" w:hAnsi="Book Antiqua" w:cs="Times New Roman"/>
          <w:bCs/>
          <w:i/>
          <w:sz w:val="24"/>
          <w:szCs w:val="24"/>
        </w:rPr>
        <w:t>et al</w:t>
      </w:r>
      <w:r w:rsidRPr="00F40A26">
        <w:rPr>
          <w:rFonts w:ascii="Book Antiqua" w:hAnsi="Book Antiqua" w:cs="Times New Roman"/>
          <w:bCs/>
          <w:sz w:val="24"/>
          <w:szCs w:val="24"/>
          <w:vertAlign w:val="superscript"/>
        </w:rPr>
        <w:t>[75]</w:t>
      </w:r>
      <w:r w:rsidRPr="00F40A26">
        <w:rPr>
          <w:rFonts w:ascii="Book Antiqua" w:hAnsi="Book Antiqua" w:cs="Times New Roman"/>
          <w:bCs/>
          <w:sz w:val="24"/>
          <w:szCs w:val="24"/>
        </w:rPr>
        <w:t xml:space="preserve"> reported that HCC patients (</w:t>
      </w:r>
      <w:r w:rsidRPr="00F40A26">
        <w:rPr>
          <w:rFonts w:ascii="Book Antiqua" w:hAnsi="Book Antiqua" w:cs="Times New Roman"/>
          <w:bCs/>
          <w:i/>
          <w:sz w:val="24"/>
          <w:szCs w:val="24"/>
        </w:rPr>
        <w:t>n</w:t>
      </w:r>
      <w:r w:rsidRPr="00F40A26">
        <w:rPr>
          <w:rFonts w:ascii="Book Antiqua" w:hAnsi="Book Antiqua" w:cs="Times New Roman"/>
          <w:bCs/>
          <w:sz w:val="24"/>
          <w:szCs w:val="24"/>
        </w:rPr>
        <w:t xml:space="preserve"> = 19) with PVTT ≥ 8 cm in the first branch or main trunk that received TACE+RT had 1- and 2-year survival rates of 47.4% and 23.7%, respectively. Although prospective data comparing the efficacy of TACE+RT and sorafenib therapy in terms of response or survival in advanced-stage HCC with PVTT are not sufficient, a retrospective </w:t>
      </w:r>
      <w:proofErr w:type="gramStart"/>
      <w:r w:rsidRPr="00F40A26">
        <w:rPr>
          <w:rFonts w:ascii="Book Antiqua" w:hAnsi="Book Antiqua" w:cs="Times New Roman"/>
          <w:bCs/>
          <w:sz w:val="24"/>
          <w:szCs w:val="24"/>
        </w:rPr>
        <w:t>study</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78]</w:t>
      </w:r>
      <w:r w:rsidRPr="00F40A26">
        <w:rPr>
          <w:rFonts w:ascii="Book Antiqua" w:hAnsi="Book Antiqua" w:cs="Times New Roman"/>
          <w:bCs/>
          <w:sz w:val="24"/>
          <w:szCs w:val="24"/>
        </w:rPr>
        <w:t xml:space="preserve"> comparing the outcomes of TACE+RT (</w:t>
      </w:r>
      <w:r w:rsidRPr="00F40A26">
        <w:rPr>
          <w:rFonts w:ascii="Book Antiqua" w:hAnsi="Book Antiqua" w:cs="Times New Roman"/>
          <w:bCs/>
          <w:i/>
          <w:sz w:val="24"/>
          <w:szCs w:val="24"/>
        </w:rPr>
        <w:t>n</w:t>
      </w:r>
      <w:r w:rsidRPr="00F40A26">
        <w:rPr>
          <w:rFonts w:ascii="Book Antiqua" w:hAnsi="Book Antiqua" w:cs="Times New Roman"/>
          <w:bCs/>
          <w:sz w:val="24"/>
          <w:szCs w:val="24"/>
        </w:rPr>
        <w:t xml:space="preserve"> = 27) and sorafenib therapy (</w:t>
      </w:r>
      <w:r w:rsidRPr="00F40A26">
        <w:rPr>
          <w:rFonts w:ascii="Book Antiqua" w:hAnsi="Book Antiqua" w:cs="Times New Roman"/>
          <w:bCs/>
          <w:i/>
          <w:sz w:val="24"/>
          <w:szCs w:val="24"/>
        </w:rPr>
        <w:t>n</w:t>
      </w:r>
      <w:r w:rsidRPr="00F40A26">
        <w:rPr>
          <w:rFonts w:ascii="Book Antiqua" w:hAnsi="Book Antiqua" w:cs="Times New Roman"/>
          <w:bCs/>
          <w:sz w:val="24"/>
          <w:szCs w:val="24"/>
        </w:rPr>
        <w:t xml:space="preserve"> = 27) in a propensity score-matched cohort determined that the TACE+RT group had prolonged overall survival compared to the sorafenib group (6.7 </w:t>
      </w:r>
      <w:r w:rsidRPr="00F40A26">
        <w:rPr>
          <w:rFonts w:ascii="Book Antiqua" w:hAnsi="Book Antiqua" w:cs="Times New Roman"/>
          <w:bCs/>
          <w:i/>
          <w:sz w:val="24"/>
          <w:szCs w:val="24"/>
        </w:rPr>
        <w:t>vs</w:t>
      </w:r>
      <w:r w:rsidRPr="00F40A26">
        <w:rPr>
          <w:rFonts w:ascii="Book Antiqua" w:hAnsi="Book Antiqua" w:cs="Times New Roman"/>
          <w:bCs/>
          <w:sz w:val="24"/>
          <w:szCs w:val="24"/>
        </w:rPr>
        <w:t xml:space="preserve"> 3.1 mo, p &lt; 0.001). To determine the efficacy of TACE</w:t>
      </w:r>
      <w:r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w:t>
      </w:r>
      <w:r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 xml:space="preserve">RT compared to sorafenib in locally advanced HCC, a </w:t>
      </w:r>
      <w:r w:rsidRPr="00F40A26">
        <w:rPr>
          <w:rFonts w:ascii="Book Antiqua" w:eastAsia="MinionPro-Regular" w:hAnsi="Book Antiqua" w:cs="Times New Roman"/>
          <w:kern w:val="0"/>
          <w:sz w:val="24"/>
          <w:szCs w:val="24"/>
        </w:rPr>
        <w:t>randomized controlled multicenter trial is necessary</w:t>
      </w:r>
      <w:r w:rsidRPr="00F40A26">
        <w:rPr>
          <w:rFonts w:ascii="Book Antiqua" w:hAnsi="Book Antiqua" w:cs="Times New Roman"/>
          <w:bCs/>
          <w:sz w:val="24"/>
          <w:szCs w:val="24"/>
        </w:rPr>
        <w:t>.</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i/>
          <w:sz w:val="24"/>
          <w:szCs w:val="24"/>
          <w:lang w:eastAsia="zh-CN"/>
        </w:rPr>
        <w:t xml:space="preserve"> </w:t>
      </w:r>
      <w:r w:rsidRPr="00F40A26">
        <w:rPr>
          <w:rFonts w:ascii="Book Antiqua" w:hAnsi="Book Antiqua" w:cs="Times New Roman"/>
          <w:bCs/>
          <w:sz w:val="24"/>
          <w:szCs w:val="24"/>
        </w:rPr>
        <w:t xml:space="preserve">HCC has a tendency to spread to the portal vein and, to a lesser extent, the hepatic </w:t>
      </w:r>
      <w:proofErr w:type="gramStart"/>
      <w:r w:rsidRPr="00F40A26">
        <w:rPr>
          <w:rFonts w:ascii="Book Antiqua" w:hAnsi="Book Antiqua" w:cs="Times New Roman"/>
          <w:bCs/>
          <w:sz w:val="24"/>
          <w:szCs w:val="24"/>
        </w:rPr>
        <w:t>vein</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79]</w:t>
      </w:r>
      <w:r w:rsidRPr="00F40A26">
        <w:rPr>
          <w:rFonts w:ascii="Book Antiqua" w:hAnsi="Book Antiqua" w:cs="Times New Roman"/>
          <w:bCs/>
          <w:sz w:val="24"/>
          <w:szCs w:val="24"/>
        </w:rPr>
        <w:t xml:space="preserve">, which allows the development of arteriovenous shunts. </w:t>
      </w:r>
      <w:r w:rsidRPr="00F40A26">
        <w:rPr>
          <w:rFonts w:ascii="Book Antiqua" w:hAnsi="Book Antiqua"/>
          <w:bCs/>
          <w:sz w:val="24"/>
          <w:szCs w:val="24"/>
        </w:rPr>
        <w:t xml:space="preserve">These shunts represent the main impediment to successful TACE because anticancer drugs or mixtures of iodized oil and anticancer drugs easily pass through </w:t>
      </w:r>
      <w:proofErr w:type="gramStart"/>
      <w:r w:rsidRPr="00F40A26">
        <w:rPr>
          <w:rFonts w:ascii="Book Antiqua" w:hAnsi="Book Antiqua"/>
          <w:bCs/>
          <w:sz w:val="24"/>
          <w:szCs w:val="24"/>
        </w:rPr>
        <w:t>them</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80]</w:t>
      </w:r>
      <w:r w:rsidRPr="00F40A26">
        <w:rPr>
          <w:rFonts w:ascii="Book Antiqua" w:hAnsi="Book Antiqua"/>
          <w:bCs/>
          <w:sz w:val="24"/>
          <w:szCs w:val="24"/>
        </w:rPr>
        <w:t xml:space="preserve">. Conventional TACE is therefore not effective for HCC patients with hepatic arteriovenous shunts and may even be harmful, due to the possibility of pulmonary </w:t>
      </w:r>
      <w:proofErr w:type="gramStart"/>
      <w:r w:rsidRPr="00F40A26">
        <w:rPr>
          <w:rFonts w:ascii="Book Antiqua" w:hAnsi="Book Antiqua"/>
          <w:bCs/>
          <w:sz w:val="24"/>
          <w:szCs w:val="24"/>
        </w:rPr>
        <w:t>embolism</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81–83]</w:t>
      </w:r>
      <w:r w:rsidRPr="00F40A26">
        <w:rPr>
          <w:rFonts w:ascii="Book Antiqua" w:hAnsi="Book Antiqua"/>
          <w:bCs/>
          <w:sz w:val="24"/>
          <w:szCs w:val="24"/>
        </w:rPr>
        <w:t xml:space="preserve">. These patients require an effective, low-risk alternative treatment option. </w:t>
      </w:r>
    </w:p>
    <w:p w:rsidR="00120896" w:rsidRPr="00F40A26" w:rsidRDefault="00F32DC0">
      <w:pPr>
        <w:snapToGrid w:val="0"/>
        <w:spacing w:line="360" w:lineRule="auto"/>
        <w:ind w:firstLineChars="50" w:firstLine="120"/>
        <w:rPr>
          <w:rFonts w:ascii="Book Antiqua" w:hAnsi="Book Antiqua"/>
          <w:bCs/>
          <w:sz w:val="24"/>
          <w:szCs w:val="24"/>
        </w:rPr>
      </w:pPr>
      <w:r w:rsidRPr="00F40A26">
        <w:rPr>
          <w:rFonts w:ascii="Book Antiqua" w:hAnsi="Book Antiqua"/>
          <w:bCs/>
          <w:sz w:val="24"/>
          <w:szCs w:val="24"/>
        </w:rPr>
        <w:t xml:space="preserve">RFA may be a useful treatment for HCCs &lt; 3 cm in diameter; however, most HCCs with intratumoral arteriohepatic vein shunts are large, and RFA cannot </w:t>
      </w:r>
      <w:r w:rsidRPr="00F40A26">
        <w:rPr>
          <w:rFonts w:ascii="Book Antiqua" w:hAnsi="Book Antiqua"/>
          <w:bCs/>
          <w:sz w:val="24"/>
          <w:szCs w:val="24"/>
        </w:rPr>
        <w:lastRenderedPageBreak/>
        <w:t xml:space="preserve">be performed. To overcome this limitation, we performed TACE of the HCC feeding arteries with balloon occlusion of the corresponding draining hepatic vein, which was monitored by angiography and </w:t>
      </w:r>
      <w:proofErr w:type="gramStart"/>
      <w:r w:rsidRPr="00F40A26">
        <w:rPr>
          <w:rFonts w:ascii="Book Antiqua" w:hAnsi="Book Antiqua"/>
          <w:bCs/>
          <w:sz w:val="24"/>
          <w:szCs w:val="24"/>
        </w:rPr>
        <w:t>CT</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34]</w:t>
      </w:r>
      <w:r w:rsidRPr="00F40A26">
        <w:rPr>
          <w:rFonts w:ascii="Book Antiqua" w:hAnsi="Book Antiqua"/>
          <w:bCs/>
          <w:sz w:val="24"/>
          <w:szCs w:val="24"/>
        </w:rPr>
        <w:t xml:space="preserve">. If the target HCC is located in the lateral segment of the liver, we recommend TACE with balloon occlusion of the left hepatic vein. If the target HCC is located in the right or middle lobe of the liver, particularly the upper portion, we recommend TACE with balloon occlusion of 2 hepatic veins, typically the right and middle hepatic </w:t>
      </w:r>
      <w:proofErr w:type="gramStart"/>
      <w:r w:rsidRPr="00F40A26">
        <w:rPr>
          <w:rFonts w:ascii="Book Antiqua" w:hAnsi="Book Antiqua"/>
          <w:bCs/>
          <w:sz w:val="24"/>
          <w:szCs w:val="24"/>
        </w:rPr>
        <w:t>veins</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55]</w:t>
      </w:r>
      <w:r w:rsidRPr="00F40A26">
        <w:rPr>
          <w:rFonts w:ascii="Book Antiqua" w:hAnsi="Book Antiqua"/>
          <w:bCs/>
          <w:sz w:val="24"/>
          <w:szCs w:val="24"/>
        </w:rPr>
        <w:t xml:space="preserve">. TACE with balloon occlusion of the corresponding hepatic vein results in both significant tumor growth control and elimination of the intratumoral </w:t>
      </w:r>
      <w:proofErr w:type="gramStart"/>
      <w:r w:rsidRPr="00F40A26">
        <w:rPr>
          <w:rFonts w:ascii="Book Antiqua" w:hAnsi="Book Antiqua"/>
          <w:bCs/>
          <w:sz w:val="24"/>
          <w:szCs w:val="24"/>
        </w:rPr>
        <w:t>shunts</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34]</w:t>
      </w:r>
      <w:r w:rsidRPr="00F40A26">
        <w:rPr>
          <w:rFonts w:ascii="Book Antiqua" w:hAnsi="Book Antiqua"/>
          <w:bCs/>
          <w:sz w:val="24"/>
          <w:szCs w:val="24"/>
        </w:rPr>
        <w:t>. After this modified procedure, conventional TACE can be performed for the treatment of residual HCC.</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i/>
          <w:sz w:val="24"/>
          <w:szCs w:val="24"/>
          <w:lang w:eastAsia="zh-CN"/>
        </w:rPr>
        <w:t xml:space="preserve"> </w:t>
      </w:r>
      <w:r w:rsidRPr="00F40A26">
        <w:rPr>
          <w:rFonts w:ascii="Book Antiqua" w:hAnsi="Book Antiqua" w:cs="Times New Roman"/>
          <w:bCs/>
          <w:sz w:val="24"/>
          <w:szCs w:val="24"/>
        </w:rPr>
        <w:t>As noted above, HCC is frequently associated with arteriovenous shunts, which typically present as arterioportal shunts. Kojiro</w:t>
      </w:r>
      <w:r w:rsidRPr="00F40A26">
        <w:rPr>
          <w:rFonts w:ascii="Book Antiqua" w:hAnsi="Book Antiqua" w:cs="Times New Roman"/>
          <w:bCs/>
          <w:sz w:val="24"/>
          <w:szCs w:val="24"/>
          <w:lang w:eastAsia="zh-CN"/>
        </w:rPr>
        <w:t xml:space="preserve"> </w:t>
      </w:r>
      <w:r w:rsidRPr="00F40A26">
        <w:rPr>
          <w:rFonts w:ascii="Book Antiqua" w:hAnsi="Book Antiqua" w:cs="Times New Roman"/>
          <w:bCs/>
          <w:i/>
          <w:sz w:val="24"/>
          <w:szCs w:val="24"/>
          <w:lang w:eastAsia="zh-CN"/>
        </w:rPr>
        <w:t xml:space="preserve">et </w:t>
      </w:r>
      <w:proofErr w:type="gramStart"/>
      <w:r w:rsidRPr="00F40A26">
        <w:rPr>
          <w:rFonts w:ascii="Book Antiqua" w:hAnsi="Book Antiqua" w:cs="Times New Roman"/>
          <w:bCs/>
          <w:i/>
          <w:sz w:val="24"/>
          <w:szCs w:val="24"/>
          <w:lang w:eastAsia="zh-CN"/>
        </w:rPr>
        <w:t>al</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84]</w:t>
      </w:r>
      <w:r w:rsidRPr="00F40A26">
        <w:rPr>
          <w:rFonts w:ascii="Book Antiqua" w:hAnsi="Book Antiqua" w:cs="Times New Roman"/>
          <w:bCs/>
          <w:sz w:val="24"/>
          <w:szCs w:val="24"/>
        </w:rPr>
        <w:t xml:space="preserve"> analyzed 106 resected HCCs &lt; 2 cm in diameter and found that nodular-type HCC was associated with microscopic portal invasion in up to 25% of cases. Although the presence of small arterioportal shunts does not necessarily preclude TACE therapy for unresectable HCC, larger arterioportal shunts caused by tumor invasion interfere with TACE because anticancer drugs, either alone or mixed with iodized oil, easily pass through the </w:t>
      </w:r>
      <w:proofErr w:type="gramStart"/>
      <w:r w:rsidRPr="00F40A26">
        <w:rPr>
          <w:rFonts w:ascii="Book Antiqua" w:hAnsi="Book Antiqua" w:cs="Times New Roman"/>
          <w:bCs/>
          <w:sz w:val="24"/>
          <w:szCs w:val="24"/>
        </w:rPr>
        <w:t>shunts</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81,82]</w:t>
      </w:r>
      <w:r w:rsidRPr="00F40A26">
        <w:rPr>
          <w:rFonts w:ascii="Book Antiqua" w:hAnsi="Book Antiqua" w:cs="Times New Roman"/>
          <w:bCs/>
          <w:sz w:val="24"/>
          <w:szCs w:val="24"/>
        </w:rPr>
        <w:t xml:space="preserve">. Conventional TACE causes extensive embolization of the portal vein and can induce extensive ischemia of nontumorous liver </w:t>
      </w:r>
      <w:proofErr w:type="gramStart"/>
      <w:r w:rsidRPr="00F40A26">
        <w:rPr>
          <w:rFonts w:ascii="Book Antiqua" w:hAnsi="Book Antiqua" w:cs="Times New Roman"/>
          <w:bCs/>
          <w:sz w:val="24"/>
          <w:szCs w:val="24"/>
        </w:rPr>
        <w:t>parenchyma</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80]</w:t>
      </w:r>
      <w:r w:rsidRPr="00F40A26">
        <w:rPr>
          <w:rFonts w:ascii="Book Antiqua" w:hAnsi="Book Antiqua" w:cs="Times New Roman"/>
          <w:bCs/>
          <w:sz w:val="24"/>
          <w:szCs w:val="24"/>
        </w:rPr>
        <w:t>. The presence of significant arterioportal shunts can also lead to liver dysfunction and portal hypertension, resulting in potentially</w:t>
      </w:r>
      <w:r w:rsidRPr="00F40A26">
        <w:rPr>
          <w:rFonts w:ascii="Book Antiqua" w:hAnsi="Book Antiqua" w:cs="AdvTT3713a231"/>
          <w:kern w:val="0"/>
          <w:sz w:val="24"/>
          <w:szCs w:val="24"/>
        </w:rPr>
        <w:t xml:space="preserve"> </w:t>
      </w:r>
      <w:r w:rsidRPr="00F40A26">
        <w:rPr>
          <w:rFonts w:ascii="Book Antiqua" w:hAnsi="Book Antiqua" w:cs="Times New Roman"/>
          <w:bCs/>
          <w:sz w:val="24"/>
          <w:szCs w:val="24"/>
        </w:rPr>
        <w:t xml:space="preserve">life-threatening conditions such as rupture of the gastroesophageal </w:t>
      </w:r>
      <w:proofErr w:type="gramStart"/>
      <w:r w:rsidRPr="00F40A26">
        <w:rPr>
          <w:rFonts w:ascii="Book Antiqua" w:hAnsi="Book Antiqua" w:cs="Times New Roman"/>
          <w:bCs/>
          <w:sz w:val="24"/>
          <w:szCs w:val="24"/>
        </w:rPr>
        <w:t>varices</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85–88]</w:t>
      </w:r>
      <w:r w:rsidRPr="00F40A26">
        <w:rPr>
          <w:rFonts w:ascii="Book Antiqua" w:hAnsi="Book Antiqua" w:cs="Times New Roman"/>
          <w:bCs/>
          <w:sz w:val="24"/>
          <w:szCs w:val="24"/>
        </w:rPr>
        <w:t xml:space="preserve">, refractory ascites, or hepatic encephalopathy. </w:t>
      </w:r>
    </w:p>
    <w:p w:rsidR="00120896" w:rsidRPr="00F40A26" w:rsidRDefault="00F32DC0">
      <w:pPr>
        <w:snapToGrid w:val="0"/>
        <w:spacing w:line="360" w:lineRule="auto"/>
        <w:ind w:firstLineChars="50" w:firstLine="120"/>
        <w:rPr>
          <w:rFonts w:ascii="Book Antiqua" w:hAnsi="Book Antiqua" w:cs="Times New Roman"/>
          <w:bCs/>
          <w:sz w:val="24"/>
          <w:szCs w:val="24"/>
        </w:rPr>
      </w:pPr>
      <w:r w:rsidRPr="00F40A26">
        <w:rPr>
          <w:rFonts w:ascii="Book Antiqua" w:hAnsi="Book Antiqua"/>
          <w:bCs/>
          <w:sz w:val="24"/>
          <w:szCs w:val="24"/>
        </w:rPr>
        <w:t xml:space="preserve">Several studies have treated significant arterioportal shunts by embolization of the hepatic arteries with materials such as gelatin sponges or coils, and these approaches have yielded good short-term </w:t>
      </w:r>
      <w:proofErr w:type="gramStart"/>
      <w:r w:rsidRPr="00F40A26">
        <w:rPr>
          <w:rFonts w:ascii="Book Antiqua" w:hAnsi="Book Antiqua"/>
          <w:bCs/>
          <w:sz w:val="24"/>
          <w:szCs w:val="24"/>
        </w:rPr>
        <w:t>results</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89,90]</w:t>
      </w:r>
      <w:r w:rsidRPr="00F40A26">
        <w:rPr>
          <w:rFonts w:ascii="Book Antiqua" w:hAnsi="Book Antiqua"/>
          <w:bCs/>
          <w:sz w:val="24"/>
          <w:szCs w:val="24"/>
        </w:rPr>
        <w:t xml:space="preserve">. However, they do not eradicate the HCC and contribute little to patient </w:t>
      </w:r>
      <w:proofErr w:type="gramStart"/>
      <w:r w:rsidRPr="00F40A26">
        <w:rPr>
          <w:rFonts w:ascii="Book Antiqua" w:hAnsi="Book Antiqua"/>
          <w:bCs/>
          <w:sz w:val="24"/>
          <w:szCs w:val="24"/>
        </w:rPr>
        <w:t>survival</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89,90]</w:t>
      </w:r>
      <w:r w:rsidRPr="00F40A26">
        <w:rPr>
          <w:rFonts w:ascii="Book Antiqua" w:hAnsi="Book Antiqua"/>
          <w:bCs/>
          <w:sz w:val="24"/>
          <w:szCs w:val="24"/>
        </w:rPr>
        <w:t xml:space="preserve">. We attempted to overcome this complication by performing TACE of tumor-feeding arteries </w:t>
      </w:r>
      <w:r w:rsidRPr="00F40A26">
        <w:rPr>
          <w:rFonts w:ascii="Book Antiqua" w:hAnsi="Book Antiqua"/>
          <w:bCs/>
          <w:sz w:val="24"/>
          <w:szCs w:val="24"/>
        </w:rPr>
        <w:lastRenderedPageBreak/>
        <w:t xml:space="preserve">with occlusion of the corresponding portal </w:t>
      </w:r>
      <w:proofErr w:type="gramStart"/>
      <w:r w:rsidRPr="00F40A26">
        <w:rPr>
          <w:rFonts w:ascii="Book Antiqua" w:hAnsi="Book Antiqua"/>
          <w:bCs/>
          <w:sz w:val="24"/>
          <w:szCs w:val="24"/>
        </w:rPr>
        <w:t>vein</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91]</w:t>
      </w:r>
      <w:r w:rsidRPr="00F40A26">
        <w:rPr>
          <w:rFonts w:ascii="Book Antiqua" w:hAnsi="Book Antiqua"/>
          <w:bCs/>
          <w:sz w:val="24"/>
          <w:szCs w:val="24"/>
        </w:rPr>
        <w:t xml:space="preserve">. The intrahepatic portal branch was punctured under ultrasonographic guidance using an 18-gauge percutaneous transhepatic cholangiography needle. For TACE-PVO, a 5- or 8- French balloon catheter was advanced into the portal vein branch identified by direct portography and hepatic arteriography to contain the arterioportal shunt. The balloon catheter was inflated, and a mixture of lipiodol (up to 15 mL) and anticancer agents, as an emulsion or suspension, was injected </w:t>
      </w:r>
      <w:r w:rsidR="00F328CB" w:rsidRPr="00F40A26">
        <w:rPr>
          <w:rFonts w:ascii="Book Antiqua" w:hAnsi="Book Antiqua"/>
          <w:bCs/>
          <w:i/>
          <w:sz w:val="24"/>
          <w:szCs w:val="24"/>
        </w:rPr>
        <w:t>via</w:t>
      </w:r>
      <w:r w:rsidRPr="00F40A26">
        <w:rPr>
          <w:rFonts w:ascii="Book Antiqua" w:hAnsi="Book Antiqua"/>
          <w:bCs/>
          <w:sz w:val="24"/>
          <w:szCs w:val="24"/>
        </w:rPr>
        <w:t xml:space="preserve"> the target feeder artery until reflux into the hepatic artery was confirmed. Particles of gelatin sponge were immediately injected into the feeder artery until the target hepatic artery was occluded. If the target HCC concurrently invades the right and left branches of the portal vein, we recommend TACE with balloon occlusion of the 2 portal vein branches (Figure 3).</w:t>
      </w:r>
    </w:p>
    <w:p w:rsidR="00120896" w:rsidRPr="00F40A26" w:rsidRDefault="00F32DC0">
      <w:pPr>
        <w:snapToGrid w:val="0"/>
        <w:spacing w:line="360" w:lineRule="auto"/>
        <w:ind w:firstLineChars="50" w:firstLine="120"/>
        <w:rPr>
          <w:rFonts w:ascii="Book Antiqua" w:hAnsi="Book Antiqua"/>
          <w:bCs/>
          <w:sz w:val="24"/>
          <w:szCs w:val="24"/>
        </w:rPr>
      </w:pPr>
      <w:r w:rsidRPr="00F40A26">
        <w:rPr>
          <w:rFonts w:ascii="Book Antiqua" w:hAnsi="Book Antiqua"/>
          <w:bCs/>
          <w:sz w:val="24"/>
          <w:szCs w:val="24"/>
        </w:rPr>
        <w:t xml:space="preserve">The effectiveness of TACE-PVO for arterioportal shunts was ascribed to balloon occlusion of the corresponding portal veins, resulting in adequate embolization of the entire tumor, including the portions involving arterioportal shunts. Consequently, TACE-PVO may prevent the development of collateral anastomoses to arterioportal shunts. </w:t>
      </w:r>
    </w:p>
    <w:p w:rsidR="00120896" w:rsidRPr="00F40A26" w:rsidRDefault="00F32DC0">
      <w:pPr>
        <w:snapToGrid w:val="0"/>
        <w:spacing w:line="360" w:lineRule="auto"/>
        <w:ind w:firstLineChars="50" w:firstLine="120"/>
        <w:rPr>
          <w:rFonts w:ascii="Book Antiqua" w:hAnsi="Book Antiqua" w:cs="Times New Roman"/>
          <w:bCs/>
          <w:sz w:val="24"/>
          <w:szCs w:val="24"/>
        </w:rPr>
      </w:pPr>
      <w:r w:rsidRPr="00F40A26">
        <w:rPr>
          <w:rFonts w:ascii="Book Antiqua" w:hAnsi="Book Antiqua" w:cs="Times New Roman"/>
          <w:bCs/>
          <w:sz w:val="24"/>
          <w:szCs w:val="24"/>
        </w:rPr>
        <w:t xml:space="preserve">We performed a comparative, prospective, but not randomized study of standard transarterial embolization (TAE) or TACE versus TACE-PVO for HCC with significant </w:t>
      </w:r>
      <w:r w:rsidRPr="00F40A26">
        <w:rPr>
          <w:rFonts w:ascii="Book Antiqua" w:hAnsi="Book Antiqua"/>
          <w:bCs/>
          <w:sz w:val="24"/>
          <w:szCs w:val="24"/>
        </w:rPr>
        <w:t>arterioportal</w:t>
      </w:r>
      <w:r w:rsidRPr="00F40A26">
        <w:rPr>
          <w:rFonts w:ascii="Book Antiqua" w:hAnsi="Book Antiqua" w:cs="Times New Roman"/>
          <w:bCs/>
          <w:sz w:val="24"/>
          <w:szCs w:val="24"/>
        </w:rPr>
        <w:t xml:space="preserve"> </w:t>
      </w:r>
      <w:proofErr w:type="gramStart"/>
      <w:r w:rsidRPr="00F40A26">
        <w:rPr>
          <w:rFonts w:ascii="Book Antiqua" w:hAnsi="Book Antiqua" w:cs="Times New Roman"/>
          <w:bCs/>
          <w:sz w:val="24"/>
          <w:szCs w:val="24"/>
        </w:rPr>
        <w:t>shunts</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91]</w:t>
      </w:r>
      <w:r w:rsidRPr="00F40A26">
        <w:rPr>
          <w:rFonts w:ascii="Book Antiqua" w:hAnsi="Book Antiqua"/>
          <w:bCs/>
          <w:sz w:val="24"/>
          <w:szCs w:val="24"/>
        </w:rPr>
        <w:t>. Subjects differed fundamentally by patients’ choice of treatment. We found that TACE-PVO was significantly better (</w:t>
      </w:r>
      <w:r w:rsidRPr="00F40A26">
        <w:rPr>
          <w:rFonts w:ascii="Book Antiqua" w:hAnsi="Book Antiqua"/>
          <w:bCs/>
          <w:i/>
          <w:sz w:val="24"/>
          <w:szCs w:val="24"/>
        </w:rPr>
        <w:t>P</w:t>
      </w:r>
      <w:r w:rsidRPr="00F40A26">
        <w:rPr>
          <w:rFonts w:ascii="Book Antiqua" w:hAnsi="Book Antiqua"/>
          <w:bCs/>
          <w:sz w:val="24"/>
          <w:szCs w:val="24"/>
        </w:rPr>
        <w:t xml:space="preserve"> = 0.009) than standard TAE for arterioportal shunt treatment, and subsequent angiographic findings suggested the superiority of TACE-PVO (</w:t>
      </w:r>
      <w:r w:rsidRPr="00F40A26">
        <w:rPr>
          <w:rFonts w:ascii="Book Antiqua" w:hAnsi="Book Antiqua"/>
          <w:bCs/>
          <w:i/>
          <w:sz w:val="24"/>
          <w:szCs w:val="24"/>
        </w:rPr>
        <w:t>P</w:t>
      </w:r>
      <w:r w:rsidRPr="00F40A26">
        <w:rPr>
          <w:rFonts w:ascii="Book Antiqua" w:hAnsi="Book Antiqua"/>
          <w:bCs/>
          <w:sz w:val="24"/>
          <w:szCs w:val="24"/>
        </w:rPr>
        <w:t xml:space="preserve"> = 0.028). Antitumor response (</w:t>
      </w:r>
      <w:r w:rsidRPr="00F40A26">
        <w:rPr>
          <w:rFonts w:ascii="Book Antiqua" w:hAnsi="Book Antiqua"/>
          <w:bCs/>
          <w:i/>
          <w:sz w:val="24"/>
          <w:szCs w:val="24"/>
        </w:rPr>
        <w:t>P</w:t>
      </w:r>
      <w:r w:rsidRPr="00F40A26">
        <w:rPr>
          <w:rFonts w:ascii="Book Antiqua" w:hAnsi="Book Antiqua"/>
          <w:bCs/>
          <w:sz w:val="24"/>
          <w:szCs w:val="24"/>
        </w:rPr>
        <w:t xml:space="preserve"> = 0.002) and patient outcome (</w:t>
      </w:r>
      <w:r w:rsidRPr="00F40A26">
        <w:rPr>
          <w:rFonts w:ascii="Book Antiqua" w:hAnsi="Book Antiqua"/>
          <w:bCs/>
          <w:i/>
          <w:sz w:val="24"/>
          <w:szCs w:val="24"/>
        </w:rPr>
        <w:t>P</w:t>
      </w:r>
      <w:r w:rsidRPr="00F40A26">
        <w:rPr>
          <w:rFonts w:ascii="Book Antiqua" w:hAnsi="Book Antiqua"/>
          <w:bCs/>
          <w:sz w:val="24"/>
          <w:szCs w:val="24"/>
        </w:rPr>
        <w:t xml:space="preserve"> = 0.032) were significantly better in the TACE-PVO group than in the standard treatment group. Furuse </w:t>
      </w:r>
      <w:r w:rsidRPr="00F40A26">
        <w:rPr>
          <w:rFonts w:ascii="Book Antiqua" w:hAnsi="Book Antiqua"/>
          <w:bCs/>
          <w:i/>
          <w:sz w:val="24"/>
          <w:szCs w:val="24"/>
        </w:rPr>
        <w:t xml:space="preserve">et </w:t>
      </w:r>
      <w:proofErr w:type="gramStart"/>
      <w:r w:rsidRPr="00F40A26">
        <w:rPr>
          <w:rFonts w:ascii="Book Antiqua" w:hAnsi="Book Antiqua"/>
          <w:bCs/>
          <w:i/>
          <w:sz w:val="24"/>
          <w:szCs w:val="24"/>
        </w:rPr>
        <w:t>al</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90]</w:t>
      </w:r>
      <w:r w:rsidRPr="00F40A26">
        <w:rPr>
          <w:rFonts w:ascii="Book Antiqua" w:hAnsi="Book Antiqua"/>
          <w:bCs/>
          <w:sz w:val="24"/>
          <w:szCs w:val="24"/>
        </w:rPr>
        <w:t xml:space="preserve"> reported that HCC patients with significant arterioportal shunts due to PVTT who underwent embolization had 1- and 2-year survival rates of 12% and 0%, respectively. In our study, 1- and 2-year survival rates in the standard treatment group were 28.6% and 0%, respectively, similar to that </w:t>
      </w:r>
      <w:r w:rsidRPr="00F40A26">
        <w:rPr>
          <w:rFonts w:ascii="Book Antiqua" w:hAnsi="Book Antiqua"/>
          <w:bCs/>
          <w:sz w:val="24"/>
          <w:szCs w:val="24"/>
        </w:rPr>
        <w:lastRenderedPageBreak/>
        <w:t xml:space="preserve">observed by Furuse </w:t>
      </w:r>
      <w:r w:rsidRPr="00F40A26">
        <w:rPr>
          <w:rFonts w:ascii="Book Antiqua" w:hAnsi="Book Antiqua"/>
          <w:bCs/>
          <w:i/>
          <w:sz w:val="24"/>
          <w:szCs w:val="24"/>
        </w:rPr>
        <w:t xml:space="preserve">et </w:t>
      </w:r>
      <w:proofErr w:type="gramStart"/>
      <w:r w:rsidRPr="00F40A26">
        <w:rPr>
          <w:rFonts w:ascii="Book Antiqua" w:hAnsi="Book Antiqua"/>
          <w:bCs/>
          <w:i/>
          <w:sz w:val="24"/>
          <w:szCs w:val="24"/>
        </w:rPr>
        <w:t>al</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90]</w:t>
      </w:r>
      <w:r w:rsidRPr="00F40A26">
        <w:rPr>
          <w:rFonts w:ascii="Book Antiqua" w:hAnsi="Book Antiqua"/>
          <w:bCs/>
          <w:sz w:val="24"/>
          <w:szCs w:val="24"/>
        </w:rPr>
        <w:t xml:space="preserve">. </w:t>
      </w:r>
      <w:r w:rsidRPr="00F40A26">
        <w:rPr>
          <w:rFonts w:ascii="Book Antiqua" w:hAnsi="Book Antiqua" w:cs="Times New Roman"/>
          <w:bCs/>
          <w:sz w:val="24"/>
          <w:szCs w:val="24"/>
        </w:rPr>
        <w:t xml:space="preserve">We obtained both a good target tumor response and dramatic improvement in </w:t>
      </w:r>
      <w:r w:rsidRPr="00F40A26">
        <w:rPr>
          <w:rFonts w:ascii="Book Antiqua" w:hAnsi="Book Antiqua"/>
          <w:bCs/>
          <w:sz w:val="24"/>
          <w:szCs w:val="24"/>
        </w:rPr>
        <w:t>arterioportal</w:t>
      </w:r>
      <w:r w:rsidRPr="00F40A26">
        <w:rPr>
          <w:rFonts w:ascii="Book Antiqua" w:hAnsi="Book Antiqua" w:cs="Times New Roman"/>
          <w:bCs/>
          <w:sz w:val="24"/>
          <w:szCs w:val="24"/>
        </w:rPr>
        <w:t xml:space="preserve"> shunts with TACE-PVO therapy, with favorable 1-, 2-, and 3-year survival rates of 85.7%, 64.3%, and 42.9%, </w:t>
      </w:r>
      <w:proofErr w:type="gramStart"/>
      <w:r w:rsidRPr="00F40A26">
        <w:rPr>
          <w:rFonts w:ascii="Book Antiqua" w:hAnsi="Book Antiqua" w:cs="Times New Roman"/>
          <w:bCs/>
          <w:sz w:val="24"/>
          <w:szCs w:val="24"/>
        </w:rPr>
        <w:t>respectively</w:t>
      </w:r>
      <w:r w:rsidRPr="00F40A26">
        <w:rPr>
          <w:rFonts w:ascii="Book Antiqua" w:hAnsi="Book Antiqua" w:cs="Times New Roman"/>
          <w:bCs/>
          <w:sz w:val="24"/>
          <w:szCs w:val="24"/>
          <w:vertAlign w:val="superscript"/>
        </w:rPr>
        <w:t>[</w:t>
      </w:r>
      <w:proofErr w:type="gramEnd"/>
      <w:r w:rsidRPr="00F40A26">
        <w:rPr>
          <w:rFonts w:ascii="Book Antiqua" w:hAnsi="Book Antiqua" w:cs="Times New Roman"/>
          <w:bCs/>
          <w:sz w:val="24"/>
          <w:szCs w:val="24"/>
          <w:vertAlign w:val="superscript"/>
        </w:rPr>
        <w:t>91]</w:t>
      </w:r>
      <w:r w:rsidRPr="00F40A26">
        <w:rPr>
          <w:rFonts w:ascii="Book Antiqua" w:hAnsi="Book Antiqua" w:cs="Times New Roman"/>
          <w:bCs/>
          <w:sz w:val="24"/>
          <w:szCs w:val="24"/>
        </w:rPr>
        <w:t xml:space="preserve">. This survival was markedly better than that in the previous series. </w:t>
      </w:r>
    </w:p>
    <w:p w:rsidR="00120896" w:rsidRPr="00F40A26" w:rsidRDefault="00F32DC0">
      <w:pPr>
        <w:snapToGrid w:val="0"/>
        <w:spacing w:line="360" w:lineRule="auto"/>
        <w:ind w:firstLineChars="50" w:firstLine="120"/>
        <w:rPr>
          <w:rFonts w:ascii="Book Antiqua" w:hAnsi="Book Antiqua" w:cs="Times New Roman"/>
          <w:bCs/>
          <w:sz w:val="24"/>
          <w:szCs w:val="24"/>
        </w:rPr>
      </w:pPr>
      <w:r w:rsidRPr="00F40A26">
        <w:rPr>
          <w:rFonts w:ascii="Book Antiqua" w:hAnsi="Book Antiqua" w:cs="Times New Roman"/>
          <w:bCs/>
          <w:sz w:val="24"/>
          <w:szCs w:val="24"/>
        </w:rPr>
        <w:t xml:space="preserve">To our knowledge, no effective treatment for both HCC and significant </w:t>
      </w:r>
      <w:r w:rsidRPr="00F40A26">
        <w:rPr>
          <w:rFonts w:ascii="Book Antiqua" w:hAnsi="Book Antiqua"/>
          <w:bCs/>
          <w:sz w:val="24"/>
          <w:szCs w:val="24"/>
        </w:rPr>
        <w:t>arterioportal</w:t>
      </w:r>
      <w:r w:rsidRPr="00F40A26">
        <w:rPr>
          <w:rFonts w:ascii="Book Antiqua" w:hAnsi="Book Antiqua" w:cs="Times New Roman"/>
          <w:bCs/>
          <w:sz w:val="24"/>
          <w:szCs w:val="24"/>
        </w:rPr>
        <w:t xml:space="preserve"> shunts has been previously reported.</w:t>
      </w:r>
      <w:r w:rsidRPr="00F40A26">
        <w:rPr>
          <w:rFonts w:ascii="Book Antiqua" w:hAnsi="Book Antiqua" w:cs="Times New Roman"/>
          <w:color w:val="131313"/>
          <w:kern w:val="0"/>
          <w:sz w:val="24"/>
          <w:szCs w:val="24"/>
        </w:rPr>
        <w:t xml:space="preserve"> W</w:t>
      </w:r>
      <w:r w:rsidRPr="00F40A26">
        <w:rPr>
          <w:rFonts w:ascii="Book Antiqua" w:hAnsi="Book Antiqua"/>
          <w:color w:val="131313"/>
          <w:kern w:val="0"/>
          <w:sz w:val="24"/>
          <w:szCs w:val="24"/>
        </w:rPr>
        <w:t xml:space="preserve">e have performed </w:t>
      </w:r>
      <w:r w:rsidRPr="00F40A26">
        <w:rPr>
          <w:rFonts w:ascii="Book Antiqua" w:hAnsi="Book Antiqua"/>
          <w:bCs/>
          <w:sz w:val="24"/>
          <w:szCs w:val="24"/>
        </w:rPr>
        <w:t xml:space="preserve">TACE-PVO on </w:t>
      </w:r>
      <w:r w:rsidRPr="00F40A26">
        <w:rPr>
          <w:rFonts w:ascii="Book Antiqua" w:hAnsi="Book Antiqua"/>
          <w:color w:val="131313"/>
          <w:kern w:val="0"/>
          <w:sz w:val="24"/>
          <w:szCs w:val="24"/>
        </w:rPr>
        <w:t xml:space="preserve">37 patients with </w:t>
      </w:r>
      <w:r w:rsidRPr="00F40A26">
        <w:rPr>
          <w:rFonts w:ascii="Book Antiqua" w:hAnsi="Book Antiqua" w:cs="Times New Roman"/>
          <w:bCs/>
          <w:sz w:val="24"/>
          <w:szCs w:val="24"/>
        </w:rPr>
        <w:t>significant</w:t>
      </w:r>
      <w:r w:rsidRPr="00F40A26">
        <w:rPr>
          <w:rFonts w:ascii="Book Antiqua" w:hAnsi="Book Antiqua"/>
          <w:bCs/>
          <w:sz w:val="24"/>
          <w:szCs w:val="24"/>
        </w:rPr>
        <w:t xml:space="preserve"> arterioportal shunts at our institution, resulting in good tumor responses and prolonged survival. Randomized controlled multicenter trials are necessary to further explore differences in quality of life and to assess the effects of TACE-PVO on short- and long-term outcomes.</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i/>
          <w:sz w:val="24"/>
          <w:szCs w:val="24"/>
          <w:lang w:eastAsia="zh-CN"/>
        </w:rPr>
        <w:t xml:space="preserve"> </w:t>
      </w:r>
      <w:r w:rsidRPr="00F40A26">
        <w:rPr>
          <w:rFonts w:ascii="Book Antiqua" w:hAnsi="Book Antiqua" w:cs="Times New Roman"/>
          <w:bCs/>
          <w:sz w:val="24"/>
          <w:szCs w:val="24"/>
        </w:rPr>
        <w:t xml:space="preserve">Finally, we introduce a specialized embolization technique for HCC with </w:t>
      </w:r>
      <w:r w:rsidRPr="00F40A26">
        <w:rPr>
          <w:rFonts w:ascii="Book Antiqua" w:hAnsi="Book Antiqua"/>
          <w:bCs/>
          <w:sz w:val="24"/>
          <w:szCs w:val="24"/>
        </w:rPr>
        <w:t>arterioportal</w:t>
      </w:r>
      <w:r w:rsidRPr="00F40A26">
        <w:rPr>
          <w:rFonts w:ascii="Book Antiqua" w:hAnsi="Book Antiqua" w:cs="Times New Roman"/>
          <w:bCs/>
          <w:sz w:val="24"/>
          <w:szCs w:val="24"/>
        </w:rPr>
        <w:t xml:space="preserve"> shunt.</w:t>
      </w:r>
      <w:r w:rsidRPr="00F40A26">
        <w:rPr>
          <w:rFonts w:ascii="Book Antiqua" w:hAnsi="Book Antiqua" w:cs="Times New Roman"/>
          <w:sz w:val="24"/>
          <w:szCs w:val="24"/>
        </w:rPr>
        <w:t xml:space="preserve"> A patient presented to our institution with </w:t>
      </w:r>
      <w:r w:rsidRPr="00F40A26">
        <w:rPr>
          <w:rFonts w:ascii="Book Antiqua" w:hAnsi="Book Antiqua" w:cs="Times New Roman"/>
          <w:bCs/>
          <w:sz w:val="24"/>
          <w:szCs w:val="24"/>
        </w:rPr>
        <w:t xml:space="preserve">multiple HCCs and underwent several sessions of TACE. Following therapy, 1 HCC, fed by a cystic artery with an </w:t>
      </w:r>
      <w:r w:rsidRPr="00F40A26">
        <w:rPr>
          <w:rFonts w:ascii="Book Antiqua" w:hAnsi="Book Antiqua"/>
          <w:bCs/>
          <w:sz w:val="24"/>
          <w:szCs w:val="24"/>
        </w:rPr>
        <w:t>arterioportal</w:t>
      </w:r>
      <w:r w:rsidRPr="00F40A26">
        <w:rPr>
          <w:rFonts w:ascii="Book Antiqua" w:hAnsi="Book Antiqua" w:cs="Times New Roman"/>
          <w:bCs/>
          <w:sz w:val="24"/>
          <w:szCs w:val="24"/>
        </w:rPr>
        <w:t xml:space="preserve"> shunt, remained. We attempted superselective TACE-PVO </w:t>
      </w:r>
      <w:r w:rsidR="00F328CB" w:rsidRPr="00F40A26">
        <w:rPr>
          <w:rFonts w:ascii="Book Antiqua" w:hAnsi="Book Antiqua" w:cs="Times New Roman"/>
          <w:bCs/>
          <w:i/>
          <w:sz w:val="24"/>
          <w:szCs w:val="24"/>
        </w:rPr>
        <w:t>via</w:t>
      </w:r>
      <w:r w:rsidRPr="00F40A26">
        <w:rPr>
          <w:rFonts w:ascii="Book Antiqua" w:hAnsi="Book Antiqua" w:cs="Times New Roman"/>
          <w:bCs/>
          <w:sz w:val="24"/>
          <w:szCs w:val="24"/>
        </w:rPr>
        <w:t xml:space="preserve"> the branch of the cystic artery, thus avoiding embolization; however, the procedure was not successful (Figure 4). We then performed chemoembolization </w:t>
      </w:r>
      <w:r w:rsidR="00F328CB" w:rsidRPr="00F40A26">
        <w:rPr>
          <w:rFonts w:ascii="Book Antiqua" w:hAnsi="Book Antiqua" w:cs="Times New Roman"/>
          <w:bCs/>
          <w:i/>
          <w:sz w:val="24"/>
          <w:szCs w:val="24"/>
        </w:rPr>
        <w:t>via</w:t>
      </w:r>
      <w:r w:rsidRPr="00F40A26">
        <w:rPr>
          <w:rFonts w:ascii="Book Antiqua" w:hAnsi="Book Antiqua" w:cs="Times New Roman"/>
          <w:bCs/>
          <w:sz w:val="24"/>
          <w:szCs w:val="24"/>
        </w:rPr>
        <w:t xml:space="preserve"> the portal vein branch with an </w:t>
      </w:r>
      <w:r w:rsidRPr="00F40A26">
        <w:rPr>
          <w:rFonts w:ascii="Book Antiqua" w:hAnsi="Book Antiqua"/>
          <w:bCs/>
          <w:sz w:val="24"/>
          <w:szCs w:val="24"/>
        </w:rPr>
        <w:t>arterioportal</w:t>
      </w:r>
      <w:r w:rsidRPr="00F40A26">
        <w:rPr>
          <w:rFonts w:ascii="Book Antiqua" w:hAnsi="Book Antiqua" w:cs="Times New Roman"/>
          <w:bCs/>
          <w:sz w:val="24"/>
          <w:szCs w:val="24"/>
        </w:rPr>
        <w:t xml:space="preserve"> shunt during balloon occlusion of the portal vein (TPCE) and observed a dense accumulation of lipiodol in the tumor. Angiography 3 </w:t>
      </w:r>
      <w:proofErr w:type="gramStart"/>
      <w:r w:rsidRPr="00F40A26">
        <w:rPr>
          <w:rFonts w:ascii="Book Antiqua" w:hAnsi="Book Antiqua" w:cs="Times New Roman"/>
          <w:bCs/>
          <w:sz w:val="24"/>
          <w:szCs w:val="24"/>
        </w:rPr>
        <w:t>mo</w:t>
      </w:r>
      <w:proofErr w:type="gramEnd"/>
      <w:r w:rsidRPr="00F40A26">
        <w:rPr>
          <w:rFonts w:ascii="Book Antiqua" w:hAnsi="Book Antiqua" w:cs="Times New Roman"/>
          <w:bCs/>
          <w:sz w:val="24"/>
          <w:szCs w:val="24"/>
        </w:rPr>
        <w:t xml:space="preserve"> after the TPCE procedure revealed no </w:t>
      </w:r>
      <w:r w:rsidRPr="00F40A26">
        <w:rPr>
          <w:rFonts w:ascii="Book Antiqua" w:hAnsi="Book Antiqua"/>
          <w:bCs/>
          <w:sz w:val="24"/>
          <w:szCs w:val="24"/>
        </w:rPr>
        <w:t>arterioportal</w:t>
      </w:r>
      <w:r w:rsidRPr="00F40A26">
        <w:rPr>
          <w:rFonts w:ascii="Book Antiqua" w:hAnsi="Book Antiqua" w:cs="Times New Roman"/>
          <w:bCs/>
          <w:sz w:val="24"/>
          <w:szCs w:val="24"/>
        </w:rPr>
        <w:t xml:space="preserve"> shunt, and conventional TACE was performed for the residual HCC. To our knowledge, this is the first report of successful TPCE, and this technique may be a useful and safe method for selected patients with HCC and </w:t>
      </w:r>
      <w:r w:rsidRPr="00F40A26">
        <w:rPr>
          <w:rFonts w:ascii="Book Antiqua" w:hAnsi="Book Antiqua"/>
          <w:bCs/>
          <w:sz w:val="24"/>
          <w:szCs w:val="24"/>
        </w:rPr>
        <w:t>arterioportal</w:t>
      </w:r>
      <w:r w:rsidRPr="00F40A26">
        <w:rPr>
          <w:rFonts w:ascii="Book Antiqua" w:hAnsi="Book Antiqua" w:cs="Times New Roman"/>
          <w:bCs/>
          <w:sz w:val="24"/>
          <w:szCs w:val="24"/>
        </w:rPr>
        <w:t xml:space="preserve"> shunts.</w:t>
      </w:r>
    </w:p>
    <w:p w:rsidR="00C67E47" w:rsidRPr="00F40A26" w:rsidRDefault="00F32DC0">
      <w:pPr>
        <w:snapToGrid w:val="0"/>
        <w:spacing w:line="360" w:lineRule="auto"/>
        <w:rPr>
          <w:rFonts w:ascii="Book Antiqua" w:hAnsi="Book Antiqua"/>
          <w:sz w:val="24"/>
          <w:szCs w:val="24"/>
        </w:rPr>
      </w:pPr>
      <w:r w:rsidRPr="00F40A26">
        <w:rPr>
          <w:rFonts w:ascii="Book Antiqua" w:hAnsi="Book Antiqua" w:cs="Times New Roman"/>
          <w:b/>
          <w:bCs/>
          <w:i/>
          <w:sz w:val="24"/>
          <w:szCs w:val="24"/>
          <w:lang w:eastAsia="zh-CN"/>
        </w:rPr>
        <w:t xml:space="preserve"> </w:t>
      </w:r>
      <w:r w:rsidRPr="00F40A26">
        <w:rPr>
          <w:rFonts w:ascii="Book Antiqua" w:hAnsi="Book Antiqua"/>
          <w:bCs/>
          <w:sz w:val="24"/>
          <w:szCs w:val="24"/>
        </w:rPr>
        <w:t>I</w:t>
      </w:r>
      <w:r w:rsidRPr="00F40A26">
        <w:rPr>
          <w:rFonts w:ascii="Book Antiqua" w:hAnsi="Book Antiqua"/>
          <w:sz w:val="24"/>
          <w:szCs w:val="24"/>
        </w:rPr>
        <w:t xml:space="preserve">solated hepatic perfusion (IHP) is an attractive option for achieving higher tumor exposure to any given agent while avoiding systemic toxicity by decreasing systemic drug exposure. Surgical IHP </w:t>
      </w:r>
      <w:r w:rsidRPr="00F40A26">
        <w:rPr>
          <w:rFonts w:ascii="Book Antiqua" w:hAnsi="Book Antiqua"/>
          <w:sz w:val="24"/>
          <w:szCs w:val="24"/>
          <w:lang w:val="en-GB"/>
        </w:rPr>
        <w:t xml:space="preserve">has shown promising </w:t>
      </w:r>
      <w:proofErr w:type="gramStart"/>
      <w:r w:rsidRPr="00F40A26">
        <w:rPr>
          <w:rFonts w:ascii="Book Antiqua" w:hAnsi="Book Antiqua"/>
          <w:sz w:val="24"/>
          <w:szCs w:val="24"/>
          <w:lang w:val="en-GB"/>
        </w:rPr>
        <w:t>results</w:t>
      </w:r>
      <w:r w:rsidRPr="00F40A26">
        <w:rPr>
          <w:rFonts w:ascii="Book Antiqua" w:hAnsi="Book Antiqua"/>
          <w:sz w:val="24"/>
          <w:szCs w:val="24"/>
          <w:vertAlign w:val="superscript"/>
          <w:lang w:val="en-GB"/>
        </w:rPr>
        <w:t>[</w:t>
      </w:r>
      <w:proofErr w:type="gramEnd"/>
      <w:r w:rsidRPr="00F40A26">
        <w:rPr>
          <w:rFonts w:ascii="Book Antiqua" w:hAnsi="Book Antiqua"/>
          <w:sz w:val="24"/>
          <w:szCs w:val="24"/>
          <w:vertAlign w:val="superscript"/>
          <w:lang w:val="en-GB"/>
        </w:rPr>
        <w:t>92-94]</w:t>
      </w:r>
      <w:r w:rsidRPr="00F40A26">
        <w:rPr>
          <w:rFonts w:ascii="Book Antiqua" w:hAnsi="Book Antiqua"/>
          <w:sz w:val="24"/>
          <w:szCs w:val="24"/>
          <w:lang w:val="en-GB"/>
        </w:rPr>
        <w:t>; however</w:t>
      </w:r>
      <w:r w:rsidRPr="00F40A26">
        <w:rPr>
          <w:rFonts w:ascii="Book Antiqua" w:hAnsi="Book Antiqua"/>
          <w:sz w:val="24"/>
          <w:szCs w:val="24"/>
        </w:rPr>
        <w:t xml:space="preserve">, this technique is therapeutically limited because it </w:t>
      </w:r>
      <w:r w:rsidRPr="00F40A26">
        <w:rPr>
          <w:rFonts w:ascii="Book Antiqua" w:hAnsi="Book Antiqua"/>
          <w:sz w:val="24"/>
          <w:szCs w:val="24"/>
        </w:rPr>
        <w:lastRenderedPageBreak/>
        <w:t xml:space="preserve">requires an aggressive surgical intervention that is associated with considerable morbidity and mortality. Further, this technique is not amenable to repeated interventions, mainly due to the formation of </w:t>
      </w:r>
      <w:proofErr w:type="gramStart"/>
      <w:r w:rsidRPr="00F40A26">
        <w:rPr>
          <w:rFonts w:ascii="Book Antiqua" w:hAnsi="Book Antiqua"/>
          <w:sz w:val="24"/>
          <w:szCs w:val="24"/>
        </w:rPr>
        <w:t>adhesions</w:t>
      </w:r>
      <w:r w:rsidRPr="00F40A26">
        <w:rPr>
          <w:rFonts w:ascii="Book Antiqua" w:hAnsi="Book Antiqua"/>
          <w:sz w:val="24"/>
          <w:szCs w:val="24"/>
          <w:vertAlign w:val="superscript"/>
        </w:rPr>
        <w:t>[</w:t>
      </w:r>
      <w:proofErr w:type="gramEnd"/>
      <w:r w:rsidRPr="00F40A26">
        <w:rPr>
          <w:rFonts w:ascii="Book Antiqua" w:hAnsi="Book Antiqua"/>
          <w:sz w:val="24"/>
          <w:szCs w:val="24"/>
          <w:vertAlign w:val="superscript"/>
        </w:rPr>
        <w:t>92,94,95]</w:t>
      </w:r>
      <w:r w:rsidRPr="00F40A26">
        <w:rPr>
          <w:rFonts w:ascii="Book Antiqua" w:hAnsi="Book Antiqua"/>
          <w:sz w:val="24"/>
          <w:szCs w:val="24"/>
        </w:rPr>
        <w:t>.</w:t>
      </w:r>
      <w:r w:rsidRPr="00F40A26">
        <w:rPr>
          <w:rFonts w:ascii="Book Antiqua" w:hAnsi="Book Antiqua"/>
          <w:color w:val="FF0000"/>
          <w:sz w:val="24"/>
          <w:szCs w:val="24"/>
        </w:rPr>
        <w:t xml:space="preserve"> </w:t>
      </w:r>
      <w:r w:rsidRPr="00F40A26">
        <w:rPr>
          <w:rFonts w:ascii="Book Antiqua" w:hAnsi="Book Antiqua"/>
          <w:sz w:val="24"/>
          <w:szCs w:val="24"/>
        </w:rPr>
        <w:t xml:space="preserve">Therefore, several studies have attempted to develop safe and repeatable percutaneous IHP techniques without using laparotomy with balloon occlusion catheters. Ku </w:t>
      </w:r>
      <w:r w:rsidRPr="00F40A26">
        <w:rPr>
          <w:rFonts w:ascii="Book Antiqua" w:hAnsi="Book Antiqua"/>
          <w:i/>
          <w:sz w:val="24"/>
          <w:szCs w:val="24"/>
        </w:rPr>
        <w:t xml:space="preserve">et </w:t>
      </w:r>
      <w:proofErr w:type="gramStart"/>
      <w:r w:rsidRPr="00F40A26">
        <w:rPr>
          <w:rFonts w:ascii="Book Antiqua" w:hAnsi="Book Antiqua"/>
          <w:i/>
          <w:sz w:val="24"/>
          <w:szCs w:val="24"/>
        </w:rPr>
        <w:t>al</w:t>
      </w:r>
      <w:r w:rsidRPr="00F40A26">
        <w:rPr>
          <w:rFonts w:ascii="Book Antiqua" w:hAnsi="Book Antiqua"/>
          <w:sz w:val="24"/>
          <w:szCs w:val="24"/>
          <w:vertAlign w:val="superscript"/>
        </w:rPr>
        <w:t>[</w:t>
      </w:r>
      <w:proofErr w:type="gramEnd"/>
      <w:r w:rsidRPr="00F40A26">
        <w:rPr>
          <w:rFonts w:ascii="Book Antiqua" w:hAnsi="Book Antiqua"/>
          <w:sz w:val="24"/>
          <w:szCs w:val="24"/>
          <w:vertAlign w:val="superscript"/>
        </w:rPr>
        <w:t>96]</w:t>
      </w:r>
      <w:r w:rsidRPr="00F40A26">
        <w:rPr>
          <w:rFonts w:ascii="Book Antiqua" w:hAnsi="Book Antiqua"/>
          <w:sz w:val="24"/>
          <w:szCs w:val="24"/>
        </w:rPr>
        <w:t xml:space="preserve"> reported on advanced-stage HCC patients (</w:t>
      </w:r>
      <w:r w:rsidRPr="00F40A26">
        <w:rPr>
          <w:rFonts w:ascii="Book Antiqua" w:hAnsi="Book Antiqua"/>
          <w:i/>
          <w:sz w:val="24"/>
          <w:szCs w:val="24"/>
        </w:rPr>
        <w:t>n</w:t>
      </w:r>
      <w:r w:rsidRPr="00F40A26">
        <w:rPr>
          <w:rFonts w:ascii="Book Antiqua" w:hAnsi="Book Antiqua"/>
          <w:sz w:val="24"/>
          <w:szCs w:val="24"/>
        </w:rPr>
        <w:t xml:space="preserve"> = 25) that underwent percutaneous IHP after reductive surgery and determined their 5-year overall survival rate to be 42%. However, percutaneous IHP techniques result in higher rates of leakage from the perfusion circuit into the systemic circulation</w:t>
      </w:r>
      <w:r w:rsidRPr="00F40A26">
        <w:rPr>
          <w:rFonts w:ascii="Book Antiqua" w:hAnsi="Book Antiqua"/>
          <w:sz w:val="24"/>
          <w:szCs w:val="24"/>
          <w:vertAlign w:val="superscript"/>
        </w:rPr>
        <w:t>[97-99]</w:t>
      </w:r>
      <w:r w:rsidRPr="00F40A26">
        <w:rPr>
          <w:rFonts w:ascii="Book Antiqua" w:hAnsi="Book Antiqua"/>
          <w:sz w:val="24"/>
          <w:szCs w:val="24"/>
        </w:rPr>
        <w:t xml:space="preserve">, mainly because </w:t>
      </w:r>
      <w:r w:rsidRPr="00F40A26">
        <w:rPr>
          <w:rFonts w:ascii="Book Antiqua" w:eastAsia="Osaka" w:hAnsi="Book Antiqua"/>
          <w:sz w:val="24"/>
          <w:szCs w:val="24"/>
        </w:rPr>
        <w:t xml:space="preserve">the distance between the right atrium and hepatic vein origins is often too short to allow balloon occlusion of the suprahepatic </w:t>
      </w:r>
      <w:r w:rsidRPr="00F40A26">
        <w:rPr>
          <w:rFonts w:ascii="Book Antiqua" w:eastAsia="Osaka" w:hAnsi="Book Antiqua"/>
          <w:color w:val="000000"/>
          <w:sz w:val="24"/>
          <w:szCs w:val="24"/>
        </w:rPr>
        <w:t>inferior vena cava (IVC)</w:t>
      </w:r>
      <w:r w:rsidRPr="00F40A26">
        <w:rPr>
          <w:rFonts w:ascii="Book Antiqua" w:eastAsia="Osaka" w:hAnsi="Book Antiqua"/>
          <w:sz w:val="24"/>
          <w:szCs w:val="24"/>
        </w:rPr>
        <w:t xml:space="preserve"> above the hepatic veins without occluding the hepatic veins themselves</w:t>
      </w:r>
      <w:r w:rsidRPr="00F40A26">
        <w:rPr>
          <w:rFonts w:ascii="Book Antiqua" w:eastAsia="Osaka" w:hAnsi="Book Antiqua"/>
          <w:sz w:val="24"/>
          <w:szCs w:val="24"/>
          <w:vertAlign w:val="superscript"/>
        </w:rPr>
        <w:t>[97,99]</w:t>
      </w:r>
      <w:r w:rsidRPr="00F40A26">
        <w:rPr>
          <w:rFonts w:ascii="Book Antiqua" w:eastAsia="Osaka" w:hAnsi="Book Antiqua"/>
          <w:sz w:val="24"/>
          <w:szCs w:val="24"/>
        </w:rPr>
        <w:t xml:space="preserve">. </w:t>
      </w:r>
      <w:r w:rsidRPr="00F40A26">
        <w:rPr>
          <w:rFonts w:ascii="Book Antiqua" w:hAnsi="Book Antiqua"/>
          <w:sz w:val="24"/>
          <w:szCs w:val="24"/>
        </w:rPr>
        <w:t xml:space="preserve">IHP involves an orthograde approach, employing inflow </w:t>
      </w:r>
      <w:r w:rsidR="00F328CB" w:rsidRPr="00F40A26">
        <w:rPr>
          <w:rFonts w:ascii="Book Antiqua" w:hAnsi="Book Antiqua"/>
          <w:i/>
          <w:sz w:val="24"/>
          <w:szCs w:val="24"/>
        </w:rPr>
        <w:t>via</w:t>
      </w:r>
      <w:r w:rsidRPr="00F40A26">
        <w:rPr>
          <w:rFonts w:ascii="Book Antiqua" w:hAnsi="Book Antiqua"/>
          <w:sz w:val="24"/>
          <w:szCs w:val="24"/>
        </w:rPr>
        <w:t xml:space="preserve"> the hepatic artery and outflow </w:t>
      </w:r>
      <w:r w:rsidR="00F328CB" w:rsidRPr="00F40A26">
        <w:rPr>
          <w:rFonts w:ascii="Book Antiqua" w:hAnsi="Book Antiqua"/>
          <w:i/>
          <w:sz w:val="24"/>
          <w:szCs w:val="24"/>
        </w:rPr>
        <w:t>via</w:t>
      </w:r>
      <w:r w:rsidRPr="00F40A26">
        <w:rPr>
          <w:rFonts w:ascii="Book Antiqua" w:hAnsi="Book Antiqua"/>
          <w:sz w:val="24"/>
          <w:szCs w:val="24"/>
        </w:rPr>
        <w:t xml:space="preserve"> the </w:t>
      </w:r>
      <w:r w:rsidRPr="00F40A26">
        <w:rPr>
          <w:rFonts w:ascii="Book Antiqua" w:eastAsia="Osaka" w:hAnsi="Book Antiqua"/>
          <w:sz w:val="24"/>
          <w:szCs w:val="24"/>
        </w:rPr>
        <w:t>IVC</w:t>
      </w:r>
      <w:r w:rsidRPr="00F40A26">
        <w:rPr>
          <w:rFonts w:ascii="Book Antiqua" w:hAnsi="Book Antiqua"/>
          <w:sz w:val="24"/>
          <w:szCs w:val="24"/>
        </w:rPr>
        <w:t xml:space="preserve"> through the hepatic veins. </w:t>
      </w:r>
      <w:r w:rsidRPr="00F40A26">
        <w:rPr>
          <w:rFonts w:ascii="Book Antiqua" w:eastAsia="Osaka" w:hAnsi="Book Antiqua"/>
          <w:color w:val="000000"/>
          <w:sz w:val="24"/>
          <w:szCs w:val="24"/>
        </w:rPr>
        <w:t xml:space="preserve">All non-surgical orthograde IHP techniques may be associated with this problem, including </w:t>
      </w:r>
      <w:r w:rsidRPr="00F40A26">
        <w:rPr>
          <w:rFonts w:ascii="Book Antiqua" w:hAnsi="Book Antiqua"/>
          <w:sz w:val="24"/>
          <w:szCs w:val="24"/>
        </w:rPr>
        <w:t xml:space="preserve">combinations of orthograde percutaneous and surgical IHP techniques that employ a double-balloon catheter for IVC </w:t>
      </w:r>
      <w:r w:rsidRPr="00F40A26">
        <w:rPr>
          <w:rFonts w:ascii="Book Antiqua" w:eastAsia="Osaka" w:hAnsi="Book Antiqua"/>
          <w:sz w:val="24"/>
          <w:szCs w:val="24"/>
        </w:rPr>
        <w:t xml:space="preserve">occlusion. </w:t>
      </w:r>
    </w:p>
    <w:p w:rsidR="00120896" w:rsidRPr="00F40A26" w:rsidRDefault="00F32DC0">
      <w:pPr>
        <w:snapToGrid w:val="0"/>
        <w:spacing w:line="360" w:lineRule="auto"/>
        <w:ind w:firstLineChars="50" w:firstLine="120"/>
        <w:rPr>
          <w:rFonts w:ascii="Book Antiqua" w:hAnsi="Book Antiqua"/>
          <w:sz w:val="24"/>
          <w:szCs w:val="24"/>
        </w:rPr>
      </w:pPr>
      <w:r w:rsidRPr="00F40A26">
        <w:rPr>
          <w:rFonts w:ascii="Book Antiqua" w:hAnsi="Book Antiqua"/>
          <w:sz w:val="24"/>
          <w:szCs w:val="24"/>
        </w:rPr>
        <w:t xml:space="preserve">To overcome this disadvantage, we developed a percutaneous IHP circulation system </w:t>
      </w:r>
      <w:r w:rsidRPr="00F40A26">
        <w:rPr>
          <w:rFonts w:ascii="Book Antiqua" w:hAnsi="Book Antiqua"/>
          <w:sz w:val="24"/>
          <w:szCs w:val="24"/>
          <w:lang w:eastAsia="zh-CN"/>
        </w:rPr>
        <w:t>-</w:t>
      </w:r>
      <w:r w:rsidRPr="00F40A26">
        <w:rPr>
          <w:rFonts w:ascii="Book Antiqua" w:hAnsi="Book Antiqua"/>
          <w:sz w:val="24"/>
          <w:szCs w:val="24"/>
        </w:rPr>
        <w:t xml:space="preserve"> retrograde-outflow percutaneous IHP (R-PIHP) </w:t>
      </w:r>
      <w:r w:rsidRPr="00F40A26">
        <w:rPr>
          <w:rFonts w:ascii="Book Antiqua" w:hAnsi="Book Antiqua"/>
          <w:sz w:val="24"/>
          <w:szCs w:val="24"/>
          <w:lang w:eastAsia="zh-CN"/>
        </w:rPr>
        <w:t>-</w:t>
      </w:r>
      <w:r w:rsidRPr="00F40A26">
        <w:rPr>
          <w:rFonts w:ascii="Book Antiqua" w:hAnsi="Book Antiqua"/>
          <w:sz w:val="24"/>
          <w:szCs w:val="24"/>
        </w:rPr>
        <w:t xml:space="preserve"> by redirecting hepatic outflow through the portal vein</w:t>
      </w:r>
      <w:r w:rsidRPr="00F40A26">
        <w:rPr>
          <w:rFonts w:ascii="Book Antiqua" w:hAnsi="Book Antiqua"/>
          <w:sz w:val="24"/>
          <w:szCs w:val="24"/>
          <w:vertAlign w:val="superscript"/>
        </w:rPr>
        <w:t>[100,101]</w:t>
      </w:r>
      <w:r w:rsidRPr="00F40A26">
        <w:rPr>
          <w:rFonts w:ascii="Book Antiqua" w:hAnsi="Book Antiqua"/>
          <w:sz w:val="24"/>
          <w:szCs w:val="24"/>
        </w:rPr>
        <w:t xml:space="preserve"> based on hepatic circulation under hepatic vein occlusion</w:t>
      </w:r>
      <w:r w:rsidRPr="00F40A26">
        <w:rPr>
          <w:rFonts w:ascii="Book Antiqua" w:hAnsi="Book Antiqua"/>
          <w:sz w:val="24"/>
          <w:szCs w:val="24"/>
          <w:vertAlign w:val="superscript"/>
        </w:rPr>
        <w:t>[53,54]</w:t>
      </w:r>
      <w:r w:rsidRPr="00F40A26">
        <w:rPr>
          <w:rFonts w:ascii="Book Antiqua" w:hAnsi="Book Antiqua"/>
          <w:sz w:val="24"/>
          <w:szCs w:val="24"/>
        </w:rPr>
        <w:t xml:space="preserve">. This technique inhibits systemic leakage and maintains a high concentration of drug delivery to the liver. A phase I/II trial of R-PIHP for unresectable liver malignancies, including HCC, was begun 3 years ago, and we have obtained good tumor responses and survival benefits although R-PIHP recommends expert interventional techniques (Figure 5). </w:t>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i/>
          <w:sz w:val="24"/>
          <w:szCs w:val="24"/>
          <w:lang w:eastAsia="zh-CN"/>
        </w:rPr>
        <w:t xml:space="preserve"> </w:t>
      </w:r>
      <w:r w:rsidRPr="00F40A26">
        <w:rPr>
          <w:rFonts w:ascii="Book Antiqua" w:hAnsi="Book Antiqua" w:cs="Times New Roman"/>
          <w:bCs/>
          <w:sz w:val="24"/>
          <w:szCs w:val="24"/>
        </w:rPr>
        <w:t>Unresectable HCC usually presents as a hypervascular tumor.</w:t>
      </w:r>
      <w:r w:rsidRPr="00F40A26">
        <w:rPr>
          <w:rFonts w:ascii="Book Antiqua" w:hAnsi="Book Antiqua"/>
          <w:bCs/>
          <w:sz w:val="24"/>
          <w:szCs w:val="24"/>
        </w:rPr>
        <w:t xml:space="preserve"> TACE results in both tumor hypoxia and longer activity periods for anticancer drugs remaining in the tumor tissues. However, TACE also induces a post-treatment surge of angiogenic factors, such as vascular endothelial growth factor (VEGF), which </w:t>
      </w:r>
      <w:r w:rsidRPr="00F40A26">
        <w:rPr>
          <w:rFonts w:ascii="Book Antiqua" w:hAnsi="Book Antiqua"/>
          <w:bCs/>
          <w:sz w:val="24"/>
          <w:szCs w:val="24"/>
        </w:rPr>
        <w:lastRenderedPageBreak/>
        <w:t>can occur as early as a few hours post-</w:t>
      </w:r>
      <w:proofErr w:type="gramStart"/>
      <w:r w:rsidRPr="00F40A26">
        <w:rPr>
          <w:rFonts w:ascii="Book Antiqua" w:hAnsi="Book Antiqua"/>
          <w:bCs/>
          <w:sz w:val="24"/>
          <w:szCs w:val="24"/>
        </w:rPr>
        <w:t>TACE</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102]</w:t>
      </w:r>
      <w:r w:rsidRPr="00F40A26">
        <w:rPr>
          <w:rFonts w:ascii="Book Antiqua" w:hAnsi="Book Antiqua"/>
          <w:bCs/>
          <w:sz w:val="24"/>
          <w:szCs w:val="24"/>
        </w:rPr>
        <w:t xml:space="preserve">. This process may contribute to the revascularization of the tumor, thus reducing the efficacy of </w:t>
      </w:r>
      <w:proofErr w:type="gramStart"/>
      <w:r w:rsidRPr="00F40A26">
        <w:rPr>
          <w:rFonts w:ascii="Book Antiqua" w:hAnsi="Book Antiqua"/>
          <w:bCs/>
          <w:sz w:val="24"/>
          <w:szCs w:val="24"/>
        </w:rPr>
        <w:t>TACE</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103,104]</w:t>
      </w:r>
      <w:r w:rsidRPr="00F40A26">
        <w:rPr>
          <w:rFonts w:ascii="Book Antiqua" w:hAnsi="Book Antiqua"/>
          <w:bCs/>
          <w:sz w:val="24"/>
          <w:szCs w:val="24"/>
        </w:rPr>
        <w:t xml:space="preserve">. Sorafenib is an antiangiogenic drug that blocks tumor cell proliferation and angiogenesis by inhibiting the activity of VEGF receptors. Combining sorafenib with TACE may potentially improve the treatment </w:t>
      </w:r>
      <w:proofErr w:type="gramStart"/>
      <w:r w:rsidRPr="00F40A26">
        <w:rPr>
          <w:rFonts w:ascii="Book Antiqua" w:hAnsi="Book Antiqua"/>
          <w:bCs/>
          <w:sz w:val="24"/>
          <w:szCs w:val="24"/>
        </w:rPr>
        <w:t>outcome</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105]</w:t>
      </w:r>
      <w:r w:rsidRPr="00F40A26">
        <w:rPr>
          <w:rFonts w:ascii="Book Antiqua" w:hAnsi="Book Antiqua"/>
          <w:bCs/>
          <w:sz w:val="24"/>
          <w:szCs w:val="24"/>
        </w:rPr>
        <w:t xml:space="preserve">. Several studies have evaluated the efficacy and safety of this combination </w:t>
      </w:r>
      <w:proofErr w:type="gramStart"/>
      <w:r w:rsidRPr="00F40A26">
        <w:rPr>
          <w:rFonts w:ascii="Book Antiqua" w:hAnsi="Book Antiqua"/>
          <w:bCs/>
          <w:sz w:val="24"/>
          <w:szCs w:val="24"/>
        </w:rPr>
        <w:t>treatment</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106,107]</w:t>
      </w:r>
      <w:r w:rsidRPr="00F40A26">
        <w:rPr>
          <w:rFonts w:ascii="Book Antiqua" w:hAnsi="Book Antiqua"/>
          <w:bCs/>
          <w:sz w:val="24"/>
          <w:szCs w:val="24"/>
        </w:rPr>
        <w:t xml:space="preserve">, and </w:t>
      </w:r>
      <w:r w:rsidRPr="00F40A26">
        <w:rPr>
          <w:rFonts w:ascii="Book Antiqua" w:hAnsi="Book Antiqua" w:cs="Times New Roman"/>
          <w:bCs/>
          <w:sz w:val="24"/>
          <w:szCs w:val="24"/>
        </w:rPr>
        <w:t>clinical trials investigating this therapeutic approach are currently ongoing</w:t>
      </w:r>
      <w:r w:rsidRPr="00F40A26">
        <w:rPr>
          <w:rFonts w:ascii="Book Antiqua" w:hAnsi="Book Antiqua"/>
          <w:bCs/>
          <w:sz w:val="24"/>
          <w:szCs w:val="24"/>
        </w:rPr>
        <w:t>.</w:t>
      </w:r>
      <w:r w:rsidRPr="00F40A26">
        <w:rPr>
          <w:rFonts w:ascii="Book Antiqua" w:hAnsi="Book Antiqua" w:cs="Times New Roman"/>
          <w:bCs/>
          <w:sz w:val="24"/>
          <w:szCs w:val="24"/>
        </w:rPr>
        <w:t xml:space="preserve"> </w:t>
      </w:r>
      <w:r w:rsidRPr="00F40A26">
        <w:rPr>
          <w:rFonts w:ascii="Book Antiqua" w:hAnsi="Book Antiqua"/>
          <w:bCs/>
          <w:sz w:val="24"/>
          <w:szCs w:val="24"/>
        </w:rPr>
        <w:t xml:space="preserve">The dosing schedule of antiangiogenic drugs in relation to TACE is a key factor for this method of therapy. A randomized phase III study comparing the advent of sorafenib treatment with placebo 1–3 mo after TACE failed to show a survival </w:t>
      </w:r>
      <w:proofErr w:type="gramStart"/>
      <w:r w:rsidRPr="00F40A26">
        <w:rPr>
          <w:rFonts w:ascii="Book Antiqua" w:hAnsi="Book Antiqua"/>
          <w:bCs/>
          <w:sz w:val="24"/>
          <w:szCs w:val="24"/>
        </w:rPr>
        <w:t>benefit</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106]</w:t>
      </w:r>
      <w:r w:rsidRPr="00F40A26">
        <w:rPr>
          <w:rFonts w:ascii="Book Antiqua" w:hAnsi="Book Antiqua"/>
          <w:bCs/>
          <w:sz w:val="24"/>
          <w:szCs w:val="24"/>
        </w:rPr>
        <w:t>. In contrast, a single-arm phase II study with sorafenib beginning 1 week after TACE reported a disease control rate of 95</w:t>
      </w:r>
      <w:proofErr w:type="gramStart"/>
      <w:r w:rsidRPr="00F40A26">
        <w:rPr>
          <w:rFonts w:ascii="Book Antiqua" w:hAnsi="Book Antiqua"/>
          <w:bCs/>
          <w:sz w:val="24"/>
          <w:szCs w:val="24"/>
        </w:rPr>
        <w:t>%</w:t>
      </w:r>
      <w:r w:rsidRPr="00F40A26">
        <w:rPr>
          <w:rFonts w:ascii="Book Antiqua" w:hAnsi="Book Antiqua"/>
          <w:bCs/>
          <w:sz w:val="24"/>
          <w:szCs w:val="24"/>
          <w:vertAlign w:val="superscript"/>
        </w:rPr>
        <w:t>[</w:t>
      </w:r>
      <w:proofErr w:type="gramEnd"/>
      <w:r w:rsidRPr="00F40A26">
        <w:rPr>
          <w:rFonts w:ascii="Book Antiqua" w:hAnsi="Book Antiqua"/>
          <w:bCs/>
          <w:sz w:val="24"/>
          <w:szCs w:val="24"/>
          <w:vertAlign w:val="superscript"/>
        </w:rPr>
        <w:t>107]</w:t>
      </w:r>
      <w:r w:rsidRPr="00F40A26">
        <w:rPr>
          <w:rFonts w:ascii="Book Antiqua" w:hAnsi="Book Antiqua"/>
          <w:bCs/>
          <w:sz w:val="24"/>
          <w:szCs w:val="24"/>
        </w:rPr>
        <w:t xml:space="preserve">, according to the response evaluation criteria for solid tumors. Optimal scheduling of antiangiogenic agents with TACE is essential to improve the patient prognosis. </w:t>
      </w:r>
      <w:r w:rsidRPr="00F40A26">
        <w:rPr>
          <w:rFonts w:ascii="Book Antiqua" w:hAnsi="Book Antiqua" w:cs="Times New Roman"/>
          <w:bCs/>
          <w:sz w:val="24"/>
          <w:szCs w:val="24"/>
        </w:rPr>
        <w:t>Moreover, if locoregional treatments are superior to conventional TACE, the combination of sorafenib with these other interventional treatments, such as DEB-TACE or radioembolization, is also promising.</w:t>
      </w:r>
    </w:p>
    <w:p w:rsidR="00C67E47" w:rsidRPr="00F40A26" w:rsidRDefault="00C67E47">
      <w:pPr>
        <w:snapToGrid w:val="0"/>
        <w:spacing w:line="360" w:lineRule="auto"/>
        <w:rPr>
          <w:rFonts w:ascii="Book Antiqua" w:hAnsi="Book Antiqua" w:cs="Times New Roman"/>
          <w:bCs/>
          <w:i/>
          <w:sz w:val="24"/>
          <w:szCs w:val="24"/>
        </w:rPr>
      </w:pPr>
    </w:p>
    <w:p w:rsidR="00C67E47" w:rsidRPr="00F40A26" w:rsidRDefault="00F32DC0">
      <w:pPr>
        <w:snapToGrid w:val="0"/>
        <w:spacing w:line="360" w:lineRule="auto"/>
        <w:rPr>
          <w:rFonts w:ascii="Book Antiqua" w:hAnsi="Book Antiqua" w:cs="Times New Roman"/>
          <w:b/>
          <w:bCs/>
          <w:sz w:val="24"/>
          <w:szCs w:val="24"/>
        </w:rPr>
      </w:pPr>
      <w:r w:rsidRPr="00F40A26">
        <w:rPr>
          <w:rFonts w:ascii="Book Antiqua" w:hAnsi="Book Antiqua" w:cs="Times New Roman"/>
          <w:b/>
          <w:bCs/>
          <w:sz w:val="24"/>
          <w:szCs w:val="24"/>
        </w:rPr>
        <w:t>CONCLUSION</w:t>
      </w:r>
    </w:p>
    <w:p w:rsidR="00C67E47" w:rsidRPr="00F40A26" w:rsidRDefault="00F32DC0">
      <w:pPr>
        <w:snapToGrid w:val="0"/>
        <w:spacing w:line="360" w:lineRule="auto"/>
        <w:rPr>
          <w:rFonts w:ascii="Book Antiqua" w:hAnsi="Book Antiqua"/>
          <w:bCs/>
          <w:sz w:val="24"/>
          <w:szCs w:val="24"/>
        </w:rPr>
      </w:pPr>
      <w:r w:rsidRPr="00F40A26">
        <w:rPr>
          <w:rFonts w:ascii="Book Antiqua" w:hAnsi="Book Antiqua" w:cs="Times New Roman"/>
          <w:bCs/>
          <w:sz w:val="24"/>
          <w:szCs w:val="24"/>
        </w:rPr>
        <w:t>In this review, we have summarized the efforts of many studies to improve the treatment outcomes of patients with intermediate- or advanced- stage HCC. For intermediate-stage HCC patients, interventional treatments,</w:t>
      </w:r>
      <w:r w:rsidRPr="00F40A26">
        <w:rPr>
          <w:rFonts w:ascii="Book Antiqua" w:eastAsia="MS Mincho" w:hAnsi="Book Antiqua" w:cs="Times New Roman"/>
          <w:sz w:val="24"/>
          <w:szCs w:val="24"/>
        </w:rPr>
        <w:t xml:space="preserve"> such as TACE</w:t>
      </w:r>
      <w:r w:rsidRPr="00F40A26">
        <w:rPr>
          <w:rFonts w:ascii="Book Antiqua" w:hAnsi="Book Antiqua" w:cs="Times New Roman"/>
          <w:bCs/>
          <w:sz w:val="24"/>
          <w:szCs w:val="24"/>
        </w:rPr>
        <w:t>, drug-eluting beads embolization, radioembolization, and combination therapies, for prognostic improvement are continually evolving.</w:t>
      </w:r>
      <w:r w:rsidRPr="00F40A26">
        <w:rPr>
          <w:rFonts w:ascii="Book Antiqua" w:eastAsia="MS Mincho" w:hAnsi="Book Antiqua" w:cs="Times New Roman"/>
          <w:sz w:val="24"/>
          <w:szCs w:val="24"/>
        </w:rPr>
        <w:t xml:space="preserve"> For </w:t>
      </w:r>
      <w:r w:rsidRPr="00F40A26">
        <w:rPr>
          <w:rFonts w:ascii="Book Antiqua" w:hAnsi="Book Antiqua" w:cs="Times New Roman"/>
          <w:bCs/>
          <w:sz w:val="24"/>
          <w:szCs w:val="24"/>
        </w:rPr>
        <w:t xml:space="preserve">advanced-stage HCC patients, sorafenib chemotherapy, </w:t>
      </w:r>
      <w:r w:rsidRPr="00F40A26">
        <w:rPr>
          <w:rFonts w:ascii="Book Antiqua" w:hAnsi="Book Antiqua"/>
          <w:bCs/>
          <w:sz w:val="24"/>
          <w:szCs w:val="24"/>
        </w:rPr>
        <w:t>TACE-based therapies</w:t>
      </w:r>
      <w:r w:rsidRPr="00F40A26">
        <w:rPr>
          <w:rFonts w:ascii="Book Antiqua" w:hAnsi="Book Antiqua" w:cs="Times New Roman"/>
          <w:sz w:val="24"/>
          <w:szCs w:val="24"/>
        </w:rPr>
        <w:t xml:space="preserve"> combined with sorafenib treatment, </w:t>
      </w:r>
      <w:r w:rsidRPr="00F40A26">
        <w:rPr>
          <w:rFonts w:ascii="Book Antiqua" w:hAnsi="Book Antiqua" w:cs="Times New Roman"/>
          <w:bCs/>
          <w:sz w:val="24"/>
          <w:szCs w:val="24"/>
        </w:rPr>
        <w:t>TACE with radiotherapy, TACE based on hepatic hemodynamics, and IHP are all effective therapies</w:t>
      </w:r>
      <w:r w:rsidRPr="00F40A26">
        <w:rPr>
          <w:rFonts w:ascii="Book Antiqua" w:hAnsi="Book Antiqua" w:cs="Times New Roman"/>
          <w:sz w:val="24"/>
          <w:szCs w:val="24"/>
        </w:rPr>
        <w:t>.</w:t>
      </w:r>
      <w:r w:rsidRPr="00F40A26">
        <w:rPr>
          <w:rFonts w:ascii="Book Antiqua" w:hAnsi="Book Antiqua"/>
          <w:bCs/>
          <w:sz w:val="24"/>
          <w:szCs w:val="24"/>
        </w:rPr>
        <w:t xml:space="preserve"> In conclusion, the evolution of therapy continues to improve the prognosis of patients with unresectable HCC.</w:t>
      </w:r>
    </w:p>
    <w:p w:rsidR="008B44F3" w:rsidRPr="00F40A26" w:rsidRDefault="008B44F3" w:rsidP="008B5D80">
      <w:pPr>
        <w:snapToGrid w:val="0"/>
        <w:spacing w:line="360" w:lineRule="auto"/>
        <w:rPr>
          <w:rFonts w:ascii="Book Antiqua" w:hAnsi="Book Antiqua" w:cs="Times New Roman"/>
          <w:b/>
          <w:bCs/>
          <w:sz w:val="24"/>
          <w:szCs w:val="24"/>
          <w:lang w:eastAsia="zh-CN"/>
        </w:rPr>
        <w:sectPr w:rsidR="008B44F3" w:rsidRPr="00F40A26" w:rsidSect="00C427C5">
          <w:pgSz w:w="11906" w:h="16838"/>
          <w:pgMar w:top="1985" w:right="1701" w:bottom="1701" w:left="1701" w:header="851" w:footer="992" w:gutter="0"/>
          <w:cols w:space="425"/>
          <w:docGrid w:type="lines" w:linePitch="360"/>
        </w:sectPr>
      </w:pPr>
    </w:p>
    <w:p w:rsidR="00C67E47" w:rsidRPr="00F40A26" w:rsidRDefault="00F32DC0">
      <w:pPr>
        <w:snapToGrid w:val="0"/>
        <w:spacing w:line="360" w:lineRule="auto"/>
        <w:rPr>
          <w:rFonts w:ascii="Book Antiqua" w:hAnsi="Book Antiqua" w:cs="Times New Roman"/>
          <w:b/>
          <w:bCs/>
          <w:sz w:val="24"/>
          <w:szCs w:val="24"/>
          <w:lang w:eastAsia="zh-CN"/>
        </w:rPr>
      </w:pPr>
      <w:r w:rsidRPr="00F40A26">
        <w:rPr>
          <w:rFonts w:ascii="Book Antiqua" w:hAnsi="Book Antiqua" w:cs="Times New Roman"/>
          <w:b/>
          <w:bCs/>
          <w:sz w:val="24"/>
          <w:szCs w:val="24"/>
        </w:rPr>
        <w:lastRenderedPageBreak/>
        <w:t>REFERENCES</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1 </w:t>
      </w:r>
      <w:r w:rsidRPr="00F40A26">
        <w:rPr>
          <w:rFonts w:ascii="Book Antiqua" w:eastAsia="宋体" w:hAnsi="Book Antiqua" w:cs="宋体"/>
          <w:b/>
          <w:bCs/>
          <w:color w:val="000000"/>
          <w:kern w:val="0"/>
          <w:sz w:val="24"/>
          <w:szCs w:val="24"/>
          <w:lang w:eastAsia="zh-CN"/>
        </w:rPr>
        <w:t>Jemal A</w:t>
      </w:r>
      <w:r w:rsidRPr="00F40A26">
        <w:rPr>
          <w:rFonts w:ascii="Book Antiqua" w:eastAsia="宋体" w:hAnsi="Book Antiqua" w:cs="宋体"/>
          <w:color w:val="000000"/>
          <w:kern w:val="0"/>
          <w:sz w:val="24"/>
          <w:szCs w:val="24"/>
          <w:lang w:eastAsia="zh-CN"/>
        </w:rPr>
        <w:t>, Bray F, Center MM, Ferlay J, Ward E, Forman D. Global cancer statistics. </w:t>
      </w:r>
      <w:r w:rsidRPr="00F40A26">
        <w:rPr>
          <w:rFonts w:ascii="Book Antiqua" w:eastAsia="宋体" w:hAnsi="Book Antiqua" w:cs="宋体"/>
          <w:i/>
          <w:iCs/>
          <w:color w:val="000000"/>
          <w:kern w:val="0"/>
          <w:sz w:val="24"/>
          <w:szCs w:val="24"/>
          <w:lang w:eastAsia="zh-CN"/>
        </w:rPr>
        <w:t>CA Cancer J Clin</w:t>
      </w:r>
      <w:r w:rsidRPr="00F40A26">
        <w:rPr>
          <w:rFonts w:ascii="Book Antiqua" w:eastAsia="宋体" w:hAnsi="Book Antiqua" w:cs="宋体"/>
          <w:color w:val="000000"/>
          <w:kern w:val="0"/>
          <w:sz w:val="24"/>
          <w:szCs w:val="24"/>
          <w:lang w:eastAsia="zh-CN"/>
        </w:rPr>
        <w:t> </w:t>
      </w:r>
      <w:r>
        <w:rPr>
          <w:rFonts w:ascii="Book Antiqua" w:eastAsia="宋体" w:hAnsi="Book Antiqua" w:cs="宋体" w:hint="eastAsia"/>
          <w:color w:val="000000"/>
          <w:kern w:val="0"/>
          <w:sz w:val="24"/>
          <w:szCs w:val="24"/>
          <w:lang w:eastAsia="zh-CN"/>
        </w:rPr>
        <w:t>2011</w:t>
      </w:r>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b/>
          <w:bCs/>
          <w:color w:val="000000"/>
          <w:kern w:val="0"/>
          <w:sz w:val="24"/>
          <w:szCs w:val="24"/>
          <w:lang w:eastAsia="zh-CN"/>
        </w:rPr>
        <w:t>61</w:t>
      </w:r>
      <w:r w:rsidRPr="00F40A26">
        <w:rPr>
          <w:rFonts w:ascii="Book Antiqua" w:eastAsia="宋体" w:hAnsi="Book Antiqua" w:cs="宋体"/>
          <w:color w:val="000000"/>
          <w:kern w:val="0"/>
          <w:sz w:val="24"/>
          <w:szCs w:val="24"/>
          <w:lang w:eastAsia="zh-CN"/>
        </w:rPr>
        <w:t>: 69-90 [PMID: 21296855 DOI: 10.3322/caac.20107]</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2 </w:t>
      </w:r>
      <w:r w:rsidRPr="00F40A26">
        <w:rPr>
          <w:rFonts w:ascii="Book Antiqua" w:eastAsia="宋体" w:hAnsi="Book Antiqua" w:cs="宋体"/>
          <w:b/>
          <w:bCs/>
          <w:color w:val="000000"/>
          <w:kern w:val="0"/>
          <w:sz w:val="24"/>
          <w:szCs w:val="24"/>
          <w:lang w:eastAsia="zh-CN"/>
        </w:rPr>
        <w:t>Llovet JM</w:t>
      </w:r>
      <w:r w:rsidRPr="00F40A26">
        <w:rPr>
          <w:rFonts w:ascii="Book Antiqua" w:eastAsia="宋体" w:hAnsi="Book Antiqua" w:cs="宋体"/>
          <w:color w:val="000000"/>
          <w:kern w:val="0"/>
          <w:sz w:val="24"/>
          <w:szCs w:val="24"/>
          <w:lang w:eastAsia="zh-CN"/>
        </w:rPr>
        <w:t>, Brú C, Bruix J. Prognosis of hepatocellular carcinoma: the BCLC staging classification. </w:t>
      </w:r>
      <w:r w:rsidRPr="00F40A26">
        <w:rPr>
          <w:rFonts w:ascii="Book Antiqua" w:eastAsia="宋体" w:hAnsi="Book Antiqua" w:cs="宋体"/>
          <w:i/>
          <w:iCs/>
          <w:color w:val="000000"/>
          <w:kern w:val="0"/>
          <w:sz w:val="24"/>
          <w:szCs w:val="24"/>
          <w:lang w:eastAsia="zh-CN"/>
        </w:rPr>
        <w:t>Semin Liver Dis</w:t>
      </w:r>
      <w:r w:rsidRPr="00F40A26">
        <w:rPr>
          <w:rFonts w:ascii="Book Antiqua" w:eastAsia="宋体" w:hAnsi="Book Antiqua" w:cs="宋体"/>
          <w:color w:val="000000"/>
          <w:kern w:val="0"/>
          <w:sz w:val="24"/>
          <w:szCs w:val="24"/>
          <w:lang w:eastAsia="zh-CN"/>
        </w:rPr>
        <w:t> 1999; </w:t>
      </w:r>
      <w:r w:rsidRPr="00F40A26">
        <w:rPr>
          <w:rFonts w:ascii="Book Antiqua" w:eastAsia="宋体" w:hAnsi="Book Antiqua" w:cs="宋体"/>
          <w:b/>
          <w:bCs/>
          <w:color w:val="000000"/>
          <w:kern w:val="0"/>
          <w:sz w:val="24"/>
          <w:szCs w:val="24"/>
          <w:lang w:eastAsia="zh-CN"/>
        </w:rPr>
        <w:t>19</w:t>
      </w:r>
      <w:r w:rsidRPr="00F40A26">
        <w:rPr>
          <w:rFonts w:ascii="Book Antiqua" w:eastAsia="宋体" w:hAnsi="Book Antiqua" w:cs="宋体"/>
          <w:color w:val="000000"/>
          <w:kern w:val="0"/>
          <w:sz w:val="24"/>
          <w:szCs w:val="24"/>
          <w:lang w:eastAsia="zh-CN"/>
        </w:rPr>
        <w:t>: 329-338 [PMID: 10518312 DOI: 10.1055/s-2007-1007122]</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3 </w:t>
      </w:r>
      <w:r w:rsidRPr="00F40A26">
        <w:rPr>
          <w:rFonts w:ascii="Book Antiqua" w:eastAsia="宋体" w:hAnsi="Book Antiqua" w:cs="宋体"/>
          <w:b/>
          <w:bCs/>
          <w:color w:val="000000"/>
          <w:kern w:val="0"/>
          <w:sz w:val="24"/>
          <w:szCs w:val="24"/>
          <w:lang w:eastAsia="zh-CN"/>
        </w:rPr>
        <w:t>Llovet JM</w:t>
      </w:r>
      <w:r w:rsidRPr="00F40A26">
        <w:rPr>
          <w:rFonts w:ascii="Book Antiqua" w:eastAsia="宋体" w:hAnsi="Book Antiqua" w:cs="宋体"/>
          <w:color w:val="000000"/>
          <w:kern w:val="0"/>
          <w:sz w:val="24"/>
          <w:szCs w:val="24"/>
          <w:lang w:eastAsia="zh-CN"/>
        </w:rPr>
        <w:t>, Burroughs A, Bruix J. Hepatocellular carcinoma. </w:t>
      </w:r>
      <w:r w:rsidRPr="00F40A26">
        <w:rPr>
          <w:rFonts w:ascii="Book Antiqua" w:eastAsia="宋体" w:hAnsi="Book Antiqua" w:cs="宋体"/>
          <w:i/>
          <w:iCs/>
          <w:color w:val="000000"/>
          <w:kern w:val="0"/>
          <w:sz w:val="24"/>
          <w:szCs w:val="24"/>
          <w:lang w:eastAsia="zh-CN"/>
        </w:rPr>
        <w:t>Lancet</w:t>
      </w:r>
      <w:r w:rsidRPr="00F40A26">
        <w:rPr>
          <w:rFonts w:ascii="Book Antiqua" w:eastAsia="宋体" w:hAnsi="Book Antiqua" w:cs="宋体"/>
          <w:color w:val="000000"/>
          <w:kern w:val="0"/>
          <w:sz w:val="24"/>
          <w:szCs w:val="24"/>
          <w:lang w:eastAsia="zh-CN"/>
        </w:rPr>
        <w:t> 2003; </w:t>
      </w:r>
      <w:r w:rsidRPr="00F40A26">
        <w:rPr>
          <w:rFonts w:ascii="Book Antiqua" w:eastAsia="宋体" w:hAnsi="Book Antiqua" w:cs="宋体"/>
          <w:b/>
          <w:bCs/>
          <w:color w:val="000000"/>
          <w:kern w:val="0"/>
          <w:sz w:val="24"/>
          <w:szCs w:val="24"/>
          <w:lang w:eastAsia="zh-CN"/>
        </w:rPr>
        <w:t>362</w:t>
      </w:r>
      <w:r w:rsidRPr="00F40A26">
        <w:rPr>
          <w:rFonts w:ascii="Book Antiqua" w:eastAsia="宋体" w:hAnsi="Book Antiqua" w:cs="宋体"/>
          <w:color w:val="000000"/>
          <w:kern w:val="0"/>
          <w:sz w:val="24"/>
          <w:szCs w:val="24"/>
          <w:lang w:eastAsia="zh-CN"/>
        </w:rPr>
        <w:t>: 1907-1917 [PMID: 14667750 DOI: 10.1016/S0140-6736(03)14964-1]</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4 </w:t>
      </w:r>
      <w:r w:rsidRPr="00F40A26">
        <w:rPr>
          <w:rFonts w:ascii="Book Antiqua" w:eastAsia="宋体" w:hAnsi="Book Antiqua" w:cs="宋体"/>
          <w:b/>
          <w:bCs/>
          <w:color w:val="000000"/>
          <w:kern w:val="0"/>
          <w:sz w:val="24"/>
          <w:szCs w:val="24"/>
          <w:lang w:eastAsia="zh-CN"/>
        </w:rPr>
        <w:t>Cabrera R</w:t>
      </w:r>
      <w:r w:rsidRPr="00F40A26">
        <w:rPr>
          <w:rFonts w:ascii="Book Antiqua" w:eastAsia="宋体" w:hAnsi="Book Antiqua" w:cs="宋体"/>
          <w:color w:val="000000"/>
          <w:kern w:val="0"/>
          <w:sz w:val="24"/>
          <w:szCs w:val="24"/>
          <w:lang w:eastAsia="zh-CN"/>
        </w:rPr>
        <w:t>, Nelson DR. Review article: the management of hepatocellular carcinoma. </w:t>
      </w:r>
      <w:r w:rsidRPr="00F40A26">
        <w:rPr>
          <w:rFonts w:ascii="Book Antiqua" w:eastAsia="宋体" w:hAnsi="Book Antiqua" w:cs="宋体"/>
          <w:i/>
          <w:iCs/>
          <w:color w:val="000000"/>
          <w:kern w:val="0"/>
          <w:sz w:val="24"/>
          <w:szCs w:val="24"/>
          <w:lang w:eastAsia="zh-CN"/>
        </w:rPr>
        <w:t>Aliment Pharmacol Ther</w:t>
      </w:r>
      <w:r w:rsidRPr="00F40A26">
        <w:rPr>
          <w:rFonts w:ascii="Book Antiqua" w:eastAsia="宋体" w:hAnsi="Book Antiqua" w:cs="宋体"/>
          <w:color w:val="000000"/>
          <w:kern w:val="0"/>
          <w:sz w:val="24"/>
          <w:szCs w:val="24"/>
          <w:lang w:eastAsia="zh-CN"/>
        </w:rPr>
        <w:t> 2010; </w:t>
      </w:r>
      <w:r w:rsidRPr="00F40A26">
        <w:rPr>
          <w:rFonts w:ascii="Book Antiqua" w:eastAsia="宋体" w:hAnsi="Book Antiqua" w:cs="宋体"/>
          <w:b/>
          <w:bCs/>
          <w:color w:val="000000"/>
          <w:kern w:val="0"/>
          <w:sz w:val="24"/>
          <w:szCs w:val="24"/>
          <w:lang w:eastAsia="zh-CN"/>
        </w:rPr>
        <w:t>31</w:t>
      </w:r>
      <w:r w:rsidRPr="00F40A26">
        <w:rPr>
          <w:rFonts w:ascii="Book Antiqua" w:eastAsia="宋体" w:hAnsi="Book Antiqua" w:cs="宋体"/>
          <w:color w:val="000000"/>
          <w:kern w:val="0"/>
          <w:sz w:val="24"/>
          <w:szCs w:val="24"/>
          <w:lang w:eastAsia="zh-CN"/>
        </w:rPr>
        <w:t>: 461-476 [PMID: 19925500 DOI: 10.1111/j.1365-2036.2009.04200.x]</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5 </w:t>
      </w:r>
      <w:r w:rsidRPr="00F40A26">
        <w:rPr>
          <w:rFonts w:ascii="Book Antiqua" w:eastAsia="宋体" w:hAnsi="Book Antiqua" w:cs="宋体"/>
          <w:b/>
          <w:bCs/>
          <w:color w:val="000000"/>
          <w:kern w:val="0"/>
          <w:sz w:val="24"/>
          <w:szCs w:val="24"/>
          <w:lang w:eastAsia="zh-CN"/>
        </w:rPr>
        <w:t>Llovet JM</w:t>
      </w:r>
      <w:r w:rsidRPr="00F40A26">
        <w:rPr>
          <w:rFonts w:ascii="Book Antiqua" w:eastAsia="宋体" w:hAnsi="Book Antiqua" w:cs="宋体"/>
          <w:color w:val="000000"/>
          <w:kern w:val="0"/>
          <w:sz w:val="24"/>
          <w:szCs w:val="24"/>
          <w:lang w:eastAsia="zh-CN"/>
        </w:rPr>
        <w:t>, Ricci S, Mazzaferro V, Hilgard P, Gane E, Blanc JF, de Oliveira AC, Santoro A, Raoul JL, Forner A, Schwartz M, Porta C, Zeuzem S, Bolondi L, Greten TF, Galle PR, Seitz JF, Borbath I, Häussinger D, Giannaris T, Shan M, Moscovici M, Voliotis D, Bruix J. Sorafenib in advanced hepatocellular carcinoma. </w:t>
      </w:r>
      <w:r w:rsidRPr="00F40A26">
        <w:rPr>
          <w:rFonts w:ascii="Book Antiqua" w:eastAsia="宋体" w:hAnsi="Book Antiqua" w:cs="宋体"/>
          <w:i/>
          <w:iCs/>
          <w:color w:val="000000"/>
          <w:kern w:val="0"/>
          <w:sz w:val="24"/>
          <w:szCs w:val="24"/>
          <w:lang w:eastAsia="zh-CN"/>
        </w:rPr>
        <w:t>N Engl J Med</w:t>
      </w:r>
      <w:r w:rsidRPr="00F40A26">
        <w:rPr>
          <w:rFonts w:ascii="Book Antiqua" w:eastAsia="宋体" w:hAnsi="Book Antiqua" w:cs="宋体"/>
          <w:color w:val="000000"/>
          <w:kern w:val="0"/>
          <w:sz w:val="24"/>
          <w:szCs w:val="24"/>
          <w:lang w:eastAsia="zh-CN"/>
        </w:rPr>
        <w:t> 2008; </w:t>
      </w:r>
      <w:r w:rsidRPr="00F40A26">
        <w:rPr>
          <w:rFonts w:ascii="Book Antiqua" w:eastAsia="宋体" w:hAnsi="Book Antiqua" w:cs="宋体"/>
          <w:b/>
          <w:bCs/>
          <w:color w:val="000000"/>
          <w:kern w:val="0"/>
          <w:sz w:val="24"/>
          <w:szCs w:val="24"/>
          <w:lang w:eastAsia="zh-CN"/>
        </w:rPr>
        <w:t>359</w:t>
      </w:r>
      <w:r w:rsidRPr="00F40A26">
        <w:rPr>
          <w:rFonts w:ascii="Book Antiqua" w:eastAsia="宋体" w:hAnsi="Book Antiqua" w:cs="宋体"/>
          <w:color w:val="000000"/>
          <w:kern w:val="0"/>
          <w:sz w:val="24"/>
          <w:szCs w:val="24"/>
          <w:lang w:eastAsia="zh-CN"/>
        </w:rPr>
        <w:t>: 378-390 [PMID: 18650514 DOI: 10.1056/NEJMoa0708857]</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6 </w:t>
      </w:r>
      <w:r w:rsidRPr="00F40A26">
        <w:rPr>
          <w:rFonts w:ascii="Book Antiqua" w:eastAsia="宋体" w:hAnsi="Book Antiqua" w:cs="宋体"/>
          <w:b/>
          <w:bCs/>
          <w:color w:val="000000"/>
          <w:kern w:val="0"/>
          <w:sz w:val="24"/>
          <w:szCs w:val="24"/>
          <w:lang w:eastAsia="zh-CN"/>
        </w:rPr>
        <w:t>Llovet JM</w:t>
      </w:r>
      <w:r w:rsidRPr="00F40A26">
        <w:rPr>
          <w:rFonts w:ascii="Book Antiqua" w:eastAsia="宋体" w:hAnsi="Book Antiqua" w:cs="宋体"/>
          <w:color w:val="000000"/>
          <w:kern w:val="0"/>
          <w:sz w:val="24"/>
          <w:szCs w:val="24"/>
          <w:lang w:eastAsia="zh-CN"/>
        </w:rPr>
        <w:t>, Real MI, Montaña X, Planas R, Coll S, Aponte J, Ayuso C, Sala M, Muchart J, Solà R, Rodés J, Bruix J. Arterial embolisation or chemoembolisation versus symptomatic treatment in patients with unresectable hepatocellular carcinoma: a randomised controlled trial. </w:t>
      </w:r>
      <w:r w:rsidRPr="00F40A26">
        <w:rPr>
          <w:rFonts w:ascii="Book Antiqua" w:eastAsia="宋体" w:hAnsi="Book Antiqua" w:cs="宋体"/>
          <w:i/>
          <w:iCs/>
          <w:color w:val="000000"/>
          <w:kern w:val="0"/>
          <w:sz w:val="24"/>
          <w:szCs w:val="24"/>
          <w:lang w:eastAsia="zh-CN"/>
        </w:rPr>
        <w:t>Lancet</w:t>
      </w:r>
      <w:r w:rsidRPr="00F40A26">
        <w:rPr>
          <w:rFonts w:ascii="Book Antiqua" w:eastAsia="宋体" w:hAnsi="Book Antiqua" w:cs="宋体"/>
          <w:color w:val="000000"/>
          <w:kern w:val="0"/>
          <w:sz w:val="24"/>
          <w:szCs w:val="24"/>
          <w:lang w:eastAsia="zh-CN"/>
        </w:rPr>
        <w:t> 2002; </w:t>
      </w:r>
      <w:r w:rsidRPr="00F40A26">
        <w:rPr>
          <w:rFonts w:ascii="Book Antiqua" w:eastAsia="宋体" w:hAnsi="Book Antiqua" w:cs="宋体"/>
          <w:b/>
          <w:bCs/>
          <w:color w:val="000000"/>
          <w:kern w:val="0"/>
          <w:sz w:val="24"/>
          <w:szCs w:val="24"/>
          <w:lang w:eastAsia="zh-CN"/>
        </w:rPr>
        <w:t>359</w:t>
      </w:r>
      <w:r w:rsidRPr="00F40A26">
        <w:rPr>
          <w:rFonts w:ascii="Book Antiqua" w:eastAsia="宋体" w:hAnsi="Book Antiqua" w:cs="宋体"/>
          <w:color w:val="000000"/>
          <w:kern w:val="0"/>
          <w:sz w:val="24"/>
          <w:szCs w:val="24"/>
          <w:lang w:eastAsia="zh-CN"/>
        </w:rPr>
        <w:t>: 1734-1739 [PMID: 12049862 DOI: 10.1016/S0140-6736(02)08649-X]</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7 </w:t>
      </w:r>
      <w:r w:rsidRPr="00F40A26">
        <w:rPr>
          <w:rFonts w:ascii="Book Antiqua" w:eastAsia="宋体" w:hAnsi="Book Antiqua" w:cs="宋体"/>
          <w:b/>
          <w:bCs/>
          <w:color w:val="000000"/>
          <w:kern w:val="0"/>
          <w:sz w:val="24"/>
          <w:szCs w:val="24"/>
          <w:lang w:eastAsia="zh-CN"/>
        </w:rPr>
        <w:t>Lo CM</w:t>
      </w:r>
      <w:r w:rsidRPr="00F40A26">
        <w:rPr>
          <w:rFonts w:ascii="Book Antiqua" w:eastAsia="宋体" w:hAnsi="Book Antiqua" w:cs="宋体"/>
          <w:color w:val="000000"/>
          <w:kern w:val="0"/>
          <w:sz w:val="24"/>
          <w:szCs w:val="24"/>
          <w:lang w:eastAsia="zh-CN"/>
        </w:rPr>
        <w:t>, Ngan H, Tso WK, Liu CL, Lam CM, Poon RT, Fan ST, Wong J. Randomized controlled trial of transarterial lipiodol chemoembolization for unresectable hepatocellular carcinoma. </w:t>
      </w:r>
      <w:r w:rsidRPr="00F40A26">
        <w:rPr>
          <w:rFonts w:ascii="Book Antiqua" w:eastAsia="宋体" w:hAnsi="Book Antiqua" w:cs="宋体"/>
          <w:i/>
          <w:iCs/>
          <w:color w:val="000000"/>
          <w:kern w:val="0"/>
          <w:sz w:val="24"/>
          <w:szCs w:val="24"/>
          <w:lang w:eastAsia="zh-CN"/>
        </w:rPr>
        <w:t>Hepatology</w:t>
      </w:r>
      <w:r w:rsidRPr="00F40A26">
        <w:rPr>
          <w:rFonts w:ascii="Book Antiqua" w:eastAsia="宋体" w:hAnsi="Book Antiqua" w:cs="宋体"/>
          <w:color w:val="000000"/>
          <w:kern w:val="0"/>
          <w:sz w:val="24"/>
          <w:szCs w:val="24"/>
          <w:lang w:eastAsia="zh-CN"/>
        </w:rPr>
        <w:t> 2002; </w:t>
      </w:r>
      <w:r w:rsidRPr="00F40A26">
        <w:rPr>
          <w:rFonts w:ascii="Book Antiqua" w:eastAsia="宋体" w:hAnsi="Book Antiqua" w:cs="宋体"/>
          <w:b/>
          <w:bCs/>
          <w:color w:val="000000"/>
          <w:kern w:val="0"/>
          <w:sz w:val="24"/>
          <w:szCs w:val="24"/>
          <w:lang w:eastAsia="zh-CN"/>
        </w:rPr>
        <w:t>35</w:t>
      </w:r>
      <w:r w:rsidRPr="00F40A26">
        <w:rPr>
          <w:rFonts w:ascii="Book Antiqua" w:eastAsia="宋体" w:hAnsi="Book Antiqua" w:cs="宋体"/>
          <w:color w:val="000000"/>
          <w:kern w:val="0"/>
          <w:sz w:val="24"/>
          <w:szCs w:val="24"/>
          <w:lang w:eastAsia="zh-CN"/>
        </w:rPr>
        <w:t>: 1164-1171 [PMID: 11981766 DOI: 10.1053/jhep.2002.33156]</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8 </w:t>
      </w:r>
      <w:r w:rsidRPr="00F40A26">
        <w:rPr>
          <w:rFonts w:ascii="Book Antiqua" w:eastAsia="宋体" w:hAnsi="Book Antiqua" w:cs="宋体"/>
          <w:b/>
          <w:bCs/>
          <w:color w:val="000000"/>
          <w:kern w:val="0"/>
          <w:sz w:val="24"/>
          <w:szCs w:val="24"/>
          <w:lang w:eastAsia="zh-CN"/>
        </w:rPr>
        <w:t>Cammà C</w:t>
      </w:r>
      <w:r w:rsidRPr="00F40A26">
        <w:rPr>
          <w:rFonts w:ascii="Book Antiqua" w:eastAsia="宋体" w:hAnsi="Book Antiqua" w:cs="宋体"/>
          <w:color w:val="000000"/>
          <w:kern w:val="0"/>
          <w:sz w:val="24"/>
          <w:szCs w:val="24"/>
          <w:lang w:eastAsia="zh-CN"/>
        </w:rPr>
        <w:t>, Schepis F, Orlando A, Albanese M, Shahied L, Trevisani F, Andreone P, Craxì A, Cottone M. Transarterial chemoembolization for unresectable hepatocellular carcinoma: meta-analysis of randomized controlled trials.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2002; </w:t>
      </w:r>
      <w:r w:rsidRPr="00F40A26">
        <w:rPr>
          <w:rFonts w:ascii="Book Antiqua" w:eastAsia="宋体" w:hAnsi="Book Antiqua" w:cs="宋体"/>
          <w:b/>
          <w:bCs/>
          <w:color w:val="000000"/>
          <w:kern w:val="0"/>
          <w:sz w:val="24"/>
          <w:szCs w:val="24"/>
          <w:lang w:eastAsia="zh-CN"/>
        </w:rPr>
        <w:t>224</w:t>
      </w:r>
      <w:r w:rsidRPr="00F40A26">
        <w:rPr>
          <w:rFonts w:ascii="Book Antiqua" w:eastAsia="宋体" w:hAnsi="Book Antiqua" w:cs="宋体"/>
          <w:color w:val="000000"/>
          <w:kern w:val="0"/>
          <w:sz w:val="24"/>
          <w:szCs w:val="24"/>
          <w:lang w:eastAsia="zh-CN"/>
        </w:rPr>
        <w:t>: 47-54 [PMID: 12091661 DOI: 10.1148/radiol.2241011262]</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9 </w:t>
      </w:r>
      <w:r w:rsidRPr="00F40A26">
        <w:rPr>
          <w:rFonts w:ascii="Book Antiqua" w:eastAsia="宋体" w:hAnsi="Book Antiqua" w:cs="宋体"/>
          <w:b/>
          <w:bCs/>
          <w:color w:val="000000"/>
          <w:kern w:val="0"/>
          <w:sz w:val="24"/>
          <w:szCs w:val="24"/>
          <w:lang w:eastAsia="zh-CN"/>
        </w:rPr>
        <w:t>Cheng AL</w:t>
      </w:r>
      <w:r w:rsidRPr="00F40A26">
        <w:rPr>
          <w:rFonts w:ascii="Book Antiqua" w:eastAsia="宋体" w:hAnsi="Book Antiqua" w:cs="宋体"/>
          <w:color w:val="000000"/>
          <w:kern w:val="0"/>
          <w:sz w:val="24"/>
          <w:szCs w:val="24"/>
          <w:lang w:eastAsia="zh-CN"/>
        </w:rPr>
        <w:t xml:space="preserve">, Kang YK, Chen Z, Tsao CJ, Qin S, Kim JS, Luo R, Feng J, Ye S, Yang TS, Xu J, Sun Y, Liang H, Liu J, Wang J, Tak WY, Pan H, Burock K, Zou J, Voliotis D, Guan Z. Efficacy and safety of sorafenib in patients in the Asia-Pacific region with advanced hepatocellular carcinoma: a phase III </w:t>
      </w:r>
      <w:r w:rsidRPr="00F40A26">
        <w:rPr>
          <w:rFonts w:ascii="Book Antiqua" w:eastAsia="宋体" w:hAnsi="Book Antiqua" w:cs="宋体"/>
          <w:color w:val="000000"/>
          <w:kern w:val="0"/>
          <w:sz w:val="24"/>
          <w:szCs w:val="24"/>
          <w:lang w:eastAsia="zh-CN"/>
        </w:rPr>
        <w:lastRenderedPageBreak/>
        <w:t>randomised, double-blind, placebo-controlled trial. </w:t>
      </w:r>
      <w:r w:rsidRPr="00F40A26">
        <w:rPr>
          <w:rFonts w:ascii="Book Antiqua" w:eastAsia="宋体" w:hAnsi="Book Antiqua" w:cs="宋体"/>
          <w:i/>
          <w:iCs/>
          <w:color w:val="000000"/>
          <w:kern w:val="0"/>
          <w:sz w:val="24"/>
          <w:szCs w:val="24"/>
          <w:lang w:eastAsia="zh-CN"/>
        </w:rPr>
        <w:t>Lancet Oncol</w:t>
      </w:r>
      <w:r w:rsidRPr="00F40A26">
        <w:rPr>
          <w:rFonts w:ascii="Book Antiqua" w:eastAsia="宋体" w:hAnsi="Book Antiqua" w:cs="宋体"/>
          <w:color w:val="000000"/>
          <w:kern w:val="0"/>
          <w:sz w:val="24"/>
          <w:szCs w:val="24"/>
          <w:lang w:eastAsia="zh-CN"/>
        </w:rPr>
        <w:t> 2009; </w:t>
      </w:r>
      <w:r w:rsidRPr="00F40A26">
        <w:rPr>
          <w:rFonts w:ascii="Book Antiqua" w:eastAsia="宋体" w:hAnsi="Book Antiqua" w:cs="宋体"/>
          <w:b/>
          <w:bCs/>
          <w:color w:val="000000"/>
          <w:kern w:val="0"/>
          <w:sz w:val="24"/>
          <w:szCs w:val="24"/>
          <w:lang w:eastAsia="zh-CN"/>
        </w:rPr>
        <w:t>10</w:t>
      </w:r>
      <w:r w:rsidRPr="00F40A26">
        <w:rPr>
          <w:rFonts w:ascii="Book Antiqua" w:eastAsia="宋体" w:hAnsi="Book Antiqua" w:cs="宋体"/>
          <w:color w:val="000000"/>
          <w:kern w:val="0"/>
          <w:sz w:val="24"/>
          <w:szCs w:val="24"/>
          <w:lang w:eastAsia="zh-CN"/>
        </w:rPr>
        <w:t>: 25-34 [PMID: 19095497 DOI: 10.1016/S1470-2045(08)70285-7]</w:t>
      </w:r>
    </w:p>
    <w:p w:rsidR="00F40A26" w:rsidRPr="00F40A26" w:rsidRDefault="0002539E" w:rsidP="00F40A26">
      <w:pPr>
        <w:widowControl/>
        <w:jc w:val="left"/>
        <w:rPr>
          <w:rFonts w:ascii="Book Antiqua" w:eastAsia="宋体" w:hAnsi="Book Antiqua" w:cs="宋体"/>
          <w:color w:val="000000"/>
          <w:kern w:val="0"/>
          <w:sz w:val="24"/>
          <w:szCs w:val="24"/>
          <w:lang w:eastAsia="zh-CN"/>
        </w:rPr>
      </w:pPr>
      <w:r>
        <w:rPr>
          <w:rFonts w:ascii="Book Antiqua" w:eastAsia="宋体" w:hAnsi="Book Antiqua" w:cs="宋体"/>
          <w:color w:val="000000"/>
          <w:kern w:val="0"/>
          <w:sz w:val="24"/>
          <w:szCs w:val="24"/>
          <w:lang w:eastAsia="zh-CN"/>
        </w:rPr>
        <w:t xml:space="preserve">10 </w:t>
      </w:r>
      <w:r w:rsidR="00F40A26" w:rsidRPr="00F40A26">
        <w:rPr>
          <w:rFonts w:ascii="Book Antiqua" w:eastAsia="宋体" w:hAnsi="Book Antiqua" w:cs="宋体"/>
          <w:color w:val="000000"/>
          <w:kern w:val="0"/>
          <w:sz w:val="24"/>
          <w:szCs w:val="24"/>
          <w:lang w:eastAsia="zh-CN"/>
        </w:rPr>
        <w:t>EASL-EORTC clinical practice guidelines: management of hepatocellular carcinoma. </w:t>
      </w:r>
      <w:r w:rsidR="00F40A26" w:rsidRPr="00F40A26">
        <w:rPr>
          <w:rFonts w:ascii="Book Antiqua" w:eastAsia="宋体" w:hAnsi="Book Antiqua" w:cs="宋体"/>
          <w:i/>
          <w:iCs/>
          <w:color w:val="000000"/>
          <w:kern w:val="0"/>
          <w:sz w:val="24"/>
          <w:szCs w:val="24"/>
          <w:lang w:eastAsia="zh-CN"/>
        </w:rPr>
        <w:t>J Hepatol</w:t>
      </w:r>
      <w:r w:rsidR="00F40A26" w:rsidRPr="00F40A26">
        <w:rPr>
          <w:rFonts w:ascii="Book Antiqua" w:eastAsia="宋体" w:hAnsi="Book Antiqua" w:cs="宋体"/>
          <w:color w:val="000000"/>
          <w:kern w:val="0"/>
          <w:sz w:val="24"/>
          <w:szCs w:val="24"/>
          <w:lang w:eastAsia="zh-CN"/>
        </w:rPr>
        <w:t> 2012; </w:t>
      </w:r>
      <w:r w:rsidR="00F40A26" w:rsidRPr="00F40A26">
        <w:rPr>
          <w:rFonts w:ascii="Book Antiqua" w:eastAsia="宋体" w:hAnsi="Book Antiqua" w:cs="宋体"/>
          <w:b/>
          <w:bCs/>
          <w:color w:val="000000"/>
          <w:kern w:val="0"/>
          <w:sz w:val="24"/>
          <w:szCs w:val="24"/>
          <w:lang w:eastAsia="zh-CN"/>
        </w:rPr>
        <w:t>56</w:t>
      </w:r>
      <w:r w:rsidR="00F40A26" w:rsidRPr="00F40A26">
        <w:rPr>
          <w:rFonts w:ascii="Book Antiqua" w:eastAsia="宋体" w:hAnsi="Book Antiqua" w:cs="宋体"/>
          <w:color w:val="000000"/>
          <w:kern w:val="0"/>
          <w:sz w:val="24"/>
          <w:szCs w:val="24"/>
          <w:lang w:eastAsia="zh-CN"/>
        </w:rPr>
        <w:t>: 908-943 [PMID: 22424438]</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11 </w:t>
      </w:r>
      <w:r w:rsidRPr="00F40A26">
        <w:rPr>
          <w:rFonts w:ascii="Book Antiqua" w:eastAsia="宋体" w:hAnsi="Book Antiqua" w:cs="宋体"/>
          <w:b/>
          <w:bCs/>
          <w:color w:val="000000"/>
          <w:kern w:val="0"/>
          <w:sz w:val="24"/>
          <w:szCs w:val="24"/>
          <w:lang w:eastAsia="zh-CN"/>
        </w:rPr>
        <w:t>Bruix J</w:t>
      </w:r>
      <w:r w:rsidRPr="00F40A26">
        <w:rPr>
          <w:rFonts w:ascii="Book Antiqua" w:eastAsia="宋体" w:hAnsi="Book Antiqua" w:cs="宋体"/>
          <w:color w:val="000000"/>
          <w:kern w:val="0"/>
          <w:sz w:val="24"/>
          <w:szCs w:val="24"/>
          <w:lang w:eastAsia="zh-CN"/>
        </w:rPr>
        <w:t>, Sherman M. Management of hepatocellular carcinoma: an update. </w:t>
      </w:r>
      <w:r w:rsidRPr="00F40A26">
        <w:rPr>
          <w:rFonts w:ascii="Book Antiqua" w:eastAsia="宋体" w:hAnsi="Book Antiqua" w:cs="宋体"/>
          <w:i/>
          <w:iCs/>
          <w:color w:val="000000"/>
          <w:kern w:val="0"/>
          <w:sz w:val="24"/>
          <w:szCs w:val="24"/>
          <w:lang w:eastAsia="zh-CN"/>
        </w:rPr>
        <w:t>Hepatology</w:t>
      </w:r>
      <w:r w:rsidRPr="00F40A26">
        <w:rPr>
          <w:rFonts w:ascii="Book Antiqua" w:eastAsia="宋体" w:hAnsi="Book Antiqua" w:cs="宋体"/>
          <w:color w:val="000000"/>
          <w:kern w:val="0"/>
          <w:sz w:val="24"/>
          <w:szCs w:val="24"/>
          <w:lang w:eastAsia="zh-CN"/>
        </w:rPr>
        <w:t> 2011; </w:t>
      </w:r>
      <w:r w:rsidRPr="00F40A26">
        <w:rPr>
          <w:rFonts w:ascii="Book Antiqua" w:eastAsia="宋体" w:hAnsi="Book Antiqua" w:cs="宋体"/>
          <w:b/>
          <w:bCs/>
          <w:color w:val="000000"/>
          <w:kern w:val="0"/>
          <w:sz w:val="24"/>
          <w:szCs w:val="24"/>
          <w:lang w:eastAsia="zh-CN"/>
        </w:rPr>
        <w:t>53</w:t>
      </w:r>
      <w:r w:rsidRPr="00F40A26">
        <w:rPr>
          <w:rFonts w:ascii="Book Antiqua" w:eastAsia="宋体" w:hAnsi="Book Antiqua" w:cs="宋体"/>
          <w:color w:val="000000"/>
          <w:kern w:val="0"/>
          <w:sz w:val="24"/>
          <w:szCs w:val="24"/>
          <w:lang w:eastAsia="zh-CN"/>
        </w:rPr>
        <w:t>: 1020-1022 [PMID: 21374666 DOI: 10.1002/hep.24199]</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12 </w:t>
      </w:r>
      <w:r w:rsidRPr="00F40A26">
        <w:rPr>
          <w:rFonts w:ascii="Book Antiqua" w:eastAsia="宋体" w:hAnsi="Book Antiqua" w:cs="宋体"/>
          <w:b/>
          <w:bCs/>
          <w:color w:val="000000"/>
          <w:kern w:val="0"/>
          <w:sz w:val="24"/>
          <w:szCs w:val="24"/>
          <w:lang w:eastAsia="zh-CN"/>
        </w:rPr>
        <w:t>Nakamura H</w:t>
      </w:r>
      <w:r w:rsidRPr="00F40A26">
        <w:rPr>
          <w:rFonts w:ascii="Book Antiqua" w:eastAsia="宋体" w:hAnsi="Book Antiqua" w:cs="宋体"/>
          <w:color w:val="000000"/>
          <w:kern w:val="0"/>
          <w:sz w:val="24"/>
          <w:szCs w:val="24"/>
          <w:lang w:eastAsia="zh-CN"/>
        </w:rPr>
        <w:t>, Hashimoto T, Oi H, Sawada S, Furui S, Mizumoto S, Monden M. Treatment of hepatocellular carcinoma by segmental hepatic artery injection of adriamycin-in-oil emulsion with overflow to segmental portal veins. </w:t>
      </w:r>
      <w:r w:rsidRPr="00F40A26">
        <w:rPr>
          <w:rFonts w:ascii="Book Antiqua" w:eastAsia="宋体" w:hAnsi="Book Antiqua" w:cs="宋体"/>
          <w:i/>
          <w:iCs/>
          <w:color w:val="000000"/>
          <w:kern w:val="0"/>
          <w:sz w:val="24"/>
          <w:szCs w:val="24"/>
          <w:lang w:eastAsia="zh-CN"/>
        </w:rPr>
        <w:t>Acta Radiol</w:t>
      </w:r>
      <w:r w:rsidRPr="00F40A26">
        <w:rPr>
          <w:rFonts w:ascii="Book Antiqua" w:eastAsia="宋体" w:hAnsi="Book Antiqua" w:cs="宋体"/>
          <w:color w:val="000000"/>
          <w:kern w:val="0"/>
          <w:sz w:val="24"/>
          <w:szCs w:val="24"/>
          <w:lang w:eastAsia="zh-CN"/>
        </w:rPr>
        <w:t> 1990; </w:t>
      </w:r>
      <w:r w:rsidRPr="00F40A26">
        <w:rPr>
          <w:rFonts w:ascii="Book Antiqua" w:eastAsia="宋体" w:hAnsi="Book Antiqua" w:cs="宋体"/>
          <w:b/>
          <w:bCs/>
          <w:color w:val="000000"/>
          <w:kern w:val="0"/>
          <w:sz w:val="24"/>
          <w:szCs w:val="24"/>
          <w:lang w:eastAsia="zh-CN"/>
        </w:rPr>
        <w:t>31</w:t>
      </w:r>
      <w:r w:rsidRPr="00F40A26">
        <w:rPr>
          <w:rFonts w:ascii="Book Antiqua" w:eastAsia="宋体" w:hAnsi="Book Antiqua" w:cs="宋体"/>
          <w:color w:val="000000"/>
          <w:kern w:val="0"/>
          <w:sz w:val="24"/>
          <w:szCs w:val="24"/>
          <w:lang w:eastAsia="zh-CN"/>
        </w:rPr>
        <w:t>: 347-349 [PMID: 2169828 DOI: 10.3109/02841859009172005]</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13 </w:t>
      </w:r>
      <w:r w:rsidRPr="00F40A26">
        <w:rPr>
          <w:rFonts w:ascii="Book Antiqua" w:eastAsia="宋体" w:hAnsi="Book Antiqua" w:cs="宋体"/>
          <w:b/>
          <w:bCs/>
          <w:color w:val="000000"/>
          <w:kern w:val="0"/>
          <w:sz w:val="24"/>
          <w:szCs w:val="24"/>
          <w:lang w:eastAsia="zh-CN"/>
        </w:rPr>
        <w:t>Nakamura H</w:t>
      </w:r>
      <w:r w:rsidRPr="00F40A26">
        <w:rPr>
          <w:rFonts w:ascii="Book Antiqua" w:eastAsia="宋体" w:hAnsi="Book Antiqua" w:cs="宋体"/>
          <w:color w:val="000000"/>
          <w:kern w:val="0"/>
          <w:sz w:val="24"/>
          <w:szCs w:val="24"/>
          <w:lang w:eastAsia="zh-CN"/>
        </w:rPr>
        <w:t>, Hashimoto T, Oi H, Sawada S. Transcatheter oily chemoembolization of hepatocellular carcinoma.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1989; </w:t>
      </w:r>
      <w:r w:rsidRPr="00F40A26">
        <w:rPr>
          <w:rFonts w:ascii="Book Antiqua" w:eastAsia="宋体" w:hAnsi="Book Antiqua" w:cs="宋体"/>
          <w:b/>
          <w:bCs/>
          <w:color w:val="000000"/>
          <w:kern w:val="0"/>
          <w:sz w:val="24"/>
          <w:szCs w:val="24"/>
          <w:lang w:eastAsia="zh-CN"/>
        </w:rPr>
        <w:t>170</w:t>
      </w:r>
      <w:r w:rsidRPr="00F40A26">
        <w:rPr>
          <w:rFonts w:ascii="Book Antiqua" w:eastAsia="宋体" w:hAnsi="Book Antiqua" w:cs="宋体"/>
          <w:color w:val="000000"/>
          <w:kern w:val="0"/>
          <w:sz w:val="24"/>
          <w:szCs w:val="24"/>
          <w:lang w:eastAsia="zh-CN"/>
        </w:rPr>
        <w:t>: 783-786 [PMID: 2536946 DOI: 10.1148/radiology.170.3.2536946]</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14 </w:t>
      </w:r>
      <w:r w:rsidRPr="00F40A26">
        <w:rPr>
          <w:rFonts w:ascii="Book Antiqua" w:eastAsia="宋体" w:hAnsi="Book Antiqua" w:cs="宋体"/>
          <w:b/>
          <w:bCs/>
          <w:color w:val="000000"/>
          <w:kern w:val="0"/>
          <w:sz w:val="24"/>
          <w:szCs w:val="24"/>
          <w:lang w:eastAsia="zh-CN"/>
        </w:rPr>
        <w:t>Yoshikawa M</w:t>
      </w:r>
      <w:r w:rsidRPr="00F40A26">
        <w:rPr>
          <w:rFonts w:ascii="Book Antiqua" w:eastAsia="宋体" w:hAnsi="Book Antiqua" w:cs="宋体"/>
          <w:color w:val="000000"/>
          <w:kern w:val="0"/>
          <w:sz w:val="24"/>
          <w:szCs w:val="24"/>
          <w:lang w:eastAsia="zh-CN"/>
        </w:rPr>
        <w:t xml:space="preserve">, Saisho H, Ebara M, Iijima T, Iwama S, Endo F, Kimura M, Shimamura Y, Suzuki Y, Nakano T. </w:t>
      </w:r>
      <w:proofErr w:type="gramStart"/>
      <w:r w:rsidRPr="00F40A26">
        <w:rPr>
          <w:rFonts w:ascii="Book Antiqua" w:eastAsia="宋体" w:hAnsi="Book Antiqua" w:cs="宋体"/>
          <w:color w:val="000000"/>
          <w:kern w:val="0"/>
          <w:sz w:val="24"/>
          <w:szCs w:val="24"/>
          <w:lang w:eastAsia="zh-CN"/>
        </w:rPr>
        <w:t>A randomized trial of intrahepatic arterial infusion of 4'-epidoxorubicin with Lipiodol versus 4'-epidoxorubicin alone in the treatment of hepatocellular carcinoma.</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Cancer Chemother Pharmacol</w:t>
      </w:r>
      <w:r w:rsidRPr="00F40A26">
        <w:rPr>
          <w:rFonts w:ascii="Book Antiqua" w:eastAsia="宋体" w:hAnsi="Book Antiqua" w:cs="宋体"/>
          <w:color w:val="000000"/>
          <w:kern w:val="0"/>
          <w:sz w:val="24"/>
          <w:szCs w:val="24"/>
          <w:lang w:eastAsia="zh-CN"/>
        </w:rPr>
        <w:t> 1994; </w:t>
      </w:r>
      <w:r w:rsidRPr="00F40A26">
        <w:rPr>
          <w:rFonts w:ascii="Book Antiqua" w:eastAsia="宋体" w:hAnsi="Book Antiqua" w:cs="宋体"/>
          <w:b/>
          <w:bCs/>
          <w:color w:val="000000"/>
          <w:kern w:val="0"/>
          <w:sz w:val="24"/>
          <w:szCs w:val="24"/>
          <w:lang w:eastAsia="zh-CN"/>
        </w:rPr>
        <w:t>33 Suppl</w:t>
      </w:r>
      <w:r w:rsidRPr="00F40A26">
        <w:rPr>
          <w:rFonts w:ascii="Book Antiqua" w:eastAsia="宋体" w:hAnsi="Book Antiqua" w:cs="宋体"/>
          <w:color w:val="000000"/>
          <w:kern w:val="0"/>
          <w:sz w:val="24"/>
          <w:szCs w:val="24"/>
          <w:lang w:eastAsia="zh-CN"/>
        </w:rPr>
        <w:t>: S149-S152 [PMID: 8137478 DOI: 10.1007/BF00686689]</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15 </w:t>
      </w:r>
      <w:r w:rsidRPr="00F40A26">
        <w:rPr>
          <w:rFonts w:ascii="Book Antiqua" w:eastAsia="宋体" w:hAnsi="Book Antiqua" w:cs="宋体"/>
          <w:b/>
          <w:bCs/>
          <w:color w:val="000000"/>
          <w:kern w:val="0"/>
          <w:sz w:val="24"/>
          <w:szCs w:val="24"/>
          <w:lang w:eastAsia="zh-CN"/>
        </w:rPr>
        <w:t>Yoon CJ</w:t>
      </w:r>
      <w:r w:rsidRPr="00F40A26">
        <w:rPr>
          <w:rFonts w:ascii="Book Antiqua" w:eastAsia="宋体" w:hAnsi="Book Antiqua" w:cs="宋体"/>
          <w:color w:val="000000"/>
          <w:kern w:val="0"/>
          <w:sz w:val="24"/>
          <w:szCs w:val="24"/>
          <w:lang w:eastAsia="zh-CN"/>
        </w:rPr>
        <w:t>, Chung JW, Park JH, Yoon YH, Lee JW, Jeong SY, Chung H. Transcatheter arterial chemoembolization with paclitaxel-lipiodol solution in rabbit VX2 liver tumor.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2003; </w:t>
      </w:r>
      <w:r w:rsidRPr="00F40A26">
        <w:rPr>
          <w:rFonts w:ascii="Book Antiqua" w:eastAsia="宋体" w:hAnsi="Book Antiqua" w:cs="宋体"/>
          <w:b/>
          <w:bCs/>
          <w:color w:val="000000"/>
          <w:kern w:val="0"/>
          <w:sz w:val="24"/>
          <w:szCs w:val="24"/>
          <w:lang w:eastAsia="zh-CN"/>
        </w:rPr>
        <w:t>229</w:t>
      </w:r>
      <w:r w:rsidRPr="00F40A26">
        <w:rPr>
          <w:rFonts w:ascii="Book Antiqua" w:eastAsia="宋体" w:hAnsi="Book Antiqua" w:cs="宋体"/>
          <w:color w:val="000000"/>
          <w:kern w:val="0"/>
          <w:sz w:val="24"/>
          <w:szCs w:val="24"/>
          <w:lang w:eastAsia="zh-CN"/>
        </w:rPr>
        <w:t>: 126-131 [PMID: 12944599 DOI: 10.1148/radiol.2291021029]</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16 </w:t>
      </w:r>
      <w:r w:rsidRPr="00F40A26">
        <w:rPr>
          <w:rFonts w:ascii="Book Antiqua" w:eastAsia="宋体" w:hAnsi="Book Antiqua" w:cs="宋体"/>
          <w:b/>
          <w:bCs/>
          <w:color w:val="000000"/>
          <w:kern w:val="0"/>
          <w:sz w:val="24"/>
          <w:szCs w:val="24"/>
          <w:lang w:eastAsia="zh-CN"/>
        </w:rPr>
        <w:t>Takayasu K</w:t>
      </w:r>
      <w:r w:rsidRPr="00F40A26">
        <w:rPr>
          <w:rFonts w:ascii="Book Antiqua" w:eastAsia="宋体" w:hAnsi="Book Antiqua" w:cs="宋体"/>
          <w:color w:val="000000"/>
          <w:kern w:val="0"/>
          <w:sz w:val="24"/>
          <w:szCs w:val="24"/>
          <w:lang w:eastAsia="zh-CN"/>
        </w:rPr>
        <w:t>, Shima Y, Muramatsu Y, Moriyama N, Yamada T, Makuuchi M, Hasegawa H, Hirohashi S. Hepatocellular carcinoma: treatment with intraarterial iodized oil with and without chemotherapeutic agents.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1987; </w:t>
      </w:r>
      <w:r w:rsidRPr="00F40A26">
        <w:rPr>
          <w:rFonts w:ascii="Book Antiqua" w:eastAsia="宋体" w:hAnsi="Book Antiqua" w:cs="宋体"/>
          <w:b/>
          <w:bCs/>
          <w:color w:val="000000"/>
          <w:kern w:val="0"/>
          <w:sz w:val="24"/>
          <w:szCs w:val="24"/>
          <w:lang w:eastAsia="zh-CN"/>
        </w:rPr>
        <w:t>163</w:t>
      </w:r>
      <w:r w:rsidRPr="00F40A26">
        <w:rPr>
          <w:rFonts w:ascii="Book Antiqua" w:eastAsia="宋体" w:hAnsi="Book Antiqua" w:cs="宋体"/>
          <w:color w:val="000000"/>
          <w:kern w:val="0"/>
          <w:sz w:val="24"/>
          <w:szCs w:val="24"/>
          <w:lang w:eastAsia="zh-CN"/>
        </w:rPr>
        <w:t>: 345-351 [PMID: 3031724 DOI: 10.1148/radiology.163.2.3031724]</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17 </w:t>
      </w:r>
      <w:r w:rsidRPr="00F40A26">
        <w:rPr>
          <w:rFonts w:ascii="Book Antiqua" w:eastAsia="宋体" w:hAnsi="Book Antiqua" w:cs="宋体"/>
          <w:b/>
          <w:bCs/>
          <w:color w:val="000000"/>
          <w:kern w:val="0"/>
          <w:sz w:val="24"/>
          <w:szCs w:val="24"/>
          <w:lang w:eastAsia="zh-CN"/>
        </w:rPr>
        <w:t>Berger DH</w:t>
      </w:r>
      <w:r w:rsidRPr="00F40A26">
        <w:rPr>
          <w:rFonts w:ascii="Book Antiqua" w:eastAsia="宋体" w:hAnsi="Book Antiqua" w:cs="宋体"/>
          <w:color w:val="000000"/>
          <w:kern w:val="0"/>
          <w:sz w:val="24"/>
          <w:szCs w:val="24"/>
          <w:lang w:eastAsia="zh-CN"/>
        </w:rPr>
        <w:t>, Carrasco CH, Hohn DC, Curley SA. Hepatic artery chemoembolization or embolization for primary and metastatic liver tumors: post-treatment management and complications. </w:t>
      </w:r>
      <w:r w:rsidRPr="00F40A26">
        <w:rPr>
          <w:rFonts w:ascii="Book Antiqua" w:eastAsia="宋体" w:hAnsi="Book Antiqua" w:cs="宋体"/>
          <w:i/>
          <w:iCs/>
          <w:color w:val="000000"/>
          <w:kern w:val="0"/>
          <w:sz w:val="24"/>
          <w:szCs w:val="24"/>
          <w:lang w:eastAsia="zh-CN"/>
        </w:rPr>
        <w:t>J Surg Oncol</w:t>
      </w:r>
      <w:r w:rsidRPr="00F40A26">
        <w:rPr>
          <w:rFonts w:ascii="Book Antiqua" w:eastAsia="宋体" w:hAnsi="Book Antiqua" w:cs="宋体"/>
          <w:color w:val="000000"/>
          <w:kern w:val="0"/>
          <w:sz w:val="24"/>
          <w:szCs w:val="24"/>
          <w:lang w:eastAsia="zh-CN"/>
        </w:rPr>
        <w:t> 1995; </w:t>
      </w:r>
      <w:r w:rsidRPr="00F40A26">
        <w:rPr>
          <w:rFonts w:ascii="Book Antiqua" w:eastAsia="宋体" w:hAnsi="Book Antiqua" w:cs="宋体"/>
          <w:b/>
          <w:bCs/>
          <w:color w:val="000000"/>
          <w:kern w:val="0"/>
          <w:sz w:val="24"/>
          <w:szCs w:val="24"/>
          <w:lang w:eastAsia="zh-CN"/>
        </w:rPr>
        <w:t>60</w:t>
      </w:r>
      <w:r w:rsidRPr="00F40A26">
        <w:rPr>
          <w:rFonts w:ascii="Book Antiqua" w:eastAsia="宋体" w:hAnsi="Book Antiqua" w:cs="宋体"/>
          <w:color w:val="000000"/>
          <w:kern w:val="0"/>
          <w:sz w:val="24"/>
          <w:szCs w:val="24"/>
          <w:lang w:eastAsia="zh-CN"/>
        </w:rPr>
        <w:t>: 116-121 [PMID: 7564377 DOI: 10.1002/jso.2930600210]</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18 </w:t>
      </w:r>
      <w:r w:rsidRPr="00F40A26">
        <w:rPr>
          <w:rFonts w:ascii="Book Antiqua" w:eastAsia="宋体" w:hAnsi="Book Antiqua" w:cs="宋体"/>
          <w:b/>
          <w:bCs/>
          <w:color w:val="000000"/>
          <w:kern w:val="0"/>
          <w:sz w:val="24"/>
          <w:szCs w:val="24"/>
          <w:lang w:eastAsia="zh-CN"/>
        </w:rPr>
        <w:t>Farinati F</w:t>
      </w:r>
      <w:r w:rsidRPr="00F40A26">
        <w:rPr>
          <w:rFonts w:ascii="Book Antiqua" w:eastAsia="宋体" w:hAnsi="Book Antiqua" w:cs="宋体"/>
          <w:color w:val="000000"/>
          <w:kern w:val="0"/>
          <w:sz w:val="24"/>
          <w:szCs w:val="24"/>
          <w:lang w:eastAsia="zh-CN"/>
        </w:rPr>
        <w:t xml:space="preserve">, De Maria N, Marafin C, Herszènyi L, Del Prato S, Rinaldi M, Perini L, Cardin R, Naccarato R. Unresectable hepatocellular carcinoma in cirrhosis: survival, prognostic factors, and unexpected side effects after </w:t>
      </w:r>
      <w:r w:rsidRPr="00F40A26">
        <w:rPr>
          <w:rFonts w:ascii="Book Antiqua" w:eastAsia="宋体" w:hAnsi="Book Antiqua" w:cs="宋体"/>
          <w:color w:val="000000"/>
          <w:kern w:val="0"/>
          <w:sz w:val="24"/>
          <w:szCs w:val="24"/>
          <w:lang w:eastAsia="zh-CN"/>
        </w:rPr>
        <w:lastRenderedPageBreak/>
        <w:t>transcatheter arterial chemoembolization. </w:t>
      </w:r>
      <w:r w:rsidRPr="00F40A26">
        <w:rPr>
          <w:rFonts w:ascii="Book Antiqua" w:eastAsia="宋体" w:hAnsi="Book Antiqua" w:cs="宋体"/>
          <w:i/>
          <w:iCs/>
          <w:color w:val="000000"/>
          <w:kern w:val="0"/>
          <w:sz w:val="24"/>
          <w:szCs w:val="24"/>
          <w:lang w:eastAsia="zh-CN"/>
        </w:rPr>
        <w:t>Dig Dis Sci</w:t>
      </w:r>
      <w:r w:rsidRPr="00F40A26">
        <w:rPr>
          <w:rFonts w:ascii="Book Antiqua" w:eastAsia="宋体" w:hAnsi="Book Antiqua" w:cs="宋体"/>
          <w:color w:val="000000"/>
          <w:kern w:val="0"/>
          <w:sz w:val="24"/>
          <w:szCs w:val="24"/>
          <w:lang w:eastAsia="zh-CN"/>
        </w:rPr>
        <w:t> 1996; </w:t>
      </w:r>
      <w:r w:rsidRPr="00F40A26">
        <w:rPr>
          <w:rFonts w:ascii="Book Antiqua" w:eastAsia="宋体" w:hAnsi="Book Antiqua" w:cs="宋体"/>
          <w:b/>
          <w:bCs/>
          <w:color w:val="000000"/>
          <w:kern w:val="0"/>
          <w:sz w:val="24"/>
          <w:szCs w:val="24"/>
          <w:lang w:eastAsia="zh-CN"/>
        </w:rPr>
        <w:t>41</w:t>
      </w:r>
      <w:r w:rsidRPr="00F40A26">
        <w:rPr>
          <w:rFonts w:ascii="Book Antiqua" w:eastAsia="宋体" w:hAnsi="Book Antiqua" w:cs="宋体"/>
          <w:color w:val="000000"/>
          <w:kern w:val="0"/>
          <w:sz w:val="24"/>
          <w:szCs w:val="24"/>
          <w:lang w:eastAsia="zh-CN"/>
        </w:rPr>
        <w:t>: 2332-2339 [PMID: 9011438 DOI: 10.1007/BF02100123]</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19 </w:t>
      </w:r>
      <w:r w:rsidRPr="00F40A26">
        <w:rPr>
          <w:rFonts w:ascii="Book Antiqua" w:eastAsia="宋体" w:hAnsi="Book Antiqua" w:cs="宋体"/>
          <w:b/>
          <w:bCs/>
          <w:color w:val="000000"/>
          <w:kern w:val="0"/>
          <w:sz w:val="24"/>
          <w:szCs w:val="24"/>
          <w:lang w:eastAsia="zh-CN"/>
        </w:rPr>
        <w:t>Okuda K</w:t>
      </w:r>
      <w:r w:rsidRPr="00F40A26">
        <w:rPr>
          <w:rFonts w:ascii="Book Antiqua" w:eastAsia="宋体" w:hAnsi="Book Antiqua" w:cs="宋体"/>
          <w:color w:val="000000"/>
          <w:kern w:val="0"/>
          <w:sz w:val="24"/>
          <w:szCs w:val="24"/>
          <w:lang w:eastAsia="zh-CN"/>
        </w:rPr>
        <w:t>, Obata H, Nakajima Y, Ohtsuki T, Okazaki N, Ohnishi K. Prognosis of primary hepatocellular carcinoma. </w:t>
      </w:r>
      <w:r w:rsidRPr="00F40A26">
        <w:rPr>
          <w:rFonts w:ascii="Book Antiqua" w:eastAsia="宋体" w:hAnsi="Book Antiqua" w:cs="宋体"/>
          <w:i/>
          <w:iCs/>
          <w:color w:val="000000"/>
          <w:kern w:val="0"/>
          <w:sz w:val="24"/>
          <w:szCs w:val="24"/>
          <w:lang w:eastAsia="zh-CN"/>
        </w:rPr>
        <w:t>Hepatology</w:t>
      </w:r>
      <w:r w:rsidRPr="00F40A26">
        <w:rPr>
          <w:rFonts w:ascii="Book Antiqua" w:eastAsia="宋体" w:hAnsi="Book Antiqua" w:cs="宋体"/>
          <w:color w:val="000000"/>
          <w:kern w:val="0"/>
          <w:sz w:val="24"/>
          <w:szCs w:val="24"/>
          <w:lang w:eastAsia="zh-CN"/>
        </w:rPr>
        <w:t> </w:t>
      </w:r>
      <w:r w:rsidR="001831D7">
        <w:rPr>
          <w:rFonts w:ascii="Book Antiqua" w:eastAsia="宋体" w:hAnsi="Book Antiqua" w:cs="宋体" w:hint="eastAsia"/>
          <w:color w:val="000000"/>
          <w:kern w:val="0"/>
          <w:sz w:val="24"/>
          <w:szCs w:val="24"/>
          <w:lang w:eastAsia="zh-CN"/>
        </w:rPr>
        <w:t>1984</w:t>
      </w:r>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b/>
          <w:bCs/>
          <w:color w:val="000000"/>
          <w:kern w:val="0"/>
          <w:sz w:val="24"/>
          <w:szCs w:val="24"/>
          <w:lang w:eastAsia="zh-CN"/>
        </w:rPr>
        <w:t>4</w:t>
      </w:r>
      <w:r w:rsidRPr="00F40A26">
        <w:rPr>
          <w:rFonts w:ascii="Book Antiqua" w:eastAsia="宋体" w:hAnsi="Book Antiqua" w:cs="宋体"/>
          <w:color w:val="000000"/>
          <w:kern w:val="0"/>
          <w:sz w:val="24"/>
          <w:szCs w:val="24"/>
          <w:lang w:eastAsia="zh-CN"/>
        </w:rPr>
        <w:t>: 3S-6S [PMID: 6319264 DOI: 10.1002/hep.1840040703]</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20 </w:t>
      </w:r>
      <w:r w:rsidRPr="00F40A26">
        <w:rPr>
          <w:rFonts w:ascii="Book Antiqua" w:eastAsia="宋体" w:hAnsi="Book Antiqua" w:cs="宋体"/>
          <w:b/>
          <w:bCs/>
          <w:color w:val="000000"/>
          <w:kern w:val="0"/>
          <w:sz w:val="24"/>
          <w:szCs w:val="24"/>
          <w:lang w:eastAsia="zh-CN"/>
        </w:rPr>
        <w:t>Dhanasekaran R</w:t>
      </w:r>
      <w:r w:rsidRPr="00F40A26">
        <w:rPr>
          <w:rFonts w:ascii="Book Antiqua" w:eastAsia="宋体" w:hAnsi="Book Antiqua" w:cs="宋体"/>
          <w:color w:val="000000"/>
          <w:kern w:val="0"/>
          <w:sz w:val="24"/>
          <w:szCs w:val="24"/>
          <w:lang w:eastAsia="zh-CN"/>
        </w:rPr>
        <w:t>, Kooby DA, Staley CA, Kauh JS, Khanna V, Kim HS.</w:t>
      </w:r>
      <w:proofErr w:type="gramEnd"/>
      <w:r w:rsidRPr="00F40A26">
        <w:rPr>
          <w:rFonts w:ascii="Book Antiqua" w:eastAsia="宋体" w:hAnsi="Book Antiqua" w:cs="宋体"/>
          <w:color w:val="000000"/>
          <w:kern w:val="0"/>
          <w:sz w:val="24"/>
          <w:szCs w:val="24"/>
          <w:lang w:eastAsia="zh-CN"/>
        </w:rPr>
        <w:t xml:space="preserve"> Prognostic factors for survival in patients with unresectable hepatocellular carcinoma undergoing chemoembolization with doxorubicin drug-eluting beads: a preliminary study. </w:t>
      </w:r>
      <w:r w:rsidRPr="00F40A26">
        <w:rPr>
          <w:rFonts w:ascii="Book Antiqua" w:eastAsia="宋体" w:hAnsi="Book Antiqua" w:cs="宋体"/>
          <w:i/>
          <w:iCs/>
          <w:color w:val="000000"/>
          <w:kern w:val="0"/>
          <w:sz w:val="24"/>
          <w:szCs w:val="24"/>
          <w:lang w:eastAsia="zh-CN"/>
        </w:rPr>
        <w:t>HPB (Oxford)</w:t>
      </w:r>
      <w:r w:rsidRPr="00F40A26">
        <w:rPr>
          <w:rFonts w:ascii="Book Antiqua" w:eastAsia="宋体" w:hAnsi="Book Antiqua" w:cs="宋体"/>
          <w:color w:val="000000"/>
          <w:kern w:val="0"/>
          <w:sz w:val="24"/>
          <w:szCs w:val="24"/>
          <w:lang w:eastAsia="zh-CN"/>
        </w:rPr>
        <w:t> 2010; </w:t>
      </w:r>
      <w:r w:rsidRPr="00F40A26">
        <w:rPr>
          <w:rFonts w:ascii="Book Antiqua" w:eastAsia="宋体" w:hAnsi="Book Antiqua" w:cs="宋体"/>
          <w:b/>
          <w:bCs/>
          <w:color w:val="000000"/>
          <w:kern w:val="0"/>
          <w:sz w:val="24"/>
          <w:szCs w:val="24"/>
          <w:lang w:eastAsia="zh-CN"/>
        </w:rPr>
        <w:t>12</w:t>
      </w:r>
      <w:r w:rsidRPr="00F40A26">
        <w:rPr>
          <w:rFonts w:ascii="Book Antiqua" w:eastAsia="宋体" w:hAnsi="Book Antiqua" w:cs="宋体"/>
          <w:color w:val="000000"/>
          <w:kern w:val="0"/>
          <w:sz w:val="24"/>
          <w:szCs w:val="24"/>
          <w:lang w:eastAsia="zh-CN"/>
        </w:rPr>
        <w:t>: 174-180 [PMID: 20590884 DOI: 10.1111/j.1477-2574.2009.00138.x]</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21 </w:t>
      </w:r>
      <w:r w:rsidRPr="00F40A26">
        <w:rPr>
          <w:rFonts w:ascii="Book Antiqua" w:eastAsia="宋体" w:hAnsi="Book Antiqua" w:cs="宋体"/>
          <w:b/>
          <w:bCs/>
          <w:color w:val="000000"/>
          <w:kern w:val="0"/>
          <w:sz w:val="24"/>
          <w:szCs w:val="24"/>
          <w:lang w:eastAsia="zh-CN"/>
        </w:rPr>
        <w:t>Ji SK</w:t>
      </w:r>
      <w:r w:rsidRPr="00F40A26">
        <w:rPr>
          <w:rFonts w:ascii="Book Antiqua" w:eastAsia="宋体" w:hAnsi="Book Antiqua" w:cs="宋体"/>
          <w:color w:val="000000"/>
          <w:kern w:val="0"/>
          <w:sz w:val="24"/>
          <w:szCs w:val="24"/>
          <w:lang w:eastAsia="zh-CN"/>
        </w:rPr>
        <w:t>, Cho YK, Ahn YS, Kim MY, Park YO, Kim JK, Kim WT. Multivariate analysis of the predictors of survival for patients with hepatocellular carcinoma undergoing transarterial chemoembolization: focusing on superselective chemoembolization. </w:t>
      </w:r>
      <w:r w:rsidRPr="00F40A26">
        <w:rPr>
          <w:rFonts w:ascii="Book Antiqua" w:eastAsia="宋体" w:hAnsi="Book Antiqua" w:cs="宋体"/>
          <w:i/>
          <w:iCs/>
          <w:color w:val="000000"/>
          <w:kern w:val="0"/>
          <w:sz w:val="24"/>
          <w:szCs w:val="24"/>
          <w:lang w:eastAsia="zh-CN"/>
        </w:rPr>
        <w:t>Korean J Radiol</w:t>
      </w:r>
      <w:r w:rsidRPr="00F40A26">
        <w:rPr>
          <w:rFonts w:ascii="Book Antiqua" w:eastAsia="宋体" w:hAnsi="Book Antiqua" w:cs="宋体"/>
          <w:color w:val="000000"/>
          <w:kern w:val="0"/>
          <w:sz w:val="24"/>
          <w:szCs w:val="24"/>
          <w:lang w:eastAsia="zh-CN"/>
        </w:rPr>
        <w:t> </w:t>
      </w:r>
      <w:r w:rsidR="001831D7">
        <w:rPr>
          <w:rFonts w:ascii="Book Antiqua" w:eastAsia="宋体" w:hAnsi="Book Antiqua" w:cs="宋体" w:hint="eastAsia"/>
          <w:color w:val="000000"/>
          <w:kern w:val="0"/>
          <w:sz w:val="24"/>
          <w:szCs w:val="24"/>
          <w:lang w:eastAsia="zh-CN"/>
        </w:rPr>
        <w:t>2008</w:t>
      </w:r>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b/>
          <w:bCs/>
          <w:color w:val="000000"/>
          <w:kern w:val="0"/>
          <w:sz w:val="24"/>
          <w:szCs w:val="24"/>
          <w:lang w:eastAsia="zh-CN"/>
        </w:rPr>
        <w:t>9</w:t>
      </w:r>
      <w:r w:rsidRPr="00F40A26">
        <w:rPr>
          <w:rFonts w:ascii="Book Antiqua" w:eastAsia="宋体" w:hAnsi="Book Antiqua" w:cs="宋体"/>
          <w:color w:val="000000"/>
          <w:kern w:val="0"/>
          <w:sz w:val="24"/>
          <w:szCs w:val="24"/>
          <w:lang w:eastAsia="zh-CN"/>
        </w:rPr>
        <w:t>: 534-540 [PMID: 19039270 DOI: 10.3348/kjr.2008.9.6.534]</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22 </w:t>
      </w:r>
      <w:r w:rsidRPr="00F40A26">
        <w:rPr>
          <w:rFonts w:ascii="Book Antiqua" w:eastAsia="宋体" w:hAnsi="Book Antiqua" w:cs="宋体"/>
          <w:b/>
          <w:bCs/>
          <w:color w:val="000000"/>
          <w:kern w:val="0"/>
          <w:sz w:val="24"/>
          <w:szCs w:val="24"/>
          <w:lang w:eastAsia="zh-CN"/>
        </w:rPr>
        <w:t>Lopez RR</w:t>
      </w:r>
      <w:r w:rsidRPr="00F40A26">
        <w:rPr>
          <w:rFonts w:ascii="Book Antiqua" w:eastAsia="宋体" w:hAnsi="Book Antiqua" w:cs="宋体"/>
          <w:color w:val="000000"/>
          <w:kern w:val="0"/>
          <w:sz w:val="24"/>
          <w:szCs w:val="24"/>
          <w:lang w:eastAsia="zh-CN"/>
        </w:rPr>
        <w:t>, Pan SH, Hoffman AL, Ramirez C, Rojter SE, Ramos H, McMonigle M, Lois J. Comparison of transarterial chemoembolization in patients with unresectable, diffuse vs focal hepatocellular carcinoma. </w:t>
      </w:r>
      <w:r w:rsidRPr="00F40A26">
        <w:rPr>
          <w:rFonts w:ascii="Book Antiqua" w:eastAsia="宋体" w:hAnsi="Book Antiqua" w:cs="宋体"/>
          <w:i/>
          <w:iCs/>
          <w:color w:val="000000"/>
          <w:kern w:val="0"/>
          <w:sz w:val="24"/>
          <w:szCs w:val="24"/>
          <w:lang w:eastAsia="zh-CN"/>
        </w:rPr>
        <w:t>Arch Surg</w:t>
      </w:r>
      <w:r w:rsidRPr="00F40A26">
        <w:rPr>
          <w:rFonts w:ascii="Book Antiqua" w:eastAsia="宋体" w:hAnsi="Book Antiqua" w:cs="宋体"/>
          <w:color w:val="000000"/>
          <w:kern w:val="0"/>
          <w:sz w:val="24"/>
          <w:szCs w:val="24"/>
          <w:lang w:eastAsia="zh-CN"/>
        </w:rPr>
        <w:t> 2002; </w:t>
      </w:r>
      <w:r w:rsidRPr="00F40A26">
        <w:rPr>
          <w:rFonts w:ascii="Book Antiqua" w:eastAsia="宋体" w:hAnsi="Book Antiqua" w:cs="宋体"/>
          <w:b/>
          <w:bCs/>
          <w:color w:val="000000"/>
          <w:kern w:val="0"/>
          <w:sz w:val="24"/>
          <w:szCs w:val="24"/>
          <w:lang w:eastAsia="zh-CN"/>
        </w:rPr>
        <w:t>137</w:t>
      </w:r>
      <w:r w:rsidRPr="00F40A26">
        <w:rPr>
          <w:rFonts w:ascii="Book Antiqua" w:eastAsia="宋体" w:hAnsi="Book Antiqua" w:cs="宋体"/>
          <w:color w:val="000000"/>
          <w:kern w:val="0"/>
          <w:sz w:val="24"/>
          <w:szCs w:val="24"/>
          <w:lang w:eastAsia="zh-CN"/>
        </w:rPr>
        <w:t>: 653-67; discussion 653-67; [PMID: 12049535 DOI: 10.1001/archsurg.137.6.653]</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23 </w:t>
      </w:r>
      <w:r w:rsidRPr="00F40A26">
        <w:rPr>
          <w:rFonts w:ascii="Book Antiqua" w:eastAsia="宋体" w:hAnsi="Book Antiqua" w:cs="宋体"/>
          <w:b/>
          <w:bCs/>
          <w:color w:val="000000"/>
          <w:kern w:val="0"/>
          <w:sz w:val="24"/>
          <w:szCs w:val="24"/>
          <w:lang w:eastAsia="zh-CN"/>
        </w:rPr>
        <w:t>Savastano S</w:t>
      </w:r>
      <w:r w:rsidRPr="00F40A26">
        <w:rPr>
          <w:rFonts w:ascii="Book Antiqua" w:eastAsia="宋体" w:hAnsi="Book Antiqua" w:cs="宋体"/>
          <w:color w:val="000000"/>
          <w:kern w:val="0"/>
          <w:sz w:val="24"/>
          <w:szCs w:val="24"/>
          <w:lang w:eastAsia="zh-CN"/>
        </w:rPr>
        <w:t>, Miotto D, Casarrubea G, Teso S, Chiesura-Corona M, Feltrin GP. Transcatheter arterial chemoembolization for hepatocellular carcinoma in patients with Child's grade A or B cirrhosis: a multivariate analysis of prognostic factors. </w:t>
      </w:r>
      <w:r w:rsidRPr="00F40A26">
        <w:rPr>
          <w:rFonts w:ascii="Book Antiqua" w:eastAsia="宋体" w:hAnsi="Book Antiqua" w:cs="宋体"/>
          <w:i/>
          <w:iCs/>
          <w:color w:val="000000"/>
          <w:kern w:val="0"/>
          <w:sz w:val="24"/>
          <w:szCs w:val="24"/>
          <w:lang w:eastAsia="zh-CN"/>
        </w:rPr>
        <w:t>J Clin Gastroenterol</w:t>
      </w:r>
      <w:r w:rsidRPr="00F40A26">
        <w:rPr>
          <w:rFonts w:ascii="Book Antiqua" w:eastAsia="宋体" w:hAnsi="Book Antiqua" w:cs="宋体"/>
          <w:color w:val="000000"/>
          <w:kern w:val="0"/>
          <w:sz w:val="24"/>
          <w:szCs w:val="24"/>
          <w:lang w:eastAsia="zh-CN"/>
        </w:rPr>
        <w:t> 1999; </w:t>
      </w:r>
      <w:r w:rsidRPr="00F40A26">
        <w:rPr>
          <w:rFonts w:ascii="Book Antiqua" w:eastAsia="宋体" w:hAnsi="Book Antiqua" w:cs="宋体"/>
          <w:b/>
          <w:bCs/>
          <w:color w:val="000000"/>
          <w:kern w:val="0"/>
          <w:sz w:val="24"/>
          <w:szCs w:val="24"/>
          <w:lang w:eastAsia="zh-CN"/>
        </w:rPr>
        <w:t>28</w:t>
      </w:r>
      <w:r w:rsidRPr="00F40A26">
        <w:rPr>
          <w:rFonts w:ascii="Book Antiqua" w:eastAsia="宋体" w:hAnsi="Book Antiqua" w:cs="宋体"/>
          <w:color w:val="000000"/>
          <w:kern w:val="0"/>
          <w:sz w:val="24"/>
          <w:szCs w:val="24"/>
          <w:lang w:eastAsia="zh-CN"/>
        </w:rPr>
        <w:t>: 334-340 [PMID: 10372931 DOI: 10.1097/00004836-199906000-00010]</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24 </w:t>
      </w:r>
      <w:r w:rsidRPr="00F40A26">
        <w:rPr>
          <w:rFonts w:ascii="Book Antiqua" w:eastAsia="宋体" w:hAnsi="Book Antiqua" w:cs="宋体"/>
          <w:b/>
          <w:bCs/>
          <w:color w:val="000000"/>
          <w:kern w:val="0"/>
          <w:sz w:val="24"/>
          <w:szCs w:val="24"/>
          <w:lang w:eastAsia="zh-CN"/>
        </w:rPr>
        <w:t>Yamamoto K</w:t>
      </w:r>
      <w:r w:rsidRPr="00F40A26">
        <w:rPr>
          <w:rFonts w:ascii="Book Antiqua" w:eastAsia="宋体" w:hAnsi="Book Antiqua" w:cs="宋体"/>
          <w:color w:val="000000"/>
          <w:kern w:val="0"/>
          <w:sz w:val="24"/>
          <w:szCs w:val="24"/>
          <w:lang w:eastAsia="zh-CN"/>
        </w:rPr>
        <w:t>, Shimizu T, Narabayashi I. Intraarterial infusion chemotherapy with lipiodol-CDDP suspension for hepatocellular carcinoma.</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Cardiovasc Intervent Radiol</w:t>
      </w:r>
      <w:r w:rsidRPr="00F40A26">
        <w:rPr>
          <w:rFonts w:ascii="Book Antiqua" w:eastAsia="宋体" w:hAnsi="Book Antiqua" w:cs="宋体"/>
          <w:color w:val="000000"/>
          <w:kern w:val="0"/>
          <w:sz w:val="24"/>
          <w:szCs w:val="24"/>
          <w:lang w:eastAsia="zh-CN"/>
        </w:rPr>
        <w:t> </w:t>
      </w:r>
      <w:r w:rsidR="001831D7">
        <w:rPr>
          <w:rFonts w:ascii="Book Antiqua" w:eastAsia="宋体" w:hAnsi="Book Antiqua" w:cs="宋体" w:hint="eastAsia"/>
          <w:color w:val="000000"/>
          <w:kern w:val="0"/>
          <w:sz w:val="24"/>
          <w:szCs w:val="24"/>
          <w:lang w:eastAsia="zh-CN"/>
        </w:rPr>
        <w:t>2000</w:t>
      </w:r>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b/>
          <w:bCs/>
          <w:color w:val="000000"/>
          <w:kern w:val="0"/>
          <w:sz w:val="24"/>
          <w:szCs w:val="24"/>
          <w:lang w:eastAsia="zh-CN"/>
        </w:rPr>
        <w:t>23</w:t>
      </w:r>
      <w:r w:rsidRPr="00F40A26">
        <w:rPr>
          <w:rFonts w:ascii="Book Antiqua" w:eastAsia="宋体" w:hAnsi="Book Antiqua" w:cs="宋体"/>
          <w:color w:val="000000"/>
          <w:kern w:val="0"/>
          <w:sz w:val="24"/>
          <w:szCs w:val="24"/>
          <w:lang w:eastAsia="zh-CN"/>
        </w:rPr>
        <w:t>: 26-39 [PMID: 10656904 DOI: 10.1007/s002709910005]</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25 </w:t>
      </w:r>
      <w:r w:rsidRPr="00F40A26">
        <w:rPr>
          <w:rFonts w:ascii="Book Antiqua" w:eastAsia="宋体" w:hAnsi="Book Antiqua" w:cs="宋体"/>
          <w:b/>
          <w:bCs/>
          <w:color w:val="000000"/>
          <w:kern w:val="0"/>
          <w:sz w:val="24"/>
          <w:szCs w:val="24"/>
          <w:lang w:eastAsia="zh-CN"/>
        </w:rPr>
        <w:t>Demachi H</w:t>
      </w:r>
      <w:r w:rsidRPr="00F40A26">
        <w:rPr>
          <w:rFonts w:ascii="Book Antiqua" w:eastAsia="宋体" w:hAnsi="Book Antiqua" w:cs="宋体"/>
          <w:color w:val="000000"/>
          <w:kern w:val="0"/>
          <w:sz w:val="24"/>
          <w:szCs w:val="24"/>
          <w:lang w:eastAsia="zh-CN"/>
        </w:rPr>
        <w:t>, Matsui O, Abo H, Tatsu H. Simulation model based on non-newtonian fluid mechanics applied to the evaluation of the embolic effect of emulsions of iodized oil and anticancer drug. </w:t>
      </w:r>
      <w:r w:rsidRPr="00F40A26">
        <w:rPr>
          <w:rFonts w:ascii="Book Antiqua" w:eastAsia="宋体" w:hAnsi="Book Antiqua" w:cs="宋体"/>
          <w:i/>
          <w:iCs/>
          <w:color w:val="000000"/>
          <w:kern w:val="0"/>
          <w:sz w:val="24"/>
          <w:szCs w:val="24"/>
          <w:lang w:eastAsia="zh-CN"/>
        </w:rPr>
        <w:t>Cardiovasc Intervent Radiol</w:t>
      </w:r>
      <w:r w:rsidRPr="00F40A26">
        <w:rPr>
          <w:rFonts w:ascii="Book Antiqua" w:eastAsia="宋体" w:hAnsi="Book Antiqua" w:cs="宋体"/>
          <w:color w:val="000000"/>
          <w:kern w:val="0"/>
          <w:sz w:val="24"/>
          <w:szCs w:val="24"/>
          <w:lang w:eastAsia="zh-CN"/>
        </w:rPr>
        <w:t> </w:t>
      </w:r>
      <w:r w:rsidR="001831D7">
        <w:rPr>
          <w:rFonts w:ascii="Book Antiqua" w:eastAsia="宋体" w:hAnsi="Book Antiqua" w:cs="宋体" w:hint="eastAsia"/>
          <w:color w:val="000000"/>
          <w:kern w:val="0"/>
          <w:sz w:val="24"/>
          <w:szCs w:val="24"/>
          <w:lang w:eastAsia="zh-CN"/>
        </w:rPr>
        <w:t>2000</w:t>
      </w:r>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b/>
          <w:bCs/>
          <w:color w:val="000000"/>
          <w:kern w:val="0"/>
          <w:sz w:val="24"/>
          <w:szCs w:val="24"/>
          <w:lang w:eastAsia="zh-CN"/>
        </w:rPr>
        <w:t>23</w:t>
      </w:r>
      <w:r w:rsidRPr="00F40A26">
        <w:rPr>
          <w:rFonts w:ascii="Book Antiqua" w:eastAsia="宋体" w:hAnsi="Book Antiqua" w:cs="宋体"/>
          <w:color w:val="000000"/>
          <w:kern w:val="0"/>
          <w:sz w:val="24"/>
          <w:szCs w:val="24"/>
          <w:lang w:eastAsia="zh-CN"/>
        </w:rPr>
        <w:t>: 285-290 [PMID: 10960542 DOI: 10.1007/s002700010070]</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26 </w:t>
      </w:r>
      <w:r w:rsidRPr="00F40A26">
        <w:rPr>
          <w:rFonts w:ascii="Book Antiqua" w:eastAsia="宋体" w:hAnsi="Book Antiqua" w:cs="宋体"/>
          <w:b/>
          <w:bCs/>
          <w:color w:val="000000"/>
          <w:kern w:val="0"/>
          <w:sz w:val="24"/>
          <w:szCs w:val="24"/>
          <w:lang w:eastAsia="zh-CN"/>
        </w:rPr>
        <w:t>Mine T</w:t>
      </w:r>
      <w:r w:rsidRPr="00F40A26">
        <w:rPr>
          <w:rFonts w:ascii="Book Antiqua" w:eastAsia="宋体" w:hAnsi="Book Antiqua" w:cs="宋体"/>
          <w:color w:val="000000"/>
          <w:kern w:val="0"/>
          <w:sz w:val="24"/>
          <w:szCs w:val="24"/>
          <w:lang w:eastAsia="zh-CN"/>
        </w:rPr>
        <w:t>, Murata S, Ueda T, Onozawa S, Onda M, Naito Z, Kumita S. Comparative study of cisplatin-iodized oil suspension and emulsion for transcatheter arterial chemoembolization of rabbit VX2 liver tumors. </w:t>
      </w:r>
      <w:r w:rsidRPr="00F40A26">
        <w:rPr>
          <w:rFonts w:ascii="Book Antiqua" w:eastAsia="宋体" w:hAnsi="Book Antiqua" w:cs="宋体"/>
          <w:i/>
          <w:iCs/>
          <w:color w:val="000000"/>
          <w:kern w:val="0"/>
          <w:sz w:val="24"/>
          <w:szCs w:val="24"/>
          <w:lang w:eastAsia="zh-CN"/>
        </w:rPr>
        <w:t>Hepatol Res</w:t>
      </w:r>
      <w:r w:rsidRPr="00F40A26">
        <w:rPr>
          <w:rFonts w:ascii="Book Antiqua" w:eastAsia="宋体" w:hAnsi="Book Antiqua" w:cs="宋体"/>
          <w:color w:val="000000"/>
          <w:kern w:val="0"/>
          <w:sz w:val="24"/>
          <w:szCs w:val="24"/>
          <w:lang w:eastAsia="zh-CN"/>
        </w:rPr>
        <w:t> 2012; </w:t>
      </w:r>
      <w:r w:rsidRPr="00F40A26">
        <w:rPr>
          <w:rFonts w:ascii="Book Antiqua" w:eastAsia="宋体" w:hAnsi="Book Antiqua" w:cs="宋体"/>
          <w:b/>
          <w:bCs/>
          <w:color w:val="000000"/>
          <w:kern w:val="0"/>
          <w:sz w:val="24"/>
          <w:szCs w:val="24"/>
          <w:lang w:eastAsia="zh-CN"/>
        </w:rPr>
        <w:t>42</w:t>
      </w:r>
      <w:r w:rsidRPr="00F40A26">
        <w:rPr>
          <w:rFonts w:ascii="Book Antiqua" w:eastAsia="宋体" w:hAnsi="Book Antiqua" w:cs="宋体"/>
          <w:color w:val="000000"/>
          <w:kern w:val="0"/>
          <w:sz w:val="24"/>
          <w:szCs w:val="24"/>
          <w:lang w:eastAsia="zh-CN"/>
        </w:rPr>
        <w:t>: 473-481 [PMID: 22176437 DOI: 10.1111/j.1872-034X.2011.00942.x]</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lastRenderedPageBreak/>
        <w:t>27 </w:t>
      </w:r>
      <w:r w:rsidRPr="00F40A26">
        <w:rPr>
          <w:rFonts w:ascii="Book Antiqua" w:eastAsia="宋体" w:hAnsi="Book Antiqua" w:cs="宋体"/>
          <w:b/>
          <w:bCs/>
          <w:color w:val="000000"/>
          <w:kern w:val="0"/>
          <w:sz w:val="24"/>
          <w:szCs w:val="24"/>
          <w:lang w:eastAsia="zh-CN"/>
        </w:rPr>
        <w:t>Ueda T</w:t>
      </w:r>
      <w:r w:rsidRPr="00F40A26">
        <w:rPr>
          <w:rFonts w:ascii="Book Antiqua" w:eastAsia="宋体" w:hAnsi="Book Antiqua" w:cs="宋体"/>
          <w:color w:val="000000"/>
          <w:kern w:val="0"/>
          <w:sz w:val="24"/>
          <w:szCs w:val="24"/>
          <w:lang w:eastAsia="zh-CN"/>
        </w:rPr>
        <w:t>, Murata S, Mine T, Onozawa S, Onda M, Naito Z, Amano Y, Kumita S. Comparison of epirubicin-iodized oil suspension and emulsion for transcatheter arterial chemoembolization in VX2 tumor. </w:t>
      </w:r>
      <w:r w:rsidRPr="00F40A26">
        <w:rPr>
          <w:rFonts w:ascii="Book Antiqua" w:eastAsia="宋体" w:hAnsi="Book Antiqua" w:cs="宋体"/>
          <w:i/>
          <w:iCs/>
          <w:color w:val="000000"/>
          <w:kern w:val="0"/>
          <w:sz w:val="24"/>
          <w:szCs w:val="24"/>
          <w:lang w:eastAsia="zh-CN"/>
        </w:rPr>
        <w:t>ScientificWorldJournal</w:t>
      </w:r>
      <w:r w:rsidRPr="00F40A26">
        <w:rPr>
          <w:rFonts w:ascii="Book Antiqua" w:eastAsia="宋体" w:hAnsi="Book Antiqua" w:cs="宋体"/>
          <w:color w:val="000000"/>
          <w:kern w:val="0"/>
          <w:sz w:val="24"/>
          <w:szCs w:val="24"/>
          <w:lang w:eastAsia="zh-CN"/>
        </w:rPr>
        <w:t> 2012; </w:t>
      </w:r>
      <w:r w:rsidRPr="00F40A26">
        <w:rPr>
          <w:rFonts w:ascii="Book Antiqua" w:eastAsia="宋体" w:hAnsi="Book Antiqua" w:cs="宋体"/>
          <w:b/>
          <w:bCs/>
          <w:color w:val="000000"/>
          <w:kern w:val="0"/>
          <w:sz w:val="24"/>
          <w:szCs w:val="24"/>
          <w:lang w:eastAsia="zh-CN"/>
        </w:rPr>
        <w:t>2012</w:t>
      </w:r>
      <w:r w:rsidRPr="00F40A26">
        <w:rPr>
          <w:rFonts w:ascii="Book Antiqua" w:eastAsia="宋体" w:hAnsi="Book Antiqua" w:cs="宋体"/>
          <w:color w:val="000000"/>
          <w:kern w:val="0"/>
          <w:sz w:val="24"/>
          <w:szCs w:val="24"/>
          <w:lang w:eastAsia="zh-CN"/>
        </w:rPr>
        <w:t>: 961986 [PMID: 22489208]</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28 </w:t>
      </w:r>
      <w:r w:rsidRPr="00F40A26">
        <w:rPr>
          <w:rFonts w:ascii="Book Antiqua" w:eastAsia="宋体" w:hAnsi="Book Antiqua" w:cs="宋体"/>
          <w:b/>
          <w:bCs/>
          <w:color w:val="000000"/>
          <w:kern w:val="0"/>
          <w:sz w:val="24"/>
          <w:szCs w:val="24"/>
          <w:lang w:eastAsia="zh-CN"/>
        </w:rPr>
        <w:t>de Baere T</w:t>
      </w:r>
      <w:r w:rsidRPr="00F40A26">
        <w:rPr>
          <w:rFonts w:ascii="Book Antiqua" w:eastAsia="宋体" w:hAnsi="Book Antiqua" w:cs="宋体"/>
          <w:color w:val="000000"/>
          <w:kern w:val="0"/>
          <w:sz w:val="24"/>
          <w:szCs w:val="24"/>
          <w:lang w:eastAsia="zh-CN"/>
        </w:rPr>
        <w:t>, Dufaux J, Roche A, Counnord JL, Berthault MF, Denys A, Pappas P. Circulatory alterations induced by intra-arterial injection of iodized oil and emulsions of iodized oil and doxorubicin: experimental study.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1995; </w:t>
      </w:r>
      <w:r w:rsidRPr="00F40A26">
        <w:rPr>
          <w:rFonts w:ascii="Book Antiqua" w:eastAsia="宋体" w:hAnsi="Book Antiqua" w:cs="宋体"/>
          <w:b/>
          <w:bCs/>
          <w:color w:val="000000"/>
          <w:kern w:val="0"/>
          <w:sz w:val="24"/>
          <w:szCs w:val="24"/>
          <w:lang w:eastAsia="zh-CN"/>
        </w:rPr>
        <w:t>194</w:t>
      </w:r>
      <w:r w:rsidRPr="00F40A26">
        <w:rPr>
          <w:rFonts w:ascii="Book Antiqua" w:eastAsia="宋体" w:hAnsi="Book Antiqua" w:cs="宋体"/>
          <w:color w:val="000000"/>
          <w:kern w:val="0"/>
          <w:sz w:val="24"/>
          <w:szCs w:val="24"/>
          <w:lang w:eastAsia="zh-CN"/>
        </w:rPr>
        <w:t>: 165-170 [PMID: 7997545 DOI: 10.1148/radiology.194.1.7997545]</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29 </w:t>
      </w:r>
      <w:r w:rsidRPr="00F40A26">
        <w:rPr>
          <w:rFonts w:ascii="Book Antiqua" w:eastAsia="宋体" w:hAnsi="Book Antiqua" w:cs="宋体"/>
          <w:b/>
          <w:bCs/>
          <w:color w:val="000000"/>
          <w:kern w:val="0"/>
          <w:sz w:val="24"/>
          <w:szCs w:val="24"/>
          <w:lang w:eastAsia="zh-CN"/>
        </w:rPr>
        <w:t>Kan Z</w:t>
      </w:r>
      <w:r w:rsidRPr="00F40A26">
        <w:rPr>
          <w:rFonts w:ascii="Book Antiqua" w:eastAsia="宋体" w:hAnsi="Book Antiqua" w:cs="宋体"/>
          <w:color w:val="000000"/>
          <w:kern w:val="0"/>
          <w:sz w:val="24"/>
          <w:szCs w:val="24"/>
          <w:lang w:eastAsia="zh-CN"/>
        </w:rPr>
        <w:t>, Sato M, Ivancev K, Uchida B, Hedgpeth P, Lunderquist A, Rosch J, Yamada R. Distribution and effect of iodized poppyseed oil in the liver after hepatic artery embolization: experimental study in several animal species.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1993; </w:t>
      </w:r>
      <w:r w:rsidRPr="00F40A26">
        <w:rPr>
          <w:rFonts w:ascii="Book Antiqua" w:eastAsia="宋体" w:hAnsi="Book Antiqua" w:cs="宋体"/>
          <w:b/>
          <w:bCs/>
          <w:color w:val="000000"/>
          <w:kern w:val="0"/>
          <w:sz w:val="24"/>
          <w:szCs w:val="24"/>
          <w:lang w:eastAsia="zh-CN"/>
        </w:rPr>
        <w:t>186</w:t>
      </w:r>
      <w:r w:rsidRPr="00F40A26">
        <w:rPr>
          <w:rFonts w:ascii="Book Antiqua" w:eastAsia="宋体" w:hAnsi="Book Antiqua" w:cs="宋体"/>
          <w:color w:val="000000"/>
          <w:kern w:val="0"/>
          <w:sz w:val="24"/>
          <w:szCs w:val="24"/>
          <w:lang w:eastAsia="zh-CN"/>
        </w:rPr>
        <w:t>: 861-866 [PMID: 8381552 DOI: 10.1148/radiology.186.3.8381552]</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30 </w:t>
      </w:r>
      <w:r w:rsidRPr="00F40A26">
        <w:rPr>
          <w:rFonts w:ascii="Book Antiqua" w:eastAsia="宋体" w:hAnsi="Book Antiqua" w:cs="宋体"/>
          <w:b/>
          <w:bCs/>
          <w:color w:val="000000"/>
          <w:kern w:val="0"/>
          <w:sz w:val="24"/>
          <w:szCs w:val="24"/>
          <w:lang w:eastAsia="zh-CN"/>
        </w:rPr>
        <w:t>Miller DL</w:t>
      </w:r>
      <w:r w:rsidRPr="00F40A26">
        <w:rPr>
          <w:rFonts w:ascii="Book Antiqua" w:eastAsia="宋体" w:hAnsi="Book Antiqua" w:cs="宋体"/>
          <w:color w:val="000000"/>
          <w:kern w:val="0"/>
          <w:sz w:val="24"/>
          <w:szCs w:val="24"/>
          <w:lang w:eastAsia="zh-CN"/>
        </w:rPr>
        <w:t>, O'Leary TJ, Girton M. Distribution of iodized oil within the liver after hepatic arterial injection.</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1987; </w:t>
      </w:r>
      <w:r w:rsidRPr="00F40A26">
        <w:rPr>
          <w:rFonts w:ascii="Book Antiqua" w:eastAsia="宋体" w:hAnsi="Book Antiqua" w:cs="宋体"/>
          <w:b/>
          <w:bCs/>
          <w:color w:val="000000"/>
          <w:kern w:val="0"/>
          <w:sz w:val="24"/>
          <w:szCs w:val="24"/>
          <w:lang w:eastAsia="zh-CN"/>
        </w:rPr>
        <w:t>162</w:t>
      </w:r>
      <w:r w:rsidRPr="00F40A26">
        <w:rPr>
          <w:rFonts w:ascii="Book Antiqua" w:eastAsia="宋体" w:hAnsi="Book Antiqua" w:cs="宋体"/>
          <w:color w:val="000000"/>
          <w:kern w:val="0"/>
          <w:sz w:val="24"/>
          <w:szCs w:val="24"/>
          <w:lang w:eastAsia="zh-CN"/>
        </w:rPr>
        <w:t>: 849-852 [PMID: 3027747 DOI: 10.1148/radiology.162.3.3027747]</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31 </w:t>
      </w:r>
      <w:r w:rsidRPr="00F40A26">
        <w:rPr>
          <w:rFonts w:ascii="Book Antiqua" w:eastAsia="宋体" w:hAnsi="Book Antiqua" w:cs="宋体"/>
          <w:b/>
          <w:bCs/>
          <w:color w:val="000000"/>
          <w:kern w:val="0"/>
          <w:sz w:val="24"/>
          <w:szCs w:val="24"/>
          <w:lang w:eastAsia="zh-CN"/>
        </w:rPr>
        <w:t>Kasai K</w:t>
      </w:r>
      <w:r w:rsidRPr="00F40A26">
        <w:rPr>
          <w:rFonts w:ascii="Book Antiqua" w:eastAsia="宋体" w:hAnsi="Book Antiqua" w:cs="宋体"/>
          <w:color w:val="000000"/>
          <w:kern w:val="0"/>
          <w:sz w:val="24"/>
          <w:szCs w:val="24"/>
          <w:lang w:eastAsia="zh-CN"/>
        </w:rPr>
        <w:t>, Ushio A, Kasai Y, Sawara K, Miyamoto Y, Oikawa K, Takikawa Y, Suzuki K. Therapeutic efficacy of transarterial chemo-embolization with a fine-powder formulation of cisplatin for hepatocellular carcinoma. </w:t>
      </w:r>
      <w:r w:rsidRPr="00F40A26">
        <w:rPr>
          <w:rFonts w:ascii="Book Antiqua" w:eastAsia="宋体" w:hAnsi="Book Antiqua" w:cs="宋体"/>
          <w:i/>
          <w:iCs/>
          <w:color w:val="000000"/>
          <w:kern w:val="0"/>
          <w:sz w:val="24"/>
          <w:szCs w:val="24"/>
          <w:lang w:eastAsia="zh-CN"/>
        </w:rPr>
        <w:t>World J Gastroenterol</w:t>
      </w:r>
      <w:r w:rsidRPr="00F40A26">
        <w:rPr>
          <w:rFonts w:ascii="Book Antiqua" w:eastAsia="宋体" w:hAnsi="Book Antiqua" w:cs="宋体"/>
          <w:color w:val="000000"/>
          <w:kern w:val="0"/>
          <w:sz w:val="24"/>
          <w:szCs w:val="24"/>
          <w:lang w:eastAsia="zh-CN"/>
        </w:rPr>
        <w:t> 2013; </w:t>
      </w:r>
      <w:r w:rsidRPr="00F40A26">
        <w:rPr>
          <w:rFonts w:ascii="Book Antiqua" w:eastAsia="宋体" w:hAnsi="Book Antiqua" w:cs="宋体"/>
          <w:b/>
          <w:bCs/>
          <w:color w:val="000000"/>
          <w:kern w:val="0"/>
          <w:sz w:val="24"/>
          <w:szCs w:val="24"/>
          <w:lang w:eastAsia="zh-CN"/>
        </w:rPr>
        <w:t>19</w:t>
      </w:r>
      <w:r w:rsidRPr="00F40A26">
        <w:rPr>
          <w:rFonts w:ascii="Book Antiqua" w:eastAsia="宋体" w:hAnsi="Book Antiqua" w:cs="宋体"/>
          <w:color w:val="000000"/>
          <w:kern w:val="0"/>
          <w:sz w:val="24"/>
          <w:szCs w:val="24"/>
          <w:lang w:eastAsia="zh-CN"/>
        </w:rPr>
        <w:t>: 2242-2248 [PMID: 23599651 DOI: 10.3748/wjg.v19.i14.2242]</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32 </w:t>
      </w:r>
      <w:r w:rsidRPr="00F40A26">
        <w:rPr>
          <w:rFonts w:ascii="Book Antiqua" w:eastAsia="宋体" w:hAnsi="Book Antiqua" w:cs="宋体"/>
          <w:b/>
          <w:bCs/>
          <w:color w:val="000000"/>
          <w:kern w:val="0"/>
          <w:sz w:val="24"/>
          <w:szCs w:val="24"/>
          <w:lang w:eastAsia="zh-CN"/>
        </w:rPr>
        <w:t>Yodono H</w:t>
      </w:r>
      <w:r w:rsidRPr="00F40A26">
        <w:rPr>
          <w:rFonts w:ascii="Book Antiqua" w:eastAsia="宋体" w:hAnsi="Book Antiqua" w:cs="宋体"/>
          <w:color w:val="000000"/>
          <w:kern w:val="0"/>
          <w:sz w:val="24"/>
          <w:szCs w:val="24"/>
          <w:lang w:eastAsia="zh-CN"/>
        </w:rPr>
        <w:t xml:space="preserve">, Matsuo K, Shinohara A. </w:t>
      </w:r>
      <w:proofErr w:type="gramStart"/>
      <w:r w:rsidRPr="00F40A26">
        <w:rPr>
          <w:rFonts w:ascii="Book Antiqua" w:eastAsia="宋体" w:hAnsi="Book Antiqua" w:cs="宋体"/>
          <w:color w:val="000000"/>
          <w:kern w:val="0"/>
          <w:sz w:val="24"/>
          <w:szCs w:val="24"/>
          <w:lang w:eastAsia="zh-CN"/>
        </w:rPr>
        <w:t>A retrospective comparative study of epirubicin-lipiodol emulsion and cisplatin-lipiodol suspension for use with transcatheter arterial chemoembolization for treatment of hepatocellular carcinoma.</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Anticancer Drugs</w:t>
      </w:r>
      <w:r w:rsidRPr="00F40A26">
        <w:rPr>
          <w:rFonts w:ascii="Book Antiqua" w:eastAsia="宋体" w:hAnsi="Book Antiqua" w:cs="宋体"/>
          <w:color w:val="000000"/>
          <w:kern w:val="0"/>
          <w:sz w:val="24"/>
          <w:szCs w:val="24"/>
          <w:lang w:eastAsia="zh-CN"/>
        </w:rPr>
        <w:t> 2011; </w:t>
      </w:r>
      <w:r w:rsidRPr="00F40A26">
        <w:rPr>
          <w:rFonts w:ascii="Book Antiqua" w:eastAsia="宋体" w:hAnsi="Book Antiqua" w:cs="宋体"/>
          <w:b/>
          <w:bCs/>
          <w:color w:val="000000"/>
          <w:kern w:val="0"/>
          <w:sz w:val="24"/>
          <w:szCs w:val="24"/>
          <w:lang w:eastAsia="zh-CN"/>
        </w:rPr>
        <w:t>22</w:t>
      </w:r>
      <w:r w:rsidRPr="00F40A26">
        <w:rPr>
          <w:rFonts w:ascii="Book Antiqua" w:eastAsia="宋体" w:hAnsi="Book Antiqua" w:cs="宋体"/>
          <w:color w:val="000000"/>
          <w:kern w:val="0"/>
          <w:sz w:val="24"/>
          <w:szCs w:val="24"/>
          <w:lang w:eastAsia="zh-CN"/>
        </w:rPr>
        <w:t>: 277-282 [PMID: 21360850 DOI: 10.1097/CAD.0b013e328342231d]</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33 </w:t>
      </w:r>
      <w:r w:rsidRPr="00F40A26">
        <w:rPr>
          <w:rFonts w:ascii="Book Antiqua" w:eastAsia="宋体" w:hAnsi="Book Antiqua" w:cs="宋体"/>
          <w:b/>
          <w:bCs/>
          <w:color w:val="000000"/>
          <w:kern w:val="0"/>
          <w:sz w:val="24"/>
          <w:szCs w:val="24"/>
          <w:lang w:eastAsia="zh-CN"/>
        </w:rPr>
        <w:t>Iwazawa J</w:t>
      </w:r>
      <w:r w:rsidRPr="00F40A26">
        <w:rPr>
          <w:rFonts w:ascii="Book Antiqua" w:eastAsia="宋体" w:hAnsi="Book Antiqua" w:cs="宋体"/>
          <w:color w:val="000000"/>
          <w:kern w:val="0"/>
          <w:sz w:val="24"/>
          <w:szCs w:val="24"/>
          <w:lang w:eastAsia="zh-CN"/>
        </w:rPr>
        <w:t>, Ohue S, Hashimoto N, Mitani T. Local tumor progression following lipiodol-based targeted chemoembolization of hepatocellular carcinoma: a retrospective comparison of miriplatin and epirubicin. </w:t>
      </w:r>
      <w:r w:rsidRPr="00F40A26">
        <w:rPr>
          <w:rFonts w:ascii="Book Antiqua" w:eastAsia="宋体" w:hAnsi="Book Antiqua" w:cs="宋体"/>
          <w:i/>
          <w:iCs/>
          <w:color w:val="000000"/>
          <w:kern w:val="0"/>
          <w:sz w:val="24"/>
          <w:szCs w:val="24"/>
          <w:lang w:eastAsia="zh-CN"/>
        </w:rPr>
        <w:t>Cancer Manag Res</w:t>
      </w:r>
      <w:r w:rsidRPr="00F40A26">
        <w:rPr>
          <w:rFonts w:ascii="Book Antiqua" w:eastAsia="宋体" w:hAnsi="Book Antiqua" w:cs="宋体"/>
          <w:color w:val="000000"/>
          <w:kern w:val="0"/>
          <w:sz w:val="24"/>
          <w:szCs w:val="24"/>
          <w:lang w:eastAsia="zh-CN"/>
        </w:rPr>
        <w:t> 2012; </w:t>
      </w:r>
      <w:r w:rsidRPr="00F40A26">
        <w:rPr>
          <w:rFonts w:ascii="Book Antiqua" w:eastAsia="宋体" w:hAnsi="Book Antiqua" w:cs="宋体"/>
          <w:b/>
          <w:bCs/>
          <w:color w:val="000000"/>
          <w:kern w:val="0"/>
          <w:sz w:val="24"/>
          <w:szCs w:val="24"/>
          <w:lang w:eastAsia="zh-CN"/>
        </w:rPr>
        <w:t>4</w:t>
      </w:r>
      <w:r w:rsidRPr="00F40A26">
        <w:rPr>
          <w:rFonts w:ascii="Book Antiqua" w:eastAsia="宋体" w:hAnsi="Book Antiqua" w:cs="宋体"/>
          <w:color w:val="000000"/>
          <w:kern w:val="0"/>
          <w:sz w:val="24"/>
          <w:szCs w:val="24"/>
          <w:lang w:eastAsia="zh-CN"/>
        </w:rPr>
        <w:t>: 113-119 [PMID: 22570565 DOI: 10.2147/CMAR.S30431]</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34 </w:t>
      </w:r>
      <w:r w:rsidRPr="00F40A26">
        <w:rPr>
          <w:rFonts w:ascii="Book Antiqua" w:eastAsia="宋体" w:hAnsi="Book Antiqua" w:cs="宋体"/>
          <w:b/>
          <w:bCs/>
          <w:color w:val="000000"/>
          <w:kern w:val="0"/>
          <w:sz w:val="24"/>
          <w:szCs w:val="24"/>
          <w:lang w:eastAsia="zh-CN"/>
        </w:rPr>
        <w:t>Murata S</w:t>
      </w:r>
      <w:r w:rsidRPr="00F40A26">
        <w:rPr>
          <w:rFonts w:ascii="Book Antiqua" w:eastAsia="宋体" w:hAnsi="Book Antiqua" w:cs="宋体"/>
          <w:color w:val="000000"/>
          <w:kern w:val="0"/>
          <w:sz w:val="24"/>
          <w:szCs w:val="24"/>
          <w:lang w:eastAsia="zh-CN"/>
        </w:rPr>
        <w:t>, Mine T, Ueda T, Nakazawa K, Onozawa S, Yasui D, Kumita S. Transcatheter arterial chemoembolization based on hepatic hemodynamics for hepatocellular carcinoma. </w:t>
      </w:r>
      <w:r w:rsidRPr="00F40A26">
        <w:rPr>
          <w:rFonts w:ascii="Book Antiqua" w:eastAsia="宋体" w:hAnsi="Book Antiqua" w:cs="宋体"/>
          <w:i/>
          <w:iCs/>
          <w:color w:val="000000"/>
          <w:kern w:val="0"/>
          <w:sz w:val="24"/>
          <w:szCs w:val="24"/>
          <w:lang w:eastAsia="zh-CN"/>
        </w:rPr>
        <w:t>ScientificWorldJournal</w:t>
      </w:r>
      <w:r w:rsidRPr="00F40A26">
        <w:rPr>
          <w:rFonts w:ascii="Book Antiqua" w:eastAsia="宋体" w:hAnsi="Book Antiqua" w:cs="宋体"/>
          <w:color w:val="000000"/>
          <w:kern w:val="0"/>
          <w:sz w:val="24"/>
          <w:szCs w:val="24"/>
          <w:lang w:eastAsia="zh-CN"/>
        </w:rPr>
        <w:t> 2013; </w:t>
      </w:r>
      <w:r w:rsidRPr="00F40A26">
        <w:rPr>
          <w:rFonts w:ascii="Book Antiqua" w:eastAsia="宋体" w:hAnsi="Book Antiqua" w:cs="宋体"/>
          <w:b/>
          <w:bCs/>
          <w:color w:val="000000"/>
          <w:kern w:val="0"/>
          <w:sz w:val="24"/>
          <w:szCs w:val="24"/>
          <w:lang w:eastAsia="zh-CN"/>
        </w:rPr>
        <w:t>2013</w:t>
      </w:r>
      <w:r w:rsidRPr="00F40A26">
        <w:rPr>
          <w:rFonts w:ascii="Book Antiqua" w:eastAsia="宋体" w:hAnsi="Book Antiqua" w:cs="宋体"/>
          <w:color w:val="000000"/>
          <w:kern w:val="0"/>
          <w:sz w:val="24"/>
          <w:szCs w:val="24"/>
          <w:lang w:eastAsia="zh-CN"/>
        </w:rPr>
        <w:t>: 479805 [PMID: 23606815]</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lastRenderedPageBreak/>
        <w:t>35 </w:t>
      </w:r>
      <w:r w:rsidRPr="00F40A26">
        <w:rPr>
          <w:rFonts w:ascii="Book Antiqua" w:eastAsia="宋体" w:hAnsi="Book Antiqua" w:cs="宋体"/>
          <w:b/>
          <w:bCs/>
          <w:color w:val="000000"/>
          <w:kern w:val="0"/>
          <w:sz w:val="24"/>
          <w:szCs w:val="24"/>
          <w:lang w:eastAsia="zh-CN"/>
        </w:rPr>
        <w:t>Varela M</w:t>
      </w:r>
      <w:r w:rsidRPr="00F40A26">
        <w:rPr>
          <w:rFonts w:ascii="Book Antiqua" w:eastAsia="宋体" w:hAnsi="Book Antiqua" w:cs="宋体"/>
          <w:color w:val="000000"/>
          <w:kern w:val="0"/>
          <w:sz w:val="24"/>
          <w:szCs w:val="24"/>
          <w:lang w:eastAsia="zh-CN"/>
        </w:rPr>
        <w:t>, Real MI, Burrel M, Forner A, Sala M, Brunet M, Ayuso C, Castells L, Montañá X, Llovet JM, Bruix J. Chemoembolization of hepatocellular carcinoma with drug eluting beads: efficacy and doxorubicin pharmacokinetics. </w:t>
      </w:r>
      <w:r w:rsidRPr="00F40A26">
        <w:rPr>
          <w:rFonts w:ascii="Book Antiqua" w:eastAsia="宋体" w:hAnsi="Book Antiqua" w:cs="宋体"/>
          <w:i/>
          <w:iCs/>
          <w:color w:val="000000"/>
          <w:kern w:val="0"/>
          <w:sz w:val="24"/>
          <w:szCs w:val="24"/>
          <w:lang w:eastAsia="zh-CN"/>
        </w:rPr>
        <w:t>J Hepatol</w:t>
      </w:r>
      <w:r w:rsidRPr="00F40A26">
        <w:rPr>
          <w:rFonts w:ascii="Book Antiqua" w:eastAsia="宋体" w:hAnsi="Book Antiqua" w:cs="宋体"/>
          <w:color w:val="000000"/>
          <w:kern w:val="0"/>
          <w:sz w:val="24"/>
          <w:szCs w:val="24"/>
          <w:lang w:eastAsia="zh-CN"/>
        </w:rPr>
        <w:t> 2007; </w:t>
      </w:r>
      <w:r w:rsidRPr="00F40A26">
        <w:rPr>
          <w:rFonts w:ascii="Book Antiqua" w:eastAsia="宋体" w:hAnsi="Book Antiqua" w:cs="宋体"/>
          <w:b/>
          <w:bCs/>
          <w:color w:val="000000"/>
          <w:kern w:val="0"/>
          <w:sz w:val="24"/>
          <w:szCs w:val="24"/>
          <w:lang w:eastAsia="zh-CN"/>
        </w:rPr>
        <w:t>46</w:t>
      </w:r>
      <w:r w:rsidRPr="00F40A26">
        <w:rPr>
          <w:rFonts w:ascii="Book Antiqua" w:eastAsia="宋体" w:hAnsi="Book Antiqua" w:cs="宋体"/>
          <w:color w:val="000000"/>
          <w:kern w:val="0"/>
          <w:sz w:val="24"/>
          <w:szCs w:val="24"/>
          <w:lang w:eastAsia="zh-CN"/>
        </w:rPr>
        <w:t>: 474-481 [PMID: 17239480 DOI: 10.1016/j.jhep.2006.10.020]</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36 </w:t>
      </w:r>
      <w:r w:rsidRPr="00F40A26">
        <w:rPr>
          <w:rFonts w:ascii="Book Antiqua" w:eastAsia="宋体" w:hAnsi="Book Antiqua" w:cs="宋体"/>
          <w:b/>
          <w:bCs/>
          <w:color w:val="000000"/>
          <w:kern w:val="0"/>
          <w:sz w:val="24"/>
          <w:szCs w:val="24"/>
          <w:lang w:eastAsia="zh-CN"/>
        </w:rPr>
        <w:t>Malagari K</w:t>
      </w:r>
      <w:r w:rsidRPr="00F40A26">
        <w:rPr>
          <w:rFonts w:ascii="Book Antiqua" w:eastAsia="宋体" w:hAnsi="Book Antiqua" w:cs="宋体"/>
          <w:color w:val="000000"/>
          <w:kern w:val="0"/>
          <w:sz w:val="24"/>
          <w:szCs w:val="24"/>
          <w:lang w:eastAsia="zh-CN"/>
        </w:rPr>
        <w:t>, Chatzimichael K, Alexopoulou E, Kelekis A, Hall B, Dourakis S, Delis S, Gouliamos A, Kelekis D. Transarterial chemoembolization of unresectable hepatocellular carcinoma with drug eluting beads: results of an open-label study of 62 patients. </w:t>
      </w:r>
      <w:r w:rsidRPr="00F40A26">
        <w:rPr>
          <w:rFonts w:ascii="Book Antiqua" w:eastAsia="宋体" w:hAnsi="Book Antiqua" w:cs="宋体"/>
          <w:i/>
          <w:iCs/>
          <w:color w:val="000000"/>
          <w:kern w:val="0"/>
          <w:sz w:val="24"/>
          <w:szCs w:val="24"/>
          <w:lang w:eastAsia="zh-CN"/>
        </w:rPr>
        <w:t>Cardiovasc Intervent Radiol</w:t>
      </w:r>
      <w:r w:rsidRPr="00F40A26">
        <w:rPr>
          <w:rFonts w:ascii="Book Antiqua" w:eastAsia="宋体" w:hAnsi="Book Antiqua" w:cs="宋体"/>
          <w:color w:val="000000"/>
          <w:kern w:val="0"/>
          <w:sz w:val="24"/>
          <w:szCs w:val="24"/>
          <w:lang w:eastAsia="zh-CN"/>
        </w:rPr>
        <w:t> </w:t>
      </w:r>
      <w:r w:rsidR="001831D7">
        <w:rPr>
          <w:rFonts w:ascii="Book Antiqua" w:eastAsia="宋体" w:hAnsi="Book Antiqua" w:cs="宋体" w:hint="eastAsia"/>
          <w:color w:val="000000"/>
          <w:kern w:val="0"/>
          <w:sz w:val="24"/>
          <w:szCs w:val="24"/>
          <w:lang w:eastAsia="zh-CN"/>
        </w:rPr>
        <w:t>2008</w:t>
      </w:r>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b/>
          <w:bCs/>
          <w:color w:val="000000"/>
          <w:kern w:val="0"/>
          <w:sz w:val="24"/>
          <w:szCs w:val="24"/>
          <w:lang w:eastAsia="zh-CN"/>
        </w:rPr>
        <w:t>31</w:t>
      </w:r>
      <w:r w:rsidRPr="00F40A26">
        <w:rPr>
          <w:rFonts w:ascii="Book Antiqua" w:eastAsia="宋体" w:hAnsi="Book Antiqua" w:cs="宋体"/>
          <w:color w:val="000000"/>
          <w:kern w:val="0"/>
          <w:sz w:val="24"/>
          <w:szCs w:val="24"/>
          <w:lang w:eastAsia="zh-CN"/>
        </w:rPr>
        <w:t>: 269-280 [PMID: 17999110 DOI: 10.1007/s00270-007-9226-z]</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37 </w:t>
      </w:r>
      <w:r w:rsidRPr="00F40A26">
        <w:rPr>
          <w:rFonts w:ascii="Book Antiqua" w:eastAsia="宋体" w:hAnsi="Book Antiqua" w:cs="宋体"/>
          <w:b/>
          <w:bCs/>
          <w:color w:val="000000"/>
          <w:kern w:val="0"/>
          <w:sz w:val="24"/>
          <w:szCs w:val="24"/>
          <w:lang w:eastAsia="zh-CN"/>
        </w:rPr>
        <w:t>Hong K</w:t>
      </w:r>
      <w:r w:rsidRPr="00F40A26">
        <w:rPr>
          <w:rFonts w:ascii="Book Antiqua" w:eastAsia="宋体" w:hAnsi="Book Antiqua" w:cs="宋体"/>
          <w:color w:val="000000"/>
          <w:kern w:val="0"/>
          <w:sz w:val="24"/>
          <w:szCs w:val="24"/>
          <w:lang w:eastAsia="zh-CN"/>
        </w:rPr>
        <w:t>, Khwaja A, Liapi E, Torbenson MS, Georgiades CS, Geschwind JF.</w:t>
      </w:r>
      <w:proofErr w:type="gramEnd"/>
      <w:r w:rsidRPr="00F40A26">
        <w:rPr>
          <w:rFonts w:ascii="Book Antiqua" w:eastAsia="宋体" w:hAnsi="Book Antiqua" w:cs="宋体"/>
          <w:color w:val="000000"/>
          <w:kern w:val="0"/>
          <w:sz w:val="24"/>
          <w:szCs w:val="24"/>
          <w:lang w:eastAsia="zh-CN"/>
        </w:rPr>
        <w:t xml:space="preserve"> New intra-arterial drug delivery system for the treatment of liver cancer: preclinical assessment in a rabbit model of liver cancer. </w:t>
      </w:r>
      <w:r w:rsidRPr="00F40A26">
        <w:rPr>
          <w:rFonts w:ascii="Book Antiqua" w:eastAsia="宋体" w:hAnsi="Book Antiqua" w:cs="宋体"/>
          <w:i/>
          <w:iCs/>
          <w:color w:val="000000"/>
          <w:kern w:val="0"/>
          <w:sz w:val="24"/>
          <w:szCs w:val="24"/>
          <w:lang w:eastAsia="zh-CN"/>
        </w:rPr>
        <w:t>Clin Cancer Res</w:t>
      </w:r>
      <w:r w:rsidRPr="00F40A26">
        <w:rPr>
          <w:rFonts w:ascii="Book Antiqua" w:eastAsia="宋体" w:hAnsi="Book Antiqua" w:cs="宋体"/>
          <w:color w:val="000000"/>
          <w:kern w:val="0"/>
          <w:sz w:val="24"/>
          <w:szCs w:val="24"/>
          <w:lang w:eastAsia="zh-CN"/>
        </w:rPr>
        <w:t> 2006; </w:t>
      </w:r>
      <w:r w:rsidRPr="00F40A26">
        <w:rPr>
          <w:rFonts w:ascii="Book Antiqua" w:eastAsia="宋体" w:hAnsi="Book Antiqua" w:cs="宋体"/>
          <w:b/>
          <w:bCs/>
          <w:color w:val="000000"/>
          <w:kern w:val="0"/>
          <w:sz w:val="24"/>
          <w:szCs w:val="24"/>
          <w:lang w:eastAsia="zh-CN"/>
        </w:rPr>
        <w:t>12</w:t>
      </w:r>
      <w:r w:rsidRPr="00F40A26">
        <w:rPr>
          <w:rFonts w:ascii="Book Antiqua" w:eastAsia="宋体" w:hAnsi="Book Antiqua" w:cs="宋体"/>
          <w:color w:val="000000"/>
          <w:kern w:val="0"/>
          <w:sz w:val="24"/>
          <w:szCs w:val="24"/>
          <w:lang w:eastAsia="zh-CN"/>
        </w:rPr>
        <w:t>: 2563-2567 [PMID: 16638866 DOI: 10.1158/1078-0432.CCR-05-2225]</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38 </w:t>
      </w:r>
      <w:r w:rsidRPr="00F40A26">
        <w:rPr>
          <w:rFonts w:ascii="Book Antiqua" w:eastAsia="宋体" w:hAnsi="Book Antiqua" w:cs="宋体"/>
          <w:b/>
          <w:bCs/>
          <w:color w:val="000000"/>
          <w:kern w:val="0"/>
          <w:sz w:val="24"/>
          <w:szCs w:val="24"/>
          <w:lang w:eastAsia="zh-CN"/>
        </w:rPr>
        <w:t>Guiu B</w:t>
      </w:r>
      <w:r w:rsidRPr="00F40A26">
        <w:rPr>
          <w:rFonts w:ascii="Book Antiqua" w:eastAsia="宋体" w:hAnsi="Book Antiqua" w:cs="宋体"/>
          <w:color w:val="000000"/>
          <w:kern w:val="0"/>
          <w:sz w:val="24"/>
          <w:szCs w:val="24"/>
          <w:lang w:eastAsia="zh-CN"/>
        </w:rPr>
        <w:t>, Deschamps F, Aho S, Munck F, Dromain C, Boige V, Malka D, Leboulleux S, Ducreux M, Schlumberger M, Baudin E, de Baere T. Liver/biliary injuries following chemoembolisation of endocrine tumours and hepatocellular carcinoma: lipiodol vs. drug-eluting beads. </w:t>
      </w:r>
      <w:r w:rsidRPr="00F40A26">
        <w:rPr>
          <w:rFonts w:ascii="Book Antiqua" w:eastAsia="宋体" w:hAnsi="Book Antiqua" w:cs="宋体"/>
          <w:i/>
          <w:iCs/>
          <w:color w:val="000000"/>
          <w:kern w:val="0"/>
          <w:sz w:val="24"/>
          <w:szCs w:val="24"/>
          <w:lang w:eastAsia="zh-CN"/>
        </w:rPr>
        <w:t>J Hepatol</w:t>
      </w:r>
      <w:r w:rsidRPr="00F40A26">
        <w:rPr>
          <w:rFonts w:ascii="Book Antiqua" w:eastAsia="宋体" w:hAnsi="Book Antiqua" w:cs="宋体"/>
          <w:color w:val="000000"/>
          <w:kern w:val="0"/>
          <w:sz w:val="24"/>
          <w:szCs w:val="24"/>
          <w:lang w:eastAsia="zh-CN"/>
        </w:rPr>
        <w:t> 2012; </w:t>
      </w:r>
      <w:r w:rsidRPr="00F40A26">
        <w:rPr>
          <w:rFonts w:ascii="Book Antiqua" w:eastAsia="宋体" w:hAnsi="Book Antiqua" w:cs="宋体"/>
          <w:b/>
          <w:bCs/>
          <w:color w:val="000000"/>
          <w:kern w:val="0"/>
          <w:sz w:val="24"/>
          <w:szCs w:val="24"/>
          <w:lang w:eastAsia="zh-CN"/>
        </w:rPr>
        <w:t>56</w:t>
      </w:r>
      <w:r w:rsidRPr="00F40A26">
        <w:rPr>
          <w:rFonts w:ascii="Book Antiqua" w:eastAsia="宋体" w:hAnsi="Book Antiqua" w:cs="宋体"/>
          <w:color w:val="000000"/>
          <w:kern w:val="0"/>
          <w:sz w:val="24"/>
          <w:szCs w:val="24"/>
          <w:lang w:eastAsia="zh-CN"/>
        </w:rPr>
        <w:t>: 609-617 [PMID: 22027582 DOI: 10.1016/j.jhep.2011.09.012]</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39 </w:t>
      </w:r>
      <w:r w:rsidRPr="00F40A26">
        <w:rPr>
          <w:rFonts w:ascii="Book Antiqua" w:eastAsia="宋体" w:hAnsi="Book Antiqua" w:cs="宋体"/>
          <w:b/>
          <w:bCs/>
          <w:color w:val="000000"/>
          <w:kern w:val="0"/>
          <w:sz w:val="24"/>
          <w:szCs w:val="24"/>
          <w:lang w:eastAsia="zh-CN"/>
        </w:rPr>
        <w:t>Lammer J</w:t>
      </w:r>
      <w:r w:rsidRPr="00F40A26">
        <w:rPr>
          <w:rFonts w:ascii="Book Antiqua" w:eastAsia="宋体" w:hAnsi="Book Antiqua" w:cs="宋体"/>
          <w:color w:val="000000"/>
          <w:kern w:val="0"/>
          <w:sz w:val="24"/>
          <w:szCs w:val="24"/>
          <w:lang w:eastAsia="zh-CN"/>
        </w:rPr>
        <w:t>, Malagari K, Vogl T, Pilleul F, Denys A, Watkinson A, Pitton M, Sergent G, Pfammatter T, Terraz S, Benhamou Y, Avajon Y, Gruenberger T, Pomoni M, Langenberger H, Schuchmann M, Dumortier J, Mueller C, Chevallier P, Lencioni R. Prospective randomized study of doxorubicin-eluting-bead embolization in the treatment of hepatocellular carcinoma: results of the PRECISION V study. </w:t>
      </w:r>
      <w:r w:rsidRPr="00F40A26">
        <w:rPr>
          <w:rFonts w:ascii="Book Antiqua" w:eastAsia="宋体" w:hAnsi="Book Antiqua" w:cs="宋体"/>
          <w:i/>
          <w:iCs/>
          <w:color w:val="000000"/>
          <w:kern w:val="0"/>
          <w:sz w:val="24"/>
          <w:szCs w:val="24"/>
          <w:lang w:eastAsia="zh-CN"/>
        </w:rPr>
        <w:t>Cardiovasc Intervent Radiol</w:t>
      </w:r>
      <w:r w:rsidRPr="00F40A26">
        <w:rPr>
          <w:rFonts w:ascii="Book Antiqua" w:eastAsia="宋体" w:hAnsi="Book Antiqua" w:cs="宋体"/>
          <w:color w:val="000000"/>
          <w:kern w:val="0"/>
          <w:sz w:val="24"/>
          <w:szCs w:val="24"/>
          <w:lang w:eastAsia="zh-CN"/>
        </w:rPr>
        <w:t> 2010; </w:t>
      </w:r>
      <w:r w:rsidRPr="00F40A26">
        <w:rPr>
          <w:rFonts w:ascii="Book Antiqua" w:eastAsia="宋体" w:hAnsi="Book Antiqua" w:cs="宋体"/>
          <w:b/>
          <w:bCs/>
          <w:color w:val="000000"/>
          <w:kern w:val="0"/>
          <w:sz w:val="24"/>
          <w:szCs w:val="24"/>
          <w:lang w:eastAsia="zh-CN"/>
        </w:rPr>
        <w:t>33</w:t>
      </w:r>
      <w:r w:rsidRPr="00F40A26">
        <w:rPr>
          <w:rFonts w:ascii="Book Antiqua" w:eastAsia="宋体" w:hAnsi="Book Antiqua" w:cs="宋体"/>
          <w:color w:val="000000"/>
          <w:kern w:val="0"/>
          <w:sz w:val="24"/>
          <w:szCs w:val="24"/>
          <w:lang w:eastAsia="zh-CN"/>
        </w:rPr>
        <w:t>: 41-52 [PMID: 19908093 DOI: 10.1007/s00270-009-9711-7]</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40 </w:t>
      </w:r>
      <w:r w:rsidRPr="00F40A26">
        <w:rPr>
          <w:rFonts w:ascii="Book Antiqua" w:eastAsia="宋体" w:hAnsi="Book Antiqua" w:cs="宋体"/>
          <w:b/>
          <w:bCs/>
          <w:color w:val="000000"/>
          <w:kern w:val="0"/>
          <w:sz w:val="24"/>
          <w:szCs w:val="24"/>
          <w:lang w:eastAsia="zh-CN"/>
        </w:rPr>
        <w:t>Ibrahim SM</w:t>
      </w:r>
      <w:r w:rsidRPr="00F40A26">
        <w:rPr>
          <w:rFonts w:ascii="Book Antiqua" w:eastAsia="宋体" w:hAnsi="Book Antiqua" w:cs="宋体"/>
          <w:color w:val="000000"/>
          <w:kern w:val="0"/>
          <w:sz w:val="24"/>
          <w:szCs w:val="24"/>
          <w:lang w:eastAsia="zh-CN"/>
        </w:rPr>
        <w:t>, Lewandowski RJ, Sato KT, Gates VL, Kulik L, Mulcahy MF, Ryu RK, Omary RA, Salem R. Radioembolization for the treatment of unresectable hepatocellular carcinoma: a clinical review. </w:t>
      </w:r>
      <w:r w:rsidRPr="00F40A26">
        <w:rPr>
          <w:rFonts w:ascii="Book Antiqua" w:eastAsia="宋体" w:hAnsi="Book Antiqua" w:cs="宋体"/>
          <w:i/>
          <w:iCs/>
          <w:color w:val="000000"/>
          <w:kern w:val="0"/>
          <w:sz w:val="24"/>
          <w:szCs w:val="24"/>
          <w:lang w:eastAsia="zh-CN"/>
        </w:rPr>
        <w:t>World J Gastroenterol</w:t>
      </w:r>
      <w:r w:rsidRPr="00F40A26">
        <w:rPr>
          <w:rFonts w:ascii="Book Antiqua" w:eastAsia="宋体" w:hAnsi="Book Antiqua" w:cs="宋体"/>
          <w:color w:val="000000"/>
          <w:kern w:val="0"/>
          <w:sz w:val="24"/>
          <w:szCs w:val="24"/>
          <w:lang w:eastAsia="zh-CN"/>
        </w:rPr>
        <w:t> 2008; </w:t>
      </w:r>
      <w:r w:rsidRPr="00F40A26">
        <w:rPr>
          <w:rFonts w:ascii="Book Antiqua" w:eastAsia="宋体" w:hAnsi="Book Antiqua" w:cs="宋体"/>
          <w:b/>
          <w:bCs/>
          <w:color w:val="000000"/>
          <w:kern w:val="0"/>
          <w:sz w:val="24"/>
          <w:szCs w:val="24"/>
          <w:lang w:eastAsia="zh-CN"/>
        </w:rPr>
        <w:t>14</w:t>
      </w:r>
      <w:r w:rsidRPr="00F40A26">
        <w:rPr>
          <w:rFonts w:ascii="Book Antiqua" w:eastAsia="宋体" w:hAnsi="Book Antiqua" w:cs="宋体"/>
          <w:color w:val="000000"/>
          <w:kern w:val="0"/>
          <w:sz w:val="24"/>
          <w:szCs w:val="24"/>
          <w:lang w:eastAsia="zh-CN"/>
        </w:rPr>
        <w:t>: 1664-1669 [PMID: 18350597 DOI: 10.3748/wjg.14.1664]</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41 </w:t>
      </w:r>
      <w:r w:rsidRPr="00F40A26">
        <w:rPr>
          <w:rFonts w:ascii="Book Antiqua" w:eastAsia="宋体" w:hAnsi="Book Antiqua" w:cs="宋体"/>
          <w:b/>
          <w:bCs/>
          <w:color w:val="000000"/>
          <w:kern w:val="0"/>
          <w:sz w:val="24"/>
          <w:szCs w:val="24"/>
          <w:lang w:eastAsia="zh-CN"/>
        </w:rPr>
        <w:t>Sangro B</w:t>
      </w:r>
      <w:r w:rsidRPr="00F40A26">
        <w:rPr>
          <w:rFonts w:ascii="Book Antiqua" w:eastAsia="宋体" w:hAnsi="Book Antiqua" w:cs="宋体"/>
          <w:color w:val="000000"/>
          <w:kern w:val="0"/>
          <w:sz w:val="24"/>
          <w:szCs w:val="24"/>
          <w:lang w:eastAsia="zh-CN"/>
        </w:rPr>
        <w:t>, Iñarrairaegui M, Bilbao JI.</w:t>
      </w:r>
      <w:proofErr w:type="gramEnd"/>
      <w:r w:rsidRPr="00F40A26">
        <w:rPr>
          <w:rFonts w:ascii="Book Antiqua" w:eastAsia="宋体" w:hAnsi="Book Antiqua" w:cs="宋体"/>
          <w:color w:val="000000"/>
          <w:kern w:val="0"/>
          <w:sz w:val="24"/>
          <w:szCs w:val="24"/>
          <w:lang w:eastAsia="zh-CN"/>
        </w:rPr>
        <w:t xml:space="preserve"> </w:t>
      </w:r>
      <w:proofErr w:type="gramStart"/>
      <w:r w:rsidRPr="00F40A26">
        <w:rPr>
          <w:rFonts w:ascii="Book Antiqua" w:eastAsia="宋体" w:hAnsi="Book Antiqua" w:cs="宋体"/>
          <w:color w:val="000000"/>
          <w:kern w:val="0"/>
          <w:sz w:val="24"/>
          <w:szCs w:val="24"/>
          <w:lang w:eastAsia="zh-CN"/>
        </w:rPr>
        <w:t>Radioembolization for hepatocellular carcinoma.</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J Hepatol</w:t>
      </w:r>
      <w:r w:rsidRPr="00F40A26">
        <w:rPr>
          <w:rFonts w:ascii="Book Antiqua" w:eastAsia="宋体" w:hAnsi="Book Antiqua" w:cs="宋体"/>
          <w:color w:val="000000"/>
          <w:kern w:val="0"/>
          <w:sz w:val="24"/>
          <w:szCs w:val="24"/>
          <w:lang w:eastAsia="zh-CN"/>
        </w:rPr>
        <w:t> 2012; </w:t>
      </w:r>
      <w:r w:rsidRPr="00F40A26">
        <w:rPr>
          <w:rFonts w:ascii="Book Antiqua" w:eastAsia="宋体" w:hAnsi="Book Antiqua" w:cs="宋体"/>
          <w:b/>
          <w:bCs/>
          <w:color w:val="000000"/>
          <w:kern w:val="0"/>
          <w:sz w:val="24"/>
          <w:szCs w:val="24"/>
          <w:lang w:eastAsia="zh-CN"/>
        </w:rPr>
        <w:t>56</w:t>
      </w:r>
      <w:r w:rsidRPr="00F40A26">
        <w:rPr>
          <w:rFonts w:ascii="Book Antiqua" w:eastAsia="宋体" w:hAnsi="Book Antiqua" w:cs="宋体"/>
          <w:color w:val="000000"/>
          <w:kern w:val="0"/>
          <w:sz w:val="24"/>
          <w:szCs w:val="24"/>
          <w:lang w:eastAsia="zh-CN"/>
        </w:rPr>
        <w:t>: 464-473 [PMID: 21816126 DOI: 10.1016/j.jhep.2011.07.012]</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42 </w:t>
      </w:r>
      <w:r w:rsidRPr="00F40A26">
        <w:rPr>
          <w:rFonts w:ascii="Book Antiqua" w:eastAsia="宋体" w:hAnsi="Book Antiqua" w:cs="宋体"/>
          <w:b/>
          <w:bCs/>
          <w:color w:val="000000"/>
          <w:kern w:val="0"/>
          <w:sz w:val="24"/>
          <w:szCs w:val="24"/>
          <w:lang w:eastAsia="zh-CN"/>
        </w:rPr>
        <w:t>Lance C</w:t>
      </w:r>
      <w:r w:rsidRPr="00F40A26">
        <w:rPr>
          <w:rFonts w:ascii="Book Antiqua" w:eastAsia="宋体" w:hAnsi="Book Antiqua" w:cs="宋体"/>
          <w:color w:val="000000"/>
          <w:kern w:val="0"/>
          <w:sz w:val="24"/>
          <w:szCs w:val="24"/>
          <w:lang w:eastAsia="zh-CN"/>
        </w:rPr>
        <w:t xml:space="preserve">, McLennan G, Obuchowski N, Cheah G, Levitin A, Sands M, Spain J, Srinivas S, Shrikanthan S, Aucejo FN, Kim R, Menon KV. </w:t>
      </w:r>
      <w:proofErr w:type="gramStart"/>
      <w:r w:rsidRPr="00F40A26">
        <w:rPr>
          <w:rFonts w:ascii="Book Antiqua" w:eastAsia="宋体" w:hAnsi="Book Antiqua" w:cs="宋体"/>
          <w:color w:val="000000"/>
          <w:kern w:val="0"/>
          <w:sz w:val="24"/>
          <w:szCs w:val="24"/>
          <w:lang w:eastAsia="zh-CN"/>
        </w:rPr>
        <w:t xml:space="preserve">Comparative analysis of the safety and efficacy of transcatheter arterial chemoembolization and </w:t>
      </w:r>
      <w:r w:rsidRPr="00F40A26">
        <w:rPr>
          <w:rFonts w:ascii="Book Antiqua" w:eastAsia="宋体" w:hAnsi="Book Antiqua" w:cs="宋体"/>
          <w:color w:val="000000"/>
          <w:kern w:val="0"/>
          <w:sz w:val="24"/>
          <w:szCs w:val="24"/>
          <w:lang w:eastAsia="zh-CN"/>
        </w:rPr>
        <w:lastRenderedPageBreak/>
        <w:t>yttrium-90 radioembolization in patients with unresectable hepatocellular carcinoma.</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J Vasc Interv Radiol</w:t>
      </w:r>
      <w:r w:rsidRPr="00F40A26">
        <w:rPr>
          <w:rFonts w:ascii="Book Antiqua" w:eastAsia="宋体" w:hAnsi="Book Antiqua" w:cs="宋体"/>
          <w:color w:val="000000"/>
          <w:kern w:val="0"/>
          <w:sz w:val="24"/>
          <w:szCs w:val="24"/>
          <w:lang w:eastAsia="zh-CN"/>
        </w:rPr>
        <w:t> 2011; </w:t>
      </w:r>
      <w:r w:rsidRPr="00F40A26">
        <w:rPr>
          <w:rFonts w:ascii="Book Antiqua" w:eastAsia="宋体" w:hAnsi="Book Antiqua" w:cs="宋体"/>
          <w:b/>
          <w:bCs/>
          <w:color w:val="000000"/>
          <w:kern w:val="0"/>
          <w:sz w:val="24"/>
          <w:szCs w:val="24"/>
          <w:lang w:eastAsia="zh-CN"/>
        </w:rPr>
        <w:t>22</w:t>
      </w:r>
      <w:r w:rsidRPr="00F40A26">
        <w:rPr>
          <w:rFonts w:ascii="Book Antiqua" w:eastAsia="宋体" w:hAnsi="Book Antiqua" w:cs="宋体"/>
          <w:color w:val="000000"/>
          <w:kern w:val="0"/>
          <w:sz w:val="24"/>
          <w:szCs w:val="24"/>
          <w:lang w:eastAsia="zh-CN"/>
        </w:rPr>
        <w:t>: 1697-1705 [PMID: 21983055 DOI: 10.1016/j.jvir.2011.08.013]</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43 </w:t>
      </w:r>
      <w:r w:rsidRPr="00F40A26">
        <w:rPr>
          <w:rFonts w:ascii="Book Antiqua" w:eastAsia="宋体" w:hAnsi="Book Antiqua" w:cs="宋体"/>
          <w:b/>
          <w:bCs/>
          <w:color w:val="000000"/>
          <w:kern w:val="0"/>
          <w:sz w:val="24"/>
          <w:szCs w:val="24"/>
          <w:lang w:eastAsia="zh-CN"/>
        </w:rPr>
        <w:t>Nalesnik MA</w:t>
      </w:r>
      <w:r w:rsidRPr="00F40A26">
        <w:rPr>
          <w:rFonts w:ascii="Book Antiqua" w:eastAsia="宋体" w:hAnsi="Book Antiqua" w:cs="宋体"/>
          <w:color w:val="000000"/>
          <w:kern w:val="0"/>
          <w:sz w:val="24"/>
          <w:szCs w:val="24"/>
          <w:lang w:eastAsia="zh-CN"/>
        </w:rPr>
        <w:t>, Federle M, Buck D, Fontes P, Carr BI. Hepatobiliary effects of 90yttrium microsphere therapy for unresectable hepatocellular carcinoma. </w:t>
      </w:r>
      <w:r w:rsidRPr="00F40A26">
        <w:rPr>
          <w:rFonts w:ascii="Book Antiqua" w:eastAsia="宋体" w:hAnsi="Book Antiqua" w:cs="宋体"/>
          <w:i/>
          <w:iCs/>
          <w:color w:val="000000"/>
          <w:kern w:val="0"/>
          <w:sz w:val="24"/>
          <w:szCs w:val="24"/>
          <w:lang w:eastAsia="zh-CN"/>
        </w:rPr>
        <w:t>Hum Pathol</w:t>
      </w:r>
      <w:r w:rsidRPr="00F40A26">
        <w:rPr>
          <w:rFonts w:ascii="Book Antiqua" w:eastAsia="宋体" w:hAnsi="Book Antiqua" w:cs="宋体"/>
          <w:color w:val="000000"/>
          <w:kern w:val="0"/>
          <w:sz w:val="24"/>
          <w:szCs w:val="24"/>
          <w:lang w:eastAsia="zh-CN"/>
        </w:rPr>
        <w:t> 2009; </w:t>
      </w:r>
      <w:r w:rsidRPr="00F40A26">
        <w:rPr>
          <w:rFonts w:ascii="Book Antiqua" w:eastAsia="宋体" w:hAnsi="Book Antiqua" w:cs="宋体"/>
          <w:b/>
          <w:bCs/>
          <w:color w:val="000000"/>
          <w:kern w:val="0"/>
          <w:sz w:val="24"/>
          <w:szCs w:val="24"/>
          <w:lang w:eastAsia="zh-CN"/>
        </w:rPr>
        <w:t>40</w:t>
      </w:r>
      <w:r w:rsidRPr="00F40A26">
        <w:rPr>
          <w:rFonts w:ascii="Book Antiqua" w:eastAsia="宋体" w:hAnsi="Book Antiqua" w:cs="宋体"/>
          <w:color w:val="000000"/>
          <w:kern w:val="0"/>
          <w:sz w:val="24"/>
          <w:szCs w:val="24"/>
          <w:lang w:eastAsia="zh-CN"/>
        </w:rPr>
        <w:t>: 125-134 [PMID: 18799190 DOI: 10.1016/j.humpath.2008.06.024]</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44 </w:t>
      </w:r>
      <w:r w:rsidRPr="00F40A26">
        <w:rPr>
          <w:rFonts w:ascii="Book Antiqua" w:eastAsia="宋体" w:hAnsi="Book Antiqua" w:cs="宋体"/>
          <w:b/>
          <w:bCs/>
          <w:color w:val="000000"/>
          <w:kern w:val="0"/>
          <w:sz w:val="24"/>
          <w:szCs w:val="24"/>
          <w:lang w:eastAsia="zh-CN"/>
        </w:rPr>
        <w:t>Jakobs TF</w:t>
      </w:r>
      <w:r w:rsidRPr="00F40A26">
        <w:rPr>
          <w:rFonts w:ascii="Book Antiqua" w:eastAsia="宋体" w:hAnsi="Book Antiqua" w:cs="宋体"/>
          <w:color w:val="000000"/>
          <w:kern w:val="0"/>
          <w:sz w:val="24"/>
          <w:szCs w:val="24"/>
          <w:lang w:eastAsia="zh-CN"/>
        </w:rPr>
        <w:t>, Saleem S, Atassi B, Reda E, Lewandowski RJ, Yaghmai V, Miller F, Ryu RK, Ibrahim S, Sato KT, Kulik LM, Mulcahy MF, Omary R, Murthy R, Reiser MF, Salem R. Fibrosis, portal hypertension, and hepatic volume changes induced by intra-arterial radiotherapy with 90yttrium microspheres. </w:t>
      </w:r>
      <w:r w:rsidRPr="00F40A26">
        <w:rPr>
          <w:rFonts w:ascii="Book Antiqua" w:eastAsia="宋体" w:hAnsi="Book Antiqua" w:cs="宋体"/>
          <w:i/>
          <w:iCs/>
          <w:color w:val="000000"/>
          <w:kern w:val="0"/>
          <w:sz w:val="24"/>
          <w:szCs w:val="24"/>
          <w:lang w:eastAsia="zh-CN"/>
        </w:rPr>
        <w:t>Dig Dis Sci</w:t>
      </w:r>
      <w:r w:rsidRPr="00F40A26">
        <w:rPr>
          <w:rFonts w:ascii="Book Antiqua" w:eastAsia="宋体" w:hAnsi="Book Antiqua" w:cs="宋体"/>
          <w:color w:val="000000"/>
          <w:kern w:val="0"/>
          <w:sz w:val="24"/>
          <w:szCs w:val="24"/>
          <w:lang w:eastAsia="zh-CN"/>
        </w:rPr>
        <w:t> 2008; </w:t>
      </w:r>
      <w:r w:rsidRPr="00F40A26">
        <w:rPr>
          <w:rFonts w:ascii="Book Antiqua" w:eastAsia="宋体" w:hAnsi="Book Antiqua" w:cs="宋体"/>
          <w:b/>
          <w:bCs/>
          <w:color w:val="000000"/>
          <w:kern w:val="0"/>
          <w:sz w:val="24"/>
          <w:szCs w:val="24"/>
          <w:lang w:eastAsia="zh-CN"/>
        </w:rPr>
        <w:t>53</w:t>
      </w:r>
      <w:r w:rsidRPr="00F40A26">
        <w:rPr>
          <w:rFonts w:ascii="Book Antiqua" w:eastAsia="宋体" w:hAnsi="Book Antiqua" w:cs="宋体"/>
          <w:color w:val="000000"/>
          <w:kern w:val="0"/>
          <w:sz w:val="24"/>
          <w:szCs w:val="24"/>
          <w:lang w:eastAsia="zh-CN"/>
        </w:rPr>
        <w:t>: 2556-2563 [PMID: 18231857 DOI: 10.1007/s10620-007-0148-z]</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45 </w:t>
      </w:r>
      <w:r w:rsidRPr="00F40A26">
        <w:rPr>
          <w:rFonts w:ascii="Book Antiqua" w:eastAsia="宋体" w:hAnsi="Book Antiqua" w:cs="宋体"/>
          <w:b/>
          <w:bCs/>
          <w:color w:val="000000"/>
          <w:kern w:val="0"/>
          <w:sz w:val="24"/>
          <w:szCs w:val="24"/>
          <w:lang w:eastAsia="zh-CN"/>
        </w:rPr>
        <w:t>Kim RD</w:t>
      </w:r>
      <w:r w:rsidRPr="00F40A26">
        <w:rPr>
          <w:rFonts w:ascii="Book Antiqua" w:eastAsia="宋体" w:hAnsi="Book Antiqua" w:cs="宋体"/>
          <w:color w:val="000000"/>
          <w:kern w:val="0"/>
          <w:sz w:val="24"/>
          <w:szCs w:val="24"/>
          <w:lang w:eastAsia="zh-CN"/>
        </w:rPr>
        <w:t>, Kim JS, Watanabe G, Mohuczy D, Behrns KE.</w:t>
      </w:r>
      <w:proofErr w:type="gramEnd"/>
      <w:r w:rsidRPr="00F40A26">
        <w:rPr>
          <w:rFonts w:ascii="Book Antiqua" w:eastAsia="宋体" w:hAnsi="Book Antiqua" w:cs="宋体"/>
          <w:color w:val="000000"/>
          <w:kern w:val="0"/>
          <w:sz w:val="24"/>
          <w:szCs w:val="24"/>
          <w:lang w:eastAsia="zh-CN"/>
        </w:rPr>
        <w:t xml:space="preserve"> </w:t>
      </w:r>
      <w:proofErr w:type="gramStart"/>
      <w:r w:rsidRPr="00F40A26">
        <w:rPr>
          <w:rFonts w:ascii="Book Antiqua" w:eastAsia="宋体" w:hAnsi="Book Antiqua" w:cs="宋体"/>
          <w:color w:val="000000"/>
          <w:kern w:val="0"/>
          <w:sz w:val="24"/>
          <w:szCs w:val="24"/>
          <w:lang w:eastAsia="zh-CN"/>
        </w:rPr>
        <w:t>Liver regeneration and the atrophy-hypertrophy complex.</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Semin Intervent Radiol</w:t>
      </w:r>
      <w:r w:rsidRPr="00F40A26">
        <w:rPr>
          <w:rFonts w:ascii="Book Antiqua" w:eastAsia="宋体" w:hAnsi="Book Antiqua" w:cs="宋体"/>
          <w:color w:val="000000"/>
          <w:kern w:val="0"/>
          <w:sz w:val="24"/>
          <w:szCs w:val="24"/>
          <w:lang w:eastAsia="zh-CN"/>
        </w:rPr>
        <w:t> 2008; </w:t>
      </w:r>
      <w:r w:rsidRPr="00F40A26">
        <w:rPr>
          <w:rFonts w:ascii="Book Antiqua" w:eastAsia="宋体" w:hAnsi="Book Antiqua" w:cs="宋体"/>
          <w:b/>
          <w:bCs/>
          <w:color w:val="000000"/>
          <w:kern w:val="0"/>
          <w:sz w:val="24"/>
          <w:szCs w:val="24"/>
          <w:lang w:eastAsia="zh-CN"/>
        </w:rPr>
        <w:t>25</w:t>
      </w:r>
      <w:r w:rsidRPr="00F40A26">
        <w:rPr>
          <w:rFonts w:ascii="Book Antiqua" w:eastAsia="宋体" w:hAnsi="Book Antiqua" w:cs="宋体"/>
          <w:color w:val="000000"/>
          <w:kern w:val="0"/>
          <w:sz w:val="24"/>
          <w:szCs w:val="24"/>
          <w:lang w:eastAsia="zh-CN"/>
        </w:rPr>
        <w:t>: 92-103 [PMID: 21326550 DOI: 10.1055/s-2008-1076679]</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46 </w:t>
      </w:r>
      <w:r w:rsidRPr="00F40A26">
        <w:rPr>
          <w:rFonts w:ascii="Book Antiqua" w:eastAsia="宋体" w:hAnsi="Book Antiqua" w:cs="宋体"/>
          <w:b/>
          <w:bCs/>
          <w:color w:val="000000"/>
          <w:kern w:val="0"/>
          <w:sz w:val="24"/>
          <w:szCs w:val="24"/>
          <w:lang w:eastAsia="zh-CN"/>
        </w:rPr>
        <w:t>Gaba RC</w:t>
      </w:r>
      <w:r w:rsidRPr="00F40A26">
        <w:rPr>
          <w:rFonts w:ascii="Book Antiqua" w:eastAsia="宋体" w:hAnsi="Book Antiqua" w:cs="宋体"/>
          <w:color w:val="000000"/>
          <w:kern w:val="0"/>
          <w:sz w:val="24"/>
          <w:szCs w:val="24"/>
          <w:lang w:eastAsia="zh-CN"/>
        </w:rPr>
        <w:t>, Lewandowski RJ, Kulik LM, Riaz A, Ibrahim SM, Mulcahy MF, Ryu RK, Sato KT, Gates V, Abecassis MM, Omary RA, Baker TB, Salem R. Radiation lobectomy: preliminary findings of hepatic volumetric response to lobar yttrium-90 radioembolization. </w:t>
      </w:r>
      <w:r w:rsidRPr="00F40A26">
        <w:rPr>
          <w:rFonts w:ascii="Book Antiqua" w:eastAsia="宋体" w:hAnsi="Book Antiqua" w:cs="宋体"/>
          <w:i/>
          <w:iCs/>
          <w:color w:val="000000"/>
          <w:kern w:val="0"/>
          <w:sz w:val="24"/>
          <w:szCs w:val="24"/>
          <w:lang w:eastAsia="zh-CN"/>
        </w:rPr>
        <w:t>Ann Surg Oncol</w:t>
      </w:r>
      <w:r w:rsidRPr="00F40A26">
        <w:rPr>
          <w:rFonts w:ascii="Book Antiqua" w:eastAsia="宋体" w:hAnsi="Book Antiqua" w:cs="宋体"/>
          <w:color w:val="000000"/>
          <w:kern w:val="0"/>
          <w:sz w:val="24"/>
          <w:szCs w:val="24"/>
          <w:lang w:eastAsia="zh-CN"/>
        </w:rPr>
        <w:t> 2009; </w:t>
      </w:r>
      <w:r w:rsidRPr="00F40A26">
        <w:rPr>
          <w:rFonts w:ascii="Book Antiqua" w:eastAsia="宋体" w:hAnsi="Book Antiqua" w:cs="宋体"/>
          <w:b/>
          <w:bCs/>
          <w:color w:val="000000"/>
          <w:kern w:val="0"/>
          <w:sz w:val="24"/>
          <w:szCs w:val="24"/>
          <w:lang w:eastAsia="zh-CN"/>
        </w:rPr>
        <w:t>16</w:t>
      </w:r>
      <w:r w:rsidRPr="00F40A26">
        <w:rPr>
          <w:rFonts w:ascii="Book Antiqua" w:eastAsia="宋体" w:hAnsi="Book Antiqua" w:cs="宋体"/>
          <w:color w:val="000000"/>
          <w:kern w:val="0"/>
          <w:sz w:val="24"/>
          <w:szCs w:val="24"/>
          <w:lang w:eastAsia="zh-CN"/>
        </w:rPr>
        <w:t>: 1587-1596 [PMID: 19357924 DOI: 10.1245/s10434-009-0454-0]</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47 </w:t>
      </w:r>
      <w:r w:rsidRPr="00F40A26">
        <w:rPr>
          <w:rFonts w:ascii="Book Antiqua" w:eastAsia="宋体" w:hAnsi="Book Antiqua" w:cs="宋体"/>
          <w:b/>
          <w:bCs/>
          <w:color w:val="000000"/>
          <w:kern w:val="0"/>
          <w:sz w:val="24"/>
          <w:szCs w:val="24"/>
          <w:lang w:eastAsia="zh-CN"/>
        </w:rPr>
        <w:t>Theysohn JM</w:t>
      </w:r>
      <w:r w:rsidRPr="00F40A26">
        <w:rPr>
          <w:rFonts w:ascii="Book Antiqua" w:eastAsia="宋体" w:hAnsi="Book Antiqua" w:cs="宋体"/>
          <w:color w:val="000000"/>
          <w:kern w:val="0"/>
          <w:sz w:val="24"/>
          <w:szCs w:val="24"/>
          <w:lang w:eastAsia="zh-CN"/>
        </w:rPr>
        <w:t>, Ertle J, Müller S, Schlaak JF, Nensa F, Sipilae S, Bockisch A, Lauenstein TC. Hepatic volume changes after lobar selective internal radiation therapy (SIRT) of hepatocellular carcinoma. </w:t>
      </w:r>
      <w:r w:rsidRPr="00F40A26">
        <w:rPr>
          <w:rFonts w:ascii="Book Antiqua" w:eastAsia="宋体" w:hAnsi="Book Antiqua" w:cs="宋体"/>
          <w:i/>
          <w:iCs/>
          <w:color w:val="000000"/>
          <w:kern w:val="0"/>
          <w:sz w:val="24"/>
          <w:szCs w:val="24"/>
          <w:lang w:eastAsia="zh-CN"/>
        </w:rPr>
        <w:t>Clin Radiol</w:t>
      </w:r>
      <w:r w:rsidRPr="00F40A26">
        <w:rPr>
          <w:rFonts w:ascii="Book Antiqua" w:eastAsia="宋体" w:hAnsi="Book Antiqua" w:cs="宋体"/>
          <w:color w:val="000000"/>
          <w:kern w:val="0"/>
          <w:sz w:val="24"/>
          <w:szCs w:val="24"/>
          <w:lang w:eastAsia="zh-CN"/>
        </w:rPr>
        <w:t> 2014; </w:t>
      </w:r>
      <w:r w:rsidRPr="00F40A26">
        <w:rPr>
          <w:rFonts w:ascii="Book Antiqua" w:eastAsia="宋体" w:hAnsi="Book Antiqua" w:cs="宋体"/>
          <w:b/>
          <w:bCs/>
          <w:color w:val="000000"/>
          <w:kern w:val="0"/>
          <w:sz w:val="24"/>
          <w:szCs w:val="24"/>
          <w:lang w:eastAsia="zh-CN"/>
        </w:rPr>
        <w:t>69</w:t>
      </w:r>
      <w:r w:rsidRPr="00F40A26">
        <w:rPr>
          <w:rFonts w:ascii="Book Antiqua" w:eastAsia="宋体" w:hAnsi="Book Antiqua" w:cs="宋体"/>
          <w:color w:val="000000"/>
          <w:kern w:val="0"/>
          <w:sz w:val="24"/>
          <w:szCs w:val="24"/>
          <w:lang w:eastAsia="zh-CN"/>
        </w:rPr>
        <w:t>: 172-178 [PMID: 24209871 DOI: 10.1016/j.crad.2013.09.009]</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48 </w:t>
      </w:r>
      <w:r w:rsidRPr="00F40A26">
        <w:rPr>
          <w:rFonts w:ascii="Book Antiqua" w:eastAsia="宋体" w:hAnsi="Book Antiqua" w:cs="宋体"/>
          <w:b/>
          <w:bCs/>
          <w:color w:val="000000"/>
          <w:kern w:val="0"/>
          <w:sz w:val="24"/>
          <w:szCs w:val="24"/>
          <w:lang w:eastAsia="zh-CN"/>
        </w:rPr>
        <w:t>Cheng BQ</w:t>
      </w:r>
      <w:r w:rsidRPr="00F40A26">
        <w:rPr>
          <w:rFonts w:ascii="Book Antiqua" w:eastAsia="宋体" w:hAnsi="Book Antiqua" w:cs="宋体"/>
          <w:color w:val="000000"/>
          <w:kern w:val="0"/>
          <w:sz w:val="24"/>
          <w:szCs w:val="24"/>
          <w:lang w:eastAsia="zh-CN"/>
        </w:rPr>
        <w:t>, Jia CQ, Liu CT, Fan W, Wang QL, Zhang ZL, Yi CH. Chemoembolization combined with radiofrequency ablation for patients with hepatocellular carcinoma larger than 3 cm: a randomized controlled trial. </w:t>
      </w:r>
      <w:r w:rsidRPr="00F40A26">
        <w:rPr>
          <w:rFonts w:ascii="Book Antiqua" w:eastAsia="宋体" w:hAnsi="Book Antiqua" w:cs="宋体"/>
          <w:i/>
          <w:iCs/>
          <w:color w:val="000000"/>
          <w:kern w:val="0"/>
          <w:sz w:val="24"/>
          <w:szCs w:val="24"/>
          <w:lang w:eastAsia="zh-CN"/>
        </w:rPr>
        <w:t>JAMA</w:t>
      </w:r>
      <w:r w:rsidRPr="00F40A26">
        <w:rPr>
          <w:rFonts w:ascii="Book Antiqua" w:eastAsia="宋体" w:hAnsi="Book Antiqua" w:cs="宋体"/>
          <w:color w:val="000000"/>
          <w:kern w:val="0"/>
          <w:sz w:val="24"/>
          <w:szCs w:val="24"/>
          <w:lang w:eastAsia="zh-CN"/>
        </w:rPr>
        <w:t> 2008; </w:t>
      </w:r>
      <w:r w:rsidRPr="00F40A26">
        <w:rPr>
          <w:rFonts w:ascii="Book Antiqua" w:eastAsia="宋体" w:hAnsi="Book Antiqua" w:cs="宋体"/>
          <w:b/>
          <w:bCs/>
          <w:color w:val="000000"/>
          <w:kern w:val="0"/>
          <w:sz w:val="24"/>
          <w:szCs w:val="24"/>
          <w:lang w:eastAsia="zh-CN"/>
        </w:rPr>
        <w:t>299</w:t>
      </w:r>
      <w:r w:rsidRPr="00F40A26">
        <w:rPr>
          <w:rFonts w:ascii="Book Antiqua" w:eastAsia="宋体" w:hAnsi="Book Antiqua" w:cs="宋体"/>
          <w:color w:val="000000"/>
          <w:kern w:val="0"/>
          <w:sz w:val="24"/>
          <w:szCs w:val="24"/>
          <w:lang w:eastAsia="zh-CN"/>
        </w:rPr>
        <w:t>: 1669-1677 [PMID: 18398079 DOI: 10.1001/jama.299.14.1669]</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49 </w:t>
      </w:r>
      <w:r w:rsidRPr="00F40A26">
        <w:rPr>
          <w:rFonts w:ascii="Book Antiqua" w:eastAsia="宋体" w:hAnsi="Book Antiqua" w:cs="宋体"/>
          <w:b/>
          <w:bCs/>
          <w:color w:val="000000"/>
          <w:kern w:val="0"/>
          <w:sz w:val="24"/>
          <w:szCs w:val="24"/>
          <w:lang w:eastAsia="zh-CN"/>
        </w:rPr>
        <w:t>Nakamura H</w:t>
      </w:r>
      <w:r w:rsidRPr="00F40A26">
        <w:rPr>
          <w:rFonts w:ascii="Book Antiqua" w:eastAsia="宋体" w:hAnsi="Book Antiqua" w:cs="宋体"/>
          <w:color w:val="000000"/>
          <w:kern w:val="0"/>
          <w:sz w:val="24"/>
          <w:szCs w:val="24"/>
          <w:lang w:eastAsia="zh-CN"/>
        </w:rPr>
        <w:t>, Tanaka T, Hori S, Yoshioka H, Kuroda C, Okamura J, Sakurai M. Transcatheter embolization of hepatocellular carcinoma: assessment of efficacy in cases of resection following embolization.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1983; </w:t>
      </w:r>
      <w:r w:rsidRPr="00F40A26">
        <w:rPr>
          <w:rFonts w:ascii="Book Antiqua" w:eastAsia="宋体" w:hAnsi="Book Antiqua" w:cs="宋体"/>
          <w:b/>
          <w:bCs/>
          <w:color w:val="000000"/>
          <w:kern w:val="0"/>
          <w:sz w:val="24"/>
          <w:szCs w:val="24"/>
          <w:lang w:eastAsia="zh-CN"/>
        </w:rPr>
        <w:t>147</w:t>
      </w:r>
      <w:r w:rsidRPr="00F40A26">
        <w:rPr>
          <w:rFonts w:ascii="Book Antiqua" w:eastAsia="宋体" w:hAnsi="Book Antiqua" w:cs="宋体"/>
          <w:color w:val="000000"/>
          <w:kern w:val="0"/>
          <w:sz w:val="24"/>
          <w:szCs w:val="24"/>
          <w:lang w:eastAsia="zh-CN"/>
        </w:rPr>
        <w:t>: 401-405 [PMID: 6300959 DOI: 10.1148/radiology.147.2.6300959]</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50 </w:t>
      </w:r>
      <w:r w:rsidRPr="00F40A26">
        <w:rPr>
          <w:rFonts w:ascii="Book Antiqua" w:eastAsia="宋体" w:hAnsi="Book Antiqua" w:cs="宋体"/>
          <w:b/>
          <w:bCs/>
          <w:color w:val="000000"/>
          <w:kern w:val="0"/>
          <w:sz w:val="24"/>
          <w:szCs w:val="24"/>
          <w:lang w:eastAsia="zh-CN"/>
        </w:rPr>
        <w:t>Uchida H</w:t>
      </w:r>
      <w:r w:rsidRPr="00F40A26">
        <w:rPr>
          <w:rFonts w:ascii="Book Antiqua" w:eastAsia="宋体" w:hAnsi="Book Antiqua" w:cs="宋体"/>
          <w:color w:val="000000"/>
          <w:kern w:val="0"/>
          <w:sz w:val="24"/>
          <w:szCs w:val="24"/>
          <w:lang w:eastAsia="zh-CN"/>
        </w:rPr>
        <w:t>, Matsuo N, Sakaguchi H, Nagano N, Nishimine K, Ohishi H. Segmental embolotherapy for hepatic cancer: keys to success. </w:t>
      </w:r>
      <w:r w:rsidRPr="00F40A26">
        <w:rPr>
          <w:rFonts w:ascii="Book Antiqua" w:eastAsia="宋体" w:hAnsi="Book Antiqua" w:cs="宋体"/>
          <w:i/>
          <w:iCs/>
          <w:color w:val="000000"/>
          <w:kern w:val="0"/>
          <w:sz w:val="24"/>
          <w:szCs w:val="24"/>
          <w:lang w:eastAsia="zh-CN"/>
        </w:rPr>
        <w:t>Cardiovasc Intervent Radiol</w:t>
      </w:r>
      <w:r w:rsidRPr="00F40A26">
        <w:rPr>
          <w:rFonts w:ascii="Book Antiqua" w:eastAsia="宋体" w:hAnsi="Book Antiqua" w:cs="宋体"/>
          <w:color w:val="000000"/>
          <w:kern w:val="0"/>
          <w:sz w:val="24"/>
          <w:szCs w:val="24"/>
          <w:lang w:eastAsia="zh-CN"/>
        </w:rPr>
        <w:t> </w:t>
      </w:r>
      <w:r w:rsidR="001831D7">
        <w:rPr>
          <w:rFonts w:ascii="Book Antiqua" w:eastAsia="宋体" w:hAnsi="Book Antiqua" w:cs="宋体" w:hint="eastAsia"/>
          <w:color w:val="000000"/>
          <w:kern w:val="0"/>
          <w:sz w:val="24"/>
          <w:szCs w:val="24"/>
          <w:lang w:eastAsia="zh-CN"/>
        </w:rPr>
        <w:t>1993</w:t>
      </w:r>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b/>
          <w:bCs/>
          <w:color w:val="000000"/>
          <w:kern w:val="0"/>
          <w:sz w:val="24"/>
          <w:szCs w:val="24"/>
          <w:lang w:eastAsia="zh-CN"/>
        </w:rPr>
        <w:t>16</w:t>
      </w:r>
      <w:r w:rsidRPr="00F40A26">
        <w:rPr>
          <w:rFonts w:ascii="Book Antiqua" w:eastAsia="宋体" w:hAnsi="Book Antiqua" w:cs="宋体"/>
          <w:color w:val="000000"/>
          <w:kern w:val="0"/>
          <w:sz w:val="24"/>
          <w:szCs w:val="24"/>
          <w:lang w:eastAsia="zh-CN"/>
        </w:rPr>
        <w:t>: 67-71 [PMID: 8387393 DOI: 10.1007/BF02602980]</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lastRenderedPageBreak/>
        <w:t>51 </w:t>
      </w:r>
      <w:r w:rsidRPr="00F40A26">
        <w:rPr>
          <w:rFonts w:ascii="Book Antiqua" w:eastAsia="宋体" w:hAnsi="Book Antiqua" w:cs="宋体"/>
          <w:b/>
          <w:bCs/>
          <w:color w:val="000000"/>
          <w:kern w:val="0"/>
          <w:sz w:val="24"/>
          <w:szCs w:val="24"/>
          <w:lang w:eastAsia="zh-CN"/>
        </w:rPr>
        <w:t>Matsui O</w:t>
      </w:r>
      <w:r w:rsidRPr="00F40A26">
        <w:rPr>
          <w:rFonts w:ascii="Book Antiqua" w:eastAsia="宋体" w:hAnsi="Book Antiqua" w:cs="宋体"/>
          <w:color w:val="000000"/>
          <w:kern w:val="0"/>
          <w:sz w:val="24"/>
          <w:szCs w:val="24"/>
          <w:lang w:eastAsia="zh-CN"/>
        </w:rPr>
        <w:t>, Kadoya M, Yoshikawa J, Gabata T, Arai K, Demachi H, Miyayama S, Takashima T, Unoura M, Kogayashi K. Small hepatocellular carcinoma: treatment with subsegmental transcatheter arterial embolization.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1993; </w:t>
      </w:r>
      <w:r w:rsidRPr="00F40A26">
        <w:rPr>
          <w:rFonts w:ascii="Book Antiqua" w:eastAsia="宋体" w:hAnsi="Book Antiqua" w:cs="宋体"/>
          <w:b/>
          <w:bCs/>
          <w:color w:val="000000"/>
          <w:kern w:val="0"/>
          <w:sz w:val="24"/>
          <w:szCs w:val="24"/>
          <w:lang w:eastAsia="zh-CN"/>
        </w:rPr>
        <w:t>188</w:t>
      </w:r>
      <w:r w:rsidRPr="00F40A26">
        <w:rPr>
          <w:rFonts w:ascii="Book Antiqua" w:eastAsia="宋体" w:hAnsi="Book Antiqua" w:cs="宋体"/>
          <w:color w:val="000000"/>
          <w:kern w:val="0"/>
          <w:sz w:val="24"/>
          <w:szCs w:val="24"/>
          <w:lang w:eastAsia="zh-CN"/>
        </w:rPr>
        <w:t>: 79-83 [PMID: 8390073 DOI: 10.1148/radiology.188.1.8390073]</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52 </w:t>
      </w:r>
      <w:r w:rsidRPr="00F40A26">
        <w:rPr>
          <w:rFonts w:ascii="Book Antiqua" w:eastAsia="宋体" w:hAnsi="Book Antiqua" w:cs="宋体"/>
          <w:b/>
          <w:bCs/>
          <w:color w:val="000000"/>
          <w:kern w:val="0"/>
          <w:sz w:val="24"/>
          <w:szCs w:val="24"/>
          <w:lang w:eastAsia="zh-CN"/>
        </w:rPr>
        <w:t>Kanazawa S</w:t>
      </w:r>
      <w:r w:rsidRPr="00F40A26">
        <w:rPr>
          <w:rFonts w:ascii="Book Antiqua" w:eastAsia="宋体" w:hAnsi="Book Antiqua" w:cs="宋体"/>
          <w:color w:val="000000"/>
          <w:kern w:val="0"/>
          <w:sz w:val="24"/>
          <w:szCs w:val="24"/>
          <w:lang w:eastAsia="zh-CN"/>
        </w:rPr>
        <w:t>, Wright KC, Kasi LP, Charnsangavej C, Wallace S. Preliminary experimental evaluation of temporary segmental hepatic venous occlusion: angiographic, pathologic, and scintigraphic findings. </w:t>
      </w:r>
      <w:r w:rsidRPr="00F40A26">
        <w:rPr>
          <w:rFonts w:ascii="Book Antiqua" w:eastAsia="宋体" w:hAnsi="Book Antiqua" w:cs="宋体"/>
          <w:i/>
          <w:iCs/>
          <w:color w:val="000000"/>
          <w:kern w:val="0"/>
          <w:sz w:val="24"/>
          <w:szCs w:val="24"/>
          <w:lang w:eastAsia="zh-CN"/>
        </w:rPr>
        <w:t>J Vasc Interv Radiol</w:t>
      </w:r>
      <w:r w:rsidRPr="00F40A26">
        <w:rPr>
          <w:rFonts w:ascii="Book Antiqua" w:eastAsia="宋体" w:hAnsi="Book Antiqua" w:cs="宋体"/>
          <w:color w:val="000000"/>
          <w:kern w:val="0"/>
          <w:sz w:val="24"/>
          <w:szCs w:val="24"/>
          <w:lang w:eastAsia="zh-CN"/>
        </w:rPr>
        <w:t> </w:t>
      </w:r>
      <w:r w:rsidR="001831D7">
        <w:rPr>
          <w:rFonts w:ascii="Book Antiqua" w:eastAsia="宋体" w:hAnsi="Book Antiqua" w:cs="宋体" w:hint="eastAsia"/>
          <w:color w:val="000000"/>
          <w:kern w:val="0"/>
          <w:sz w:val="24"/>
          <w:szCs w:val="24"/>
          <w:lang w:eastAsia="zh-CN"/>
        </w:rPr>
        <w:t>1993</w:t>
      </w:r>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b/>
          <w:bCs/>
          <w:color w:val="000000"/>
          <w:kern w:val="0"/>
          <w:sz w:val="24"/>
          <w:szCs w:val="24"/>
          <w:lang w:eastAsia="zh-CN"/>
        </w:rPr>
        <w:t>4</w:t>
      </w:r>
      <w:r w:rsidRPr="00F40A26">
        <w:rPr>
          <w:rFonts w:ascii="Book Antiqua" w:eastAsia="宋体" w:hAnsi="Book Antiqua" w:cs="宋体"/>
          <w:color w:val="000000"/>
          <w:kern w:val="0"/>
          <w:sz w:val="24"/>
          <w:szCs w:val="24"/>
          <w:lang w:eastAsia="zh-CN"/>
        </w:rPr>
        <w:t>: 759-766 [PMID: 8280997 DOI: 10.1016/S1051-0443(93)71969-7]</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53 </w:t>
      </w:r>
      <w:r w:rsidRPr="00F40A26">
        <w:rPr>
          <w:rFonts w:ascii="Book Antiqua" w:eastAsia="宋体" w:hAnsi="Book Antiqua" w:cs="宋体"/>
          <w:b/>
          <w:bCs/>
          <w:color w:val="000000"/>
          <w:kern w:val="0"/>
          <w:sz w:val="24"/>
          <w:szCs w:val="24"/>
          <w:lang w:eastAsia="zh-CN"/>
        </w:rPr>
        <w:t>Murata S</w:t>
      </w:r>
      <w:r w:rsidRPr="00F40A26">
        <w:rPr>
          <w:rFonts w:ascii="Book Antiqua" w:eastAsia="宋体" w:hAnsi="Book Antiqua" w:cs="宋体"/>
          <w:color w:val="000000"/>
          <w:kern w:val="0"/>
          <w:sz w:val="24"/>
          <w:szCs w:val="24"/>
          <w:lang w:eastAsia="zh-CN"/>
        </w:rPr>
        <w:t>, Itai Y, Asato M, Kobayashi H, Nakajima K, Eguchi N, Saida Y, Kuramoto K, Tohno E. Effect of temporary occlusion of the hepatic vein on dual blood in the liver: evaluation with spiral CT.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1995; </w:t>
      </w:r>
      <w:r w:rsidRPr="00F40A26">
        <w:rPr>
          <w:rFonts w:ascii="Book Antiqua" w:eastAsia="宋体" w:hAnsi="Book Antiqua" w:cs="宋体"/>
          <w:b/>
          <w:bCs/>
          <w:color w:val="000000"/>
          <w:kern w:val="0"/>
          <w:sz w:val="24"/>
          <w:szCs w:val="24"/>
          <w:lang w:eastAsia="zh-CN"/>
        </w:rPr>
        <w:t>197</w:t>
      </w:r>
      <w:r w:rsidRPr="00F40A26">
        <w:rPr>
          <w:rFonts w:ascii="Book Antiqua" w:eastAsia="宋体" w:hAnsi="Book Antiqua" w:cs="宋体"/>
          <w:color w:val="000000"/>
          <w:kern w:val="0"/>
          <w:sz w:val="24"/>
          <w:szCs w:val="24"/>
          <w:lang w:eastAsia="zh-CN"/>
        </w:rPr>
        <w:t>: 351-356 [PMID: 7480676 DOI: 10.1148/radiology.197.2.7480676]</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54 </w:t>
      </w:r>
      <w:r w:rsidRPr="00F40A26">
        <w:rPr>
          <w:rFonts w:ascii="Book Antiqua" w:eastAsia="宋体" w:hAnsi="Book Antiqua" w:cs="宋体"/>
          <w:b/>
          <w:bCs/>
          <w:color w:val="000000"/>
          <w:kern w:val="0"/>
          <w:sz w:val="24"/>
          <w:szCs w:val="24"/>
          <w:lang w:eastAsia="zh-CN"/>
        </w:rPr>
        <w:t>Murata S</w:t>
      </w:r>
      <w:r w:rsidRPr="00F40A26">
        <w:rPr>
          <w:rFonts w:ascii="Book Antiqua" w:eastAsia="宋体" w:hAnsi="Book Antiqua" w:cs="宋体"/>
          <w:color w:val="000000"/>
          <w:kern w:val="0"/>
          <w:sz w:val="24"/>
          <w:szCs w:val="24"/>
          <w:lang w:eastAsia="zh-CN"/>
        </w:rPr>
        <w:t>, Itai Y, Satake M, Asato M, Kobayashi H, Eguchi N, Moriyama N. Changes in contrast enhancement of hepatocellular carcinoma and liver: effect of temporary occlusion of a hepatic vein evaluated with spiral CT.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1997; </w:t>
      </w:r>
      <w:r w:rsidRPr="00F40A26">
        <w:rPr>
          <w:rFonts w:ascii="Book Antiqua" w:eastAsia="宋体" w:hAnsi="Book Antiqua" w:cs="宋体"/>
          <w:b/>
          <w:bCs/>
          <w:color w:val="000000"/>
          <w:kern w:val="0"/>
          <w:sz w:val="24"/>
          <w:szCs w:val="24"/>
          <w:lang w:eastAsia="zh-CN"/>
        </w:rPr>
        <w:t>202</w:t>
      </w:r>
      <w:r w:rsidRPr="00F40A26">
        <w:rPr>
          <w:rFonts w:ascii="Book Antiqua" w:eastAsia="宋体" w:hAnsi="Book Antiqua" w:cs="宋体"/>
          <w:color w:val="000000"/>
          <w:kern w:val="0"/>
          <w:sz w:val="24"/>
          <w:szCs w:val="24"/>
          <w:lang w:eastAsia="zh-CN"/>
        </w:rPr>
        <w:t>: 715-720 [PMID: 9051023 DOI: 10.1148/radiology.202.3.9051023]</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55 </w:t>
      </w:r>
      <w:r w:rsidRPr="00F40A26">
        <w:rPr>
          <w:rFonts w:ascii="Book Antiqua" w:eastAsia="宋体" w:hAnsi="Book Antiqua" w:cs="宋体"/>
          <w:b/>
          <w:bCs/>
          <w:color w:val="000000"/>
          <w:kern w:val="0"/>
          <w:sz w:val="24"/>
          <w:szCs w:val="24"/>
          <w:lang w:eastAsia="zh-CN"/>
        </w:rPr>
        <w:t>Murata S</w:t>
      </w:r>
      <w:r w:rsidRPr="00F40A26">
        <w:rPr>
          <w:rFonts w:ascii="Book Antiqua" w:eastAsia="宋体" w:hAnsi="Book Antiqua" w:cs="宋体"/>
          <w:color w:val="000000"/>
          <w:kern w:val="0"/>
          <w:sz w:val="24"/>
          <w:szCs w:val="24"/>
          <w:lang w:eastAsia="zh-CN"/>
        </w:rPr>
        <w:t>, Tajima H, Abe Y, Fukunaga T, Nakazawa K, Mohamad RA, Kumazaki T. Temporary occlusion of two hepatic veins for chemoembolization of hepatocellular carcinoma with arteriohepatic vein shunts. </w:t>
      </w:r>
      <w:r w:rsidRPr="00F40A26">
        <w:rPr>
          <w:rFonts w:ascii="Book Antiqua" w:eastAsia="宋体" w:hAnsi="Book Antiqua" w:cs="宋体"/>
          <w:i/>
          <w:iCs/>
          <w:color w:val="000000"/>
          <w:kern w:val="0"/>
          <w:sz w:val="24"/>
          <w:szCs w:val="24"/>
          <w:lang w:eastAsia="zh-CN"/>
        </w:rPr>
        <w:t>AJR Am J Roentgenol</w:t>
      </w:r>
      <w:r w:rsidRPr="00F40A26">
        <w:rPr>
          <w:rFonts w:ascii="Book Antiqua" w:eastAsia="宋体" w:hAnsi="Book Antiqua" w:cs="宋体"/>
          <w:color w:val="000000"/>
          <w:kern w:val="0"/>
          <w:sz w:val="24"/>
          <w:szCs w:val="24"/>
          <w:lang w:eastAsia="zh-CN"/>
        </w:rPr>
        <w:t> 2005; </w:t>
      </w:r>
      <w:r w:rsidRPr="00F40A26">
        <w:rPr>
          <w:rFonts w:ascii="Book Antiqua" w:eastAsia="宋体" w:hAnsi="Book Antiqua" w:cs="宋体"/>
          <w:b/>
          <w:bCs/>
          <w:color w:val="000000"/>
          <w:kern w:val="0"/>
          <w:sz w:val="24"/>
          <w:szCs w:val="24"/>
          <w:lang w:eastAsia="zh-CN"/>
        </w:rPr>
        <w:t>184</w:t>
      </w:r>
      <w:r w:rsidRPr="00F40A26">
        <w:rPr>
          <w:rFonts w:ascii="Book Antiqua" w:eastAsia="宋体" w:hAnsi="Book Antiqua" w:cs="宋体"/>
          <w:color w:val="000000"/>
          <w:kern w:val="0"/>
          <w:sz w:val="24"/>
          <w:szCs w:val="24"/>
          <w:lang w:eastAsia="zh-CN"/>
        </w:rPr>
        <w:t>: 415-417 [PMID: 15671355 DOI: 10.2214/ajr.184.2.01840415]</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56 </w:t>
      </w:r>
      <w:r w:rsidRPr="00F40A26">
        <w:rPr>
          <w:rFonts w:ascii="Book Antiqua" w:eastAsia="宋体" w:hAnsi="Book Antiqua" w:cs="宋体"/>
          <w:b/>
          <w:bCs/>
          <w:color w:val="000000"/>
          <w:kern w:val="0"/>
          <w:sz w:val="24"/>
          <w:szCs w:val="24"/>
          <w:lang w:eastAsia="zh-CN"/>
        </w:rPr>
        <w:t>Itai Y</w:t>
      </w:r>
      <w:r w:rsidRPr="00F40A26">
        <w:rPr>
          <w:rFonts w:ascii="Book Antiqua" w:eastAsia="宋体" w:hAnsi="Book Antiqua" w:cs="宋体"/>
          <w:color w:val="000000"/>
          <w:kern w:val="0"/>
          <w:sz w:val="24"/>
          <w:szCs w:val="24"/>
          <w:lang w:eastAsia="zh-CN"/>
        </w:rPr>
        <w:t xml:space="preserve">, Moss AA, Goldberg HI. </w:t>
      </w:r>
      <w:proofErr w:type="gramStart"/>
      <w:r w:rsidRPr="00F40A26">
        <w:rPr>
          <w:rFonts w:ascii="Book Antiqua" w:eastAsia="宋体" w:hAnsi="Book Antiqua" w:cs="宋体"/>
          <w:color w:val="000000"/>
          <w:kern w:val="0"/>
          <w:sz w:val="24"/>
          <w:szCs w:val="24"/>
          <w:lang w:eastAsia="zh-CN"/>
        </w:rPr>
        <w:t>Transient hepatic attenuation difference of lobar or segmental distribution detected by dynamic computed tomography.</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1982; </w:t>
      </w:r>
      <w:r w:rsidRPr="00F40A26">
        <w:rPr>
          <w:rFonts w:ascii="Book Antiqua" w:eastAsia="宋体" w:hAnsi="Book Antiqua" w:cs="宋体"/>
          <w:b/>
          <w:bCs/>
          <w:color w:val="000000"/>
          <w:kern w:val="0"/>
          <w:sz w:val="24"/>
          <w:szCs w:val="24"/>
          <w:lang w:eastAsia="zh-CN"/>
        </w:rPr>
        <w:t>144</w:t>
      </w:r>
      <w:r w:rsidRPr="00F40A26">
        <w:rPr>
          <w:rFonts w:ascii="Book Antiqua" w:eastAsia="宋体" w:hAnsi="Book Antiqua" w:cs="宋体"/>
          <w:color w:val="000000"/>
          <w:kern w:val="0"/>
          <w:sz w:val="24"/>
          <w:szCs w:val="24"/>
          <w:lang w:eastAsia="zh-CN"/>
        </w:rPr>
        <w:t>: 835-839 [PMID: 6287520 DOI: 10.1148/radiology.144.4.6287520]</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57 </w:t>
      </w:r>
      <w:r w:rsidRPr="00F40A26">
        <w:rPr>
          <w:rFonts w:ascii="Book Antiqua" w:eastAsia="宋体" w:hAnsi="Book Antiqua" w:cs="宋体"/>
          <w:b/>
          <w:bCs/>
          <w:color w:val="000000"/>
          <w:kern w:val="0"/>
          <w:sz w:val="24"/>
          <w:szCs w:val="24"/>
          <w:lang w:eastAsia="zh-CN"/>
        </w:rPr>
        <w:t>Mathieu D</w:t>
      </w:r>
      <w:r w:rsidRPr="00F40A26">
        <w:rPr>
          <w:rFonts w:ascii="Book Antiqua" w:eastAsia="宋体" w:hAnsi="Book Antiqua" w:cs="宋体"/>
          <w:color w:val="000000"/>
          <w:kern w:val="0"/>
          <w:sz w:val="24"/>
          <w:szCs w:val="24"/>
          <w:lang w:eastAsia="zh-CN"/>
        </w:rPr>
        <w:t>, Vasile N, Grenier P. Portal thrombosis: dynamic CT features and course.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1985; </w:t>
      </w:r>
      <w:r w:rsidRPr="00F40A26">
        <w:rPr>
          <w:rFonts w:ascii="Book Antiqua" w:eastAsia="宋体" w:hAnsi="Book Antiqua" w:cs="宋体"/>
          <w:b/>
          <w:bCs/>
          <w:color w:val="000000"/>
          <w:kern w:val="0"/>
          <w:sz w:val="24"/>
          <w:szCs w:val="24"/>
          <w:lang w:eastAsia="zh-CN"/>
        </w:rPr>
        <w:t>154</w:t>
      </w:r>
      <w:r w:rsidRPr="00F40A26">
        <w:rPr>
          <w:rFonts w:ascii="Book Antiqua" w:eastAsia="宋体" w:hAnsi="Book Antiqua" w:cs="宋体"/>
          <w:color w:val="000000"/>
          <w:kern w:val="0"/>
          <w:sz w:val="24"/>
          <w:szCs w:val="24"/>
          <w:lang w:eastAsia="zh-CN"/>
        </w:rPr>
        <w:t>: 737-741 [PMID: 3881793 DOI: 10.1148/radiology.154.3.3881793]</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58 </w:t>
      </w:r>
      <w:r w:rsidRPr="00F40A26">
        <w:rPr>
          <w:rFonts w:ascii="Book Antiqua" w:eastAsia="宋体" w:hAnsi="Book Antiqua" w:cs="宋体"/>
          <w:b/>
          <w:bCs/>
          <w:color w:val="000000"/>
          <w:kern w:val="0"/>
          <w:sz w:val="24"/>
          <w:szCs w:val="24"/>
          <w:lang w:eastAsia="zh-CN"/>
        </w:rPr>
        <w:t>Irie T</w:t>
      </w:r>
      <w:r w:rsidRPr="00F40A26">
        <w:rPr>
          <w:rFonts w:ascii="Book Antiqua" w:eastAsia="宋体" w:hAnsi="Book Antiqua" w:cs="宋体"/>
          <w:color w:val="000000"/>
          <w:kern w:val="0"/>
          <w:sz w:val="24"/>
          <w:szCs w:val="24"/>
          <w:lang w:eastAsia="zh-CN"/>
        </w:rPr>
        <w:t>, Terahata S, Hatsuse K, Takeshita K, Yamauchi T, Aoki H, Kusano S. Postsurgical intrahepatic portal thromboembolism: a possible cause of perfusion defects on CT during arterial portography. </w:t>
      </w:r>
      <w:r w:rsidRPr="00F40A26">
        <w:rPr>
          <w:rFonts w:ascii="Book Antiqua" w:eastAsia="宋体" w:hAnsi="Book Antiqua" w:cs="宋体"/>
          <w:i/>
          <w:iCs/>
          <w:color w:val="000000"/>
          <w:kern w:val="0"/>
          <w:sz w:val="24"/>
          <w:szCs w:val="24"/>
          <w:lang w:eastAsia="zh-CN"/>
        </w:rPr>
        <w:t>J Comput Assist Tomogr</w:t>
      </w:r>
      <w:r w:rsidRPr="00F40A26">
        <w:rPr>
          <w:rFonts w:ascii="Book Antiqua" w:eastAsia="宋体" w:hAnsi="Book Antiqua" w:cs="宋体"/>
          <w:color w:val="000000"/>
          <w:kern w:val="0"/>
          <w:sz w:val="24"/>
          <w:szCs w:val="24"/>
          <w:lang w:eastAsia="zh-CN"/>
        </w:rPr>
        <w:t> </w:t>
      </w:r>
      <w:r w:rsidR="001831D7">
        <w:rPr>
          <w:rFonts w:ascii="Book Antiqua" w:eastAsia="宋体" w:hAnsi="Book Antiqua" w:cs="宋体" w:hint="eastAsia"/>
          <w:color w:val="000000"/>
          <w:kern w:val="0"/>
          <w:sz w:val="24"/>
          <w:szCs w:val="24"/>
          <w:lang w:eastAsia="zh-CN"/>
        </w:rPr>
        <w:t>1995</w:t>
      </w:r>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b/>
          <w:bCs/>
          <w:color w:val="000000"/>
          <w:kern w:val="0"/>
          <w:sz w:val="24"/>
          <w:szCs w:val="24"/>
          <w:lang w:eastAsia="zh-CN"/>
        </w:rPr>
        <w:t>19</w:t>
      </w:r>
      <w:r w:rsidRPr="00F40A26">
        <w:rPr>
          <w:rFonts w:ascii="Book Antiqua" w:eastAsia="宋体" w:hAnsi="Book Antiqua" w:cs="宋体"/>
          <w:color w:val="000000"/>
          <w:kern w:val="0"/>
          <w:sz w:val="24"/>
          <w:szCs w:val="24"/>
          <w:lang w:eastAsia="zh-CN"/>
        </w:rPr>
        <w:t>: 204-210 [PMID: 7890842 DOI: 10.1097/00004728-199503000-00007]</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59 </w:t>
      </w:r>
      <w:r w:rsidRPr="00F40A26">
        <w:rPr>
          <w:rFonts w:ascii="Book Antiqua" w:eastAsia="宋体" w:hAnsi="Book Antiqua" w:cs="宋体"/>
          <w:b/>
          <w:bCs/>
          <w:color w:val="000000"/>
          <w:kern w:val="0"/>
          <w:sz w:val="24"/>
          <w:szCs w:val="24"/>
          <w:lang w:eastAsia="zh-CN"/>
        </w:rPr>
        <w:t>Matsui O</w:t>
      </w:r>
      <w:r w:rsidRPr="00F40A26">
        <w:rPr>
          <w:rFonts w:ascii="Book Antiqua" w:eastAsia="宋体" w:hAnsi="Book Antiqua" w:cs="宋体"/>
          <w:color w:val="000000"/>
          <w:kern w:val="0"/>
          <w:sz w:val="24"/>
          <w:szCs w:val="24"/>
          <w:lang w:eastAsia="zh-CN"/>
        </w:rPr>
        <w:t xml:space="preserve">, Takashima T, Kadoya M, Kitagawa K, Kamimura R, Itoh H, Suzuki M, Ida M. Segmental staining on hepatic arteriography as a sign of </w:t>
      </w:r>
      <w:r w:rsidRPr="00F40A26">
        <w:rPr>
          <w:rFonts w:ascii="Book Antiqua" w:eastAsia="宋体" w:hAnsi="Book Antiqua" w:cs="宋体"/>
          <w:color w:val="000000"/>
          <w:kern w:val="0"/>
          <w:sz w:val="24"/>
          <w:szCs w:val="24"/>
          <w:lang w:eastAsia="zh-CN"/>
        </w:rPr>
        <w:lastRenderedPageBreak/>
        <w:t>intrahepatic portal vein obstruction.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1984; </w:t>
      </w:r>
      <w:r w:rsidRPr="00F40A26">
        <w:rPr>
          <w:rFonts w:ascii="Book Antiqua" w:eastAsia="宋体" w:hAnsi="Book Antiqua" w:cs="宋体"/>
          <w:b/>
          <w:bCs/>
          <w:color w:val="000000"/>
          <w:kern w:val="0"/>
          <w:sz w:val="24"/>
          <w:szCs w:val="24"/>
          <w:lang w:eastAsia="zh-CN"/>
        </w:rPr>
        <w:t>152</w:t>
      </w:r>
      <w:r w:rsidRPr="00F40A26">
        <w:rPr>
          <w:rFonts w:ascii="Book Antiqua" w:eastAsia="宋体" w:hAnsi="Book Antiqua" w:cs="宋体"/>
          <w:color w:val="000000"/>
          <w:kern w:val="0"/>
          <w:sz w:val="24"/>
          <w:szCs w:val="24"/>
          <w:lang w:eastAsia="zh-CN"/>
        </w:rPr>
        <w:t>: 601-606 [PMID: 6087404 DOI: 10.1148/radiology.152.3.6087404]</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60 </w:t>
      </w:r>
      <w:r w:rsidRPr="00F40A26">
        <w:rPr>
          <w:rFonts w:ascii="Book Antiqua" w:eastAsia="宋体" w:hAnsi="Book Antiqua" w:cs="宋体"/>
          <w:b/>
          <w:bCs/>
          <w:color w:val="000000"/>
          <w:kern w:val="0"/>
          <w:sz w:val="24"/>
          <w:szCs w:val="24"/>
          <w:lang w:eastAsia="zh-CN"/>
        </w:rPr>
        <w:t>Itai Y</w:t>
      </w:r>
      <w:r w:rsidRPr="00F40A26">
        <w:rPr>
          <w:rFonts w:ascii="Book Antiqua" w:eastAsia="宋体" w:hAnsi="Book Antiqua" w:cs="宋体"/>
          <w:color w:val="000000"/>
          <w:kern w:val="0"/>
          <w:sz w:val="24"/>
          <w:szCs w:val="24"/>
          <w:lang w:eastAsia="zh-CN"/>
        </w:rPr>
        <w:t>, Ohtomo K, Kokubo T, Okada Y, Yamauchi T, Yoshida H. Segmental intensity differences in the liver on MR images: a sign of intrahepatic portal flow stoppage.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1988; </w:t>
      </w:r>
      <w:r w:rsidRPr="00F40A26">
        <w:rPr>
          <w:rFonts w:ascii="Book Antiqua" w:eastAsia="宋体" w:hAnsi="Book Antiqua" w:cs="宋体"/>
          <w:b/>
          <w:bCs/>
          <w:color w:val="000000"/>
          <w:kern w:val="0"/>
          <w:sz w:val="24"/>
          <w:szCs w:val="24"/>
          <w:lang w:eastAsia="zh-CN"/>
        </w:rPr>
        <w:t>167</w:t>
      </w:r>
      <w:r w:rsidRPr="00F40A26">
        <w:rPr>
          <w:rFonts w:ascii="Book Antiqua" w:eastAsia="宋体" w:hAnsi="Book Antiqua" w:cs="宋体"/>
          <w:color w:val="000000"/>
          <w:kern w:val="0"/>
          <w:sz w:val="24"/>
          <w:szCs w:val="24"/>
          <w:lang w:eastAsia="zh-CN"/>
        </w:rPr>
        <w:t>: 17-19 [PMID: 2831561 DOI: 10.1148/radiology.167.1.2831561]</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61 </w:t>
      </w:r>
      <w:r w:rsidRPr="00F40A26">
        <w:rPr>
          <w:rFonts w:ascii="Book Antiqua" w:eastAsia="宋体" w:hAnsi="Book Antiqua" w:cs="宋体"/>
          <w:b/>
          <w:bCs/>
          <w:color w:val="000000"/>
          <w:kern w:val="0"/>
          <w:sz w:val="24"/>
          <w:szCs w:val="24"/>
          <w:lang w:eastAsia="zh-CN"/>
        </w:rPr>
        <w:t>Itai Y</w:t>
      </w:r>
      <w:r w:rsidRPr="00F40A26">
        <w:rPr>
          <w:rFonts w:ascii="Book Antiqua" w:eastAsia="宋体" w:hAnsi="Book Antiqua" w:cs="宋体"/>
          <w:color w:val="000000"/>
          <w:kern w:val="0"/>
          <w:sz w:val="24"/>
          <w:szCs w:val="24"/>
          <w:lang w:eastAsia="zh-CN"/>
        </w:rPr>
        <w:t>, Murata S, Kurosaki Y. Straight border sign of the liver: spectrum of CT appearances and causes. </w:t>
      </w:r>
      <w:r w:rsidRPr="00F40A26">
        <w:rPr>
          <w:rFonts w:ascii="Book Antiqua" w:eastAsia="宋体" w:hAnsi="Book Antiqua" w:cs="宋体"/>
          <w:i/>
          <w:iCs/>
          <w:color w:val="000000"/>
          <w:kern w:val="0"/>
          <w:sz w:val="24"/>
          <w:szCs w:val="24"/>
          <w:lang w:eastAsia="zh-CN"/>
        </w:rPr>
        <w:t>Radiographics</w:t>
      </w:r>
      <w:r w:rsidRPr="00F40A26">
        <w:rPr>
          <w:rFonts w:ascii="Book Antiqua" w:eastAsia="宋体" w:hAnsi="Book Antiqua" w:cs="宋体"/>
          <w:color w:val="000000"/>
          <w:kern w:val="0"/>
          <w:sz w:val="24"/>
          <w:szCs w:val="24"/>
          <w:lang w:eastAsia="zh-CN"/>
        </w:rPr>
        <w:t> 1995; </w:t>
      </w:r>
      <w:r w:rsidRPr="00F40A26">
        <w:rPr>
          <w:rFonts w:ascii="Book Antiqua" w:eastAsia="宋体" w:hAnsi="Book Antiqua" w:cs="宋体"/>
          <w:b/>
          <w:bCs/>
          <w:color w:val="000000"/>
          <w:kern w:val="0"/>
          <w:sz w:val="24"/>
          <w:szCs w:val="24"/>
          <w:lang w:eastAsia="zh-CN"/>
        </w:rPr>
        <w:t>15</w:t>
      </w:r>
      <w:r w:rsidRPr="00F40A26">
        <w:rPr>
          <w:rFonts w:ascii="Book Antiqua" w:eastAsia="宋体" w:hAnsi="Book Antiqua" w:cs="宋体"/>
          <w:color w:val="000000"/>
          <w:kern w:val="0"/>
          <w:sz w:val="24"/>
          <w:szCs w:val="24"/>
          <w:lang w:eastAsia="zh-CN"/>
        </w:rPr>
        <w:t>: 1089-1102 [PMID: 7501852 DOI: 10.1148/radiographics.15.5.7501852]</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62 </w:t>
      </w:r>
      <w:r w:rsidRPr="00F40A26">
        <w:rPr>
          <w:rFonts w:ascii="Book Antiqua" w:eastAsia="宋体" w:hAnsi="Book Antiqua" w:cs="宋体"/>
          <w:b/>
          <w:bCs/>
          <w:color w:val="000000"/>
          <w:kern w:val="0"/>
          <w:sz w:val="24"/>
          <w:szCs w:val="24"/>
          <w:lang w:eastAsia="zh-CN"/>
        </w:rPr>
        <w:t>Itai Y</w:t>
      </w:r>
      <w:r w:rsidRPr="00F40A26">
        <w:rPr>
          <w:rFonts w:ascii="Book Antiqua" w:eastAsia="宋体" w:hAnsi="Book Antiqua" w:cs="宋体"/>
          <w:color w:val="000000"/>
          <w:kern w:val="0"/>
          <w:sz w:val="24"/>
          <w:szCs w:val="24"/>
          <w:lang w:eastAsia="zh-CN"/>
        </w:rPr>
        <w:t>, Matsui O. Blood flow and liver imaging.</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1997; </w:t>
      </w:r>
      <w:r w:rsidRPr="00F40A26">
        <w:rPr>
          <w:rFonts w:ascii="Book Antiqua" w:eastAsia="宋体" w:hAnsi="Book Antiqua" w:cs="宋体"/>
          <w:b/>
          <w:bCs/>
          <w:color w:val="000000"/>
          <w:kern w:val="0"/>
          <w:sz w:val="24"/>
          <w:szCs w:val="24"/>
          <w:lang w:eastAsia="zh-CN"/>
        </w:rPr>
        <w:t>202</w:t>
      </w:r>
      <w:r w:rsidRPr="00F40A26">
        <w:rPr>
          <w:rFonts w:ascii="Book Antiqua" w:eastAsia="宋体" w:hAnsi="Book Antiqua" w:cs="宋体"/>
          <w:color w:val="000000"/>
          <w:kern w:val="0"/>
          <w:sz w:val="24"/>
          <w:szCs w:val="24"/>
          <w:lang w:eastAsia="zh-CN"/>
        </w:rPr>
        <w:t>: 306-314 [PMID: 9015047 DOI: 10.1148/radiology.202.2.9015047]</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63 </w:t>
      </w:r>
      <w:r w:rsidRPr="00F40A26">
        <w:rPr>
          <w:rFonts w:ascii="Book Antiqua" w:eastAsia="宋体" w:hAnsi="Book Antiqua" w:cs="宋体"/>
          <w:b/>
          <w:bCs/>
          <w:color w:val="000000"/>
          <w:kern w:val="0"/>
          <w:sz w:val="24"/>
          <w:szCs w:val="24"/>
          <w:lang w:eastAsia="zh-CN"/>
        </w:rPr>
        <w:t>Komada Y</w:t>
      </w:r>
      <w:r w:rsidRPr="00F40A26">
        <w:rPr>
          <w:rFonts w:ascii="Book Antiqua" w:eastAsia="宋体" w:hAnsi="Book Antiqua" w:cs="宋体"/>
          <w:color w:val="000000"/>
          <w:kern w:val="0"/>
          <w:sz w:val="24"/>
          <w:szCs w:val="24"/>
          <w:lang w:eastAsia="zh-CN"/>
        </w:rPr>
        <w:t>, Murata S, Tajima H, Kumita S, Kanazawa H, Tajiri T. Haemodynamic changes in the liver under balloon occlusion of a portal vein branch: evaluation with single-level dynamic computed tomography during hepatic arteriography. </w:t>
      </w:r>
      <w:r w:rsidRPr="00F40A26">
        <w:rPr>
          <w:rFonts w:ascii="Book Antiqua" w:eastAsia="宋体" w:hAnsi="Book Antiqua" w:cs="宋体"/>
          <w:i/>
          <w:iCs/>
          <w:color w:val="000000"/>
          <w:kern w:val="0"/>
          <w:sz w:val="24"/>
          <w:szCs w:val="24"/>
          <w:lang w:eastAsia="zh-CN"/>
        </w:rPr>
        <w:t>Clin Radiol</w:t>
      </w:r>
      <w:r w:rsidRPr="00F40A26">
        <w:rPr>
          <w:rFonts w:ascii="Book Antiqua" w:eastAsia="宋体" w:hAnsi="Book Antiqua" w:cs="宋体"/>
          <w:color w:val="000000"/>
          <w:kern w:val="0"/>
          <w:sz w:val="24"/>
          <w:szCs w:val="24"/>
          <w:lang w:eastAsia="zh-CN"/>
        </w:rPr>
        <w:t> 2007; </w:t>
      </w:r>
      <w:r w:rsidRPr="00F40A26">
        <w:rPr>
          <w:rFonts w:ascii="Book Antiqua" w:eastAsia="宋体" w:hAnsi="Book Antiqua" w:cs="宋体"/>
          <w:b/>
          <w:bCs/>
          <w:color w:val="000000"/>
          <w:kern w:val="0"/>
          <w:sz w:val="24"/>
          <w:szCs w:val="24"/>
          <w:lang w:eastAsia="zh-CN"/>
        </w:rPr>
        <w:t>62</w:t>
      </w:r>
      <w:r w:rsidRPr="00F40A26">
        <w:rPr>
          <w:rFonts w:ascii="Book Antiqua" w:eastAsia="宋体" w:hAnsi="Book Antiqua" w:cs="宋体"/>
          <w:color w:val="000000"/>
          <w:kern w:val="0"/>
          <w:sz w:val="24"/>
          <w:szCs w:val="24"/>
          <w:lang w:eastAsia="zh-CN"/>
        </w:rPr>
        <w:t>: 579-586 [PMID: 17467396 DOI: 10.1016/j.crad.2007.01.012]</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64 </w:t>
      </w:r>
      <w:r w:rsidRPr="00F40A26">
        <w:rPr>
          <w:rFonts w:ascii="Book Antiqua" w:eastAsia="宋体" w:hAnsi="Book Antiqua" w:cs="宋体"/>
          <w:b/>
          <w:bCs/>
          <w:color w:val="000000"/>
          <w:kern w:val="0"/>
          <w:sz w:val="24"/>
          <w:szCs w:val="24"/>
          <w:lang w:eastAsia="zh-CN"/>
        </w:rPr>
        <w:t>Lautt WW</w:t>
      </w:r>
      <w:r w:rsidRPr="00F40A26">
        <w:rPr>
          <w:rFonts w:ascii="Book Antiqua" w:eastAsia="宋体" w:hAnsi="Book Antiqua" w:cs="宋体"/>
          <w:color w:val="000000"/>
          <w:kern w:val="0"/>
          <w:sz w:val="24"/>
          <w:szCs w:val="24"/>
          <w:lang w:eastAsia="zh-CN"/>
        </w:rPr>
        <w:t>, Legare DJ, Ezzat WR. Quantitation of the hepatic arterial buffer response to graded changes in portal blood flow. </w:t>
      </w:r>
      <w:r w:rsidRPr="00F40A26">
        <w:rPr>
          <w:rFonts w:ascii="Book Antiqua" w:eastAsia="宋体" w:hAnsi="Book Antiqua" w:cs="宋体"/>
          <w:i/>
          <w:iCs/>
          <w:color w:val="000000"/>
          <w:kern w:val="0"/>
          <w:sz w:val="24"/>
          <w:szCs w:val="24"/>
          <w:lang w:eastAsia="zh-CN"/>
        </w:rPr>
        <w:t>Gastroenterology</w:t>
      </w:r>
      <w:r w:rsidRPr="00F40A26">
        <w:rPr>
          <w:rFonts w:ascii="Book Antiqua" w:eastAsia="宋体" w:hAnsi="Book Antiqua" w:cs="宋体"/>
          <w:color w:val="000000"/>
          <w:kern w:val="0"/>
          <w:sz w:val="24"/>
          <w:szCs w:val="24"/>
          <w:lang w:eastAsia="zh-CN"/>
        </w:rPr>
        <w:t> 1990; </w:t>
      </w:r>
      <w:r w:rsidRPr="00F40A26">
        <w:rPr>
          <w:rFonts w:ascii="Book Antiqua" w:eastAsia="宋体" w:hAnsi="Book Antiqua" w:cs="宋体"/>
          <w:b/>
          <w:bCs/>
          <w:color w:val="000000"/>
          <w:kern w:val="0"/>
          <w:sz w:val="24"/>
          <w:szCs w:val="24"/>
          <w:lang w:eastAsia="zh-CN"/>
        </w:rPr>
        <w:t>98</w:t>
      </w:r>
      <w:r w:rsidRPr="00F40A26">
        <w:rPr>
          <w:rFonts w:ascii="Book Antiqua" w:eastAsia="宋体" w:hAnsi="Book Antiqua" w:cs="宋体"/>
          <w:color w:val="000000"/>
          <w:kern w:val="0"/>
          <w:sz w:val="24"/>
          <w:szCs w:val="24"/>
          <w:lang w:eastAsia="zh-CN"/>
        </w:rPr>
        <w:t>: 1024-1028 [PMID: 2311859 DOI: 10.1016/0016-5085(90)90029-Z]</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65 </w:t>
      </w:r>
      <w:r w:rsidRPr="00F40A26">
        <w:rPr>
          <w:rFonts w:ascii="Book Antiqua" w:eastAsia="宋体" w:hAnsi="Book Antiqua" w:cs="宋体"/>
          <w:b/>
          <w:bCs/>
          <w:color w:val="000000"/>
          <w:kern w:val="0"/>
          <w:sz w:val="24"/>
          <w:szCs w:val="24"/>
          <w:lang w:eastAsia="zh-CN"/>
        </w:rPr>
        <w:t>Rocheleau B</w:t>
      </w:r>
      <w:r w:rsidRPr="00F40A26">
        <w:rPr>
          <w:rFonts w:ascii="Book Antiqua" w:eastAsia="宋体" w:hAnsi="Book Antiqua" w:cs="宋体"/>
          <w:color w:val="000000"/>
          <w:kern w:val="0"/>
          <w:sz w:val="24"/>
          <w:szCs w:val="24"/>
          <w:lang w:eastAsia="zh-CN"/>
        </w:rPr>
        <w:t>, Ethier C, Houle R, Huet PM, Bilodeau M. Hepatic artery buffer response following left portal vein ligation: its role in liver tissue homeostasis. </w:t>
      </w:r>
      <w:r w:rsidRPr="00F40A26">
        <w:rPr>
          <w:rFonts w:ascii="Book Antiqua" w:eastAsia="宋体" w:hAnsi="Book Antiqua" w:cs="宋体"/>
          <w:i/>
          <w:iCs/>
          <w:color w:val="000000"/>
          <w:kern w:val="0"/>
          <w:sz w:val="24"/>
          <w:szCs w:val="24"/>
          <w:lang w:eastAsia="zh-CN"/>
        </w:rPr>
        <w:t>Am J Physiol</w:t>
      </w:r>
      <w:r w:rsidRPr="00F40A26">
        <w:rPr>
          <w:rFonts w:ascii="Book Antiqua" w:eastAsia="宋体" w:hAnsi="Book Antiqua" w:cs="宋体"/>
          <w:color w:val="000000"/>
          <w:kern w:val="0"/>
          <w:sz w:val="24"/>
          <w:szCs w:val="24"/>
          <w:lang w:eastAsia="zh-CN"/>
        </w:rPr>
        <w:t> 1999; </w:t>
      </w:r>
      <w:r w:rsidRPr="00F40A26">
        <w:rPr>
          <w:rFonts w:ascii="Book Antiqua" w:eastAsia="宋体" w:hAnsi="Book Antiqua" w:cs="宋体"/>
          <w:b/>
          <w:bCs/>
          <w:color w:val="000000"/>
          <w:kern w:val="0"/>
          <w:sz w:val="24"/>
          <w:szCs w:val="24"/>
          <w:lang w:eastAsia="zh-CN"/>
        </w:rPr>
        <w:t>277</w:t>
      </w:r>
      <w:r w:rsidRPr="00F40A26">
        <w:rPr>
          <w:rFonts w:ascii="Book Antiqua" w:eastAsia="宋体" w:hAnsi="Book Antiqua" w:cs="宋体"/>
          <w:color w:val="000000"/>
          <w:kern w:val="0"/>
          <w:sz w:val="24"/>
          <w:szCs w:val="24"/>
          <w:lang w:eastAsia="zh-CN"/>
        </w:rPr>
        <w:t>: G1000-G1007 [PMID: 10564106]</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66 </w:t>
      </w:r>
      <w:r w:rsidRPr="00F40A26">
        <w:rPr>
          <w:rFonts w:ascii="Book Antiqua" w:eastAsia="宋体" w:hAnsi="Book Antiqua" w:cs="宋体"/>
          <w:b/>
          <w:bCs/>
          <w:color w:val="000000"/>
          <w:kern w:val="0"/>
          <w:sz w:val="24"/>
          <w:szCs w:val="24"/>
          <w:lang w:eastAsia="zh-CN"/>
        </w:rPr>
        <w:t>Mücke I</w:t>
      </w:r>
      <w:r w:rsidRPr="00F40A26">
        <w:rPr>
          <w:rFonts w:ascii="Book Antiqua" w:eastAsia="宋体" w:hAnsi="Book Antiqua" w:cs="宋体"/>
          <w:color w:val="000000"/>
          <w:kern w:val="0"/>
          <w:sz w:val="24"/>
          <w:szCs w:val="24"/>
          <w:lang w:eastAsia="zh-CN"/>
        </w:rPr>
        <w:t>, Richter S, Menger MD, Vollmar B. Significance of hepatic arterial responsiveness for adequate tissue oxygenation upon portal vein occlusion in cirrhotic livers. </w:t>
      </w:r>
      <w:r w:rsidRPr="00F40A26">
        <w:rPr>
          <w:rFonts w:ascii="Book Antiqua" w:eastAsia="宋体" w:hAnsi="Book Antiqua" w:cs="宋体"/>
          <w:i/>
          <w:iCs/>
          <w:color w:val="000000"/>
          <w:kern w:val="0"/>
          <w:sz w:val="24"/>
          <w:szCs w:val="24"/>
          <w:lang w:eastAsia="zh-CN"/>
        </w:rPr>
        <w:t>Int J Colorectal Dis</w:t>
      </w:r>
      <w:r w:rsidRPr="00F40A26">
        <w:rPr>
          <w:rFonts w:ascii="Book Antiqua" w:eastAsia="宋体" w:hAnsi="Book Antiqua" w:cs="宋体"/>
          <w:color w:val="000000"/>
          <w:kern w:val="0"/>
          <w:sz w:val="24"/>
          <w:szCs w:val="24"/>
          <w:lang w:eastAsia="zh-CN"/>
        </w:rPr>
        <w:t> 2000; </w:t>
      </w:r>
      <w:r w:rsidRPr="00F40A26">
        <w:rPr>
          <w:rFonts w:ascii="Book Antiqua" w:eastAsia="宋体" w:hAnsi="Book Antiqua" w:cs="宋体"/>
          <w:b/>
          <w:bCs/>
          <w:color w:val="000000"/>
          <w:kern w:val="0"/>
          <w:sz w:val="24"/>
          <w:szCs w:val="24"/>
          <w:lang w:eastAsia="zh-CN"/>
        </w:rPr>
        <w:t>15</w:t>
      </w:r>
      <w:r w:rsidRPr="00F40A26">
        <w:rPr>
          <w:rFonts w:ascii="Book Antiqua" w:eastAsia="宋体" w:hAnsi="Book Antiqua" w:cs="宋体"/>
          <w:color w:val="000000"/>
          <w:kern w:val="0"/>
          <w:sz w:val="24"/>
          <w:szCs w:val="24"/>
          <w:lang w:eastAsia="zh-CN"/>
        </w:rPr>
        <w:t>: 335-341 [PMID: 11151440 DOI: 10.1007/s003840000247]</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67 </w:t>
      </w:r>
      <w:r w:rsidRPr="00F40A26">
        <w:rPr>
          <w:rFonts w:ascii="Book Antiqua" w:eastAsia="宋体" w:hAnsi="Book Antiqua" w:cs="宋体"/>
          <w:b/>
          <w:bCs/>
          <w:color w:val="000000"/>
          <w:kern w:val="0"/>
          <w:sz w:val="24"/>
          <w:szCs w:val="24"/>
          <w:lang w:eastAsia="zh-CN"/>
        </w:rPr>
        <w:t>Yamada R</w:t>
      </w:r>
      <w:r w:rsidRPr="00F40A26">
        <w:rPr>
          <w:rFonts w:ascii="Book Antiqua" w:eastAsia="宋体" w:hAnsi="Book Antiqua" w:cs="宋体"/>
          <w:color w:val="000000"/>
          <w:kern w:val="0"/>
          <w:sz w:val="24"/>
          <w:szCs w:val="24"/>
          <w:lang w:eastAsia="zh-CN"/>
        </w:rPr>
        <w:t>, Yamaguchi S, Nakatsuka H, Nakamura K, Sato M, Kobayashi N, Takashima S, Sangen H. [Balloon-occluded arterial infusion--a new method for administration of anticancer drugs (author's transl)]. </w:t>
      </w:r>
      <w:r w:rsidRPr="00F40A26">
        <w:rPr>
          <w:rFonts w:ascii="Book Antiqua" w:eastAsia="宋体" w:hAnsi="Book Antiqua" w:cs="宋体"/>
          <w:i/>
          <w:iCs/>
          <w:color w:val="000000"/>
          <w:kern w:val="0"/>
          <w:sz w:val="24"/>
          <w:szCs w:val="24"/>
          <w:lang w:eastAsia="zh-CN"/>
        </w:rPr>
        <w:t>Nihon Igaku Hoshasen Gakkai Zasshi</w:t>
      </w:r>
      <w:r w:rsidRPr="00F40A26">
        <w:rPr>
          <w:rFonts w:ascii="Book Antiqua" w:eastAsia="宋体" w:hAnsi="Book Antiqua" w:cs="宋体"/>
          <w:color w:val="000000"/>
          <w:kern w:val="0"/>
          <w:sz w:val="24"/>
          <w:szCs w:val="24"/>
          <w:lang w:eastAsia="zh-CN"/>
        </w:rPr>
        <w:t> 1981; </w:t>
      </w:r>
      <w:r w:rsidRPr="00F40A26">
        <w:rPr>
          <w:rFonts w:ascii="Book Antiqua" w:eastAsia="宋体" w:hAnsi="Book Antiqua" w:cs="宋体"/>
          <w:b/>
          <w:bCs/>
          <w:color w:val="000000"/>
          <w:kern w:val="0"/>
          <w:sz w:val="24"/>
          <w:szCs w:val="24"/>
          <w:lang w:eastAsia="zh-CN"/>
        </w:rPr>
        <w:t>41</w:t>
      </w:r>
      <w:r w:rsidRPr="00F40A26">
        <w:rPr>
          <w:rFonts w:ascii="Book Antiqua" w:eastAsia="宋体" w:hAnsi="Book Antiqua" w:cs="宋体"/>
          <w:color w:val="000000"/>
          <w:kern w:val="0"/>
          <w:sz w:val="24"/>
          <w:szCs w:val="24"/>
          <w:lang w:eastAsia="zh-CN"/>
        </w:rPr>
        <w:t>: 894-896 [PMID: 7335481]</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68 </w:t>
      </w:r>
      <w:r w:rsidRPr="00F40A26">
        <w:rPr>
          <w:rFonts w:ascii="Book Antiqua" w:eastAsia="宋体" w:hAnsi="Book Antiqua" w:cs="宋体"/>
          <w:b/>
          <w:bCs/>
          <w:color w:val="000000"/>
          <w:kern w:val="0"/>
          <w:sz w:val="24"/>
          <w:szCs w:val="24"/>
          <w:lang w:eastAsia="zh-CN"/>
        </w:rPr>
        <w:t>Ishizaka H</w:t>
      </w:r>
      <w:r w:rsidRPr="00F40A26">
        <w:rPr>
          <w:rFonts w:ascii="Book Antiqua" w:eastAsia="宋体" w:hAnsi="Book Antiqua" w:cs="宋体"/>
          <w:color w:val="000000"/>
          <w:kern w:val="0"/>
          <w:sz w:val="24"/>
          <w:szCs w:val="24"/>
          <w:lang w:eastAsia="zh-CN"/>
        </w:rPr>
        <w:t xml:space="preserve">, Ishijima H, Katsuya T, Horikoshi H, Koyama Y. Compulsory superselective arterial embolization in hypovascular local hepatic tumor ablation. </w:t>
      </w:r>
      <w:proofErr w:type="gramStart"/>
      <w:r w:rsidRPr="00F40A26">
        <w:rPr>
          <w:rFonts w:ascii="Book Antiqua" w:eastAsia="宋体" w:hAnsi="Book Antiqua" w:cs="宋体"/>
          <w:color w:val="000000"/>
          <w:kern w:val="0"/>
          <w:sz w:val="24"/>
          <w:szCs w:val="24"/>
          <w:lang w:eastAsia="zh-CN"/>
        </w:rPr>
        <w:t>Microballoon coaxial catheterization.</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Acta Radiol</w:t>
      </w:r>
      <w:r w:rsidRPr="00F40A26">
        <w:rPr>
          <w:rFonts w:ascii="Book Antiqua" w:eastAsia="宋体" w:hAnsi="Book Antiqua" w:cs="宋体"/>
          <w:color w:val="000000"/>
          <w:kern w:val="0"/>
          <w:sz w:val="24"/>
          <w:szCs w:val="24"/>
          <w:lang w:eastAsia="zh-CN"/>
        </w:rPr>
        <w:t> 1997; </w:t>
      </w:r>
      <w:r w:rsidRPr="00F40A26">
        <w:rPr>
          <w:rFonts w:ascii="Book Antiqua" w:eastAsia="宋体" w:hAnsi="Book Antiqua" w:cs="宋体"/>
          <w:b/>
          <w:bCs/>
          <w:color w:val="000000"/>
          <w:kern w:val="0"/>
          <w:sz w:val="24"/>
          <w:szCs w:val="24"/>
          <w:lang w:eastAsia="zh-CN"/>
        </w:rPr>
        <w:t>38</w:t>
      </w:r>
      <w:r w:rsidRPr="00F40A26">
        <w:rPr>
          <w:rFonts w:ascii="Book Antiqua" w:eastAsia="宋体" w:hAnsi="Book Antiqua" w:cs="宋体"/>
          <w:color w:val="000000"/>
          <w:kern w:val="0"/>
          <w:sz w:val="24"/>
          <w:szCs w:val="24"/>
          <w:lang w:eastAsia="zh-CN"/>
        </w:rPr>
        <w:t>: 836-839 [PMID: 9332240]</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69 </w:t>
      </w:r>
      <w:r w:rsidRPr="00F40A26">
        <w:rPr>
          <w:rFonts w:ascii="Book Antiqua" w:eastAsia="宋体" w:hAnsi="Book Antiqua" w:cs="宋体"/>
          <w:b/>
          <w:bCs/>
          <w:color w:val="000000"/>
          <w:kern w:val="0"/>
          <w:sz w:val="24"/>
          <w:szCs w:val="24"/>
          <w:lang w:eastAsia="zh-CN"/>
        </w:rPr>
        <w:t>Irie T</w:t>
      </w:r>
      <w:r w:rsidRPr="00F40A26">
        <w:rPr>
          <w:rFonts w:ascii="Book Antiqua" w:eastAsia="宋体" w:hAnsi="Book Antiqua" w:cs="宋体"/>
          <w:color w:val="000000"/>
          <w:kern w:val="0"/>
          <w:sz w:val="24"/>
          <w:szCs w:val="24"/>
          <w:lang w:eastAsia="zh-CN"/>
        </w:rPr>
        <w:t xml:space="preserve">, Kuramochi M, Takahashi N. Dense accumulation of lipiodol emulsion in hepatocellular carcinoma nodule during selective balloon-occluded </w:t>
      </w:r>
      <w:r w:rsidRPr="00F40A26">
        <w:rPr>
          <w:rFonts w:ascii="Book Antiqua" w:eastAsia="宋体" w:hAnsi="Book Antiqua" w:cs="宋体"/>
          <w:color w:val="000000"/>
          <w:kern w:val="0"/>
          <w:sz w:val="24"/>
          <w:szCs w:val="24"/>
          <w:lang w:eastAsia="zh-CN"/>
        </w:rPr>
        <w:lastRenderedPageBreak/>
        <w:t>transarterial chemoembolization: measurement of balloon-occluded arterial stump pressure. </w:t>
      </w:r>
      <w:r w:rsidRPr="00F40A26">
        <w:rPr>
          <w:rFonts w:ascii="Book Antiqua" w:eastAsia="宋体" w:hAnsi="Book Antiqua" w:cs="宋体"/>
          <w:i/>
          <w:iCs/>
          <w:color w:val="000000"/>
          <w:kern w:val="0"/>
          <w:sz w:val="24"/>
          <w:szCs w:val="24"/>
          <w:lang w:eastAsia="zh-CN"/>
        </w:rPr>
        <w:t>Cardiovasc Intervent Radiol</w:t>
      </w:r>
      <w:r w:rsidRPr="00F40A26">
        <w:rPr>
          <w:rFonts w:ascii="Book Antiqua" w:eastAsia="宋体" w:hAnsi="Book Antiqua" w:cs="宋体"/>
          <w:color w:val="000000"/>
          <w:kern w:val="0"/>
          <w:sz w:val="24"/>
          <w:szCs w:val="24"/>
          <w:lang w:eastAsia="zh-CN"/>
        </w:rPr>
        <w:t> 2013; </w:t>
      </w:r>
      <w:r w:rsidRPr="00F40A26">
        <w:rPr>
          <w:rFonts w:ascii="Book Antiqua" w:eastAsia="宋体" w:hAnsi="Book Antiqua" w:cs="宋体"/>
          <w:b/>
          <w:bCs/>
          <w:color w:val="000000"/>
          <w:kern w:val="0"/>
          <w:sz w:val="24"/>
          <w:szCs w:val="24"/>
          <w:lang w:eastAsia="zh-CN"/>
        </w:rPr>
        <w:t>36</w:t>
      </w:r>
      <w:r w:rsidRPr="00F40A26">
        <w:rPr>
          <w:rFonts w:ascii="Book Antiqua" w:eastAsia="宋体" w:hAnsi="Book Antiqua" w:cs="宋体"/>
          <w:color w:val="000000"/>
          <w:kern w:val="0"/>
          <w:sz w:val="24"/>
          <w:szCs w:val="24"/>
          <w:lang w:eastAsia="zh-CN"/>
        </w:rPr>
        <w:t>: 706-713 [PMID: 22996589 DOI: 10.1007/s00270-012-0476-z]</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70 </w:t>
      </w:r>
      <w:r w:rsidRPr="00F40A26">
        <w:rPr>
          <w:rFonts w:ascii="Book Antiqua" w:eastAsia="宋体" w:hAnsi="Book Antiqua" w:cs="宋体"/>
          <w:b/>
          <w:bCs/>
          <w:color w:val="000000"/>
          <w:kern w:val="0"/>
          <w:sz w:val="24"/>
          <w:szCs w:val="24"/>
          <w:lang w:eastAsia="zh-CN"/>
        </w:rPr>
        <w:t>Koizumi J</w:t>
      </w:r>
      <w:r w:rsidRPr="00F40A26">
        <w:rPr>
          <w:rFonts w:ascii="Book Antiqua" w:eastAsia="宋体" w:hAnsi="Book Antiqua" w:cs="宋体"/>
          <w:color w:val="000000"/>
          <w:kern w:val="0"/>
          <w:sz w:val="24"/>
          <w:szCs w:val="24"/>
          <w:lang w:eastAsia="zh-CN"/>
        </w:rPr>
        <w:t>, Kurata T, Yamashita T, Kominami M, Fujiwara H, Narimatsu Y, Hiramatsu K. Computed tomography during arterial portography under temporary balloon occlusion of the hepatic artery: evaluation of pseudolesions caused by arterio-portal venous shunts. </w:t>
      </w:r>
      <w:r w:rsidRPr="00F40A26">
        <w:rPr>
          <w:rFonts w:ascii="Book Antiqua" w:eastAsia="宋体" w:hAnsi="Book Antiqua" w:cs="宋体"/>
          <w:i/>
          <w:iCs/>
          <w:color w:val="000000"/>
          <w:kern w:val="0"/>
          <w:sz w:val="24"/>
          <w:szCs w:val="24"/>
          <w:lang w:eastAsia="zh-CN"/>
        </w:rPr>
        <w:t>Abdom Imaging</w:t>
      </w:r>
      <w:r w:rsidRPr="00F40A26">
        <w:rPr>
          <w:rFonts w:ascii="Book Antiqua" w:eastAsia="宋体" w:hAnsi="Book Antiqua" w:cs="宋体"/>
          <w:color w:val="000000"/>
          <w:kern w:val="0"/>
          <w:sz w:val="24"/>
          <w:szCs w:val="24"/>
          <w:lang w:eastAsia="zh-CN"/>
        </w:rPr>
        <w:t> </w:t>
      </w:r>
      <w:r w:rsidR="001831D7">
        <w:rPr>
          <w:rFonts w:ascii="Book Antiqua" w:eastAsia="宋体" w:hAnsi="Book Antiqua" w:cs="宋体" w:hint="eastAsia"/>
          <w:color w:val="000000"/>
          <w:kern w:val="0"/>
          <w:sz w:val="24"/>
          <w:szCs w:val="24"/>
          <w:lang w:eastAsia="zh-CN"/>
        </w:rPr>
        <w:t>2000</w:t>
      </w:r>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b/>
          <w:bCs/>
          <w:color w:val="000000"/>
          <w:kern w:val="0"/>
          <w:sz w:val="24"/>
          <w:szCs w:val="24"/>
          <w:lang w:eastAsia="zh-CN"/>
        </w:rPr>
        <w:t>25</w:t>
      </w:r>
      <w:r w:rsidRPr="00F40A26">
        <w:rPr>
          <w:rFonts w:ascii="Book Antiqua" w:eastAsia="宋体" w:hAnsi="Book Antiqua" w:cs="宋体"/>
          <w:color w:val="000000"/>
          <w:kern w:val="0"/>
          <w:sz w:val="24"/>
          <w:szCs w:val="24"/>
          <w:lang w:eastAsia="zh-CN"/>
        </w:rPr>
        <w:t>: 583-586 [PMID: 11029088 DOI: 10.1007/s0026110000048]</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71 </w:t>
      </w:r>
      <w:r w:rsidRPr="00F40A26">
        <w:rPr>
          <w:rFonts w:ascii="Book Antiqua" w:eastAsia="宋体" w:hAnsi="Book Antiqua" w:cs="宋体"/>
          <w:b/>
          <w:bCs/>
          <w:color w:val="000000"/>
          <w:kern w:val="0"/>
          <w:sz w:val="24"/>
          <w:szCs w:val="24"/>
          <w:lang w:eastAsia="zh-CN"/>
        </w:rPr>
        <w:t>Bruix J</w:t>
      </w:r>
      <w:r w:rsidRPr="00F40A26">
        <w:rPr>
          <w:rFonts w:ascii="Book Antiqua" w:eastAsia="宋体" w:hAnsi="Book Antiqua" w:cs="宋体"/>
          <w:color w:val="000000"/>
          <w:kern w:val="0"/>
          <w:sz w:val="24"/>
          <w:szCs w:val="24"/>
          <w:lang w:eastAsia="zh-CN"/>
        </w:rPr>
        <w:t>, Llovet JM, Castells A, Montañá X, Brú C, Ayuso MC, Vilana R, Rodés J. Transarterial embolization versus symptomatic treatment in patients with advanced hepatocellular carcinoma: results of a randomized, controlled trial in a single institution. </w:t>
      </w:r>
      <w:r w:rsidRPr="00F40A26">
        <w:rPr>
          <w:rFonts w:ascii="Book Antiqua" w:eastAsia="宋体" w:hAnsi="Book Antiqua" w:cs="宋体"/>
          <w:i/>
          <w:iCs/>
          <w:color w:val="000000"/>
          <w:kern w:val="0"/>
          <w:sz w:val="24"/>
          <w:szCs w:val="24"/>
          <w:lang w:eastAsia="zh-CN"/>
        </w:rPr>
        <w:t>Hepatology</w:t>
      </w:r>
      <w:r w:rsidRPr="00F40A26">
        <w:rPr>
          <w:rFonts w:ascii="Book Antiqua" w:eastAsia="宋体" w:hAnsi="Book Antiqua" w:cs="宋体"/>
          <w:color w:val="000000"/>
          <w:kern w:val="0"/>
          <w:sz w:val="24"/>
          <w:szCs w:val="24"/>
          <w:lang w:eastAsia="zh-CN"/>
        </w:rPr>
        <w:t> 1998; </w:t>
      </w:r>
      <w:r w:rsidRPr="00F40A26">
        <w:rPr>
          <w:rFonts w:ascii="Book Antiqua" w:eastAsia="宋体" w:hAnsi="Book Antiqua" w:cs="宋体"/>
          <w:b/>
          <w:bCs/>
          <w:color w:val="000000"/>
          <w:kern w:val="0"/>
          <w:sz w:val="24"/>
          <w:szCs w:val="24"/>
          <w:lang w:eastAsia="zh-CN"/>
        </w:rPr>
        <w:t>27</w:t>
      </w:r>
      <w:r w:rsidRPr="00F40A26">
        <w:rPr>
          <w:rFonts w:ascii="Book Antiqua" w:eastAsia="宋体" w:hAnsi="Book Antiqua" w:cs="宋体"/>
          <w:color w:val="000000"/>
          <w:kern w:val="0"/>
          <w:sz w:val="24"/>
          <w:szCs w:val="24"/>
          <w:lang w:eastAsia="zh-CN"/>
        </w:rPr>
        <w:t>: 1578-1583 [PMID: 9620330 DOI: 10.1002/hep.510270617]</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72 </w:t>
      </w:r>
      <w:r w:rsidRPr="00F40A26">
        <w:rPr>
          <w:rFonts w:ascii="Book Antiqua" w:eastAsia="宋体" w:hAnsi="Book Antiqua" w:cs="宋体"/>
          <w:b/>
          <w:bCs/>
          <w:color w:val="000000"/>
          <w:kern w:val="0"/>
          <w:sz w:val="24"/>
          <w:szCs w:val="24"/>
          <w:lang w:eastAsia="zh-CN"/>
        </w:rPr>
        <w:t>Villa E</w:t>
      </w:r>
      <w:r w:rsidRPr="00F40A26">
        <w:rPr>
          <w:rFonts w:ascii="Book Antiqua" w:eastAsia="宋体" w:hAnsi="Book Antiqua" w:cs="宋体"/>
          <w:color w:val="000000"/>
          <w:kern w:val="0"/>
          <w:sz w:val="24"/>
          <w:szCs w:val="24"/>
          <w:lang w:eastAsia="zh-CN"/>
        </w:rPr>
        <w:t xml:space="preserve">, Moles A, Ferretti I, Buttafoco P, Grottola A, Del Buono M, </w:t>
      </w:r>
      <w:proofErr w:type="gramStart"/>
      <w:r w:rsidRPr="00F40A26">
        <w:rPr>
          <w:rFonts w:ascii="Book Antiqua" w:eastAsia="宋体" w:hAnsi="Book Antiqua" w:cs="宋体"/>
          <w:color w:val="000000"/>
          <w:kern w:val="0"/>
          <w:sz w:val="24"/>
          <w:szCs w:val="24"/>
          <w:lang w:eastAsia="zh-CN"/>
        </w:rPr>
        <w:t>De</w:t>
      </w:r>
      <w:proofErr w:type="gramEnd"/>
      <w:r w:rsidRPr="00F40A26">
        <w:rPr>
          <w:rFonts w:ascii="Book Antiqua" w:eastAsia="宋体" w:hAnsi="Book Antiqua" w:cs="宋体"/>
          <w:color w:val="000000"/>
          <w:kern w:val="0"/>
          <w:sz w:val="24"/>
          <w:szCs w:val="24"/>
          <w:lang w:eastAsia="zh-CN"/>
        </w:rPr>
        <w:t xml:space="preserve"> Santis M, Manenti F. Natural history of inoperable hepatocellular carcinoma: estrogen receptors' status in the tumor is the strongest prognostic factor for survival. </w:t>
      </w:r>
      <w:r w:rsidRPr="00F40A26">
        <w:rPr>
          <w:rFonts w:ascii="Book Antiqua" w:eastAsia="宋体" w:hAnsi="Book Antiqua" w:cs="宋体"/>
          <w:i/>
          <w:iCs/>
          <w:color w:val="000000"/>
          <w:kern w:val="0"/>
          <w:sz w:val="24"/>
          <w:szCs w:val="24"/>
          <w:lang w:eastAsia="zh-CN"/>
        </w:rPr>
        <w:t>Hepatology</w:t>
      </w:r>
      <w:r w:rsidRPr="00F40A26">
        <w:rPr>
          <w:rFonts w:ascii="Book Antiqua" w:eastAsia="宋体" w:hAnsi="Book Antiqua" w:cs="宋体"/>
          <w:color w:val="000000"/>
          <w:kern w:val="0"/>
          <w:sz w:val="24"/>
          <w:szCs w:val="24"/>
          <w:lang w:eastAsia="zh-CN"/>
        </w:rPr>
        <w:t> 2000; </w:t>
      </w:r>
      <w:r w:rsidRPr="00F40A26">
        <w:rPr>
          <w:rFonts w:ascii="Book Antiqua" w:eastAsia="宋体" w:hAnsi="Book Antiqua" w:cs="宋体"/>
          <w:b/>
          <w:bCs/>
          <w:color w:val="000000"/>
          <w:kern w:val="0"/>
          <w:sz w:val="24"/>
          <w:szCs w:val="24"/>
          <w:lang w:eastAsia="zh-CN"/>
        </w:rPr>
        <w:t>32</w:t>
      </w:r>
      <w:r w:rsidRPr="00F40A26">
        <w:rPr>
          <w:rFonts w:ascii="Book Antiqua" w:eastAsia="宋体" w:hAnsi="Book Antiqua" w:cs="宋体"/>
          <w:color w:val="000000"/>
          <w:kern w:val="0"/>
          <w:sz w:val="24"/>
          <w:szCs w:val="24"/>
          <w:lang w:eastAsia="zh-CN"/>
        </w:rPr>
        <w:t>: 233-238 [PMID: 10915729 DOI: 10.1053/jhep.2000.9603]</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73 </w:t>
      </w:r>
      <w:r w:rsidRPr="00F40A26">
        <w:rPr>
          <w:rFonts w:ascii="Book Antiqua" w:eastAsia="宋体" w:hAnsi="Book Antiqua" w:cs="宋体"/>
          <w:b/>
          <w:bCs/>
          <w:color w:val="000000"/>
          <w:kern w:val="0"/>
          <w:sz w:val="24"/>
          <w:szCs w:val="24"/>
          <w:lang w:eastAsia="zh-CN"/>
        </w:rPr>
        <w:t>Lladó L</w:t>
      </w:r>
      <w:r w:rsidRPr="00F40A26">
        <w:rPr>
          <w:rFonts w:ascii="Book Antiqua" w:eastAsia="宋体" w:hAnsi="Book Antiqua" w:cs="宋体"/>
          <w:color w:val="000000"/>
          <w:kern w:val="0"/>
          <w:sz w:val="24"/>
          <w:szCs w:val="24"/>
          <w:lang w:eastAsia="zh-CN"/>
        </w:rPr>
        <w:t xml:space="preserve">, Virgili J, Figueras J, Valls C, Dominguez J, Rafecas A, Torras J, Fabregat J, Guardiola J, Jaurrieta E. </w:t>
      </w:r>
      <w:proofErr w:type="gramStart"/>
      <w:r w:rsidRPr="00F40A26">
        <w:rPr>
          <w:rFonts w:ascii="Book Antiqua" w:eastAsia="宋体" w:hAnsi="Book Antiqua" w:cs="宋体"/>
          <w:color w:val="000000"/>
          <w:kern w:val="0"/>
          <w:sz w:val="24"/>
          <w:szCs w:val="24"/>
          <w:lang w:eastAsia="zh-CN"/>
        </w:rPr>
        <w:t>A prognostic index of the survival of patients with unresectable hepatocellular carcinoma after transcatheter arterial chemoembolization.</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Cancer</w:t>
      </w:r>
      <w:r w:rsidRPr="00F40A26">
        <w:rPr>
          <w:rFonts w:ascii="Book Antiqua" w:eastAsia="宋体" w:hAnsi="Book Antiqua" w:cs="宋体"/>
          <w:color w:val="000000"/>
          <w:kern w:val="0"/>
          <w:sz w:val="24"/>
          <w:szCs w:val="24"/>
          <w:lang w:eastAsia="zh-CN"/>
        </w:rPr>
        <w:t> 2000; </w:t>
      </w:r>
      <w:r w:rsidRPr="00F40A26">
        <w:rPr>
          <w:rFonts w:ascii="Book Antiqua" w:eastAsia="宋体" w:hAnsi="Book Antiqua" w:cs="宋体"/>
          <w:b/>
          <w:bCs/>
          <w:color w:val="000000"/>
          <w:kern w:val="0"/>
          <w:sz w:val="24"/>
          <w:szCs w:val="24"/>
          <w:lang w:eastAsia="zh-CN"/>
        </w:rPr>
        <w:t>88</w:t>
      </w:r>
      <w:r w:rsidRPr="00F40A26">
        <w:rPr>
          <w:rFonts w:ascii="Book Antiqua" w:eastAsia="宋体" w:hAnsi="Book Antiqua" w:cs="宋体"/>
          <w:color w:val="000000"/>
          <w:kern w:val="0"/>
          <w:sz w:val="24"/>
          <w:szCs w:val="24"/>
          <w:lang w:eastAsia="zh-CN"/>
        </w:rPr>
        <w:t>: 50-57 [PMID: 10618605 DOI: 3.0.CO; 2-I']</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74 </w:t>
      </w:r>
      <w:r w:rsidRPr="00F40A26">
        <w:rPr>
          <w:rFonts w:ascii="Book Antiqua" w:eastAsia="宋体" w:hAnsi="Book Antiqua" w:cs="宋体"/>
          <w:b/>
          <w:bCs/>
          <w:color w:val="000000"/>
          <w:kern w:val="0"/>
          <w:sz w:val="24"/>
          <w:szCs w:val="24"/>
          <w:lang w:eastAsia="zh-CN"/>
        </w:rPr>
        <w:t>Minagawa M</w:t>
      </w:r>
      <w:r w:rsidRPr="00F40A26">
        <w:rPr>
          <w:rFonts w:ascii="Book Antiqua" w:eastAsia="宋体" w:hAnsi="Book Antiqua" w:cs="宋体"/>
          <w:color w:val="000000"/>
          <w:kern w:val="0"/>
          <w:sz w:val="24"/>
          <w:szCs w:val="24"/>
          <w:lang w:eastAsia="zh-CN"/>
        </w:rPr>
        <w:t>, Makuuchi M. Treatment of hepatocellular carcinoma accompanied by portal vein tumor thrombus.</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World J Gastroenterol</w:t>
      </w:r>
      <w:r w:rsidRPr="00F40A26">
        <w:rPr>
          <w:rFonts w:ascii="Book Antiqua" w:eastAsia="宋体" w:hAnsi="Book Antiqua" w:cs="宋体"/>
          <w:color w:val="000000"/>
          <w:kern w:val="0"/>
          <w:sz w:val="24"/>
          <w:szCs w:val="24"/>
          <w:lang w:eastAsia="zh-CN"/>
        </w:rPr>
        <w:t> 2006; </w:t>
      </w:r>
      <w:r w:rsidRPr="00F40A26">
        <w:rPr>
          <w:rFonts w:ascii="Book Antiqua" w:eastAsia="宋体" w:hAnsi="Book Antiqua" w:cs="宋体"/>
          <w:b/>
          <w:bCs/>
          <w:color w:val="000000"/>
          <w:kern w:val="0"/>
          <w:sz w:val="24"/>
          <w:szCs w:val="24"/>
          <w:lang w:eastAsia="zh-CN"/>
        </w:rPr>
        <w:t>12</w:t>
      </w:r>
      <w:r w:rsidRPr="00F40A26">
        <w:rPr>
          <w:rFonts w:ascii="Book Antiqua" w:eastAsia="宋体" w:hAnsi="Book Antiqua" w:cs="宋体"/>
          <w:color w:val="000000"/>
          <w:kern w:val="0"/>
          <w:sz w:val="24"/>
          <w:szCs w:val="24"/>
          <w:lang w:eastAsia="zh-CN"/>
        </w:rPr>
        <w:t>: 7561-7567 [PMID: 17171782]</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75 </w:t>
      </w:r>
      <w:r w:rsidRPr="00F40A26">
        <w:rPr>
          <w:rFonts w:ascii="Book Antiqua" w:eastAsia="宋体" w:hAnsi="Book Antiqua" w:cs="宋体"/>
          <w:b/>
          <w:bCs/>
          <w:color w:val="000000"/>
          <w:kern w:val="0"/>
          <w:sz w:val="24"/>
          <w:szCs w:val="24"/>
          <w:lang w:eastAsia="zh-CN"/>
        </w:rPr>
        <w:t>Shirai S</w:t>
      </w:r>
      <w:r w:rsidRPr="00F40A26">
        <w:rPr>
          <w:rFonts w:ascii="Book Antiqua" w:eastAsia="宋体" w:hAnsi="Book Antiqua" w:cs="宋体"/>
          <w:color w:val="000000"/>
          <w:kern w:val="0"/>
          <w:sz w:val="24"/>
          <w:szCs w:val="24"/>
          <w:lang w:eastAsia="zh-CN"/>
        </w:rPr>
        <w:t>, Sato M, Suwa K, Kishi K, Shimono C, Sonomura T, Kawai N, Tanihata H, Minamiguchi H, Nakai M. Feasibility and efficacy of single photon emission computed tomography-based three-dimensional conformal radiotherapy for hepatocellular carcinoma 8 cm or more with portal vein tumor thrombus in combination with transcatheter arterial chemoembolization. </w:t>
      </w:r>
      <w:r w:rsidRPr="00F40A26">
        <w:rPr>
          <w:rFonts w:ascii="Book Antiqua" w:eastAsia="宋体" w:hAnsi="Book Antiqua" w:cs="宋体"/>
          <w:i/>
          <w:iCs/>
          <w:color w:val="000000"/>
          <w:kern w:val="0"/>
          <w:sz w:val="24"/>
          <w:szCs w:val="24"/>
          <w:lang w:eastAsia="zh-CN"/>
        </w:rPr>
        <w:t>Int J Radiat Oncol Biol Phys</w:t>
      </w:r>
      <w:r w:rsidRPr="00F40A26">
        <w:rPr>
          <w:rFonts w:ascii="Book Antiqua" w:eastAsia="宋体" w:hAnsi="Book Antiqua" w:cs="宋体"/>
          <w:color w:val="000000"/>
          <w:kern w:val="0"/>
          <w:sz w:val="24"/>
          <w:szCs w:val="24"/>
          <w:lang w:eastAsia="zh-CN"/>
        </w:rPr>
        <w:t> 2010; </w:t>
      </w:r>
      <w:r w:rsidRPr="00F40A26">
        <w:rPr>
          <w:rFonts w:ascii="Book Antiqua" w:eastAsia="宋体" w:hAnsi="Book Antiqua" w:cs="宋体"/>
          <w:b/>
          <w:bCs/>
          <w:color w:val="000000"/>
          <w:kern w:val="0"/>
          <w:sz w:val="24"/>
          <w:szCs w:val="24"/>
          <w:lang w:eastAsia="zh-CN"/>
        </w:rPr>
        <w:t>76</w:t>
      </w:r>
      <w:r w:rsidRPr="00F40A26">
        <w:rPr>
          <w:rFonts w:ascii="Book Antiqua" w:eastAsia="宋体" w:hAnsi="Book Antiqua" w:cs="宋体"/>
          <w:color w:val="000000"/>
          <w:kern w:val="0"/>
          <w:sz w:val="24"/>
          <w:szCs w:val="24"/>
          <w:lang w:eastAsia="zh-CN"/>
        </w:rPr>
        <w:t>: 1037-1044 [PMID: 19540053 DOI: 10.1016/j.ijrobp.2009.03.023]</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76 </w:t>
      </w:r>
      <w:r w:rsidRPr="00F40A26">
        <w:rPr>
          <w:rFonts w:ascii="Book Antiqua" w:eastAsia="宋体" w:hAnsi="Book Antiqua" w:cs="宋体"/>
          <w:b/>
          <w:bCs/>
          <w:color w:val="000000"/>
          <w:kern w:val="0"/>
          <w:sz w:val="24"/>
          <w:szCs w:val="24"/>
          <w:lang w:eastAsia="zh-CN"/>
        </w:rPr>
        <w:t>Shim SJ</w:t>
      </w:r>
      <w:r w:rsidRPr="00F40A26">
        <w:rPr>
          <w:rFonts w:ascii="Book Antiqua" w:eastAsia="宋体" w:hAnsi="Book Antiqua" w:cs="宋体"/>
          <w:color w:val="000000"/>
          <w:kern w:val="0"/>
          <w:sz w:val="24"/>
          <w:szCs w:val="24"/>
          <w:lang w:eastAsia="zh-CN"/>
        </w:rPr>
        <w:t>, Seong J, Han KH, Chon CY, Suh CO, Lee JT. Local radiotherapy as a complement to incomplete transcatheter arterial chemoembolization in locally advanced hepatocellular carcinoma.</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Liver Int</w:t>
      </w:r>
      <w:r w:rsidRPr="00F40A26">
        <w:rPr>
          <w:rFonts w:ascii="Book Antiqua" w:eastAsia="宋体" w:hAnsi="Book Antiqua" w:cs="宋体"/>
          <w:color w:val="000000"/>
          <w:kern w:val="0"/>
          <w:sz w:val="24"/>
          <w:szCs w:val="24"/>
          <w:lang w:eastAsia="zh-CN"/>
        </w:rPr>
        <w:t> 2005; </w:t>
      </w:r>
      <w:r w:rsidRPr="00F40A26">
        <w:rPr>
          <w:rFonts w:ascii="Book Antiqua" w:eastAsia="宋体" w:hAnsi="Book Antiqua" w:cs="宋体"/>
          <w:b/>
          <w:bCs/>
          <w:color w:val="000000"/>
          <w:kern w:val="0"/>
          <w:sz w:val="24"/>
          <w:szCs w:val="24"/>
          <w:lang w:eastAsia="zh-CN"/>
        </w:rPr>
        <w:t>25</w:t>
      </w:r>
      <w:r w:rsidRPr="00F40A26">
        <w:rPr>
          <w:rFonts w:ascii="Book Antiqua" w:eastAsia="宋体" w:hAnsi="Book Antiqua" w:cs="宋体"/>
          <w:color w:val="000000"/>
          <w:kern w:val="0"/>
          <w:sz w:val="24"/>
          <w:szCs w:val="24"/>
          <w:lang w:eastAsia="zh-CN"/>
        </w:rPr>
        <w:t>: 1189-1196 [PMID: 16343071 DOI: 10.1111/j.1478-3231.2005.01170.x]</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lastRenderedPageBreak/>
        <w:t>77 </w:t>
      </w:r>
      <w:r w:rsidRPr="00F40A26">
        <w:rPr>
          <w:rFonts w:ascii="Book Antiqua" w:eastAsia="宋体" w:hAnsi="Book Antiqua" w:cs="宋体"/>
          <w:b/>
          <w:bCs/>
          <w:color w:val="000000"/>
          <w:kern w:val="0"/>
          <w:sz w:val="24"/>
          <w:szCs w:val="24"/>
          <w:lang w:eastAsia="zh-CN"/>
        </w:rPr>
        <w:t>Yoon SM</w:t>
      </w:r>
      <w:r w:rsidRPr="00F40A26">
        <w:rPr>
          <w:rFonts w:ascii="Book Antiqua" w:eastAsia="宋体" w:hAnsi="Book Antiqua" w:cs="宋体"/>
          <w:color w:val="000000"/>
          <w:kern w:val="0"/>
          <w:sz w:val="24"/>
          <w:szCs w:val="24"/>
          <w:lang w:eastAsia="zh-CN"/>
        </w:rPr>
        <w:t>, Lim YS, Won HJ, Kim JH, Kim KM, Lee HC, Chung YH, Lee YS, Lee SG, Park JH, Suh DJ. Radiotherapy plus transarterial chemoembolization for hepatocellular carcinoma invading the portal vein: long-term patient outcomes. </w:t>
      </w:r>
      <w:r w:rsidRPr="00F40A26">
        <w:rPr>
          <w:rFonts w:ascii="Book Antiqua" w:eastAsia="宋体" w:hAnsi="Book Antiqua" w:cs="宋体"/>
          <w:i/>
          <w:iCs/>
          <w:color w:val="000000"/>
          <w:kern w:val="0"/>
          <w:sz w:val="24"/>
          <w:szCs w:val="24"/>
          <w:lang w:eastAsia="zh-CN"/>
        </w:rPr>
        <w:t>Int J Radiat Oncol Biol Phys</w:t>
      </w:r>
      <w:r w:rsidRPr="00F40A26">
        <w:rPr>
          <w:rFonts w:ascii="Book Antiqua" w:eastAsia="宋体" w:hAnsi="Book Antiqua" w:cs="宋体"/>
          <w:color w:val="000000"/>
          <w:kern w:val="0"/>
          <w:sz w:val="24"/>
          <w:szCs w:val="24"/>
          <w:lang w:eastAsia="zh-CN"/>
        </w:rPr>
        <w:t> 2012; </w:t>
      </w:r>
      <w:r w:rsidRPr="00F40A26">
        <w:rPr>
          <w:rFonts w:ascii="Book Antiqua" w:eastAsia="宋体" w:hAnsi="Book Antiqua" w:cs="宋体"/>
          <w:b/>
          <w:bCs/>
          <w:color w:val="000000"/>
          <w:kern w:val="0"/>
          <w:sz w:val="24"/>
          <w:szCs w:val="24"/>
          <w:lang w:eastAsia="zh-CN"/>
        </w:rPr>
        <w:t>82</w:t>
      </w:r>
      <w:r w:rsidRPr="00F40A26">
        <w:rPr>
          <w:rFonts w:ascii="Book Antiqua" w:eastAsia="宋体" w:hAnsi="Book Antiqua" w:cs="宋体"/>
          <w:color w:val="000000"/>
          <w:kern w:val="0"/>
          <w:sz w:val="24"/>
          <w:szCs w:val="24"/>
          <w:lang w:eastAsia="zh-CN"/>
        </w:rPr>
        <w:t>: 2004-2011 [PMID: 21621346 DOI: 10.1016/j.ijrobp.2011.03.019]</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78 </w:t>
      </w:r>
      <w:r w:rsidRPr="00F40A26">
        <w:rPr>
          <w:rFonts w:ascii="Book Antiqua" w:eastAsia="宋体" w:hAnsi="Book Antiqua" w:cs="宋体"/>
          <w:b/>
          <w:bCs/>
          <w:color w:val="000000"/>
          <w:kern w:val="0"/>
          <w:sz w:val="24"/>
          <w:szCs w:val="24"/>
          <w:lang w:eastAsia="zh-CN"/>
        </w:rPr>
        <w:t>Cho JY</w:t>
      </w:r>
      <w:r w:rsidRPr="00F40A26">
        <w:rPr>
          <w:rFonts w:ascii="Book Antiqua" w:eastAsia="宋体" w:hAnsi="Book Antiqua" w:cs="宋体"/>
          <w:color w:val="000000"/>
          <w:kern w:val="0"/>
          <w:sz w:val="24"/>
          <w:szCs w:val="24"/>
          <w:lang w:eastAsia="zh-CN"/>
        </w:rPr>
        <w:t>, Paik YH, Park HC, Yu JI, Sohn W, Gwak GY, Choi MS, Lee JH, Koh KC, Paik SW, Yoo BC. The feasibility of combined transcatheter arterial chemoembolization and radiotherapy for advanced hepatocellular carcinoma. </w:t>
      </w:r>
      <w:r w:rsidRPr="00F40A26">
        <w:rPr>
          <w:rFonts w:ascii="Book Antiqua" w:eastAsia="宋体" w:hAnsi="Book Antiqua" w:cs="宋体"/>
          <w:i/>
          <w:iCs/>
          <w:color w:val="000000"/>
          <w:kern w:val="0"/>
          <w:sz w:val="24"/>
          <w:szCs w:val="24"/>
          <w:lang w:eastAsia="zh-CN"/>
        </w:rPr>
        <w:t>Liver Int</w:t>
      </w:r>
      <w:r w:rsidRPr="00F40A26">
        <w:rPr>
          <w:rFonts w:ascii="Book Antiqua" w:eastAsia="宋体" w:hAnsi="Book Antiqua" w:cs="宋体"/>
          <w:color w:val="000000"/>
          <w:kern w:val="0"/>
          <w:sz w:val="24"/>
          <w:szCs w:val="24"/>
          <w:lang w:eastAsia="zh-CN"/>
        </w:rPr>
        <w:t> 2014; </w:t>
      </w:r>
      <w:r w:rsidRPr="00F40A26">
        <w:rPr>
          <w:rFonts w:ascii="Book Antiqua" w:eastAsia="宋体" w:hAnsi="Book Antiqua" w:cs="宋体"/>
          <w:b/>
          <w:bCs/>
          <w:color w:val="000000"/>
          <w:kern w:val="0"/>
          <w:sz w:val="24"/>
          <w:szCs w:val="24"/>
          <w:lang w:eastAsia="zh-CN"/>
        </w:rPr>
        <w:t>34</w:t>
      </w:r>
      <w:r w:rsidRPr="00F40A26">
        <w:rPr>
          <w:rFonts w:ascii="Book Antiqua" w:eastAsia="宋体" w:hAnsi="Book Antiqua" w:cs="宋体"/>
          <w:color w:val="000000"/>
          <w:kern w:val="0"/>
          <w:sz w:val="24"/>
          <w:szCs w:val="24"/>
          <w:lang w:eastAsia="zh-CN"/>
        </w:rPr>
        <w:t>: 795-801 [PMID: 24350564 DOI: 10.1111/liv.12445]</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79 </w:t>
      </w:r>
      <w:r w:rsidRPr="00F40A26">
        <w:rPr>
          <w:rFonts w:ascii="Book Antiqua" w:eastAsia="宋体" w:hAnsi="Book Antiqua" w:cs="宋体"/>
          <w:b/>
          <w:bCs/>
          <w:color w:val="000000"/>
          <w:kern w:val="0"/>
          <w:sz w:val="24"/>
          <w:szCs w:val="24"/>
          <w:lang w:eastAsia="zh-CN"/>
        </w:rPr>
        <w:t>Okuda K</w:t>
      </w:r>
      <w:r w:rsidRPr="00F40A26">
        <w:rPr>
          <w:rFonts w:ascii="Book Antiqua" w:eastAsia="宋体" w:hAnsi="Book Antiqua" w:cs="宋体"/>
          <w:color w:val="000000"/>
          <w:kern w:val="0"/>
          <w:sz w:val="24"/>
          <w:szCs w:val="24"/>
          <w:lang w:eastAsia="zh-CN"/>
        </w:rPr>
        <w:t>, Musha H, Yamasaki T, Jinnouchi S, Nagasaki Y, Kubo Y, Shimokawa Y, Nakayama T, Kojiro M, Sakamoto K, Nakashima T. Angiographic demonstration of intrahepatic arterio-portal anastomoses in hepatocellular carcinoma.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1977; </w:t>
      </w:r>
      <w:r w:rsidRPr="00F40A26">
        <w:rPr>
          <w:rFonts w:ascii="Book Antiqua" w:eastAsia="宋体" w:hAnsi="Book Antiqua" w:cs="宋体"/>
          <w:b/>
          <w:bCs/>
          <w:color w:val="000000"/>
          <w:kern w:val="0"/>
          <w:sz w:val="24"/>
          <w:szCs w:val="24"/>
          <w:lang w:eastAsia="zh-CN"/>
        </w:rPr>
        <w:t>122</w:t>
      </w:r>
      <w:r w:rsidRPr="00F40A26">
        <w:rPr>
          <w:rFonts w:ascii="Book Antiqua" w:eastAsia="宋体" w:hAnsi="Book Antiqua" w:cs="宋体"/>
          <w:color w:val="000000"/>
          <w:kern w:val="0"/>
          <w:sz w:val="24"/>
          <w:szCs w:val="24"/>
          <w:lang w:eastAsia="zh-CN"/>
        </w:rPr>
        <w:t>: 53-58 [PMID: 186844 DOI: 10.1148/122.1.53]</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80 </w:t>
      </w:r>
      <w:r w:rsidRPr="00F40A26">
        <w:rPr>
          <w:rFonts w:ascii="Book Antiqua" w:eastAsia="宋体" w:hAnsi="Book Antiqua" w:cs="宋体"/>
          <w:b/>
          <w:bCs/>
          <w:color w:val="000000"/>
          <w:kern w:val="0"/>
          <w:sz w:val="24"/>
          <w:szCs w:val="24"/>
          <w:lang w:eastAsia="zh-CN"/>
        </w:rPr>
        <w:t>Sugano S</w:t>
      </w:r>
      <w:r w:rsidRPr="00F40A26">
        <w:rPr>
          <w:rFonts w:ascii="Book Antiqua" w:eastAsia="宋体" w:hAnsi="Book Antiqua" w:cs="宋体"/>
          <w:color w:val="000000"/>
          <w:kern w:val="0"/>
          <w:sz w:val="24"/>
          <w:szCs w:val="24"/>
          <w:lang w:eastAsia="zh-CN"/>
        </w:rPr>
        <w:t>, Miyoshi K, Suzuki T, Kawafune T, Kubota M. Intrahepatic arteriovenous shunting due to hepatocellular carcinoma and cirrhosis, and its change by transcatheter arterial embolization.</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Am J Gastroenterol</w:t>
      </w:r>
      <w:r w:rsidRPr="00F40A26">
        <w:rPr>
          <w:rFonts w:ascii="Book Antiqua" w:eastAsia="宋体" w:hAnsi="Book Antiqua" w:cs="宋体"/>
          <w:color w:val="000000"/>
          <w:kern w:val="0"/>
          <w:sz w:val="24"/>
          <w:szCs w:val="24"/>
          <w:lang w:eastAsia="zh-CN"/>
        </w:rPr>
        <w:t> 1994; </w:t>
      </w:r>
      <w:r w:rsidRPr="00F40A26">
        <w:rPr>
          <w:rFonts w:ascii="Book Antiqua" w:eastAsia="宋体" w:hAnsi="Book Antiqua" w:cs="宋体"/>
          <w:b/>
          <w:bCs/>
          <w:color w:val="000000"/>
          <w:kern w:val="0"/>
          <w:sz w:val="24"/>
          <w:szCs w:val="24"/>
          <w:lang w:eastAsia="zh-CN"/>
        </w:rPr>
        <w:t>89</w:t>
      </w:r>
      <w:r w:rsidRPr="00F40A26">
        <w:rPr>
          <w:rFonts w:ascii="Book Antiqua" w:eastAsia="宋体" w:hAnsi="Book Antiqua" w:cs="宋体"/>
          <w:color w:val="000000"/>
          <w:kern w:val="0"/>
          <w:sz w:val="24"/>
          <w:szCs w:val="24"/>
          <w:lang w:eastAsia="zh-CN"/>
        </w:rPr>
        <w:t>: 184-188 [PMID: 8304300]</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81 </w:t>
      </w:r>
      <w:r w:rsidRPr="00F40A26">
        <w:rPr>
          <w:rFonts w:ascii="Book Antiqua" w:eastAsia="宋体" w:hAnsi="Book Antiqua" w:cs="宋体"/>
          <w:b/>
          <w:bCs/>
          <w:color w:val="000000"/>
          <w:kern w:val="0"/>
          <w:sz w:val="24"/>
          <w:szCs w:val="24"/>
          <w:lang w:eastAsia="zh-CN"/>
        </w:rPr>
        <w:t>Bledin AG</w:t>
      </w:r>
      <w:r w:rsidRPr="00F40A26">
        <w:rPr>
          <w:rFonts w:ascii="Book Antiqua" w:eastAsia="宋体" w:hAnsi="Book Antiqua" w:cs="宋体"/>
          <w:color w:val="000000"/>
          <w:kern w:val="0"/>
          <w:sz w:val="24"/>
          <w:szCs w:val="24"/>
          <w:lang w:eastAsia="zh-CN"/>
        </w:rPr>
        <w:t>, Kantarjian HM, Kim EE, Wallace S, Chuang VP, Patt YZ, Haynie TP. 99mTc-labeled macroaggregated albumin in intrahepatic arterial chemotherapy. </w:t>
      </w:r>
      <w:r w:rsidRPr="00F40A26">
        <w:rPr>
          <w:rFonts w:ascii="Book Antiqua" w:eastAsia="宋体" w:hAnsi="Book Antiqua" w:cs="宋体"/>
          <w:i/>
          <w:iCs/>
          <w:color w:val="000000"/>
          <w:kern w:val="0"/>
          <w:sz w:val="24"/>
          <w:szCs w:val="24"/>
          <w:lang w:eastAsia="zh-CN"/>
        </w:rPr>
        <w:t>AJR Am J Roentgenol</w:t>
      </w:r>
      <w:r w:rsidRPr="00F40A26">
        <w:rPr>
          <w:rFonts w:ascii="Book Antiqua" w:eastAsia="宋体" w:hAnsi="Book Antiqua" w:cs="宋体"/>
          <w:color w:val="000000"/>
          <w:kern w:val="0"/>
          <w:sz w:val="24"/>
          <w:szCs w:val="24"/>
          <w:lang w:eastAsia="zh-CN"/>
        </w:rPr>
        <w:t> 1982; </w:t>
      </w:r>
      <w:r w:rsidRPr="00F40A26">
        <w:rPr>
          <w:rFonts w:ascii="Book Antiqua" w:eastAsia="宋体" w:hAnsi="Book Antiqua" w:cs="宋体"/>
          <w:b/>
          <w:bCs/>
          <w:color w:val="000000"/>
          <w:kern w:val="0"/>
          <w:sz w:val="24"/>
          <w:szCs w:val="24"/>
          <w:lang w:eastAsia="zh-CN"/>
        </w:rPr>
        <w:t>139</w:t>
      </w:r>
      <w:r w:rsidRPr="00F40A26">
        <w:rPr>
          <w:rFonts w:ascii="Book Antiqua" w:eastAsia="宋体" w:hAnsi="Book Antiqua" w:cs="宋体"/>
          <w:color w:val="000000"/>
          <w:kern w:val="0"/>
          <w:sz w:val="24"/>
          <w:szCs w:val="24"/>
          <w:lang w:eastAsia="zh-CN"/>
        </w:rPr>
        <w:t>: 711-715 [PMID: 6214932 DOI: 10.2214/ajr.139.4.711]</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82 </w:t>
      </w:r>
      <w:r w:rsidRPr="00F40A26">
        <w:rPr>
          <w:rFonts w:ascii="Book Antiqua" w:eastAsia="宋体" w:hAnsi="Book Antiqua" w:cs="宋体"/>
          <w:b/>
          <w:bCs/>
          <w:color w:val="000000"/>
          <w:kern w:val="0"/>
          <w:sz w:val="24"/>
          <w:szCs w:val="24"/>
          <w:lang w:eastAsia="zh-CN"/>
        </w:rPr>
        <w:t>Ziessman HA</w:t>
      </w:r>
      <w:r w:rsidRPr="00F40A26">
        <w:rPr>
          <w:rFonts w:ascii="Book Antiqua" w:eastAsia="宋体" w:hAnsi="Book Antiqua" w:cs="宋体"/>
          <w:color w:val="000000"/>
          <w:kern w:val="0"/>
          <w:sz w:val="24"/>
          <w:szCs w:val="24"/>
          <w:lang w:eastAsia="zh-CN"/>
        </w:rPr>
        <w:t xml:space="preserve">, Thrall JH, Yang PJ, Walker SC, Cozzi EA, Niederhuber JE, Gyves JW, Ensminger WD, Tuscan MC. Hepatic arterial perfusion scintigraphy with Tc-99m-MAA. </w:t>
      </w:r>
      <w:proofErr w:type="gramStart"/>
      <w:r w:rsidRPr="00F40A26">
        <w:rPr>
          <w:rFonts w:ascii="Book Antiqua" w:eastAsia="宋体" w:hAnsi="Book Antiqua" w:cs="宋体"/>
          <w:color w:val="000000"/>
          <w:kern w:val="0"/>
          <w:sz w:val="24"/>
          <w:szCs w:val="24"/>
          <w:lang w:eastAsia="zh-CN"/>
        </w:rPr>
        <w:t>Use of a totally implanted drug delivery system.</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1984; </w:t>
      </w:r>
      <w:r w:rsidRPr="00F40A26">
        <w:rPr>
          <w:rFonts w:ascii="Book Antiqua" w:eastAsia="宋体" w:hAnsi="Book Antiqua" w:cs="宋体"/>
          <w:b/>
          <w:bCs/>
          <w:color w:val="000000"/>
          <w:kern w:val="0"/>
          <w:sz w:val="24"/>
          <w:szCs w:val="24"/>
          <w:lang w:eastAsia="zh-CN"/>
        </w:rPr>
        <w:t>152</w:t>
      </w:r>
      <w:r w:rsidRPr="00F40A26">
        <w:rPr>
          <w:rFonts w:ascii="Book Antiqua" w:eastAsia="宋体" w:hAnsi="Book Antiqua" w:cs="宋体"/>
          <w:color w:val="000000"/>
          <w:kern w:val="0"/>
          <w:sz w:val="24"/>
          <w:szCs w:val="24"/>
          <w:lang w:eastAsia="zh-CN"/>
        </w:rPr>
        <w:t>: 167-172 [PMID: 6233632 DOI: 10.1148/radiology.152.1.6233632]</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83 </w:t>
      </w:r>
      <w:r w:rsidRPr="00F40A26">
        <w:rPr>
          <w:rFonts w:ascii="Book Antiqua" w:eastAsia="宋体" w:hAnsi="Book Antiqua" w:cs="宋体"/>
          <w:b/>
          <w:bCs/>
          <w:color w:val="000000"/>
          <w:kern w:val="0"/>
          <w:sz w:val="24"/>
          <w:szCs w:val="24"/>
          <w:lang w:eastAsia="zh-CN"/>
        </w:rPr>
        <w:t>Lai CL</w:t>
      </w:r>
      <w:r w:rsidRPr="00F40A26">
        <w:rPr>
          <w:rFonts w:ascii="Book Antiqua" w:eastAsia="宋体" w:hAnsi="Book Antiqua" w:cs="宋体"/>
          <w:color w:val="000000"/>
          <w:kern w:val="0"/>
          <w:sz w:val="24"/>
          <w:szCs w:val="24"/>
          <w:lang w:eastAsia="zh-CN"/>
        </w:rPr>
        <w:t>, Wu PC, Chan GC, Lok AS, Lin HJ.</w:t>
      </w:r>
      <w:proofErr w:type="gramEnd"/>
      <w:r w:rsidRPr="00F40A26">
        <w:rPr>
          <w:rFonts w:ascii="Book Antiqua" w:eastAsia="宋体" w:hAnsi="Book Antiqua" w:cs="宋体"/>
          <w:color w:val="000000"/>
          <w:kern w:val="0"/>
          <w:sz w:val="24"/>
          <w:szCs w:val="24"/>
          <w:lang w:eastAsia="zh-CN"/>
        </w:rPr>
        <w:t xml:space="preserve"> </w:t>
      </w:r>
      <w:proofErr w:type="gramStart"/>
      <w:r w:rsidRPr="00F40A26">
        <w:rPr>
          <w:rFonts w:ascii="Book Antiqua" w:eastAsia="宋体" w:hAnsi="Book Antiqua" w:cs="宋体"/>
          <w:color w:val="000000"/>
          <w:kern w:val="0"/>
          <w:sz w:val="24"/>
          <w:szCs w:val="24"/>
          <w:lang w:eastAsia="zh-CN"/>
        </w:rPr>
        <w:t>Doxorubicin versus no antitumor therapy in inoperable hepatocellular carcinoma.</w:t>
      </w:r>
      <w:proofErr w:type="gramEnd"/>
      <w:r w:rsidRPr="00F40A26">
        <w:rPr>
          <w:rFonts w:ascii="Book Antiqua" w:eastAsia="宋体" w:hAnsi="Book Antiqua" w:cs="宋体"/>
          <w:color w:val="000000"/>
          <w:kern w:val="0"/>
          <w:sz w:val="24"/>
          <w:szCs w:val="24"/>
          <w:lang w:eastAsia="zh-CN"/>
        </w:rPr>
        <w:t xml:space="preserve"> </w:t>
      </w:r>
      <w:proofErr w:type="gramStart"/>
      <w:r w:rsidRPr="00F40A26">
        <w:rPr>
          <w:rFonts w:ascii="Book Antiqua" w:eastAsia="宋体" w:hAnsi="Book Antiqua" w:cs="宋体"/>
          <w:color w:val="000000"/>
          <w:kern w:val="0"/>
          <w:sz w:val="24"/>
          <w:szCs w:val="24"/>
          <w:lang w:eastAsia="zh-CN"/>
        </w:rPr>
        <w:t>A prospective randomized trial.</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Cancer</w:t>
      </w:r>
      <w:r w:rsidRPr="00F40A26">
        <w:rPr>
          <w:rFonts w:ascii="Book Antiqua" w:eastAsia="宋体" w:hAnsi="Book Antiqua" w:cs="宋体"/>
          <w:color w:val="000000"/>
          <w:kern w:val="0"/>
          <w:sz w:val="24"/>
          <w:szCs w:val="24"/>
          <w:lang w:eastAsia="zh-CN"/>
        </w:rPr>
        <w:t> 1988; </w:t>
      </w:r>
      <w:r w:rsidRPr="00F40A26">
        <w:rPr>
          <w:rFonts w:ascii="Book Antiqua" w:eastAsia="宋体" w:hAnsi="Book Antiqua" w:cs="宋体"/>
          <w:b/>
          <w:bCs/>
          <w:color w:val="000000"/>
          <w:kern w:val="0"/>
          <w:sz w:val="24"/>
          <w:szCs w:val="24"/>
          <w:lang w:eastAsia="zh-CN"/>
        </w:rPr>
        <w:t>62</w:t>
      </w:r>
      <w:r w:rsidRPr="00F40A26">
        <w:rPr>
          <w:rFonts w:ascii="Book Antiqua" w:eastAsia="宋体" w:hAnsi="Book Antiqua" w:cs="宋体"/>
          <w:color w:val="000000"/>
          <w:kern w:val="0"/>
          <w:sz w:val="24"/>
          <w:szCs w:val="24"/>
          <w:lang w:eastAsia="zh-CN"/>
        </w:rPr>
        <w:t>: 479-483 [PMID: 2839280 DOI: 10.1002/1097-0142(19880801)62</w:t>
      </w:r>
      <w:proofErr w:type="gramStart"/>
      <w:r w:rsidRPr="00F40A26">
        <w:rPr>
          <w:rFonts w:ascii="Book Antiqua" w:eastAsia="宋体" w:hAnsi="Book Antiqua" w:cs="宋体"/>
          <w:color w:val="000000"/>
          <w:kern w:val="0"/>
          <w:sz w:val="24"/>
          <w:szCs w:val="24"/>
          <w:lang w:eastAsia="zh-CN"/>
        </w:rPr>
        <w:t>: ]</w:t>
      </w:r>
      <w:proofErr w:type="gramEnd"/>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84 </w:t>
      </w:r>
      <w:r w:rsidRPr="00F40A26">
        <w:rPr>
          <w:rFonts w:ascii="Book Antiqua" w:eastAsia="宋体" w:hAnsi="Book Antiqua" w:cs="宋体"/>
          <w:b/>
          <w:bCs/>
          <w:color w:val="000000"/>
          <w:kern w:val="0"/>
          <w:sz w:val="24"/>
          <w:szCs w:val="24"/>
          <w:lang w:eastAsia="zh-CN"/>
        </w:rPr>
        <w:t>Kojiro M</w:t>
      </w:r>
      <w:r w:rsidRPr="00F40A26">
        <w:rPr>
          <w:rFonts w:ascii="Book Antiqua" w:eastAsia="宋体" w:hAnsi="Book Antiqua" w:cs="宋体"/>
          <w:color w:val="000000"/>
          <w:kern w:val="0"/>
          <w:sz w:val="24"/>
          <w:szCs w:val="24"/>
          <w:lang w:eastAsia="zh-CN"/>
        </w:rPr>
        <w:t>. Focus on dysplastic nodules and early hepatocellular carcinoma: an Eastern point of view. </w:t>
      </w:r>
      <w:r w:rsidRPr="00F40A26">
        <w:rPr>
          <w:rFonts w:ascii="Book Antiqua" w:eastAsia="宋体" w:hAnsi="Book Antiqua" w:cs="宋体"/>
          <w:i/>
          <w:iCs/>
          <w:color w:val="000000"/>
          <w:kern w:val="0"/>
          <w:sz w:val="24"/>
          <w:szCs w:val="24"/>
          <w:lang w:eastAsia="zh-CN"/>
        </w:rPr>
        <w:t>Liver Transpl</w:t>
      </w:r>
      <w:r w:rsidRPr="00F40A26">
        <w:rPr>
          <w:rFonts w:ascii="Book Antiqua" w:eastAsia="宋体" w:hAnsi="Book Antiqua" w:cs="宋体"/>
          <w:color w:val="000000"/>
          <w:kern w:val="0"/>
          <w:sz w:val="24"/>
          <w:szCs w:val="24"/>
          <w:lang w:eastAsia="zh-CN"/>
        </w:rPr>
        <w:t> 2004; </w:t>
      </w:r>
      <w:r w:rsidRPr="00F40A26">
        <w:rPr>
          <w:rFonts w:ascii="Book Antiqua" w:eastAsia="宋体" w:hAnsi="Book Antiqua" w:cs="宋体"/>
          <w:b/>
          <w:bCs/>
          <w:color w:val="000000"/>
          <w:kern w:val="0"/>
          <w:sz w:val="24"/>
          <w:szCs w:val="24"/>
          <w:lang w:eastAsia="zh-CN"/>
        </w:rPr>
        <w:t>10</w:t>
      </w:r>
      <w:r w:rsidRPr="00F40A26">
        <w:rPr>
          <w:rFonts w:ascii="Book Antiqua" w:eastAsia="宋体" w:hAnsi="Book Antiqua" w:cs="宋体"/>
          <w:color w:val="000000"/>
          <w:kern w:val="0"/>
          <w:sz w:val="24"/>
          <w:szCs w:val="24"/>
          <w:lang w:eastAsia="zh-CN"/>
        </w:rPr>
        <w:t>: S3-S8 [PMID: 14762831 DOI: 10.1002/lt.20042]</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t>85 </w:t>
      </w:r>
      <w:r w:rsidRPr="00F40A26">
        <w:rPr>
          <w:rFonts w:ascii="Book Antiqua" w:eastAsia="宋体" w:hAnsi="Book Antiqua" w:cs="宋体"/>
          <w:b/>
          <w:bCs/>
          <w:color w:val="000000"/>
          <w:kern w:val="0"/>
          <w:sz w:val="24"/>
          <w:szCs w:val="24"/>
          <w:lang w:eastAsia="zh-CN"/>
        </w:rPr>
        <w:t>Lazaridis KN</w:t>
      </w:r>
      <w:r w:rsidRPr="00F40A26">
        <w:rPr>
          <w:rFonts w:ascii="Book Antiqua" w:eastAsia="宋体" w:hAnsi="Book Antiqua" w:cs="宋体"/>
          <w:color w:val="000000"/>
          <w:kern w:val="0"/>
          <w:sz w:val="24"/>
          <w:szCs w:val="24"/>
          <w:lang w:eastAsia="zh-CN"/>
        </w:rPr>
        <w:t>, Kamath PS. Images in hepatology.</w:t>
      </w:r>
      <w:proofErr w:type="gramEnd"/>
      <w:r w:rsidRPr="00F40A26">
        <w:rPr>
          <w:rFonts w:ascii="Book Antiqua" w:eastAsia="宋体" w:hAnsi="Book Antiqua" w:cs="宋体"/>
          <w:color w:val="000000"/>
          <w:kern w:val="0"/>
          <w:sz w:val="24"/>
          <w:szCs w:val="24"/>
          <w:lang w:eastAsia="zh-CN"/>
        </w:rPr>
        <w:t xml:space="preserve"> </w:t>
      </w:r>
      <w:proofErr w:type="gramStart"/>
      <w:r w:rsidRPr="00F40A26">
        <w:rPr>
          <w:rFonts w:ascii="Book Antiqua" w:eastAsia="宋体" w:hAnsi="Book Antiqua" w:cs="宋体"/>
          <w:color w:val="000000"/>
          <w:kern w:val="0"/>
          <w:sz w:val="24"/>
          <w:szCs w:val="24"/>
          <w:lang w:eastAsia="zh-CN"/>
        </w:rPr>
        <w:t>Arterio-portal fistula causing recurrent variceal bleeding.</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J Hepatol</w:t>
      </w:r>
      <w:r w:rsidRPr="00F40A26">
        <w:rPr>
          <w:rFonts w:ascii="Book Antiqua" w:eastAsia="宋体" w:hAnsi="Book Antiqua" w:cs="宋体"/>
          <w:color w:val="000000"/>
          <w:kern w:val="0"/>
          <w:sz w:val="24"/>
          <w:szCs w:val="24"/>
          <w:lang w:eastAsia="zh-CN"/>
        </w:rPr>
        <w:t> 1998; </w:t>
      </w:r>
      <w:r w:rsidRPr="00F40A26">
        <w:rPr>
          <w:rFonts w:ascii="Book Antiqua" w:eastAsia="宋体" w:hAnsi="Book Antiqua" w:cs="宋体"/>
          <w:b/>
          <w:bCs/>
          <w:color w:val="000000"/>
          <w:kern w:val="0"/>
          <w:sz w:val="24"/>
          <w:szCs w:val="24"/>
          <w:lang w:eastAsia="zh-CN"/>
        </w:rPr>
        <w:t>29</w:t>
      </w:r>
      <w:r w:rsidRPr="00F40A26">
        <w:rPr>
          <w:rFonts w:ascii="Book Antiqua" w:eastAsia="宋体" w:hAnsi="Book Antiqua" w:cs="宋体"/>
          <w:color w:val="000000"/>
          <w:kern w:val="0"/>
          <w:sz w:val="24"/>
          <w:szCs w:val="24"/>
          <w:lang w:eastAsia="zh-CN"/>
        </w:rPr>
        <w:t>: 142 [PMID: 9696503]</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lastRenderedPageBreak/>
        <w:t>86 </w:t>
      </w:r>
      <w:r w:rsidRPr="00F40A26">
        <w:rPr>
          <w:rFonts w:ascii="Book Antiqua" w:eastAsia="宋体" w:hAnsi="Book Antiqua" w:cs="宋体"/>
          <w:b/>
          <w:bCs/>
          <w:color w:val="000000"/>
          <w:kern w:val="0"/>
          <w:sz w:val="24"/>
          <w:szCs w:val="24"/>
          <w:lang w:eastAsia="zh-CN"/>
        </w:rPr>
        <w:t>Okuyama M</w:t>
      </w:r>
      <w:r w:rsidRPr="00F40A26">
        <w:rPr>
          <w:rFonts w:ascii="Book Antiqua" w:eastAsia="宋体" w:hAnsi="Book Antiqua" w:cs="宋体"/>
          <w:color w:val="000000"/>
          <w:kern w:val="0"/>
          <w:sz w:val="24"/>
          <w:szCs w:val="24"/>
          <w:lang w:eastAsia="zh-CN"/>
        </w:rPr>
        <w:t>, Fujiwara Y, Hayakawa T, Shiba M, Watanabe T, Tominaga K, Tamori A, Oshitani N, Higuchi K, Matsumoto T, Nakamura K, Wakasa K, Hirohashi K, Ashida S, Shuin T, Arakawa T. Esophagogastric varices due to arterioportal shunt in a serous cystadenoma of the pancreas in von Hippel-Lindau disease.</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Dig Dis Sci</w:t>
      </w:r>
      <w:r w:rsidRPr="00F40A26">
        <w:rPr>
          <w:rFonts w:ascii="Book Antiqua" w:eastAsia="宋体" w:hAnsi="Book Antiqua" w:cs="宋体"/>
          <w:color w:val="000000"/>
          <w:kern w:val="0"/>
          <w:sz w:val="24"/>
          <w:szCs w:val="24"/>
          <w:lang w:eastAsia="zh-CN"/>
        </w:rPr>
        <w:t> 2003; </w:t>
      </w:r>
      <w:r w:rsidRPr="00F40A26">
        <w:rPr>
          <w:rFonts w:ascii="Book Antiqua" w:eastAsia="宋体" w:hAnsi="Book Antiqua" w:cs="宋体"/>
          <w:b/>
          <w:bCs/>
          <w:color w:val="000000"/>
          <w:kern w:val="0"/>
          <w:sz w:val="24"/>
          <w:szCs w:val="24"/>
          <w:lang w:eastAsia="zh-CN"/>
        </w:rPr>
        <w:t>48</w:t>
      </w:r>
      <w:r w:rsidRPr="00F40A26">
        <w:rPr>
          <w:rFonts w:ascii="Book Antiqua" w:eastAsia="宋体" w:hAnsi="Book Antiqua" w:cs="宋体"/>
          <w:color w:val="000000"/>
          <w:kern w:val="0"/>
          <w:sz w:val="24"/>
          <w:szCs w:val="24"/>
          <w:lang w:eastAsia="zh-CN"/>
        </w:rPr>
        <w:t>: 1948-1954 [PMID: 14627339 DOI: 10.1023/A: 1026262019552]</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87 </w:t>
      </w:r>
      <w:r w:rsidRPr="00F40A26">
        <w:rPr>
          <w:rFonts w:ascii="Book Antiqua" w:eastAsia="宋体" w:hAnsi="Book Antiqua" w:cs="宋体"/>
          <w:b/>
          <w:bCs/>
          <w:color w:val="000000"/>
          <w:kern w:val="0"/>
          <w:sz w:val="24"/>
          <w:szCs w:val="24"/>
          <w:lang w:eastAsia="zh-CN"/>
        </w:rPr>
        <w:t>Morse SS</w:t>
      </w:r>
      <w:r w:rsidRPr="00F40A26">
        <w:rPr>
          <w:rFonts w:ascii="Book Antiqua" w:eastAsia="宋体" w:hAnsi="Book Antiqua" w:cs="宋体"/>
          <w:color w:val="000000"/>
          <w:kern w:val="0"/>
          <w:sz w:val="24"/>
          <w:szCs w:val="24"/>
          <w:lang w:eastAsia="zh-CN"/>
        </w:rPr>
        <w:t>, Sniderman KW, Galloway S, Rapoport S, Ross GR, Glickman MG. Hepatoma, arterioportal shunting, and hyperkinetic portal hypertension: therapeutic embolization.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1985; </w:t>
      </w:r>
      <w:r w:rsidRPr="00F40A26">
        <w:rPr>
          <w:rFonts w:ascii="Book Antiqua" w:eastAsia="宋体" w:hAnsi="Book Antiqua" w:cs="宋体"/>
          <w:b/>
          <w:bCs/>
          <w:color w:val="000000"/>
          <w:kern w:val="0"/>
          <w:sz w:val="24"/>
          <w:szCs w:val="24"/>
          <w:lang w:eastAsia="zh-CN"/>
        </w:rPr>
        <w:t>155</w:t>
      </w:r>
      <w:r w:rsidRPr="00F40A26">
        <w:rPr>
          <w:rFonts w:ascii="Book Antiqua" w:eastAsia="宋体" w:hAnsi="Book Antiqua" w:cs="宋体"/>
          <w:color w:val="000000"/>
          <w:kern w:val="0"/>
          <w:sz w:val="24"/>
          <w:szCs w:val="24"/>
          <w:lang w:eastAsia="zh-CN"/>
        </w:rPr>
        <w:t>: 77-82 [PMID: 2983375 DOI: 10.1148/radiology.155.1.2983375]</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88 </w:t>
      </w:r>
      <w:r w:rsidRPr="00F40A26">
        <w:rPr>
          <w:rFonts w:ascii="Book Antiqua" w:eastAsia="宋体" w:hAnsi="Book Antiqua" w:cs="宋体"/>
          <w:b/>
          <w:bCs/>
          <w:color w:val="000000"/>
          <w:kern w:val="0"/>
          <w:sz w:val="24"/>
          <w:szCs w:val="24"/>
          <w:lang w:eastAsia="zh-CN"/>
        </w:rPr>
        <w:t>Velázquez RF</w:t>
      </w:r>
      <w:r w:rsidRPr="00F40A26">
        <w:rPr>
          <w:rFonts w:ascii="Book Antiqua" w:eastAsia="宋体" w:hAnsi="Book Antiqua" w:cs="宋体"/>
          <w:color w:val="000000"/>
          <w:kern w:val="0"/>
          <w:sz w:val="24"/>
          <w:szCs w:val="24"/>
          <w:lang w:eastAsia="zh-CN"/>
        </w:rPr>
        <w:t>, Rodríguez M, Navascués CA, Linares A, Pérez R, Sotorríos NG, Martínez I, Rodrigo L. Prospective analysis of risk factors for hepatocellular carcinoma in patients with liver cirrhosis. </w:t>
      </w:r>
      <w:r w:rsidRPr="00F40A26">
        <w:rPr>
          <w:rFonts w:ascii="Book Antiqua" w:eastAsia="宋体" w:hAnsi="Book Antiqua" w:cs="宋体"/>
          <w:i/>
          <w:iCs/>
          <w:color w:val="000000"/>
          <w:kern w:val="0"/>
          <w:sz w:val="24"/>
          <w:szCs w:val="24"/>
          <w:lang w:eastAsia="zh-CN"/>
        </w:rPr>
        <w:t>Hepatology</w:t>
      </w:r>
      <w:r w:rsidRPr="00F40A26">
        <w:rPr>
          <w:rFonts w:ascii="Book Antiqua" w:eastAsia="宋体" w:hAnsi="Book Antiqua" w:cs="宋体"/>
          <w:color w:val="000000"/>
          <w:kern w:val="0"/>
          <w:sz w:val="24"/>
          <w:szCs w:val="24"/>
          <w:lang w:eastAsia="zh-CN"/>
        </w:rPr>
        <w:t> 2003; </w:t>
      </w:r>
      <w:r w:rsidRPr="00F40A26">
        <w:rPr>
          <w:rFonts w:ascii="Book Antiqua" w:eastAsia="宋体" w:hAnsi="Book Antiqua" w:cs="宋体"/>
          <w:b/>
          <w:bCs/>
          <w:color w:val="000000"/>
          <w:kern w:val="0"/>
          <w:sz w:val="24"/>
          <w:szCs w:val="24"/>
          <w:lang w:eastAsia="zh-CN"/>
        </w:rPr>
        <w:t>37</w:t>
      </w:r>
      <w:r w:rsidRPr="00F40A26">
        <w:rPr>
          <w:rFonts w:ascii="Book Antiqua" w:eastAsia="宋体" w:hAnsi="Book Antiqua" w:cs="宋体"/>
          <w:color w:val="000000"/>
          <w:kern w:val="0"/>
          <w:sz w:val="24"/>
          <w:szCs w:val="24"/>
          <w:lang w:eastAsia="zh-CN"/>
        </w:rPr>
        <w:t>: 520-527 [PMID: 12601348 DOI: 10.1053/jhep.2003.50093]</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89 </w:t>
      </w:r>
      <w:r w:rsidRPr="00F40A26">
        <w:rPr>
          <w:rFonts w:ascii="Book Antiqua" w:eastAsia="宋体" w:hAnsi="Book Antiqua" w:cs="宋体"/>
          <w:b/>
          <w:bCs/>
          <w:color w:val="000000"/>
          <w:kern w:val="0"/>
          <w:sz w:val="24"/>
          <w:szCs w:val="24"/>
          <w:lang w:eastAsia="zh-CN"/>
        </w:rPr>
        <w:t>Tarazov PG</w:t>
      </w:r>
      <w:r w:rsidRPr="00F40A26">
        <w:rPr>
          <w:rFonts w:ascii="Book Antiqua" w:eastAsia="宋体" w:hAnsi="Book Antiqua" w:cs="宋体"/>
          <w:color w:val="000000"/>
          <w:kern w:val="0"/>
          <w:sz w:val="24"/>
          <w:szCs w:val="24"/>
          <w:lang w:eastAsia="zh-CN"/>
        </w:rPr>
        <w:t>. Intrahepatic arterioportal fistulae: role of transcatheter embolization. </w:t>
      </w:r>
      <w:r w:rsidRPr="00F40A26">
        <w:rPr>
          <w:rFonts w:ascii="Book Antiqua" w:eastAsia="宋体" w:hAnsi="Book Antiqua" w:cs="宋体"/>
          <w:i/>
          <w:iCs/>
          <w:color w:val="000000"/>
          <w:kern w:val="0"/>
          <w:sz w:val="24"/>
          <w:szCs w:val="24"/>
          <w:lang w:eastAsia="zh-CN"/>
        </w:rPr>
        <w:t>Cardiovasc Intervent Radiol</w:t>
      </w:r>
      <w:r w:rsidRPr="00F40A26">
        <w:rPr>
          <w:rFonts w:ascii="Book Antiqua" w:eastAsia="宋体" w:hAnsi="Book Antiqua" w:cs="宋体"/>
          <w:color w:val="000000"/>
          <w:kern w:val="0"/>
          <w:sz w:val="24"/>
          <w:szCs w:val="24"/>
          <w:lang w:eastAsia="zh-CN"/>
        </w:rPr>
        <w:t> </w:t>
      </w:r>
      <w:r w:rsidR="001831D7">
        <w:rPr>
          <w:rFonts w:ascii="Book Antiqua" w:eastAsia="宋体" w:hAnsi="Book Antiqua" w:cs="宋体" w:hint="eastAsia"/>
          <w:color w:val="000000"/>
          <w:kern w:val="0"/>
          <w:sz w:val="24"/>
          <w:szCs w:val="24"/>
          <w:lang w:eastAsia="zh-CN"/>
        </w:rPr>
        <w:t>1993</w:t>
      </w:r>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b/>
          <w:bCs/>
          <w:color w:val="000000"/>
          <w:kern w:val="0"/>
          <w:sz w:val="24"/>
          <w:szCs w:val="24"/>
          <w:lang w:eastAsia="zh-CN"/>
        </w:rPr>
        <w:t>16</w:t>
      </w:r>
      <w:r w:rsidRPr="00F40A26">
        <w:rPr>
          <w:rFonts w:ascii="Book Antiqua" w:eastAsia="宋体" w:hAnsi="Book Antiqua" w:cs="宋体"/>
          <w:color w:val="000000"/>
          <w:kern w:val="0"/>
          <w:sz w:val="24"/>
          <w:szCs w:val="24"/>
          <w:lang w:eastAsia="zh-CN"/>
        </w:rPr>
        <w:t>: 368-373 [PMID: 8131168 DOI: 10.1007/BF02603142]</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90 </w:t>
      </w:r>
      <w:r w:rsidRPr="00F40A26">
        <w:rPr>
          <w:rFonts w:ascii="Book Antiqua" w:eastAsia="宋体" w:hAnsi="Book Antiqua" w:cs="宋体"/>
          <w:b/>
          <w:bCs/>
          <w:color w:val="000000"/>
          <w:kern w:val="0"/>
          <w:sz w:val="24"/>
          <w:szCs w:val="24"/>
          <w:lang w:eastAsia="zh-CN"/>
        </w:rPr>
        <w:t>Furuse J</w:t>
      </w:r>
      <w:r w:rsidRPr="00F40A26">
        <w:rPr>
          <w:rFonts w:ascii="Book Antiqua" w:eastAsia="宋体" w:hAnsi="Book Antiqua" w:cs="宋体"/>
          <w:color w:val="000000"/>
          <w:kern w:val="0"/>
          <w:sz w:val="24"/>
          <w:szCs w:val="24"/>
          <w:lang w:eastAsia="zh-CN"/>
        </w:rPr>
        <w:t>, Iwasaki M, Yoshino M, Konishi M, Kawano N, Kinoshita T, Ryu M, Satake M, Moriyama N. Hepatocellular carcinoma with portal vein tumor thrombus: embolization of arterioportal shunts. </w:t>
      </w:r>
      <w:r w:rsidRPr="00F40A26">
        <w:rPr>
          <w:rFonts w:ascii="Book Antiqua" w:eastAsia="宋体" w:hAnsi="Book Antiqua" w:cs="宋体"/>
          <w:i/>
          <w:iCs/>
          <w:color w:val="000000"/>
          <w:kern w:val="0"/>
          <w:sz w:val="24"/>
          <w:szCs w:val="24"/>
          <w:lang w:eastAsia="zh-CN"/>
        </w:rPr>
        <w:t>Radiology</w:t>
      </w:r>
      <w:r w:rsidRPr="00F40A26">
        <w:rPr>
          <w:rFonts w:ascii="Book Antiqua" w:eastAsia="宋体" w:hAnsi="Book Antiqua" w:cs="宋体"/>
          <w:color w:val="000000"/>
          <w:kern w:val="0"/>
          <w:sz w:val="24"/>
          <w:szCs w:val="24"/>
          <w:lang w:eastAsia="zh-CN"/>
        </w:rPr>
        <w:t> 1997; </w:t>
      </w:r>
      <w:r w:rsidRPr="00F40A26">
        <w:rPr>
          <w:rFonts w:ascii="Book Antiqua" w:eastAsia="宋体" w:hAnsi="Book Antiqua" w:cs="宋体"/>
          <w:b/>
          <w:bCs/>
          <w:color w:val="000000"/>
          <w:kern w:val="0"/>
          <w:sz w:val="24"/>
          <w:szCs w:val="24"/>
          <w:lang w:eastAsia="zh-CN"/>
        </w:rPr>
        <w:t>204</w:t>
      </w:r>
      <w:r w:rsidRPr="00F40A26">
        <w:rPr>
          <w:rFonts w:ascii="Book Antiqua" w:eastAsia="宋体" w:hAnsi="Book Antiqua" w:cs="宋体"/>
          <w:color w:val="000000"/>
          <w:kern w:val="0"/>
          <w:sz w:val="24"/>
          <w:szCs w:val="24"/>
          <w:lang w:eastAsia="zh-CN"/>
        </w:rPr>
        <w:t>: 787-790 [PMID: 9280260 DOI: 10.1148/radiology.204.3.9280260]</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91 </w:t>
      </w:r>
      <w:r w:rsidRPr="00F40A26">
        <w:rPr>
          <w:rFonts w:ascii="Book Antiqua" w:eastAsia="宋体" w:hAnsi="Book Antiqua" w:cs="宋体"/>
          <w:b/>
          <w:bCs/>
          <w:color w:val="000000"/>
          <w:kern w:val="0"/>
          <w:sz w:val="24"/>
          <w:szCs w:val="24"/>
          <w:lang w:eastAsia="zh-CN"/>
        </w:rPr>
        <w:t>Murata S</w:t>
      </w:r>
      <w:r w:rsidRPr="00F40A26">
        <w:rPr>
          <w:rFonts w:ascii="Book Antiqua" w:eastAsia="宋体" w:hAnsi="Book Antiqua" w:cs="宋体"/>
          <w:color w:val="000000"/>
          <w:kern w:val="0"/>
          <w:sz w:val="24"/>
          <w:szCs w:val="24"/>
          <w:lang w:eastAsia="zh-CN"/>
        </w:rPr>
        <w:t>, Tajima H, Nakazawa K, Onozawa S, Kumita S, Nomura K. Initial experience of transcatheter arterial chemoembolization during portal vein occlusion for unresectable hepatocellular carcinoma with marked arterioportal shunts. </w:t>
      </w:r>
      <w:r w:rsidRPr="00F40A26">
        <w:rPr>
          <w:rFonts w:ascii="Book Antiqua" w:eastAsia="宋体" w:hAnsi="Book Antiqua" w:cs="宋体"/>
          <w:i/>
          <w:iCs/>
          <w:color w:val="000000"/>
          <w:kern w:val="0"/>
          <w:sz w:val="24"/>
          <w:szCs w:val="24"/>
          <w:lang w:eastAsia="zh-CN"/>
        </w:rPr>
        <w:t>Eur Radiol</w:t>
      </w:r>
      <w:r w:rsidRPr="00F40A26">
        <w:rPr>
          <w:rFonts w:ascii="Book Antiqua" w:eastAsia="宋体" w:hAnsi="Book Antiqua" w:cs="宋体"/>
          <w:color w:val="000000"/>
          <w:kern w:val="0"/>
          <w:sz w:val="24"/>
          <w:szCs w:val="24"/>
          <w:lang w:eastAsia="zh-CN"/>
        </w:rPr>
        <w:t> 2009; </w:t>
      </w:r>
      <w:r w:rsidRPr="00F40A26">
        <w:rPr>
          <w:rFonts w:ascii="Book Antiqua" w:eastAsia="宋体" w:hAnsi="Book Antiqua" w:cs="宋体"/>
          <w:b/>
          <w:bCs/>
          <w:color w:val="000000"/>
          <w:kern w:val="0"/>
          <w:sz w:val="24"/>
          <w:szCs w:val="24"/>
          <w:lang w:eastAsia="zh-CN"/>
        </w:rPr>
        <w:t>19</w:t>
      </w:r>
      <w:r w:rsidRPr="00F40A26">
        <w:rPr>
          <w:rFonts w:ascii="Book Antiqua" w:eastAsia="宋体" w:hAnsi="Book Antiqua" w:cs="宋体"/>
          <w:color w:val="000000"/>
          <w:kern w:val="0"/>
          <w:sz w:val="24"/>
          <w:szCs w:val="24"/>
          <w:lang w:eastAsia="zh-CN"/>
        </w:rPr>
        <w:t>: 2016-2023 [PMID: 19238387 DOI: 10.1007/s00330-009-1349-y]</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92 </w:t>
      </w:r>
      <w:r w:rsidRPr="00F40A26">
        <w:rPr>
          <w:rFonts w:ascii="Book Antiqua" w:eastAsia="宋体" w:hAnsi="Book Antiqua" w:cs="宋体"/>
          <w:b/>
          <w:bCs/>
          <w:color w:val="000000"/>
          <w:kern w:val="0"/>
          <w:sz w:val="24"/>
          <w:szCs w:val="24"/>
          <w:lang w:eastAsia="zh-CN"/>
        </w:rPr>
        <w:t>Vahrmeijer AL</w:t>
      </w:r>
      <w:r w:rsidRPr="00F40A26">
        <w:rPr>
          <w:rFonts w:ascii="Book Antiqua" w:eastAsia="宋体" w:hAnsi="Book Antiqua" w:cs="宋体"/>
          <w:color w:val="000000"/>
          <w:kern w:val="0"/>
          <w:sz w:val="24"/>
          <w:szCs w:val="24"/>
          <w:lang w:eastAsia="zh-CN"/>
        </w:rPr>
        <w:t>, van Dierendonck JH, Keizer HJ, Beijnen JH, Tollenaar RA, Pijl ME, Marinelli A, Kuppen PJ, van Bockel JH, Mulder GJ, van de Velde CJ. Increased local cytostatic drug exposure by isolated hepatic perfusion: a phase I clinical and pharmacologic evaluation of treatment with high dose melphalan in patients with colorectal cancer confined to the liver. </w:t>
      </w:r>
      <w:r w:rsidRPr="00F40A26">
        <w:rPr>
          <w:rFonts w:ascii="Book Antiqua" w:eastAsia="宋体" w:hAnsi="Book Antiqua" w:cs="宋体"/>
          <w:i/>
          <w:iCs/>
          <w:color w:val="000000"/>
          <w:kern w:val="0"/>
          <w:sz w:val="24"/>
          <w:szCs w:val="24"/>
          <w:lang w:eastAsia="zh-CN"/>
        </w:rPr>
        <w:t>Br J Cancer</w:t>
      </w:r>
      <w:r w:rsidRPr="00F40A26">
        <w:rPr>
          <w:rFonts w:ascii="Book Antiqua" w:eastAsia="宋体" w:hAnsi="Book Antiqua" w:cs="宋体"/>
          <w:color w:val="000000"/>
          <w:kern w:val="0"/>
          <w:sz w:val="24"/>
          <w:szCs w:val="24"/>
          <w:lang w:eastAsia="zh-CN"/>
        </w:rPr>
        <w:t> 2000; </w:t>
      </w:r>
      <w:r w:rsidRPr="00F40A26">
        <w:rPr>
          <w:rFonts w:ascii="Book Antiqua" w:eastAsia="宋体" w:hAnsi="Book Antiqua" w:cs="宋体"/>
          <w:b/>
          <w:bCs/>
          <w:color w:val="000000"/>
          <w:kern w:val="0"/>
          <w:sz w:val="24"/>
          <w:szCs w:val="24"/>
          <w:lang w:eastAsia="zh-CN"/>
        </w:rPr>
        <w:t>82</w:t>
      </w:r>
      <w:r w:rsidRPr="00F40A26">
        <w:rPr>
          <w:rFonts w:ascii="Book Antiqua" w:eastAsia="宋体" w:hAnsi="Book Antiqua" w:cs="宋体"/>
          <w:color w:val="000000"/>
          <w:kern w:val="0"/>
          <w:sz w:val="24"/>
          <w:szCs w:val="24"/>
          <w:lang w:eastAsia="zh-CN"/>
        </w:rPr>
        <w:t>: 1539-1546 [PMID: 10789721]</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93 </w:t>
      </w:r>
      <w:r w:rsidRPr="00F40A26">
        <w:rPr>
          <w:rFonts w:ascii="Book Antiqua" w:eastAsia="宋体" w:hAnsi="Book Antiqua" w:cs="宋体"/>
          <w:b/>
          <w:bCs/>
          <w:color w:val="000000"/>
          <w:kern w:val="0"/>
          <w:sz w:val="24"/>
          <w:szCs w:val="24"/>
          <w:lang w:eastAsia="zh-CN"/>
        </w:rPr>
        <w:t>Bartlett DL</w:t>
      </w:r>
      <w:r w:rsidRPr="00F40A26">
        <w:rPr>
          <w:rFonts w:ascii="Book Antiqua" w:eastAsia="宋体" w:hAnsi="Book Antiqua" w:cs="宋体"/>
          <w:color w:val="000000"/>
          <w:kern w:val="0"/>
          <w:sz w:val="24"/>
          <w:szCs w:val="24"/>
          <w:lang w:eastAsia="zh-CN"/>
        </w:rPr>
        <w:t>, Libutti SK, Figg WD, Fraker DL, Alexander HR. Isolated hepatic perfusion for unresectable hepatic metastases from colorectal cancer. </w:t>
      </w:r>
      <w:r w:rsidRPr="00F40A26">
        <w:rPr>
          <w:rFonts w:ascii="Book Antiqua" w:eastAsia="宋体" w:hAnsi="Book Antiqua" w:cs="宋体"/>
          <w:i/>
          <w:iCs/>
          <w:color w:val="000000"/>
          <w:kern w:val="0"/>
          <w:sz w:val="24"/>
          <w:szCs w:val="24"/>
          <w:lang w:eastAsia="zh-CN"/>
        </w:rPr>
        <w:t>Surgery</w:t>
      </w:r>
      <w:r w:rsidRPr="00F40A26">
        <w:rPr>
          <w:rFonts w:ascii="Book Antiqua" w:eastAsia="宋体" w:hAnsi="Book Antiqua" w:cs="宋体"/>
          <w:color w:val="000000"/>
          <w:kern w:val="0"/>
          <w:sz w:val="24"/>
          <w:szCs w:val="24"/>
          <w:lang w:eastAsia="zh-CN"/>
        </w:rPr>
        <w:t> 2001; </w:t>
      </w:r>
      <w:r w:rsidRPr="00F40A26">
        <w:rPr>
          <w:rFonts w:ascii="Book Antiqua" w:eastAsia="宋体" w:hAnsi="Book Antiqua" w:cs="宋体"/>
          <w:b/>
          <w:bCs/>
          <w:color w:val="000000"/>
          <w:kern w:val="0"/>
          <w:sz w:val="24"/>
          <w:szCs w:val="24"/>
          <w:lang w:eastAsia="zh-CN"/>
        </w:rPr>
        <w:t>129</w:t>
      </w:r>
      <w:r w:rsidRPr="00F40A26">
        <w:rPr>
          <w:rFonts w:ascii="Book Antiqua" w:eastAsia="宋体" w:hAnsi="Book Antiqua" w:cs="宋体"/>
          <w:color w:val="000000"/>
          <w:kern w:val="0"/>
          <w:sz w:val="24"/>
          <w:szCs w:val="24"/>
          <w:lang w:eastAsia="zh-CN"/>
        </w:rPr>
        <w:t>: 176-187 [PMID: 11174711 DOI: 10.1067/msy.2001.110365]</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lastRenderedPageBreak/>
        <w:t>94 </w:t>
      </w:r>
      <w:r w:rsidRPr="00F40A26">
        <w:rPr>
          <w:rFonts w:ascii="Book Antiqua" w:eastAsia="宋体" w:hAnsi="Book Antiqua" w:cs="宋体"/>
          <w:b/>
          <w:bCs/>
          <w:color w:val="000000"/>
          <w:kern w:val="0"/>
          <w:sz w:val="24"/>
          <w:szCs w:val="24"/>
          <w:lang w:eastAsia="zh-CN"/>
        </w:rPr>
        <w:t>Alexander HR</w:t>
      </w:r>
      <w:r w:rsidRPr="00F40A26">
        <w:rPr>
          <w:rFonts w:ascii="Book Antiqua" w:eastAsia="宋体" w:hAnsi="Book Antiqua" w:cs="宋体"/>
          <w:color w:val="000000"/>
          <w:kern w:val="0"/>
          <w:sz w:val="24"/>
          <w:szCs w:val="24"/>
          <w:lang w:eastAsia="zh-CN"/>
        </w:rPr>
        <w:t>, Bartlett DL, Libutti SK, Pingpank JF, Fraker DL, Royal R, Steinberg SM, Helsabeck CB, Beresneva TH. Analysis of factors associated with outcome in patients undergoing isolated hepatic perfusion for unresectable liver metastases from colorectal center. </w:t>
      </w:r>
      <w:r w:rsidRPr="00F40A26">
        <w:rPr>
          <w:rFonts w:ascii="Book Antiqua" w:eastAsia="宋体" w:hAnsi="Book Antiqua" w:cs="宋体"/>
          <w:i/>
          <w:iCs/>
          <w:color w:val="000000"/>
          <w:kern w:val="0"/>
          <w:sz w:val="24"/>
          <w:szCs w:val="24"/>
          <w:lang w:eastAsia="zh-CN"/>
        </w:rPr>
        <w:t>Ann Surg Oncol</w:t>
      </w:r>
      <w:r w:rsidRPr="00F40A26">
        <w:rPr>
          <w:rFonts w:ascii="Book Antiqua" w:eastAsia="宋体" w:hAnsi="Book Antiqua" w:cs="宋体"/>
          <w:color w:val="000000"/>
          <w:kern w:val="0"/>
          <w:sz w:val="24"/>
          <w:szCs w:val="24"/>
          <w:lang w:eastAsia="zh-CN"/>
        </w:rPr>
        <w:t> 2009; </w:t>
      </w:r>
      <w:r w:rsidRPr="00F40A26">
        <w:rPr>
          <w:rFonts w:ascii="Book Antiqua" w:eastAsia="宋体" w:hAnsi="Book Antiqua" w:cs="宋体"/>
          <w:b/>
          <w:bCs/>
          <w:color w:val="000000"/>
          <w:kern w:val="0"/>
          <w:sz w:val="24"/>
          <w:szCs w:val="24"/>
          <w:lang w:eastAsia="zh-CN"/>
        </w:rPr>
        <w:t>16</w:t>
      </w:r>
      <w:r w:rsidRPr="00F40A26">
        <w:rPr>
          <w:rFonts w:ascii="Book Antiqua" w:eastAsia="宋体" w:hAnsi="Book Antiqua" w:cs="宋体"/>
          <w:color w:val="000000"/>
          <w:kern w:val="0"/>
          <w:sz w:val="24"/>
          <w:szCs w:val="24"/>
          <w:lang w:eastAsia="zh-CN"/>
        </w:rPr>
        <w:t>: 1852-1859 [PMID: 19434456 DOI: 10.1245/s10434-009-0482-9]</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95 </w:t>
      </w:r>
      <w:r w:rsidRPr="00F40A26">
        <w:rPr>
          <w:rFonts w:ascii="Book Antiqua" w:eastAsia="宋体" w:hAnsi="Book Antiqua" w:cs="宋体"/>
          <w:b/>
          <w:bCs/>
          <w:color w:val="000000"/>
          <w:kern w:val="0"/>
          <w:sz w:val="24"/>
          <w:szCs w:val="24"/>
          <w:lang w:eastAsia="zh-CN"/>
        </w:rPr>
        <w:t>van Iersel LB</w:t>
      </w:r>
      <w:r w:rsidRPr="00F40A26">
        <w:rPr>
          <w:rFonts w:ascii="Book Antiqua" w:eastAsia="宋体" w:hAnsi="Book Antiqua" w:cs="宋体"/>
          <w:color w:val="000000"/>
          <w:kern w:val="0"/>
          <w:sz w:val="24"/>
          <w:szCs w:val="24"/>
          <w:lang w:eastAsia="zh-CN"/>
        </w:rPr>
        <w:t>, Gelderblom H, Vahrmeijer AL, van Persijn van Meerten EL, Tijl FG, Putter H, Hartgrink HH, Kuppen PJ, Nortier JW, Tollenaar RA, van de Velde CJ. Isolated hepatic melphalan perfusion of colorectal liver metastases: outcome and prognostic factors in 154 patients. </w:t>
      </w:r>
      <w:r w:rsidRPr="00F40A26">
        <w:rPr>
          <w:rFonts w:ascii="Book Antiqua" w:eastAsia="宋体" w:hAnsi="Book Antiqua" w:cs="宋体"/>
          <w:i/>
          <w:iCs/>
          <w:color w:val="000000"/>
          <w:kern w:val="0"/>
          <w:sz w:val="24"/>
          <w:szCs w:val="24"/>
          <w:lang w:eastAsia="zh-CN"/>
        </w:rPr>
        <w:t>Ann Oncol</w:t>
      </w:r>
      <w:r w:rsidRPr="00F40A26">
        <w:rPr>
          <w:rFonts w:ascii="Book Antiqua" w:eastAsia="宋体" w:hAnsi="Book Antiqua" w:cs="宋体"/>
          <w:color w:val="000000"/>
          <w:kern w:val="0"/>
          <w:sz w:val="24"/>
          <w:szCs w:val="24"/>
          <w:lang w:eastAsia="zh-CN"/>
        </w:rPr>
        <w:t> 2008; </w:t>
      </w:r>
      <w:r w:rsidRPr="00F40A26">
        <w:rPr>
          <w:rFonts w:ascii="Book Antiqua" w:eastAsia="宋体" w:hAnsi="Book Antiqua" w:cs="宋体"/>
          <w:b/>
          <w:bCs/>
          <w:color w:val="000000"/>
          <w:kern w:val="0"/>
          <w:sz w:val="24"/>
          <w:szCs w:val="24"/>
          <w:lang w:eastAsia="zh-CN"/>
        </w:rPr>
        <w:t>19</w:t>
      </w:r>
      <w:r w:rsidRPr="00F40A26">
        <w:rPr>
          <w:rFonts w:ascii="Book Antiqua" w:eastAsia="宋体" w:hAnsi="Book Antiqua" w:cs="宋体"/>
          <w:color w:val="000000"/>
          <w:kern w:val="0"/>
          <w:sz w:val="24"/>
          <w:szCs w:val="24"/>
          <w:lang w:eastAsia="zh-CN"/>
        </w:rPr>
        <w:t>: 1127-1134 [PMID: 18304962 DOI: 10.1093/annonc/mdn032]</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96 </w:t>
      </w:r>
      <w:r w:rsidRPr="00F40A26">
        <w:rPr>
          <w:rFonts w:ascii="Book Antiqua" w:eastAsia="宋体" w:hAnsi="Book Antiqua" w:cs="宋体"/>
          <w:b/>
          <w:bCs/>
          <w:color w:val="000000"/>
          <w:kern w:val="0"/>
          <w:sz w:val="24"/>
          <w:szCs w:val="24"/>
          <w:lang w:eastAsia="zh-CN"/>
        </w:rPr>
        <w:t>Ku Y</w:t>
      </w:r>
      <w:r w:rsidRPr="00F40A26">
        <w:rPr>
          <w:rFonts w:ascii="Book Antiqua" w:eastAsia="宋体" w:hAnsi="Book Antiqua" w:cs="宋体"/>
          <w:color w:val="000000"/>
          <w:kern w:val="0"/>
          <w:sz w:val="24"/>
          <w:szCs w:val="24"/>
          <w:lang w:eastAsia="zh-CN"/>
        </w:rPr>
        <w:t>, Iwasaki T, Tominaga M, Fukumoto T, Takahashi T, Kido M, Ogata S, Takahashi M, Kuroda Y, Matsumoto S, Obara H. Reductive surgery plus percutaneous isolated hepatic perfusion for multiple advanced hepatocellular carcinoma. </w:t>
      </w:r>
      <w:r w:rsidRPr="00F40A26">
        <w:rPr>
          <w:rFonts w:ascii="Book Antiqua" w:eastAsia="宋体" w:hAnsi="Book Antiqua" w:cs="宋体"/>
          <w:i/>
          <w:iCs/>
          <w:color w:val="000000"/>
          <w:kern w:val="0"/>
          <w:sz w:val="24"/>
          <w:szCs w:val="24"/>
          <w:lang w:eastAsia="zh-CN"/>
        </w:rPr>
        <w:t>Ann Surg</w:t>
      </w:r>
      <w:r w:rsidRPr="00F40A26">
        <w:rPr>
          <w:rFonts w:ascii="Book Antiqua" w:eastAsia="宋体" w:hAnsi="Book Antiqua" w:cs="宋体"/>
          <w:color w:val="000000"/>
          <w:kern w:val="0"/>
          <w:sz w:val="24"/>
          <w:szCs w:val="24"/>
          <w:lang w:eastAsia="zh-CN"/>
        </w:rPr>
        <w:t> 2004; </w:t>
      </w:r>
      <w:r w:rsidRPr="00F40A26">
        <w:rPr>
          <w:rFonts w:ascii="Book Antiqua" w:eastAsia="宋体" w:hAnsi="Book Antiqua" w:cs="宋体"/>
          <w:b/>
          <w:bCs/>
          <w:color w:val="000000"/>
          <w:kern w:val="0"/>
          <w:sz w:val="24"/>
          <w:szCs w:val="24"/>
          <w:lang w:eastAsia="zh-CN"/>
        </w:rPr>
        <w:t>239</w:t>
      </w:r>
      <w:r w:rsidRPr="00F40A26">
        <w:rPr>
          <w:rFonts w:ascii="Book Antiqua" w:eastAsia="宋体" w:hAnsi="Book Antiqua" w:cs="宋体"/>
          <w:color w:val="000000"/>
          <w:kern w:val="0"/>
          <w:sz w:val="24"/>
          <w:szCs w:val="24"/>
          <w:lang w:eastAsia="zh-CN"/>
        </w:rPr>
        <w:t>: 53-60 [PMID: 14685100 DOI: 10.1097/01.sla.0000103133.03688.3d]</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97 </w:t>
      </w:r>
      <w:r w:rsidRPr="00F40A26">
        <w:rPr>
          <w:rFonts w:ascii="Book Antiqua" w:eastAsia="宋体" w:hAnsi="Book Antiqua" w:cs="宋体"/>
          <w:b/>
          <w:bCs/>
          <w:color w:val="000000"/>
          <w:kern w:val="0"/>
          <w:sz w:val="24"/>
          <w:szCs w:val="24"/>
          <w:lang w:eastAsia="zh-CN"/>
        </w:rPr>
        <w:t>Savier E</w:t>
      </w:r>
      <w:r w:rsidRPr="00F40A26">
        <w:rPr>
          <w:rFonts w:ascii="Book Antiqua" w:eastAsia="宋体" w:hAnsi="Book Antiqua" w:cs="宋体"/>
          <w:color w:val="000000"/>
          <w:kern w:val="0"/>
          <w:sz w:val="24"/>
          <w:szCs w:val="24"/>
          <w:lang w:eastAsia="zh-CN"/>
        </w:rPr>
        <w:t>, Azoulay D, Huguet E, Lokiec F, Gil-Delgado M, Bismuth H. Percutaneous isolated hepatic perfusion for chemotherapy: a phase 1 study. </w:t>
      </w:r>
      <w:r w:rsidRPr="00F40A26">
        <w:rPr>
          <w:rFonts w:ascii="Book Antiqua" w:eastAsia="宋体" w:hAnsi="Book Antiqua" w:cs="宋体"/>
          <w:i/>
          <w:iCs/>
          <w:color w:val="000000"/>
          <w:kern w:val="0"/>
          <w:sz w:val="24"/>
          <w:szCs w:val="24"/>
          <w:lang w:eastAsia="zh-CN"/>
        </w:rPr>
        <w:t>Arch Surg</w:t>
      </w:r>
      <w:r w:rsidRPr="00F40A26">
        <w:rPr>
          <w:rFonts w:ascii="Book Antiqua" w:eastAsia="宋体" w:hAnsi="Book Antiqua" w:cs="宋体"/>
          <w:color w:val="000000"/>
          <w:kern w:val="0"/>
          <w:sz w:val="24"/>
          <w:szCs w:val="24"/>
          <w:lang w:eastAsia="zh-CN"/>
        </w:rPr>
        <w:t> 2003; </w:t>
      </w:r>
      <w:r w:rsidRPr="00F40A26">
        <w:rPr>
          <w:rFonts w:ascii="Book Antiqua" w:eastAsia="宋体" w:hAnsi="Book Antiqua" w:cs="宋体"/>
          <w:b/>
          <w:bCs/>
          <w:color w:val="000000"/>
          <w:kern w:val="0"/>
          <w:sz w:val="24"/>
          <w:szCs w:val="24"/>
          <w:lang w:eastAsia="zh-CN"/>
        </w:rPr>
        <w:t>138</w:t>
      </w:r>
      <w:r w:rsidRPr="00F40A26">
        <w:rPr>
          <w:rFonts w:ascii="Book Antiqua" w:eastAsia="宋体" w:hAnsi="Book Antiqua" w:cs="宋体"/>
          <w:color w:val="000000"/>
          <w:kern w:val="0"/>
          <w:sz w:val="24"/>
          <w:szCs w:val="24"/>
          <w:lang w:eastAsia="zh-CN"/>
        </w:rPr>
        <w:t>: 325-332 [PMID: 12611582 DOI: 10.1001/archsurg.138.3.325]</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98 </w:t>
      </w:r>
      <w:r w:rsidRPr="00F40A26">
        <w:rPr>
          <w:rFonts w:ascii="Book Antiqua" w:eastAsia="宋体" w:hAnsi="Book Antiqua" w:cs="宋体"/>
          <w:b/>
          <w:bCs/>
          <w:color w:val="000000"/>
          <w:kern w:val="0"/>
          <w:sz w:val="24"/>
          <w:szCs w:val="24"/>
          <w:lang w:eastAsia="zh-CN"/>
        </w:rPr>
        <w:t>Pingpank JF</w:t>
      </w:r>
      <w:r w:rsidRPr="00F40A26">
        <w:rPr>
          <w:rFonts w:ascii="Book Antiqua" w:eastAsia="宋体" w:hAnsi="Book Antiqua" w:cs="宋体"/>
          <w:color w:val="000000"/>
          <w:kern w:val="0"/>
          <w:sz w:val="24"/>
          <w:szCs w:val="24"/>
          <w:lang w:eastAsia="zh-CN"/>
        </w:rPr>
        <w:t>, Libutti SK, Chang R, Wood BJ, Neeman Z, Kam AW, Figg WD, Zhai S, Beresneva T, Seidel GD, Alexander HR. Phase I study of hepatic arterial melphalan infusion and hepatic venous hemofiltration using percutaneously placed catheters in patients with unresectable hepatic malignancies. </w:t>
      </w:r>
      <w:r w:rsidRPr="00F40A26">
        <w:rPr>
          <w:rFonts w:ascii="Book Antiqua" w:eastAsia="宋体" w:hAnsi="Book Antiqua" w:cs="宋体"/>
          <w:i/>
          <w:iCs/>
          <w:color w:val="000000"/>
          <w:kern w:val="0"/>
          <w:sz w:val="24"/>
          <w:szCs w:val="24"/>
          <w:lang w:eastAsia="zh-CN"/>
        </w:rPr>
        <w:t>J Clin Oncol</w:t>
      </w:r>
      <w:r w:rsidRPr="00F40A26">
        <w:rPr>
          <w:rFonts w:ascii="Book Antiqua" w:eastAsia="宋体" w:hAnsi="Book Antiqua" w:cs="宋体"/>
          <w:color w:val="000000"/>
          <w:kern w:val="0"/>
          <w:sz w:val="24"/>
          <w:szCs w:val="24"/>
          <w:lang w:eastAsia="zh-CN"/>
        </w:rPr>
        <w:t> 2005; </w:t>
      </w:r>
      <w:r w:rsidRPr="00F40A26">
        <w:rPr>
          <w:rFonts w:ascii="Book Antiqua" w:eastAsia="宋体" w:hAnsi="Book Antiqua" w:cs="宋体"/>
          <w:b/>
          <w:bCs/>
          <w:color w:val="000000"/>
          <w:kern w:val="0"/>
          <w:sz w:val="24"/>
          <w:szCs w:val="24"/>
          <w:lang w:eastAsia="zh-CN"/>
        </w:rPr>
        <w:t>23</w:t>
      </w:r>
      <w:r w:rsidRPr="00F40A26">
        <w:rPr>
          <w:rFonts w:ascii="Book Antiqua" w:eastAsia="宋体" w:hAnsi="Book Antiqua" w:cs="宋体"/>
          <w:color w:val="000000"/>
          <w:kern w:val="0"/>
          <w:sz w:val="24"/>
          <w:szCs w:val="24"/>
          <w:lang w:eastAsia="zh-CN"/>
        </w:rPr>
        <w:t>: 3465-3474 [PMID: 15908655 DOI: 10.1200/JCO.2005.00.927]</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99 </w:t>
      </w:r>
      <w:r w:rsidRPr="00F40A26">
        <w:rPr>
          <w:rFonts w:ascii="Book Antiqua" w:eastAsia="宋体" w:hAnsi="Book Antiqua" w:cs="宋体"/>
          <w:b/>
          <w:bCs/>
          <w:color w:val="000000"/>
          <w:kern w:val="0"/>
          <w:sz w:val="24"/>
          <w:szCs w:val="24"/>
          <w:lang w:eastAsia="zh-CN"/>
        </w:rPr>
        <w:t>Rothbarth J</w:t>
      </w:r>
      <w:r w:rsidRPr="00F40A26">
        <w:rPr>
          <w:rFonts w:ascii="Book Antiqua" w:eastAsia="宋体" w:hAnsi="Book Antiqua" w:cs="宋体"/>
          <w:color w:val="000000"/>
          <w:kern w:val="0"/>
          <w:sz w:val="24"/>
          <w:szCs w:val="24"/>
          <w:lang w:eastAsia="zh-CN"/>
        </w:rPr>
        <w:t>, Tollenaar RA, Schellens JH, Nortier JW, Kool LJ, Kuppen PJ, Mulder GJ, van de Velde CJ. Isolated hepatic perfusion for the treatment of colorectal metastases confined to the liver: recent trends and perspectives. </w:t>
      </w:r>
      <w:r w:rsidRPr="00F40A26">
        <w:rPr>
          <w:rFonts w:ascii="Book Antiqua" w:eastAsia="宋体" w:hAnsi="Book Antiqua" w:cs="宋体"/>
          <w:i/>
          <w:iCs/>
          <w:color w:val="000000"/>
          <w:kern w:val="0"/>
          <w:sz w:val="24"/>
          <w:szCs w:val="24"/>
          <w:lang w:eastAsia="zh-CN"/>
        </w:rPr>
        <w:t>Eur J Cancer</w:t>
      </w:r>
      <w:r w:rsidRPr="00F40A26">
        <w:rPr>
          <w:rFonts w:ascii="Book Antiqua" w:eastAsia="宋体" w:hAnsi="Book Antiqua" w:cs="宋体"/>
          <w:color w:val="000000"/>
          <w:kern w:val="0"/>
          <w:sz w:val="24"/>
          <w:szCs w:val="24"/>
          <w:lang w:eastAsia="zh-CN"/>
        </w:rPr>
        <w:t> 2004; </w:t>
      </w:r>
      <w:r w:rsidRPr="00F40A26">
        <w:rPr>
          <w:rFonts w:ascii="Book Antiqua" w:eastAsia="宋体" w:hAnsi="Book Antiqua" w:cs="宋体"/>
          <w:b/>
          <w:bCs/>
          <w:color w:val="000000"/>
          <w:kern w:val="0"/>
          <w:sz w:val="24"/>
          <w:szCs w:val="24"/>
          <w:lang w:eastAsia="zh-CN"/>
        </w:rPr>
        <w:t>40</w:t>
      </w:r>
      <w:r w:rsidRPr="00F40A26">
        <w:rPr>
          <w:rFonts w:ascii="Book Antiqua" w:eastAsia="宋体" w:hAnsi="Book Antiqua" w:cs="宋体"/>
          <w:color w:val="000000"/>
          <w:kern w:val="0"/>
          <w:sz w:val="24"/>
          <w:szCs w:val="24"/>
          <w:lang w:eastAsia="zh-CN"/>
        </w:rPr>
        <w:t>: 1812-1824 [PMID: 15288282 DOI: 10.1016/j.ejca.2004.04.009]</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 xml:space="preserve">100 </w:t>
      </w:r>
      <w:r w:rsidRPr="001831D7">
        <w:rPr>
          <w:rFonts w:ascii="Book Antiqua" w:eastAsia="宋体" w:hAnsi="Book Antiqua" w:cs="宋体"/>
          <w:b/>
          <w:color w:val="000000"/>
          <w:kern w:val="0"/>
          <w:sz w:val="24"/>
          <w:szCs w:val="24"/>
          <w:lang w:eastAsia="zh-CN"/>
        </w:rPr>
        <w:t>Murata S</w:t>
      </w:r>
      <w:r w:rsidRPr="00F40A26">
        <w:rPr>
          <w:rFonts w:ascii="Book Antiqua" w:eastAsia="宋体" w:hAnsi="Book Antiqua" w:cs="宋体"/>
          <w:color w:val="000000"/>
          <w:kern w:val="0"/>
          <w:sz w:val="24"/>
          <w:szCs w:val="24"/>
          <w:lang w:eastAsia="zh-CN"/>
        </w:rPr>
        <w:t xml:space="preserve">, Ivancev K, Jeppsson B, Lunderquist A. Hemodynamic changes in the liver during complete hepatic venous occlusion: applicability in treatment of hepatic malignancy. </w:t>
      </w:r>
      <w:r w:rsidRPr="001831D7">
        <w:rPr>
          <w:rFonts w:ascii="Book Antiqua" w:eastAsia="宋体" w:hAnsi="Book Antiqua" w:cs="宋体"/>
          <w:i/>
          <w:color w:val="000000"/>
          <w:kern w:val="0"/>
          <w:sz w:val="24"/>
          <w:szCs w:val="24"/>
          <w:lang w:eastAsia="zh-CN"/>
        </w:rPr>
        <w:t>Cardiovasc Intervent Radiol</w:t>
      </w:r>
      <w:r w:rsidRPr="00F40A26">
        <w:rPr>
          <w:rFonts w:ascii="Book Antiqua" w:eastAsia="宋体" w:hAnsi="Book Antiqua" w:cs="宋体"/>
          <w:color w:val="000000"/>
          <w:kern w:val="0"/>
          <w:sz w:val="24"/>
          <w:szCs w:val="24"/>
          <w:lang w:eastAsia="zh-CN"/>
        </w:rPr>
        <w:t xml:space="preserve"> 1998; </w:t>
      </w:r>
      <w:r w:rsidRPr="001831D7">
        <w:rPr>
          <w:rFonts w:ascii="Book Antiqua" w:eastAsia="宋体" w:hAnsi="Book Antiqua" w:cs="宋体"/>
          <w:b/>
          <w:color w:val="000000"/>
          <w:kern w:val="0"/>
          <w:sz w:val="24"/>
          <w:szCs w:val="24"/>
          <w:lang w:eastAsia="zh-CN"/>
        </w:rPr>
        <w:t>21</w:t>
      </w:r>
      <w:r w:rsidRPr="00F40A26">
        <w:rPr>
          <w:rFonts w:ascii="Book Antiqua" w:eastAsia="宋体" w:hAnsi="Book Antiqua" w:cs="宋体"/>
          <w:color w:val="000000"/>
          <w:kern w:val="0"/>
          <w:sz w:val="24"/>
          <w:szCs w:val="24"/>
          <w:lang w:eastAsia="zh-CN"/>
        </w:rPr>
        <w:t>: 99(Suppl): 116</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 xml:space="preserve">101 </w:t>
      </w:r>
      <w:r w:rsidR="001831D7" w:rsidRPr="001831D7">
        <w:rPr>
          <w:rFonts w:ascii="Book Antiqua" w:eastAsia="宋体" w:hAnsi="Book Antiqua" w:cs="宋体"/>
          <w:b/>
          <w:color w:val="000000"/>
          <w:kern w:val="0"/>
          <w:sz w:val="24"/>
          <w:szCs w:val="24"/>
          <w:lang w:eastAsia="zh-CN"/>
        </w:rPr>
        <w:t>Murata S</w:t>
      </w:r>
      <w:r w:rsidR="001831D7" w:rsidRPr="001831D7">
        <w:rPr>
          <w:rFonts w:ascii="Book Antiqua" w:eastAsia="宋体" w:hAnsi="Book Antiqua" w:cs="宋体"/>
          <w:color w:val="000000"/>
          <w:kern w:val="0"/>
          <w:sz w:val="24"/>
          <w:szCs w:val="24"/>
          <w:lang w:eastAsia="zh-CN"/>
        </w:rPr>
        <w:t>, Jeppsson B, Lunderquist A, Ivancev K.</w:t>
      </w:r>
      <w:r w:rsidR="001831D7">
        <w:rPr>
          <w:rFonts w:ascii="宋体" w:hAnsi="宋体" w:hint="eastAsia"/>
          <w:color w:val="000000"/>
          <w:sz w:val="27"/>
          <w:szCs w:val="27"/>
          <w:lang w:eastAsia="zh-CN"/>
        </w:rPr>
        <w:t xml:space="preserve"> </w:t>
      </w:r>
      <w:r w:rsidRPr="00F40A26">
        <w:rPr>
          <w:rFonts w:ascii="Book Antiqua" w:eastAsia="宋体" w:hAnsi="Book Antiqua" w:cs="宋体"/>
          <w:color w:val="000000"/>
          <w:kern w:val="0"/>
          <w:sz w:val="24"/>
          <w:szCs w:val="24"/>
          <w:lang w:eastAsia="zh-CN"/>
        </w:rPr>
        <w:t>Hemodynamics in rat liver tumor model during retrograde-outflow isolated hepatic perfusion with aspiration from the portal vein: angiography and in vivo microscopy. </w:t>
      </w:r>
      <w:r w:rsidRPr="00F40A26">
        <w:rPr>
          <w:rFonts w:ascii="Book Antiqua" w:eastAsia="宋体" w:hAnsi="Book Antiqua" w:cs="宋体"/>
          <w:i/>
          <w:iCs/>
          <w:color w:val="000000"/>
          <w:kern w:val="0"/>
          <w:sz w:val="24"/>
          <w:szCs w:val="24"/>
          <w:lang w:eastAsia="zh-CN"/>
        </w:rPr>
        <w:t>Acta Radiol</w:t>
      </w:r>
      <w:r w:rsidRPr="00F40A26">
        <w:rPr>
          <w:rFonts w:ascii="Book Antiqua" w:eastAsia="宋体" w:hAnsi="Book Antiqua" w:cs="宋体"/>
          <w:color w:val="000000"/>
          <w:kern w:val="0"/>
          <w:sz w:val="24"/>
          <w:szCs w:val="24"/>
          <w:lang w:eastAsia="zh-CN"/>
        </w:rPr>
        <w:t> 2013; </w:t>
      </w:r>
      <w:r w:rsidRPr="00F40A26">
        <w:rPr>
          <w:rFonts w:ascii="Book Antiqua" w:eastAsia="宋体" w:hAnsi="Book Antiqua" w:cs="宋体"/>
          <w:b/>
          <w:bCs/>
          <w:color w:val="000000"/>
          <w:kern w:val="0"/>
          <w:sz w:val="24"/>
          <w:szCs w:val="24"/>
          <w:lang w:eastAsia="zh-CN"/>
        </w:rPr>
        <w:t>55</w:t>
      </w:r>
      <w:r w:rsidRPr="00F40A26">
        <w:rPr>
          <w:rFonts w:ascii="Book Antiqua" w:eastAsia="宋体" w:hAnsi="Book Antiqua" w:cs="宋体"/>
          <w:color w:val="000000"/>
          <w:kern w:val="0"/>
          <w:sz w:val="24"/>
          <w:szCs w:val="24"/>
          <w:lang w:eastAsia="zh-CN"/>
        </w:rPr>
        <w:t>: 737-744 [PMID: 24037429 DOI: 10.1177/0284185113505258]</w:t>
      </w:r>
    </w:p>
    <w:p w:rsidR="00F40A26" w:rsidRPr="00F40A26" w:rsidRDefault="00F40A26" w:rsidP="00F40A26">
      <w:pPr>
        <w:widowControl/>
        <w:jc w:val="left"/>
        <w:rPr>
          <w:rFonts w:ascii="Book Antiqua" w:eastAsia="宋体" w:hAnsi="Book Antiqua" w:cs="宋体"/>
          <w:color w:val="000000"/>
          <w:kern w:val="0"/>
          <w:sz w:val="24"/>
          <w:szCs w:val="24"/>
          <w:lang w:eastAsia="zh-CN"/>
        </w:rPr>
      </w:pPr>
      <w:proofErr w:type="gramStart"/>
      <w:r w:rsidRPr="00F40A26">
        <w:rPr>
          <w:rFonts w:ascii="Book Antiqua" w:eastAsia="宋体" w:hAnsi="Book Antiqua" w:cs="宋体"/>
          <w:color w:val="000000"/>
          <w:kern w:val="0"/>
          <w:sz w:val="24"/>
          <w:szCs w:val="24"/>
          <w:lang w:eastAsia="zh-CN"/>
        </w:rPr>
        <w:lastRenderedPageBreak/>
        <w:t>102 </w:t>
      </w:r>
      <w:r w:rsidRPr="00F40A26">
        <w:rPr>
          <w:rFonts w:ascii="Book Antiqua" w:eastAsia="宋体" w:hAnsi="Book Antiqua" w:cs="宋体"/>
          <w:b/>
          <w:bCs/>
          <w:color w:val="000000"/>
          <w:kern w:val="0"/>
          <w:sz w:val="24"/>
          <w:szCs w:val="24"/>
          <w:lang w:eastAsia="zh-CN"/>
        </w:rPr>
        <w:t>Chan SL</w:t>
      </w:r>
      <w:r w:rsidRPr="00F40A26">
        <w:rPr>
          <w:rFonts w:ascii="Book Antiqua" w:eastAsia="宋体" w:hAnsi="Book Antiqua" w:cs="宋体"/>
          <w:color w:val="000000"/>
          <w:kern w:val="0"/>
          <w:sz w:val="24"/>
          <w:szCs w:val="24"/>
          <w:lang w:eastAsia="zh-CN"/>
        </w:rPr>
        <w:t>, Mok T, Ma BB.</w:t>
      </w:r>
      <w:proofErr w:type="gramEnd"/>
      <w:r w:rsidRPr="00F40A26">
        <w:rPr>
          <w:rFonts w:ascii="Book Antiqua" w:eastAsia="宋体" w:hAnsi="Book Antiqua" w:cs="宋体"/>
          <w:color w:val="000000"/>
          <w:kern w:val="0"/>
          <w:sz w:val="24"/>
          <w:szCs w:val="24"/>
          <w:lang w:eastAsia="zh-CN"/>
        </w:rPr>
        <w:t xml:space="preserve"> Management of hepatocellular carcinoma: beyond sorafenib. </w:t>
      </w:r>
      <w:r w:rsidRPr="00F40A26">
        <w:rPr>
          <w:rFonts w:ascii="Book Antiqua" w:eastAsia="宋体" w:hAnsi="Book Antiqua" w:cs="宋体"/>
          <w:i/>
          <w:iCs/>
          <w:color w:val="000000"/>
          <w:kern w:val="0"/>
          <w:sz w:val="24"/>
          <w:szCs w:val="24"/>
          <w:lang w:eastAsia="zh-CN"/>
        </w:rPr>
        <w:t>Curr Oncol Rep</w:t>
      </w:r>
      <w:r w:rsidRPr="00F40A26">
        <w:rPr>
          <w:rFonts w:ascii="Book Antiqua" w:eastAsia="宋体" w:hAnsi="Book Antiqua" w:cs="宋体"/>
          <w:color w:val="000000"/>
          <w:kern w:val="0"/>
          <w:sz w:val="24"/>
          <w:szCs w:val="24"/>
          <w:lang w:eastAsia="zh-CN"/>
        </w:rPr>
        <w:t> 2012; </w:t>
      </w:r>
      <w:r w:rsidRPr="00F40A26">
        <w:rPr>
          <w:rFonts w:ascii="Book Antiqua" w:eastAsia="宋体" w:hAnsi="Book Antiqua" w:cs="宋体"/>
          <w:b/>
          <w:bCs/>
          <w:color w:val="000000"/>
          <w:kern w:val="0"/>
          <w:sz w:val="24"/>
          <w:szCs w:val="24"/>
          <w:lang w:eastAsia="zh-CN"/>
        </w:rPr>
        <w:t>14</w:t>
      </w:r>
      <w:r w:rsidRPr="00F40A26">
        <w:rPr>
          <w:rFonts w:ascii="Book Antiqua" w:eastAsia="宋体" w:hAnsi="Book Antiqua" w:cs="宋体"/>
          <w:color w:val="000000"/>
          <w:kern w:val="0"/>
          <w:sz w:val="24"/>
          <w:szCs w:val="24"/>
          <w:lang w:eastAsia="zh-CN"/>
        </w:rPr>
        <w:t>: 257-266 [PMID: 22434314 DOI: 10.1007/s11912-012-0233-0]</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103 </w:t>
      </w:r>
      <w:r w:rsidRPr="00F40A26">
        <w:rPr>
          <w:rFonts w:ascii="Book Antiqua" w:eastAsia="宋体" w:hAnsi="Book Antiqua" w:cs="宋体"/>
          <w:b/>
          <w:bCs/>
          <w:color w:val="000000"/>
          <w:kern w:val="0"/>
          <w:sz w:val="24"/>
          <w:szCs w:val="24"/>
          <w:lang w:eastAsia="zh-CN"/>
        </w:rPr>
        <w:t>Li X</w:t>
      </w:r>
      <w:r w:rsidRPr="00F40A26">
        <w:rPr>
          <w:rFonts w:ascii="Book Antiqua" w:eastAsia="宋体" w:hAnsi="Book Antiqua" w:cs="宋体"/>
          <w:color w:val="000000"/>
          <w:kern w:val="0"/>
          <w:sz w:val="24"/>
          <w:szCs w:val="24"/>
          <w:lang w:eastAsia="zh-CN"/>
        </w:rPr>
        <w:t xml:space="preserve">, Feng GS, Zheng CS, Zhuo CK, </w:t>
      </w:r>
      <w:proofErr w:type="gramStart"/>
      <w:r w:rsidRPr="00F40A26">
        <w:rPr>
          <w:rFonts w:ascii="Book Antiqua" w:eastAsia="宋体" w:hAnsi="Book Antiqua" w:cs="宋体"/>
          <w:color w:val="000000"/>
          <w:kern w:val="0"/>
          <w:sz w:val="24"/>
          <w:szCs w:val="24"/>
          <w:lang w:eastAsia="zh-CN"/>
        </w:rPr>
        <w:t>Liu</w:t>
      </w:r>
      <w:proofErr w:type="gramEnd"/>
      <w:r w:rsidRPr="00F40A26">
        <w:rPr>
          <w:rFonts w:ascii="Book Antiqua" w:eastAsia="宋体" w:hAnsi="Book Antiqua" w:cs="宋体"/>
          <w:color w:val="000000"/>
          <w:kern w:val="0"/>
          <w:sz w:val="24"/>
          <w:szCs w:val="24"/>
          <w:lang w:eastAsia="zh-CN"/>
        </w:rPr>
        <w:t xml:space="preserve"> X. Expression of plasma vascular endothelial growth factor in patients with hepatocellular carcinoma and effect of transcatheter arterial chemoembolization therapy on plasma vascular endothelial growth factor level. </w:t>
      </w:r>
      <w:r w:rsidRPr="00F40A26">
        <w:rPr>
          <w:rFonts w:ascii="Book Antiqua" w:eastAsia="宋体" w:hAnsi="Book Antiqua" w:cs="宋体"/>
          <w:i/>
          <w:iCs/>
          <w:color w:val="000000"/>
          <w:kern w:val="0"/>
          <w:sz w:val="24"/>
          <w:szCs w:val="24"/>
          <w:lang w:eastAsia="zh-CN"/>
        </w:rPr>
        <w:t>World J Gastroenterol</w:t>
      </w:r>
      <w:r w:rsidRPr="00F40A26">
        <w:rPr>
          <w:rFonts w:ascii="Book Antiqua" w:eastAsia="宋体" w:hAnsi="Book Antiqua" w:cs="宋体"/>
          <w:color w:val="000000"/>
          <w:kern w:val="0"/>
          <w:sz w:val="24"/>
          <w:szCs w:val="24"/>
          <w:lang w:eastAsia="zh-CN"/>
        </w:rPr>
        <w:t> 2004; </w:t>
      </w:r>
      <w:r w:rsidRPr="00F40A26">
        <w:rPr>
          <w:rFonts w:ascii="Book Antiqua" w:eastAsia="宋体" w:hAnsi="Book Antiqua" w:cs="宋体"/>
          <w:b/>
          <w:bCs/>
          <w:color w:val="000000"/>
          <w:kern w:val="0"/>
          <w:sz w:val="24"/>
          <w:szCs w:val="24"/>
          <w:lang w:eastAsia="zh-CN"/>
        </w:rPr>
        <w:t>10</w:t>
      </w:r>
      <w:r w:rsidRPr="00F40A26">
        <w:rPr>
          <w:rFonts w:ascii="Book Antiqua" w:eastAsia="宋体" w:hAnsi="Book Antiqua" w:cs="宋体"/>
          <w:color w:val="000000"/>
          <w:kern w:val="0"/>
          <w:sz w:val="24"/>
          <w:szCs w:val="24"/>
          <w:lang w:eastAsia="zh-CN"/>
        </w:rPr>
        <w:t>: 2878-2882 [PMID: 15334691]</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104 </w:t>
      </w:r>
      <w:r w:rsidRPr="00F40A26">
        <w:rPr>
          <w:rFonts w:ascii="Book Antiqua" w:eastAsia="宋体" w:hAnsi="Book Antiqua" w:cs="宋体"/>
          <w:b/>
          <w:bCs/>
          <w:color w:val="000000"/>
          <w:kern w:val="0"/>
          <w:sz w:val="24"/>
          <w:szCs w:val="24"/>
          <w:lang w:eastAsia="zh-CN"/>
        </w:rPr>
        <w:t>Wang B</w:t>
      </w:r>
      <w:r w:rsidRPr="00F40A26">
        <w:rPr>
          <w:rFonts w:ascii="Book Antiqua" w:eastAsia="宋体" w:hAnsi="Book Antiqua" w:cs="宋体"/>
          <w:color w:val="000000"/>
          <w:kern w:val="0"/>
          <w:sz w:val="24"/>
          <w:szCs w:val="24"/>
          <w:lang w:eastAsia="zh-CN"/>
        </w:rPr>
        <w:t xml:space="preserve">, Xu H, Gao ZQ, Ning HF, Sun YQ, Cao GW. </w:t>
      </w:r>
      <w:proofErr w:type="gramStart"/>
      <w:r w:rsidRPr="00F40A26">
        <w:rPr>
          <w:rFonts w:ascii="Book Antiqua" w:eastAsia="宋体" w:hAnsi="Book Antiqua" w:cs="宋体"/>
          <w:color w:val="000000"/>
          <w:kern w:val="0"/>
          <w:sz w:val="24"/>
          <w:szCs w:val="24"/>
          <w:lang w:eastAsia="zh-CN"/>
        </w:rPr>
        <w:t>Increased expression of vascular endothelial growth factor in hepatocellular carcinoma after transcatheter arterial chemoembolization.</w:t>
      </w:r>
      <w:proofErr w:type="gramEnd"/>
      <w:r w:rsidRPr="00F40A26">
        <w:rPr>
          <w:rFonts w:ascii="Book Antiqua" w:eastAsia="宋体" w:hAnsi="Book Antiqua" w:cs="宋体"/>
          <w:color w:val="000000"/>
          <w:kern w:val="0"/>
          <w:sz w:val="24"/>
          <w:szCs w:val="24"/>
          <w:lang w:eastAsia="zh-CN"/>
        </w:rPr>
        <w:t> </w:t>
      </w:r>
      <w:r w:rsidRPr="00F40A26">
        <w:rPr>
          <w:rFonts w:ascii="Book Antiqua" w:eastAsia="宋体" w:hAnsi="Book Antiqua" w:cs="宋体"/>
          <w:i/>
          <w:iCs/>
          <w:color w:val="000000"/>
          <w:kern w:val="0"/>
          <w:sz w:val="24"/>
          <w:szCs w:val="24"/>
          <w:lang w:eastAsia="zh-CN"/>
        </w:rPr>
        <w:t>Acta Radiol</w:t>
      </w:r>
      <w:r w:rsidRPr="00F40A26">
        <w:rPr>
          <w:rFonts w:ascii="Book Antiqua" w:eastAsia="宋体" w:hAnsi="Book Antiqua" w:cs="宋体"/>
          <w:color w:val="000000"/>
          <w:kern w:val="0"/>
          <w:sz w:val="24"/>
          <w:szCs w:val="24"/>
          <w:lang w:eastAsia="zh-CN"/>
        </w:rPr>
        <w:t> 2008; </w:t>
      </w:r>
      <w:r w:rsidRPr="00F40A26">
        <w:rPr>
          <w:rFonts w:ascii="Book Antiqua" w:eastAsia="宋体" w:hAnsi="Book Antiqua" w:cs="宋体"/>
          <w:b/>
          <w:bCs/>
          <w:color w:val="000000"/>
          <w:kern w:val="0"/>
          <w:sz w:val="24"/>
          <w:szCs w:val="24"/>
          <w:lang w:eastAsia="zh-CN"/>
        </w:rPr>
        <w:t>49</w:t>
      </w:r>
      <w:r w:rsidRPr="00F40A26">
        <w:rPr>
          <w:rFonts w:ascii="Book Antiqua" w:eastAsia="宋体" w:hAnsi="Book Antiqua" w:cs="宋体"/>
          <w:color w:val="000000"/>
          <w:kern w:val="0"/>
          <w:sz w:val="24"/>
          <w:szCs w:val="24"/>
          <w:lang w:eastAsia="zh-CN"/>
        </w:rPr>
        <w:t>: 523-529 [PMID: 18568538 DOI: 10.1080/02841850801958890]</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105 </w:t>
      </w:r>
      <w:r w:rsidRPr="00F40A26">
        <w:rPr>
          <w:rFonts w:ascii="Book Antiqua" w:eastAsia="宋体" w:hAnsi="Book Antiqua" w:cs="宋体"/>
          <w:b/>
          <w:bCs/>
          <w:color w:val="000000"/>
          <w:kern w:val="0"/>
          <w:sz w:val="24"/>
          <w:szCs w:val="24"/>
          <w:lang w:eastAsia="zh-CN"/>
        </w:rPr>
        <w:t>Jiang H</w:t>
      </w:r>
      <w:r w:rsidRPr="00F40A26">
        <w:rPr>
          <w:rFonts w:ascii="Book Antiqua" w:eastAsia="宋体" w:hAnsi="Book Antiqua" w:cs="宋体"/>
          <w:color w:val="000000"/>
          <w:kern w:val="0"/>
          <w:sz w:val="24"/>
          <w:szCs w:val="24"/>
          <w:lang w:eastAsia="zh-CN"/>
        </w:rPr>
        <w:t>, Meng Q, Tan H, Pan S, Sun B, Xu R, Sun X. Antiangiogenic therapy enhances the efficacy of transcatheter arterial embolization for hepatocellular carcinomas. </w:t>
      </w:r>
      <w:r w:rsidRPr="00F40A26">
        <w:rPr>
          <w:rFonts w:ascii="Book Antiqua" w:eastAsia="宋体" w:hAnsi="Book Antiqua" w:cs="宋体"/>
          <w:i/>
          <w:iCs/>
          <w:color w:val="000000"/>
          <w:kern w:val="0"/>
          <w:sz w:val="24"/>
          <w:szCs w:val="24"/>
          <w:lang w:eastAsia="zh-CN"/>
        </w:rPr>
        <w:t>Int J Cancer</w:t>
      </w:r>
      <w:r w:rsidRPr="00F40A26">
        <w:rPr>
          <w:rFonts w:ascii="Book Antiqua" w:eastAsia="宋体" w:hAnsi="Book Antiqua" w:cs="宋体"/>
          <w:color w:val="000000"/>
          <w:kern w:val="0"/>
          <w:sz w:val="24"/>
          <w:szCs w:val="24"/>
          <w:lang w:eastAsia="zh-CN"/>
        </w:rPr>
        <w:t> 2007; </w:t>
      </w:r>
      <w:r w:rsidRPr="00F40A26">
        <w:rPr>
          <w:rFonts w:ascii="Book Antiqua" w:eastAsia="宋体" w:hAnsi="Book Antiqua" w:cs="宋体"/>
          <w:b/>
          <w:bCs/>
          <w:color w:val="000000"/>
          <w:kern w:val="0"/>
          <w:sz w:val="24"/>
          <w:szCs w:val="24"/>
          <w:lang w:eastAsia="zh-CN"/>
        </w:rPr>
        <w:t>121</w:t>
      </w:r>
      <w:r w:rsidRPr="00F40A26">
        <w:rPr>
          <w:rFonts w:ascii="Book Antiqua" w:eastAsia="宋体" w:hAnsi="Book Antiqua" w:cs="宋体"/>
          <w:color w:val="000000"/>
          <w:kern w:val="0"/>
          <w:sz w:val="24"/>
          <w:szCs w:val="24"/>
          <w:lang w:eastAsia="zh-CN"/>
        </w:rPr>
        <w:t>: 416-424 [PMID: 17330237 DOI: 10.1002/ijc.22655]</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106 </w:t>
      </w:r>
      <w:r w:rsidRPr="00F40A26">
        <w:rPr>
          <w:rFonts w:ascii="Book Antiqua" w:eastAsia="宋体" w:hAnsi="Book Antiqua" w:cs="宋体"/>
          <w:b/>
          <w:bCs/>
          <w:color w:val="000000"/>
          <w:kern w:val="0"/>
          <w:sz w:val="24"/>
          <w:szCs w:val="24"/>
          <w:lang w:eastAsia="zh-CN"/>
        </w:rPr>
        <w:t>Kudo M</w:t>
      </w:r>
      <w:r w:rsidRPr="00F40A26">
        <w:rPr>
          <w:rFonts w:ascii="Book Antiqua" w:eastAsia="宋体" w:hAnsi="Book Antiqua" w:cs="宋体"/>
          <w:color w:val="000000"/>
          <w:kern w:val="0"/>
          <w:sz w:val="24"/>
          <w:szCs w:val="24"/>
          <w:lang w:eastAsia="zh-CN"/>
        </w:rPr>
        <w:t>, Imanaka K, Chida N, Nakachi K, Tak WY, Takayama T, Yoon JH, Hori T, Kumada H, Hayashi N, Kaneko S, Tsubouchi H, Suh DJ, Furuse J, Okusaka T, Tanaka K, Matsui O, Wada M, Yamaguchi I, Ohya T, Meinhardt G, Okita K. Phase III study of sorafenib after transarterial chemoembolisation in Japanese and Korean patients with unresectable hepatocellular carcinoma. </w:t>
      </w:r>
      <w:r w:rsidRPr="00F40A26">
        <w:rPr>
          <w:rFonts w:ascii="Book Antiqua" w:eastAsia="宋体" w:hAnsi="Book Antiqua" w:cs="宋体"/>
          <w:i/>
          <w:iCs/>
          <w:color w:val="000000"/>
          <w:kern w:val="0"/>
          <w:sz w:val="24"/>
          <w:szCs w:val="24"/>
          <w:lang w:eastAsia="zh-CN"/>
        </w:rPr>
        <w:t>Eur J Cancer</w:t>
      </w:r>
      <w:r w:rsidRPr="00F40A26">
        <w:rPr>
          <w:rFonts w:ascii="Book Antiqua" w:eastAsia="宋体" w:hAnsi="Book Antiqua" w:cs="宋体"/>
          <w:color w:val="000000"/>
          <w:kern w:val="0"/>
          <w:sz w:val="24"/>
          <w:szCs w:val="24"/>
          <w:lang w:eastAsia="zh-CN"/>
        </w:rPr>
        <w:t> 2011; </w:t>
      </w:r>
      <w:r w:rsidRPr="00F40A26">
        <w:rPr>
          <w:rFonts w:ascii="Book Antiqua" w:eastAsia="宋体" w:hAnsi="Book Antiqua" w:cs="宋体"/>
          <w:b/>
          <w:bCs/>
          <w:color w:val="000000"/>
          <w:kern w:val="0"/>
          <w:sz w:val="24"/>
          <w:szCs w:val="24"/>
          <w:lang w:eastAsia="zh-CN"/>
        </w:rPr>
        <w:t>47</w:t>
      </w:r>
      <w:r w:rsidRPr="00F40A26">
        <w:rPr>
          <w:rFonts w:ascii="Book Antiqua" w:eastAsia="宋体" w:hAnsi="Book Antiqua" w:cs="宋体"/>
          <w:color w:val="000000"/>
          <w:kern w:val="0"/>
          <w:sz w:val="24"/>
          <w:szCs w:val="24"/>
          <w:lang w:eastAsia="zh-CN"/>
        </w:rPr>
        <w:t>: 2117-2127 [PMID: 21664811 DOI: 10.1016/j.ejca.2011.05.007]</w:t>
      </w:r>
    </w:p>
    <w:p w:rsidR="00F40A26" w:rsidRPr="00F40A26" w:rsidRDefault="00F40A26" w:rsidP="00F40A26">
      <w:pPr>
        <w:widowControl/>
        <w:jc w:val="left"/>
        <w:rPr>
          <w:rFonts w:ascii="Book Antiqua" w:eastAsia="宋体" w:hAnsi="Book Antiqua" w:cs="宋体"/>
          <w:color w:val="000000"/>
          <w:kern w:val="0"/>
          <w:sz w:val="24"/>
          <w:szCs w:val="24"/>
          <w:lang w:eastAsia="zh-CN"/>
        </w:rPr>
      </w:pPr>
      <w:r w:rsidRPr="00F40A26">
        <w:rPr>
          <w:rFonts w:ascii="Book Antiqua" w:eastAsia="宋体" w:hAnsi="Book Antiqua" w:cs="宋体"/>
          <w:color w:val="000000"/>
          <w:kern w:val="0"/>
          <w:sz w:val="24"/>
          <w:szCs w:val="24"/>
          <w:lang w:eastAsia="zh-CN"/>
        </w:rPr>
        <w:t>107 </w:t>
      </w:r>
      <w:r w:rsidRPr="00F40A26">
        <w:rPr>
          <w:rFonts w:ascii="Book Antiqua" w:eastAsia="宋体" w:hAnsi="Book Antiqua" w:cs="宋体"/>
          <w:b/>
          <w:bCs/>
          <w:color w:val="000000"/>
          <w:kern w:val="0"/>
          <w:sz w:val="24"/>
          <w:szCs w:val="24"/>
          <w:lang w:eastAsia="zh-CN"/>
        </w:rPr>
        <w:t>Pawlik TM</w:t>
      </w:r>
      <w:r w:rsidRPr="00F40A26">
        <w:rPr>
          <w:rFonts w:ascii="Book Antiqua" w:eastAsia="宋体" w:hAnsi="Book Antiqua" w:cs="宋体"/>
          <w:color w:val="000000"/>
          <w:kern w:val="0"/>
          <w:sz w:val="24"/>
          <w:szCs w:val="24"/>
          <w:lang w:eastAsia="zh-CN"/>
        </w:rPr>
        <w:t>, Reyes DK, Cosgrove D, Kamel IR, Bhagat N, Geschwind JF. Phase II trial of sorafenib combined with concurrent transarterial chemoembolization with drug-eluting beads for hepatocellular carcinoma. </w:t>
      </w:r>
      <w:r w:rsidRPr="00F40A26">
        <w:rPr>
          <w:rFonts w:ascii="Book Antiqua" w:eastAsia="宋体" w:hAnsi="Book Antiqua" w:cs="宋体"/>
          <w:i/>
          <w:iCs/>
          <w:color w:val="000000"/>
          <w:kern w:val="0"/>
          <w:sz w:val="24"/>
          <w:szCs w:val="24"/>
          <w:lang w:eastAsia="zh-CN"/>
        </w:rPr>
        <w:t>J Clin Oncol</w:t>
      </w:r>
      <w:r w:rsidRPr="00F40A26">
        <w:rPr>
          <w:rFonts w:ascii="Book Antiqua" w:eastAsia="宋体" w:hAnsi="Book Antiqua" w:cs="宋体"/>
          <w:color w:val="000000"/>
          <w:kern w:val="0"/>
          <w:sz w:val="24"/>
          <w:szCs w:val="24"/>
          <w:lang w:eastAsia="zh-CN"/>
        </w:rPr>
        <w:t> 2011; </w:t>
      </w:r>
      <w:r w:rsidRPr="00F40A26">
        <w:rPr>
          <w:rFonts w:ascii="Book Antiqua" w:eastAsia="宋体" w:hAnsi="Book Antiqua" w:cs="宋体"/>
          <w:b/>
          <w:bCs/>
          <w:color w:val="000000"/>
          <w:kern w:val="0"/>
          <w:sz w:val="24"/>
          <w:szCs w:val="24"/>
          <w:lang w:eastAsia="zh-CN"/>
        </w:rPr>
        <w:t>29</w:t>
      </w:r>
      <w:r w:rsidRPr="00F40A26">
        <w:rPr>
          <w:rFonts w:ascii="Book Antiqua" w:eastAsia="宋体" w:hAnsi="Book Antiqua" w:cs="宋体"/>
          <w:color w:val="000000"/>
          <w:kern w:val="0"/>
          <w:sz w:val="24"/>
          <w:szCs w:val="24"/>
          <w:lang w:eastAsia="zh-CN"/>
        </w:rPr>
        <w:t>: 3960-3967 [PMID: 21911714 DOI: 10.1200/JCO.2011.37.1021]</w:t>
      </w:r>
    </w:p>
    <w:p w:rsidR="00120896" w:rsidRPr="00F40A26" w:rsidRDefault="00120896">
      <w:pPr>
        <w:snapToGrid w:val="0"/>
        <w:spacing w:line="360" w:lineRule="auto"/>
        <w:rPr>
          <w:rFonts w:ascii="Book Antiqua" w:hAnsi="Book Antiqua"/>
          <w:sz w:val="24"/>
          <w:szCs w:val="24"/>
          <w:lang w:eastAsia="zh-CN"/>
        </w:rPr>
      </w:pPr>
    </w:p>
    <w:p w:rsidR="00120896" w:rsidRPr="00F40A26" w:rsidRDefault="003A531D">
      <w:pPr>
        <w:tabs>
          <w:tab w:val="left" w:pos="180"/>
          <w:tab w:val="left" w:pos="360"/>
        </w:tabs>
        <w:adjustRightInd w:val="0"/>
        <w:snapToGrid w:val="0"/>
        <w:spacing w:line="360" w:lineRule="auto"/>
        <w:jc w:val="right"/>
        <w:rPr>
          <w:rFonts w:ascii="Book Antiqua" w:hAnsi="Book Antiqua" w:cs="Tahoma"/>
          <w:b/>
          <w:color w:val="000000"/>
          <w:sz w:val="24"/>
          <w:szCs w:val="24"/>
        </w:rPr>
      </w:pPr>
      <w:bookmarkStart w:id="199" w:name="OLE_LINK874"/>
      <w:bookmarkStart w:id="200" w:name="OLE_LINK875"/>
      <w:bookmarkStart w:id="201" w:name="OLE_LINK347"/>
      <w:bookmarkStart w:id="202" w:name="OLE_LINK384"/>
      <w:bookmarkStart w:id="203" w:name="OLE_LINK557"/>
      <w:bookmarkStart w:id="204" w:name="OLE_LINK558"/>
      <w:bookmarkStart w:id="205" w:name="OLE_LINK631"/>
      <w:bookmarkStart w:id="206" w:name="OLE_LINK632"/>
      <w:bookmarkStart w:id="207" w:name="OLE_LINK386"/>
      <w:bookmarkStart w:id="208" w:name="OLE_LINK431"/>
      <w:bookmarkStart w:id="209" w:name="OLE_LINK564"/>
      <w:bookmarkStart w:id="210" w:name="OLE_LINK493"/>
      <w:bookmarkStart w:id="211" w:name="OLE_LINK442"/>
      <w:bookmarkStart w:id="212" w:name="OLE_LINK551"/>
      <w:bookmarkStart w:id="213" w:name="OLE_LINK668"/>
      <w:bookmarkStart w:id="214" w:name="OLE_LINK669"/>
      <w:bookmarkStart w:id="215" w:name="OLE_LINK725"/>
      <w:bookmarkStart w:id="216" w:name="OLE_LINK489"/>
      <w:bookmarkStart w:id="217" w:name="OLE_LINK602"/>
      <w:bookmarkStart w:id="218" w:name="OLE_LINK658"/>
      <w:bookmarkStart w:id="219" w:name="OLE_LINK747"/>
      <w:bookmarkStart w:id="220" w:name="OLE_LINK897"/>
      <w:bookmarkStart w:id="221" w:name="OLE_LINK1138"/>
      <w:bookmarkStart w:id="222" w:name="OLE_LINK1139"/>
      <w:bookmarkStart w:id="223" w:name="OLE_LINK882"/>
      <w:bookmarkStart w:id="224" w:name="OLE_LINK1095"/>
      <w:bookmarkStart w:id="225" w:name="OLE_LINK1305"/>
      <w:bookmarkStart w:id="226" w:name="OLE_LINK1390"/>
      <w:bookmarkStart w:id="227" w:name="OLE_LINK964"/>
      <w:bookmarkStart w:id="228" w:name="OLE_LINK1190"/>
      <w:bookmarkStart w:id="229" w:name="OLE_LINK1314"/>
      <w:bookmarkStart w:id="230" w:name="OLE_LINK1031"/>
      <w:bookmarkStart w:id="231" w:name="OLE_LINK1092"/>
      <w:bookmarkStart w:id="232" w:name="OLE_LINK1258"/>
      <w:bookmarkStart w:id="233" w:name="OLE_LINK1259"/>
      <w:bookmarkStart w:id="234" w:name="OLE_LINK1337"/>
      <w:bookmarkStart w:id="235" w:name="OLE_LINK1338"/>
      <w:bookmarkStart w:id="236" w:name="OLE_LINK1363"/>
      <w:bookmarkStart w:id="237" w:name="OLE_LINK1364"/>
      <w:bookmarkStart w:id="238" w:name="OLE_LINK86"/>
      <w:bookmarkStart w:id="239" w:name="OLE_LINK1595"/>
      <w:bookmarkStart w:id="240" w:name="OLE_LINK1613"/>
      <w:bookmarkStart w:id="241" w:name="OLE_LINK1708"/>
      <w:bookmarkStart w:id="242" w:name="OLE_LINK1774"/>
      <w:bookmarkStart w:id="243" w:name="OLE_LINK1872"/>
      <w:bookmarkStart w:id="244" w:name="OLE_LINK1899"/>
      <w:bookmarkStart w:id="245" w:name="OLE_LINK1492"/>
      <w:bookmarkStart w:id="246" w:name="OLE_LINK1497"/>
      <w:bookmarkStart w:id="247" w:name="OLE_LINK1498"/>
      <w:bookmarkStart w:id="248" w:name="OLE_LINK1589"/>
      <w:bookmarkStart w:id="249" w:name="OLE_LINK1666"/>
      <w:bookmarkStart w:id="250" w:name="OLE_LINK1752"/>
      <w:bookmarkStart w:id="251" w:name="OLE_LINK1616"/>
      <w:bookmarkStart w:id="252" w:name="OLE_LINK1696"/>
      <w:bookmarkStart w:id="253" w:name="OLE_LINK1855"/>
      <w:bookmarkStart w:id="254" w:name="OLE_LINK1942"/>
      <w:bookmarkStart w:id="255" w:name="OLE_LINK1943"/>
      <w:bookmarkStart w:id="256" w:name="OLE_LINK1573"/>
      <w:bookmarkStart w:id="257" w:name="OLE_LINK1574"/>
      <w:bookmarkStart w:id="258" w:name="OLE_LINK1575"/>
      <w:bookmarkStart w:id="259" w:name="OLE_LINK1739"/>
      <w:bookmarkStart w:id="260" w:name="OLE_LINK1761"/>
      <w:bookmarkStart w:id="261" w:name="OLE_LINK1743"/>
      <w:bookmarkStart w:id="262" w:name="OLE_LINK1841"/>
      <w:bookmarkStart w:id="263" w:name="OLE_LINK1858"/>
      <w:bookmarkStart w:id="264" w:name="OLE_LINK1890"/>
      <w:bookmarkStart w:id="265" w:name="OLE_LINK1915"/>
      <w:bookmarkStart w:id="266" w:name="OLE_LINK1980"/>
      <w:bookmarkStart w:id="267" w:name="OLE_LINK1883"/>
      <w:bookmarkStart w:id="268" w:name="OLE_LINK1935"/>
      <w:bookmarkStart w:id="269" w:name="OLE_LINK1936"/>
      <w:bookmarkStart w:id="270" w:name="OLE_LINK1952"/>
      <w:bookmarkStart w:id="271" w:name="OLE_LINK1953"/>
      <w:bookmarkStart w:id="272" w:name="OLE_LINK1999"/>
      <w:bookmarkStart w:id="273" w:name="OLE_LINK2050"/>
      <w:bookmarkStart w:id="274" w:name="OLE_LINK1862"/>
      <w:bookmarkStart w:id="275" w:name="OLE_LINK1963"/>
      <w:bookmarkStart w:id="276" w:name="OLE_LINK2052"/>
      <w:bookmarkStart w:id="277" w:name="OLE_LINK1906"/>
      <w:bookmarkStart w:id="278" w:name="OLE_LINK2031"/>
      <w:bookmarkStart w:id="279" w:name="OLE_LINK2032"/>
      <w:bookmarkStart w:id="280" w:name="OLE_LINK1907"/>
      <w:bookmarkStart w:id="281" w:name="OLE_LINK2004"/>
      <w:bookmarkStart w:id="282" w:name="OLE_LINK2238"/>
      <w:bookmarkStart w:id="283" w:name="OLE_LINK2239"/>
      <w:bookmarkStart w:id="284" w:name="OLE_LINK2163"/>
      <w:bookmarkStart w:id="285" w:name="OLE_LINK2207"/>
      <w:bookmarkStart w:id="286" w:name="OLE_LINK2341"/>
      <w:bookmarkStart w:id="287" w:name="OLE_LINK2417"/>
      <w:bookmarkStart w:id="288" w:name="OLE_LINK2509"/>
      <w:bookmarkStart w:id="289" w:name="OLE_LINK2510"/>
      <w:bookmarkStart w:id="290" w:name="OLE_LINK2511"/>
      <w:bookmarkStart w:id="291" w:name="OLE_LINK2512"/>
      <w:bookmarkStart w:id="292" w:name="OLE_LINK2513"/>
      <w:bookmarkStart w:id="293" w:name="OLE_LINK2514"/>
      <w:bookmarkStart w:id="294" w:name="OLE_LINK2515"/>
      <w:bookmarkStart w:id="295" w:name="OLE_LINK2516"/>
      <w:bookmarkStart w:id="296" w:name="OLE_LINK2517"/>
      <w:bookmarkStart w:id="297" w:name="OLE_LINK2518"/>
      <w:bookmarkStart w:id="298" w:name="OLE_LINK2519"/>
      <w:bookmarkStart w:id="299" w:name="OLE_LINK2520"/>
      <w:bookmarkStart w:id="300" w:name="OLE_LINK2521"/>
      <w:bookmarkStart w:id="301" w:name="OLE_LINK2522"/>
      <w:bookmarkStart w:id="302" w:name="OLE_LINK2523"/>
      <w:bookmarkStart w:id="303" w:name="OLE_LINK2524"/>
      <w:bookmarkStart w:id="304" w:name="OLE_LINK2051"/>
      <w:bookmarkStart w:id="305" w:name="OLE_LINK2109"/>
      <w:bookmarkStart w:id="306" w:name="OLE_LINK2165"/>
      <w:bookmarkStart w:id="307" w:name="OLE_LINK2385"/>
      <w:bookmarkStart w:id="308" w:name="OLE_LINK2593"/>
      <w:bookmarkStart w:id="309" w:name="OLE_LINK2332"/>
      <w:bookmarkStart w:id="310" w:name="OLE_LINK2448"/>
      <w:bookmarkStart w:id="311" w:name="OLE_LINK2525"/>
      <w:bookmarkStart w:id="312" w:name="OLE_LINK2506"/>
      <w:bookmarkStart w:id="313" w:name="OLE_LINK2507"/>
      <w:bookmarkStart w:id="314" w:name="OLE_LINK2291"/>
      <w:bookmarkStart w:id="315" w:name="OLE_LINK2294"/>
      <w:bookmarkStart w:id="316" w:name="OLE_LINK2298"/>
      <w:bookmarkStart w:id="317" w:name="OLE_LINK2300"/>
      <w:bookmarkStart w:id="318" w:name="OLE_LINK2301"/>
      <w:bookmarkStart w:id="319" w:name="OLE_LINK2546"/>
      <w:bookmarkStart w:id="320" w:name="OLE_LINK2756"/>
      <w:bookmarkStart w:id="321" w:name="OLE_LINK2757"/>
      <w:bookmarkStart w:id="322" w:name="OLE_LINK2736"/>
      <w:bookmarkStart w:id="323" w:name="OLE_LINK2923"/>
      <w:bookmarkStart w:id="324" w:name="OLE_LINK2974"/>
      <w:bookmarkStart w:id="325" w:name="OLE_LINK3125"/>
      <w:bookmarkStart w:id="326" w:name="OLE_LINK3218"/>
      <w:bookmarkStart w:id="327" w:name="OLE_LINK2575"/>
      <w:bookmarkStart w:id="328" w:name="OLE_LINK2687"/>
      <w:bookmarkStart w:id="329" w:name="OLE_LINK2688"/>
      <w:bookmarkStart w:id="330" w:name="OLE_LINK2700"/>
      <w:bookmarkStart w:id="331" w:name="OLE_LINK2576"/>
      <w:bookmarkStart w:id="332" w:name="OLE_LINK2674"/>
      <w:bookmarkStart w:id="333" w:name="OLE_LINK2738"/>
      <w:bookmarkStart w:id="334" w:name="OLE_LINK2983"/>
      <w:bookmarkStart w:id="335" w:name="OLE_LINK76"/>
      <w:bookmarkStart w:id="336" w:name="OLE_LINK115"/>
      <w:bookmarkStart w:id="337" w:name="OLE_LINK155"/>
      <w:r w:rsidRPr="00F40A26">
        <w:rPr>
          <w:rFonts w:ascii="Book Antiqua" w:hAnsi="Book Antiqua" w:cs="Tahoma"/>
          <w:b/>
          <w:color w:val="000000"/>
          <w:sz w:val="24"/>
          <w:szCs w:val="24"/>
        </w:rPr>
        <w:t>P-Reviewer</w:t>
      </w:r>
      <w:r w:rsidR="00F32DC0" w:rsidRPr="00F40A26">
        <w:rPr>
          <w:rFonts w:ascii="Book Antiqua" w:hAnsi="Book Antiqua" w:cs="Tahoma"/>
          <w:color w:val="000000"/>
          <w:sz w:val="24"/>
          <w:szCs w:val="24"/>
        </w:rPr>
        <w:t>: Liaskou E</w:t>
      </w:r>
      <w:r w:rsidR="00235903" w:rsidRPr="00F40A26">
        <w:rPr>
          <w:rFonts w:ascii="Book Antiqua" w:hAnsi="Book Antiqua" w:cs="Tahoma"/>
          <w:b/>
          <w:color w:val="000000"/>
          <w:sz w:val="24"/>
          <w:szCs w:val="24"/>
        </w:rPr>
        <w:t xml:space="preserve"> </w:t>
      </w:r>
      <w:r w:rsidRPr="00F40A26">
        <w:rPr>
          <w:rFonts w:ascii="Book Antiqua" w:hAnsi="Book Antiqua" w:cs="Tahoma"/>
          <w:b/>
          <w:color w:val="000000"/>
          <w:sz w:val="24"/>
          <w:szCs w:val="24"/>
        </w:rPr>
        <w:t xml:space="preserve">S-Editor: </w:t>
      </w:r>
      <w:r w:rsidRPr="00F40A26">
        <w:rPr>
          <w:rFonts w:ascii="Book Antiqua" w:hAnsi="Book Antiqua" w:cs="Tahoma"/>
          <w:color w:val="000000"/>
          <w:sz w:val="24"/>
          <w:szCs w:val="24"/>
        </w:rPr>
        <w:t xml:space="preserve">Gou SX </w:t>
      </w:r>
      <w:r w:rsidRPr="00F40A26">
        <w:rPr>
          <w:rFonts w:ascii="Book Antiqua" w:hAnsi="Book Antiqua" w:cs="Tahoma"/>
          <w:b/>
          <w:color w:val="000000"/>
          <w:sz w:val="24"/>
          <w:szCs w:val="24"/>
        </w:rPr>
        <w:t xml:space="preserve">  L-Editor:    E-Edito</w:t>
      </w:r>
      <w:bookmarkEnd w:id="199"/>
      <w:bookmarkEnd w:id="200"/>
      <w:r w:rsidRPr="00F40A26">
        <w:rPr>
          <w:rFonts w:ascii="Book Antiqua" w:hAnsi="Book Antiqua" w:cs="Tahoma"/>
          <w:b/>
          <w:color w:val="000000"/>
          <w:sz w:val="24"/>
          <w:szCs w:val="24"/>
        </w:rPr>
        <w:t>r:</w:t>
      </w:r>
    </w:p>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rsidR="00E8511B" w:rsidRPr="0002539E" w:rsidRDefault="00E8511B">
      <w:pPr>
        <w:snapToGrid w:val="0"/>
        <w:spacing w:line="360" w:lineRule="auto"/>
        <w:rPr>
          <w:rFonts w:ascii="Book Antiqua" w:hAnsi="Book Antiqua" w:cs="Times New Roman"/>
          <w:b/>
          <w:bCs/>
          <w:color w:val="000000"/>
          <w:kern w:val="0"/>
          <w:sz w:val="24"/>
          <w:szCs w:val="24"/>
          <w:lang w:eastAsia="zh-CN"/>
        </w:rPr>
      </w:pPr>
    </w:p>
    <w:p w:rsidR="00E8511B" w:rsidRPr="00F40A26" w:rsidRDefault="00E8511B">
      <w:pPr>
        <w:snapToGrid w:val="0"/>
        <w:spacing w:line="360" w:lineRule="auto"/>
        <w:rPr>
          <w:rFonts w:ascii="Book Antiqua" w:hAnsi="Book Antiqua" w:cs="Times New Roman"/>
          <w:b/>
          <w:bCs/>
          <w:color w:val="000000"/>
          <w:kern w:val="0"/>
          <w:sz w:val="24"/>
          <w:szCs w:val="24"/>
          <w:lang w:eastAsia="zh-CN"/>
        </w:rPr>
      </w:pPr>
    </w:p>
    <w:p w:rsidR="00C67E47" w:rsidRDefault="00C67E47">
      <w:pPr>
        <w:snapToGrid w:val="0"/>
        <w:spacing w:line="360" w:lineRule="auto"/>
        <w:rPr>
          <w:rFonts w:ascii="Book Antiqua" w:hAnsi="Book Antiqua" w:cs="Times New Roman"/>
          <w:b/>
          <w:bCs/>
          <w:sz w:val="24"/>
          <w:szCs w:val="24"/>
          <w:lang w:eastAsia="zh-CN"/>
        </w:rPr>
      </w:pPr>
    </w:p>
    <w:p w:rsidR="0002539E" w:rsidRDefault="0002539E">
      <w:pPr>
        <w:snapToGrid w:val="0"/>
        <w:spacing w:line="360" w:lineRule="auto"/>
        <w:rPr>
          <w:rFonts w:ascii="Book Antiqua" w:hAnsi="Book Antiqua" w:cs="Times New Roman"/>
          <w:b/>
          <w:bCs/>
          <w:sz w:val="24"/>
          <w:szCs w:val="24"/>
          <w:lang w:eastAsia="zh-CN"/>
        </w:rPr>
      </w:pPr>
    </w:p>
    <w:p w:rsidR="0002539E" w:rsidRDefault="0002539E">
      <w:pPr>
        <w:snapToGrid w:val="0"/>
        <w:spacing w:line="360" w:lineRule="auto"/>
        <w:rPr>
          <w:rFonts w:ascii="Book Antiqua" w:hAnsi="Book Antiqua" w:cs="Times New Roman"/>
          <w:b/>
          <w:bCs/>
          <w:sz w:val="24"/>
          <w:szCs w:val="24"/>
          <w:lang w:eastAsia="zh-CN"/>
        </w:rPr>
      </w:pPr>
    </w:p>
    <w:p w:rsidR="0002539E" w:rsidRDefault="0002539E">
      <w:pPr>
        <w:snapToGrid w:val="0"/>
        <w:spacing w:line="360" w:lineRule="auto"/>
        <w:rPr>
          <w:rFonts w:ascii="Book Antiqua" w:hAnsi="Book Antiqua" w:cs="Times New Roman"/>
          <w:b/>
          <w:bCs/>
          <w:sz w:val="24"/>
          <w:szCs w:val="24"/>
          <w:lang w:eastAsia="zh-CN"/>
        </w:rPr>
      </w:pPr>
    </w:p>
    <w:p w:rsidR="0002539E" w:rsidRPr="00F40A26" w:rsidRDefault="0002539E">
      <w:pPr>
        <w:snapToGrid w:val="0"/>
        <w:spacing w:line="360" w:lineRule="auto"/>
        <w:rPr>
          <w:rFonts w:ascii="Book Antiqua" w:hAnsi="Book Antiqua" w:cs="Times New Roman"/>
          <w:b/>
          <w:bCs/>
          <w:sz w:val="24"/>
          <w:szCs w:val="24"/>
          <w:lang w:eastAsia="zh-CN"/>
        </w:rPr>
      </w:pP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sz w:val="24"/>
          <w:szCs w:val="24"/>
        </w:rPr>
        <w:lastRenderedPageBreak/>
        <w:t xml:space="preserve">Figure 1 Selective arteriography with and without balloon-occluded feeding artery in a 72 year-old man with multiple </w:t>
      </w:r>
      <w:r w:rsidRPr="00F40A26">
        <w:rPr>
          <w:rFonts w:ascii="Book Antiqua" w:hAnsi="Book Antiqua" w:cs="Times New Roman"/>
          <w:b/>
          <w:color w:val="000000"/>
          <w:kern w:val="0"/>
          <w:sz w:val="24"/>
          <w:szCs w:val="24"/>
          <w:lang w:eastAsia="zh-CN"/>
        </w:rPr>
        <w:t>hepatocellular carcinoma</w:t>
      </w:r>
      <w:r w:rsidRPr="00F40A26">
        <w:rPr>
          <w:rFonts w:ascii="Book Antiqua" w:hAnsi="Book Antiqua" w:cs="Times New Roman"/>
          <w:b/>
          <w:bCs/>
          <w:sz w:val="24"/>
          <w:szCs w:val="24"/>
        </w:rPr>
        <w:t>s</w:t>
      </w:r>
      <w:r w:rsidR="00D46BDD" w:rsidRPr="00F40A26">
        <w:rPr>
          <w:rFonts w:ascii="Book Antiqua" w:hAnsi="Book Antiqua" w:cs="Times New Roman"/>
          <w:bCs/>
          <w:sz w:val="24"/>
          <w:szCs w:val="24"/>
          <w:lang w:eastAsia="zh-CN"/>
        </w:rPr>
        <w:t xml:space="preserve">. </w:t>
      </w:r>
      <w:r w:rsidR="00D46BDD" w:rsidRPr="00F40A26">
        <w:rPr>
          <w:rFonts w:ascii="Book Antiqua" w:hAnsi="Book Antiqua" w:cs="Times New Roman"/>
          <w:bCs/>
          <w:sz w:val="24"/>
          <w:szCs w:val="24"/>
        </w:rPr>
        <w:t>A</w:t>
      </w:r>
      <w:r w:rsidR="00D46BDD"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Celiac arteriography revealed multiple</w:t>
      </w:r>
      <w:r w:rsidR="007658CD" w:rsidRPr="00F40A26">
        <w:rPr>
          <w:rFonts w:ascii="Book Antiqua" w:hAnsi="Book Antiqua" w:cs="Times New Roman"/>
          <w:color w:val="000000"/>
          <w:kern w:val="0"/>
          <w:sz w:val="24"/>
          <w:szCs w:val="24"/>
          <w:lang w:eastAsia="zh-CN"/>
        </w:rPr>
        <w:t xml:space="preserve"> hepatocellular carcinomas</w:t>
      </w:r>
      <w:r w:rsidRPr="00F40A26">
        <w:rPr>
          <w:rFonts w:ascii="Book Antiqua" w:hAnsi="Book Antiqua" w:cs="Times New Roman"/>
          <w:bCs/>
          <w:sz w:val="24"/>
          <w:szCs w:val="24"/>
        </w:rPr>
        <w:t xml:space="preserve"> </w:t>
      </w:r>
      <w:r w:rsidR="007658CD" w:rsidRPr="00F40A26">
        <w:rPr>
          <w:rFonts w:ascii="Book Antiqua" w:hAnsi="Book Antiqua" w:cs="Times New Roman"/>
          <w:bCs/>
          <w:sz w:val="24"/>
          <w:szCs w:val="24"/>
          <w:lang w:eastAsia="zh-CN"/>
        </w:rPr>
        <w:t>(</w:t>
      </w:r>
      <w:r w:rsidRPr="00F40A26">
        <w:rPr>
          <w:rFonts w:ascii="Book Antiqua" w:hAnsi="Book Antiqua" w:cs="Times New Roman"/>
          <w:bCs/>
          <w:sz w:val="24"/>
          <w:szCs w:val="24"/>
        </w:rPr>
        <w:t>HCCs</w:t>
      </w:r>
      <w:r w:rsidR="007658CD"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in the liver</w:t>
      </w:r>
      <w:r w:rsidR="00D46BDD" w:rsidRPr="00F40A26">
        <w:rPr>
          <w:rFonts w:ascii="Book Antiqua" w:hAnsi="Book Antiqua" w:cs="Times New Roman"/>
          <w:bCs/>
          <w:sz w:val="24"/>
          <w:szCs w:val="24"/>
          <w:lang w:eastAsia="zh-CN"/>
        </w:rPr>
        <w:t>; B:</w:t>
      </w:r>
      <w:r w:rsidRPr="00F40A26">
        <w:rPr>
          <w:rFonts w:ascii="Book Antiqua" w:hAnsi="Book Antiqua" w:cs="Times New Roman"/>
          <w:bCs/>
          <w:sz w:val="24"/>
          <w:szCs w:val="24"/>
        </w:rPr>
        <w:t xml:space="preserve"> Opacified HCCs were shown by medial segmental arteriography without balloon-occluded feeding artery</w:t>
      </w:r>
      <w:r w:rsidR="00D46BDD" w:rsidRPr="00F40A26">
        <w:rPr>
          <w:rFonts w:ascii="Book Antiqua" w:hAnsi="Book Antiqua" w:cs="Times New Roman"/>
          <w:bCs/>
          <w:sz w:val="24"/>
          <w:szCs w:val="24"/>
          <w:lang w:eastAsia="zh-CN"/>
        </w:rPr>
        <w:t xml:space="preserve">; C: </w:t>
      </w:r>
      <w:r w:rsidRPr="00F40A26">
        <w:rPr>
          <w:rFonts w:ascii="Book Antiqua" w:hAnsi="Book Antiqua" w:cs="Times New Roman"/>
          <w:bCs/>
          <w:sz w:val="24"/>
          <w:szCs w:val="24"/>
        </w:rPr>
        <w:t>In contrast, the arteriography with balloon occlusion showed faint opacification of HCCs and nontumoral liver parenchyma was opacified</w:t>
      </w:r>
      <w:r w:rsidR="00D46BDD"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Arrow indicated an inflated microballoon.</w:t>
      </w:r>
    </w:p>
    <w:p w:rsidR="00C67E47" w:rsidRPr="00F40A26" w:rsidRDefault="00C67E47">
      <w:pPr>
        <w:snapToGrid w:val="0"/>
        <w:spacing w:line="360" w:lineRule="auto"/>
        <w:rPr>
          <w:rFonts w:ascii="Book Antiqua" w:hAnsi="Book Antiqua" w:cs="Times New Roman"/>
          <w:bCs/>
          <w:sz w:val="24"/>
          <w:szCs w:val="24"/>
        </w:rPr>
      </w:pP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t>Figure 1A</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352290"/>
            <wp:effectExtent l="0" t="0" r="0" b="0"/>
            <wp:docPr id="1" name="図 1" descr="Macintosh HD:Users:minetakahiko:Desktop:figure (1):FIGUR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etakahiko:Desktop:figure (1):FIGURE:1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435229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1B</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572000"/>
            <wp:effectExtent l="0" t="0" r="0" b="0"/>
            <wp:docPr id="2" name="図 2" descr="Macintosh HD:Users:minetakahiko:Desktop:figure (1):FIGUR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netakahiko:Desktop:figure (1):FIGURE:1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0" cy="457200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1C</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484370"/>
            <wp:effectExtent l="0" t="0" r="0" b="0"/>
            <wp:docPr id="3" name="図 3" descr="Macintosh HD:Users:minetakahiko:Desktop:figure (1):FIGURE: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netakahiko:Desktop:figure (1):FIGURE:1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8770" cy="448437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sz w:val="24"/>
          <w:szCs w:val="24"/>
        </w:rPr>
        <w:lastRenderedPageBreak/>
        <w:t xml:space="preserve">Figure 2 Two-step balloon-occluded </w:t>
      </w:r>
      <w:r w:rsidR="00DA003E" w:rsidRPr="00F40A26">
        <w:rPr>
          <w:rFonts w:ascii="Book Antiqua" w:hAnsi="Book Antiqua" w:cs="Times New Roman"/>
          <w:b/>
          <w:bCs/>
          <w:sz w:val="24"/>
          <w:szCs w:val="24"/>
        </w:rPr>
        <w:t>transarterial chemoembolization</w:t>
      </w:r>
      <w:r w:rsidR="00DA003E" w:rsidRPr="00F40A26">
        <w:rPr>
          <w:rFonts w:ascii="Book Antiqua" w:hAnsi="Book Antiqua" w:cs="Times New Roman"/>
          <w:b/>
          <w:bCs/>
          <w:sz w:val="24"/>
          <w:szCs w:val="24"/>
          <w:lang w:eastAsia="zh-CN"/>
        </w:rPr>
        <w:t>.</w:t>
      </w:r>
      <w:r w:rsidR="00DA003E"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 xml:space="preserve">A 76-year old woman characterized as Child-Pugh class C underwent </w:t>
      </w:r>
      <w:r w:rsidR="00DA003E" w:rsidRPr="00F40A26">
        <w:rPr>
          <w:rFonts w:ascii="Book Antiqua" w:hAnsi="Book Antiqua" w:cs="Times New Roman"/>
          <w:bCs/>
          <w:sz w:val="24"/>
          <w:szCs w:val="24"/>
        </w:rPr>
        <w:t>transjugular intrahepatic portosystemic shunt (TIPS)</w:t>
      </w:r>
      <w:r w:rsidRPr="00F40A26">
        <w:rPr>
          <w:rFonts w:ascii="Book Antiqua" w:hAnsi="Book Antiqua" w:cs="Times New Roman"/>
          <w:bCs/>
          <w:sz w:val="24"/>
          <w:szCs w:val="24"/>
        </w:rPr>
        <w:t xml:space="preserve"> for massive ascites before several </w:t>
      </w:r>
      <w:r w:rsidR="00DA003E" w:rsidRPr="00F40A26">
        <w:rPr>
          <w:rFonts w:ascii="Book Antiqua" w:hAnsi="Book Antiqua" w:cs="Times New Roman"/>
          <w:bCs/>
          <w:sz w:val="24"/>
          <w:szCs w:val="24"/>
        </w:rPr>
        <w:t>transarterial chemoembolization</w:t>
      </w:r>
      <w:r w:rsidR="00DA003E"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TACE</w:t>
      </w:r>
      <w:r w:rsidR="00DA003E" w:rsidRPr="00F40A26">
        <w:rPr>
          <w:rFonts w:ascii="Book Antiqua" w:hAnsi="Book Antiqua" w:cs="Times New Roman"/>
          <w:bCs/>
          <w:sz w:val="24"/>
          <w:szCs w:val="24"/>
          <w:lang w:eastAsia="zh-CN"/>
        </w:rPr>
        <w:t>)</w:t>
      </w:r>
      <w:r w:rsidRPr="00F40A26">
        <w:rPr>
          <w:rFonts w:ascii="Book Antiqua" w:hAnsi="Book Antiqua" w:cs="Times New Roman"/>
          <w:bCs/>
          <w:sz w:val="24"/>
          <w:szCs w:val="24"/>
        </w:rPr>
        <w:t xml:space="preserve"> sessions. Celiac arteriography in the venous phase (A) showed a small </w:t>
      </w:r>
      <w:r w:rsidR="007658CD" w:rsidRPr="00F40A26">
        <w:rPr>
          <w:rFonts w:ascii="Book Antiqua" w:hAnsi="Book Antiqua" w:cs="Times New Roman"/>
          <w:color w:val="000000"/>
          <w:kern w:val="0"/>
          <w:sz w:val="24"/>
          <w:szCs w:val="24"/>
          <w:lang w:eastAsia="zh-CN"/>
        </w:rPr>
        <w:t>hepatocellular carcinoma</w:t>
      </w:r>
      <w:r w:rsidR="007658CD" w:rsidRPr="00F40A26">
        <w:rPr>
          <w:rFonts w:ascii="Book Antiqua" w:hAnsi="Book Antiqua" w:cs="Times New Roman"/>
          <w:bCs/>
          <w:sz w:val="24"/>
          <w:szCs w:val="24"/>
        </w:rPr>
        <w:t xml:space="preserve"> </w:t>
      </w:r>
      <w:r w:rsidR="007658CD" w:rsidRPr="00F40A26">
        <w:rPr>
          <w:rFonts w:ascii="Book Antiqua" w:hAnsi="Book Antiqua" w:cs="Times New Roman"/>
          <w:bCs/>
          <w:sz w:val="24"/>
          <w:szCs w:val="24"/>
          <w:lang w:eastAsia="zh-CN"/>
        </w:rPr>
        <w:t>(</w:t>
      </w:r>
      <w:r w:rsidR="007658CD" w:rsidRPr="00F40A26">
        <w:rPr>
          <w:rFonts w:ascii="Book Antiqua" w:hAnsi="Book Antiqua" w:cs="Times New Roman"/>
          <w:bCs/>
          <w:sz w:val="24"/>
          <w:szCs w:val="24"/>
        </w:rPr>
        <w:t>HCC</w:t>
      </w:r>
      <w:r w:rsidR="007658CD"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(arrow). A microballoon catheter was advanced into the tumor feeding artery. Then, two-step balloon-TACE (B-TACE) was performed. First, tumors were sufficiently embolized by TACE without balloon occlusion of the tumor feeding artery (B). Second, a microballoon catheter was inflated to occlude the feeding artery (C, black arrow), and B-TACE was performed to fully embolize the peritumoral liver parenchyma (C, white arrows). Common hepatic arteriography showed no proximal migration or leakage of</w:t>
      </w:r>
      <w:r w:rsidRPr="00F40A26">
        <w:rPr>
          <w:rFonts w:ascii="Book Antiqua" w:hAnsi="Book Antiqua" w:cs="AdvPTimes"/>
          <w:color w:val="000000"/>
          <w:kern w:val="0"/>
          <w:sz w:val="24"/>
          <w:szCs w:val="24"/>
        </w:rPr>
        <w:t xml:space="preserve"> </w:t>
      </w:r>
      <w:r w:rsidRPr="00F40A26">
        <w:rPr>
          <w:rFonts w:ascii="Book Antiqua" w:hAnsi="Book Antiqua" w:cs="Times New Roman"/>
          <w:bCs/>
          <w:sz w:val="24"/>
          <w:szCs w:val="24"/>
        </w:rPr>
        <w:t xml:space="preserve">embolization materials (D). Following the two-step B-TACE procedure, </w:t>
      </w:r>
      <w:r w:rsidR="00544B06" w:rsidRPr="00F40A26">
        <w:rPr>
          <w:rFonts w:ascii="Book Antiqua" w:hAnsi="Book Antiqua" w:cs="Times New Roman"/>
          <w:bCs/>
          <w:sz w:val="24"/>
          <w:szCs w:val="24"/>
          <w:lang w:eastAsia="zh-CN"/>
        </w:rPr>
        <w:t xml:space="preserve">computed tomography </w:t>
      </w:r>
      <w:r w:rsidRPr="00F40A26">
        <w:rPr>
          <w:rFonts w:ascii="Book Antiqua" w:hAnsi="Book Antiqua" w:cs="Times New Roman"/>
          <w:bCs/>
          <w:sz w:val="24"/>
          <w:szCs w:val="24"/>
        </w:rPr>
        <w:t>showed dense lipiodol accumulation in the HCC (E, black arrow). There was no evidence of proximal migration or leakage of embolization materials. White arrow</w:t>
      </w:r>
      <w:r w:rsidR="00544B06" w:rsidRPr="00F40A26">
        <w:rPr>
          <w:rFonts w:ascii="Book Antiqua" w:hAnsi="Book Antiqua" w:cs="Times New Roman"/>
          <w:bCs/>
          <w:sz w:val="24"/>
          <w:szCs w:val="24"/>
          <w:lang w:eastAsia="zh-CN"/>
        </w:rPr>
        <w:t>s</w:t>
      </w:r>
      <w:r w:rsidRPr="00F40A26">
        <w:rPr>
          <w:rFonts w:ascii="Book Antiqua" w:hAnsi="Book Antiqua" w:cs="Times New Roman"/>
          <w:bCs/>
          <w:sz w:val="24"/>
          <w:szCs w:val="24"/>
        </w:rPr>
        <w:t xml:space="preserve"> indicated a stent for TIPS.</w:t>
      </w:r>
    </w:p>
    <w:p w:rsidR="00C67E47" w:rsidRPr="00F40A26" w:rsidRDefault="00C67E47">
      <w:pPr>
        <w:snapToGrid w:val="0"/>
        <w:spacing w:line="360" w:lineRule="auto"/>
        <w:rPr>
          <w:rFonts w:ascii="Book Antiqua" w:hAnsi="Book Antiqua" w:cs="Times New Roman"/>
          <w:bCs/>
          <w:sz w:val="24"/>
          <w:szCs w:val="24"/>
          <w:lang w:eastAsia="zh-CN"/>
        </w:rPr>
      </w:pP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t>Figure 2A</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lastRenderedPageBreak/>
        <w:drawing>
          <wp:inline distT="0" distB="0" distL="0" distR="0">
            <wp:extent cx="5398770" cy="4299585"/>
            <wp:effectExtent l="0" t="0" r="0" b="0"/>
            <wp:docPr id="4" name="図 4" descr="Macintosh HD:Users:minetakahiko:Desktop:figure (1):FIGUR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netakahiko:Desktop:figure (1):FIGURE:2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8770" cy="4299585"/>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2B</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484370"/>
            <wp:effectExtent l="0" t="0" r="0" b="0"/>
            <wp:docPr id="5" name="図 5" descr="Macintosh HD:Users:minetakahiko:Desktop:figure (1):FIGUR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netakahiko:Desktop:figure (1):FIGURE: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448437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2C</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290695"/>
            <wp:effectExtent l="0" t="0" r="0" b="0"/>
            <wp:docPr id="6" name="図 6" descr="Macintosh HD:Users:minetakahiko:Desktop:figure (1):FIGUR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netakahiko:Desktop:figure (1):FIGURE:2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770" cy="4290695"/>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2D</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668520"/>
            <wp:effectExtent l="0" t="0" r="0" b="0"/>
            <wp:docPr id="7" name="図 7" descr="Macintosh HD:Users:minetakahiko:Desktop:figure (1):FIGUR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netakahiko:Desktop:figure (1):FIGURE:2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770" cy="466852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2E</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89880" cy="4105910"/>
            <wp:effectExtent l="0" t="0" r="0" b="0"/>
            <wp:docPr id="8" name="図 8" descr="Macintosh HD:Users:minetakahiko:Desktop:figure (1):FIGURE: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netakahiko:Desktop:figure (1):FIGURE:2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9880" cy="410591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sz w:val="24"/>
          <w:szCs w:val="24"/>
        </w:rPr>
        <w:lastRenderedPageBreak/>
        <w:t>Figure 3</w:t>
      </w:r>
      <w:r w:rsidRPr="00F40A26">
        <w:rPr>
          <w:rFonts w:ascii="Book Antiqua" w:hAnsi="Book Antiqua" w:cs="+mn-cs"/>
          <w:b/>
          <w:bCs/>
          <w:color w:val="000000"/>
          <w:kern w:val="24"/>
          <w:sz w:val="24"/>
          <w:szCs w:val="24"/>
          <w:lang w:eastAsia="zh-CN"/>
        </w:rPr>
        <w:t xml:space="preserve"> </w:t>
      </w:r>
      <w:proofErr w:type="gramStart"/>
      <w:r w:rsidRPr="00F40A26">
        <w:rPr>
          <w:rFonts w:ascii="Book Antiqua" w:hAnsi="Book Antiqua"/>
          <w:b/>
          <w:bCs/>
          <w:sz w:val="24"/>
          <w:szCs w:val="24"/>
        </w:rPr>
        <w:t>Multiple</w:t>
      </w:r>
      <w:proofErr w:type="gramEnd"/>
      <w:r w:rsidRPr="00F40A26">
        <w:rPr>
          <w:rFonts w:ascii="Book Antiqua" w:hAnsi="Book Antiqua"/>
          <w:b/>
          <w:bCs/>
          <w:sz w:val="24"/>
          <w:szCs w:val="24"/>
        </w:rPr>
        <w:t xml:space="preserve"> </w:t>
      </w:r>
      <w:r w:rsidRPr="00F40A26">
        <w:rPr>
          <w:rFonts w:ascii="Book Antiqua" w:hAnsi="Book Antiqua" w:cs="Times New Roman"/>
          <w:b/>
          <w:color w:val="000000"/>
          <w:kern w:val="0"/>
          <w:sz w:val="24"/>
          <w:szCs w:val="24"/>
          <w:lang w:eastAsia="zh-CN"/>
        </w:rPr>
        <w:t>hepatocellular carcinomas</w:t>
      </w:r>
      <w:r w:rsidRPr="00F40A26">
        <w:rPr>
          <w:rFonts w:ascii="Book Antiqua" w:hAnsi="Book Antiqua"/>
          <w:b/>
          <w:bCs/>
          <w:sz w:val="24"/>
          <w:szCs w:val="24"/>
        </w:rPr>
        <w:t xml:space="preserve"> with significant arterioportal shunts in a 71-year-old woman.</w:t>
      </w:r>
      <w:r w:rsidR="00D70661" w:rsidRPr="00F40A26">
        <w:rPr>
          <w:rFonts w:ascii="Book Antiqua" w:hAnsi="Book Antiqua" w:cs="Times New Roman"/>
          <w:bCs/>
          <w:sz w:val="24"/>
          <w:szCs w:val="24"/>
          <w:lang w:eastAsia="zh-CN"/>
        </w:rPr>
        <w:t xml:space="preserve"> </w:t>
      </w:r>
      <w:r w:rsidRPr="00F40A26">
        <w:rPr>
          <w:rFonts w:ascii="Book Antiqua" w:hAnsi="Book Antiqua" w:cs="Times New Roman"/>
          <w:bCs/>
          <w:sz w:val="24"/>
          <w:szCs w:val="24"/>
        </w:rPr>
        <w:t>Enhanced</w:t>
      </w:r>
      <w:r w:rsidR="00D70661" w:rsidRPr="00F40A26">
        <w:rPr>
          <w:rFonts w:ascii="Book Antiqua" w:hAnsi="Book Antiqua" w:cs="Times New Roman"/>
          <w:bCs/>
          <w:sz w:val="24"/>
          <w:szCs w:val="24"/>
          <w:lang w:eastAsia="zh-CN"/>
        </w:rPr>
        <w:t xml:space="preserve"> computed tomography</w:t>
      </w:r>
      <w:r w:rsidRPr="00F40A26">
        <w:rPr>
          <w:rFonts w:ascii="Book Antiqua" w:hAnsi="Book Antiqua" w:cs="Times New Roman"/>
          <w:bCs/>
          <w:sz w:val="24"/>
          <w:szCs w:val="24"/>
        </w:rPr>
        <w:t xml:space="preserve"> </w:t>
      </w:r>
      <w:r w:rsidR="00D70661" w:rsidRPr="00F40A26">
        <w:rPr>
          <w:rFonts w:ascii="Book Antiqua" w:hAnsi="Book Antiqua" w:cs="Times New Roman"/>
          <w:bCs/>
          <w:sz w:val="24"/>
          <w:szCs w:val="24"/>
          <w:lang w:eastAsia="zh-CN"/>
        </w:rPr>
        <w:t>(</w:t>
      </w:r>
      <w:r w:rsidRPr="00F40A26">
        <w:rPr>
          <w:rFonts w:ascii="Book Antiqua" w:hAnsi="Book Antiqua" w:cs="Times New Roman"/>
          <w:bCs/>
          <w:sz w:val="24"/>
          <w:szCs w:val="24"/>
        </w:rPr>
        <w:t>CT</w:t>
      </w:r>
      <w:r w:rsidR="00D70661" w:rsidRPr="00F40A26">
        <w:rPr>
          <w:rFonts w:ascii="Book Antiqua" w:hAnsi="Book Antiqua" w:cs="Times New Roman"/>
          <w:bCs/>
          <w:sz w:val="24"/>
          <w:szCs w:val="24"/>
          <w:lang w:eastAsia="zh-CN"/>
        </w:rPr>
        <w:t>)</w:t>
      </w:r>
      <w:r w:rsidRPr="00F40A26">
        <w:rPr>
          <w:rFonts w:ascii="Book Antiqua" w:hAnsi="Book Antiqua" w:cs="Times New Roman"/>
          <w:bCs/>
          <w:sz w:val="24"/>
          <w:szCs w:val="24"/>
        </w:rPr>
        <w:t xml:space="preserve"> imaging revealed viable </w:t>
      </w:r>
      <w:r w:rsidR="00D70661" w:rsidRPr="00F40A26">
        <w:rPr>
          <w:rFonts w:ascii="Book Antiqua" w:hAnsi="Book Antiqua" w:cs="Times New Roman"/>
          <w:color w:val="000000"/>
          <w:kern w:val="0"/>
          <w:sz w:val="24"/>
          <w:szCs w:val="24"/>
          <w:lang w:eastAsia="zh-CN"/>
        </w:rPr>
        <w:t>hepatocellular carcinoma</w:t>
      </w:r>
      <w:r w:rsidR="00D70661" w:rsidRPr="00F40A26">
        <w:rPr>
          <w:rFonts w:ascii="Book Antiqua" w:hAnsi="Book Antiqua" w:cs="Times New Roman"/>
          <w:bCs/>
          <w:sz w:val="24"/>
          <w:szCs w:val="24"/>
          <w:lang w:eastAsia="zh-CN"/>
        </w:rPr>
        <w:t>s (</w:t>
      </w:r>
      <w:r w:rsidRPr="00F40A26">
        <w:rPr>
          <w:rFonts w:ascii="Book Antiqua" w:hAnsi="Book Antiqua" w:cs="Times New Roman"/>
          <w:bCs/>
          <w:sz w:val="24"/>
          <w:szCs w:val="24"/>
        </w:rPr>
        <w:t>HCCs</w:t>
      </w:r>
      <w:r w:rsidR="00D70661" w:rsidRPr="00F40A26">
        <w:rPr>
          <w:rFonts w:ascii="Book Antiqua" w:hAnsi="Book Antiqua" w:cs="Times New Roman"/>
          <w:bCs/>
          <w:sz w:val="24"/>
          <w:szCs w:val="24"/>
          <w:lang w:eastAsia="zh-CN"/>
        </w:rPr>
        <w:t>)</w:t>
      </w:r>
      <w:r w:rsidRPr="00F40A26">
        <w:rPr>
          <w:rFonts w:ascii="Book Antiqua" w:hAnsi="Book Antiqua" w:cs="Times New Roman"/>
          <w:bCs/>
          <w:sz w:val="24"/>
          <w:szCs w:val="24"/>
        </w:rPr>
        <w:t xml:space="preserve"> (A, black arrow) with lipiodol deposit HCCs (A, white arrows). Common hepatic arteriography in the arterial phase (B) demonstrated HCC with significant arterioportal shunts (B, arrows), consisting of P8 and P4. Common hepatic arteriography under balloon occlusion of the portal vein branches of P8 and P4 showed an opacified tumor with non-visualized arterioportal shunts (C). CT images 2 mo after </w:t>
      </w:r>
      <w:r w:rsidR="00D70661" w:rsidRPr="00F40A26">
        <w:rPr>
          <w:rFonts w:ascii="Book Antiqua" w:hAnsi="Book Antiqua" w:cs="Times New Roman"/>
          <w:bCs/>
          <w:sz w:val="24"/>
          <w:szCs w:val="24"/>
        </w:rPr>
        <w:t>transcatheter arterial chemoembolization</w:t>
      </w:r>
      <w:r w:rsidRPr="00F40A26">
        <w:rPr>
          <w:rFonts w:ascii="Book Antiqua" w:hAnsi="Book Antiqua" w:cs="Times New Roman"/>
          <w:bCs/>
          <w:sz w:val="24"/>
          <w:szCs w:val="24"/>
        </w:rPr>
        <w:t xml:space="preserve"> under occlusion of the 2 portal vein branches (D) demonstrated a dense lipiodol deposit in the HCC and a complete response, according to modified Response Evaluation Criteria in Solid Tumors.</w:t>
      </w:r>
    </w:p>
    <w:p w:rsidR="00C67E47" w:rsidRPr="00F40A26" w:rsidRDefault="00C67E47">
      <w:pPr>
        <w:snapToGrid w:val="0"/>
        <w:spacing w:line="360" w:lineRule="auto"/>
        <w:rPr>
          <w:rFonts w:ascii="Book Antiqua" w:hAnsi="Book Antiqua" w:cs="Times New Roman"/>
          <w:bCs/>
          <w:sz w:val="24"/>
          <w:szCs w:val="24"/>
        </w:rPr>
      </w:pP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t>Figure 3A</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484370"/>
            <wp:effectExtent l="0" t="0" r="0" b="0"/>
            <wp:docPr id="9" name="図 9" descr="Macintosh HD:Users:minetakahiko:Desktop:figure (1):FIGUR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netakahiko:Desktop:figure (1):FIGURE:3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70" cy="448437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3B</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730115"/>
            <wp:effectExtent l="0" t="0" r="0" b="0"/>
            <wp:docPr id="10" name="図 10" descr="Macintosh HD:Users:minetakahiko:Desktop:figure (1):FIGUR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netakahiko:Desktop:figure (1):FIGURE:3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4730115"/>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3C</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923790"/>
            <wp:effectExtent l="0" t="0" r="0" b="0"/>
            <wp:docPr id="11" name="図 11" descr="Macintosh HD:Users:minetakahiko:Desktop:figure (1):FIGUR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inetakahiko:Desktop:figure (1):FIGURE:3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492379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3D</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457700"/>
            <wp:effectExtent l="0" t="0" r="0" b="0"/>
            <wp:docPr id="12" name="図 12" descr="Macintosh HD:Users:minetakahiko:Desktop:figure (1):FIGUR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inetakahiko:Desktop:figure (1):FIGURE:3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8770" cy="445770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sz w:val="24"/>
          <w:szCs w:val="24"/>
        </w:rPr>
        <w:lastRenderedPageBreak/>
        <w:t>Figure 4</w:t>
      </w:r>
      <w:r w:rsidRPr="00F40A26">
        <w:rPr>
          <w:rFonts w:ascii="Book Antiqua" w:hAnsi="Book Antiqua" w:cs="Times New Roman"/>
          <w:b/>
          <w:noProof/>
          <w:sz w:val="24"/>
          <w:szCs w:val="24"/>
        </w:rPr>
        <w:t xml:space="preserve"> Transportal chemoembolization for </w:t>
      </w:r>
      <w:r w:rsidR="00032007" w:rsidRPr="00F40A26">
        <w:rPr>
          <w:rFonts w:ascii="Book Antiqua" w:hAnsi="Book Antiqua" w:cs="Times New Roman"/>
          <w:b/>
          <w:noProof/>
          <w:sz w:val="24"/>
          <w:szCs w:val="24"/>
        </w:rPr>
        <w:t>hepatocellular carcinoma</w:t>
      </w:r>
      <w:r w:rsidRPr="00F40A26">
        <w:rPr>
          <w:rFonts w:ascii="Book Antiqua" w:hAnsi="Book Antiqua" w:cs="Times New Roman"/>
          <w:b/>
          <w:noProof/>
          <w:sz w:val="24"/>
          <w:szCs w:val="24"/>
        </w:rPr>
        <w:t xml:space="preserve"> with an arterioportal shunt in a</w:t>
      </w:r>
      <w:r w:rsidR="00F328CB" w:rsidRPr="00F40A26">
        <w:rPr>
          <w:rFonts w:ascii="Book Antiqua" w:hAnsi="Book Antiqua" w:cs="Times New Roman"/>
          <w:b/>
          <w:noProof/>
          <w:sz w:val="24"/>
          <w:szCs w:val="24"/>
          <w:lang w:eastAsia="zh-CN"/>
        </w:rPr>
        <w:t xml:space="preserve"> </w:t>
      </w:r>
      <w:r w:rsidRPr="00F40A26">
        <w:rPr>
          <w:rFonts w:ascii="Book Antiqua" w:hAnsi="Book Antiqua" w:cs="Times New Roman"/>
          <w:b/>
          <w:noProof/>
          <w:sz w:val="24"/>
          <w:szCs w:val="24"/>
        </w:rPr>
        <w:t>70-year-old man</w:t>
      </w:r>
      <w:r w:rsidR="00032007" w:rsidRPr="00F40A26">
        <w:rPr>
          <w:rFonts w:ascii="Book Antiqua" w:hAnsi="Book Antiqua" w:cs="Times New Roman"/>
          <w:noProof/>
          <w:sz w:val="24"/>
          <w:szCs w:val="24"/>
          <w:lang w:eastAsia="zh-CN"/>
        </w:rPr>
        <w:t>.</w:t>
      </w:r>
      <w:r w:rsidRPr="00F40A26">
        <w:rPr>
          <w:rFonts w:ascii="Book Antiqua" w:hAnsi="Book Antiqua" w:cs="Times New Roman"/>
          <w:noProof/>
          <w:sz w:val="24"/>
          <w:szCs w:val="24"/>
        </w:rPr>
        <w:t xml:space="preserve"> Enhanced abdominal </w:t>
      </w:r>
      <w:r w:rsidR="00F328CB" w:rsidRPr="00F40A26">
        <w:rPr>
          <w:rFonts w:ascii="Book Antiqua" w:hAnsi="Book Antiqua" w:cs="Times New Roman"/>
          <w:noProof/>
          <w:sz w:val="24"/>
          <w:szCs w:val="24"/>
          <w:lang w:eastAsia="zh-CN"/>
        </w:rPr>
        <w:t>computed tomography (</w:t>
      </w:r>
      <w:r w:rsidRPr="00F40A26">
        <w:rPr>
          <w:rFonts w:ascii="Book Antiqua" w:hAnsi="Book Antiqua" w:cs="Times New Roman"/>
          <w:noProof/>
          <w:sz w:val="24"/>
          <w:szCs w:val="24"/>
        </w:rPr>
        <w:t>CT</w:t>
      </w:r>
      <w:r w:rsidR="00F328CB" w:rsidRPr="00F40A26">
        <w:rPr>
          <w:rFonts w:ascii="Book Antiqua" w:hAnsi="Book Antiqua" w:cs="Times New Roman"/>
          <w:noProof/>
          <w:sz w:val="24"/>
          <w:szCs w:val="24"/>
          <w:lang w:eastAsia="zh-CN"/>
        </w:rPr>
        <w:t>)</w:t>
      </w:r>
      <w:r w:rsidRPr="00F40A26">
        <w:rPr>
          <w:rFonts w:ascii="Book Antiqua" w:hAnsi="Book Antiqua" w:cs="Times New Roman"/>
          <w:noProof/>
          <w:sz w:val="24"/>
          <w:szCs w:val="24"/>
        </w:rPr>
        <w:t xml:space="preserve"> examination (A) demonstrated a recurrent </w:t>
      </w:r>
      <w:r w:rsidR="00032007" w:rsidRPr="00F40A26">
        <w:rPr>
          <w:rFonts w:ascii="Book Antiqua" w:hAnsi="Book Antiqua" w:cs="Times New Roman"/>
          <w:noProof/>
          <w:sz w:val="24"/>
          <w:szCs w:val="24"/>
        </w:rPr>
        <w:t>hepatocellular carcinoma</w:t>
      </w:r>
      <w:r w:rsidRPr="00F40A26">
        <w:rPr>
          <w:rFonts w:ascii="Book Antiqua" w:hAnsi="Book Antiqua" w:cs="Times New Roman"/>
          <w:noProof/>
          <w:sz w:val="24"/>
          <w:szCs w:val="24"/>
        </w:rPr>
        <w:t xml:space="preserve"> </w:t>
      </w:r>
      <w:r w:rsidR="00F328CB" w:rsidRPr="00F40A26">
        <w:rPr>
          <w:rFonts w:ascii="Book Antiqua" w:hAnsi="Book Antiqua" w:cs="Times New Roman"/>
          <w:noProof/>
          <w:sz w:val="24"/>
          <w:szCs w:val="24"/>
          <w:lang w:eastAsia="zh-CN"/>
        </w:rPr>
        <w:t>(</w:t>
      </w:r>
      <w:r w:rsidRPr="00F40A26">
        <w:rPr>
          <w:rFonts w:ascii="Book Antiqua" w:hAnsi="Book Antiqua" w:cs="Times New Roman"/>
          <w:noProof/>
          <w:sz w:val="24"/>
          <w:szCs w:val="24"/>
        </w:rPr>
        <w:t>HCC</w:t>
      </w:r>
      <w:r w:rsidR="00F328CB" w:rsidRPr="00F40A26">
        <w:rPr>
          <w:rFonts w:ascii="Book Antiqua" w:hAnsi="Book Antiqua" w:cs="Times New Roman"/>
          <w:noProof/>
          <w:sz w:val="24"/>
          <w:szCs w:val="24"/>
          <w:lang w:eastAsia="zh-CN"/>
        </w:rPr>
        <w:t>)</w:t>
      </w:r>
      <w:r w:rsidRPr="00F40A26">
        <w:rPr>
          <w:rFonts w:ascii="Book Antiqua" w:hAnsi="Book Antiqua" w:cs="Times New Roman"/>
          <w:noProof/>
          <w:sz w:val="24"/>
          <w:szCs w:val="24"/>
        </w:rPr>
        <w:t xml:space="preserve"> (A, arrow) in the posterior segment with a lipiodol deposit (arrowhead). Hepatic arteriography </w:t>
      </w:r>
      <w:r w:rsidR="00F328CB" w:rsidRPr="00F40A26">
        <w:rPr>
          <w:rFonts w:ascii="Book Antiqua" w:hAnsi="Book Antiqua" w:cs="Times New Roman"/>
          <w:i/>
          <w:noProof/>
          <w:sz w:val="24"/>
          <w:szCs w:val="24"/>
        </w:rPr>
        <w:t>via</w:t>
      </w:r>
      <w:r w:rsidRPr="00F40A26">
        <w:rPr>
          <w:rFonts w:ascii="Book Antiqua" w:hAnsi="Book Antiqua" w:cs="Times New Roman"/>
          <w:noProof/>
          <w:sz w:val="24"/>
          <w:szCs w:val="24"/>
        </w:rPr>
        <w:t xml:space="preserve"> the anterior branch (B) revealed a HCC (B, white arrow) fed by the cystic artery (B, black arrows) and an intratumoral arterioportal shunt (B, arrowhead). A 5-French sheath was inserted into the portal vein </w:t>
      </w:r>
      <w:r w:rsidR="00F328CB" w:rsidRPr="00F40A26">
        <w:rPr>
          <w:rFonts w:ascii="Book Antiqua" w:hAnsi="Book Antiqua" w:cs="Times New Roman"/>
          <w:i/>
          <w:noProof/>
          <w:sz w:val="24"/>
          <w:szCs w:val="24"/>
        </w:rPr>
        <w:t>via</w:t>
      </w:r>
      <w:r w:rsidRPr="00F40A26">
        <w:rPr>
          <w:rFonts w:ascii="Book Antiqua" w:hAnsi="Book Antiqua" w:cs="Times New Roman"/>
          <w:noProof/>
          <w:sz w:val="24"/>
          <w:szCs w:val="24"/>
        </w:rPr>
        <w:t xml:space="preserve"> the lateral superior branch of the left portal vein. Direct portography </w:t>
      </w:r>
      <w:r w:rsidR="00F328CB" w:rsidRPr="00F40A26">
        <w:rPr>
          <w:rFonts w:ascii="Book Antiqua" w:hAnsi="Book Antiqua" w:cs="Times New Roman"/>
          <w:i/>
          <w:noProof/>
          <w:sz w:val="24"/>
          <w:szCs w:val="24"/>
        </w:rPr>
        <w:t>via</w:t>
      </w:r>
      <w:r w:rsidRPr="00F40A26">
        <w:rPr>
          <w:rFonts w:ascii="Book Antiqua" w:hAnsi="Book Antiqua" w:cs="Times New Roman"/>
          <w:noProof/>
          <w:sz w:val="24"/>
          <w:szCs w:val="24"/>
        </w:rPr>
        <w:t xml:space="preserve"> the portal vein branch contributed an arterioportal shunt showed a tumor stain (C</w:t>
      </w:r>
      <w:r w:rsidRPr="00F40A26">
        <w:rPr>
          <w:rFonts w:ascii="Book Antiqua" w:hAnsi="Book Antiqua" w:cs="Times New Roman"/>
          <w:bCs/>
          <w:noProof/>
          <w:sz w:val="24"/>
          <w:szCs w:val="24"/>
        </w:rPr>
        <w:t>,</w:t>
      </w:r>
      <w:r w:rsidRPr="00F40A26">
        <w:rPr>
          <w:rFonts w:ascii="Book Antiqua" w:hAnsi="Book Antiqua" w:cs="Times New Roman"/>
          <w:b/>
          <w:bCs/>
          <w:noProof/>
          <w:sz w:val="24"/>
          <w:szCs w:val="24"/>
        </w:rPr>
        <w:t xml:space="preserve"> </w:t>
      </w:r>
      <w:r w:rsidRPr="00F40A26">
        <w:rPr>
          <w:rFonts w:ascii="Book Antiqua" w:hAnsi="Book Antiqua" w:cs="Times New Roman"/>
          <w:noProof/>
          <w:sz w:val="24"/>
          <w:szCs w:val="24"/>
        </w:rPr>
        <w:t>arrow). Following transcatheter portal chemoembolization, proper hepatic arteriography showed non-visualized tumor stain and arterioportal shunt (D). Non-enhanced CT 7 d after therapy (E) showed a dense accumulation of lipiodol in the tumor and peritumoral liver parenchyma.</w:t>
      </w:r>
    </w:p>
    <w:p w:rsidR="00C67E47" w:rsidRPr="00F40A26" w:rsidRDefault="00C67E47">
      <w:pPr>
        <w:snapToGrid w:val="0"/>
        <w:spacing w:line="360" w:lineRule="auto"/>
        <w:rPr>
          <w:rFonts w:ascii="Book Antiqua" w:hAnsi="Book Antiqua" w:cs="Times New Roman"/>
          <w:bCs/>
          <w:sz w:val="24"/>
          <w:szCs w:val="24"/>
        </w:rPr>
      </w:pPr>
    </w:p>
    <w:p w:rsidR="00C67E47" w:rsidRPr="00F40A26" w:rsidRDefault="00C67E47">
      <w:pPr>
        <w:snapToGrid w:val="0"/>
        <w:spacing w:line="360" w:lineRule="auto"/>
        <w:rPr>
          <w:rFonts w:ascii="Book Antiqua" w:hAnsi="Book Antiqua" w:cs="Times New Roman"/>
          <w:bCs/>
          <w:sz w:val="24"/>
          <w:szCs w:val="24"/>
        </w:rPr>
      </w:pP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t>Figure 4A</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lastRenderedPageBreak/>
        <w:drawing>
          <wp:inline distT="0" distB="0" distL="0" distR="0">
            <wp:extent cx="5398770" cy="3859530"/>
            <wp:effectExtent l="0" t="0" r="0" b="0"/>
            <wp:docPr id="13" name="図 13" descr="Macintosh HD:Users:minetakahiko:Desktop:figure (1):FIGUR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inetakahiko:Desktop:figure (1):FIGURE:4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8770" cy="385953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4B</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89880" cy="5187315"/>
            <wp:effectExtent l="0" t="0" r="0" b="0"/>
            <wp:docPr id="14" name="図 14" descr="Macintosh HD:Users:minetakahiko:Desktop:figure (1):FIGUR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inetakahiko:Desktop:figure (1):FIGURE:4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9880" cy="5187315"/>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4C</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5415915"/>
            <wp:effectExtent l="0" t="0" r="0" b="0"/>
            <wp:docPr id="15" name="図 15" descr="Macintosh HD:Users:minetakahiko:Desktop:figure (1):FIGUR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inetakahiko:Desktop:figure (1):FIGURE:4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770" cy="5415915"/>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4D</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5046980"/>
            <wp:effectExtent l="0" t="0" r="0" b="0"/>
            <wp:docPr id="16" name="図 16" descr="Macintosh HD:Users:minetakahiko:Desktop:figure (1):FIGURE: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inetakahiko:Desktop:figure (1):FIGURE:4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8770" cy="504698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4E</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89880" cy="4105910"/>
            <wp:effectExtent l="0" t="0" r="0" b="0"/>
            <wp:docPr id="17" name="図 17" descr="Macintosh HD:Users:minetakahiko:Desktop:figure (1):FIGUR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inetakahiko:Desktop:figure (1):FIGURE:4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9880" cy="410591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
          <w:bCs/>
          <w:sz w:val="24"/>
          <w:szCs w:val="24"/>
        </w:rPr>
        <w:lastRenderedPageBreak/>
        <w:t xml:space="preserve">Figure </w:t>
      </w:r>
      <w:proofErr w:type="gramStart"/>
      <w:r w:rsidRPr="00F40A26">
        <w:rPr>
          <w:rFonts w:ascii="Book Antiqua" w:hAnsi="Book Antiqua" w:cs="Times New Roman"/>
          <w:b/>
          <w:bCs/>
          <w:sz w:val="24"/>
          <w:szCs w:val="24"/>
        </w:rPr>
        <w:t>5</w:t>
      </w:r>
      <w:r w:rsidRPr="00F40A26">
        <w:rPr>
          <w:rFonts w:ascii="Book Antiqua" w:hAnsi="Book Antiqua" w:cs="Times New Roman"/>
          <w:b/>
          <w:bCs/>
          <w:sz w:val="24"/>
          <w:szCs w:val="24"/>
          <w:lang w:eastAsia="zh-CN"/>
        </w:rPr>
        <w:t xml:space="preserve"> </w:t>
      </w:r>
      <w:r w:rsidRPr="00F40A26">
        <w:rPr>
          <w:rFonts w:ascii="Book Antiqua" w:hAnsi="Book Antiqua" w:cs="Times New Roman"/>
          <w:b/>
          <w:bCs/>
          <w:sz w:val="24"/>
          <w:szCs w:val="24"/>
        </w:rPr>
        <w:t xml:space="preserve">Retrograde-outflow percutaneous </w:t>
      </w:r>
      <w:r w:rsidR="00F328CB" w:rsidRPr="00F40A26">
        <w:rPr>
          <w:rFonts w:ascii="Book Antiqua" w:hAnsi="Book Antiqua" w:cs="Times New Roman"/>
          <w:b/>
          <w:bCs/>
          <w:sz w:val="24"/>
          <w:szCs w:val="24"/>
        </w:rPr>
        <w:t>isolated hepatic perfusion</w:t>
      </w:r>
      <w:r w:rsidRPr="00F40A26">
        <w:rPr>
          <w:rFonts w:ascii="Book Antiqua" w:hAnsi="Book Antiqua" w:cs="Times New Roman"/>
          <w:b/>
          <w:bCs/>
          <w:sz w:val="24"/>
          <w:szCs w:val="24"/>
        </w:rPr>
        <w:t xml:space="preserve"> for multiple </w:t>
      </w:r>
      <w:r w:rsidR="00F328CB" w:rsidRPr="00F40A26">
        <w:rPr>
          <w:rFonts w:ascii="Book Antiqua" w:hAnsi="Book Antiqua" w:cs="Times New Roman"/>
          <w:b/>
          <w:bCs/>
          <w:sz w:val="24"/>
          <w:szCs w:val="24"/>
        </w:rPr>
        <w:t>hepatocellular carcinoma</w:t>
      </w:r>
      <w:r w:rsidRPr="00F40A26">
        <w:rPr>
          <w:rFonts w:ascii="Book Antiqua" w:hAnsi="Book Antiqua" w:cs="Times New Roman"/>
          <w:b/>
          <w:bCs/>
          <w:sz w:val="24"/>
          <w:szCs w:val="24"/>
        </w:rPr>
        <w:t>s in a 64-year-old man</w:t>
      </w:r>
      <w:proofErr w:type="gramEnd"/>
      <w:r w:rsidR="00F328CB" w:rsidRPr="00F40A26">
        <w:rPr>
          <w:rFonts w:ascii="Book Antiqua" w:hAnsi="Book Antiqua" w:cs="Times New Roman"/>
          <w:b/>
          <w:bCs/>
          <w:sz w:val="24"/>
          <w:szCs w:val="24"/>
          <w:lang w:eastAsia="zh-CN"/>
        </w:rPr>
        <w:t>.</w:t>
      </w:r>
      <w:r w:rsidR="00F328CB" w:rsidRPr="00F40A26">
        <w:rPr>
          <w:rFonts w:ascii="Book Antiqua" w:hAnsi="Book Antiqua" w:cs="Times New Roman"/>
          <w:noProof/>
          <w:sz w:val="24"/>
          <w:szCs w:val="24"/>
          <w:lang w:eastAsia="zh-CN"/>
        </w:rPr>
        <w:t xml:space="preserve"> </w:t>
      </w:r>
      <w:r w:rsidRPr="00F40A26">
        <w:rPr>
          <w:rFonts w:ascii="Book Antiqua" w:hAnsi="Book Antiqua" w:cs="Times New Roman"/>
          <w:noProof/>
          <w:sz w:val="24"/>
          <w:szCs w:val="24"/>
        </w:rPr>
        <w:t xml:space="preserve">A patients received 2 sessions of </w:t>
      </w:r>
      <w:r w:rsidR="00235903" w:rsidRPr="00F40A26">
        <w:rPr>
          <w:rFonts w:ascii="Book Antiqua" w:hAnsi="Book Antiqua" w:cs="Times New Roman"/>
          <w:noProof/>
          <w:sz w:val="24"/>
          <w:szCs w:val="24"/>
        </w:rPr>
        <w:t>transcatheter arterial chemoembolization</w:t>
      </w:r>
      <w:r w:rsidRPr="00F40A26">
        <w:rPr>
          <w:rFonts w:ascii="Book Antiqua" w:hAnsi="Book Antiqua" w:cs="Times New Roman"/>
          <w:noProof/>
          <w:sz w:val="24"/>
          <w:szCs w:val="24"/>
        </w:rPr>
        <w:t xml:space="preserve"> for multiple </w:t>
      </w:r>
      <w:r w:rsidRPr="00F40A26">
        <w:rPr>
          <w:rFonts w:ascii="Book Antiqua" w:hAnsi="Book Antiqua" w:cs="Times New Roman"/>
          <w:bCs/>
          <w:sz w:val="24"/>
          <w:szCs w:val="24"/>
        </w:rPr>
        <w:t>hepatocellular carcinomas</w:t>
      </w:r>
      <w:r w:rsidR="00235903" w:rsidRPr="00F40A26">
        <w:rPr>
          <w:rFonts w:ascii="Book Antiqua" w:hAnsi="Book Antiqua" w:cs="Times New Roman"/>
          <w:b/>
          <w:bCs/>
          <w:sz w:val="24"/>
          <w:szCs w:val="24"/>
        </w:rPr>
        <w:t xml:space="preserve"> </w:t>
      </w:r>
      <w:r w:rsidR="00235903" w:rsidRPr="00F40A26">
        <w:rPr>
          <w:rFonts w:ascii="Book Antiqua" w:hAnsi="Book Antiqua" w:cs="Times New Roman"/>
          <w:noProof/>
          <w:sz w:val="24"/>
          <w:szCs w:val="24"/>
          <w:lang w:eastAsia="zh-CN"/>
        </w:rPr>
        <w:t>(</w:t>
      </w:r>
      <w:r w:rsidRPr="00F40A26">
        <w:rPr>
          <w:rFonts w:ascii="Book Antiqua" w:hAnsi="Book Antiqua" w:cs="Times New Roman"/>
          <w:noProof/>
          <w:sz w:val="24"/>
          <w:szCs w:val="24"/>
        </w:rPr>
        <w:t>HCCs</w:t>
      </w:r>
      <w:r w:rsidR="00235903" w:rsidRPr="00F40A26">
        <w:rPr>
          <w:rFonts w:ascii="Book Antiqua" w:hAnsi="Book Antiqua" w:cs="Times New Roman"/>
          <w:noProof/>
          <w:sz w:val="24"/>
          <w:szCs w:val="24"/>
          <w:lang w:eastAsia="zh-CN"/>
        </w:rPr>
        <w:t>)</w:t>
      </w:r>
      <w:r w:rsidRPr="00F40A26">
        <w:rPr>
          <w:rFonts w:ascii="Book Antiqua" w:hAnsi="Book Antiqua" w:cs="Times New Roman"/>
          <w:noProof/>
          <w:sz w:val="24"/>
          <w:szCs w:val="24"/>
        </w:rPr>
        <w:t xml:space="preserve"> at other hospital. </w:t>
      </w:r>
      <w:r w:rsidR="00235903" w:rsidRPr="00F40A26">
        <w:rPr>
          <w:rFonts w:ascii="Book Antiqua" w:hAnsi="Book Antiqua" w:cs="Times New Roman"/>
          <w:noProof/>
          <w:sz w:val="24"/>
          <w:szCs w:val="24"/>
          <w:lang w:eastAsia="zh-CN"/>
        </w:rPr>
        <w:t>Computed tomography (</w:t>
      </w:r>
      <w:r w:rsidRPr="00F40A26">
        <w:rPr>
          <w:rFonts w:ascii="Book Antiqua" w:hAnsi="Book Antiqua" w:cs="Times New Roman"/>
          <w:noProof/>
          <w:sz w:val="24"/>
          <w:szCs w:val="24"/>
        </w:rPr>
        <w:t>CT</w:t>
      </w:r>
      <w:r w:rsidR="00235903" w:rsidRPr="00F40A26">
        <w:rPr>
          <w:rFonts w:ascii="Book Antiqua" w:hAnsi="Book Antiqua" w:cs="Times New Roman"/>
          <w:noProof/>
          <w:sz w:val="24"/>
          <w:szCs w:val="24"/>
          <w:lang w:eastAsia="zh-CN"/>
        </w:rPr>
        <w:t>)</w:t>
      </w:r>
      <w:r w:rsidRPr="00F40A26">
        <w:rPr>
          <w:rFonts w:ascii="Book Antiqua" w:hAnsi="Book Antiqua" w:cs="Times New Roman"/>
          <w:noProof/>
          <w:sz w:val="24"/>
          <w:szCs w:val="24"/>
        </w:rPr>
        <w:t xml:space="preserve"> during arterial portography (A) and hepatic arteriography (B) demonstrated </w:t>
      </w:r>
      <w:r w:rsidRPr="00F40A26">
        <w:rPr>
          <w:rFonts w:ascii="Book Antiqua" w:hAnsi="Book Antiqua" w:cs="Times New Roman"/>
          <w:bCs/>
          <w:sz w:val="24"/>
          <w:szCs w:val="24"/>
        </w:rPr>
        <w:t>multiple HCCs with portal vein invasion (arrows). Retrograde-outflow percutaneous isolated hepatic perfusion (C, arterial phase; D, venous phase) was performed twice (arrow of D indicated a portal branch), and e</w:t>
      </w:r>
      <w:r w:rsidRPr="00F40A26">
        <w:rPr>
          <w:rFonts w:ascii="Book Antiqua" w:hAnsi="Book Antiqua" w:cs="Times New Roman"/>
          <w:noProof/>
          <w:sz w:val="24"/>
          <w:szCs w:val="24"/>
        </w:rPr>
        <w:t>nhanced</w:t>
      </w:r>
      <w:r w:rsidRPr="00F40A26">
        <w:rPr>
          <w:rFonts w:ascii="Book Antiqua" w:hAnsi="Book Antiqua" w:cs="Times New Roman"/>
          <w:bCs/>
          <w:sz w:val="24"/>
          <w:szCs w:val="24"/>
        </w:rPr>
        <w:t xml:space="preserve"> CT imaging 6 mo after therapy (E) revealed that the HCC was diminished.</w:t>
      </w:r>
    </w:p>
    <w:p w:rsidR="00C67E47" w:rsidRPr="00F40A26" w:rsidRDefault="00C67E47">
      <w:pPr>
        <w:snapToGrid w:val="0"/>
        <w:spacing w:line="360" w:lineRule="auto"/>
        <w:rPr>
          <w:rFonts w:ascii="Book Antiqua" w:hAnsi="Book Antiqua" w:cs="Times New Roman"/>
          <w:bCs/>
          <w:sz w:val="24"/>
          <w:szCs w:val="24"/>
        </w:rPr>
      </w:pP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t>Figure 5A</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89880" cy="3991610"/>
            <wp:effectExtent l="0" t="0" r="0" b="0"/>
            <wp:docPr id="18" name="図 18" descr="Macintosh HD:Users:minetakahiko:Desktop:figure (1):FIGUR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inetakahiko:Desktop:figure (1):FIGURE:5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9880" cy="399161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5B</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044315"/>
            <wp:effectExtent l="0" t="0" r="0" b="0"/>
            <wp:docPr id="19" name="図 19" descr="Macintosh HD:Users:minetakahiko:Desktop:figure (1):FIGUR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inetakahiko:Desktop:figure (1):FIGURE:5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4044315"/>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5C</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370070"/>
            <wp:effectExtent l="0" t="0" r="0" b="0"/>
            <wp:docPr id="20" name="図 20" descr="Macintosh HD:Users:minetakahiko:Desktop:figure (1):FIGUR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inetakahiko:Desktop:figure (1):FIGURE:5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8770" cy="4370070"/>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5D</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422775"/>
            <wp:effectExtent l="0" t="0" r="0" b="0"/>
            <wp:docPr id="21" name="図 21" descr="Macintosh HD:Users:minetakahiko:Desktop:figure (1):FIGUR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minetakahiko:Desktop:figure (1):FIGURE:5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4422775"/>
                    </a:xfrm>
                    <a:prstGeom prst="rect">
                      <a:avLst/>
                    </a:prstGeom>
                    <a:noFill/>
                    <a:ln>
                      <a:noFill/>
                    </a:ln>
                  </pic:spPr>
                </pic:pic>
              </a:graphicData>
            </a:graphic>
          </wp:inline>
        </w:drawing>
      </w:r>
    </w:p>
    <w:p w:rsidR="00C67E47" w:rsidRPr="00F40A26" w:rsidRDefault="00F32DC0">
      <w:pPr>
        <w:widowControl/>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br w:type="page"/>
      </w:r>
    </w:p>
    <w:p w:rsidR="00C67E47" w:rsidRPr="00F40A26" w:rsidRDefault="00F32DC0">
      <w:pPr>
        <w:snapToGrid w:val="0"/>
        <w:spacing w:line="360" w:lineRule="auto"/>
        <w:rPr>
          <w:rFonts w:ascii="Book Antiqua" w:hAnsi="Book Antiqua" w:cs="Times New Roman"/>
          <w:bCs/>
          <w:sz w:val="24"/>
          <w:szCs w:val="24"/>
        </w:rPr>
      </w:pPr>
      <w:r w:rsidRPr="00F40A26">
        <w:rPr>
          <w:rFonts w:ascii="Book Antiqua" w:hAnsi="Book Antiqua" w:cs="Times New Roman"/>
          <w:bCs/>
          <w:sz w:val="24"/>
          <w:szCs w:val="24"/>
        </w:rPr>
        <w:lastRenderedPageBreak/>
        <w:t>Figure 5E</w:t>
      </w:r>
    </w:p>
    <w:p w:rsidR="00C67E47" w:rsidRPr="00F40A26" w:rsidRDefault="00120896">
      <w:pPr>
        <w:snapToGrid w:val="0"/>
        <w:spacing w:line="360" w:lineRule="auto"/>
        <w:rPr>
          <w:rFonts w:ascii="Book Antiqua" w:hAnsi="Book Antiqua" w:cs="Times New Roman"/>
          <w:bCs/>
          <w:sz w:val="24"/>
          <w:szCs w:val="24"/>
        </w:rPr>
      </w:pPr>
      <w:r w:rsidRPr="00F40A26">
        <w:rPr>
          <w:rFonts w:ascii="Book Antiqua" w:hAnsi="Book Antiqua" w:cs="Times New Roman"/>
          <w:bCs/>
          <w:noProof/>
          <w:sz w:val="24"/>
          <w:szCs w:val="24"/>
          <w:lang w:eastAsia="zh-CN"/>
        </w:rPr>
        <w:drawing>
          <wp:inline distT="0" distB="0" distL="0" distR="0">
            <wp:extent cx="5398770" cy="4255770"/>
            <wp:effectExtent l="0" t="0" r="0" b="0"/>
            <wp:docPr id="22" name="図 22" descr="Macintosh HD:Users:minetakahiko:Desktop:figure (1):FIGURE: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inetakahiko:Desktop:figure (1):FIGURE:5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8770" cy="4255770"/>
                    </a:xfrm>
                    <a:prstGeom prst="rect">
                      <a:avLst/>
                    </a:prstGeom>
                    <a:noFill/>
                    <a:ln>
                      <a:noFill/>
                    </a:ln>
                  </pic:spPr>
                </pic:pic>
              </a:graphicData>
            </a:graphic>
          </wp:inline>
        </w:drawing>
      </w:r>
    </w:p>
    <w:p w:rsidR="00C67E47" w:rsidRPr="00F40A26" w:rsidRDefault="00C67E47">
      <w:pPr>
        <w:snapToGrid w:val="0"/>
        <w:spacing w:line="360" w:lineRule="auto"/>
        <w:rPr>
          <w:rFonts w:ascii="Book Antiqua" w:hAnsi="Book Antiqua" w:cs="Times New Roman"/>
          <w:bCs/>
          <w:sz w:val="24"/>
          <w:szCs w:val="24"/>
          <w:lang w:eastAsia="zh-CN"/>
        </w:rPr>
      </w:pPr>
    </w:p>
    <w:p w:rsidR="00235903" w:rsidRPr="00F40A26" w:rsidRDefault="00235903">
      <w:pPr>
        <w:snapToGrid w:val="0"/>
        <w:spacing w:line="360" w:lineRule="auto"/>
        <w:rPr>
          <w:rFonts w:ascii="Book Antiqua" w:hAnsi="Book Antiqua" w:cs="Times New Roman"/>
          <w:bCs/>
          <w:sz w:val="24"/>
          <w:szCs w:val="24"/>
          <w:lang w:eastAsia="zh-CN"/>
        </w:rPr>
      </w:pPr>
    </w:p>
    <w:p w:rsidR="00235903" w:rsidRPr="00F40A26" w:rsidRDefault="00235903">
      <w:pPr>
        <w:widowControl/>
        <w:jc w:val="left"/>
        <w:rPr>
          <w:rFonts w:ascii="Book Antiqua" w:eastAsia="MS PGothic" w:hAnsi="Book Antiqua" w:cs="Times New Roman"/>
          <w:b/>
          <w:bCs/>
          <w:color w:val="000000"/>
          <w:kern w:val="0"/>
          <w:sz w:val="24"/>
          <w:szCs w:val="24"/>
        </w:rPr>
      </w:pPr>
      <w:r w:rsidRPr="00F40A26">
        <w:rPr>
          <w:rFonts w:ascii="Book Antiqua" w:eastAsia="MS PGothic" w:hAnsi="Book Antiqua" w:cs="Times New Roman"/>
          <w:b/>
          <w:bCs/>
          <w:color w:val="000000"/>
          <w:kern w:val="0"/>
          <w:sz w:val="24"/>
          <w:szCs w:val="24"/>
        </w:rPr>
        <w:br w:type="page"/>
      </w:r>
    </w:p>
    <w:p w:rsidR="00235903" w:rsidRPr="00F40A26" w:rsidRDefault="00235903" w:rsidP="00235903">
      <w:pPr>
        <w:snapToGrid w:val="0"/>
        <w:spacing w:line="360" w:lineRule="auto"/>
        <w:rPr>
          <w:rFonts w:ascii="Book Antiqua" w:eastAsia="MS PGothic" w:hAnsi="Book Antiqua" w:cs="Times New Roman"/>
          <w:b/>
          <w:bCs/>
          <w:color w:val="000000"/>
          <w:kern w:val="0"/>
          <w:sz w:val="24"/>
          <w:szCs w:val="24"/>
        </w:rPr>
      </w:pPr>
      <w:r w:rsidRPr="00F40A26">
        <w:rPr>
          <w:rFonts w:ascii="Book Antiqua" w:eastAsia="MS PGothic" w:hAnsi="Book Antiqua" w:cs="Times New Roman"/>
          <w:b/>
          <w:bCs/>
          <w:color w:val="000000"/>
          <w:kern w:val="0"/>
          <w:sz w:val="24"/>
          <w:szCs w:val="24"/>
        </w:rPr>
        <w:lastRenderedPageBreak/>
        <w:t>Table 1</w:t>
      </w:r>
      <w:r w:rsidRPr="00F40A26">
        <w:rPr>
          <w:rFonts w:ascii="Book Antiqua" w:hAnsi="Book Antiqua" w:cs="Times New Roman"/>
          <w:b/>
          <w:bCs/>
          <w:color w:val="000000"/>
          <w:kern w:val="0"/>
          <w:sz w:val="24"/>
          <w:szCs w:val="24"/>
          <w:lang w:eastAsia="zh-CN"/>
        </w:rPr>
        <w:t xml:space="preserve"> </w:t>
      </w:r>
      <w:r w:rsidRPr="00F40A26">
        <w:rPr>
          <w:rFonts w:ascii="Book Antiqua" w:eastAsia="MS PGothic" w:hAnsi="Book Antiqua" w:cs="Times New Roman"/>
          <w:b/>
          <w:bCs/>
          <w:color w:val="000000"/>
          <w:kern w:val="0"/>
          <w:sz w:val="24"/>
          <w:szCs w:val="24"/>
        </w:rPr>
        <w:t>Barcelona-clinic liver cancer classification in patients diagnosed with hepatocellular carcinoma</w:t>
      </w:r>
    </w:p>
    <w:tbl>
      <w:tblPr>
        <w:tblW w:w="8237" w:type="dxa"/>
        <w:tblInd w:w="84" w:type="dxa"/>
        <w:tblCellMar>
          <w:left w:w="99" w:type="dxa"/>
          <w:right w:w="99" w:type="dxa"/>
        </w:tblCellMar>
        <w:tblLook w:val="04A0" w:firstRow="1" w:lastRow="0" w:firstColumn="1" w:lastColumn="0" w:noHBand="0" w:noVBand="1"/>
      </w:tblPr>
      <w:tblGrid>
        <w:gridCol w:w="2709"/>
        <w:gridCol w:w="5528"/>
      </w:tblGrid>
      <w:tr w:rsidR="00235903" w:rsidRPr="00F40A26" w:rsidTr="00120896">
        <w:trPr>
          <w:trHeight w:val="360"/>
        </w:trPr>
        <w:tc>
          <w:tcPr>
            <w:tcW w:w="2709" w:type="dxa"/>
            <w:tcBorders>
              <w:top w:val="single" w:sz="4" w:space="0" w:color="auto"/>
              <w:left w:val="nil"/>
              <w:bottom w:val="single" w:sz="8" w:space="0" w:color="auto"/>
              <w:right w:val="nil"/>
            </w:tcBorders>
            <w:shd w:val="clear" w:color="auto" w:fill="auto"/>
            <w:noWrap/>
            <w:vAlign w:val="center"/>
            <w:hideMark/>
          </w:tcPr>
          <w:p w:rsidR="00235903" w:rsidRPr="00F40A26" w:rsidRDefault="00235903" w:rsidP="00120896">
            <w:pPr>
              <w:widowControl/>
              <w:snapToGrid w:val="0"/>
              <w:spacing w:line="360" w:lineRule="auto"/>
              <w:rPr>
                <w:rFonts w:ascii="Book Antiqua" w:eastAsia="MS PGothic" w:hAnsi="Book Antiqua" w:cs="Times New Roman"/>
                <w:b/>
                <w:color w:val="000000"/>
                <w:kern w:val="0"/>
                <w:sz w:val="24"/>
                <w:szCs w:val="24"/>
              </w:rPr>
            </w:pPr>
            <w:r w:rsidRPr="00F40A26">
              <w:rPr>
                <w:rFonts w:ascii="Book Antiqua" w:eastAsia="MS PGothic" w:hAnsi="Book Antiqua" w:cs="Times New Roman"/>
                <w:b/>
                <w:color w:val="000000"/>
                <w:kern w:val="0"/>
                <w:sz w:val="24"/>
                <w:szCs w:val="24"/>
              </w:rPr>
              <w:t>Stage</w:t>
            </w:r>
          </w:p>
        </w:tc>
        <w:tc>
          <w:tcPr>
            <w:tcW w:w="5528" w:type="dxa"/>
            <w:tcBorders>
              <w:top w:val="single" w:sz="4" w:space="0" w:color="auto"/>
              <w:left w:val="nil"/>
              <w:bottom w:val="single" w:sz="8" w:space="0" w:color="auto"/>
              <w:right w:val="nil"/>
            </w:tcBorders>
            <w:shd w:val="clear" w:color="auto" w:fill="auto"/>
            <w:noWrap/>
            <w:vAlign w:val="center"/>
            <w:hideMark/>
          </w:tcPr>
          <w:p w:rsidR="00235903" w:rsidRPr="00F40A26" w:rsidRDefault="00235903" w:rsidP="00120896">
            <w:pPr>
              <w:widowControl/>
              <w:snapToGrid w:val="0"/>
              <w:spacing w:line="360" w:lineRule="auto"/>
              <w:jc w:val="center"/>
              <w:rPr>
                <w:rFonts w:ascii="Book Antiqua" w:hAnsi="Book Antiqua" w:cs="Times New Roman"/>
                <w:b/>
                <w:color w:val="000000"/>
                <w:kern w:val="0"/>
                <w:sz w:val="24"/>
                <w:szCs w:val="24"/>
                <w:lang w:eastAsia="zh-CN"/>
              </w:rPr>
            </w:pPr>
            <w:r w:rsidRPr="00F40A26">
              <w:rPr>
                <w:rFonts w:ascii="Book Antiqua" w:eastAsia="MS PGothic" w:hAnsi="Book Antiqua" w:cs="Times New Roman"/>
                <w:b/>
                <w:color w:val="000000"/>
                <w:kern w:val="0"/>
                <w:sz w:val="24"/>
                <w:szCs w:val="24"/>
              </w:rPr>
              <w:t>Description</w:t>
            </w:r>
          </w:p>
        </w:tc>
      </w:tr>
      <w:tr w:rsidR="00235903" w:rsidRPr="00F40A26" w:rsidTr="00120896">
        <w:trPr>
          <w:trHeight w:val="360"/>
        </w:trPr>
        <w:tc>
          <w:tcPr>
            <w:tcW w:w="2709" w:type="dxa"/>
            <w:tcBorders>
              <w:top w:val="nil"/>
              <w:left w:val="nil"/>
              <w:bottom w:val="nil"/>
              <w:right w:val="nil"/>
            </w:tcBorders>
            <w:shd w:val="clear" w:color="auto" w:fill="auto"/>
            <w:noWrap/>
            <w:vAlign w:val="center"/>
            <w:hideMark/>
          </w:tcPr>
          <w:p w:rsidR="00235903" w:rsidRPr="00F40A26" w:rsidRDefault="00235903" w:rsidP="00120896">
            <w:pPr>
              <w:widowControl/>
              <w:snapToGrid w:val="0"/>
              <w:spacing w:line="360" w:lineRule="auto"/>
              <w:rPr>
                <w:rFonts w:ascii="Book Antiqua" w:eastAsia="MS PGothic" w:hAnsi="Book Antiqua" w:cs="Times New Roman"/>
                <w:color w:val="000000"/>
                <w:kern w:val="0"/>
                <w:sz w:val="24"/>
                <w:szCs w:val="24"/>
              </w:rPr>
            </w:pPr>
            <w:r w:rsidRPr="00F40A26">
              <w:rPr>
                <w:rFonts w:ascii="Book Antiqua" w:eastAsia="MS PGothic" w:hAnsi="Book Antiqua" w:cs="Times New Roman"/>
                <w:color w:val="000000"/>
                <w:kern w:val="0"/>
                <w:sz w:val="24"/>
                <w:szCs w:val="24"/>
              </w:rPr>
              <w:t>Very early</w:t>
            </w:r>
          </w:p>
        </w:tc>
        <w:tc>
          <w:tcPr>
            <w:tcW w:w="5528" w:type="dxa"/>
            <w:tcBorders>
              <w:top w:val="nil"/>
              <w:left w:val="nil"/>
              <w:bottom w:val="nil"/>
              <w:right w:val="nil"/>
            </w:tcBorders>
            <w:shd w:val="clear" w:color="auto" w:fill="auto"/>
            <w:noWrap/>
            <w:vAlign w:val="center"/>
            <w:hideMark/>
          </w:tcPr>
          <w:p w:rsidR="00235903" w:rsidRPr="00F40A26" w:rsidRDefault="00235903" w:rsidP="00120896">
            <w:pPr>
              <w:widowControl/>
              <w:snapToGrid w:val="0"/>
              <w:spacing w:line="360" w:lineRule="auto"/>
              <w:jc w:val="center"/>
              <w:rPr>
                <w:rFonts w:ascii="Book Antiqua" w:eastAsia="MS PGothic" w:hAnsi="Book Antiqua" w:cs="Times New Roman"/>
                <w:color w:val="000000"/>
                <w:kern w:val="0"/>
                <w:sz w:val="24"/>
                <w:szCs w:val="24"/>
              </w:rPr>
            </w:pPr>
            <w:r w:rsidRPr="00F40A26">
              <w:rPr>
                <w:rFonts w:ascii="Book Antiqua" w:eastAsia="MS PGothic" w:hAnsi="Book Antiqua" w:cs="Times New Roman"/>
                <w:color w:val="000000"/>
                <w:kern w:val="0"/>
                <w:sz w:val="24"/>
                <w:szCs w:val="24"/>
              </w:rPr>
              <w:t>PS 0, Child-Pugh A, single HCC &lt; 2 cm</w:t>
            </w:r>
          </w:p>
        </w:tc>
      </w:tr>
      <w:tr w:rsidR="00235903" w:rsidRPr="00F40A26" w:rsidTr="00120896">
        <w:trPr>
          <w:trHeight w:val="300"/>
        </w:trPr>
        <w:tc>
          <w:tcPr>
            <w:tcW w:w="2709" w:type="dxa"/>
            <w:tcBorders>
              <w:top w:val="nil"/>
              <w:left w:val="nil"/>
              <w:bottom w:val="nil"/>
              <w:right w:val="nil"/>
            </w:tcBorders>
            <w:shd w:val="clear" w:color="auto" w:fill="auto"/>
            <w:noWrap/>
            <w:vAlign w:val="center"/>
            <w:hideMark/>
          </w:tcPr>
          <w:p w:rsidR="00235903" w:rsidRPr="00F40A26" w:rsidRDefault="00235903" w:rsidP="00120896">
            <w:pPr>
              <w:widowControl/>
              <w:snapToGrid w:val="0"/>
              <w:spacing w:line="360" w:lineRule="auto"/>
              <w:rPr>
                <w:rFonts w:ascii="Book Antiqua" w:eastAsia="MS PGothic" w:hAnsi="Book Antiqua" w:cs="Times New Roman"/>
                <w:color w:val="000000"/>
                <w:kern w:val="0"/>
                <w:sz w:val="24"/>
                <w:szCs w:val="24"/>
              </w:rPr>
            </w:pPr>
            <w:r w:rsidRPr="00F40A26">
              <w:rPr>
                <w:rFonts w:ascii="Book Antiqua" w:eastAsia="MS PGothic" w:hAnsi="Book Antiqua" w:cs="Times New Roman"/>
                <w:color w:val="000000"/>
                <w:kern w:val="0"/>
                <w:sz w:val="24"/>
                <w:szCs w:val="24"/>
              </w:rPr>
              <w:t>Early</w:t>
            </w:r>
          </w:p>
        </w:tc>
        <w:tc>
          <w:tcPr>
            <w:tcW w:w="5528" w:type="dxa"/>
            <w:tcBorders>
              <w:top w:val="nil"/>
              <w:left w:val="nil"/>
              <w:bottom w:val="nil"/>
              <w:right w:val="nil"/>
            </w:tcBorders>
            <w:shd w:val="clear" w:color="auto" w:fill="auto"/>
            <w:noWrap/>
            <w:vAlign w:val="center"/>
            <w:hideMark/>
          </w:tcPr>
          <w:p w:rsidR="00235903" w:rsidRPr="00F40A26" w:rsidRDefault="00235903" w:rsidP="00120896">
            <w:pPr>
              <w:widowControl/>
              <w:snapToGrid w:val="0"/>
              <w:spacing w:line="360" w:lineRule="auto"/>
              <w:jc w:val="center"/>
              <w:rPr>
                <w:rFonts w:ascii="Book Antiqua" w:eastAsia="MS PGothic" w:hAnsi="Book Antiqua" w:cs="Times New Roman"/>
                <w:color w:val="000000"/>
                <w:kern w:val="0"/>
                <w:sz w:val="24"/>
                <w:szCs w:val="24"/>
              </w:rPr>
            </w:pPr>
            <w:r w:rsidRPr="00F40A26">
              <w:rPr>
                <w:rFonts w:ascii="Book Antiqua" w:eastAsia="MS PGothic" w:hAnsi="Book Antiqua" w:cs="Times New Roman"/>
                <w:color w:val="000000"/>
                <w:kern w:val="0"/>
                <w:sz w:val="24"/>
                <w:szCs w:val="24"/>
              </w:rPr>
              <w:t>PS 0, Child-Pugh A-B, single HCC or 3 nodules &lt; 3 cm</w:t>
            </w:r>
          </w:p>
        </w:tc>
      </w:tr>
      <w:tr w:rsidR="00235903" w:rsidRPr="00F40A26" w:rsidTr="00120896">
        <w:trPr>
          <w:trHeight w:val="300"/>
        </w:trPr>
        <w:tc>
          <w:tcPr>
            <w:tcW w:w="2709" w:type="dxa"/>
            <w:tcBorders>
              <w:top w:val="nil"/>
              <w:left w:val="nil"/>
              <w:bottom w:val="nil"/>
              <w:right w:val="nil"/>
            </w:tcBorders>
            <w:shd w:val="clear" w:color="auto" w:fill="auto"/>
            <w:noWrap/>
            <w:vAlign w:val="center"/>
            <w:hideMark/>
          </w:tcPr>
          <w:p w:rsidR="00235903" w:rsidRPr="00F40A26" w:rsidRDefault="00235903" w:rsidP="00120896">
            <w:pPr>
              <w:widowControl/>
              <w:snapToGrid w:val="0"/>
              <w:spacing w:line="360" w:lineRule="auto"/>
              <w:rPr>
                <w:rFonts w:ascii="Book Antiqua" w:eastAsia="MS PGothic" w:hAnsi="Book Antiqua" w:cs="Times New Roman"/>
                <w:color w:val="000000"/>
                <w:kern w:val="0"/>
                <w:sz w:val="24"/>
                <w:szCs w:val="24"/>
              </w:rPr>
            </w:pPr>
            <w:r w:rsidRPr="00F40A26">
              <w:rPr>
                <w:rFonts w:ascii="Book Antiqua" w:eastAsia="MS PGothic" w:hAnsi="Book Antiqua" w:cs="Times New Roman"/>
                <w:color w:val="000000"/>
                <w:kern w:val="0"/>
                <w:sz w:val="24"/>
                <w:szCs w:val="24"/>
              </w:rPr>
              <w:t>Intermediate</w:t>
            </w:r>
          </w:p>
        </w:tc>
        <w:tc>
          <w:tcPr>
            <w:tcW w:w="5528" w:type="dxa"/>
            <w:tcBorders>
              <w:top w:val="nil"/>
              <w:left w:val="nil"/>
              <w:bottom w:val="nil"/>
              <w:right w:val="nil"/>
            </w:tcBorders>
            <w:shd w:val="clear" w:color="auto" w:fill="auto"/>
            <w:noWrap/>
            <w:vAlign w:val="center"/>
            <w:hideMark/>
          </w:tcPr>
          <w:p w:rsidR="00235903" w:rsidRPr="00F40A26" w:rsidRDefault="00235903" w:rsidP="00120896">
            <w:pPr>
              <w:widowControl/>
              <w:snapToGrid w:val="0"/>
              <w:spacing w:line="360" w:lineRule="auto"/>
              <w:jc w:val="center"/>
              <w:rPr>
                <w:rFonts w:ascii="Book Antiqua" w:eastAsia="MS PGothic" w:hAnsi="Book Antiqua" w:cs="Times New Roman"/>
                <w:color w:val="000000"/>
                <w:kern w:val="0"/>
                <w:sz w:val="24"/>
                <w:szCs w:val="24"/>
              </w:rPr>
            </w:pPr>
            <w:r w:rsidRPr="00F40A26">
              <w:rPr>
                <w:rFonts w:ascii="Book Antiqua" w:eastAsia="MS PGothic" w:hAnsi="Book Antiqua" w:cs="Times New Roman"/>
                <w:color w:val="000000"/>
                <w:kern w:val="0"/>
                <w:sz w:val="24"/>
                <w:szCs w:val="24"/>
              </w:rPr>
              <w:t>PS 0, Child-Pugh A-B, multinodular HCC</w:t>
            </w:r>
          </w:p>
        </w:tc>
      </w:tr>
      <w:tr w:rsidR="00235903" w:rsidRPr="00F40A26" w:rsidTr="00120896">
        <w:trPr>
          <w:trHeight w:val="300"/>
        </w:trPr>
        <w:tc>
          <w:tcPr>
            <w:tcW w:w="2709" w:type="dxa"/>
            <w:tcBorders>
              <w:top w:val="nil"/>
              <w:left w:val="nil"/>
              <w:bottom w:val="nil"/>
              <w:right w:val="nil"/>
            </w:tcBorders>
            <w:shd w:val="clear" w:color="auto" w:fill="auto"/>
            <w:noWrap/>
            <w:vAlign w:val="center"/>
            <w:hideMark/>
          </w:tcPr>
          <w:p w:rsidR="00235903" w:rsidRPr="00F40A26" w:rsidRDefault="00235903" w:rsidP="00120896">
            <w:pPr>
              <w:widowControl/>
              <w:snapToGrid w:val="0"/>
              <w:spacing w:line="360" w:lineRule="auto"/>
              <w:rPr>
                <w:rFonts w:ascii="Book Antiqua" w:eastAsia="MS PGothic" w:hAnsi="Book Antiqua" w:cs="Times New Roman"/>
                <w:color w:val="000000"/>
                <w:kern w:val="0"/>
                <w:sz w:val="24"/>
                <w:szCs w:val="24"/>
              </w:rPr>
            </w:pPr>
            <w:r w:rsidRPr="00F40A26">
              <w:rPr>
                <w:rFonts w:ascii="Book Antiqua" w:eastAsia="MS PGothic" w:hAnsi="Book Antiqua" w:cs="Times New Roman"/>
                <w:color w:val="000000"/>
                <w:kern w:val="0"/>
                <w:sz w:val="24"/>
                <w:szCs w:val="24"/>
              </w:rPr>
              <w:t>Advanced</w:t>
            </w:r>
          </w:p>
        </w:tc>
        <w:tc>
          <w:tcPr>
            <w:tcW w:w="5528" w:type="dxa"/>
            <w:tcBorders>
              <w:top w:val="nil"/>
              <w:left w:val="nil"/>
              <w:bottom w:val="nil"/>
              <w:right w:val="nil"/>
            </w:tcBorders>
            <w:shd w:val="clear" w:color="auto" w:fill="auto"/>
            <w:noWrap/>
            <w:vAlign w:val="center"/>
            <w:hideMark/>
          </w:tcPr>
          <w:p w:rsidR="00235903" w:rsidRPr="00F40A26" w:rsidRDefault="00235903" w:rsidP="00120896">
            <w:pPr>
              <w:widowControl/>
              <w:snapToGrid w:val="0"/>
              <w:spacing w:line="360" w:lineRule="auto"/>
              <w:jc w:val="center"/>
              <w:rPr>
                <w:rFonts w:ascii="Book Antiqua" w:eastAsia="MS PGothic" w:hAnsi="Book Antiqua" w:cs="Times New Roman"/>
                <w:color w:val="000000"/>
                <w:kern w:val="0"/>
                <w:sz w:val="24"/>
                <w:szCs w:val="24"/>
              </w:rPr>
            </w:pPr>
            <w:r w:rsidRPr="00F40A26">
              <w:rPr>
                <w:rFonts w:ascii="Book Antiqua" w:eastAsia="MS PGothic" w:hAnsi="Book Antiqua" w:cs="Times New Roman"/>
                <w:color w:val="000000"/>
                <w:kern w:val="0"/>
                <w:sz w:val="24"/>
                <w:szCs w:val="24"/>
              </w:rPr>
              <w:t>PS 1-2, Child-Pugh A-B, portal neoplastic invasion,</w:t>
            </w:r>
          </w:p>
        </w:tc>
      </w:tr>
      <w:tr w:rsidR="00235903" w:rsidRPr="00F40A26" w:rsidTr="00120896">
        <w:trPr>
          <w:trHeight w:val="300"/>
        </w:trPr>
        <w:tc>
          <w:tcPr>
            <w:tcW w:w="2709" w:type="dxa"/>
            <w:tcBorders>
              <w:top w:val="nil"/>
              <w:left w:val="nil"/>
              <w:bottom w:val="nil"/>
              <w:right w:val="nil"/>
            </w:tcBorders>
            <w:shd w:val="clear" w:color="auto" w:fill="auto"/>
            <w:noWrap/>
            <w:vAlign w:val="center"/>
            <w:hideMark/>
          </w:tcPr>
          <w:p w:rsidR="00235903" w:rsidRPr="00F40A26" w:rsidRDefault="00235903" w:rsidP="00120896">
            <w:pPr>
              <w:widowControl/>
              <w:snapToGrid w:val="0"/>
              <w:spacing w:line="360" w:lineRule="auto"/>
              <w:rPr>
                <w:rFonts w:ascii="Book Antiqua" w:eastAsia="MS PGothic" w:hAnsi="Book Antiqua" w:cs="Times New Roman"/>
                <w:color w:val="000000"/>
                <w:kern w:val="0"/>
                <w:sz w:val="24"/>
                <w:szCs w:val="24"/>
              </w:rPr>
            </w:pPr>
          </w:p>
        </w:tc>
        <w:tc>
          <w:tcPr>
            <w:tcW w:w="5528" w:type="dxa"/>
            <w:tcBorders>
              <w:top w:val="nil"/>
              <w:left w:val="nil"/>
              <w:bottom w:val="nil"/>
              <w:right w:val="nil"/>
            </w:tcBorders>
            <w:shd w:val="clear" w:color="auto" w:fill="auto"/>
            <w:noWrap/>
            <w:vAlign w:val="center"/>
            <w:hideMark/>
          </w:tcPr>
          <w:p w:rsidR="00235903" w:rsidRPr="00F40A26" w:rsidRDefault="00235903" w:rsidP="00120896">
            <w:pPr>
              <w:widowControl/>
              <w:snapToGrid w:val="0"/>
              <w:spacing w:line="360" w:lineRule="auto"/>
              <w:jc w:val="center"/>
              <w:rPr>
                <w:rFonts w:ascii="Book Antiqua" w:eastAsia="MS PGothic" w:hAnsi="Book Antiqua" w:cs="Times New Roman"/>
                <w:color w:val="000000"/>
                <w:kern w:val="0"/>
                <w:sz w:val="24"/>
                <w:szCs w:val="24"/>
              </w:rPr>
            </w:pPr>
            <w:r w:rsidRPr="00F40A26">
              <w:rPr>
                <w:rFonts w:ascii="Book Antiqua" w:eastAsia="MS PGothic" w:hAnsi="Book Antiqua" w:cs="Times New Roman"/>
                <w:color w:val="000000"/>
                <w:kern w:val="0"/>
                <w:sz w:val="24"/>
                <w:szCs w:val="24"/>
              </w:rPr>
              <w:t>nodal metastases, distant metastases</w:t>
            </w:r>
          </w:p>
        </w:tc>
      </w:tr>
      <w:tr w:rsidR="00235903" w:rsidRPr="00F40A26" w:rsidTr="00120896">
        <w:trPr>
          <w:trHeight w:val="360"/>
        </w:trPr>
        <w:tc>
          <w:tcPr>
            <w:tcW w:w="2709" w:type="dxa"/>
            <w:tcBorders>
              <w:top w:val="nil"/>
              <w:left w:val="nil"/>
              <w:bottom w:val="single" w:sz="8" w:space="0" w:color="auto"/>
              <w:right w:val="nil"/>
            </w:tcBorders>
            <w:shd w:val="clear" w:color="auto" w:fill="auto"/>
            <w:noWrap/>
            <w:vAlign w:val="center"/>
            <w:hideMark/>
          </w:tcPr>
          <w:p w:rsidR="00235903" w:rsidRPr="00F40A26" w:rsidRDefault="00235903" w:rsidP="00120896">
            <w:pPr>
              <w:widowControl/>
              <w:snapToGrid w:val="0"/>
              <w:spacing w:line="360" w:lineRule="auto"/>
              <w:rPr>
                <w:rFonts w:ascii="Book Antiqua" w:eastAsia="MS PGothic" w:hAnsi="Book Antiqua" w:cs="Times New Roman"/>
                <w:color w:val="000000"/>
                <w:kern w:val="0"/>
                <w:sz w:val="24"/>
                <w:szCs w:val="24"/>
              </w:rPr>
            </w:pPr>
            <w:r w:rsidRPr="00F40A26">
              <w:rPr>
                <w:rFonts w:ascii="Book Antiqua" w:eastAsia="MS PGothic" w:hAnsi="Book Antiqua" w:cs="Times New Roman"/>
                <w:color w:val="000000"/>
                <w:kern w:val="0"/>
                <w:sz w:val="24"/>
                <w:szCs w:val="24"/>
              </w:rPr>
              <w:t>End-stage</w:t>
            </w:r>
          </w:p>
        </w:tc>
        <w:tc>
          <w:tcPr>
            <w:tcW w:w="5528" w:type="dxa"/>
            <w:tcBorders>
              <w:top w:val="nil"/>
              <w:left w:val="nil"/>
              <w:bottom w:val="single" w:sz="8" w:space="0" w:color="auto"/>
              <w:right w:val="nil"/>
            </w:tcBorders>
            <w:shd w:val="clear" w:color="auto" w:fill="auto"/>
            <w:noWrap/>
            <w:vAlign w:val="center"/>
            <w:hideMark/>
          </w:tcPr>
          <w:p w:rsidR="00235903" w:rsidRPr="00F40A26" w:rsidRDefault="00235903" w:rsidP="00120896">
            <w:pPr>
              <w:widowControl/>
              <w:snapToGrid w:val="0"/>
              <w:spacing w:line="360" w:lineRule="auto"/>
              <w:jc w:val="center"/>
              <w:rPr>
                <w:rFonts w:ascii="Book Antiqua" w:eastAsia="MS PGothic" w:hAnsi="Book Antiqua" w:cs="Times New Roman"/>
                <w:color w:val="000000"/>
                <w:kern w:val="0"/>
                <w:sz w:val="24"/>
                <w:szCs w:val="24"/>
              </w:rPr>
            </w:pPr>
            <w:r w:rsidRPr="00F40A26">
              <w:rPr>
                <w:rFonts w:ascii="Book Antiqua" w:eastAsia="MS PGothic" w:hAnsi="Book Antiqua" w:cs="Times New Roman"/>
                <w:color w:val="000000"/>
                <w:kern w:val="0"/>
                <w:sz w:val="24"/>
                <w:szCs w:val="24"/>
              </w:rPr>
              <w:t>PS &gt; 2, Child-Pugh C</w:t>
            </w:r>
          </w:p>
        </w:tc>
      </w:tr>
    </w:tbl>
    <w:p w:rsidR="00235903" w:rsidRPr="00F40A26" w:rsidRDefault="00235903" w:rsidP="00235903">
      <w:pPr>
        <w:snapToGrid w:val="0"/>
        <w:spacing w:line="360" w:lineRule="auto"/>
        <w:rPr>
          <w:rFonts w:ascii="Book Antiqua" w:hAnsi="Book Antiqua" w:cs="Times New Roman"/>
          <w:color w:val="000000"/>
          <w:kern w:val="0"/>
          <w:sz w:val="24"/>
          <w:szCs w:val="24"/>
          <w:lang w:eastAsia="zh-CN"/>
        </w:rPr>
      </w:pPr>
      <w:r w:rsidRPr="00F40A26">
        <w:rPr>
          <w:rFonts w:ascii="Book Antiqua" w:eastAsia="MS PGothic" w:hAnsi="Book Antiqua" w:cs="Times New Roman"/>
          <w:color w:val="000000"/>
          <w:kern w:val="0"/>
          <w:sz w:val="24"/>
          <w:szCs w:val="24"/>
        </w:rPr>
        <w:t xml:space="preserve">This classification is in accordance with that outlined in reference </w:t>
      </w:r>
      <w:r w:rsidRPr="00F40A26">
        <w:rPr>
          <w:rFonts w:ascii="Book Antiqua" w:hAnsi="Book Antiqua" w:cs="Times New Roman"/>
          <w:color w:val="000000"/>
          <w:kern w:val="0"/>
          <w:sz w:val="24"/>
          <w:szCs w:val="24"/>
          <w:lang w:eastAsia="zh-CN"/>
        </w:rPr>
        <w:t>[</w:t>
      </w:r>
      <w:r w:rsidRPr="00F40A26">
        <w:rPr>
          <w:rFonts w:ascii="Book Antiqua" w:eastAsia="MS PGothic" w:hAnsi="Book Antiqua" w:cs="Times New Roman"/>
          <w:color w:val="000000"/>
          <w:kern w:val="0"/>
          <w:sz w:val="24"/>
          <w:szCs w:val="24"/>
        </w:rPr>
        <w:t>2</w:t>
      </w:r>
      <w:r w:rsidRPr="00F40A26">
        <w:rPr>
          <w:rFonts w:ascii="Book Antiqua" w:hAnsi="Book Antiqua" w:cs="Times New Roman"/>
          <w:color w:val="000000"/>
          <w:kern w:val="0"/>
          <w:sz w:val="24"/>
          <w:szCs w:val="24"/>
          <w:lang w:eastAsia="zh-CN"/>
        </w:rPr>
        <w:t>]</w:t>
      </w:r>
      <w:r w:rsidRPr="00F40A26">
        <w:rPr>
          <w:rFonts w:ascii="Book Antiqua" w:eastAsia="MS PGothic" w:hAnsi="Book Antiqua" w:cs="Times New Roman"/>
          <w:color w:val="000000"/>
          <w:kern w:val="0"/>
          <w:sz w:val="24"/>
          <w:szCs w:val="24"/>
        </w:rPr>
        <w:t>.</w:t>
      </w:r>
      <w:r w:rsidRPr="00F40A26">
        <w:rPr>
          <w:rFonts w:ascii="Book Antiqua" w:hAnsi="Book Antiqua" w:cs="Times New Roman"/>
          <w:color w:val="000000"/>
          <w:kern w:val="0"/>
          <w:sz w:val="24"/>
          <w:szCs w:val="24"/>
          <w:lang w:eastAsia="zh-CN"/>
        </w:rPr>
        <w:t xml:space="preserve"> </w:t>
      </w:r>
      <w:r w:rsidRPr="00F40A26">
        <w:rPr>
          <w:rFonts w:ascii="Book Antiqua" w:eastAsia="MS PGothic" w:hAnsi="Book Antiqua" w:cs="Times New Roman"/>
          <w:color w:val="000000"/>
          <w:kern w:val="0"/>
          <w:sz w:val="24"/>
          <w:szCs w:val="24"/>
        </w:rPr>
        <w:t>PS</w:t>
      </w:r>
      <w:r w:rsidRPr="00F40A26">
        <w:rPr>
          <w:rFonts w:ascii="Book Antiqua" w:hAnsi="Book Antiqua" w:cs="Times New Roman"/>
          <w:color w:val="000000"/>
          <w:kern w:val="0"/>
          <w:sz w:val="24"/>
          <w:szCs w:val="24"/>
          <w:lang w:eastAsia="zh-CN"/>
        </w:rPr>
        <w:t>:</w:t>
      </w:r>
      <w:r w:rsidRPr="00F40A26">
        <w:rPr>
          <w:rFonts w:ascii="Book Antiqua" w:eastAsia="MS PGothic" w:hAnsi="Book Antiqua" w:cs="Times New Roman"/>
          <w:color w:val="000000"/>
          <w:kern w:val="0"/>
          <w:sz w:val="24"/>
          <w:szCs w:val="24"/>
        </w:rPr>
        <w:t xml:space="preserve"> Performance status</w:t>
      </w:r>
      <w:r w:rsidRPr="00F40A26">
        <w:rPr>
          <w:rFonts w:ascii="Book Antiqua" w:hAnsi="Book Antiqua" w:cs="Times New Roman"/>
          <w:color w:val="000000"/>
          <w:kern w:val="0"/>
          <w:sz w:val="24"/>
          <w:szCs w:val="24"/>
          <w:lang w:eastAsia="zh-CN"/>
        </w:rPr>
        <w:t>; HCC: Hepatocellular carcinoma.</w:t>
      </w:r>
    </w:p>
    <w:p w:rsidR="00235903" w:rsidRPr="00F40A26" w:rsidRDefault="00235903">
      <w:pPr>
        <w:snapToGrid w:val="0"/>
        <w:spacing w:line="360" w:lineRule="auto"/>
        <w:rPr>
          <w:rFonts w:ascii="Book Antiqua" w:hAnsi="Book Antiqua" w:cs="Times New Roman"/>
          <w:bCs/>
          <w:sz w:val="24"/>
          <w:szCs w:val="24"/>
          <w:lang w:eastAsia="zh-CN"/>
        </w:rPr>
      </w:pPr>
    </w:p>
    <w:sectPr w:rsidR="00235903" w:rsidRPr="00F40A26" w:rsidSect="00C427C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C6B" w:rsidRDefault="00E93C6B" w:rsidP="004B6484">
      <w:r>
        <w:separator/>
      </w:r>
    </w:p>
  </w:endnote>
  <w:endnote w:type="continuationSeparator" w:id="0">
    <w:p w:rsidR="00E93C6B" w:rsidRDefault="00E93C6B" w:rsidP="004B6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A1002AE7" w:usb1="C0000063" w:usb2="00000038" w:usb3="00000000" w:csb0="000000B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MS Mincho"/>
    <w:panose1 w:val="00000000000000000000"/>
    <w:charset w:val="80"/>
    <w:family w:val="roman"/>
    <w:notTrueType/>
    <w:pitch w:val="default"/>
    <w:sig w:usb0="00000085" w:usb1="08070000" w:usb2="00000010" w:usb3="00000000" w:csb0="00020018" w:csb1="00000000"/>
  </w:font>
  <w:font w:name="AdvPTimes">
    <w:altName w:val="Times New Roman"/>
    <w:panose1 w:val="00000000000000000000"/>
    <w:charset w:val="00"/>
    <w:family w:val="roman"/>
    <w:notTrueType/>
    <w:pitch w:val="default"/>
    <w:sig w:usb0="00000003" w:usb1="00000000" w:usb2="00000000" w:usb3="00000000" w:csb0="00000001" w:csb1="00000000"/>
  </w:font>
  <w:font w:name="AdvTT3713a231">
    <w:altName w:val="Times New Roman"/>
    <w:charset w:val="00"/>
    <w:family w:val="roman"/>
    <w:pitch w:val="default"/>
    <w:sig w:usb0="00000000" w:usb1="00000000" w:usb2="00000000" w:usb3="00000000" w:csb0="00000001" w:csb1="00000000"/>
  </w:font>
  <w:font w:name="Osaka">
    <w:charset w:val="4E"/>
    <w:family w:val="auto"/>
    <w:pitch w:val="variable"/>
    <w:sig w:usb0="00000001" w:usb1="08070000" w:usb2="00000010" w:usb3="00000000" w:csb0="00020093" w:csb1="00000000"/>
  </w:font>
  <w:font w:name="+mn-cs">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C6B" w:rsidRDefault="00E93C6B" w:rsidP="004B6484">
      <w:r>
        <w:separator/>
      </w:r>
    </w:p>
  </w:footnote>
  <w:footnote w:type="continuationSeparator" w:id="0">
    <w:p w:rsidR="00E93C6B" w:rsidRDefault="00E93C6B" w:rsidP="004B64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A7517"/>
    <w:multiLevelType w:val="hybridMultilevel"/>
    <w:tmpl w:val="0E4CFE86"/>
    <w:lvl w:ilvl="0" w:tplc="0114B1F8">
      <w:start w:val="1"/>
      <w:numFmt w:val="decimal"/>
      <w:suff w:val="space"/>
      <w:lvlText w:val="%1."/>
      <w:lvlJc w:val="left"/>
      <w:pPr>
        <w:ind w:left="281" w:hanging="280"/>
      </w:pPr>
      <w:rPr>
        <w:rFonts w:cs="Lucida Grande"/>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
    <w:nsid w:val="24C43CD6"/>
    <w:multiLevelType w:val="hybridMultilevel"/>
    <w:tmpl w:val="C3BA57D8"/>
    <w:lvl w:ilvl="0" w:tplc="56205B80">
      <w:start w:val="1"/>
      <w:numFmt w:val="decimal"/>
      <w:suff w:val="space"/>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0EC0F5E"/>
    <w:multiLevelType w:val="multilevel"/>
    <w:tmpl w:val="84948F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31733E"/>
    <w:multiLevelType w:val="multilevel"/>
    <w:tmpl w:val="C26C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D46939"/>
    <w:multiLevelType w:val="multilevel"/>
    <w:tmpl w:val="0B04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DD711D"/>
    <w:multiLevelType w:val="hybridMultilevel"/>
    <w:tmpl w:val="80B8895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964"/>
    <w:rsid w:val="00001ACB"/>
    <w:rsid w:val="0002539E"/>
    <w:rsid w:val="00032007"/>
    <w:rsid w:val="0003501D"/>
    <w:rsid w:val="0004317B"/>
    <w:rsid w:val="00046C70"/>
    <w:rsid w:val="000520CD"/>
    <w:rsid w:val="00055791"/>
    <w:rsid w:val="0007517F"/>
    <w:rsid w:val="0007591F"/>
    <w:rsid w:val="00080D6F"/>
    <w:rsid w:val="00086F74"/>
    <w:rsid w:val="000A413F"/>
    <w:rsid w:val="000B7F85"/>
    <w:rsid w:val="000C28EE"/>
    <w:rsid w:val="000C61FF"/>
    <w:rsid w:val="000D7B7A"/>
    <w:rsid w:val="000E0E6C"/>
    <w:rsid w:val="000E219F"/>
    <w:rsid w:val="000F45B6"/>
    <w:rsid w:val="000F5CA4"/>
    <w:rsid w:val="000F7C01"/>
    <w:rsid w:val="00104762"/>
    <w:rsid w:val="00120136"/>
    <w:rsid w:val="00120896"/>
    <w:rsid w:val="00131703"/>
    <w:rsid w:val="00140B5F"/>
    <w:rsid w:val="001508EA"/>
    <w:rsid w:val="00151B6F"/>
    <w:rsid w:val="00151E29"/>
    <w:rsid w:val="00173E72"/>
    <w:rsid w:val="001831D7"/>
    <w:rsid w:val="00183ADA"/>
    <w:rsid w:val="00195C22"/>
    <w:rsid w:val="00197D0B"/>
    <w:rsid w:val="001A3251"/>
    <w:rsid w:val="001A4ABD"/>
    <w:rsid w:val="001B10E2"/>
    <w:rsid w:val="001B26A6"/>
    <w:rsid w:val="001D2C5B"/>
    <w:rsid w:val="001D3472"/>
    <w:rsid w:val="001D4D6E"/>
    <w:rsid w:val="001D4D9A"/>
    <w:rsid w:val="001D6E63"/>
    <w:rsid w:val="00205671"/>
    <w:rsid w:val="00206F7A"/>
    <w:rsid w:val="00207D5F"/>
    <w:rsid w:val="00210E5D"/>
    <w:rsid w:val="0021178F"/>
    <w:rsid w:val="002329AA"/>
    <w:rsid w:val="00233560"/>
    <w:rsid w:val="00234687"/>
    <w:rsid w:val="00235903"/>
    <w:rsid w:val="002460B8"/>
    <w:rsid w:val="00247569"/>
    <w:rsid w:val="00262CF9"/>
    <w:rsid w:val="002645ED"/>
    <w:rsid w:val="002653D5"/>
    <w:rsid w:val="002702ED"/>
    <w:rsid w:val="00271AE7"/>
    <w:rsid w:val="00272234"/>
    <w:rsid w:val="00272F07"/>
    <w:rsid w:val="0027444C"/>
    <w:rsid w:val="00277C2D"/>
    <w:rsid w:val="0028693E"/>
    <w:rsid w:val="002A2A5F"/>
    <w:rsid w:val="002A4DDB"/>
    <w:rsid w:val="002A70DF"/>
    <w:rsid w:val="002B495C"/>
    <w:rsid w:val="002C3FCB"/>
    <w:rsid w:val="002C4924"/>
    <w:rsid w:val="002C5D26"/>
    <w:rsid w:val="002C68AD"/>
    <w:rsid w:val="002D02B6"/>
    <w:rsid w:val="002E1171"/>
    <w:rsid w:val="002E4DE5"/>
    <w:rsid w:val="002F128D"/>
    <w:rsid w:val="002F42C8"/>
    <w:rsid w:val="002F6FB3"/>
    <w:rsid w:val="00327D33"/>
    <w:rsid w:val="00333EFF"/>
    <w:rsid w:val="003573A5"/>
    <w:rsid w:val="00365E46"/>
    <w:rsid w:val="00371DE5"/>
    <w:rsid w:val="00377747"/>
    <w:rsid w:val="003915F9"/>
    <w:rsid w:val="00395022"/>
    <w:rsid w:val="003A103A"/>
    <w:rsid w:val="003A204F"/>
    <w:rsid w:val="003A531D"/>
    <w:rsid w:val="003A6A35"/>
    <w:rsid w:val="003B126D"/>
    <w:rsid w:val="003C18F3"/>
    <w:rsid w:val="003E1C4A"/>
    <w:rsid w:val="003E6692"/>
    <w:rsid w:val="003E6993"/>
    <w:rsid w:val="003F37FE"/>
    <w:rsid w:val="003F472B"/>
    <w:rsid w:val="003F5EE8"/>
    <w:rsid w:val="00400A69"/>
    <w:rsid w:val="004030BE"/>
    <w:rsid w:val="00411A1F"/>
    <w:rsid w:val="004174B2"/>
    <w:rsid w:val="00434A93"/>
    <w:rsid w:val="00436585"/>
    <w:rsid w:val="004375E5"/>
    <w:rsid w:val="004415E7"/>
    <w:rsid w:val="00441F93"/>
    <w:rsid w:val="00445ABA"/>
    <w:rsid w:val="00452734"/>
    <w:rsid w:val="00453237"/>
    <w:rsid w:val="00457E8E"/>
    <w:rsid w:val="00467BF1"/>
    <w:rsid w:val="00471146"/>
    <w:rsid w:val="004715AC"/>
    <w:rsid w:val="00477556"/>
    <w:rsid w:val="00481546"/>
    <w:rsid w:val="00487667"/>
    <w:rsid w:val="00487F2B"/>
    <w:rsid w:val="00493365"/>
    <w:rsid w:val="004B0D0A"/>
    <w:rsid w:val="004B6484"/>
    <w:rsid w:val="004B72CF"/>
    <w:rsid w:val="004C54A2"/>
    <w:rsid w:val="004E01FA"/>
    <w:rsid w:val="004E5BCA"/>
    <w:rsid w:val="004E6855"/>
    <w:rsid w:val="004F0446"/>
    <w:rsid w:val="004F1ED6"/>
    <w:rsid w:val="004F38D6"/>
    <w:rsid w:val="00502B8F"/>
    <w:rsid w:val="005057A4"/>
    <w:rsid w:val="00505B92"/>
    <w:rsid w:val="00517ED9"/>
    <w:rsid w:val="00522E06"/>
    <w:rsid w:val="00531CBE"/>
    <w:rsid w:val="00535D76"/>
    <w:rsid w:val="0054243E"/>
    <w:rsid w:val="0054262D"/>
    <w:rsid w:val="00544B06"/>
    <w:rsid w:val="005454D9"/>
    <w:rsid w:val="005515BB"/>
    <w:rsid w:val="00557BFE"/>
    <w:rsid w:val="00563482"/>
    <w:rsid w:val="00580DA0"/>
    <w:rsid w:val="00590AAB"/>
    <w:rsid w:val="00593DB4"/>
    <w:rsid w:val="0059507F"/>
    <w:rsid w:val="00596119"/>
    <w:rsid w:val="005A4E70"/>
    <w:rsid w:val="005A5230"/>
    <w:rsid w:val="005C29AB"/>
    <w:rsid w:val="005C678B"/>
    <w:rsid w:val="005D34AB"/>
    <w:rsid w:val="00602DA9"/>
    <w:rsid w:val="00612FB8"/>
    <w:rsid w:val="006350F1"/>
    <w:rsid w:val="006438FD"/>
    <w:rsid w:val="00646ED9"/>
    <w:rsid w:val="00651E3D"/>
    <w:rsid w:val="0066522C"/>
    <w:rsid w:val="006655DD"/>
    <w:rsid w:val="006824BF"/>
    <w:rsid w:val="00685674"/>
    <w:rsid w:val="00687185"/>
    <w:rsid w:val="00693CAC"/>
    <w:rsid w:val="0069736D"/>
    <w:rsid w:val="006A3F9D"/>
    <w:rsid w:val="006B4845"/>
    <w:rsid w:val="006C30D6"/>
    <w:rsid w:val="006C5689"/>
    <w:rsid w:val="006C5FAF"/>
    <w:rsid w:val="006D3B2A"/>
    <w:rsid w:val="006E71C4"/>
    <w:rsid w:val="006F4A6F"/>
    <w:rsid w:val="006F5AB1"/>
    <w:rsid w:val="00700C8F"/>
    <w:rsid w:val="007027DF"/>
    <w:rsid w:val="007045A1"/>
    <w:rsid w:val="00704A62"/>
    <w:rsid w:val="00707356"/>
    <w:rsid w:val="00714F0B"/>
    <w:rsid w:val="00722E96"/>
    <w:rsid w:val="00726262"/>
    <w:rsid w:val="00733A63"/>
    <w:rsid w:val="0073704F"/>
    <w:rsid w:val="00737AD7"/>
    <w:rsid w:val="00753157"/>
    <w:rsid w:val="00754461"/>
    <w:rsid w:val="00755164"/>
    <w:rsid w:val="00764F7C"/>
    <w:rsid w:val="007658CD"/>
    <w:rsid w:val="00767D43"/>
    <w:rsid w:val="00772228"/>
    <w:rsid w:val="00774940"/>
    <w:rsid w:val="0077574B"/>
    <w:rsid w:val="007775C3"/>
    <w:rsid w:val="00786C73"/>
    <w:rsid w:val="00793097"/>
    <w:rsid w:val="00795619"/>
    <w:rsid w:val="007A411A"/>
    <w:rsid w:val="007B7DBA"/>
    <w:rsid w:val="007C5BC3"/>
    <w:rsid w:val="007C5ED6"/>
    <w:rsid w:val="007D6D5A"/>
    <w:rsid w:val="007D70E6"/>
    <w:rsid w:val="007E50D8"/>
    <w:rsid w:val="00801740"/>
    <w:rsid w:val="00802BA8"/>
    <w:rsid w:val="0081445C"/>
    <w:rsid w:val="00816AC1"/>
    <w:rsid w:val="008230C3"/>
    <w:rsid w:val="00870B1E"/>
    <w:rsid w:val="00873555"/>
    <w:rsid w:val="00882646"/>
    <w:rsid w:val="008841C1"/>
    <w:rsid w:val="00886658"/>
    <w:rsid w:val="00893B08"/>
    <w:rsid w:val="008A5601"/>
    <w:rsid w:val="008A5821"/>
    <w:rsid w:val="008A66C6"/>
    <w:rsid w:val="008A7C7C"/>
    <w:rsid w:val="008B2964"/>
    <w:rsid w:val="008B44F3"/>
    <w:rsid w:val="008B5D80"/>
    <w:rsid w:val="008C16DD"/>
    <w:rsid w:val="008D5DE4"/>
    <w:rsid w:val="008D6CFB"/>
    <w:rsid w:val="008F3665"/>
    <w:rsid w:val="009002E0"/>
    <w:rsid w:val="009128EE"/>
    <w:rsid w:val="009132C7"/>
    <w:rsid w:val="009237B7"/>
    <w:rsid w:val="00952FED"/>
    <w:rsid w:val="009653D6"/>
    <w:rsid w:val="0097544E"/>
    <w:rsid w:val="009764E9"/>
    <w:rsid w:val="00980011"/>
    <w:rsid w:val="009803BA"/>
    <w:rsid w:val="009B2B15"/>
    <w:rsid w:val="009B3150"/>
    <w:rsid w:val="009C3C64"/>
    <w:rsid w:val="009D76BD"/>
    <w:rsid w:val="009E0D4A"/>
    <w:rsid w:val="009E53DB"/>
    <w:rsid w:val="009F447B"/>
    <w:rsid w:val="009F60C2"/>
    <w:rsid w:val="00A01EEF"/>
    <w:rsid w:val="00A0538A"/>
    <w:rsid w:val="00A07493"/>
    <w:rsid w:val="00A11629"/>
    <w:rsid w:val="00A124A6"/>
    <w:rsid w:val="00A1420B"/>
    <w:rsid w:val="00A14852"/>
    <w:rsid w:val="00A26487"/>
    <w:rsid w:val="00A30335"/>
    <w:rsid w:val="00A311E9"/>
    <w:rsid w:val="00A3279B"/>
    <w:rsid w:val="00A35DC6"/>
    <w:rsid w:val="00A47585"/>
    <w:rsid w:val="00A50ACE"/>
    <w:rsid w:val="00A5432E"/>
    <w:rsid w:val="00A568CC"/>
    <w:rsid w:val="00A6197F"/>
    <w:rsid w:val="00A61B5D"/>
    <w:rsid w:val="00A72F7E"/>
    <w:rsid w:val="00A84421"/>
    <w:rsid w:val="00A84E9A"/>
    <w:rsid w:val="00A86E43"/>
    <w:rsid w:val="00A97422"/>
    <w:rsid w:val="00AA039D"/>
    <w:rsid w:val="00AA694A"/>
    <w:rsid w:val="00AB1CAE"/>
    <w:rsid w:val="00AB48E7"/>
    <w:rsid w:val="00AD63E1"/>
    <w:rsid w:val="00AE5AAC"/>
    <w:rsid w:val="00B10694"/>
    <w:rsid w:val="00B11B57"/>
    <w:rsid w:val="00B166BB"/>
    <w:rsid w:val="00B207C2"/>
    <w:rsid w:val="00B211D1"/>
    <w:rsid w:val="00B25A6F"/>
    <w:rsid w:val="00B360F9"/>
    <w:rsid w:val="00B4142C"/>
    <w:rsid w:val="00B45EDE"/>
    <w:rsid w:val="00B51B6F"/>
    <w:rsid w:val="00B867FD"/>
    <w:rsid w:val="00B90ACC"/>
    <w:rsid w:val="00B9397C"/>
    <w:rsid w:val="00B94484"/>
    <w:rsid w:val="00BB3534"/>
    <w:rsid w:val="00BB54E2"/>
    <w:rsid w:val="00BB61E5"/>
    <w:rsid w:val="00BD2CD2"/>
    <w:rsid w:val="00BE277B"/>
    <w:rsid w:val="00BE3413"/>
    <w:rsid w:val="00BE357D"/>
    <w:rsid w:val="00BF1893"/>
    <w:rsid w:val="00BF1DA5"/>
    <w:rsid w:val="00BF546C"/>
    <w:rsid w:val="00BF678E"/>
    <w:rsid w:val="00C06B9B"/>
    <w:rsid w:val="00C07700"/>
    <w:rsid w:val="00C14486"/>
    <w:rsid w:val="00C3310E"/>
    <w:rsid w:val="00C36300"/>
    <w:rsid w:val="00C36845"/>
    <w:rsid w:val="00C427C5"/>
    <w:rsid w:val="00C429C5"/>
    <w:rsid w:val="00C56D17"/>
    <w:rsid w:val="00C60AD8"/>
    <w:rsid w:val="00C62DE0"/>
    <w:rsid w:val="00C67E47"/>
    <w:rsid w:val="00C90071"/>
    <w:rsid w:val="00C91AFE"/>
    <w:rsid w:val="00C92ED5"/>
    <w:rsid w:val="00C95E17"/>
    <w:rsid w:val="00CA031D"/>
    <w:rsid w:val="00CA5E1A"/>
    <w:rsid w:val="00CA5EF1"/>
    <w:rsid w:val="00CC2A81"/>
    <w:rsid w:val="00CC69E3"/>
    <w:rsid w:val="00CD40D0"/>
    <w:rsid w:val="00CD7183"/>
    <w:rsid w:val="00CE1288"/>
    <w:rsid w:val="00CE70A6"/>
    <w:rsid w:val="00CE7935"/>
    <w:rsid w:val="00D12C5A"/>
    <w:rsid w:val="00D16C37"/>
    <w:rsid w:val="00D253B5"/>
    <w:rsid w:val="00D31192"/>
    <w:rsid w:val="00D32C0F"/>
    <w:rsid w:val="00D32DAB"/>
    <w:rsid w:val="00D37A4C"/>
    <w:rsid w:val="00D41B10"/>
    <w:rsid w:val="00D42087"/>
    <w:rsid w:val="00D42AFF"/>
    <w:rsid w:val="00D46BDD"/>
    <w:rsid w:val="00D47E5B"/>
    <w:rsid w:val="00D64692"/>
    <w:rsid w:val="00D65AAD"/>
    <w:rsid w:val="00D6686A"/>
    <w:rsid w:val="00D70661"/>
    <w:rsid w:val="00D71E64"/>
    <w:rsid w:val="00D7427C"/>
    <w:rsid w:val="00D8089C"/>
    <w:rsid w:val="00D93383"/>
    <w:rsid w:val="00D96E5D"/>
    <w:rsid w:val="00D970BF"/>
    <w:rsid w:val="00DA003E"/>
    <w:rsid w:val="00DC3A2A"/>
    <w:rsid w:val="00DD5533"/>
    <w:rsid w:val="00DE016C"/>
    <w:rsid w:val="00DE2EC9"/>
    <w:rsid w:val="00DE336B"/>
    <w:rsid w:val="00DE5879"/>
    <w:rsid w:val="00E0110B"/>
    <w:rsid w:val="00E012FF"/>
    <w:rsid w:val="00E030A7"/>
    <w:rsid w:val="00E038F5"/>
    <w:rsid w:val="00E1126D"/>
    <w:rsid w:val="00E1165E"/>
    <w:rsid w:val="00E11E13"/>
    <w:rsid w:val="00E20C4F"/>
    <w:rsid w:val="00E22BF7"/>
    <w:rsid w:val="00E2670A"/>
    <w:rsid w:val="00E339E0"/>
    <w:rsid w:val="00E3632A"/>
    <w:rsid w:val="00E43812"/>
    <w:rsid w:val="00E4785F"/>
    <w:rsid w:val="00E5016E"/>
    <w:rsid w:val="00E67D53"/>
    <w:rsid w:val="00E67E83"/>
    <w:rsid w:val="00E70FEA"/>
    <w:rsid w:val="00E7288A"/>
    <w:rsid w:val="00E758BD"/>
    <w:rsid w:val="00E80379"/>
    <w:rsid w:val="00E81982"/>
    <w:rsid w:val="00E8511B"/>
    <w:rsid w:val="00E86340"/>
    <w:rsid w:val="00E91348"/>
    <w:rsid w:val="00E93C6B"/>
    <w:rsid w:val="00E974C5"/>
    <w:rsid w:val="00EA5390"/>
    <w:rsid w:val="00EA7C1A"/>
    <w:rsid w:val="00EB5DF9"/>
    <w:rsid w:val="00EC0624"/>
    <w:rsid w:val="00EC3593"/>
    <w:rsid w:val="00ED0E20"/>
    <w:rsid w:val="00EE0462"/>
    <w:rsid w:val="00EE7964"/>
    <w:rsid w:val="00EF1C8B"/>
    <w:rsid w:val="00EF2986"/>
    <w:rsid w:val="00F1019E"/>
    <w:rsid w:val="00F22B45"/>
    <w:rsid w:val="00F23D76"/>
    <w:rsid w:val="00F277E3"/>
    <w:rsid w:val="00F328CB"/>
    <w:rsid w:val="00F32D42"/>
    <w:rsid w:val="00F32DC0"/>
    <w:rsid w:val="00F34D13"/>
    <w:rsid w:val="00F37D71"/>
    <w:rsid w:val="00F40A26"/>
    <w:rsid w:val="00F45C1B"/>
    <w:rsid w:val="00F47B1E"/>
    <w:rsid w:val="00F5018C"/>
    <w:rsid w:val="00F57C4D"/>
    <w:rsid w:val="00F8037C"/>
    <w:rsid w:val="00F84449"/>
    <w:rsid w:val="00FA3F01"/>
    <w:rsid w:val="00FA78C0"/>
    <w:rsid w:val="00FB41FE"/>
    <w:rsid w:val="00FE7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74B"/>
    <w:pPr>
      <w:widowControl w:val="0"/>
      <w:jc w:val="both"/>
    </w:pPr>
  </w:style>
  <w:style w:type="paragraph" w:styleId="1">
    <w:name w:val="heading 1"/>
    <w:basedOn w:val="a"/>
    <w:next w:val="a"/>
    <w:link w:val="1Char"/>
    <w:uiPriority w:val="9"/>
    <w:qFormat/>
    <w:rsid w:val="007C5BC3"/>
    <w:pPr>
      <w:keepNext/>
      <w:outlineLvl w:val="0"/>
    </w:pPr>
    <w:rPr>
      <w:rFonts w:asciiTheme="majorHAnsi" w:eastAsiaTheme="majorEastAsia" w:hAnsiTheme="majorHAnsi" w:cstheme="majorBidi"/>
      <w:sz w:val="24"/>
      <w:szCs w:val="24"/>
    </w:rPr>
  </w:style>
  <w:style w:type="paragraph" w:styleId="3">
    <w:name w:val="heading 3"/>
    <w:basedOn w:val="a"/>
    <w:next w:val="a"/>
    <w:link w:val="3Char"/>
    <w:uiPriority w:val="9"/>
    <w:semiHidden/>
    <w:unhideWhenUsed/>
    <w:qFormat/>
    <w:rsid w:val="003F37F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6484"/>
    <w:pPr>
      <w:tabs>
        <w:tab w:val="center" w:pos="4252"/>
        <w:tab w:val="right" w:pos="8504"/>
      </w:tabs>
      <w:snapToGrid w:val="0"/>
    </w:pPr>
  </w:style>
  <w:style w:type="character" w:customStyle="1" w:styleId="Char">
    <w:name w:val="页眉 Char"/>
    <w:basedOn w:val="a0"/>
    <w:link w:val="a3"/>
    <w:uiPriority w:val="99"/>
    <w:rsid w:val="004B6484"/>
  </w:style>
  <w:style w:type="paragraph" w:styleId="a4">
    <w:name w:val="footer"/>
    <w:basedOn w:val="a"/>
    <w:link w:val="Char0"/>
    <w:uiPriority w:val="99"/>
    <w:unhideWhenUsed/>
    <w:rsid w:val="004B6484"/>
    <w:pPr>
      <w:tabs>
        <w:tab w:val="center" w:pos="4252"/>
        <w:tab w:val="right" w:pos="8504"/>
      </w:tabs>
      <w:snapToGrid w:val="0"/>
    </w:pPr>
  </w:style>
  <w:style w:type="character" w:customStyle="1" w:styleId="Char0">
    <w:name w:val="页脚 Char"/>
    <w:basedOn w:val="a0"/>
    <w:link w:val="a4"/>
    <w:uiPriority w:val="99"/>
    <w:rsid w:val="004B6484"/>
  </w:style>
  <w:style w:type="paragraph" w:styleId="2">
    <w:name w:val="Body Text 2"/>
    <w:basedOn w:val="a"/>
    <w:link w:val="2Char"/>
    <w:rsid w:val="00700C8F"/>
    <w:rPr>
      <w:rFonts w:ascii="Times New Roman" w:eastAsia="MS PGothic" w:hAnsi="Times New Roman" w:cs="Times New Roman"/>
      <w:b/>
      <w:bCs/>
      <w:noProof/>
      <w:color w:val="000000"/>
      <w:position w:val="-10"/>
      <w:sz w:val="24"/>
      <w:szCs w:val="36"/>
    </w:rPr>
  </w:style>
  <w:style w:type="character" w:customStyle="1" w:styleId="2Char">
    <w:name w:val="正文文本 2 Char"/>
    <w:basedOn w:val="a0"/>
    <w:link w:val="2"/>
    <w:rsid w:val="00700C8F"/>
    <w:rPr>
      <w:rFonts w:ascii="Times New Roman" w:eastAsia="MS PGothic" w:hAnsi="Times New Roman" w:cs="Times New Roman"/>
      <w:b/>
      <w:bCs/>
      <w:noProof/>
      <w:color w:val="000000"/>
      <w:position w:val="-10"/>
      <w:sz w:val="24"/>
      <w:szCs w:val="36"/>
    </w:rPr>
  </w:style>
  <w:style w:type="character" w:styleId="a5">
    <w:name w:val="Hyperlink"/>
    <w:basedOn w:val="a0"/>
    <w:uiPriority w:val="99"/>
    <w:unhideWhenUsed/>
    <w:rsid w:val="00980011"/>
    <w:rPr>
      <w:color w:val="0000FF" w:themeColor="hyperlink"/>
      <w:u w:val="single"/>
    </w:rPr>
  </w:style>
  <w:style w:type="paragraph" w:styleId="a6">
    <w:name w:val="Balloon Text"/>
    <w:basedOn w:val="a"/>
    <w:link w:val="Char1"/>
    <w:uiPriority w:val="99"/>
    <w:semiHidden/>
    <w:unhideWhenUsed/>
    <w:rsid w:val="004F0446"/>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4F0446"/>
    <w:rPr>
      <w:rFonts w:asciiTheme="majorHAnsi" w:eastAsiaTheme="majorEastAsia" w:hAnsiTheme="majorHAnsi" w:cstheme="majorBidi"/>
      <w:sz w:val="18"/>
      <w:szCs w:val="18"/>
    </w:rPr>
  </w:style>
  <w:style w:type="paragraph" w:styleId="a7">
    <w:name w:val="Normal (Web)"/>
    <w:basedOn w:val="a"/>
    <w:uiPriority w:val="99"/>
    <w:semiHidden/>
    <w:unhideWhenUsed/>
    <w:rsid w:val="008A66C6"/>
    <w:pPr>
      <w:widowControl/>
      <w:spacing w:before="100" w:beforeAutospacing="1" w:after="100" w:afterAutospacing="1"/>
      <w:jc w:val="left"/>
    </w:pPr>
    <w:rPr>
      <w:rFonts w:ascii="MS PGothic" w:eastAsia="MS PGothic" w:hAnsi="MS PGothic" w:cs="MS PGothic"/>
      <w:kern w:val="0"/>
      <w:sz w:val="24"/>
      <w:szCs w:val="24"/>
    </w:rPr>
  </w:style>
  <w:style w:type="character" w:styleId="a8">
    <w:name w:val="annotation reference"/>
    <w:rsid w:val="00206F7A"/>
    <w:rPr>
      <w:rFonts w:cs="Times New Roman"/>
      <w:sz w:val="18"/>
    </w:rPr>
  </w:style>
  <w:style w:type="paragraph" w:styleId="a9">
    <w:name w:val="annotation text"/>
    <w:basedOn w:val="a"/>
    <w:link w:val="Char2"/>
    <w:rsid w:val="00206F7A"/>
    <w:rPr>
      <w:rFonts w:ascii="Century" w:hAnsi="Century" w:cs="Times New Roman"/>
      <w:sz w:val="24"/>
      <w:szCs w:val="24"/>
    </w:rPr>
  </w:style>
  <w:style w:type="character" w:customStyle="1" w:styleId="Char2">
    <w:name w:val="批注文字 Char"/>
    <w:basedOn w:val="a0"/>
    <w:link w:val="a9"/>
    <w:rsid w:val="00206F7A"/>
    <w:rPr>
      <w:rFonts w:ascii="Century" w:hAnsi="Century" w:cs="Times New Roman"/>
      <w:sz w:val="24"/>
      <w:szCs w:val="24"/>
    </w:rPr>
  </w:style>
  <w:style w:type="paragraph" w:styleId="aa">
    <w:name w:val="annotation subject"/>
    <w:basedOn w:val="a9"/>
    <w:next w:val="a9"/>
    <w:link w:val="Char3"/>
    <w:uiPriority w:val="99"/>
    <w:semiHidden/>
    <w:unhideWhenUsed/>
    <w:rsid w:val="006A3F9D"/>
    <w:pPr>
      <w:jc w:val="left"/>
    </w:pPr>
    <w:rPr>
      <w:rFonts w:asciiTheme="minorHAnsi" w:hAnsiTheme="minorHAnsi" w:cstheme="minorBidi"/>
      <w:b/>
      <w:bCs/>
      <w:sz w:val="21"/>
      <w:szCs w:val="22"/>
    </w:rPr>
  </w:style>
  <w:style w:type="character" w:customStyle="1" w:styleId="Char3">
    <w:name w:val="批注主题 Char"/>
    <w:basedOn w:val="Char2"/>
    <w:link w:val="aa"/>
    <w:uiPriority w:val="99"/>
    <w:semiHidden/>
    <w:rsid w:val="006A3F9D"/>
    <w:rPr>
      <w:rFonts w:ascii="Century" w:hAnsi="Century" w:cs="Times New Roman"/>
      <w:b/>
      <w:bCs/>
      <w:sz w:val="24"/>
      <w:szCs w:val="24"/>
    </w:rPr>
  </w:style>
  <w:style w:type="character" w:customStyle="1" w:styleId="1Char">
    <w:name w:val="标题 1 Char"/>
    <w:basedOn w:val="a0"/>
    <w:link w:val="1"/>
    <w:uiPriority w:val="9"/>
    <w:rsid w:val="007C5BC3"/>
    <w:rPr>
      <w:rFonts w:asciiTheme="majorHAnsi" w:eastAsiaTheme="majorEastAsia" w:hAnsiTheme="majorHAnsi" w:cstheme="majorBidi"/>
      <w:sz w:val="24"/>
      <w:szCs w:val="24"/>
    </w:rPr>
  </w:style>
  <w:style w:type="character" w:customStyle="1" w:styleId="3Char">
    <w:name w:val="标题 3 Char"/>
    <w:basedOn w:val="a0"/>
    <w:link w:val="3"/>
    <w:uiPriority w:val="9"/>
    <w:semiHidden/>
    <w:rsid w:val="003F37FE"/>
    <w:rPr>
      <w:rFonts w:asciiTheme="majorHAnsi" w:eastAsiaTheme="majorEastAsia" w:hAnsiTheme="majorHAnsi" w:cstheme="majorBidi"/>
    </w:rPr>
  </w:style>
  <w:style w:type="paragraph" w:customStyle="1" w:styleId="p0">
    <w:name w:val="p0"/>
    <w:basedOn w:val="a"/>
    <w:rsid w:val="005D34AB"/>
    <w:pPr>
      <w:widowControl/>
      <w:spacing w:line="240" w:lineRule="atLeast"/>
      <w:jc w:val="left"/>
    </w:pPr>
    <w:rPr>
      <w:rFonts w:ascii="Century" w:eastAsia="宋体" w:hAnsi="Century" w:cs="宋体"/>
      <w:kern w:val="0"/>
      <w:szCs w:val="21"/>
      <w:lang w:eastAsia="zh-CN"/>
    </w:rPr>
  </w:style>
  <w:style w:type="character" w:customStyle="1" w:styleId="CharChar1">
    <w:name w:val="Char Char1"/>
    <w:semiHidden/>
    <w:locked/>
    <w:rsid w:val="00D253B5"/>
    <w:rPr>
      <w:rFonts w:ascii="Calibri" w:eastAsia="宋体" w:hAnsi="Calibri"/>
      <w:sz w:val="22"/>
      <w:szCs w:val="22"/>
      <w:lang w:val="it-IT" w:eastAsia="en-US" w:bidi="ar-SA"/>
    </w:rPr>
  </w:style>
  <w:style w:type="character" w:customStyle="1" w:styleId="apple-converted-space">
    <w:name w:val="apple-converted-space"/>
    <w:basedOn w:val="a0"/>
    <w:rsid w:val="003A10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74B"/>
    <w:pPr>
      <w:widowControl w:val="0"/>
      <w:jc w:val="both"/>
    </w:pPr>
  </w:style>
  <w:style w:type="paragraph" w:styleId="1">
    <w:name w:val="heading 1"/>
    <w:basedOn w:val="a"/>
    <w:next w:val="a"/>
    <w:link w:val="1Char"/>
    <w:uiPriority w:val="9"/>
    <w:qFormat/>
    <w:rsid w:val="007C5BC3"/>
    <w:pPr>
      <w:keepNext/>
      <w:outlineLvl w:val="0"/>
    </w:pPr>
    <w:rPr>
      <w:rFonts w:asciiTheme="majorHAnsi" w:eastAsiaTheme="majorEastAsia" w:hAnsiTheme="majorHAnsi" w:cstheme="majorBidi"/>
      <w:sz w:val="24"/>
      <w:szCs w:val="24"/>
    </w:rPr>
  </w:style>
  <w:style w:type="paragraph" w:styleId="3">
    <w:name w:val="heading 3"/>
    <w:basedOn w:val="a"/>
    <w:next w:val="a"/>
    <w:link w:val="3Char"/>
    <w:uiPriority w:val="9"/>
    <w:semiHidden/>
    <w:unhideWhenUsed/>
    <w:qFormat/>
    <w:rsid w:val="003F37F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B6484"/>
    <w:pPr>
      <w:tabs>
        <w:tab w:val="center" w:pos="4252"/>
        <w:tab w:val="right" w:pos="8504"/>
      </w:tabs>
      <w:snapToGrid w:val="0"/>
    </w:pPr>
  </w:style>
  <w:style w:type="character" w:customStyle="1" w:styleId="Char">
    <w:name w:val="页眉 Char"/>
    <w:basedOn w:val="a0"/>
    <w:link w:val="a3"/>
    <w:uiPriority w:val="99"/>
    <w:rsid w:val="004B6484"/>
  </w:style>
  <w:style w:type="paragraph" w:styleId="a4">
    <w:name w:val="footer"/>
    <w:basedOn w:val="a"/>
    <w:link w:val="Char0"/>
    <w:uiPriority w:val="99"/>
    <w:unhideWhenUsed/>
    <w:rsid w:val="004B6484"/>
    <w:pPr>
      <w:tabs>
        <w:tab w:val="center" w:pos="4252"/>
        <w:tab w:val="right" w:pos="8504"/>
      </w:tabs>
      <w:snapToGrid w:val="0"/>
    </w:pPr>
  </w:style>
  <w:style w:type="character" w:customStyle="1" w:styleId="Char0">
    <w:name w:val="页脚 Char"/>
    <w:basedOn w:val="a0"/>
    <w:link w:val="a4"/>
    <w:uiPriority w:val="99"/>
    <w:rsid w:val="004B6484"/>
  </w:style>
  <w:style w:type="paragraph" w:styleId="2">
    <w:name w:val="Body Text 2"/>
    <w:basedOn w:val="a"/>
    <w:link w:val="2Char"/>
    <w:rsid w:val="00700C8F"/>
    <w:rPr>
      <w:rFonts w:ascii="Times New Roman" w:eastAsia="MS PGothic" w:hAnsi="Times New Roman" w:cs="Times New Roman"/>
      <w:b/>
      <w:bCs/>
      <w:noProof/>
      <w:color w:val="000000"/>
      <w:position w:val="-10"/>
      <w:sz w:val="24"/>
      <w:szCs w:val="36"/>
    </w:rPr>
  </w:style>
  <w:style w:type="character" w:customStyle="1" w:styleId="2Char">
    <w:name w:val="正文文本 2 Char"/>
    <w:basedOn w:val="a0"/>
    <w:link w:val="2"/>
    <w:rsid w:val="00700C8F"/>
    <w:rPr>
      <w:rFonts w:ascii="Times New Roman" w:eastAsia="MS PGothic" w:hAnsi="Times New Roman" w:cs="Times New Roman"/>
      <w:b/>
      <w:bCs/>
      <w:noProof/>
      <w:color w:val="000000"/>
      <w:position w:val="-10"/>
      <w:sz w:val="24"/>
      <w:szCs w:val="36"/>
    </w:rPr>
  </w:style>
  <w:style w:type="character" w:styleId="a5">
    <w:name w:val="Hyperlink"/>
    <w:basedOn w:val="a0"/>
    <w:uiPriority w:val="99"/>
    <w:unhideWhenUsed/>
    <w:rsid w:val="00980011"/>
    <w:rPr>
      <w:color w:val="0000FF" w:themeColor="hyperlink"/>
      <w:u w:val="single"/>
    </w:rPr>
  </w:style>
  <w:style w:type="paragraph" w:styleId="a6">
    <w:name w:val="Balloon Text"/>
    <w:basedOn w:val="a"/>
    <w:link w:val="Char1"/>
    <w:uiPriority w:val="99"/>
    <w:semiHidden/>
    <w:unhideWhenUsed/>
    <w:rsid w:val="004F0446"/>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4F0446"/>
    <w:rPr>
      <w:rFonts w:asciiTheme="majorHAnsi" w:eastAsiaTheme="majorEastAsia" w:hAnsiTheme="majorHAnsi" w:cstheme="majorBidi"/>
      <w:sz w:val="18"/>
      <w:szCs w:val="18"/>
    </w:rPr>
  </w:style>
  <w:style w:type="paragraph" w:styleId="a7">
    <w:name w:val="Normal (Web)"/>
    <w:basedOn w:val="a"/>
    <w:uiPriority w:val="99"/>
    <w:semiHidden/>
    <w:unhideWhenUsed/>
    <w:rsid w:val="008A66C6"/>
    <w:pPr>
      <w:widowControl/>
      <w:spacing w:before="100" w:beforeAutospacing="1" w:after="100" w:afterAutospacing="1"/>
      <w:jc w:val="left"/>
    </w:pPr>
    <w:rPr>
      <w:rFonts w:ascii="MS PGothic" w:eastAsia="MS PGothic" w:hAnsi="MS PGothic" w:cs="MS PGothic"/>
      <w:kern w:val="0"/>
      <w:sz w:val="24"/>
      <w:szCs w:val="24"/>
    </w:rPr>
  </w:style>
  <w:style w:type="character" w:styleId="a8">
    <w:name w:val="annotation reference"/>
    <w:rsid w:val="00206F7A"/>
    <w:rPr>
      <w:rFonts w:cs="Times New Roman"/>
      <w:sz w:val="18"/>
    </w:rPr>
  </w:style>
  <w:style w:type="paragraph" w:styleId="a9">
    <w:name w:val="annotation text"/>
    <w:basedOn w:val="a"/>
    <w:link w:val="Char2"/>
    <w:rsid w:val="00206F7A"/>
    <w:rPr>
      <w:rFonts w:ascii="Century" w:hAnsi="Century" w:cs="Times New Roman"/>
      <w:sz w:val="24"/>
      <w:szCs w:val="24"/>
    </w:rPr>
  </w:style>
  <w:style w:type="character" w:customStyle="1" w:styleId="Char2">
    <w:name w:val="批注文字 Char"/>
    <w:basedOn w:val="a0"/>
    <w:link w:val="a9"/>
    <w:rsid w:val="00206F7A"/>
    <w:rPr>
      <w:rFonts w:ascii="Century" w:hAnsi="Century" w:cs="Times New Roman"/>
      <w:sz w:val="24"/>
      <w:szCs w:val="24"/>
    </w:rPr>
  </w:style>
  <w:style w:type="paragraph" w:styleId="aa">
    <w:name w:val="annotation subject"/>
    <w:basedOn w:val="a9"/>
    <w:next w:val="a9"/>
    <w:link w:val="Char3"/>
    <w:uiPriority w:val="99"/>
    <w:semiHidden/>
    <w:unhideWhenUsed/>
    <w:rsid w:val="006A3F9D"/>
    <w:pPr>
      <w:jc w:val="left"/>
    </w:pPr>
    <w:rPr>
      <w:rFonts w:asciiTheme="minorHAnsi" w:hAnsiTheme="minorHAnsi" w:cstheme="minorBidi"/>
      <w:b/>
      <w:bCs/>
      <w:sz w:val="21"/>
      <w:szCs w:val="22"/>
    </w:rPr>
  </w:style>
  <w:style w:type="character" w:customStyle="1" w:styleId="Char3">
    <w:name w:val="批注主题 Char"/>
    <w:basedOn w:val="Char2"/>
    <w:link w:val="aa"/>
    <w:uiPriority w:val="99"/>
    <w:semiHidden/>
    <w:rsid w:val="006A3F9D"/>
    <w:rPr>
      <w:rFonts w:ascii="Century" w:hAnsi="Century" w:cs="Times New Roman"/>
      <w:b/>
      <w:bCs/>
      <w:sz w:val="24"/>
      <w:szCs w:val="24"/>
    </w:rPr>
  </w:style>
  <w:style w:type="character" w:customStyle="1" w:styleId="1Char">
    <w:name w:val="标题 1 Char"/>
    <w:basedOn w:val="a0"/>
    <w:link w:val="1"/>
    <w:uiPriority w:val="9"/>
    <w:rsid w:val="007C5BC3"/>
    <w:rPr>
      <w:rFonts w:asciiTheme="majorHAnsi" w:eastAsiaTheme="majorEastAsia" w:hAnsiTheme="majorHAnsi" w:cstheme="majorBidi"/>
      <w:sz w:val="24"/>
      <w:szCs w:val="24"/>
    </w:rPr>
  </w:style>
  <w:style w:type="character" w:customStyle="1" w:styleId="3Char">
    <w:name w:val="标题 3 Char"/>
    <w:basedOn w:val="a0"/>
    <w:link w:val="3"/>
    <w:uiPriority w:val="9"/>
    <w:semiHidden/>
    <w:rsid w:val="003F37FE"/>
    <w:rPr>
      <w:rFonts w:asciiTheme="majorHAnsi" w:eastAsiaTheme="majorEastAsia" w:hAnsiTheme="majorHAnsi" w:cstheme="majorBidi"/>
    </w:rPr>
  </w:style>
  <w:style w:type="paragraph" w:customStyle="1" w:styleId="p0">
    <w:name w:val="p0"/>
    <w:basedOn w:val="a"/>
    <w:rsid w:val="005D34AB"/>
    <w:pPr>
      <w:widowControl/>
      <w:spacing w:line="240" w:lineRule="atLeast"/>
      <w:jc w:val="left"/>
    </w:pPr>
    <w:rPr>
      <w:rFonts w:ascii="Century" w:eastAsia="宋体" w:hAnsi="Century" w:cs="宋体"/>
      <w:kern w:val="0"/>
      <w:szCs w:val="21"/>
      <w:lang w:eastAsia="zh-CN"/>
    </w:rPr>
  </w:style>
  <w:style w:type="character" w:customStyle="1" w:styleId="CharChar1">
    <w:name w:val="Char Char1"/>
    <w:semiHidden/>
    <w:locked/>
    <w:rsid w:val="00D253B5"/>
    <w:rPr>
      <w:rFonts w:ascii="Calibri" w:eastAsia="宋体" w:hAnsi="Calibri"/>
      <w:sz w:val="22"/>
      <w:szCs w:val="22"/>
      <w:lang w:val="it-IT" w:eastAsia="en-US" w:bidi="ar-SA"/>
    </w:rPr>
  </w:style>
  <w:style w:type="character" w:customStyle="1" w:styleId="apple-converted-space">
    <w:name w:val="apple-converted-space"/>
    <w:basedOn w:val="a0"/>
    <w:rsid w:val="003A1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20058">
      <w:bodyDiv w:val="1"/>
      <w:marLeft w:val="0"/>
      <w:marRight w:val="0"/>
      <w:marTop w:val="0"/>
      <w:marBottom w:val="0"/>
      <w:divBdr>
        <w:top w:val="none" w:sz="0" w:space="0" w:color="auto"/>
        <w:left w:val="none" w:sz="0" w:space="0" w:color="auto"/>
        <w:bottom w:val="none" w:sz="0" w:space="0" w:color="auto"/>
        <w:right w:val="none" w:sz="0" w:space="0" w:color="auto"/>
      </w:divBdr>
      <w:divsChild>
        <w:div w:id="1738017069">
          <w:marLeft w:val="0"/>
          <w:marRight w:val="0"/>
          <w:marTop w:val="0"/>
          <w:marBottom w:val="0"/>
          <w:divBdr>
            <w:top w:val="none" w:sz="0" w:space="0" w:color="auto"/>
            <w:left w:val="none" w:sz="0" w:space="0" w:color="auto"/>
            <w:bottom w:val="none" w:sz="0" w:space="0" w:color="auto"/>
            <w:right w:val="none" w:sz="0" w:space="0" w:color="auto"/>
          </w:divBdr>
        </w:div>
        <w:div w:id="196436889">
          <w:marLeft w:val="0"/>
          <w:marRight w:val="0"/>
          <w:marTop w:val="0"/>
          <w:marBottom w:val="0"/>
          <w:divBdr>
            <w:top w:val="none" w:sz="0" w:space="0" w:color="auto"/>
            <w:left w:val="none" w:sz="0" w:space="0" w:color="auto"/>
            <w:bottom w:val="none" w:sz="0" w:space="0" w:color="auto"/>
            <w:right w:val="none" w:sz="0" w:space="0" w:color="auto"/>
          </w:divBdr>
        </w:div>
        <w:div w:id="473303784">
          <w:marLeft w:val="0"/>
          <w:marRight w:val="0"/>
          <w:marTop w:val="0"/>
          <w:marBottom w:val="0"/>
          <w:divBdr>
            <w:top w:val="none" w:sz="0" w:space="0" w:color="auto"/>
            <w:left w:val="none" w:sz="0" w:space="0" w:color="auto"/>
            <w:bottom w:val="none" w:sz="0" w:space="0" w:color="auto"/>
            <w:right w:val="none" w:sz="0" w:space="0" w:color="auto"/>
          </w:divBdr>
        </w:div>
        <w:div w:id="1600794674">
          <w:marLeft w:val="0"/>
          <w:marRight w:val="0"/>
          <w:marTop w:val="0"/>
          <w:marBottom w:val="0"/>
          <w:divBdr>
            <w:top w:val="none" w:sz="0" w:space="0" w:color="auto"/>
            <w:left w:val="none" w:sz="0" w:space="0" w:color="auto"/>
            <w:bottom w:val="none" w:sz="0" w:space="0" w:color="auto"/>
            <w:right w:val="none" w:sz="0" w:space="0" w:color="auto"/>
          </w:divBdr>
        </w:div>
      </w:divsChild>
    </w:div>
    <w:div w:id="129715071">
      <w:bodyDiv w:val="1"/>
      <w:marLeft w:val="0"/>
      <w:marRight w:val="0"/>
      <w:marTop w:val="0"/>
      <w:marBottom w:val="0"/>
      <w:divBdr>
        <w:top w:val="none" w:sz="0" w:space="0" w:color="auto"/>
        <w:left w:val="none" w:sz="0" w:space="0" w:color="auto"/>
        <w:bottom w:val="none" w:sz="0" w:space="0" w:color="auto"/>
        <w:right w:val="none" w:sz="0" w:space="0" w:color="auto"/>
      </w:divBdr>
    </w:div>
    <w:div w:id="143859650">
      <w:bodyDiv w:val="1"/>
      <w:marLeft w:val="0"/>
      <w:marRight w:val="0"/>
      <w:marTop w:val="0"/>
      <w:marBottom w:val="0"/>
      <w:divBdr>
        <w:top w:val="none" w:sz="0" w:space="0" w:color="auto"/>
        <w:left w:val="none" w:sz="0" w:space="0" w:color="auto"/>
        <w:bottom w:val="none" w:sz="0" w:space="0" w:color="auto"/>
        <w:right w:val="none" w:sz="0" w:space="0" w:color="auto"/>
      </w:divBdr>
    </w:div>
    <w:div w:id="197623777">
      <w:bodyDiv w:val="1"/>
      <w:marLeft w:val="0"/>
      <w:marRight w:val="0"/>
      <w:marTop w:val="0"/>
      <w:marBottom w:val="0"/>
      <w:divBdr>
        <w:top w:val="none" w:sz="0" w:space="0" w:color="auto"/>
        <w:left w:val="none" w:sz="0" w:space="0" w:color="auto"/>
        <w:bottom w:val="none" w:sz="0" w:space="0" w:color="auto"/>
        <w:right w:val="none" w:sz="0" w:space="0" w:color="auto"/>
      </w:divBdr>
      <w:divsChild>
        <w:div w:id="1966348300">
          <w:marLeft w:val="0"/>
          <w:marRight w:val="0"/>
          <w:marTop w:val="0"/>
          <w:marBottom w:val="0"/>
          <w:divBdr>
            <w:top w:val="none" w:sz="0" w:space="0" w:color="auto"/>
            <w:left w:val="none" w:sz="0" w:space="0" w:color="auto"/>
            <w:bottom w:val="none" w:sz="0" w:space="0" w:color="auto"/>
            <w:right w:val="none" w:sz="0" w:space="0" w:color="auto"/>
          </w:divBdr>
          <w:divsChild>
            <w:div w:id="662516643">
              <w:marLeft w:val="0"/>
              <w:marRight w:val="0"/>
              <w:marTop w:val="0"/>
              <w:marBottom w:val="0"/>
              <w:divBdr>
                <w:top w:val="none" w:sz="0" w:space="0" w:color="auto"/>
                <w:left w:val="none" w:sz="0" w:space="0" w:color="auto"/>
                <w:bottom w:val="none" w:sz="0" w:space="0" w:color="auto"/>
                <w:right w:val="none" w:sz="0" w:space="0" w:color="auto"/>
              </w:divBdr>
            </w:div>
            <w:div w:id="365983560">
              <w:marLeft w:val="0"/>
              <w:marRight w:val="0"/>
              <w:marTop w:val="0"/>
              <w:marBottom w:val="0"/>
              <w:divBdr>
                <w:top w:val="none" w:sz="0" w:space="0" w:color="auto"/>
                <w:left w:val="none" w:sz="0" w:space="0" w:color="auto"/>
                <w:bottom w:val="none" w:sz="0" w:space="0" w:color="auto"/>
                <w:right w:val="none" w:sz="0" w:space="0" w:color="auto"/>
              </w:divBdr>
            </w:div>
            <w:div w:id="710761898">
              <w:marLeft w:val="0"/>
              <w:marRight w:val="0"/>
              <w:marTop w:val="0"/>
              <w:marBottom w:val="0"/>
              <w:divBdr>
                <w:top w:val="none" w:sz="0" w:space="0" w:color="auto"/>
                <w:left w:val="none" w:sz="0" w:space="0" w:color="auto"/>
                <w:bottom w:val="none" w:sz="0" w:space="0" w:color="auto"/>
                <w:right w:val="none" w:sz="0" w:space="0" w:color="auto"/>
              </w:divBdr>
            </w:div>
            <w:div w:id="1665812171">
              <w:marLeft w:val="0"/>
              <w:marRight w:val="0"/>
              <w:marTop w:val="0"/>
              <w:marBottom w:val="0"/>
              <w:divBdr>
                <w:top w:val="none" w:sz="0" w:space="0" w:color="auto"/>
                <w:left w:val="none" w:sz="0" w:space="0" w:color="auto"/>
                <w:bottom w:val="none" w:sz="0" w:space="0" w:color="auto"/>
                <w:right w:val="none" w:sz="0" w:space="0" w:color="auto"/>
              </w:divBdr>
            </w:div>
            <w:div w:id="19936484">
              <w:marLeft w:val="0"/>
              <w:marRight w:val="0"/>
              <w:marTop w:val="0"/>
              <w:marBottom w:val="0"/>
              <w:divBdr>
                <w:top w:val="none" w:sz="0" w:space="0" w:color="auto"/>
                <w:left w:val="none" w:sz="0" w:space="0" w:color="auto"/>
                <w:bottom w:val="none" w:sz="0" w:space="0" w:color="auto"/>
                <w:right w:val="none" w:sz="0" w:space="0" w:color="auto"/>
              </w:divBdr>
            </w:div>
            <w:div w:id="456605376">
              <w:marLeft w:val="0"/>
              <w:marRight w:val="0"/>
              <w:marTop w:val="0"/>
              <w:marBottom w:val="0"/>
              <w:divBdr>
                <w:top w:val="none" w:sz="0" w:space="0" w:color="auto"/>
                <w:left w:val="none" w:sz="0" w:space="0" w:color="auto"/>
                <w:bottom w:val="none" w:sz="0" w:space="0" w:color="auto"/>
                <w:right w:val="none" w:sz="0" w:space="0" w:color="auto"/>
              </w:divBdr>
            </w:div>
            <w:div w:id="1819302538">
              <w:marLeft w:val="0"/>
              <w:marRight w:val="0"/>
              <w:marTop w:val="0"/>
              <w:marBottom w:val="0"/>
              <w:divBdr>
                <w:top w:val="none" w:sz="0" w:space="0" w:color="auto"/>
                <w:left w:val="none" w:sz="0" w:space="0" w:color="auto"/>
                <w:bottom w:val="none" w:sz="0" w:space="0" w:color="auto"/>
                <w:right w:val="none" w:sz="0" w:space="0" w:color="auto"/>
              </w:divBdr>
            </w:div>
            <w:div w:id="108083952">
              <w:marLeft w:val="0"/>
              <w:marRight w:val="0"/>
              <w:marTop w:val="0"/>
              <w:marBottom w:val="0"/>
              <w:divBdr>
                <w:top w:val="none" w:sz="0" w:space="0" w:color="auto"/>
                <w:left w:val="none" w:sz="0" w:space="0" w:color="auto"/>
                <w:bottom w:val="none" w:sz="0" w:space="0" w:color="auto"/>
                <w:right w:val="none" w:sz="0" w:space="0" w:color="auto"/>
              </w:divBdr>
            </w:div>
            <w:div w:id="393545670">
              <w:marLeft w:val="0"/>
              <w:marRight w:val="0"/>
              <w:marTop w:val="0"/>
              <w:marBottom w:val="0"/>
              <w:divBdr>
                <w:top w:val="none" w:sz="0" w:space="0" w:color="auto"/>
                <w:left w:val="none" w:sz="0" w:space="0" w:color="auto"/>
                <w:bottom w:val="none" w:sz="0" w:space="0" w:color="auto"/>
                <w:right w:val="none" w:sz="0" w:space="0" w:color="auto"/>
              </w:divBdr>
            </w:div>
            <w:div w:id="1314067251">
              <w:marLeft w:val="0"/>
              <w:marRight w:val="0"/>
              <w:marTop w:val="0"/>
              <w:marBottom w:val="0"/>
              <w:divBdr>
                <w:top w:val="none" w:sz="0" w:space="0" w:color="auto"/>
                <w:left w:val="none" w:sz="0" w:space="0" w:color="auto"/>
                <w:bottom w:val="none" w:sz="0" w:space="0" w:color="auto"/>
                <w:right w:val="none" w:sz="0" w:space="0" w:color="auto"/>
              </w:divBdr>
            </w:div>
            <w:div w:id="579750954">
              <w:marLeft w:val="0"/>
              <w:marRight w:val="0"/>
              <w:marTop w:val="0"/>
              <w:marBottom w:val="0"/>
              <w:divBdr>
                <w:top w:val="none" w:sz="0" w:space="0" w:color="auto"/>
                <w:left w:val="none" w:sz="0" w:space="0" w:color="auto"/>
                <w:bottom w:val="none" w:sz="0" w:space="0" w:color="auto"/>
                <w:right w:val="none" w:sz="0" w:space="0" w:color="auto"/>
              </w:divBdr>
            </w:div>
            <w:div w:id="321543317">
              <w:marLeft w:val="0"/>
              <w:marRight w:val="0"/>
              <w:marTop w:val="0"/>
              <w:marBottom w:val="0"/>
              <w:divBdr>
                <w:top w:val="none" w:sz="0" w:space="0" w:color="auto"/>
                <w:left w:val="none" w:sz="0" w:space="0" w:color="auto"/>
                <w:bottom w:val="none" w:sz="0" w:space="0" w:color="auto"/>
                <w:right w:val="none" w:sz="0" w:space="0" w:color="auto"/>
              </w:divBdr>
            </w:div>
            <w:div w:id="1372614099">
              <w:marLeft w:val="0"/>
              <w:marRight w:val="0"/>
              <w:marTop w:val="0"/>
              <w:marBottom w:val="0"/>
              <w:divBdr>
                <w:top w:val="none" w:sz="0" w:space="0" w:color="auto"/>
                <w:left w:val="none" w:sz="0" w:space="0" w:color="auto"/>
                <w:bottom w:val="none" w:sz="0" w:space="0" w:color="auto"/>
                <w:right w:val="none" w:sz="0" w:space="0" w:color="auto"/>
              </w:divBdr>
            </w:div>
            <w:div w:id="1503741443">
              <w:marLeft w:val="0"/>
              <w:marRight w:val="0"/>
              <w:marTop w:val="0"/>
              <w:marBottom w:val="0"/>
              <w:divBdr>
                <w:top w:val="none" w:sz="0" w:space="0" w:color="auto"/>
                <w:left w:val="none" w:sz="0" w:space="0" w:color="auto"/>
                <w:bottom w:val="none" w:sz="0" w:space="0" w:color="auto"/>
                <w:right w:val="none" w:sz="0" w:space="0" w:color="auto"/>
              </w:divBdr>
            </w:div>
            <w:div w:id="2094013632">
              <w:marLeft w:val="0"/>
              <w:marRight w:val="0"/>
              <w:marTop w:val="0"/>
              <w:marBottom w:val="0"/>
              <w:divBdr>
                <w:top w:val="none" w:sz="0" w:space="0" w:color="auto"/>
                <w:left w:val="none" w:sz="0" w:space="0" w:color="auto"/>
                <w:bottom w:val="none" w:sz="0" w:space="0" w:color="auto"/>
                <w:right w:val="none" w:sz="0" w:space="0" w:color="auto"/>
              </w:divBdr>
            </w:div>
            <w:div w:id="2060543388">
              <w:marLeft w:val="0"/>
              <w:marRight w:val="0"/>
              <w:marTop w:val="0"/>
              <w:marBottom w:val="0"/>
              <w:divBdr>
                <w:top w:val="none" w:sz="0" w:space="0" w:color="auto"/>
                <w:left w:val="none" w:sz="0" w:space="0" w:color="auto"/>
                <w:bottom w:val="none" w:sz="0" w:space="0" w:color="auto"/>
                <w:right w:val="none" w:sz="0" w:space="0" w:color="auto"/>
              </w:divBdr>
            </w:div>
            <w:div w:id="819270052">
              <w:marLeft w:val="0"/>
              <w:marRight w:val="0"/>
              <w:marTop w:val="0"/>
              <w:marBottom w:val="0"/>
              <w:divBdr>
                <w:top w:val="none" w:sz="0" w:space="0" w:color="auto"/>
                <w:left w:val="none" w:sz="0" w:space="0" w:color="auto"/>
                <w:bottom w:val="none" w:sz="0" w:space="0" w:color="auto"/>
                <w:right w:val="none" w:sz="0" w:space="0" w:color="auto"/>
              </w:divBdr>
            </w:div>
            <w:div w:id="984818684">
              <w:marLeft w:val="0"/>
              <w:marRight w:val="0"/>
              <w:marTop w:val="0"/>
              <w:marBottom w:val="0"/>
              <w:divBdr>
                <w:top w:val="none" w:sz="0" w:space="0" w:color="auto"/>
                <w:left w:val="none" w:sz="0" w:space="0" w:color="auto"/>
                <w:bottom w:val="none" w:sz="0" w:space="0" w:color="auto"/>
                <w:right w:val="none" w:sz="0" w:space="0" w:color="auto"/>
              </w:divBdr>
            </w:div>
            <w:div w:id="2115898829">
              <w:marLeft w:val="0"/>
              <w:marRight w:val="0"/>
              <w:marTop w:val="0"/>
              <w:marBottom w:val="0"/>
              <w:divBdr>
                <w:top w:val="none" w:sz="0" w:space="0" w:color="auto"/>
                <w:left w:val="none" w:sz="0" w:space="0" w:color="auto"/>
                <w:bottom w:val="none" w:sz="0" w:space="0" w:color="auto"/>
                <w:right w:val="none" w:sz="0" w:space="0" w:color="auto"/>
              </w:divBdr>
            </w:div>
            <w:div w:id="2040813466">
              <w:marLeft w:val="0"/>
              <w:marRight w:val="0"/>
              <w:marTop w:val="0"/>
              <w:marBottom w:val="0"/>
              <w:divBdr>
                <w:top w:val="none" w:sz="0" w:space="0" w:color="auto"/>
                <w:left w:val="none" w:sz="0" w:space="0" w:color="auto"/>
                <w:bottom w:val="none" w:sz="0" w:space="0" w:color="auto"/>
                <w:right w:val="none" w:sz="0" w:space="0" w:color="auto"/>
              </w:divBdr>
            </w:div>
            <w:div w:id="1393233156">
              <w:marLeft w:val="0"/>
              <w:marRight w:val="0"/>
              <w:marTop w:val="0"/>
              <w:marBottom w:val="0"/>
              <w:divBdr>
                <w:top w:val="none" w:sz="0" w:space="0" w:color="auto"/>
                <w:left w:val="none" w:sz="0" w:space="0" w:color="auto"/>
                <w:bottom w:val="none" w:sz="0" w:space="0" w:color="auto"/>
                <w:right w:val="none" w:sz="0" w:space="0" w:color="auto"/>
              </w:divBdr>
            </w:div>
            <w:div w:id="1543979467">
              <w:marLeft w:val="0"/>
              <w:marRight w:val="0"/>
              <w:marTop w:val="0"/>
              <w:marBottom w:val="0"/>
              <w:divBdr>
                <w:top w:val="none" w:sz="0" w:space="0" w:color="auto"/>
                <w:left w:val="none" w:sz="0" w:space="0" w:color="auto"/>
                <w:bottom w:val="none" w:sz="0" w:space="0" w:color="auto"/>
                <w:right w:val="none" w:sz="0" w:space="0" w:color="auto"/>
              </w:divBdr>
            </w:div>
            <w:div w:id="849834249">
              <w:marLeft w:val="0"/>
              <w:marRight w:val="0"/>
              <w:marTop w:val="0"/>
              <w:marBottom w:val="0"/>
              <w:divBdr>
                <w:top w:val="none" w:sz="0" w:space="0" w:color="auto"/>
                <w:left w:val="none" w:sz="0" w:space="0" w:color="auto"/>
                <w:bottom w:val="none" w:sz="0" w:space="0" w:color="auto"/>
                <w:right w:val="none" w:sz="0" w:space="0" w:color="auto"/>
              </w:divBdr>
            </w:div>
            <w:div w:id="327054977">
              <w:marLeft w:val="0"/>
              <w:marRight w:val="0"/>
              <w:marTop w:val="0"/>
              <w:marBottom w:val="0"/>
              <w:divBdr>
                <w:top w:val="none" w:sz="0" w:space="0" w:color="auto"/>
                <w:left w:val="none" w:sz="0" w:space="0" w:color="auto"/>
                <w:bottom w:val="none" w:sz="0" w:space="0" w:color="auto"/>
                <w:right w:val="none" w:sz="0" w:space="0" w:color="auto"/>
              </w:divBdr>
            </w:div>
            <w:div w:id="1752775922">
              <w:marLeft w:val="0"/>
              <w:marRight w:val="0"/>
              <w:marTop w:val="0"/>
              <w:marBottom w:val="0"/>
              <w:divBdr>
                <w:top w:val="none" w:sz="0" w:space="0" w:color="auto"/>
                <w:left w:val="none" w:sz="0" w:space="0" w:color="auto"/>
                <w:bottom w:val="none" w:sz="0" w:space="0" w:color="auto"/>
                <w:right w:val="none" w:sz="0" w:space="0" w:color="auto"/>
              </w:divBdr>
            </w:div>
            <w:div w:id="996883935">
              <w:marLeft w:val="0"/>
              <w:marRight w:val="0"/>
              <w:marTop w:val="0"/>
              <w:marBottom w:val="0"/>
              <w:divBdr>
                <w:top w:val="none" w:sz="0" w:space="0" w:color="auto"/>
                <w:left w:val="none" w:sz="0" w:space="0" w:color="auto"/>
                <w:bottom w:val="none" w:sz="0" w:space="0" w:color="auto"/>
                <w:right w:val="none" w:sz="0" w:space="0" w:color="auto"/>
              </w:divBdr>
            </w:div>
            <w:div w:id="733741305">
              <w:marLeft w:val="0"/>
              <w:marRight w:val="0"/>
              <w:marTop w:val="0"/>
              <w:marBottom w:val="0"/>
              <w:divBdr>
                <w:top w:val="none" w:sz="0" w:space="0" w:color="auto"/>
                <w:left w:val="none" w:sz="0" w:space="0" w:color="auto"/>
                <w:bottom w:val="none" w:sz="0" w:space="0" w:color="auto"/>
                <w:right w:val="none" w:sz="0" w:space="0" w:color="auto"/>
              </w:divBdr>
            </w:div>
            <w:div w:id="1699355853">
              <w:marLeft w:val="0"/>
              <w:marRight w:val="0"/>
              <w:marTop w:val="0"/>
              <w:marBottom w:val="0"/>
              <w:divBdr>
                <w:top w:val="none" w:sz="0" w:space="0" w:color="auto"/>
                <w:left w:val="none" w:sz="0" w:space="0" w:color="auto"/>
                <w:bottom w:val="none" w:sz="0" w:space="0" w:color="auto"/>
                <w:right w:val="none" w:sz="0" w:space="0" w:color="auto"/>
              </w:divBdr>
            </w:div>
            <w:div w:id="1765495202">
              <w:marLeft w:val="0"/>
              <w:marRight w:val="0"/>
              <w:marTop w:val="0"/>
              <w:marBottom w:val="0"/>
              <w:divBdr>
                <w:top w:val="none" w:sz="0" w:space="0" w:color="auto"/>
                <w:left w:val="none" w:sz="0" w:space="0" w:color="auto"/>
                <w:bottom w:val="none" w:sz="0" w:space="0" w:color="auto"/>
                <w:right w:val="none" w:sz="0" w:space="0" w:color="auto"/>
              </w:divBdr>
            </w:div>
            <w:div w:id="1646740748">
              <w:marLeft w:val="0"/>
              <w:marRight w:val="0"/>
              <w:marTop w:val="0"/>
              <w:marBottom w:val="0"/>
              <w:divBdr>
                <w:top w:val="none" w:sz="0" w:space="0" w:color="auto"/>
                <w:left w:val="none" w:sz="0" w:space="0" w:color="auto"/>
                <w:bottom w:val="none" w:sz="0" w:space="0" w:color="auto"/>
                <w:right w:val="none" w:sz="0" w:space="0" w:color="auto"/>
              </w:divBdr>
            </w:div>
            <w:div w:id="127629438">
              <w:marLeft w:val="0"/>
              <w:marRight w:val="0"/>
              <w:marTop w:val="0"/>
              <w:marBottom w:val="0"/>
              <w:divBdr>
                <w:top w:val="none" w:sz="0" w:space="0" w:color="auto"/>
                <w:left w:val="none" w:sz="0" w:space="0" w:color="auto"/>
                <w:bottom w:val="none" w:sz="0" w:space="0" w:color="auto"/>
                <w:right w:val="none" w:sz="0" w:space="0" w:color="auto"/>
              </w:divBdr>
            </w:div>
            <w:div w:id="449321391">
              <w:marLeft w:val="0"/>
              <w:marRight w:val="0"/>
              <w:marTop w:val="0"/>
              <w:marBottom w:val="0"/>
              <w:divBdr>
                <w:top w:val="none" w:sz="0" w:space="0" w:color="auto"/>
                <w:left w:val="none" w:sz="0" w:space="0" w:color="auto"/>
                <w:bottom w:val="none" w:sz="0" w:space="0" w:color="auto"/>
                <w:right w:val="none" w:sz="0" w:space="0" w:color="auto"/>
              </w:divBdr>
            </w:div>
            <w:div w:id="1818036723">
              <w:marLeft w:val="0"/>
              <w:marRight w:val="0"/>
              <w:marTop w:val="0"/>
              <w:marBottom w:val="0"/>
              <w:divBdr>
                <w:top w:val="none" w:sz="0" w:space="0" w:color="auto"/>
                <w:left w:val="none" w:sz="0" w:space="0" w:color="auto"/>
                <w:bottom w:val="none" w:sz="0" w:space="0" w:color="auto"/>
                <w:right w:val="none" w:sz="0" w:space="0" w:color="auto"/>
              </w:divBdr>
            </w:div>
            <w:div w:id="793720018">
              <w:marLeft w:val="0"/>
              <w:marRight w:val="0"/>
              <w:marTop w:val="0"/>
              <w:marBottom w:val="0"/>
              <w:divBdr>
                <w:top w:val="none" w:sz="0" w:space="0" w:color="auto"/>
                <w:left w:val="none" w:sz="0" w:space="0" w:color="auto"/>
                <w:bottom w:val="none" w:sz="0" w:space="0" w:color="auto"/>
                <w:right w:val="none" w:sz="0" w:space="0" w:color="auto"/>
              </w:divBdr>
            </w:div>
            <w:div w:id="118380881">
              <w:marLeft w:val="0"/>
              <w:marRight w:val="0"/>
              <w:marTop w:val="0"/>
              <w:marBottom w:val="0"/>
              <w:divBdr>
                <w:top w:val="none" w:sz="0" w:space="0" w:color="auto"/>
                <w:left w:val="none" w:sz="0" w:space="0" w:color="auto"/>
                <w:bottom w:val="none" w:sz="0" w:space="0" w:color="auto"/>
                <w:right w:val="none" w:sz="0" w:space="0" w:color="auto"/>
              </w:divBdr>
            </w:div>
            <w:div w:id="169613073">
              <w:marLeft w:val="0"/>
              <w:marRight w:val="0"/>
              <w:marTop w:val="0"/>
              <w:marBottom w:val="0"/>
              <w:divBdr>
                <w:top w:val="none" w:sz="0" w:space="0" w:color="auto"/>
                <w:left w:val="none" w:sz="0" w:space="0" w:color="auto"/>
                <w:bottom w:val="none" w:sz="0" w:space="0" w:color="auto"/>
                <w:right w:val="none" w:sz="0" w:space="0" w:color="auto"/>
              </w:divBdr>
            </w:div>
            <w:div w:id="1867525071">
              <w:marLeft w:val="0"/>
              <w:marRight w:val="0"/>
              <w:marTop w:val="0"/>
              <w:marBottom w:val="0"/>
              <w:divBdr>
                <w:top w:val="none" w:sz="0" w:space="0" w:color="auto"/>
                <w:left w:val="none" w:sz="0" w:space="0" w:color="auto"/>
                <w:bottom w:val="none" w:sz="0" w:space="0" w:color="auto"/>
                <w:right w:val="none" w:sz="0" w:space="0" w:color="auto"/>
              </w:divBdr>
            </w:div>
            <w:div w:id="721055575">
              <w:marLeft w:val="0"/>
              <w:marRight w:val="0"/>
              <w:marTop w:val="0"/>
              <w:marBottom w:val="0"/>
              <w:divBdr>
                <w:top w:val="none" w:sz="0" w:space="0" w:color="auto"/>
                <w:left w:val="none" w:sz="0" w:space="0" w:color="auto"/>
                <w:bottom w:val="none" w:sz="0" w:space="0" w:color="auto"/>
                <w:right w:val="none" w:sz="0" w:space="0" w:color="auto"/>
              </w:divBdr>
            </w:div>
            <w:div w:id="48383904">
              <w:marLeft w:val="0"/>
              <w:marRight w:val="0"/>
              <w:marTop w:val="0"/>
              <w:marBottom w:val="0"/>
              <w:divBdr>
                <w:top w:val="none" w:sz="0" w:space="0" w:color="auto"/>
                <w:left w:val="none" w:sz="0" w:space="0" w:color="auto"/>
                <w:bottom w:val="none" w:sz="0" w:space="0" w:color="auto"/>
                <w:right w:val="none" w:sz="0" w:space="0" w:color="auto"/>
              </w:divBdr>
            </w:div>
            <w:div w:id="1569457867">
              <w:marLeft w:val="0"/>
              <w:marRight w:val="0"/>
              <w:marTop w:val="0"/>
              <w:marBottom w:val="0"/>
              <w:divBdr>
                <w:top w:val="none" w:sz="0" w:space="0" w:color="auto"/>
                <w:left w:val="none" w:sz="0" w:space="0" w:color="auto"/>
                <w:bottom w:val="none" w:sz="0" w:space="0" w:color="auto"/>
                <w:right w:val="none" w:sz="0" w:space="0" w:color="auto"/>
              </w:divBdr>
            </w:div>
            <w:div w:id="485633393">
              <w:marLeft w:val="0"/>
              <w:marRight w:val="0"/>
              <w:marTop w:val="0"/>
              <w:marBottom w:val="0"/>
              <w:divBdr>
                <w:top w:val="none" w:sz="0" w:space="0" w:color="auto"/>
                <w:left w:val="none" w:sz="0" w:space="0" w:color="auto"/>
                <w:bottom w:val="none" w:sz="0" w:space="0" w:color="auto"/>
                <w:right w:val="none" w:sz="0" w:space="0" w:color="auto"/>
              </w:divBdr>
            </w:div>
            <w:div w:id="1494755223">
              <w:marLeft w:val="0"/>
              <w:marRight w:val="0"/>
              <w:marTop w:val="0"/>
              <w:marBottom w:val="0"/>
              <w:divBdr>
                <w:top w:val="none" w:sz="0" w:space="0" w:color="auto"/>
                <w:left w:val="none" w:sz="0" w:space="0" w:color="auto"/>
                <w:bottom w:val="none" w:sz="0" w:space="0" w:color="auto"/>
                <w:right w:val="none" w:sz="0" w:space="0" w:color="auto"/>
              </w:divBdr>
            </w:div>
            <w:div w:id="1550262514">
              <w:marLeft w:val="0"/>
              <w:marRight w:val="0"/>
              <w:marTop w:val="0"/>
              <w:marBottom w:val="0"/>
              <w:divBdr>
                <w:top w:val="none" w:sz="0" w:space="0" w:color="auto"/>
                <w:left w:val="none" w:sz="0" w:space="0" w:color="auto"/>
                <w:bottom w:val="none" w:sz="0" w:space="0" w:color="auto"/>
                <w:right w:val="none" w:sz="0" w:space="0" w:color="auto"/>
              </w:divBdr>
            </w:div>
            <w:div w:id="81224689">
              <w:marLeft w:val="0"/>
              <w:marRight w:val="0"/>
              <w:marTop w:val="0"/>
              <w:marBottom w:val="0"/>
              <w:divBdr>
                <w:top w:val="none" w:sz="0" w:space="0" w:color="auto"/>
                <w:left w:val="none" w:sz="0" w:space="0" w:color="auto"/>
                <w:bottom w:val="none" w:sz="0" w:space="0" w:color="auto"/>
                <w:right w:val="none" w:sz="0" w:space="0" w:color="auto"/>
              </w:divBdr>
            </w:div>
            <w:div w:id="1069420568">
              <w:marLeft w:val="0"/>
              <w:marRight w:val="0"/>
              <w:marTop w:val="0"/>
              <w:marBottom w:val="0"/>
              <w:divBdr>
                <w:top w:val="none" w:sz="0" w:space="0" w:color="auto"/>
                <w:left w:val="none" w:sz="0" w:space="0" w:color="auto"/>
                <w:bottom w:val="none" w:sz="0" w:space="0" w:color="auto"/>
                <w:right w:val="none" w:sz="0" w:space="0" w:color="auto"/>
              </w:divBdr>
            </w:div>
            <w:div w:id="1840383576">
              <w:marLeft w:val="0"/>
              <w:marRight w:val="0"/>
              <w:marTop w:val="0"/>
              <w:marBottom w:val="0"/>
              <w:divBdr>
                <w:top w:val="none" w:sz="0" w:space="0" w:color="auto"/>
                <w:left w:val="none" w:sz="0" w:space="0" w:color="auto"/>
                <w:bottom w:val="none" w:sz="0" w:space="0" w:color="auto"/>
                <w:right w:val="none" w:sz="0" w:space="0" w:color="auto"/>
              </w:divBdr>
            </w:div>
            <w:div w:id="2042853022">
              <w:marLeft w:val="0"/>
              <w:marRight w:val="0"/>
              <w:marTop w:val="0"/>
              <w:marBottom w:val="0"/>
              <w:divBdr>
                <w:top w:val="none" w:sz="0" w:space="0" w:color="auto"/>
                <w:left w:val="none" w:sz="0" w:space="0" w:color="auto"/>
                <w:bottom w:val="none" w:sz="0" w:space="0" w:color="auto"/>
                <w:right w:val="none" w:sz="0" w:space="0" w:color="auto"/>
              </w:divBdr>
            </w:div>
            <w:div w:id="1041781658">
              <w:marLeft w:val="0"/>
              <w:marRight w:val="0"/>
              <w:marTop w:val="0"/>
              <w:marBottom w:val="0"/>
              <w:divBdr>
                <w:top w:val="none" w:sz="0" w:space="0" w:color="auto"/>
                <w:left w:val="none" w:sz="0" w:space="0" w:color="auto"/>
                <w:bottom w:val="none" w:sz="0" w:space="0" w:color="auto"/>
                <w:right w:val="none" w:sz="0" w:space="0" w:color="auto"/>
              </w:divBdr>
            </w:div>
            <w:div w:id="1765304108">
              <w:marLeft w:val="0"/>
              <w:marRight w:val="0"/>
              <w:marTop w:val="0"/>
              <w:marBottom w:val="0"/>
              <w:divBdr>
                <w:top w:val="none" w:sz="0" w:space="0" w:color="auto"/>
                <w:left w:val="none" w:sz="0" w:space="0" w:color="auto"/>
                <w:bottom w:val="none" w:sz="0" w:space="0" w:color="auto"/>
                <w:right w:val="none" w:sz="0" w:space="0" w:color="auto"/>
              </w:divBdr>
            </w:div>
            <w:div w:id="896814663">
              <w:marLeft w:val="0"/>
              <w:marRight w:val="0"/>
              <w:marTop w:val="0"/>
              <w:marBottom w:val="0"/>
              <w:divBdr>
                <w:top w:val="none" w:sz="0" w:space="0" w:color="auto"/>
                <w:left w:val="none" w:sz="0" w:space="0" w:color="auto"/>
                <w:bottom w:val="none" w:sz="0" w:space="0" w:color="auto"/>
                <w:right w:val="none" w:sz="0" w:space="0" w:color="auto"/>
              </w:divBdr>
            </w:div>
            <w:div w:id="299652845">
              <w:marLeft w:val="0"/>
              <w:marRight w:val="0"/>
              <w:marTop w:val="0"/>
              <w:marBottom w:val="0"/>
              <w:divBdr>
                <w:top w:val="none" w:sz="0" w:space="0" w:color="auto"/>
                <w:left w:val="none" w:sz="0" w:space="0" w:color="auto"/>
                <w:bottom w:val="none" w:sz="0" w:space="0" w:color="auto"/>
                <w:right w:val="none" w:sz="0" w:space="0" w:color="auto"/>
              </w:divBdr>
            </w:div>
            <w:div w:id="1797987561">
              <w:marLeft w:val="0"/>
              <w:marRight w:val="0"/>
              <w:marTop w:val="0"/>
              <w:marBottom w:val="0"/>
              <w:divBdr>
                <w:top w:val="none" w:sz="0" w:space="0" w:color="auto"/>
                <w:left w:val="none" w:sz="0" w:space="0" w:color="auto"/>
                <w:bottom w:val="none" w:sz="0" w:space="0" w:color="auto"/>
                <w:right w:val="none" w:sz="0" w:space="0" w:color="auto"/>
              </w:divBdr>
            </w:div>
            <w:div w:id="624852230">
              <w:marLeft w:val="0"/>
              <w:marRight w:val="0"/>
              <w:marTop w:val="0"/>
              <w:marBottom w:val="0"/>
              <w:divBdr>
                <w:top w:val="none" w:sz="0" w:space="0" w:color="auto"/>
                <w:left w:val="none" w:sz="0" w:space="0" w:color="auto"/>
                <w:bottom w:val="none" w:sz="0" w:space="0" w:color="auto"/>
                <w:right w:val="none" w:sz="0" w:space="0" w:color="auto"/>
              </w:divBdr>
            </w:div>
            <w:div w:id="185676109">
              <w:marLeft w:val="0"/>
              <w:marRight w:val="0"/>
              <w:marTop w:val="0"/>
              <w:marBottom w:val="0"/>
              <w:divBdr>
                <w:top w:val="none" w:sz="0" w:space="0" w:color="auto"/>
                <w:left w:val="none" w:sz="0" w:space="0" w:color="auto"/>
                <w:bottom w:val="none" w:sz="0" w:space="0" w:color="auto"/>
                <w:right w:val="none" w:sz="0" w:space="0" w:color="auto"/>
              </w:divBdr>
            </w:div>
            <w:div w:id="1686597149">
              <w:marLeft w:val="0"/>
              <w:marRight w:val="0"/>
              <w:marTop w:val="0"/>
              <w:marBottom w:val="0"/>
              <w:divBdr>
                <w:top w:val="none" w:sz="0" w:space="0" w:color="auto"/>
                <w:left w:val="none" w:sz="0" w:space="0" w:color="auto"/>
                <w:bottom w:val="none" w:sz="0" w:space="0" w:color="auto"/>
                <w:right w:val="none" w:sz="0" w:space="0" w:color="auto"/>
              </w:divBdr>
            </w:div>
            <w:div w:id="1926760339">
              <w:marLeft w:val="0"/>
              <w:marRight w:val="0"/>
              <w:marTop w:val="0"/>
              <w:marBottom w:val="0"/>
              <w:divBdr>
                <w:top w:val="none" w:sz="0" w:space="0" w:color="auto"/>
                <w:left w:val="none" w:sz="0" w:space="0" w:color="auto"/>
                <w:bottom w:val="none" w:sz="0" w:space="0" w:color="auto"/>
                <w:right w:val="none" w:sz="0" w:space="0" w:color="auto"/>
              </w:divBdr>
            </w:div>
            <w:div w:id="445583154">
              <w:marLeft w:val="0"/>
              <w:marRight w:val="0"/>
              <w:marTop w:val="0"/>
              <w:marBottom w:val="0"/>
              <w:divBdr>
                <w:top w:val="none" w:sz="0" w:space="0" w:color="auto"/>
                <w:left w:val="none" w:sz="0" w:space="0" w:color="auto"/>
                <w:bottom w:val="none" w:sz="0" w:space="0" w:color="auto"/>
                <w:right w:val="none" w:sz="0" w:space="0" w:color="auto"/>
              </w:divBdr>
            </w:div>
            <w:div w:id="104275586">
              <w:marLeft w:val="0"/>
              <w:marRight w:val="0"/>
              <w:marTop w:val="0"/>
              <w:marBottom w:val="0"/>
              <w:divBdr>
                <w:top w:val="none" w:sz="0" w:space="0" w:color="auto"/>
                <w:left w:val="none" w:sz="0" w:space="0" w:color="auto"/>
                <w:bottom w:val="none" w:sz="0" w:space="0" w:color="auto"/>
                <w:right w:val="none" w:sz="0" w:space="0" w:color="auto"/>
              </w:divBdr>
            </w:div>
            <w:div w:id="2043434654">
              <w:marLeft w:val="0"/>
              <w:marRight w:val="0"/>
              <w:marTop w:val="0"/>
              <w:marBottom w:val="0"/>
              <w:divBdr>
                <w:top w:val="none" w:sz="0" w:space="0" w:color="auto"/>
                <w:left w:val="none" w:sz="0" w:space="0" w:color="auto"/>
                <w:bottom w:val="none" w:sz="0" w:space="0" w:color="auto"/>
                <w:right w:val="none" w:sz="0" w:space="0" w:color="auto"/>
              </w:divBdr>
            </w:div>
            <w:div w:id="275406045">
              <w:marLeft w:val="0"/>
              <w:marRight w:val="0"/>
              <w:marTop w:val="0"/>
              <w:marBottom w:val="0"/>
              <w:divBdr>
                <w:top w:val="none" w:sz="0" w:space="0" w:color="auto"/>
                <w:left w:val="none" w:sz="0" w:space="0" w:color="auto"/>
                <w:bottom w:val="none" w:sz="0" w:space="0" w:color="auto"/>
                <w:right w:val="none" w:sz="0" w:space="0" w:color="auto"/>
              </w:divBdr>
            </w:div>
            <w:div w:id="890381530">
              <w:marLeft w:val="0"/>
              <w:marRight w:val="0"/>
              <w:marTop w:val="0"/>
              <w:marBottom w:val="0"/>
              <w:divBdr>
                <w:top w:val="none" w:sz="0" w:space="0" w:color="auto"/>
                <w:left w:val="none" w:sz="0" w:space="0" w:color="auto"/>
                <w:bottom w:val="none" w:sz="0" w:space="0" w:color="auto"/>
                <w:right w:val="none" w:sz="0" w:space="0" w:color="auto"/>
              </w:divBdr>
            </w:div>
            <w:div w:id="1225870190">
              <w:marLeft w:val="0"/>
              <w:marRight w:val="0"/>
              <w:marTop w:val="0"/>
              <w:marBottom w:val="0"/>
              <w:divBdr>
                <w:top w:val="none" w:sz="0" w:space="0" w:color="auto"/>
                <w:left w:val="none" w:sz="0" w:space="0" w:color="auto"/>
                <w:bottom w:val="none" w:sz="0" w:space="0" w:color="auto"/>
                <w:right w:val="none" w:sz="0" w:space="0" w:color="auto"/>
              </w:divBdr>
            </w:div>
            <w:div w:id="1530794347">
              <w:marLeft w:val="0"/>
              <w:marRight w:val="0"/>
              <w:marTop w:val="0"/>
              <w:marBottom w:val="0"/>
              <w:divBdr>
                <w:top w:val="none" w:sz="0" w:space="0" w:color="auto"/>
                <w:left w:val="none" w:sz="0" w:space="0" w:color="auto"/>
                <w:bottom w:val="none" w:sz="0" w:space="0" w:color="auto"/>
                <w:right w:val="none" w:sz="0" w:space="0" w:color="auto"/>
              </w:divBdr>
            </w:div>
            <w:div w:id="1330213094">
              <w:marLeft w:val="0"/>
              <w:marRight w:val="0"/>
              <w:marTop w:val="0"/>
              <w:marBottom w:val="0"/>
              <w:divBdr>
                <w:top w:val="none" w:sz="0" w:space="0" w:color="auto"/>
                <w:left w:val="none" w:sz="0" w:space="0" w:color="auto"/>
                <w:bottom w:val="none" w:sz="0" w:space="0" w:color="auto"/>
                <w:right w:val="none" w:sz="0" w:space="0" w:color="auto"/>
              </w:divBdr>
            </w:div>
            <w:div w:id="1143543851">
              <w:marLeft w:val="0"/>
              <w:marRight w:val="0"/>
              <w:marTop w:val="0"/>
              <w:marBottom w:val="0"/>
              <w:divBdr>
                <w:top w:val="none" w:sz="0" w:space="0" w:color="auto"/>
                <w:left w:val="none" w:sz="0" w:space="0" w:color="auto"/>
                <w:bottom w:val="none" w:sz="0" w:space="0" w:color="auto"/>
                <w:right w:val="none" w:sz="0" w:space="0" w:color="auto"/>
              </w:divBdr>
            </w:div>
            <w:div w:id="693531673">
              <w:marLeft w:val="0"/>
              <w:marRight w:val="0"/>
              <w:marTop w:val="0"/>
              <w:marBottom w:val="0"/>
              <w:divBdr>
                <w:top w:val="none" w:sz="0" w:space="0" w:color="auto"/>
                <w:left w:val="none" w:sz="0" w:space="0" w:color="auto"/>
                <w:bottom w:val="none" w:sz="0" w:space="0" w:color="auto"/>
                <w:right w:val="none" w:sz="0" w:space="0" w:color="auto"/>
              </w:divBdr>
            </w:div>
            <w:div w:id="449397447">
              <w:marLeft w:val="0"/>
              <w:marRight w:val="0"/>
              <w:marTop w:val="0"/>
              <w:marBottom w:val="0"/>
              <w:divBdr>
                <w:top w:val="none" w:sz="0" w:space="0" w:color="auto"/>
                <w:left w:val="none" w:sz="0" w:space="0" w:color="auto"/>
                <w:bottom w:val="none" w:sz="0" w:space="0" w:color="auto"/>
                <w:right w:val="none" w:sz="0" w:space="0" w:color="auto"/>
              </w:divBdr>
            </w:div>
            <w:div w:id="1438524128">
              <w:marLeft w:val="0"/>
              <w:marRight w:val="0"/>
              <w:marTop w:val="0"/>
              <w:marBottom w:val="0"/>
              <w:divBdr>
                <w:top w:val="none" w:sz="0" w:space="0" w:color="auto"/>
                <w:left w:val="none" w:sz="0" w:space="0" w:color="auto"/>
                <w:bottom w:val="none" w:sz="0" w:space="0" w:color="auto"/>
                <w:right w:val="none" w:sz="0" w:space="0" w:color="auto"/>
              </w:divBdr>
            </w:div>
            <w:div w:id="1941326609">
              <w:marLeft w:val="0"/>
              <w:marRight w:val="0"/>
              <w:marTop w:val="0"/>
              <w:marBottom w:val="0"/>
              <w:divBdr>
                <w:top w:val="none" w:sz="0" w:space="0" w:color="auto"/>
                <w:left w:val="none" w:sz="0" w:space="0" w:color="auto"/>
                <w:bottom w:val="none" w:sz="0" w:space="0" w:color="auto"/>
                <w:right w:val="none" w:sz="0" w:space="0" w:color="auto"/>
              </w:divBdr>
            </w:div>
            <w:div w:id="1497040639">
              <w:marLeft w:val="0"/>
              <w:marRight w:val="0"/>
              <w:marTop w:val="0"/>
              <w:marBottom w:val="0"/>
              <w:divBdr>
                <w:top w:val="none" w:sz="0" w:space="0" w:color="auto"/>
                <w:left w:val="none" w:sz="0" w:space="0" w:color="auto"/>
                <w:bottom w:val="none" w:sz="0" w:space="0" w:color="auto"/>
                <w:right w:val="none" w:sz="0" w:space="0" w:color="auto"/>
              </w:divBdr>
            </w:div>
            <w:div w:id="1589994447">
              <w:marLeft w:val="0"/>
              <w:marRight w:val="0"/>
              <w:marTop w:val="0"/>
              <w:marBottom w:val="0"/>
              <w:divBdr>
                <w:top w:val="none" w:sz="0" w:space="0" w:color="auto"/>
                <w:left w:val="none" w:sz="0" w:space="0" w:color="auto"/>
                <w:bottom w:val="none" w:sz="0" w:space="0" w:color="auto"/>
                <w:right w:val="none" w:sz="0" w:space="0" w:color="auto"/>
              </w:divBdr>
            </w:div>
            <w:div w:id="397824855">
              <w:marLeft w:val="0"/>
              <w:marRight w:val="0"/>
              <w:marTop w:val="0"/>
              <w:marBottom w:val="0"/>
              <w:divBdr>
                <w:top w:val="none" w:sz="0" w:space="0" w:color="auto"/>
                <w:left w:val="none" w:sz="0" w:space="0" w:color="auto"/>
                <w:bottom w:val="none" w:sz="0" w:space="0" w:color="auto"/>
                <w:right w:val="none" w:sz="0" w:space="0" w:color="auto"/>
              </w:divBdr>
            </w:div>
            <w:div w:id="1528524042">
              <w:marLeft w:val="0"/>
              <w:marRight w:val="0"/>
              <w:marTop w:val="0"/>
              <w:marBottom w:val="0"/>
              <w:divBdr>
                <w:top w:val="none" w:sz="0" w:space="0" w:color="auto"/>
                <w:left w:val="none" w:sz="0" w:space="0" w:color="auto"/>
                <w:bottom w:val="none" w:sz="0" w:space="0" w:color="auto"/>
                <w:right w:val="none" w:sz="0" w:space="0" w:color="auto"/>
              </w:divBdr>
            </w:div>
            <w:div w:id="911353764">
              <w:marLeft w:val="0"/>
              <w:marRight w:val="0"/>
              <w:marTop w:val="0"/>
              <w:marBottom w:val="0"/>
              <w:divBdr>
                <w:top w:val="none" w:sz="0" w:space="0" w:color="auto"/>
                <w:left w:val="none" w:sz="0" w:space="0" w:color="auto"/>
                <w:bottom w:val="none" w:sz="0" w:space="0" w:color="auto"/>
                <w:right w:val="none" w:sz="0" w:space="0" w:color="auto"/>
              </w:divBdr>
            </w:div>
            <w:div w:id="1446123289">
              <w:marLeft w:val="0"/>
              <w:marRight w:val="0"/>
              <w:marTop w:val="0"/>
              <w:marBottom w:val="0"/>
              <w:divBdr>
                <w:top w:val="none" w:sz="0" w:space="0" w:color="auto"/>
                <w:left w:val="none" w:sz="0" w:space="0" w:color="auto"/>
                <w:bottom w:val="none" w:sz="0" w:space="0" w:color="auto"/>
                <w:right w:val="none" w:sz="0" w:space="0" w:color="auto"/>
              </w:divBdr>
            </w:div>
            <w:div w:id="900138421">
              <w:marLeft w:val="0"/>
              <w:marRight w:val="0"/>
              <w:marTop w:val="0"/>
              <w:marBottom w:val="0"/>
              <w:divBdr>
                <w:top w:val="none" w:sz="0" w:space="0" w:color="auto"/>
                <w:left w:val="none" w:sz="0" w:space="0" w:color="auto"/>
                <w:bottom w:val="none" w:sz="0" w:space="0" w:color="auto"/>
                <w:right w:val="none" w:sz="0" w:space="0" w:color="auto"/>
              </w:divBdr>
            </w:div>
            <w:div w:id="1931305041">
              <w:marLeft w:val="0"/>
              <w:marRight w:val="0"/>
              <w:marTop w:val="0"/>
              <w:marBottom w:val="0"/>
              <w:divBdr>
                <w:top w:val="none" w:sz="0" w:space="0" w:color="auto"/>
                <w:left w:val="none" w:sz="0" w:space="0" w:color="auto"/>
                <w:bottom w:val="none" w:sz="0" w:space="0" w:color="auto"/>
                <w:right w:val="none" w:sz="0" w:space="0" w:color="auto"/>
              </w:divBdr>
            </w:div>
            <w:div w:id="869535220">
              <w:marLeft w:val="0"/>
              <w:marRight w:val="0"/>
              <w:marTop w:val="0"/>
              <w:marBottom w:val="0"/>
              <w:divBdr>
                <w:top w:val="none" w:sz="0" w:space="0" w:color="auto"/>
                <w:left w:val="none" w:sz="0" w:space="0" w:color="auto"/>
                <w:bottom w:val="none" w:sz="0" w:space="0" w:color="auto"/>
                <w:right w:val="none" w:sz="0" w:space="0" w:color="auto"/>
              </w:divBdr>
            </w:div>
            <w:div w:id="1575317292">
              <w:marLeft w:val="0"/>
              <w:marRight w:val="0"/>
              <w:marTop w:val="0"/>
              <w:marBottom w:val="0"/>
              <w:divBdr>
                <w:top w:val="none" w:sz="0" w:space="0" w:color="auto"/>
                <w:left w:val="none" w:sz="0" w:space="0" w:color="auto"/>
                <w:bottom w:val="none" w:sz="0" w:space="0" w:color="auto"/>
                <w:right w:val="none" w:sz="0" w:space="0" w:color="auto"/>
              </w:divBdr>
            </w:div>
            <w:div w:id="254705377">
              <w:marLeft w:val="0"/>
              <w:marRight w:val="0"/>
              <w:marTop w:val="0"/>
              <w:marBottom w:val="0"/>
              <w:divBdr>
                <w:top w:val="none" w:sz="0" w:space="0" w:color="auto"/>
                <w:left w:val="none" w:sz="0" w:space="0" w:color="auto"/>
                <w:bottom w:val="none" w:sz="0" w:space="0" w:color="auto"/>
                <w:right w:val="none" w:sz="0" w:space="0" w:color="auto"/>
              </w:divBdr>
            </w:div>
            <w:div w:id="585110703">
              <w:marLeft w:val="0"/>
              <w:marRight w:val="0"/>
              <w:marTop w:val="0"/>
              <w:marBottom w:val="0"/>
              <w:divBdr>
                <w:top w:val="none" w:sz="0" w:space="0" w:color="auto"/>
                <w:left w:val="none" w:sz="0" w:space="0" w:color="auto"/>
                <w:bottom w:val="none" w:sz="0" w:space="0" w:color="auto"/>
                <w:right w:val="none" w:sz="0" w:space="0" w:color="auto"/>
              </w:divBdr>
            </w:div>
            <w:div w:id="2127120553">
              <w:marLeft w:val="0"/>
              <w:marRight w:val="0"/>
              <w:marTop w:val="0"/>
              <w:marBottom w:val="0"/>
              <w:divBdr>
                <w:top w:val="none" w:sz="0" w:space="0" w:color="auto"/>
                <w:left w:val="none" w:sz="0" w:space="0" w:color="auto"/>
                <w:bottom w:val="none" w:sz="0" w:space="0" w:color="auto"/>
                <w:right w:val="none" w:sz="0" w:space="0" w:color="auto"/>
              </w:divBdr>
            </w:div>
            <w:div w:id="653947154">
              <w:marLeft w:val="0"/>
              <w:marRight w:val="0"/>
              <w:marTop w:val="0"/>
              <w:marBottom w:val="0"/>
              <w:divBdr>
                <w:top w:val="none" w:sz="0" w:space="0" w:color="auto"/>
                <w:left w:val="none" w:sz="0" w:space="0" w:color="auto"/>
                <w:bottom w:val="none" w:sz="0" w:space="0" w:color="auto"/>
                <w:right w:val="none" w:sz="0" w:space="0" w:color="auto"/>
              </w:divBdr>
            </w:div>
            <w:div w:id="1955364229">
              <w:marLeft w:val="0"/>
              <w:marRight w:val="0"/>
              <w:marTop w:val="0"/>
              <w:marBottom w:val="0"/>
              <w:divBdr>
                <w:top w:val="none" w:sz="0" w:space="0" w:color="auto"/>
                <w:left w:val="none" w:sz="0" w:space="0" w:color="auto"/>
                <w:bottom w:val="none" w:sz="0" w:space="0" w:color="auto"/>
                <w:right w:val="none" w:sz="0" w:space="0" w:color="auto"/>
              </w:divBdr>
            </w:div>
            <w:div w:id="2132698058">
              <w:marLeft w:val="0"/>
              <w:marRight w:val="0"/>
              <w:marTop w:val="0"/>
              <w:marBottom w:val="0"/>
              <w:divBdr>
                <w:top w:val="none" w:sz="0" w:space="0" w:color="auto"/>
                <w:left w:val="none" w:sz="0" w:space="0" w:color="auto"/>
                <w:bottom w:val="none" w:sz="0" w:space="0" w:color="auto"/>
                <w:right w:val="none" w:sz="0" w:space="0" w:color="auto"/>
              </w:divBdr>
            </w:div>
            <w:div w:id="1606498033">
              <w:marLeft w:val="0"/>
              <w:marRight w:val="0"/>
              <w:marTop w:val="0"/>
              <w:marBottom w:val="0"/>
              <w:divBdr>
                <w:top w:val="none" w:sz="0" w:space="0" w:color="auto"/>
                <w:left w:val="none" w:sz="0" w:space="0" w:color="auto"/>
                <w:bottom w:val="none" w:sz="0" w:space="0" w:color="auto"/>
                <w:right w:val="none" w:sz="0" w:space="0" w:color="auto"/>
              </w:divBdr>
            </w:div>
            <w:div w:id="1599823424">
              <w:marLeft w:val="0"/>
              <w:marRight w:val="0"/>
              <w:marTop w:val="0"/>
              <w:marBottom w:val="0"/>
              <w:divBdr>
                <w:top w:val="none" w:sz="0" w:space="0" w:color="auto"/>
                <w:left w:val="none" w:sz="0" w:space="0" w:color="auto"/>
                <w:bottom w:val="none" w:sz="0" w:space="0" w:color="auto"/>
                <w:right w:val="none" w:sz="0" w:space="0" w:color="auto"/>
              </w:divBdr>
            </w:div>
            <w:div w:id="1543396536">
              <w:marLeft w:val="0"/>
              <w:marRight w:val="0"/>
              <w:marTop w:val="0"/>
              <w:marBottom w:val="0"/>
              <w:divBdr>
                <w:top w:val="none" w:sz="0" w:space="0" w:color="auto"/>
                <w:left w:val="none" w:sz="0" w:space="0" w:color="auto"/>
                <w:bottom w:val="none" w:sz="0" w:space="0" w:color="auto"/>
                <w:right w:val="none" w:sz="0" w:space="0" w:color="auto"/>
              </w:divBdr>
            </w:div>
            <w:div w:id="756093668">
              <w:marLeft w:val="0"/>
              <w:marRight w:val="0"/>
              <w:marTop w:val="0"/>
              <w:marBottom w:val="0"/>
              <w:divBdr>
                <w:top w:val="none" w:sz="0" w:space="0" w:color="auto"/>
                <w:left w:val="none" w:sz="0" w:space="0" w:color="auto"/>
                <w:bottom w:val="none" w:sz="0" w:space="0" w:color="auto"/>
                <w:right w:val="none" w:sz="0" w:space="0" w:color="auto"/>
              </w:divBdr>
            </w:div>
            <w:div w:id="1235969295">
              <w:marLeft w:val="0"/>
              <w:marRight w:val="0"/>
              <w:marTop w:val="0"/>
              <w:marBottom w:val="0"/>
              <w:divBdr>
                <w:top w:val="none" w:sz="0" w:space="0" w:color="auto"/>
                <w:left w:val="none" w:sz="0" w:space="0" w:color="auto"/>
                <w:bottom w:val="none" w:sz="0" w:space="0" w:color="auto"/>
                <w:right w:val="none" w:sz="0" w:space="0" w:color="auto"/>
              </w:divBdr>
            </w:div>
            <w:div w:id="376861909">
              <w:marLeft w:val="0"/>
              <w:marRight w:val="0"/>
              <w:marTop w:val="0"/>
              <w:marBottom w:val="0"/>
              <w:divBdr>
                <w:top w:val="none" w:sz="0" w:space="0" w:color="auto"/>
                <w:left w:val="none" w:sz="0" w:space="0" w:color="auto"/>
                <w:bottom w:val="none" w:sz="0" w:space="0" w:color="auto"/>
                <w:right w:val="none" w:sz="0" w:space="0" w:color="auto"/>
              </w:divBdr>
            </w:div>
            <w:div w:id="840049587">
              <w:marLeft w:val="0"/>
              <w:marRight w:val="0"/>
              <w:marTop w:val="0"/>
              <w:marBottom w:val="0"/>
              <w:divBdr>
                <w:top w:val="none" w:sz="0" w:space="0" w:color="auto"/>
                <w:left w:val="none" w:sz="0" w:space="0" w:color="auto"/>
                <w:bottom w:val="none" w:sz="0" w:space="0" w:color="auto"/>
                <w:right w:val="none" w:sz="0" w:space="0" w:color="auto"/>
              </w:divBdr>
            </w:div>
            <w:div w:id="674723190">
              <w:marLeft w:val="0"/>
              <w:marRight w:val="0"/>
              <w:marTop w:val="0"/>
              <w:marBottom w:val="0"/>
              <w:divBdr>
                <w:top w:val="none" w:sz="0" w:space="0" w:color="auto"/>
                <w:left w:val="none" w:sz="0" w:space="0" w:color="auto"/>
                <w:bottom w:val="none" w:sz="0" w:space="0" w:color="auto"/>
                <w:right w:val="none" w:sz="0" w:space="0" w:color="auto"/>
              </w:divBdr>
            </w:div>
            <w:div w:id="1478566969">
              <w:marLeft w:val="0"/>
              <w:marRight w:val="0"/>
              <w:marTop w:val="0"/>
              <w:marBottom w:val="0"/>
              <w:divBdr>
                <w:top w:val="none" w:sz="0" w:space="0" w:color="auto"/>
                <w:left w:val="none" w:sz="0" w:space="0" w:color="auto"/>
                <w:bottom w:val="none" w:sz="0" w:space="0" w:color="auto"/>
                <w:right w:val="none" w:sz="0" w:space="0" w:color="auto"/>
              </w:divBdr>
            </w:div>
            <w:div w:id="1141922898">
              <w:marLeft w:val="0"/>
              <w:marRight w:val="0"/>
              <w:marTop w:val="0"/>
              <w:marBottom w:val="0"/>
              <w:divBdr>
                <w:top w:val="none" w:sz="0" w:space="0" w:color="auto"/>
                <w:left w:val="none" w:sz="0" w:space="0" w:color="auto"/>
                <w:bottom w:val="none" w:sz="0" w:space="0" w:color="auto"/>
                <w:right w:val="none" w:sz="0" w:space="0" w:color="auto"/>
              </w:divBdr>
            </w:div>
            <w:div w:id="1219168175">
              <w:marLeft w:val="0"/>
              <w:marRight w:val="0"/>
              <w:marTop w:val="0"/>
              <w:marBottom w:val="0"/>
              <w:divBdr>
                <w:top w:val="none" w:sz="0" w:space="0" w:color="auto"/>
                <w:left w:val="none" w:sz="0" w:space="0" w:color="auto"/>
                <w:bottom w:val="none" w:sz="0" w:space="0" w:color="auto"/>
                <w:right w:val="none" w:sz="0" w:space="0" w:color="auto"/>
              </w:divBdr>
            </w:div>
            <w:div w:id="1364480875">
              <w:marLeft w:val="0"/>
              <w:marRight w:val="0"/>
              <w:marTop w:val="0"/>
              <w:marBottom w:val="0"/>
              <w:divBdr>
                <w:top w:val="none" w:sz="0" w:space="0" w:color="auto"/>
                <w:left w:val="none" w:sz="0" w:space="0" w:color="auto"/>
                <w:bottom w:val="none" w:sz="0" w:space="0" w:color="auto"/>
                <w:right w:val="none" w:sz="0" w:space="0" w:color="auto"/>
              </w:divBdr>
            </w:div>
            <w:div w:id="1258825103">
              <w:marLeft w:val="0"/>
              <w:marRight w:val="0"/>
              <w:marTop w:val="0"/>
              <w:marBottom w:val="0"/>
              <w:divBdr>
                <w:top w:val="none" w:sz="0" w:space="0" w:color="auto"/>
                <w:left w:val="none" w:sz="0" w:space="0" w:color="auto"/>
                <w:bottom w:val="none" w:sz="0" w:space="0" w:color="auto"/>
                <w:right w:val="none" w:sz="0" w:space="0" w:color="auto"/>
              </w:divBdr>
            </w:div>
            <w:div w:id="1759211690">
              <w:marLeft w:val="0"/>
              <w:marRight w:val="0"/>
              <w:marTop w:val="0"/>
              <w:marBottom w:val="0"/>
              <w:divBdr>
                <w:top w:val="none" w:sz="0" w:space="0" w:color="auto"/>
                <w:left w:val="none" w:sz="0" w:space="0" w:color="auto"/>
                <w:bottom w:val="none" w:sz="0" w:space="0" w:color="auto"/>
                <w:right w:val="none" w:sz="0" w:space="0" w:color="auto"/>
              </w:divBdr>
            </w:div>
            <w:div w:id="1430731147">
              <w:marLeft w:val="0"/>
              <w:marRight w:val="0"/>
              <w:marTop w:val="0"/>
              <w:marBottom w:val="0"/>
              <w:divBdr>
                <w:top w:val="none" w:sz="0" w:space="0" w:color="auto"/>
                <w:left w:val="none" w:sz="0" w:space="0" w:color="auto"/>
                <w:bottom w:val="none" w:sz="0" w:space="0" w:color="auto"/>
                <w:right w:val="none" w:sz="0" w:space="0" w:color="auto"/>
              </w:divBdr>
            </w:div>
            <w:div w:id="314116130">
              <w:marLeft w:val="0"/>
              <w:marRight w:val="0"/>
              <w:marTop w:val="0"/>
              <w:marBottom w:val="0"/>
              <w:divBdr>
                <w:top w:val="none" w:sz="0" w:space="0" w:color="auto"/>
                <w:left w:val="none" w:sz="0" w:space="0" w:color="auto"/>
                <w:bottom w:val="none" w:sz="0" w:space="0" w:color="auto"/>
                <w:right w:val="none" w:sz="0" w:space="0" w:color="auto"/>
              </w:divBdr>
            </w:div>
            <w:div w:id="2009016115">
              <w:marLeft w:val="0"/>
              <w:marRight w:val="0"/>
              <w:marTop w:val="0"/>
              <w:marBottom w:val="0"/>
              <w:divBdr>
                <w:top w:val="none" w:sz="0" w:space="0" w:color="auto"/>
                <w:left w:val="none" w:sz="0" w:space="0" w:color="auto"/>
                <w:bottom w:val="none" w:sz="0" w:space="0" w:color="auto"/>
                <w:right w:val="none" w:sz="0" w:space="0" w:color="auto"/>
              </w:divBdr>
            </w:div>
            <w:div w:id="1552692069">
              <w:marLeft w:val="0"/>
              <w:marRight w:val="0"/>
              <w:marTop w:val="0"/>
              <w:marBottom w:val="0"/>
              <w:divBdr>
                <w:top w:val="none" w:sz="0" w:space="0" w:color="auto"/>
                <w:left w:val="none" w:sz="0" w:space="0" w:color="auto"/>
                <w:bottom w:val="none" w:sz="0" w:space="0" w:color="auto"/>
                <w:right w:val="none" w:sz="0" w:space="0" w:color="auto"/>
              </w:divBdr>
            </w:div>
            <w:div w:id="1257325283">
              <w:marLeft w:val="0"/>
              <w:marRight w:val="0"/>
              <w:marTop w:val="0"/>
              <w:marBottom w:val="0"/>
              <w:divBdr>
                <w:top w:val="none" w:sz="0" w:space="0" w:color="auto"/>
                <w:left w:val="none" w:sz="0" w:space="0" w:color="auto"/>
                <w:bottom w:val="none" w:sz="0" w:space="0" w:color="auto"/>
                <w:right w:val="none" w:sz="0" w:space="0" w:color="auto"/>
              </w:divBdr>
            </w:div>
            <w:div w:id="682785406">
              <w:marLeft w:val="0"/>
              <w:marRight w:val="0"/>
              <w:marTop w:val="0"/>
              <w:marBottom w:val="0"/>
              <w:divBdr>
                <w:top w:val="none" w:sz="0" w:space="0" w:color="auto"/>
                <w:left w:val="none" w:sz="0" w:space="0" w:color="auto"/>
                <w:bottom w:val="none" w:sz="0" w:space="0" w:color="auto"/>
                <w:right w:val="none" w:sz="0" w:space="0" w:color="auto"/>
              </w:divBdr>
            </w:div>
            <w:div w:id="13033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69659">
      <w:bodyDiv w:val="1"/>
      <w:marLeft w:val="0"/>
      <w:marRight w:val="0"/>
      <w:marTop w:val="0"/>
      <w:marBottom w:val="0"/>
      <w:divBdr>
        <w:top w:val="none" w:sz="0" w:space="0" w:color="auto"/>
        <w:left w:val="none" w:sz="0" w:space="0" w:color="auto"/>
        <w:bottom w:val="none" w:sz="0" w:space="0" w:color="auto"/>
        <w:right w:val="none" w:sz="0" w:space="0" w:color="auto"/>
      </w:divBdr>
    </w:div>
    <w:div w:id="550848336">
      <w:bodyDiv w:val="1"/>
      <w:marLeft w:val="0"/>
      <w:marRight w:val="0"/>
      <w:marTop w:val="0"/>
      <w:marBottom w:val="0"/>
      <w:divBdr>
        <w:top w:val="none" w:sz="0" w:space="0" w:color="auto"/>
        <w:left w:val="none" w:sz="0" w:space="0" w:color="auto"/>
        <w:bottom w:val="none" w:sz="0" w:space="0" w:color="auto"/>
        <w:right w:val="none" w:sz="0" w:space="0" w:color="auto"/>
      </w:divBdr>
    </w:div>
    <w:div w:id="729500466">
      <w:bodyDiv w:val="1"/>
      <w:marLeft w:val="0"/>
      <w:marRight w:val="0"/>
      <w:marTop w:val="0"/>
      <w:marBottom w:val="0"/>
      <w:divBdr>
        <w:top w:val="none" w:sz="0" w:space="0" w:color="auto"/>
        <w:left w:val="none" w:sz="0" w:space="0" w:color="auto"/>
        <w:bottom w:val="none" w:sz="0" w:space="0" w:color="auto"/>
        <w:right w:val="none" w:sz="0" w:space="0" w:color="auto"/>
      </w:divBdr>
    </w:div>
    <w:div w:id="888342321">
      <w:bodyDiv w:val="1"/>
      <w:marLeft w:val="0"/>
      <w:marRight w:val="0"/>
      <w:marTop w:val="0"/>
      <w:marBottom w:val="0"/>
      <w:divBdr>
        <w:top w:val="none" w:sz="0" w:space="0" w:color="auto"/>
        <w:left w:val="none" w:sz="0" w:space="0" w:color="auto"/>
        <w:bottom w:val="none" w:sz="0" w:space="0" w:color="auto"/>
        <w:right w:val="none" w:sz="0" w:space="0" w:color="auto"/>
      </w:divBdr>
    </w:div>
    <w:div w:id="903371052">
      <w:bodyDiv w:val="1"/>
      <w:marLeft w:val="0"/>
      <w:marRight w:val="0"/>
      <w:marTop w:val="0"/>
      <w:marBottom w:val="0"/>
      <w:divBdr>
        <w:top w:val="none" w:sz="0" w:space="0" w:color="auto"/>
        <w:left w:val="none" w:sz="0" w:space="0" w:color="auto"/>
        <w:bottom w:val="none" w:sz="0" w:space="0" w:color="auto"/>
        <w:right w:val="none" w:sz="0" w:space="0" w:color="auto"/>
      </w:divBdr>
    </w:div>
    <w:div w:id="1007827646">
      <w:bodyDiv w:val="1"/>
      <w:marLeft w:val="0"/>
      <w:marRight w:val="0"/>
      <w:marTop w:val="0"/>
      <w:marBottom w:val="0"/>
      <w:divBdr>
        <w:top w:val="none" w:sz="0" w:space="0" w:color="auto"/>
        <w:left w:val="none" w:sz="0" w:space="0" w:color="auto"/>
        <w:bottom w:val="none" w:sz="0" w:space="0" w:color="auto"/>
        <w:right w:val="none" w:sz="0" w:space="0" w:color="auto"/>
      </w:divBdr>
    </w:div>
    <w:div w:id="1068696125">
      <w:bodyDiv w:val="1"/>
      <w:marLeft w:val="0"/>
      <w:marRight w:val="0"/>
      <w:marTop w:val="0"/>
      <w:marBottom w:val="0"/>
      <w:divBdr>
        <w:top w:val="none" w:sz="0" w:space="0" w:color="auto"/>
        <w:left w:val="none" w:sz="0" w:space="0" w:color="auto"/>
        <w:bottom w:val="none" w:sz="0" w:space="0" w:color="auto"/>
        <w:right w:val="none" w:sz="0" w:space="0" w:color="auto"/>
      </w:divBdr>
    </w:div>
    <w:div w:id="1085345742">
      <w:bodyDiv w:val="1"/>
      <w:marLeft w:val="0"/>
      <w:marRight w:val="0"/>
      <w:marTop w:val="0"/>
      <w:marBottom w:val="0"/>
      <w:divBdr>
        <w:top w:val="none" w:sz="0" w:space="0" w:color="auto"/>
        <w:left w:val="none" w:sz="0" w:space="0" w:color="auto"/>
        <w:bottom w:val="none" w:sz="0" w:space="0" w:color="auto"/>
        <w:right w:val="none" w:sz="0" w:space="0" w:color="auto"/>
      </w:divBdr>
      <w:divsChild>
        <w:div w:id="1251353719">
          <w:marLeft w:val="0"/>
          <w:marRight w:val="0"/>
          <w:marTop w:val="0"/>
          <w:marBottom w:val="0"/>
          <w:divBdr>
            <w:top w:val="none" w:sz="0" w:space="0" w:color="auto"/>
            <w:left w:val="none" w:sz="0" w:space="0" w:color="auto"/>
            <w:bottom w:val="none" w:sz="0" w:space="0" w:color="auto"/>
            <w:right w:val="none" w:sz="0" w:space="0" w:color="auto"/>
          </w:divBdr>
        </w:div>
        <w:div w:id="103547120">
          <w:marLeft w:val="0"/>
          <w:marRight w:val="0"/>
          <w:marTop w:val="0"/>
          <w:marBottom w:val="0"/>
          <w:divBdr>
            <w:top w:val="none" w:sz="0" w:space="0" w:color="auto"/>
            <w:left w:val="none" w:sz="0" w:space="0" w:color="auto"/>
            <w:bottom w:val="none" w:sz="0" w:space="0" w:color="auto"/>
            <w:right w:val="none" w:sz="0" w:space="0" w:color="auto"/>
          </w:divBdr>
        </w:div>
        <w:div w:id="94138933">
          <w:marLeft w:val="0"/>
          <w:marRight w:val="0"/>
          <w:marTop w:val="0"/>
          <w:marBottom w:val="0"/>
          <w:divBdr>
            <w:top w:val="none" w:sz="0" w:space="0" w:color="auto"/>
            <w:left w:val="none" w:sz="0" w:space="0" w:color="auto"/>
            <w:bottom w:val="none" w:sz="0" w:space="0" w:color="auto"/>
            <w:right w:val="none" w:sz="0" w:space="0" w:color="auto"/>
          </w:divBdr>
        </w:div>
        <w:div w:id="284119374">
          <w:marLeft w:val="0"/>
          <w:marRight w:val="0"/>
          <w:marTop w:val="0"/>
          <w:marBottom w:val="0"/>
          <w:divBdr>
            <w:top w:val="none" w:sz="0" w:space="0" w:color="auto"/>
            <w:left w:val="none" w:sz="0" w:space="0" w:color="auto"/>
            <w:bottom w:val="none" w:sz="0" w:space="0" w:color="auto"/>
            <w:right w:val="none" w:sz="0" w:space="0" w:color="auto"/>
          </w:divBdr>
        </w:div>
        <w:div w:id="975984422">
          <w:marLeft w:val="0"/>
          <w:marRight w:val="0"/>
          <w:marTop w:val="0"/>
          <w:marBottom w:val="0"/>
          <w:divBdr>
            <w:top w:val="none" w:sz="0" w:space="0" w:color="auto"/>
            <w:left w:val="none" w:sz="0" w:space="0" w:color="auto"/>
            <w:bottom w:val="none" w:sz="0" w:space="0" w:color="auto"/>
            <w:right w:val="none" w:sz="0" w:space="0" w:color="auto"/>
          </w:divBdr>
        </w:div>
        <w:div w:id="1995327911">
          <w:marLeft w:val="0"/>
          <w:marRight w:val="0"/>
          <w:marTop w:val="0"/>
          <w:marBottom w:val="0"/>
          <w:divBdr>
            <w:top w:val="none" w:sz="0" w:space="0" w:color="auto"/>
            <w:left w:val="none" w:sz="0" w:space="0" w:color="auto"/>
            <w:bottom w:val="none" w:sz="0" w:space="0" w:color="auto"/>
            <w:right w:val="none" w:sz="0" w:space="0" w:color="auto"/>
          </w:divBdr>
        </w:div>
        <w:div w:id="910845136">
          <w:marLeft w:val="0"/>
          <w:marRight w:val="0"/>
          <w:marTop w:val="0"/>
          <w:marBottom w:val="0"/>
          <w:divBdr>
            <w:top w:val="none" w:sz="0" w:space="0" w:color="auto"/>
            <w:left w:val="none" w:sz="0" w:space="0" w:color="auto"/>
            <w:bottom w:val="none" w:sz="0" w:space="0" w:color="auto"/>
            <w:right w:val="none" w:sz="0" w:space="0" w:color="auto"/>
          </w:divBdr>
        </w:div>
        <w:div w:id="836573541">
          <w:marLeft w:val="0"/>
          <w:marRight w:val="0"/>
          <w:marTop w:val="0"/>
          <w:marBottom w:val="0"/>
          <w:divBdr>
            <w:top w:val="none" w:sz="0" w:space="0" w:color="auto"/>
            <w:left w:val="none" w:sz="0" w:space="0" w:color="auto"/>
            <w:bottom w:val="none" w:sz="0" w:space="0" w:color="auto"/>
            <w:right w:val="none" w:sz="0" w:space="0" w:color="auto"/>
          </w:divBdr>
        </w:div>
        <w:div w:id="1472599790">
          <w:marLeft w:val="0"/>
          <w:marRight w:val="0"/>
          <w:marTop w:val="0"/>
          <w:marBottom w:val="0"/>
          <w:divBdr>
            <w:top w:val="none" w:sz="0" w:space="0" w:color="auto"/>
            <w:left w:val="none" w:sz="0" w:space="0" w:color="auto"/>
            <w:bottom w:val="none" w:sz="0" w:space="0" w:color="auto"/>
            <w:right w:val="none" w:sz="0" w:space="0" w:color="auto"/>
          </w:divBdr>
        </w:div>
        <w:div w:id="745686463">
          <w:marLeft w:val="0"/>
          <w:marRight w:val="0"/>
          <w:marTop w:val="0"/>
          <w:marBottom w:val="0"/>
          <w:divBdr>
            <w:top w:val="none" w:sz="0" w:space="0" w:color="auto"/>
            <w:left w:val="none" w:sz="0" w:space="0" w:color="auto"/>
            <w:bottom w:val="none" w:sz="0" w:space="0" w:color="auto"/>
            <w:right w:val="none" w:sz="0" w:space="0" w:color="auto"/>
          </w:divBdr>
        </w:div>
        <w:div w:id="1573075582">
          <w:marLeft w:val="0"/>
          <w:marRight w:val="0"/>
          <w:marTop w:val="0"/>
          <w:marBottom w:val="0"/>
          <w:divBdr>
            <w:top w:val="none" w:sz="0" w:space="0" w:color="auto"/>
            <w:left w:val="none" w:sz="0" w:space="0" w:color="auto"/>
            <w:bottom w:val="none" w:sz="0" w:space="0" w:color="auto"/>
            <w:right w:val="none" w:sz="0" w:space="0" w:color="auto"/>
          </w:divBdr>
        </w:div>
        <w:div w:id="497770516">
          <w:marLeft w:val="0"/>
          <w:marRight w:val="0"/>
          <w:marTop w:val="0"/>
          <w:marBottom w:val="0"/>
          <w:divBdr>
            <w:top w:val="none" w:sz="0" w:space="0" w:color="auto"/>
            <w:left w:val="none" w:sz="0" w:space="0" w:color="auto"/>
            <w:bottom w:val="none" w:sz="0" w:space="0" w:color="auto"/>
            <w:right w:val="none" w:sz="0" w:space="0" w:color="auto"/>
          </w:divBdr>
        </w:div>
        <w:div w:id="2100440147">
          <w:marLeft w:val="0"/>
          <w:marRight w:val="0"/>
          <w:marTop w:val="0"/>
          <w:marBottom w:val="0"/>
          <w:divBdr>
            <w:top w:val="none" w:sz="0" w:space="0" w:color="auto"/>
            <w:left w:val="none" w:sz="0" w:space="0" w:color="auto"/>
            <w:bottom w:val="none" w:sz="0" w:space="0" w:color="auto"/>
            <w:right w:val="none" w:sz="0" w:space="0" w:color="auto"/>
          </w:divBdr>
        </w:div>
        <w:div w:id="62798581">
          <w:marLeft w:val="0"/>
          <w:marRight w:val="0"/>
          <w:marTop w:val="0"/>
          <w:marBottom w:val="0"/>
          <w:divBdr>
            <w:top w:val="none" w:sz="0" w:space="0" w:color="auto"/>
            <w:left w:val="none" w:sz="0" w:space="0" w:color="auto"/>
            <w:bottom w:val="none" w:sz="0" w:space="0" w:color="auto"/>
            <w:right w:val="none" w:sz="0" w:space="0" w:color="auto"/>
          </w:divBdr>
        </w:div>
        <w:div w:id="1762332896">
          <w:marLeft w:val="0"/>
          <w:marRight w:val="0"/>
          <w:marTop w:val="0"/>
          <w:marBottom w:val="0"/>
          <w:divBdr>
            <w:top w:val="none" w:sz="0" w:space="0" w:color="auto"/>
            <w:left w:val="none" w:sz="0" w:space="0" w:color="auto"/>
            <w:bottom w:val="none" w:sz="0" w:space="0" w:color="auto"/>
            <w:right w:val="none" w:sz="0" w:space="0" w:color="auto"/>
          </w:divBdr>
        </w:div>
        <w:div w:id="1662734407">
          <w:marLeft w:val="0"/>
          <w:marRight w:val="0"/>
          <w:marTop w:val="0"/>
          <w:marBottom w:val="0"/>
          <w:divBdr>
            <w:top w:val="none" w:sz="0" w:space="0" w:color="auto"/>
            <w:left w:val="none" w:sz="0" w:space="0" w:color="auto"/>
            <w:bottom w:val="none" w:sz="0" w:space="0" w:color="auto"/>
            <w:right w:val="none" w:sz="0" w:space="0" w:color="auto"/>
          </w:divBdr>
        </w:div>
        <w:div w:id="1159419084">
          <w:marLeft w:val="0"/>
          <w:marRight w:val="0"/>
          <w:marTop w:val="0"/>
          <w:marBottom w:val="0"/>
          <w:divBdr>
            <w:top w:val="none" w:sz="0" w:space="0" w:color="auto"/>
            <w:left w:val="none" w:sz="0" w:space="0" w:color="auto"/>
            <w:bottom w:val="none" w:sz="0" w:space="0" w:color="auto"/>
            <w:right w:val="none" w:sz="0" w:space="0" w:color="auto"/>
          </w:divBdr>
        </w:div>
        <w:div w:id="1125395245">
          <w:marLeft w:val="0"/>
          <w:marRight w:val="0"/>
          <w:marTop w:val="0"/>
          <w:marBottom w:val="0"/>
          <w:divBdr>
            <w:top w:val="none" w:sz="0" w:space="0" w:color="auto"/>
            <w:left w:val="none" w:sz="0" w:space="0" w:color="auto"/>
            <w:bottom w:val="none" w:sz="0" w:space="0" w:color="auto"/>
            <w:right w:val="none" w:sz="0" w:space="0" w:color="auto"/>
          </w:divBdr>
        </w:div>
        <w:div w:id="1935741557">
          <w:marLeft w:val="0"/>
          <w:marRight w:val="0"/>
          <w:marTop w:val="0"/>
          <w:marBottom w:val="0"/>
          <w:divBdr>
            <w:top w:val="none" w:sz="0" w:space="0" w:color="auto"/>
            <w:left w:val="none" w:sz="0" w:space="0" w:color="auto"/>
            <w:bottom w:val="none" w:sz="0" w:space="0" w:color="auto"/>
            <w:right w:val="none" w:sz="0" w:space="0" w:color="auto"/>
          </w:divBdr>
        </w:div>
        <w:div w:id="445538220">
          <w:marLeft w:val="0"/>
          <w:marRight w:val="0"/>
          <w:marTop w:val="0"/>
          <w:marBottom w:val="0"/>
          <w:divBdr>
            <w:top w:val="none" w:sz="0" w:space="0" w:color="auto"/>
            <w:left w:val="none" w:sz="0" w:space="0" w:color="auto"/>
            <w:bottom w:val="none" w:sz="0" w:space="0" w:color="auto"/>
            <w:right w:val="none" w:sz="0" w:space="0" w:color="auto"/>
          </w:divBdr>
        </w:div>
        <w:div w:id="1595046079">
          <w:marLeft w:val="0"/>
          <w:marRight w:val="0"/>
          <w:marTop w:val="0"/>
          <w:marBottom w:val="0"/>
          <w:divBdr>
            <w:top w:val="none" w:sz="0" w:space="0" w:color="auto"/>
            <w:left w:val="none" w:sz="0" w:space="0" w:color="auto"/>
            <w:bottom w:val="none" w:sz="0" w:space="0" w:color="auto"/>
            <w:right w:val="none" w:sz="0" w:space="0" w:color="auto"/>
          </w:divBdr>
        </w:div>
        <w:div w:id="1848708990">
          <w:marLeft w:val="0"/>
          <w:marRight w:val="0"/>
          <w:marTop w:val="0"/>
          <w:marBottom w:val="0"/>
          <w:divBdr>
            <w:top w:val="none" w:sz="0" w:space="0" w:color="auto"/>
            <w:left w:val="none" w:sz="0" w:space="0" w:color="auto"/>
            <w:bottom w:val="none" w:sz="0" w:space="0" w:color="auto"/>
            <w:right w:val="none" w:sz="0" w:space="0" w:color="auto"/>
          </w:divBdr>
        </w:div>
        <w:div w:id="1668823228">
          <w:marLeft w:val="0"/>
          <w:marRight w:val="0"/>
          <w:marTop w:val="0"/>
          <w:marBottom w:val="0"/>
          <w:divBdr>
            <w:top w:val="none" w:sz="0" w:space="0" w:color="auto"/>
            <w:left w:val="none" w:sz="0" w:space="0" w:color="auto"/>
            <w:bottom w:val="none" w:sz="0" w:space="0" w:color="auto"/>
            <w:right w:val="none" w:sz="0" w:space="0" w:color="auto"/>
          </w:divBdr>
        </w:div>
        <w:div w:id="524250411">
          <w:marLeft w:val="0"/>
          <w:marRight w:val="0"/>
          <w:marTop w:val="0"/>
          <w:marBottom w:val="0"/>
          <w:divBdr>
            <w:top w:val="none" w:sz="0" w:space="0" w:color="auto"/>
            <w:left w:val="none" w:sz="0" w:space="0" w:color="auto"/>
            <w:bottom w:val="none" w:sz="0" w:space="0" w:color="auto"/>
            <w:right w:val="none" w:sz="0" w:space="0" w:color="auto"/>
          </w:divBdr>
        </w:div>
        <w:div w:id="553930011">
          <w:marLeft w:val="0"/>
          <w:marRight w:val="0"/>
          <w:marTop w:val="0"/>
          <w:marBottom w:val="0"/>
          <w:divBdr>
            <w:top w:val="none" w:sz="0" w:space="0" w:color="auto"/>
            <w:left w:val="none" w:sz="0" w:space="0" w:color="auto"/>
            <w:bottom w:val="none" w:sz="0" w:space="0" w:color="auto"/>
            <w:right w:val="none" w:sz="0" w:space="0" w:color="auto"/>
          </w:divBdr>
        </w:div>
        <w:div w:id="700328544">
          <w:marLeft w:val="0"/>
          <w:marRight w:val="0"/>
          <w:marTop w:val="0"/>
          <w:marBottom w:val="0"/>
          <w:divBdr>
            <w:top w:val="none" w:sz="0" w:space="0" w:color="auto"/>
            <w:left w:val="none" w:sz="0" w:space="0" w:color="auto"/>
            <w:bottom w:val="none" w:sz="0" w:space="0" w:color="auto"/>
            <w:right w:val="none" w:sz="0" w:space="0" w:color="auto"/>
          </w:divBdr>
        </w:div>
        <w:div w:id="1234391873">
          <w:marLeft w:val="0"/>
          <w:marRight w:val="0"/>
          <w:marTop w:val="0"/>
          <w:marBottom w:val="0"/>
          <w:divBdr>
            <w:top w:val="none" w:sz="0" w:space="0" w:color="auto"/>
            <w:left w:val="none" w:sz="0" w:space="0" w:color="auto"/>
            <w:bottom w:val="none" w:sz="0" w:space="0" w:color="auto"/>
            <w:right w:val="none" w:sz="0" w:space="0" w:color="auto"/>
          </w:divBdr>
        </w:div>
        <w:div w:id="2018732660">
          <w:marLeft w:val="0"/>
          <w:marRight w:val="0"/>
          <w:marTop w:val="0"/>
          <w:marBottom w:val="0"/>
          <w:divBdr>
            <w:top w:val="none" w:sz="0" w:space="0" w:color="auto"/>
            <w:left w:val="none" w:sz="0" w:space="0" w:color="auto"/>
            <w:bottom w:val="none" w:sz="0" w:space="0" w:color="auto"/>
            <w:right w:val="none" w:sz="0" w:space="0" w:color="auto"/>
          </w:divBdr>
        </w:div>
        <w:div w:id="422380313">
          <w:marLeft w:val="0"/>
          <w:marRight w:val="0"/>
          <w:marTop w:val="0"/>
          <w:marBottom w:val="0"/>
          <w:divBdr>
            <w:top w:val="none" w:sz="0" w:space="0" w:color="auto"/>
            <w:left w:val="none" w:sz="0" w:space="0" w:color="auto"/>
            <w:bottom w:val="none" w:sz="0" w:space="0" w:color="auto"/>
            <w:right w:val="none" w:sz="0" w:space="0" w:color="auto"/>
          </w:divBdr>
        </w:div>
        <w:div w:id="1325745763">
          <w:marLeft w:val="0"/>
          <w:marRight w:val="0"/>
          <w:marTop w:val="0"/>
          <w:marBottom w:val="0"/>
          <w:divBdr>
            <w:top w:val="none" w:sz="0" w:space="0" w:color="auto"/>
            <w:left w:val="none" w:sz="0" w:space="0" w:color="auto"/>
            <w:bottom w:val="none" w:sz="0" w:space="0" w:color="auto"/>
            <w:right w:val="none" w:sz="0" w:space="0" w:color="auto"/>
          </w:divBdr>
        </w:div>
        <w:div w:id="1392728386">
          <w:marLeft w:val="0"/>
          <w:marRight w:val="0"/>
          <w:marTop w:val="0"/>
          <w:marBottom w:val="0"/>
          <w:divBdr>
            <w:top w:val="none" w:sz="0" w:space="0" w:color="auto"/>
            <w:left w:val="none" w:sz="0" w:space="0" w:color="auto"/>
            <w:bottom w:val="none" w:sz="0" w:space="0" w:color="auto"/>
            <w:right w:val="none" w:sz="0" w:space="0" w:color="auto"/>
          </w:divBdr>
        </w:div>
        <w:div w:id="1310941848">
          <w:marLeft w:val="0"/>
          <w:marRight w:val="0"/>
          <w:marTop w:val="0"/>
          <w:marBottom w:val="0"/>
          <w:divBdr>
            <w:top w:val="none" w:sz="0" w:space="0" w:color="auto"/>
            <w:left w:val="none" w:sz="0" w:space="0" w:color="auto"/>
            <w:bottom w:val="none" w:sz="0" w:space="0" w:color="auto"/>
            <w:right w:val="none" w:sz="0" w:space="0" w:color="auto"/>
          </w:divBdr>
        </w:div>
        <w:div w:id="421337209">
          <w:marLeft w:val="0"/>
          <w:marRight w:val="0"/>
          <w:marTop w:val="0"/>
          <w:marBottom w:val="0"/>
          <w:divBdr>
            <w:top w:val="none" w:sz="0" w:space="0" w:color="auto"/>
            <w:left w:val="none" w:sz="0" w:space="0" w:color="auto"/>
            <w:bottom w:val="none" w:sz="0" w:space="0" w:color="auto"/>
            <w:right w:val="none" w:sz="0" w:space="0" w:color="auto"/>
          </w:divBdr>
        </w:div>
        <w:div w:id="1656492973">
          <w:marLeft w:val="0"/>
          <w:marRight w:val="0"/>
          <w:marTop w:val="0"/>
          <w:marBottom w:val="0"/>
          <w:divBdr>
            <w:top w:val="none" w:sz="0" w:space="0" w:color="auto"/>
            <w:left w:val="none" w:sz="0" w:space="0" w:color="auto"/>
            <w:bottom w:val="none" w:sz="0" w:space="0" w:color="auto"/>
            <w:right w:val="none" w:sz="0" w:space="0" w:color="auto"/>
          </w:divBdr>
        </w:div>
        <w:div w:id="1654337605">
          <w:marLeft w:val="0"/>
          <w:marRight w:val="0"/>
          <w:marTop w:val="0"/>
          <w:marBottom w:val="0"/>
          <w:divBdr>
            <w:top w:val="none" w:sz="0" w:space="0" w:color="auto"/>
            <w:left w:val="none" w:sz="0" w:space="0" w:color="auto"/>
            <w:bottom w:val="none" w:sz="0" w:space="0" w:color="auto"/>
            <w:right w:val="none" w:sz="0" w:space="0" w:color="auto"/>
          </w:divBdr>
        </w:div>
        <w:div w:id="1822887581">
          <w:marLeft w:val="0"/>
          <w:marRight w:val="0"/>
          <w:marTop w:val="0"/>
          <w:marBottom w:val="0"/>
          <w:divBdr>
            <w:top w:val="none" w:sz="0" w:space="0" w:color="auto"/>
            <w:left w:val="none" w:sz="0" w:space="0" w:color="auto"/>
            <w:bottom w:val="none" w:sz="0" w:space="0" w:color="auto"/>
            <w:right w:val="none" w:sz="0" w:space="0" w:color="auto"/>
          </w:divBdr>
        </w:div>
        <w:div w:id="959382183">
          <w:marLeft w:val="0"/>
          <w:marRight w:val="0"/>
          <w:marTop w:val="0"/>
          <w:marBottom w:val="0"/>
          <w:divBdr>
            <w:top w:val="none" w:sz="0" w:space="0" w:color="auto"/>
            <w:left w:val="none" w:sz="0" w:space="0" w:color="auto"/>
            <w:bottom w:val="none" w:sz="0" w:space="0" w:color="auto"/>
            <w:right w:val="none" w:sz="0" w:space="0" w:color="auto"/>
          </w:divBdr>
        </w:div>
        <w:div w:id="946617922">
          <w:marLeft w:val="0"/>
          <w:marRight w:val="0"/>
          <w:marTop w:val="0"/>
          <w:marBottom w:val="0"/>
          <w:divBdr>
            <w:top w:val="none" w:sz="0" w:space="0" w:color="auto"/>
            <w:left w:val="none" w:sz="0" w:space="0" w:color="auto"/>
            <w:bottom w:val="none" w:sz="0" w:space="0" w:color="auto"/>
            <w:right w:val="none" w:sz="0" w:space="0" w:color="auto"/>
          </w:divBdr>
        </w:div>
        <w:div w:id="372657050">
          <w:marLeft w:val="0"/>
          <w:marRight w:val="0"/>
          <w:marTop w:val="0"/>
          <w:marBottom w:val="0"/>
          <w:divBdr>
            <w:top w:val="none" w:sz="0" w:space="0" w:color="auto"/>
            <w:left w:val="none" w:sz="0" w:space="0" w:color="auto"/>
            <w:bottom w:val="none" w:sz="0" w:space="0" w:color="auto"/>
            <w:right w:val="none" w:sz="0" w:space="0" w:color="auto"/>
          </w:divBdr>
        </w:div>
        <w:div w:id="1924334774">
          <w:marLeft w:val="0"/>
          <w:marRight w:val="0"/>
          <w:marTop w:val="0"/>
          <w:marBottom w:val="0"/>
          <w:divBdr>
            <w:top w:val="none" w:sz="0" w:space="0" w:color="auto"/>
            <w:left w:val="none" w:sz="0" w:space="0" w:color="auto"/>
            <w:bottom w:val="none" w:sz="0" w:space="0" w:color="auto"/>
            <w:right w:val="none" w:sz="0" w:space="0" w:color="auto"/>
          </w:divBdr>
        </w:div>
        <w:div w:id="1191650194">
          <w:marLeft w:val="0"/>
          <w:marRight w:val="0"/>
          <w:marTop w:val="0"/>
          <w:marBottom w:val="0"/>
          <w:divBdr>
            <w:top w:val="none" w:sz="0" w:space="0" w:color="auto"/>
            <w:left w:val="none" w:sz="0" w:space="0" w:color="auto"/>
            <w:bottom w:val="none" w:sz="0" w:space="0" w:color="auto"/>
            <w:right w:val="none" w:sz="0" w:space="0" w:color="auto"/>
          </w:divBdr>
        </w:div>
        <w:div w:id="1025983181">
          <w:marLeft w:val="0"/>
          <w:marRight w:val="0"/>
          <w:marTop w:val="0"/>
          <w:marBottom w:val="0"/>
          <w:divBdr>
            <w:top w:val="none" w:sz="0" w:space="0" w:color="auto"/>
            <w:left w:val="none" w:sz="0" w:space="0" w:color="auto"/>
            <w:bottom w:val="none" w:sz="0" w:space="0" w:color="auto"/>
            <w:right w:val="none" w:sz="0" w:space="0" w:color="auto"/>
          </w:divBdr>
        </w:div>
        <w:div w:id="1437746207">
          <w:marLeft w:val="0"/>
          <w:marRight w:val="0"/>
          <w:marTop w:val="0"/>
          <w:marBottom w:val="0"/>
          <w:divBdr>
            <w:top w:val="none" w:sz="0" w:space="0" w:color="auto"/>
            <w:left w:val="none" w:sz="0" w:space="0" w:color="auto"/>
            <w:bottom w:val="none" w:sz="0" w:space="0" w:color="auto"/>
            <w:right w:val="none" w:sz="0" w:space="0" w:color="auto"/>
          </w:divBdr>
        </w:div>
        <w:div w:id="1853297428">
          <w:marLeft w:val="0"/>
          <w:marRight w:val="0"/>
          <w:marTop w:val="0"/>
          <w:marBottom w:val="0"/>
          <w:divBdr>
            <w:top w:val="none" w:sz="0" w:space="0" w:color="auto"/>
            <w:left w:val="none" w:sz="0" w:space="0" w:color="auto"/>
            <w:bottom w:val="none" w:sz="0" w:space="0" w:color="auto"/>
            <w:right w:val="none" w:sz="0" w:space="0" w:color="auto"/>
          </w:divBdr>
        </w:div>
        <w:div w:id="1791362046">
          <w:marLeft w:val="0"/>
          <w:marRight w:val="0"/>
          <w:marTop w:val="0"/>
          <w:marBottom w:val="0"/>
          <w:divBdr>
            <w:top w:val="none" w:sz="0" w:space="0" w:color="auto"/>
            <w:left w:val="none" w:sz="0" w:space="0" w:color="auto"/>
            <w:bottom w:val="none" w:sz="0" w:space="0" w:color="auto"/>
            <w:right w:val="none" w:sz="0" w:space="0" w:color="auto"/>
          </w:divBdr>
        </w:div>
        <w:div w:id="583028688">
          <w:marLeft w:val="0"/>
          <w:marRight w:val="0"/>
          <w:marTop w:val="0"/>
          <w:marBottom w:val="0"/>
          <w:divBdr>
            <w:top w:val="none" w:sz="0" w:space="0" w:color="auto"/>
            <w:left w:val="none" w:sz="0" w:space="0" w:color="auto"/>
            <w:bottom w:val="none" w:sz="0" w:space="0" w:color="auto"/>
            <w:right w:val="none" w:sz="0" w:space="0" w:color="auto"/>
          </w:divBdr>
        </w:div>
        <w:div w:id="1968003073">
          <w:marLeft w:val="0"/>
          <w:marRight w:val="0"/>
          <w:marTop w:val="0"/>
          <w:marBottom w:val="0"/>
          <w:divBdr>
            <w:top w:val="none" w:sz="0" w:space="0" w:color="auto"/>
            <w:left w:val="none" w:sz="0" w:space="0" w:color="auto"/>
            <w:bottom w:val="none" w:sz="0" w:space="0" w:color="auto"/>
            <w:right w:val="none" w:sz="0" w:space="0" w:color="auto"/>
          </w:divBdr>
        </w:div>
        <w:div w:id="1357729434">
          <w:marLeft w:val="0"/>
          <w:marRight w:val="0"/>
          <w:marTop w:val="0"/>
          <w:marBottom w:val="0"/>
          <w:divBdr>
            <w:top w:val="none" w:sz="0" w:space="0" w:color="auto"/>
            <w:left w:val="none" w:sz="0" w:space="0" w:color="auto"/>
            <w:bottom w:val="none" w:sz="0" w:space="0" w:color="auto"/>
            <w:right w:val="none" w:sz="0" w:space="0" w:color="auto"/>
          </w:divBdr>
        </w:div>
        <w:div w:id="40054893">
          <w:marLeft w:val="0"/>
          <w:marRight w:val="0"/>
          <w:marTop w:val="0"/>
          <w:marBottom w:val="0"/>
          <w:divBdr>
            <w:top w:val="none" w:sz="0" w:space="0" w:color="auto"/>
            <w:left w:val="none" w:sz="0" w:space="0" w:color="auto"/>
            <w:bottom w:val="none" w:sz="0" w:space="0" w:color="auto"/>
            <w:right w:val="none" w:sz="0" w:space="0" w:color="auto"/>
          </w:divBdr>
        </w:div>
        <w:div w:id="1353989980">
          <w:marLeft w:val="0"/>
          <w:marRight w:val="0"/>
          <w:marTop w:val="0"/>
          <w:marBottom w:val="0"/>
          <w:divBdr>
            <w:top w:val="none" w:sz="0" w:space="0" w:color="auto"/>
            <w:left w:val="none" w:sz="0" w:space="0" w:color="auto"/>
            <w:bottom w:val="none" w:sz="0" w:space="0" w:color="auto"/>
            <w:right w:val="none" w:sz="0" w:space="0" w:color="auto"/>
          </w:divBdr>
        </w:div>
        <w:div w:id="1202013996">
          <w:marLeft w:val="0"/>
          <w:marRight w:val="0"/>
          <w:marTop w:val="0"/>
          <w:marBottom w:val="0"/>
          <w:divBdr>
            <w:top w:val="none" w:sz="0" w:space="0" w:color="auto"/>
            <w:left w:val="none" w:sz="0" w:space="0" w:color="auto"/>
            <w:bottom w:val="none" w:sz="0" w:space="0" w:color="auto"/>
            <w:right w:val="none" w:sz="0" w:space="0" w:color="auto"/>
          </w:divBdr>
        </w:div>
        <w:div w:id="1973749305">
          <w:marLeft w:val="0"/>
          <w:marRight w:val="0"/>
          <w:marTop w:val="0"/>
          <w:marBottom w:val="0"/>
          <w:divBdr>
            <w:top w:val="none" w:sz="0" w:space="0" w:color="auto"/>
            <w:left w:val="none" w:sz="0" w:space="0" w:color="auto"/>
            <w:bottom w:val="none" w:sz="0" w:space="0" w:color="auto"/>
            <w:right w:val="none" w:sz="0" w:space="0" w:color="auto"/>
          </w:divBdr>
        </w:div>
        <w:div w:id="1087194977">
          <w:marLeft w:val="0"/>
          <w:marRight w:val="0"/>
          <w:marTop w:val="0"/>
          <w:marBottom w:val="0"/>
          <w:divBdr>
            <w:top w:val="none" w:sz="0" w:space="0" w:color="auto"/>
            <w:left w:val="none" w:sz="0" w:space="0" w:color="auto"/>
            <w:bottom w:val="none" w:sz="0" w:space="0" w:color="auto"/>
            <w:right w:val="none" w:sz="0" w:space="0" w:color="auto"/>
          </w:divBdr>
        </w:div>
        <w:div w:id="1728797901">
          <w:marLeft w:val="0"/>
          <w:marRight w:val="0"/>
          <w:marTop w:val="0"/>
          <w:marBottom w:val="0"/>
          <w:divBdr>
            <w:top w:val="none" w:sz="0" w:space="0" w:color="auto"/>
            <w:left w:val="none" w:sz="0" w:space="0" w:color="auto"/>
            <w:bottom w:val="none" w:sz="0" w:space="0" w:color="auto"/>
            <w:right w:val="none" w:sz="0" w:space="0" w:color="auto"/>
          </w:divBdr>
        </w:div>
        <w:div w:id="1062829698">
          <w:marLeft w:val="0"/>
          <w:marRight w:val="0"/>
          <w:marTop w:val="0"/>
          <w:marBottom w:val="0"/>
          <w:divBdr>
            <w:top w:val="none" w:sz="0" w:space="0" w:color="auto"/>
            <w:left w:val="none" w:sz="0" w:space="0" w:color="auto"/>
            <w:bottom w:val="none" w:sz="0" w:space="0" w:color="auto"/>
            <w:right w:val="none" w:sz="0" w:space="0" w:color="auto"/>
          </w:divBdr>
        </w:div>
        <w:div w:id="1636526742">
          <w:marLeft w:val="0"/>
          <w:marRight w:val="0"/>
          <w:marTop w:val="0"/>
          <w:marBottom w:val="0"/>
          <w:divBdr>
            <w:top w:val="none" w:sz="0" w:space="0" w:color="auto"/>
            <w:left w:val="none" w:sz="0" w:space="0" w:color="auto"/>
            <w:bottom w:val="none" w:sz="0" w:space="0" w:color="auto"/>
            <w:right w:val="none" w:sz="0" w:space="0" w:color="auto"/>
          </w:divBdr>
        </w:div>
        <w:div w:id="832724024">
          <w:marLeft w:val="0"/>
          <w:marRight w:val="0"/>
          <w:marTop w:val="0"/>
          <w:marBottom w:val="0"/>
          <w:divBdr>
            <w:top w:val="none" w:sz="0" w:space="0" w:color="auto"/>
            <w:left w:val="none" w:sz="0" w:space="0" w:color="auto"/>
            <w:bottom w:val="none" w:sz="0" w:space="0" w:color="auto"/>
            <w:right w:val="none" w:sz="0" w:space="0" w:color="auto"/>
          </w:divBdr>
        </w:div>
        <w:div w:id="1979532260">
          <w:marLeft w:val="0"/>
          <w:marRight w:val="0"/>
          <w:marTop w:val="0"/>
          <w:marBottom w:val="0"/>
          <w:divBdr>
            <w:top w:val="none" w:sz="0" w:space="0" w:color="auto"/>
            <w:left w:val="none" w:sz="0" w:space="0" w:color="auto"/>
            <w:bottom w:val="none" w:sz="0" w:space="0" w:color="auto"/>
            <w:right w:val="none" w:sz="0" w:space="0" w:color="auto"/>
          </w:divBdr>
        </w:div>
        <w:div w:id="679042660">
          <w:marLeft w:val="0"/>
          <w:marRight w:val="0"/>
          <w:marTop w:val="0"/>
          <w:marBottom w:val="0"/>
          <w:divBdr>
            <w:top w:val="none" w:sz="0" w:space="0" w:color="auto"/>
            <w:left w:val="none" w:sz="0" w:space="0" w:color="auto"/>
            <w:bottom w:val="none" w:sz="0" w:space="0" w:color="auto"/>
            <w:right w:val="none" w:sz="0" w:space="0" w:color="auto"/>
          </w:divBdr>
        </w:div>
        <w:div w:id="1490948251">
          <w:marLeft w:val="0"/>
          <w:marRight w:val="0"/>
          <w:marTop w:val="0"/>
          <w:marBottom w:val="0"/>
          <w:divBdr>
            <w:top w:val="none" w:sz="0" w:space="0" w:color="auto"/>
            <w:left w:val="none" w:sz="0" w:space="0" w:color="auto"/>
            <w:bottom w:val="none" w:sz="0" w:space="0" w:color="auto"/>
            <w:right w:val="none" w:sz="0" w:space="0" w:color="auto"/>
          </w:divBdr>
        </w:div>
        <w:div w:id="609778474">
          <w:marLeft w:val="0"/>
          <w:marRight w:val="0"/>
          <w:marTop w:val="0"/>
          <w:marBottom w:val="0"/>
          <w:divBdr>
            <w:top w:val="none" w:sz="0" w:space="0" w:color="auto"/>
            <w:left w:val="none" w:sz="0" w:space="0" w:color="auto"/>
            <w:bottom w:val="none" w:sz="0" w:space="0" w:color="auto"/>
            <w:right w:val="none" w:sz="0" w:space="0" w:color="auto"/>
          </w:divBdr>
        </w:div>
        <w:div w:id="747074688">
          <w:marLeft w:val="0"/>
          <w:marRight w:val="0"/>
          <w:marTop w:val="0"/>
          <w:marBottom w:val="0"/>
          <w:divBdr>
            <w:top w:val="none" w:sz="0" w:space="0" w:color="auto"/>
            <w:left w:val="none" w:sz="0" w:space="0" w:color="auto"/>
            <w:bottom w:val="none" w:sz="0" w:space="0" w:color="auto"/>
            <w:right w:val="none" w:sz="0" w:space="0" w:color="auto"/>
          </w:divBdr>
        </w:div>
        <w:div w:id="1837265982">
          <w:marLeft w:val="0"/>
          <w:marRight w:val="0"/>
          <w:marTop w:val="0"/>
          <w:marBottom w:val="0"/>
          <w:divBdr>
            <w:top w:val="none" w:sz="0" w:space="0" w:color="auto"/>
            <w:left w:val="none" w:sz="0" w:space="0" w:color="auto"/>
            <w:bottom w:val="none" w:sz="0" w:space="0" w:color="auto"/>
            <w:right w:val="none" w:sz="0" w:space="0" w:color="auto"/>
          </w:divBdr>
        </w:div>
        <w:div w:id="721102551">
          <w:marLeft w:val="0"/>
          <w:marRight w:val="0"/>
          <w:marTop w:val="0"/>
          <w:marBottom w:val="0"/>
          <w:divBdr>
            <w:top w:val="none" w:sz="0" w:space="0" w:color="auto"/>
            <w:left w:val="none" w:sz="0" w:space="0" w:color="auto"/>
            <w:bottom w:val="none" w:sz="0" w:space="0" w:color="auto"/>
            <w:right w:val="none" w:sz="0" w:space="0" w:color="auto"/>
          </w:divBdr>
        </w:div>
        <w:div w:id="488256970">
          <w:marLeft w:val="0"/>
          <w:marRight w:val="0"/>
          <w:marTop w:val="0"/>
          <w:marBottom w:val="0"/>
          <w:divBdr>
            <w:top w:val="none" w:sz="0" w:space="0" w:color="auto"/>
            <w:left w:val="none" w:sz="0" w:space="0" w:color="auto"/>
            <w:bottom w:val="none" w:sz="0" w:space="0" w:color="auto"/>
            <w:right w:val="none" w:sz="0" w:space="0" w:color="auto"/>
          </w:divBdr>
        </w:div>
        <w:div w:id="772096068">
          <w:marLeft w:val="0"/>
          <w:marRight w:val="0"/>
          <w:marTop w:val="0"/>
          <w:marBottom w:val="0"/>
          <w:divBdr>
            <w:top w:val="none" w:sz="0" w:space="0" w:color="auto"/>
            <w:left w:val="none" w:sz="0" w:space="0" w:color="auto"/>
            <w:bottom w:val="none" w:sz="0" w:space="0" w:color="auto"/>
            <w:right w:val="none" w:sz="0" w:space="0" w:color="auto"/>
          </w:divBdr>
        </w:div>
        <w:div w:id="324868571">
          <w:marLeft w:val="0"/>
          <w:marRight w:val="0"/>
          <w:marTop w:val="0"/>
          <w:marBottom w:val="0"/>
          <w:divBdr>
            <w:top w:val="none" w:sz="0" w:space="0" w:color="auto"/>
            <w:left w:val="none" w:sz="0" w:space="0" w:color="auto"/>
            <w:bottom w:val="none" w:sz="0" w:space="0" w:color="auto"/>
            <w:right w:val="none" w:sz="0" w:space="0" w:color="auto"/>
          </w:divBdr>
        </w:div>
        <w:div w:id="154759773">
          <w:marLeft w:val="0"/>
          <w:marRight w:val="0"/>
          <w:marTop w:val="0"/>
          <w:marBottom w:val="0"/>
          <w:divBdr>
            <w:top w:val="none" w:sz="0" w:space="0" w:color="auto"/>
            <w:left w:val="none" w:sz="0" w:space="0" w:color="auto"/>
            <w:bottom w:val="none" w:sz="0" w:space="0" w:color="auto"/>
            <w:right w:val="none" w:sz="0" w:space="0" w:color="auto"/>
          </w:divBdr>
        </w:div>
        <w:div w:id="250817443">
          <w:marLeft w:val="0"/>
          <w:marRight w:val="0"/>
          <w:marTop w:val="0"/>
          <w:marBottom w:val="0"/>
          <w:divBdr>
            <w:top w:val="none" w:sz="0" w:space="0" w:color="auto"/>
            <w:left w:val="none" w:sz="0" w:space="0" w:color="auto"/>
            <w:bottom w:val="none" w:sz="0" w:space="0" w:color="auto"/>
            <w:right w:val="none" w:sz="0" w:space="0" w:color="auto"/>
          </w:divBdr>
        </w:div>
        <w:div w:id="482433957">
          <w:marLeft w:val="0"/>
          <w:marRight w:val="0"/>
          <w:marTop w:val="0"/>
          <w:marBottom w:val="0"/>
          <w:divBdr>
            <w:top w:val="none" w:sz="0" w:space="0" w:color="auto"/>
            <w:left w:val="none" w:sz="0" w:space="0" w:color="auto"/>
            <w:bottom w:val="none" w:sz="0" w:space="0" w:color="auto"/>
            <w:right w:val="none" w:sz="0" w:space="0" w:color="auto"/>
          </w:divBdr>
        </w:div>
        <w:div w:id="1722561221">
          <w:marLeft w:val="0"/>
          <w:marRight w:val="0"/>
          <w:marTop w:val="0"/>
          <w:marBottom w:val="0"/>
          <w:divBdr>
            <w:top w:val="none" w:sz="0" w:space="0" w:color="auto"/>
            <w:left w:val="none" w:sz="0" w:space="0" w:color="auto"/>
            <w:bottom w:val="none" w:sz="0" w:space="0" w:color="auto"/>
            <w:right w:val="none" w:sz="0" w:space="0" w:color="auto"/>
          </w:divBdr>
        </w:div>
        <w:div w:id="1206873257">
          <w:marLeft w:val="0"/>
          <w:marRight w:val="0"/>
          <w:marTop w:val="0"/>
          <w:marBottom w:val="0"/>
          <w:divBdr>
            <w:top w:val="none" w:sz="0" w:space="0" w:color="auto"/>
            <w:left w:val="none" w:sz="0" w:space="0" w:color="auto"/>
            <w:bottom w:val="none" w:sz="0" w:space="0" w:color="auto"/>
            <w:right w:val="none" w:sz="0" w:space="0" w:color="auto"/>
          </w:divBdr>
        </w:div>
        <w:div w:id="761529240">
          <w:marLeft w:val="0"/>
          <w:marRight w:val="0"/>
          <w:marTop w:val="0"/>
          <w:marBottom w:val="0"/>
          <w:divBdr>
            <w:top w:val="none" w:sz="0" w:space="0" w:color="auto"/>
            <w:left w:val="none" w:sz="0" w:space="0" w:color="auto"/>
            <w:bottom w:val="none" w:sz="0" w:space="0" w:color="auto"/>
            <w:right w:val="none" w:sz="0" w:space="0" w:color="auto"/>
          </w:divBdr>
        </w:div>
        <w:div w:id="1534490356">
          <w:marLeft w:val="0"/>
          <w:marRight w:val="0"/>
          <w:marTop w:val="0"/>
          <w:marBottom w:val="0"/>
          <w:divBdr>
            <w:top w:val="none" w:sz="0" w:space="0" w:color="auto"/>
            <w:left w:val="none" w:sz="0" w:space="0" w:color="auto"/>
            <w:bottom w:val="none" w:sz="0" w:space="0" w:color="auto"/>
            <w:right w:val="none" w:sz="0" w:space="0" w:color="auto"/>
          </w:divBdr>
        </w:div>
        <w:div w:id="134833733">
          <w:marLeft w:val="0"/>
          <w:marRight w:val="0"/>
          <w:marTop w:val="0"/>
          <w:marBottom w:val="0"/>
          <w:divBdr>
            <w:top w:val="none" w:sz="0" w:space="0" w:color="auto"/>
            <w:left w:val="none" w:sz="0" w:space="0" w:color="auto"/>
            <w:bottom w:val="none" w:sz="0" w:space="0" w:color="auto"/>
            <w:right w:val="none" w:sz="0" w:space="0" w:color="auto"/>
          </w:divBdr>
        </w:div>
        <w:div w:id="235090593">
          <w:marLeft w:val="0"/>
          <w:marRight w:val="0"/>
          <w:marTop w:val="0"/>
          <w:marBottom w:val="0"/>
          <w:divBdr>
            <w:top w:val="none" w:sz="0" w:space="0" w:color="auto"/>
            <w:left w:val="none" w:sz="0" w:space="0" w:color="auto"/>
            <w:bottom w:val="none" w:sz="0" w:space="0" w:color="auto"/>
            <w:right w:val="none" w:sz="0" w:space="0" w:color="auto"/>
          </w:divBdr>
        </w:div>
        <w:div w:id="1523712974">
          <w:marLeft w:val="0"/>
          <w:marRight w:val="0"/>
          <w:marTop w:val="0"/>
          <w:marBottom w:val="0"/>
          <w:divBdr>
            <w:top w:val="none" w:sz="0" w:space="0" w:color="auto"/>
            <w:left w:val="none" w:sz="0" w:space="0" w:color="auto"/>
            <w:bottom w:val="none" w:sz="0" w:space="0" w:color="auto"/>
            <w:right w:val="none" w:sz="0" w:space="0" w:color="auto"/>
          </w:divBdr>
        </w:div>
        <w:div w:id="160198677">
          <w:marLeft w:val="0"/>
          <w:marRight w:val="0"/>
          <w:marTop w:val="0"/>
          <w:marBottom w:val="0"/>
          <w:divBdr>
            <w:top w:val="none" w:sz="0" w:space="0" w:color="auto"/>
            <w:left w:val="none" w:sz="0" w:space="0" w:color="auto"/>
            <w:bottom w:val="none" w:sz="0" w:space="0" w:color="auto"/>
            <w:right w:val="none" w:sz="0" w:space="0" w:color="auto"/>
          </w:divBdr>
        </w:div>
        <w:div w:id="20016045">
          <w:marLeft w:val="0"/>
          <w:marRight w:val="0"/>
          <w:marTop w:val="0"/>
          <w:marBottom w:val="0"/>
          <w:divBdr>
            <w:top w:val="none" w:sz="0" w:space="0" w:color="auto"/>
            <w:left w:val="none" w:sz="0" w:space="0" w:color="auto"/>
            <w:bottom w:val="none" w:sz="0" w:space="0" w:color="auto"/>
            <w:right w:val="none" w:sz="0" w:space="0" w:color="auto"/>
          </w:divBdr>
        </w:div>
        <w:div w:id="1696611142">
          <w:marLeft w:val="0"/>
          <w:marRight w:val="0"/>
          <w:marTop w:val="0"/>
          <w:marBottom w:val="0"/>
          <w:divBdr>
            <w:top w:val="none" w:sz="0" w:space="0" w:color="auto"/>
            <w:left w:val="none" w:sz="0" w:space="0" w:color="auto"/>
            <w:bottom w:val="none" w:sz="0" w:space="0" w:color="auto"/>
            <w:right w:val="none" w:sz="0" w:space="0" w:color="auto"/>
          </w:divBdr>
        </w:div>
        <w:div w:id="2133405529">
          <w:marLeft w:val="0"/>
          <w:marRight w:val="0"/>
          <w:marTop w:val="0"/>
          <w:marBottom w:val="0"/>
          <w:divBdr>
            <w:top w:val="none" w:sz="0" w:space="0" w:color="auto"/>
            <w:left w:val="none" w:sz="0" w:space="0" w:color="auto"/>
            <w:bottom w:val="none" w:sz="0" w:space="0" w:color="auto"/>
            <w:right w:val="none" w:sz="0" w:space="0" w:color="auto"/>
          </w:divBdr>
        </w:div>
        <w:div w:id="183248720">
          <w:marLeft w:val="0"/>
          <w:marRight w:val="0"/>
          <w:marTop w:val="0"/>
          <w:marBottom w:val="0"/>
          <w:divBdr>
            <w:top w:val="none" w:sz="0" w:space="0" w:color="auto"/>
            <w:left w:val="none" w:sz="0" w:space="0" w:color="auto"/>
            <w:bottom w:val="none" w:sz="0" w:space="0" w:color="auto"/>
            <w:right w:val="none" w:sz="0" w:space="0" w:color="auto"/>
          </w:divBdr>
        </w:div>
        <w:div w:id="1115059167">
          <w:marLeft w:val="0"/>
          <w:marRight w:val="0"/>
          <w:marTop w:val="0"/>
          <w:marBottom w:val="0"/>
          <w:divBdr>
            <w:top w:val="none" w:sz="0" w:space="0" w:color="auto"/>
            <w:left w:val="none" w:sz="0" w:space="0" w:color="auto"/>
            <w:bottom w:val="none" w:sz="0" w:space="0" w:color="auto"/>
            <w:right w:val="none" w:sz="0" w:space="0" w:color="auto"/>
          </w:divBdr>
        </w:div>
        <w:div w:id="1741101625">
          <w:marLeft w:val="0"/>
          <w:marRight w:val="0"/>
          <w:marTop w:val="0"/>
          <w:marBottom w:val="0"/>
          <w:divBdr>
            <w:top w:val="none" w:sz="0" w:space="0" w:color="auto"/>
            <w:left w:val="none" w:sz="0" w:space="0" w:color="auto"/>
            <w:bottom w:val="none" w:sz="0" w:space="0" w:color="auto"/>
            <w:right w:val="none" w:sz="0" w:space="0" w:color="auto"/>
          </w:divBdr>
        </w:div>
        <w:div w:id="2106681876">
          <w:marLeft w:val="0"/>
          <w:marRight w:val="0"/>
          <w:marTop w:val="0"/>
          <w:marBottom w:val="0"/>
          <w:divBdr>
            <w:top w:val="none" w:sz="0" w:space="0" w:color="auto"/>
            <w:left w:val="none" w:sz="0" w:space="0" w:color="auto"/>
            <w:bottom w:val="none" w:sz="0" w:space="0" w:color="auto"/>
            <w:right w:val="none" w:sz="0" w:space="0" w:color="auto"/>
          </w:divBdr>
        </w:div>
        <w:div w:id="691302117">
          <w:marLeft w:val="0"/>
          <w:marRight w:val="0"/>
          <w:marTop w:val="0"/>
          <w:marBottom w:val="0"/>
          <w:divBdr>
            <w:top w:val="none" w:sz="0" w:space="0" w:color="auto"/>
            <w:left w:val="none" w:sz="0" w:space="0" w:color="auto"/>
            <w:bottom w:val="none" w:sz="0" w:space="0" w:color="auto"/>
            <w:right w:val="none" w:sz="0" w:space="0" w:color="auto"/>
          </w:divBdr>
        </w:div>
        <w:div w:id="1929263294">
          <w:marLeft w:val="0"/>
          <w:marRight w:val="0"/>
          <w:marTop w:val="0"/>
          <w:marBottom w:val="0"/>
          <w:divBdr>
            <w:top w:val="none" w:sz="0" w:space="0" w:color="auto"/>
            <w:left w:val="none" w:sz="0" w:space="0" w:color="auto"/>
            <w:bottom w:val="none" w:sz="0" w:space="0" w:color="auto"/>
            <w:right w:val="none" w:sz="0" w:space="0" w:color="auto"/>
          </w:divBdr>
        </w:div>
        <w:div w:id="1942953357">
          <w:marLeft w:val="0"/>
          <w:marRight w:val="0"/>
          <w:marTop w:val="0"/>
          <w:marBottom w:val="0"/>
          <w:divBdr>
            <w:top w:val="none" w:sz="0" w:space="0" w:color="auto"/>
            <w:left w:val="none" w:sz="0" w:space="0" w:color="auto"/>
            <w:bottom w:val="none" w:sz="0" w:space="0" w:color="auto"/>
            <w:right w:val="none" w:sz="0" w:space="0" w:color="auto"/>
          </w:divBdr>
        </w:div>
        <w:div w:id="1129402263">
          <w:marLeft w:val="0"/>
          <w:marRight w:val="0"/>
          <w:marTop w:val="0"/>
          <w:marBottom w:val="0"/>
          <w:divBdr>
            <w:top w:val="none" w:sz="0" w:space="0" w:color="auto"/>
            <w:left w:val="none" w:sz="0" w:space="0" w:color="auto"/>
            <w:bottom w:val="none" w:sz="0" w:space="0" w:color="auto"/>
            <w:right w:val="none" w:sz="0" w:space="0" w:color="auto"/>
          </w:divBdr>
        </w:div>
        <w:div w:id="1681734873">
          <w:marLeft w:val="0"/>
          <w:marRight w:val="0"/>
          <w:marTop w:val="0"/>
          <w:marBottom w:val="0"/>
          <w:divBdr>
            <w:top w:val="none" w:sz="0" w:space="0" w:color="auto"/>
            <w:left w:val="none" w:sz="0" w:space="0" w:color="auto"/>
            <w:bottom w:val="none" w:sz="0" w:space="0" w:color="auto"/>
            <w:right w:val="none" w:sz="0" w:space="0" w:color="auto"/>
          </w:divBdr>
        </w:div>
        <w:div w:id="1927569741">
          <w:marLeft w:val="0"/>
          <w:marRight w:val="0"/>
          <w:marTop w:val="0"/>
          <w:marBottom w:val="0"/>
          <w:divBdr>
            <w:top w:val="none" w:sz="0" w:space="0" w:color="auto"/>
            <w:left w:val="none" w:sz="0" w:space="0" w:color="auto"/>
            <w:bottom w:val="none" w:sz="0" w:space="0" w:color="auto"/>
            <w:right w:val="none" w:sz="0" w:space="0" w:color="auto"/>
          </w:divBdr>
        </w:div>
        <w:div w:id="1936478482">
          <w:marLeft w:val="0"/>
          <w:marRight w:val="0"/>
          <w:marTop w:val="0"/>
          <w:marBottom w:val="0"/>
          <w:divBdr>
            <w:top w:val="none" w:sz="0" w:space="0" w:color="auto"/>
            <w:left w:val="none" w:sz="0" w:space="0" w:color="auto"/>
            <w:bottom w:val="none" w:sz="0" w:space="0" w:color="auto"/>
            <w:right w:val="none" w:sz="0" w:space="0" w:color="auto"/>
          </w:divBdr>
        </w:div>
        <w:div w:id="1085882806">
          <w:marLeft w:val="0"/>
          <w:marRight w:val="0"/>
          <w:marTop w:val="0"/>
          <w:marBottom w:val="0"/>
          <w:divBdr>
            <w:top w:val="none" w:sz="0" w:space="0" w:color="auto"/>
            <w:left w:val="none" w:sz="0" w:space="0" w:color="auto"/>
            <w:bottom w:val="none" w:sz="0" w:space="0" w:color="auto"/>
            <w:right w:val="none" w:sz="0" w:space="0" w:color="auto"/>
          </w:divBdr>
        </w:div>
        <w:div w:id="133526702">
          <w:marLeft w:val="0"/>
          <w:marRight w:val="0"/>
          <w:marTop w:val="0"/>
          <w:marBottom w:val="0"/>
          <w:divBdr>
            <w:top w:val="none" w:sz="0" w:space="0" w:color="auto"/>
            <w:left w:val="none" w:sz="0" w:space="0" w:color="auto"/>
            <w:bottom w:val="none" w:sz="0" w:space="0" w:color="auto"/>
            <w:right w:val="none" w:sz="0" w:space="0" w:color="auto"/>
          </w:divBdr>
        </w:div>
        <w:div w:id="1673332362">
          <w:marLeft w:val="0"/>
          <w:marRight w:val="0"/>
          <w:marTop w:val="0"/>
          <w:marBottom w:val="0"/>
          <w:divBdr>
            <w:top w:val="none" w:sz="0" w:space="0" w:color="auto"/>
            <w:left w:val="none" w:sz="0" w:space="0" w:color="auto"/>
            <w:bottom w:val="none" w:sz="0" w:space="0" w:color="auto"/>
            <w:right w:val="none" w:sz="0" w:space="0" w:color="auto"/>
          </w:divBdr>
        </w:div>
        <w:div w:id="1991933827">
          <w:marLeft w:val="0"/>
          <w:marRight w:val="0"/>
          <w:marTop w:val="0"/>
          <w:marBottom w:val="0"/>
          <w:divBdr>
            <w:top w:val="none" w:sz="0" w:space="0" w:color="auto"/>
            <w:left w:val="none" w:sz="0" w:space="0" w:color="auto"/>
            <w:bottom w:val="none" w:sz="0" w:space="0" w:color="auto"/>
            <w:right w:val="none" w:sz="0" w:space="0" w:color="auto"/>
          </w:divBdr>
        </w:div>
        <w:div w:id="55320380">
          <w:marLeft w:val="0"/>
          <w:marRight w:val="0"/>
          <w:marTop w:val="0"/>
          <w:marBottom w:val="0"/>
          <w:divBdr>
            <w:top w:val="none" w:sz="0" w:space="0" w:color="auto"/>
            <w:left w:val="none" w:sz="0" w:space="0" w:color="auto"/>
            <w:bottom w:val="none" w:sz="0" w:space="0" w:color="auto"/>
            <w:right w:val="none" w:sz="0" w:space="0" w:color="auto"/>
          </w:divBdr>
        </w:div>
        <w:div w:id="1571233577">
          <w:marLeft w:val="0"/>
          <w:marRight w:val="0"/>
          <w:marTop w:val="0"/>
          <w:marBottom w:val="0"/>
          <w:divBdr>
            <w:top w:val="none" w:sz="0" w:space="0" w:color="auto"/>
            <w:left w:val="none" w:sz="0" w:space="0" w:color="auto"/>
            <w:bottom w:val="none" w:sz="0" w:space="0" w:color="auto"/>
            <w:right w:val="none" w:sz="0" w:space="0" w:color="auto"/>
          </w:divBdr>
        </w:div>
        <w:div w:id="2073649436">
          <w:marLeft w:val="0"/>
          <w:marRight w:val="0"/>
          <w:marTop w:val="0"/>
          <w:marBottom w:val="0"/>
          <w:divBdr>
            <w:top w:val="none" w:sz="0" w:space="0" w:color="auto"/>
            <w:left w:val="none" w:sz="0" w:space="0" w:color="auto"/>
            <w:bottom w:val="none" w:sz="0" w:space="0" w:color="auto"/>
            <w:right w:val="none" w:sz="0" w:space="0" w:color="auto"/>
          </w:divBdr>
        </w:div>
        <w:div w:id="232005894">
          <w:marLeft w:val="0"/>
          <w:marRight w:val="0"/>
          <w:marTop w:val="0"/>
          <w:marBottom w:val="0"/>
          <w:divBdr>
            <w:top w:val="none" w:sz="0" w:space="0" w:color="auto"/>
            <w:left w:val="none" w:sz="0" w:space="0" w:color="auto"/>
            <w:bottom w:val="none" w:sz="0" w:space="0" w:color="auto"/>
            <w:right w:val="none" w:sz="0" w:space="0" w:color="auto"/>
          </w:divBdr>
        </w:div>
        <w:div w:id="1899706338">
          <w:marLeft w:val="0"/>
          <w:marRight w:val="0"/>
          <w:marTop w:val="0"/>
          <w:marBottom w:val="0"/>
          <w:divBdr>
            <w:top w:val="none" w:sz="0" w:space="0" w:color="auto"/>
            <w:left w:val="none" w:sz="0" w:space="0" w:color="auto"/>
            <w:bottom w:val="none" w:sz="0" w:space="0" w:color="auto"/>
            <w:right w:val="none" w:sz="0" w:space="0" w:color="auto"/>
          </w:divBdr>
        </w:div>
        <w:div w:id="1586919047">
          <w:marLeft w:val="0"/>
          <w:marRight w:val="0"/>
          <w:marTop w:val="0"/>
          <w:marBottom w:val="0"/>
          <w:divBdr>
            <w:top w:val="none" w:sz="0" w:space="0" w:color="auto"/>
            <w:left w:val="none" w:sz="0" w:space="0" w:color="auto"/>
            <w:bottom w:val="none" w:sz="0" w:space="0" w:color="auto"/>
            <w:right w:val="none" w:sz="0" w:space="0" w:color="auto"/>
          </w:divBdr>
        </w:div>
        <w:div w:id="989292150">
          <w:marLeft w:val="0"/>
          <w:marRight w:val="0"/>
          <w:marTop w:val="0"/>
          <w:marBottom w:val="0"/>
          <w:divBdr>
            <w:top w:val="none" w:sz="0" w:space="0" w:color="auto"/>
            <w:left w:val="none" w:sz="0" w:space="0" w:color="auto"/>
            <w:bottom w:val="none" w:sz="0" w:space="0" w:color="auto"/>
            <w:right w:val="none" w:sz="0" w:space="0" w:color="auto"/>
          </w:divBdr>
        </w:div>
        <w:div w:id="1424958568">
          <w:marLeft w:val="0"/>
          <w:marRight w:val="0"/>
          <w:marTop w:val="0"/>
          <w:marBottom w:val="0"/>
          <w:divBdr>
            <w:top w:val="none" w:sz="0" w:space="0" w:color="auto"/>
            <w:left w:val="none" w:sz="0" w:space="0" w:color="auto"/>
            <w:bottom w:val="none" w:sz="0" w:space="0" w:color="auto"/>
            <w:right w:val="none" w:sz="0" w:space="0" w:color="auto"/>
          </w:divBdr>
        </w:div>
        <w:div w:id="1016345465">
          <w:marLeft w:val="0"/>
          <w:marRight w:val="0"/>
          <w:marTop w:val="0"/>
          <w:marBottom w:val="0"/>
          <w:divBdr>
            <w:top w:val="none" w:sz="0" w:space="0" w:color="auto"/>
            <w:left w:val="none" w:sz="0" w:space="0" w:color="auto"/>
            <w:bottom w:val="none" w:sz="0" w:space="0" w:color="auto"/>
            <w:right w:val="none" w:sz="0" w:space="0" w:color="auto"/>
          </w:divBdr>
        </w:div>
        <w:div w:id="1068070343">
          <w:marLeft w:val="0"/>
          <w:marRight w:val="0"/>
          <w:marTop w:val="0"/>
          <w:marBottom w:val="0"/>
          <w:divBdr>
            <w:top w:val="none" w:sz="0" w:space="0" w:color="auto"/>
            <w:left w:val="none" w:sz="0" w:space="0" w:color="auto"/>
            <w:bottom w:val="none" w:sz="0" w:space="0" w:color="auto"/>
            <w:right w:val="none" w:sz="0" w:space="0" w:color="auto"/>
          </w:divBdr>
        </w:div>
        <w:div w:id="2099600088">
          <w:marLeft w:val="0"/>
          <w:marRight w:val="0"/>
          <w:marTop w:val="0"/>
          <w:marBottom w:val="0"/>
          <w:divBdr>
            <w:top w:val="none" w:sz="0" w:space="0" w:color="auto"/>
            <w:left w:val="none" w:sz="0" w:space="0" w:color="auto"/>
            <w:bottom w:val="none" w:sz="0" w:space="0" w:color="auto"/>
            <w:right w:val="none" w:sz="0" w:space="0" w:color="auto"/>
          </w:divBdr>
        </w:div>
      </w:divsChild>
    </w:div>
    <w:div w:id="1136098652">
      <w:bodyDiv w:val="1"/>
      <w:marLeft w:val="0"/>
      <w:marRight w:val="0"/>
      <w:marTop w:val="0"/>
      <w:marBottom w:val="0"/>
      <w:divBdr>
        <w:top w:val="none" w:sz="0" w:space="0" w:color="auto"/>
        <w:left w:val="none" w:sz="0" w:space="0" w:color="auto"/>
        <w:bottom w:val="none" w:sz="0" w:space="0" w:color="auto"/>
        <w:right w:val="none" w:sz="0" w:space="0" w:color="auto"/>
      </w:divBdr>
    </w:div>
    <w:div w:id="1148060058">
      <w:bodyDiv w:val="1"/>
      <w:marLeft w:val="0"/>
      <w:marRight w:val="0"/>
      <w:marTop w:val="0"/>
      <w:marBottom w:val="0"/>
      <w:divBdr>
        <w:top w:val="none" w:sz="0" w:space="0" w:color="auto"/>
        <w:left w:val="none" w:sz="0" w:space="0" w:color="auto"/>
        <w:bottom w:val="none" w:sz="0" w:space="0" w:color="auto"/>
        <w:right w:val="none" w:sz="0" w:space="0" w:color="auto"/>
      </w:divBdr>
    </w:div>
    <w:div w:id="1251157021">
      <w:bodyDiv w:val="1"/>
      <w:marLeft w:val="0"/>
      <w:marRight w:val="0"/>
      <w:marTop w:val="0"/>
      <w:marBottom w:val="0"/>
      <w:divBdr>
        <w:top w:val="none" w:sz="0" w:space="0" w:color="auto"/>
        <w:left w:val="none" w:sz="0" w:space="0" w:color="auto"/>
        <w:bottom w:val="none" w:sz="0" w:space="0" w:color="auto"/>
        <w:right w:val="none" w:sz="0" w:space="0" w:color="auto"/>
      </w:divBdr>
    </w:div>
    <w:div w:id="1286036963">
      <w:bodyDiv w:val="1"/>
      <w:marLeft w:val="0"/>
      <w:marRight w:val="0"/>
      <w:marTop w:val="0"/>
      <w:marBottom w:val="0"/>
      <w:divBdr>
        <w:top w:val="none" w:sz="0" w:space="0" w:color="auto"/>
        <w:left w:val="none" w:sz="0" w:space="0" w:color="auto"/>
        <w:bottom w:val="none" w:sz="0" w:space="0" w:color="auto"/>
        <w:right w:val="none" w:sz="0" w:space="0" w:color="auto"/>
      </w:divBdr>
    </w:div>
    <w:div w:id="1329753431">
      <w:bodyDiv w:val="1"/>
      <w:marLeft w:val="0"/>
      <w:marRight w:val="0"/>
      <w:marTop w:val="0"/>
      <w:marBottom w:val="0"/>
      <w:divBdr>
        <w:top w:val="none" w:sz="0" w:space="0" w:color="auto"/>
        <w:left w:val="none" w:sz="0" w:space="0" w:color="auto"/>
        <w:bottom w:val="none" w:sz="0" w:space="0" w:color="auto"/>
        <w:right w:val="none" w:sz="0" w:space="0" w:color="auto"/>
      </w:divBdr>
    </w:div>
    <w:div w:id="1638951332">
      <w:bodyDiv w:val="1"/>
      <w:marLeft w:val="0"/>
      <w:marRight w:val="0"/>
      <w:marTop w:val="0"/>
      <w:marBottom w:val="0"/>
      <w:divBdr>
        <w:top w:val="none" w:sz="0" w:space="0" w:color="auto"/>
        <w:left w:val="none" w:sz="0" w:space="0" w:color="auto"/>
        <w:bottom w:val="none" w:sz="0" w:space="0" w:color="auto"/>
        <w:right w:val="none" w:sz="0" w:space="0" w:color="auto"/>
      </w:divBdr>
    </w:div>
    <w:div w:id="1899779698">
      <w:bodyDiv w:val="1"/>
      <w:marLeft w:val="0"/>
      <w:marRight w:val="0"/>
      <w:marTop w:val="0"/>
      <w:marBottom w:val="0"/>
      <w:divBdr>
        <w:top w:val="none" w:sz="0" w:space="0" w:color="auto"/>
        <w:left w:val="none" w:sz="0" w:space="0" w:color="auto"/>
        <w:bottom w:val="none" w:sz="0" w:space="0" w:color="auto"/>
        <w:right w:val="none" w:sz="0" w:space="0" w:color="auto"/>
      </w:divBdr>
    </w:div>
    <w:div w:id="1904900214">
      <w:bodyDiv w:val="1"/>
      <w:marLeft w:val="0"/>
      <w:marRight w:val="0"/>
      <w:marTop w:val="0"/>
      <w:marBottom w:val="0"/>
      <w:divBdr>
        <w:top w:val="none" w:sz="0" w:space="0" w:color="auto"/>
        <w:left w:val="none" w:sz="0" w:space="0" w:color="auto"/>
        <w:bottom w:val="none" w:sz="0" w:space="0" w:color="auto"/>
        <w:right w:val="none" w:sz="0" w:space="0" w:color="auto"/>
      </w:divBdr>
    </w:div>
    <w:div w:id="1935017514">
      <w:bodyDiv w:val="1"/>
      <w:marLeft w:val="0"/>
      <w:marRight w:val="0"/>
      <w:marTop w:val="0"/>
      <w:marBottom w:val="0"/>
      <w:divBdr>
        <w:top w:val="none" w:sz="0" w:space="0" w:color="auto"/>
        <w:left w:val="none" w:sz="0" w:space="0" w:color="auto"/>
        <w:bottom w:val="none" w:sz="0" w:space="0" w:color="auto"/>
        <w:right w:val="none" w:sz="0" w:space="0" w:color="auto"/>
      </w:divBdr>
      <w:divsChild>
        <w:div w:id="1529902814">
          <w:marLeft w:val="0"/>
          <w:marRight w:val="0"/>
          <w:marTop w:val="0"/>
          <w:marBottom w:val="0"/>
          <w:divBdr>
            <w:top w:val="none" w:sz="0" w:space="0" w:color="auto"/>
            <w:left w:val="none" w:sz="0" w:space="0" w:color="auto"/>
            <w:bottom w:val="none" w:sz="0" w:space="0" w:color="auto"/>
            <w:right w:val="none" w:sz="0" w:space="0" w:color="auto"/>
          </w:divBdr>
        </w:div>
        <w:div w:id="1422019674">
          <w:marLeft w:val="0"/>
          <w:marRight w:val="0"/>
          <w:marTop w:val="0"/>
          <w:marBottom w:val="0"/>
          <w:divBdr>
            <w:top w:val="none" w:sz="0" w:space="0" w:color="auto"/>
            <w:left w:val="none" w:sz="0" w:space="0" w:color="auto"/>
            <w:bottom w:val="none" w:sz="0" w:space="0" w:color="auto"/>
            <w:right w:val="none" w:sz="0" w:space="0" w:color="auto"/>
          </w:divBdr>
        </w:div>
        <w:div w:id="614562561">
          <w:marLeft w:val="0"/>
          <w:marRight w:val="0"/>
          <w:marTop w:val="0"/>
          <w:marBottom w:val="0"/>
          <w:divBdr>
            <w:top w:val="none" w:sz="0" w:space="0" w:color="auto"/>
            <w:left w:val="none" w:sz="0" w:space="0" w:color="auto"/>
            <w:bottom w:val="none" w:sz="0" w:space="0" w:color="auto"/>
            <w:right w:val="none" w:sz="0" w:space="0" w:color="auto"/>
          </w:divBdr>
        </w:div>
        <w:div w:id="1972320573">
          <w:marLeft w:val="0"/>
          <w:marRight w:val="0"/>
          <w:marTop w:val="0"/>
          <w:marBottom w:val="0"/>
          <w:divBdr>
            <w:top w:val="none" w:sz="0" w:space="0" w:color="auto"/>
            <w:left w:val="none" w:sz="0" w:space="0" w:color="auto"/>
            <w:bottom w:val="none" w:sz="0" w:space="0" w:color="auto"/>
            <w:right w:val="none" w:sz="0" w:space="0" w:color="auto"/>
          </w:divBdr>
        </w:div>
      </w:divsChild>
    </w:div>
    <w:div w:id="1995601017">
      <w:bodyDiv w:val="1"/>
      <w:marLeft w:val="0"/>
      <w:marRight w:val="0"/>
      <w:marTop w:val="0"/>
      <w:marBottom w:val="0"/>
      <w:divBdr>
        <w:top w:val="none" w:sz="0" w:space="0" w:color="auto"/>
        <w:left w:val="none" w:sz="0" w:space="0" w:color="auto"/>
        <w:bottom w:val="none" w:sz="0" w:space="0" w:color="auto"/>
        <w:right w:val="none" w:sz="0" w:space="0" w:color="auto"/>
      </w:divBdr>
    </w:div>
    <w:div w:id="211243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ji@nms.ac.jp"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10129</Words>
  <Characters>57739</Characters>
  <Application>Microsoft Office Word</Application>
  <DocSecurity>0</DocSecurity>
  <Lines>481</Lines>
  <Paragraphs>135</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67733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murata</dc:creator>
  <cp:lastModifiedBy>LS Ma</cp:lastModifiedBy>
  <cp:revision>2</cp:revision>
  <dcterms:created xsi:type="dcterms:W3CDTF">2014-07-23T23:40:00Z</dcterms:created>
  <dcterms:modified xsi:type="dcterms:W3CDTF">2014-07-23T23:40:00Z</dcterms:modified>
</cp:coreProperties>
</file>